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818113" w14:textId="76029898" w:rsidR="002A5DC7" w:rsidRPr="002A5DC7" w:rsidRDefault="002A5DC7" w:rsidP="00283E94">
      <w:pPr>
        <w:pStyle w:val="Heading2"/>
        <w:jc w:val="right"/>
        <w:rPr>
          <w:rFonts w:ascii="Arial" w:hAnsi="Arial" w:cs="Arial"/>
          <w:u w:val="single"/>
        </w:rPr>
      </w:pPr>
      <w:r w:rsidRPr="002A5DC7">
        <w:rPr>
          <w:rFonts w:ascii="Arial" w:hAnsi="Arial" w:cs="Arial"/>
          <w:u w:val="single"/>
        </w:rPr>
        <w:t xml:space="preserve">Review Article                   </w:t>
      </w:r>
    </w:p>
    <w:p w14:paraId="4B2C945F" w14:textId="7310B876" w:rsidR="00283E94" w:rsidRDefault="00283E94" w:rsidP="00283E94">
      <w:pPr>
        <w:pStyle w:val="Heading2"/>
        <w:jc w:val="right"/>
        <w:rPr>
          <w:rStyle w:val="Emphasis"/>
          <w:rFonts w:ascii="Arial" w:hAnsi="Arial" w:cs="Arial"/>
        </w:rPr>
      </w:pPr>
      <w:r w:rsidRPr="00283E94">
        <w:rPr>
          <w:rFonts w:ascii="Arial" w:hAnsi="Arial" w:cs="Arial"/>
        </w:rPr>
        <w:t xml:space="preserve">Decoding Silkworm–Host Plant Interactions: A Comprehensive Review of Chemosensory and Genetic Mechanisms in </w:t>
      </w:r>
      <w:r w:rsidRPr="00283E94">
        <w:rPr>
          <w:rStyle w:val="Emphasis"/>
          <w:rFonts w:ascii="Arial" w:hAnsi="Arial" w:cs="Arial"/>
        </w:rPr>
        <w:t>Bombyx mori</w:t>
      </w:r>
      <w:r w:rsidRPr="00283E94">
        <w:rPr>
          <w:rFonts w:ascii="Arial" w:hAnsi="Arial" w:cs="Arial"/>
        </w:rPr>
        <w:t xml:space="preserve"> and </w:t>
      </w:r>
      <w:proofErr w:type="spellStart"/>
      <w:r w:rsidRPr="00283E94">
        <w:rPr>
          <w:rStyle w:val="Emphasis"/>
          <w:rFonts w:ascii="Arial" w:hAnsi="Arial" w:cs="Arial"/>
        </w:rPr>
        <w:t>Antheraea</w:t>
      </w:r>
      <w:proofErr w:type="spellEnd"/>
      <w:r w:rsidRPr="00283E94">
        <w:rPr>
          <w:rStyle w:val="Emphasis"/>
          <w:rFonts w:ascii="Arial" w:hAnsi="Arial" w:cs="Arial"/>
        </w:rPr>
        <w:t xml:space="preserve"> </w:t>
      </w:r>
      <w:proofErr w:type="spellStart"/>
      <w:r w:rsidRPr="00283E94">
        <w:rPr>
          <w:rStyle w:val="Emphasis"/>
          <w:rFonts w:ascii="Arial" w:hAnsi="Arial" w:cs="Arial"/>
        </w:rPr>
        <w:t>assamensis</w:t>
      </w:r>
      <w:proofErr w:type="spellEnd"/>
    </w:p>
    <w:p w14:paraId="0844EB83" w14:textId="77777777" w:rsidR="00AC4554" w:rsidRDefault="00AC4554" w:rsidP="00283E94">
      <w:pPr>
        <w:pStyle w:val="Heading2"/>
        <w:jc w:val="right"/>
        <w:rPr>
          <w:rStyle w:val="Emphasis"/>
          <w:rFonts w:ascii="Arial" w:hAnsi="Arial" w:cs="Arial"/>
        </w:rPr>
      </w:pPr>
    </w:p>
    <w:p w14:paraId="1C1CEBD9" w14:textId="77777777" w:rsidR="00CE68F4" w:rsidRDefault="00223AE2" w:rsidP="00CE68F4">
      <w:pPr>
        <w:spacing w:before="100" w:beforeAutospacing="1" w:after="100" w:afterAutospacing="1" w:line="240" w:lineRule="auto"/>
        <w:rPr>
          <w:rFonts w:ascii="Arial" w:eastAsia="Times New Roman" w:hAnsi="Arial" w:cs="Arial"/>
          <w:b/>
          <w:bCs/>
        </w:rPr>
      </w:pPr>
      <w:r>
        <w:rPr>
          <w:rFonts w:ascii="Arial" w:eastAsia="Times New Roman" w:hAnsi="Arial" w:cs="Arial"/>
          <w:b/>
          <w:bCs/>
          <w:noProof/>
        </w:rPr>
        <w:pict w14:anchorId="4CC69C91">
          <v:shapetype id="_x0000_t202" coordsize="21600,21600" o:spt="202" path="m,l,21600r21600,l21600,xe">
            <v:stroke joinstyle="miter"/>
            <v:path gradientshapeok="t" o:connecttype="rect"/>
          </v:shapetype>
          <v:shape id="_x0000_s1026" type="#_x0000_t202" style="position:absolute;margin-left:-.95pt;margin-top:25.6pt;width:465.7pt;height:198.15pt;z-index:251658240" fillcolor="#eeece1 [3214]">
            <v:textbox>
              <w:txbxContent>
                <w:p w14:paraId="3A722061" w14:textId="77777777" w:rsidR="00974BAD" w:rsidRPr="00AC4554" w:rsidRDefault="00974BAD" w:rsidP="00AC4554">
                  <w:pPr>
                    <w:spacing w:before="100" w:beforeAutospacing="1" w:after="100" w:afterAutospacing="1" w:line="240" w:lineRule="auto"/>
                    <w:jc w:val="both"/>
                    <w:rPr>
                      <w:rFonts w:ascii="Arial" w:eastAsia="Times New Roman" w:hAnsi="Arial" w:cs="Arial"/>
                      <w:sz w:val="20"/>
                      <w:szCs w:val="20"/>
                    </w:rPr>
                  </w:pPr>
                  <w:r w:rsidRPr="00AC4554">
                    <w:rPr>
                      <w:rFonts w:ascii="Arial" w:eastAsia="Times New Roman" w:hAnsi="Arial" w:cs="Arial"/>
                      <w:sz w:val="20"/>
                      <w:szCs w:val="20"/>
                    </w:rPr>
                    <w:t xml:space="preserve">Understanding the intricacies of silkworm–host plant interactions is pivotal for advancing sustainable sericulture and improving silk productivity. This review comprehensively examines the behavioral, chemical, and molecular mechanisms governing host plant recognition and feeding in </w:t>
                  </w:r>
                  <w:r w:rsidRPr="00AC4554">
                    <w:rPr>
                      <w:rFonts w:ascii="Arial" w:eastAsia="Times New Roman" w:hAnsi="Arial" w:cs="Arial"/>
                      <w:i/>
                      <w:iCs/>
                      <w:sz w:val="20"/>
                      <w:szCs w:val="20"/>
                    </w:rPr>
                    <w:t>Bombyx mori</w:t>
                  </w:r>
                  <w:r w:rsidRPr="00AC4554">
                    <w:rPr>
                      <w:rFonts w:ascii="Arial" w:eastAsia="Times New Roman" w:hAnsi="Arial" w:cs="Arial"/>
                      <w:sz w:val="20"/>
                      <w:szCs w:val="20"/>
                    </w:rPr>
                    <w:t xml:space="preserve"> (monophagous) and </w:t>
                  </w:r>
                  <w:proofErr w:type="spellStart"/>
                  <w:r w:rsidRPr="00AC4554">
                    <w:rPr>
                      <w:rFonts w:ascii="Arial" w:eastAsia="Times New Roman" w:hAnsi="Arial" w:cs="Arial"/>
                      <w:i/>
                      <w:iCs/>
                      <w:sz w:val="20"/>
                      <w:szCs w:val="20"/>
                    </w:rPr>
                    <w:t>Antheraea</w:t>
                  </w:r>
                  <w:proofErr w:type="spellEnd"/>
                  <w:r w:rsidRPr="00AC4554">
                    <w:rPr>
                      <w:rFonts w:ascii="Arial" w:eastAsia="Times New Roman" w:hAnsi="Arial" w:cs="Arial"/>
                      <w:i/>
                      <w:iCs/>
                      <w:sz w:val="20"/>
                      <w:szCs w:val="20"/>
                    </w:rPr>
                    <w:t xml:space="preserve"> </w:t>
                  </w:r>
                  <w:proofErr w:type="spellStart"/>
                  <w:r w:rsidRPr="00AC4554">
                    <w:rPr>
                      <w:rFonts w:ascii="Arial" w:eastAsia="Times New Roman" w:hAnsi="Arial" w:cs="Arial"/>
                      <w:i/>
                      <w:iCs/>
                      <w:sz w:val="20"/>
                      <w:szCs w:val="20"/>
                    </w:rPr>
                    <w:t>assamensis</w:t>
                  </w:r>
                  <w:proofErr w:type="spellEnd"/>
                  <w:r w:rsidRPr="00AC4554">
                    <w:rPr>
                      <w:rFonts w:ascii="Arial" w:eastAsia="Times New Roman" w:hAnsi="Arial" w:cs="Arial"/>
                      <w:sz w:val="20"/>
                      <w:szCs w:val="20"/>
                    </w:rPr>
                    <w:t xml:space="preserve"> (polyphagous). We detail how silkworm larvae rely on a sophisticated two-step chemosensory process involving maxillary palp and galea, with specialized gustatory receptors responding to stimulants such as chlorogenic acid, β</w:t>
                  </w:r>
                  <w:bookmarkStart w:id="0" w:name="_GoBack"/>
                  <w:bookmarkEnd w:id="0"/>
                  <w:r w:rsidRPr="00AC4554">
                    <w:rPr>
                      <w:rFonts w:ascii="Arial" w:eastAsia="Times New Roman" w:hAnsi="Arial" w:cs="Arial"/>
                      <w:sz w:val="20"/>
                      <w:szCs w:val="20"/>
                    </w:rPr>
                    <w:t xml:space="preserve">-sitosterol, and sucrose. In </w:t>
                  </w:r>
                  <w:r w:rsidRPr="00AC4554">
                    <w:rPr>
                      <w:rFonts w:ascii="Arial" w:eastAsia="Times New Roman" w:hAnsi="Arial" w:cs="Arial"/>
                      <w:i/>
                      <w:iCs/>
                      <w:sz w:val="20"/>
                      <w:szCs w:val="20"/>
                    </w:rPr>
                    <w:t>B. mori</w:t>
                  </w:r>
                  <w:r w:rsidRPr="00AC4554">
                    <w:rPr>
                      <w:rFonts w:ascii="Arial" w:eastAsia="Times New Roman" w:hAnsi="Arial" w:cs="Arial"/>
                      <w:sz w:val="20"/>
                      <w:szCs w:val="20"/>
                    </w:rPr>
                    <w:t xml:space="preserve">, feeding is highly selective, driven by gustatory and olfactory receptor genes like </w:t>
                  </w:r>
                  <w:r w:rsidRPr="00AC4554">
                    <w:rPr>
                      <w:rFonts w:ascii="Arial" w:eastAsia="Times New Roman" w:hAnsi="Arial" w:cs="Arial"/>
                      <w:i/>
                      <w:iCs/>
                      <w:sz w:val="20"/>
                      <w:szCs w:val="20"/>
                    </w:rPr>
                    <w:t>Gr66</w:t>
                  </w:r>
                  <w:r w:rsidRPr="00AC4554">
                    <w:rPr>
                      <w:rFonts w:ascii="Arial" w:eastAsia="Times New Roman" w:hAnsi="Arial" w:cs="Arial"/>
                      <w:sz w:val="20"/>
                      <w:szCs w:val="20"/>
                    </w:rPr>
                    <w:t xml:space="preserve">, </w:t>
                  </w:r>
                  <w:r w:rsidRPr="00AC4554">
                    <w:rPr>
                      <w:rFonts w:ascii="Arial" w:eastAsia="Times New Roman" w:hAnsi="Arial" w:cs="Arial"/>
                      <w:i/>
                      <w:iCs/>
                      <w:sz w:val="20"/>
                      <w:szCs w:val="20"/>
                    </w:rPr>
                    <w:t>Gr6</w:t>
                  </w:r>
                  <w:r w:rsidRPr="00AC4554">
                    <w:rPr>
                      <w:rFonts w:ascii="Arial" w:eastAsia="Times New Roman" w:hAnsi="Arial" w:cs="Arial"/>
                      <w:sz w:val="20"/>
                      <w:szCs w:val="20"/>
                    </w:rPr>
                    <w:t xml:space="preserve">, and </w:t>
                  </w:r>
                  <w:r w:rsidRPr="00AC4554">
                    <w:rPr>
                      <w:rFonts w:ascii="Arial" w:eastAsia="Times New Roman" w:hAnsi="Arial" w:cs="Arial"/>
                      <w:i/>
                      <w:iCs/>
                      <w:sz w:val="20"/>
                      <w:szCs w:val="20"/>
                    </w:rPr>
                    <w:t>Gr9</w:t>
                  </w:r>
                  <w:r w:rsidRPr="00AC4554">
                    <w:rPr>
                      <w:rFonts w:ascii="Arial" w:eastAsia="Times New Roman" w:hAnsi="Arial" w:cs="Arial"/>
                      <w:sz w:val="20"/>
                      <w:szCs w:val="20"/>
                    </w:rPr>
                    <w:t xml:space="preserve">, which enforce mulberry specificity. Gene-editing studies reveal that these receptors act as molecular gatekeepers of host fidelity. Conversely, </w:t>
                  </w:r>
                  <w:r w:rsidRPr="00AC4554">
                    <w:rPr>
                      <w:rFonts w:ascii="Arial" w:eastAsia="Times New Roman" w:hAnsi="Arial" w:cs="Arial"/>
                      <w:i/>
                      <w:iCs/>
                      <w:sz w:val="20"/>
                      <w:szCs w:val="20"/>
                    </w:rPr>
                    <w:t xml:space="preserve">A. </w:t>
                  </w:r>
                  <w:proofErr w:type="spellStart"/>
                  <w:r w:rsidRPr="00AC4554">
                    <w:rPr>
                      <w:rFonts w:ascii="Arial" w:eastAsia="Times New Roman" w:hAnsi="Arial" w:cs="Arial"/>
                      <w:i/>
                      <w:iCs/>
                      <w:sz w:val="20"/>
                      <w:szCs w:val="20"/>
                    </w:rPr>
                    <w:t>assamensis</w:t>
                  </w:r>
                  <w:proofErr w:type="spellEnd"/>
                  <w:r w:rsidRPr="00AC4554">
                    <w:rPr>
                      <w:rFonts w:ascii="Arial" w:eastAsia="Times New Roman" w:hAnsi="Arial" w:cs="Arial"/>
                      <w:sz w:val="20"/>
                      <w:szCs w:val="20"/>
                    </w:rPr>
                    <w:t xml:space="preserve"> exhibits broader chemosensory plasticity, accepting a range of </w:t>
                  </w:r>
                  <w:proofErr w:type="spellStart"/>
                  <w:r w:rsidRPr="00AC4554">
                    <w:rPr>
                      <w:rFonts w:ascii="Arial" w:eastAsia="Times New Roman" w:hAnsi="Arial" w:cs="Arial"/>
                      <w:sz w:val="20"/>
                      <w:szCs w:val="20"/>
                    </w:rPr>
                    <w:t>Lauraceae</w:t>
                  </w:r>
                  <w:proofErr w:type="spellEnd"/>
                  <w:r w:rsidRPr="00AC4554">
                    <w:rPr>
                      <w:rFonts w:ascii="Arial" w:eastAsia="Times New Roman" w:hAnsi="Arial" w:cs="Arial"/>
                      <w:sz w:val="20"/>
                      <w:szCs w:val="20"/>
                    </w:rPr>
                    <w:t xml:space="preserve"> species due to a more diverse receptor repertoire and less stringent phytochemical thresholds. We also explore the role of phytochemicals in </w:t>
                  </w:r>
                  <w:proofErr w:type="spellStart"/>
                  <w:r w:rsidRPr="00AC4554">
                    <w:rPr>
                      <w:rFonts w:ascii="Arial" w:eastAsia="Times New Roman" w:hAnsi="Arial" w:cs="Arial"/>
                      <w:sz w:val="20"/>
                      <w:szCs w:val="20"/>
                    </w:rPr>
                    <w:t>muga</w:t>
                  </w:r>
                  <w:proofErr w:type="spellEnd"/>
                  <w:r w:rsidRPr="00AC4554">
                    <w:rPr>
                      <w:rFonts w:ascii="Arial" w:eastAsia="Times New Roman" w:hAnsi="Arial" w:cs="Arial"/>
                      <w:sz w:val="20"/>
                      <w:szCs w:val="20"/>
                    </w:rPr>
                    <w:t xml:space="preserve"> host plants such as </w:t>
                  </w:r>
                  <w:proofErr w:type="spellStart"/>
                  <w:r w:rsidRPr="00AC4554">
                    <w:rPr>
                      <w:rFonts w:ascii="Arial" w:eastAsia="Times New Roman" w:hAnsi="Arial" w:cs="Arial"/>
                      <w:i/>
                      <w:iCs/>
                      <w:sz w:val="20"/>
                      <w:szCs w:val="20"/>
                    </w:rPr>
                    <w:t>Persea</w:t>
                  </w:r>
                  <w:proofErr w:type="spellEnd"/>
                  <w:r w:rsidRPr="00AC4554">
                    <w:rPr>
                      <w:rFonts w:ascii="Arial" w:eastAsia="Times New Roman" w:hAnsi="Arial" w:cs="Arial"/>
                      <w:i/>
                      <w:iCs/>
                      <w:sz w:val="20"/>
                      <w:szCs w:val="20"/>
                    </w:rPr>
                    <w:t xml:space="preserve"> </w:t>
                  </w:r>
                  <w:proofErr w:type="spellStart"/>
                  <w:r w:rsidRPr="00AC4554">
                    <w:rPr>
                      <w:rFonts w:ascii="Arial" w:eastAsia="Times New Roman" w:hAnsi="Arial" w:cs="Arial"/>
                      <w:i/>
                      <w:iCs/>
                      <w:sz w:val="20"/>
                      <w:szCs w:val="20"/>
                    </w:rPr>
                    <w:t>bombycina</w:t>
                  </w:r>
                  <w:proofErr w:type="spellEnd"/>
                  <w:r w:rsidRPr="00AC4554">
                    <w:rPr>
                      <w:rFonts w:ascii="Arial" w:eastAsia="Times New Roman" w:hAnsi="Arial" w:cs="Arial"/>
                      <w:sz w:val="20"/>
                      <w:szCs w:val="20"/>
                    </w:rPr>
                    <w:t xml:space="preserve">, and highlight the need for functional genomics studies to decode the sensory basis of </w:t>
                  </w:r>
                  <w:proofErr w:type="spellStart"/>
                  <w:r w:rsidRPr="00AC4554">
                    <w:rPr>
                      <w:rFonts w:ascii="Arial" w:eastAsia="Times New Roman" w:hAnsi="Arial" w:cs="Arial"/>
                      <w:sz w:val="20"/>
                      <w:szCs w:val="20"/>
                    </w:rPr>
                    <w:t>polyphagy</w:t>
                  </w:r>
                  <w:proofErr w:type="spellEnd"/>
                  <w:r w:rsidRPr="00AC4554">
                    <w:rPr>
                      <w:rFonts w:ascii="Arial" w:eastAsia="Times New Roman" w:hAnsi="Arial" w:cs="Arial"/>
                      <w:sz w:val="20"/>
                      <w:szCs w:val="20"/>
                    </w:rPr>
                    <w:t xml:space="preserve"> in non-mulberry silkworms. Insights from this review offer new avenues for artificial diet development, genetic improvement of silkworm strains, and sericultural resource optimization. Furthermore, comparative findings between </w:t>
                  </w:r>
                  <w:proofErr w:type="spellStart"/>
                  <w:r w:rsidRPr="00AC4554">
                    <w:rPr>
                      <w:rFonts w:ascii="Arial" w:eastAsia="Times New Roman" w:hAnsi="Arial" w:cs="Arial"/>
                      <w:sz w:val="20"/>
                      <w:szCs w:val="20"/>
                    </w:rPr>
                    <w:t>monophagy</w:t>
                  </w:r>
                  <w:proofErr w:type="spellEnd"/>
                  <w:r w:rsidRPr="00AC4554">
                    <w:rPr>
                      <w:rFonts w:ascii="Arial" w:eastAsia="Times New Roman" w:hAnsi="Arial" w:cs="Arial"/>
                      <w:sz w:val="20"/>
                      <w:szCs w:val="20"/>
                    </w:rPr>
                    <w:t xml:space="preserve"> and </w:t>
                  </w:r>
                  <w:proofErr w:type="spellStart"/>
                  <w:r w:rsidRPr="00AC4554">
                    <w:rPr>
                      <w:rFonts w:ascii="Arial" w:eastAsia="Times New Roman" w:hAnsi="Arial" w:cs="Arial"/>
                      <w:sz w:val="20"/>
                      <w:szCs w:val="20"/>
                    </w:rPr>
                    <w:t>polyphagy</w:t>
                  </w:r>
                  <w:proofErr w:type="spellEnd"/>
                  <w:r w:rsidRPr="00AC4554">
                    <w:rPr>
                      <w:rFonts w:ascii="Arial" w:eastAsia="Times New Roman" w:hAnsi="Arial" w:cs="Arial"/>
                      <w:sz w:val="20"/>
                      <w:szCs w:val="20"/>
                    </w:rPr>
                    <w:t xml:space="preserve"> contribute to our broader understanding of insect–plant co-evolution and sensory ecology.</w:t>
                  </w:r>
                </w:p>
                <w:p w14:paraId="4750EE8C" w14:textId="77777777" w:rsidR="00974BAD" w:rsidRDefault="00974BAD"/>
              </w:txbxContent>
            </v:textbox>
          </v:shape>
        </w:pict>
      </w:r>
      <w:r w:rsidR="00AC4554" w:rsidRPr="00AC4554">
        <w:rPr>
          <w:rFonts w:ascii="Arial" w:eastAsia="Times New Roman" w:hAnsi="Arial" w:cs="Arial"/>
          <w:b/>
          <w:bCs/>
        </w:rPr>
        <w:t>ABSTRACT</w:t>
      </w:r>
    </w:p>
    <w:p w14:paraId="1C90A82B" w14:textId="77777777" w:rsidR="00AC4554" w:rsidRDefault="00AC4554" w:rsidP="00CE68F4">
      <w:pPr>
        <w:spacing w:before="100" w:beforeAutospacing="1" w:after="100" w:afterAutospacing="1" w:line="240" w:lineRule="auto"/>
        <w:rPr>
          <w:rFonts w:ascii="Arial" w:eastAsia="Times New Roman" w:hAnsi="Arial" w:cs="Arial"/>
          <w:b/>
          <w:bCs/>
        </w:rPr>
      </w:pPr>
    </w:p>
    <w:p w14:paraId="74904645" w14:textId="77777777" w:rsidR="00AC4554" w:rsidRDefault="00AC4554" w:rsidP="00CE68F4">
      <w:pPr>
        <w:spacing w:before="100" w:beforeAutospacing="1" w:after="100" w:afterAutospacing="1" w:line="240" w:lineRule="auto"/>
        <w:rPr>
          <w:rFonts w:ascii="Arial" w:eastAsia="Times New Roman" w:hAnsi="Arial" w:cs="Arial"/>
          <w:b/>
          <w:bCs/>
        </w:rPr>
      </w:pPr>
    </w:p>
    <w:p w14:paraId="5DE4BE4D" w14:textId="77777777" w:rsidR="00AC4554" w:rsidRDefault="00AC4554" w:rsidP="00CE68F4">
      <w:pPr>
        <w:spacing w:before="100" w:beforeAutospacing="1" w:after="100" w:afterAutospacing="1" w:line="240" w:lineRule="auto"/>
        <w:rPr>
          <w:rFonts w:ascii="Arial" w:eastAsia="Times New Roman" w:hAnsi="Arial" w:cs="Arial"/>
          <w:b/>
          <w:bCs/>
        </w:rPr>
      </w:pPr>
    </w:p>
    <w:p w14:paraId="2B6565EB" w14:textId="77777777" w:rsidR="00AC4554" w:rsidRDefault="00AC4554" w:rsidP="00CE68F4">
      <w:pPr>
        <w:spacing w:before="100" w:beforeAutospacing="1" w:after="100" w:afterAutospacing="1" w:line="240" w:lineRule="auto"/>
        <w:rPr>
          <w:rFonts w:ascii="Arial" w:eastAsia="Times New Roman" w:hAnsi="Arial" w:cs="Arial"/>
          <w:b/>
          <w:bCs/>
        </w:rPr>
      </w:pPr>
    </w:p>
    <w:p w14:paraId="6C03A8F5" w14:textId="77777777" w:rsidR="00AC4554" w:rsidRDefault="00AC4554" w:rsidP="00CE68F4">
      <w:pPr>
        <w:spacing w:before="100" w:beforeAutospacing="1" w:after="100" w:afterAutospacing="1" w:line="240" w:lineRule="auto"/>
        <w:rPr>
          <w:rFonts w:ascii="Arial" w:eastAsia="Times New Roman" w:hAnsi="Arial" w:cs="Arial"/>
          <w:b/>
          <w:bCs/>
        </w:rPr>
      </w:pPr>
    </w:p>
    <w:p w14:paraId="6375AEDF" w14:textId="77777777" w:rsidR="00AC4554" w:rsidRPr="00AC4554" w:rsidRDefault="00AC4554" w:rsidP="00CE68F4">
      <w:pPr>
        <w:spacing w:before="100" w:beforeAutospacing="1" w:after="100" w:afterAutospacing="1" w:line="240" w:lineRule="auto"/>
        <w:rPr>
          <w:rFonts w:ascii="Arial" w:eastAsia="Times New Roman" w:hAnsi="Arial" w:cs="Arial"/>
        </w:rPr>
      </w:pPr>
    </w:p>
    <w:p w14:paraId="34C28232" w14:textId="77777777" w:rsidR="00AC4554" w:rsidRDefault="00AC4554" w:rsidP="00CE68F4">
      <w:pPr>
        <w:spacing w:before="100" w:beforeAutospacing="1" w:after="100" w:afterAutospacing="1" w:line="240" w:lineRule="auto"/>
        <w:jc w:val="both"/>
        <w:rPr>
          <w:rFonts w:ascii="Times New Roman" w:eastAsia="Times New Roman" w:hAnsi="Times New Roman" w:cs="Times New Roman"/>
          <w:sz w:val="24"/>
          <w:szCs w:val="24"/>
        </w:rPr>
      </w:pPr>
    </w:p>
    <w:p w14:paraId="25098232" w14:textId="77777777" w:rsidR="00AC4554" w:rsidRPr="00CE68F4" w:rsidRDefault="00AC4554" w:rsidP="00CE68F4">
      <w:pPr>
        <w:spacing w:before="100" w:beforeAutospacing="1" w:after="100" w:afterAutospacing="1" w:line="240" w:lineRule="auto"/>
        <w:jc w:val="both"/>
        <w:rPr>
          <w:rFonts w:ascii="Times New Roman" w:eastAsia="Times New Roman" w:hAnsi="Times New Roman" w:cs="Times New Roman"/>
          <w:sz w:val="24"/>
          <w:szCs w:val="24"/>
        </w:rPr>
      </w:pPr>
    </w:p>
    <w:p w14:paraId="78D47D52" w14:textId="77777777" w:rsidR="00CE68F4" w:rsidRPr="00AC4554" w:rsidRDefault="00CE68F4" w:rsidP="00AC4554">
      <w:pPr>
        <w:spacing w:before="100" w:beforeAutospacing="1" w:after="100" w:afterAutospacing="1" w:line="240" w:lineRule="auto"/>
        <w:jc w:val="both"/>
        <w:rPr>
          <w:rStyle w:val="Strong"/>
          <w:rFonts w:ascii="Arial" w:eastAsia="Times New Roman" w:hAnsi="Arial" w:cs="Arial"/>
          <w:b w:val="0"/>
          <w:bCs w:val="0"/>
          <w:i/>
          <w:sz w:val="20"/>
          <w:szCs w:val="20"/>
        </w:rPr>
      </w:pPr>
      <w:r w:rsidRPr="00AC4554">
        <w:rPr>
          <w:rFonts w:ascii="Arial" w:eastAsia="Times New Roman" w:hAnsi="Arial" w:cs="Arial"/>
          <w:bCs/>
          <w:i/>
          <w:sz w:val="20"/>
          <w:szCs w:val="20"/>
        </w:rPr>
        <w:t>Keywords:</w:t>
      </w:r>
      <w:r w:rsidRPr="00AC4554">
        <w:rPr>
          <w:rFonts w:ascii="Arial" w:eastAsia="Times New Roman" w:hAnsi="Arial" w:cs="Arial"/>
          <w:i/>
          <w:sz w:val="20"/>
          <w:szCs w:val="20"/>
        </w:rPr>
        <w:t xml:space="preserve"> Silkworm–host plant interaction, </w:t>
      </w:r>
      <w:r w:rsidRPr="00AC4554">
        <w:rPr>
          <w:rFonts w:ascii="Arial" w:eastAsia="Times New Roman" w:hAnsi="Arial" w:cs="Arial"/>
          <w:i/>
          <w:iCs/>
          <w:sz w:val="20"/>
          <w:szCs w:val="20"/>
        </w:rPr>
        <w:t>Bombyx mori</w:t>
      </w:r>
      <w:r w:rsidRPr="00AC4554">
        <w:rPr>
          <w:rFonts w:ascii="Arial" w:eastAsia="Times New Roman" w:hAnsi="Arial" w:cs="Arial"/>
          <w:i/>
          <w:sz w:val="20"/>
          <w:szCs w:val="20"/>
        </w:rPr>
        <w:t xml:space="preserve">, </w:t>
      </w:r>
      <w:proofErr w:type="spellStart"/>
      <w:r w:rsidRPr="00AC4554">
        <w:rPr>
          <w:rFonts w:ascii="Arial" w:eastAsia="Times New Roman" w:hAnsi="Arial" w:cs="Arial"/>
          <w:i/>
          <w:iCs/>
          <w:sz w:val="20"/>
          <w:szCs w:val="20"/>
        </w:rPr>
        <w:t>Antheraea</w:t>
      </w:r>
      <w:proofErr w:type="spellEnd"/>
      <w:r w:rsidRPr="00AC4554">
        <w:rPr>
          <w:rFonts w:ascii="Arial" w:eastAsia="Times New Roman" w:hAnsi="Arial" w:cs="Arial"/>
          <w:i/>
          <w:iCs/>
          <w:sz w:val="20"/>
          <w:szCs w:val="20"/>
        </w:rPr>
        <w:t xml:space="preserve"> </w:t>
      </w:r>
      <w:proofErr w:type="spellStart"/>
      <w:r w:rsidRPr="00AC4554">
        <w:rPr>
          <w:rFonts w:ascii="Arial" w:eastAsia="Times New Roman" w:hAnsi="Arial" w:cs="Arial"/>
          <w:i/>
          <w:iCs/>
          <w:sz w:val="20"/>
          <w:szCs w:val="20"/>
        </w:rPr>
        <w:t>assamensis</w:t>
      </w:r>
      <w:proofErr w:type="spellEnd"/>
      <w:r w:rsidRPr="00AC4554">
        <w:rPr>
          <w:rFonts w:ascii="Arial" w:eastAsia="Times New Roman" w:hAnsi="Arial" w:cs="Arial"/>
          <w:i/>
          <w:sz w:val="20"/>
          <w:szCs w:val="20"/>
        </w:rPr>
        <w:t xml:space="preserve">, chemosensory receptors, host specificity, </w:t>
      </w:r>
      <w:proofErr w:type="spellStart"/>
      <w:r w:rsidRPr="00AC4554">
        <w:rPr>
          <w:rFonts w:ascii="Arial" w:eastAsia="Times New Roman" w:hAnsi="Arial" w:cs="Arial"/>
          <w:i/>
          <w:sz w:val="20"/>
          <w:szCs w:val="20"/>
        </w:rPr>
        <w:t>monophagy</w:t>
      </w:r>
      <w:proofErr w:type="spellEnd"/>
      <w:r w:rsidRPr="00AC4554">
        <w:rPr>
          <w:rFonts w:ascii="Arial" w:eastAsia="Times New Roman" w:hAnsi="Arial" w:cs="Arial"/>
          <w:i/>
          <w:sz w:val="20"/>
          <w:szCs w:val="20"/>
        </w:rPr>
        <w:t xml:space="preserve">, </w:t>
      </w:r>
      <w:proofErr w:type="spellStart"/>
      <w:r w:rsidRPr="00AC4554">
        <w:rPr>
          <w:rFonts w:ascii="Arial" w:eastAsia="Times New Roman" w:hAnsi="Arial" w:cs="Arial"/>
          <w:i/>
          <w:sz w:val="20"/>
          <w:szCs w:val="20"/>
        </w:rPr>
        <w:t>polyphagy</w:t>
      </w:r>
      <w:proofErr w:type="spellEnd"/>
      <w:r w:rsidRPr="00AC4554">
        <w:rPr>
          <w:rFonts w:ascii="Arial" w:eastAsia="Times New Roman" w:hAnsi="Arial" w:cs="Arial"/>
          <w:i/>
          <w:sz w:val="20"/>
          <w:szCs w:val="20"/>
        </w:rPr>
        <w:t>, gustatory genes</w:t>
      </w:r>
      <w:r w:rsidR="00AC4554" w:rsidRPr="00AC4554">
        <w:rPr>
          <w:rFonts w:ascii="Arial" w:eastAsia="Times New Roman" w:hAnsi="Arial" w:cs="Arial"/>
          <w:i/>
          <w:sz w:val="20"/>
          <w:szCs w:val="20"/>
        </w:rPr>
        <w:t>, molecular feeding mechanisms</w:t>
      </w:r>
    </w:p>
    <w:p w14:paraId="0AD8A5BC" w14:textId="77777777" w:rsidR="00C87D55" w:rsidRPr="00AC4554" w:rsidRDefault="00DD7E90" w:rsidP="00AC4554">
      <w:pPr>
        <w:pStyle w:val="Heading2"/>
        <w:numPr>
          <w:ilvl w:val="0"/>
          <w:numId w:val="3"/>
        </w:numPr>
        <w:ind w:left="284" w:hanging="284"/>
        <w:rPr>
          <w:rFonts w:ascii="Arial" w:hAnsi="Arial" w:cs="Arial"/>
          <w:sz w:val="22"/>
          <w:szCs w:val="22"/>
        </w:rPr>
      </w:pPr>
      <w:r w:rsidRPr="00AC4554">
        <w:rPr>
          <w:rStyle w:val="Strong"/>
          <w:rFonts w:ascii="Arial" w:hAnsi="Arial" w:cs="Arial"/>
          <w:b/>
          <w:bCs/>
          <w:sz w:val="22"/>
          <w:szCs w:val="22"/>
        </w:rPr>
        <w:t>INTRODUCTION</w:t>
      </w:r>
    </w:p>
    <w:p w14:paraId="345AC2FD" w14:textId="77777777" w:rsidR="006A34B3" w:rsidRPr="00205602" w:rsidRDefault="006A34B3" w:rsidP="006A34B3">
      <w:pPr>
        <w:pStyle w:val="NormalWeb"/>
        <w:jc w:val="both"/>
        <w:rPr>
          <w:rFonts w:ascii="Arial" w:hAnsi="Arial" w:cs="Arial"/>
          <w:sz w:val="20"/>
        </w:rPr>
      </w:pPr>
      <w:r w:rsidRPr="00205602">
        <w:rPr>
          <w:rFonts w:ascii="Arial" w:hAnsi="Arial" w:cs="Arial"/>
          <w:sz w:val="20"/>
        </w:rPr>
        <w:t xml:space="preserve">Sericulture is a traditional </w:t>
      </w:r>
      <w:proofErr w:type="spellStart"/>
      <w:r w:rsidRPr="00205602">
        <w:rPr>
          <w:rFonts w:ascii="Arial" w:hAnsi="Arial" w:cs="Arial"/>
          <w:sz w:val="20"/>
        </w:rPr>
        <w:t>agro</w:t>
      </w:r>
      <w:proofErr w:type="spellEnd"/>
      <w:r w:rsidRPr="00205602">
        <w:rPr>
          <w:rFonts w:ascii="Arial" w:hAnsi="Arial" w:cs="Arial"/>
          <w:sz w:val="20"/>
        </w:rPr>
        <w:t>-based industry that integrates the cultivation of host plants, rearing of silkworms, and the processing of cocoons through reeling and spinning to produce high-quality silk yarn. It is widely recognized for its sustainability, labor-intensive nature, and socio-economic importance, particularly in developing nations such as India and China. With its potential to generate quick financial returns within a short span, sericulture has become an increasingly vital source of income for rural and semi-urban populations. The industry is broadly classified into two main sectors based on the feeding behavior and host plant specificity of silkworms: mulberry and non-mulberry sericulture (</w:t>
      </w:r>
      <w:r w:rsidRPr="005E2B5C">
        <w:rPr>
          <w:rFonts w:ascii="Arial" w:hAnsi="Arial" w:cs="Arial"/>
          <w:sz w:val="20"/>
        </w:rPr>
        <w:t xml:space="preserve">Padaki </w:t>
      </w:r>
      <w:r w:rsidRPr="005E2B5C">
        <w:rPr>
          <w:rFonts w:ascii="Arial" w:hAnsi="Arial" w:cs="Arial"/>
          <w:i/>
          <w:sz w:val="20"/>
        </w:rPr>
        <w:t>et al.,</w:t>
      </w:r>
      <w:r w:rsidRPr="005E2B5C">
        <w:rPr>
          <w:rFonts w:ascii="Arial" w:hAnsi="Arial" w:cs="Arial"/>
          <w:sz w:val="20"/>
        </w:rPr>
        <w:t xml:space="preserve"> 2014; Das </w:t>
      </w:r>
      <w:r w:rsidRPr="005E2B5C">
        <w:rPr>
          <w:rFonts w:ascii="Arial" w:hAnsi="Arial" w:cs="Arial"/>
          <w:i/>
          <w:sz w:val="20"/>
        </w:rPr>
        <w:t>et al.,</w:t>
      </w:r>
      <w:r w:rsidRPr="005E2B5C">
        <w:rPr>
          <w:rFonts w:ascii="Arial" w:hAnsi="Arial" w:cs="Arial"/>
          <w:sz w:val="20"/>
        </w:rPr>
        <w:t xml:space="preserve"> 2020</w:t>
      </w:r>
      <w:r w:rsidRPr="00205602">
        <w:rPr>
          <w:rFonts w:ascii="Arial" w:hAnsi="Arial" w:cs="Arial"/>
          <w:sz w:val="20"/>
        </w:rPr>
        <w:t xml:space="preserve">). The mulberry sector primarily involves the rearing of the domesticated silkworm </w:t>
      </w:r>
      <w:r w:rsidRPr="00205602">
        <w:rPr>
          <w:rStyle w:val="Emphasis"/>
          <w:rFonts w:ascii="Arial" w:hAnsi="Arial" w:cs="Arial"/>
          <w:sz w:val="20"/>
        </w:rPr>
        <w:t>Bombyx mori</w:t>
      </w:r>
      <w:r w:rsidRPr="00205602">
        <w:rPr>
          <w:rFonts w:ascii="Arial" w:hAnsi="Arial" w:cs="Arial"/>
          <w:sz w:val="20"/>
        </w:rPr>
        <w:t xml:space="preserve"> L. for producing fine, commercial-grade silk. In contrast, the non-mulberry sector includes the rearing of wild silkworms, or "</w:t>
      </w:r>
      <w:proofErr w:type="spellStart"/>
      <w:r w:rsidRPr="00205602">
        <w:rPr>
          <w:rFonts w:ascii="Arial" w:hAnsi="Arial" w:cs="Arial"/>
          <w:sz w:val="20"/>
        </w:rPr>
        <w:t>vanya</w:t>
      </w:r>
      <w:proofErr w:type="spellEnd"/>
      <w:r w:rsidRPr="00205602">
        <w:rPr>
          <w:rFonts w:ascii="Arial" w:hAnsi="Arial" w:cs="Arial"/>
          <w:sz w:val="20"/>
        </w:rPr>
        <w:t xml:space="preserve">" silks, such as </w:t>
      </w:r>
      <w:proofErr w:type="spellStart"/>
      <w:r w:rsidRPr="00205602">
        <w:rPr>
          <w:rFonts w:ascii="Arial" w:hAnsi="Arial" w:cs="Arial"/>
          <w:sz w:val="20"/>
        </w:rPr>
        <w:t>muga</w:t>
      </w:r>
      <w:proofErr w:type="spellEnd"/>
      <w:r w:rsidRPr="00205602">
        <w:rPr>
          <w:rFonts w:ascii="Arial" w:hAnsi="Arial" w:cs="Arial"/>
          <w:sz w:val="20"/>
        </w:rPr>
        <w:t xml:space="preserve"> (</w:t>
      </w:r>
      <w:proofErr w:type="spellStart"/>
      <w:r w:rsidRPr="00205602">
        <w:rPr>
          <w:rStyle w:val="Emphasis"/>
          <w:rFonts w:ascii="Arial" w:hAnsi="Arial" w:cs="Arial"/>
          <w:sz w:val="20"/>
        </w:rPr>
        <w:t>Antheraea</w:t>
      </w:r>
      <w:proofErr w:type="spellEnd"/>
      <w:r w:rsidRPr="00205602">
        <w:rPr>
          <w:rStyle w:val="Emphasis"/>
          <w:rFonts w:ascii="Arial" w:hAnsi="Arial" w:cs="Arial"/>
          <w:sz w:val="20"/>
        </w:rPr>
        <w:t xml:space="preserve"> </w:t>
      </w:r>
      <w:proofErr w:type="spellStart"/>
      <w:r w:rsidRPr="00205602">
        <w:rPr>
          <w:rStyle w:val="Emphasis"/>
          <w:rFonts w:ascii="Arial" w:hAnsi="Arial" w:cs="Arial"/>
          <w:sz w:val="20"/>
        </w:rPr>
        <w:t>assamensis</w:t>
      </w:r>
      <w:proofErr w:type="spellEnd"/>
      <w:r w:rsidRPr="00205602">
        <w:rPr>
          <w:rFonts w:ascii="Arial" w:hAnsi="Arial" w:cs="Arial"/>
          <w:sz w:val="20"/>
        </w:rPr>
        <w:t xml:space="preserve">), </w:t>
      </w:r>
      <w:proofErr w:type="spellStart"/>
      <w:r w:rsidRPr="00205602">
        <w:rPr>
          <w:rFonts w:ascii="Arial" w:hAnsi="Arial" w:cs="Arial"/>
          <w:sz w:val="20"/>
        </w:rPr>
        <w:t>eri</w:t>
      </w:r>
      <w:proofErr w:type="spellEnd"/>
      <w:r w:rsidRPr="00205602">
        <w:rPr>
          <w:rFonts w:ascii="Arial" w:hAnsi="Arial" w:cs="Arial"/>
          <w:sz w:val="20"/>
        </w:rPr>
        <w:t xml:space="preserve"> (</w:t>
      </w:r>
      <w:proofErr w:type="spellStart"/>
      <w:r w:rsidRPr="00205602">
        <w:rPr>
          <w:rStyle w:val="Emphasis"/>
          <w:rFonts w:ascii="Arial" w:hAnsi="Arial" w:cs="Arial"/>
          <w:sz w:val="20"/>
        </w:rPr>
        <w:t>Samia</w:t>
      </w:r>
      <w:proofErr w:type="spellEnd"/>
      <w:r w:rsidRPr="00205602">
        <w:rPr>
          <w:rStyle w:val="Emphasis"/>
          <w:rFonts w:ascii="Arial" w:hAnsi="Arial" w:cs="Arial"/>
          <w:sz w:val="20"/>
        </w:rPr>
        <w:t xml:space="preserve"> </w:t>
      </w:r>
      <w:proofErr w:type="spellStart"/>
      <w:r w:rsidRPr="00205602">
        <w:rPr>
          <w:rStyle w:val="Emphasis"/>
          <w:rFonts w:ascii="Arial" w:hAnsi="Arial" w:cs="Arial"/>
          <w:sz w:val="20"/>
        </w:rPr>
        <w:t>ricini</w:t>
      </w:r>
      <w:proofErr w:type="spellEnd"/>
      <w:r w:rsidRPr="00205602">
        <w:rPr>
          <w:rFonts w:ascii="Arial" w:hAnsi="Arial" w:cs="Arial"/>
          <w:sz w:val="20"/>
        </w:rPr>
        <w:t xml:space="preserve">), tropical </w:t>
      </w:r>
      <w:proofErr w:type="spellStart"/>
      <w:r w:rsidRPr="00205602">
        <w:rPr>
          <w:rFonts w:ascii="Arial" w:hAnsi="Arial" w:cs="Arial"/>
          <w:sz w:val="20"/>
        </w:rPr>
        <w:t>tasar</w:t>
      </w:r>
      <w:proofErr w:type="spellEnd"/>
      <w:r w:rsidRPr="00205602">
        <w:rPr>
          <w:rFonts w:ascii="Arial" w:hAnsi="Arial" w:cs="Arial"/>
          <w:sz w:val="20"/>
        </w:rPr>
        <w:t xml:space="preserve"> (</w:t>
      </w:r>
      <w:proofErr w:type="spellStart"/>
      <w:r w:rsidRPr="00205602">
        <w:rPr>
          <w:rStyle w:val="Emphasis"/>
          <w:rFonts w:ascii="Arial" w:hAnsi="Arial" w:cs="Arial"/>
          <w:sz w:val="20"/>
        </w:rPr>
        <w:t>Antheraea</w:t>
      </w:r>
      <w:proofErr w:type="spellEnd"/>
      <w:r w:rsidRPr="00205602">
        <w:rPr>
          <w:rStyle w:val="Emphasis"/>
          <w:rFonts w:ascii="Arial" w:hAnsi="Arial" w:cs="Arial"/>
          <w:sz w:val="20"/>
        </w:rPr>
        <w:t xml:space="preserve"> </w:t>
      </w:r>
      <w:proofErr w:type="spellStart"/>
      <w:r w:rsidRPr="00205602">
        <w:rPr>
          <w:rStyle w:val="Emphasis"/>
          <w:rFonts w:ascii="Arial" w:hAnsi="Arial" w:cs="Arial"/>
          <w:sz w:val="20"/>
        </w:rPr>
        <w:t>mylitta</w:t>
      </w:r>
      <w:proofErr w:type="spellEnd"/>
      <w:r w:rsidRPr="00205602">
        <w:rPr>
          <w:rFonts w:ascii="Arial" w:hAnsi="Arial" w:cs="Arial"/>
          <w:sz w:val="20"/>
        </w:rPr>
        <w:t xml:space="preserve">), and temperate </w:t>
      </w:r>
      <w:proofErr w:type="spellStart"/>
      <w:r w:rsidRPr="00205602">
        <w:rPr>
          <w:rFonts w:ascii="Arial" w:hAnsi="Arial" w:cs="Arial"/>
          <w:sz w:val="20"/>
        </w:rPr>
        <w:t>tasar</w:t>
      </w:r>
      <w:proofErr w:type="spellEnd"/>
      <w:r w:rsidRPr="00205602">
        <w:rPr>
          <w:rFonts w:ascii="Arial" w:hAnsi="Arial" w:cs="Arial"/>
          <w:sz w:val="20"/>
        </w:rPr>
        <w:t xml:space="preserve"> (</w:t>
      </w:r>
      <w:proofErr w:type="spellStart"/>
      <w:r w:rsidRPr="00205602">
        <w:rPr>
          <w:rStyle w:val="Emphasis"/>
          <w:rFonts w:ascii="Arial" w:hAnsi="Arial" w:cs="Arial"/>
          <w:sz w:val="20"/>
        </w:rPr>
        <w:t>Antheraea</w:t>
      </w:r>
      <w:proofErr w:type="spellEnd"/>
      <w:r w:rsidRPr="00205602">
        <w:rPr>
          <w:rStyle w:val="Emphasis"/>
          <w:rFonts w:ascii="Arial" w:hAnsi="Arial" w:cs="Arial"/>
          <w:sz w:val="20"/>
        </w:rPr>
        <w:t xml:space="preserve"> </w:t>
      </w:r>
      <w:proofErr w:type="spellStart"/>
      <w:r w:rsidRPr="00205602">
        <w:rPr>
          <w:rStyle w:val="Emphasis"/>
          <w:rFonts w:ascii="Arial" w:hAnsi="Arial" w:cs="Arial"/>
          <w:sz w:val="20"/>
        </w:rPr>
        <w:t>proylei</w:t>
      </w:r>
      <w:proofErr w:type="spellEnd"/>
      <w:r w:rsidR="00205602" w:rsidRPr="00205602">
        <w:rPr>
          <w:rFonts w:ascii="Arial" w:hAnsi="Arial" w:cs="Arial"/>
          <w:sz w:val="20"/>
        </w:rPr>
        <w:t>) (</w:t>
      </w:r>
      <w:proofErr w:type="spellStart"/>
      <w:r w:rsidR="00205602" w:rsidRPr="005E2B5C">
        <w:rPr>
          <w:rFonts w:ascii="Arial" w:hAnsi="Arial" w:cs="Arial"/>
          <w:sz w:val="20"/>
        </w:rPr>
        <w:t>Saikia</w:t>
      </w:r>
      <w:proofErr w:type="spellEnd"/>
      <w:r w:rsidR="00205602" w:rsidRPr="005E2B5C">
        <w:rPr>
          <w:rFonts w:ascii="Arial" w:hAnsi="Arial" w:cs="Arial"/>
          <w:sz w:val="20"/>
        </w:rPr>
        <w:t xml:space="preserve"> &amp;</w:t>
      </w:r>
      <w:r w:rsidRPr="005E2B5C">
        <w:rPr>
          <w:rFonts w:ascii="Arial" w:hAnsi="Arial" w:cs="Arial"/>
          <w:sz w:val="20"/>
        </w:rPr>
        <w:t xml:space="preserve"> Saikia, 2022</w:t>
      </w:r>
      <w:r w:rsidRPr="00205602">
        <w:rPr>
          <w:rFonts w:ascii="Arial" w:hAnsi="Arial" w:cs="Arial"/>
          <w:sz w:val="20"/>
        </w:rPr>
        <w:t>).</w:t>
      </w:r>
    </w:p>
    <w:p w14:paraId="18F72566" w14:textId="77777777" w:rsidR="006A34B3" w:rsidRPr="00205602" w:rsidRDefault="006A34B3" w:rsidP="005E2B5C">
      <w:pPr>
        <w:pStyle w:val="NormalWeb"/>
        <w:jc w:val="both"/>
        <w:rPr>
          <w:rFonts w:ascii="Arial" w:hAnsi="Arial" w:cs="Arial"/>
          <w:sz w:val="20"/>
        </w:rPr>
      </w:pPr>
      <w:r w:rsidRPr="00205602">
        <w:rPr>
          <w:rFonts w:ascii="Arial" w:hAnsi="Arial" w:cs="Arial"/>
          <w:sz w:val="20"/>
        </w:rPr>
        <w:t>The diversity of sericulture systems is closely tied to the feeding behavior of silkworms, which, in turn, reflects a broader pattern observed across insect taxa. Insects constitute the most diverse and numerous animal groups on Earth, representing nearly 50–70% of all described species (</w:t>
      </w:r>
      <w:proofErr w:type="spellStart"/>
      <w:r w:rsidRPr="005E2B5C">
        <w:rPr>
          <w:rFonts w:ascii="Arial" w:hAnsi="Arial" w:cs="Arial"/>
          <w:sz w:val="20"/>
        </w:rPr>
        <w:t>Caers</w:t>
      </w:r>
      <w:proofErr w:type="spellEnd"/>
      <w:r w:rsidRPr="005E2B5C">
        <w:rPr>
          <w:rFonts w:ascii="Arial" w:hAnsi="Arial" w:cs="Arial"/>
          <w:sz w:val="20"/>
        </w:rPr>
        <w:t xml:space="preserve"> </w:t>
      </w:r>
      <w:r w:rsidRPr="005E2B5C">
        <w:rPr>
          <w:rFonts w:ascii="Arial" w:hAnsi="Arial" w:cs="Arial"/>
          <w:i/>
          <w:sz w:val="20"/>
        </w:rPr>
        <w:t>et al.,</w:t>
      </w:r>
      <w:r w:rsidRPr="005E2B5C">
        <w:rPr>
          <w:rFonts w:ascii="Arial" w:hAnsi="Arial" w:cs="Arial"/>
          <w:sz w:val="20"/>
        </w:rPr>
        <w:t xml:space="preserve"> 2012; Belles, </w:t>
      </w:r>
      <w:r w:rsidRPr="005E2B5C">
        <w:rPr>
          <w:rFonts w:ascii="Arial" w:hAnsi="Arial" w:cs="Arial"/>
          <w:sz w:val="20"/>
        </w:rPr>
        <w:lastRenderedPageBreak/>
        <w:t>2010</w:t>
      </w:r>
      <w:r w:rsidRPr="00205602">
        <w:rPr>
          <w:rFonts w:ascii="Arial" w:hAnsi="Arial" w:cs="Arial"/>
          <w:sz w:val="20"/>
        </w:rPr>
        <w:t>). This biodiversity is largely shaped by their wide-ranging feeding ecologies and adaptive strategies across habitats (</w:t>
      </w:r>
      <w:r w:rsidRPr="00C36F7D">
        <w:rPr>
          <w:rFonts w:ascii="Arial" w:hAnsi="Arial" w:cs="Arial"/>
          <w:sz w:val="20"/>
        </w:rPr>
        <w:t xml:space="preserve">Song </w:t>
      </w:r>
      <w:r w:rsidRPr="00C36F7D">
        <w:rPr>
          <w:rFonts w:ascii="Arial" w:hAnsi="Arial" w:cs="Arial"/>
          <w:i/>
          <w:sz w:val="20"/>
        </w:rPr>
        <w:t>et al.,</w:t>
      </w:r>
      <w:r w:rsidRPr="00C36F7D">
        <w:rPr>
          <w:rFonts w:ascii="Arial" w:hAnsi="Arial" w:cs="Arial"/>
          <w:sz w:val="20"/>
        </w:rPr>
        <w:t xml:space="preserve"> 2021). Insects can be broadly grouped based on dietary habits into phytophagous (plant-feeding), carnivorous, and omnivorous types (</w:t>
      </w:r>
      <w:r w:rsidR="00C36F7D" w:rsidRPr="00C36F7D">
        <w:rPr>
          <w:rFonts w:ascii="Arial" w:hAnsi="Arial" w:cs="Arial"/>
          <w:sz w:val="20"/>
        </w:rPr>
        <w:t>Regier et al., 2015</w:t>
      </w:r>
      <w:r w:rsidRPr="00C36F7D">
        <w:rPr>
          <w:rFonts w:ascii="Arial" w:hAnsi="Arial" w:cs="Arial"/>
          <w:sz w:val="20"/>
        </w:rPr>
        <w:t xml:space="preserve">). Within phytophagous insects, feeding specialization varies from strict </w:t>
      </w:r>
      <w:proofErr w:type="spellStart"/>
      <w:r w:rsidRPr="00C36F7D">
        <w:rPr>
          <w:rFonts w:ascii="Arial" w:hAnsi="Arial" w:cs="Arial"/>
          <w:sz w:val="20"/>
        </w:rPr>
        <w:t>monophagy</w:t>
      </w:r>
      <w:proofErr w:type="spellEnd"/>
      <w:r w:rsidRPr="00C36F7D">
        <w:rPr>
          <w:rFonts w:ascii="Arial" w:hAnsi="Arial" w:cs="Arial"/>
          <w:sz w:val="20"/>
        </w:rPr>
        <w:t xml:space="preserve">, where insects feed on a single plant species to </w:t>
      </w:r>
      <w:proofErr w:type="spellStart"/>
      <w:r w:rsidRPr="00C36F7D">
        <w:rPr>
          <w:rFonts w:ascii="Arial" w:hAnsi="Arial" w:cs="Arial"/>
          <w:sz w:val="20"/>
        </w:rPr>
        <w:t>oligophagy</w:t>
      </w:r>
      <w:proofErr w:type="spellEnd"/>
      <w:r w:rsidRPr="00C36F7D">
        <w:rPr>
          <w:rFonts w:ascii="Arial" w:hAnsi="Arial" w:cs="Arial"/>
          <w:sz w:val="20"/>
        </w:rPr>
        <w:t xml:space="preserve"> and </w:t>
      </w:r>
      <w:proofErr w:type="spellStart"/>
      <w:r w:rsidRPr="00C36F7D">
        <w:rPr>
          <w:rFonts w:ascii="Arial" w:hAnsi="Arial" w:cs="Arial"/>
          <w:sz w:val="20"/>
        </w:rPr>
        <w:t>euryphagy</w:t>
      </w:r>
      <w:proofErr w:type="spellEnd"/>
      <w:r w:rsidRPr="00C36F7D">
        <w:rPr>
          <w:rFonts w:ascii="Arial" w:hAnsi="Arial" w:cs="Arial"/>
          <w:sz w:val="20"/>
        </w:rPr>
        <w:t>, where insects consume a limited or wide range of plant taxa, respectively (Morris, 2007).</w:t>
      </w:r>
    </w:p>
    <w:p w14:paraId="5C628A74" w14:textId="77777777" w:rsidR="006A34B3" w:rsidRPr="00205602" w:rsidRDefault="006A34B3" w:rsidP="006A34B3">
      <w:pPr>
        <w:pStyle w:val="NormalWeb"/>
        <w:jc w:val="both"/>
        <w:rPr>
          <w:rFonts w:ascii="Arial" w:hAnsi="Arial" w:cs="Arial"/>
          <w:sz w:val="20"/>
        </w:rPr>
      </w:pPr>
      <w:r w:rsidRPr="00205602">
        <w:rPr>
          <w:rFonts w:ascii="Arial" w:hAnsi="Arial" w:cs="Arial"/>
          <w:sz w:val="20"/>
        </w:rPr>
        <w:t xml:space="preserve">This variation in host plant use has profound implications for sericulture. The host plant not only serves as the primary </w:t>
      </w:r>
      <w:r w:rsidRPr="00C36F7D">
        <w:rPr>
          <w:rFonts w:ascii="Arial" w:hAnsi="Arial" w:cs="Arial"/>
          <w:sz w:val="20"/>
        </w:rPr>
        <w:t xml:space="preserve">food source but also directly influences silkworm physiology, growth, cocoon formation, and silk quality (Saranya </w:t>
      </w:r>
      <w:r w:rsidRPr="00C36F7D">
        <w:rPr>
          <w:rFonts w:ascii="Arial" w:hAnsi="Arial" w:cs="Arial"/>
          <w:i/>
          <w:sz w:val="20"/>
        </w:rPr>
        <w:t>et al.,</w:t>
      </w:r>
      <w:r w:rsidRPr="00C36F7D">
        <w:rPr>
          <w:rFonts w:ascii="Arial" w:hAnsi="Arial" w:cs="Arial"/>
          <w:sz w:val="20"/>
        </w:rPr>
        <w:t xml:space="preserve"> 2019). </w:t>
      </w:r>
      <w:r w:rsidRPr="00C36F7D">
        <w:rPr>
          <w:rStyle w:val="Emphasis"/>
          <w:rFonts w:ascii="Arial" w:hAnsi="Arial" w:cs="Arial"/>
          <w:sz w:val="20"/>
        </w:rPr>
        <w:t>Bombyx mori</w:t>
      </w:r>
      <w:r w:rsidRPr="00C36F7D">
        <w:rPr>
          <w:rFonts w:ascii="Arial" w:hAnsi="Arial" w:cs="Arial"/>
          <w:sz w:val="20"/>
        </w:rPr>
        <w:t>, being monophagous, feeds exclusively on mulberry (</w:t>
      </w:r>
      <w:r w:rsidRPr="00C36F7D">
        <w:rPr>
          <w:rStyle w:val="Emphasis"/>
          <w:rFonts w:ascii="Arial" w:hAnsi="Arial" w:cs="Arial"/>
          <w:sz w:val="20"/>
        </w:rPr>
        <w:t>Morus</w:t>
      </w:r>
      <w:r w:rsidRPr="00C36F7D">
        <w:rPr>
          <w:rFonts w:ascii="Arial" w:hAnsi="Arial" w:cs="Arial"/>
          <w:sz w:val="20"/>
        </w:rPr>
        <w:t xml:space="preserve"> spp.) leaves, which are nutritionally rich and capable of meeting the complete dietary needs of the silkworm (Fraenkel, 1959; </w:t>
      </w:r>
      <w:proofErr w:type="spellStart"/>
      <w:r w:rsidRPr="00C36F7D">
        <w:rPr>
          <w:rFonts w:ascii="Arial" w:hAnsi="Arial" w:cs="Arial"/>
          <w:sz w:val="20"/>
        </w:rPr>
        <w:t>Nagaraju</w:t>
      </w:r>
      <w:proofErr w:type="spellEnd"/>
      <w:r w:rsidRPr="00C36F7D">
        <w:rPr>
          <w:rFonts w:ascii="Arial" w:hAnsi="Arial" w:cs="Arial"/>
          <w:sz w:val="20"/>
        </w:rPr>
        <w:t xml:space="preserve">, 2002; </w:t>
      </w:r>
      <w:proofErr w:type="spellStart"/>
      <w:r w:rsidRPr="00C36F7D">
        <w:rPr>
          <w:rFonts w:ascii="Arial" w:hAnsi="Arial" w:cs="Arial"/>
          <w:sz w:val="20"/>
        </w:rPr>
        <w:t>Fambayun</w:t>
      </w:r>
      <w:proofErr w:type="spellEnd"/>
      <w:r w:rsidRPr="00C36F7D">
        <w:rPr>
          <w:rFonts w:ascii="Arial" w:hAnsi="Arial" w:cs="Arial"/>
          <w:sz w:val="20"/>
        </w:rPr>
        <w:t xml:space="preserve"> </w:t>
      </w:r>
      <w:r w:rsidRPr="00C36F7D">
        <w:rPr>
          <w:rFonts w:ascii="Arial" w:hAnsi="Arial" w:cs="Arial"/>
          <w:i/>
          <w:sz w:val="20"/>
        </w:rPr>
        <w:t>et al.,</w:t>
      </w:r>
      <w:r w:rsidRPr="00C36F7D">
        <w:rPr>
          <w:rFonts w:ascii="Arial" w:hAnsi="Arial" w:cs="Arial"/>
          <w:sz w:val="20"/>
        </w:rPr>
        <w:t xml:space="preserve"> 2022). The</w:t>
      </w:r>
      <w:r w:rsidRPr="00205602">
        <w:rPr>
          <w:rFonts w:ascii="Arial" w:hAnsi="Arial" w:cs="Arial"/>
          <w:sz w:val="20"/>
        </w:rPr>
        <w:t xml:space="preserve"> quality and availability of these leaves are therefore pivotal to successful silkworm rearing. Factors such as plant cultivar, leaf maturity, environmental conditions, and the concentration of secondary metabolites collectively determine the nutritional profile of the foliage. These variables significantly influence key biological traits in silkworms including larval survival, growth rate, cocoon yield, and filament quality (</w:t>
      </w:r>
      <w:proofErr w:type="spellStart"/>
      <w:r w:rsidRPr="00974BAD">
        <w:rPr>
          <w:rFonts w:ascii="Arial" w:hAnsi="Arial" w:cs="Arial"/>
          <w:sz w:val="20"/>
        </w:rPr>
        <w:t>Samami</w:t>
      </w:r>
      <w:proofErr w:type="spellEnd"/>
      <w:r w:rsidRPr="00974BAD">
        <w:rPr>
          <w:rFonts w:ascii="Arial" w:hAnsi="Arial" w:cs="Arial"/>
          <w:sz w:val="20"/>
        </w:rPr>
        <w:t xml:space="preserve"> </w:t>
      </w:r>
      <w:r w:rsidRPr="00974BAD">
        <w:rPr>
          <w:rFonts w:ascii="Arial" w:hAnsi="Arial" w:cs="Arial"/>
          <w:i/>
          <w:sz w:val="20"/>
        </w:rPr>
        <w:t>et al.,</w:t>
      </w:r>
      <w:r w:rsidRPr="00974BAD">
        <w:rPr>
          <w:rFonts w:ascii="Arial" w:hAnsi="Arial" w:cs="Arial"/>
          <w:sz w:val="20"/>
        </w:rPr>
        <w:t xml:space="preserve"> 2019</w:t>
      </w:r>
      <w:r w:rsidRPr="00205602">
        <w:rPr>
          <w:rFonts w:ascii="Arial" w:hAnsi="Arial" w:cs="Arial"/>
          <w:sz w:val="20"/>
        </w:rPr>
        <w:t>).</w:t>
      </w:r>
    </w:p>
    <w:p w14:paraId="4B665A28" w14:textId="77777777" w:rsidR="006A34B3" w:rsidRPr="00205602" w:rsidRDefault="006A34B3" w:rsidP="00205602">
      <w:pPr>
        <w:pStyle w:val="NormalWeb"/>
        <w:jc w:val="both"/>
        <w:rPr>
          <w:rFonts w:ascii="Arial" w:hAnsi="Arial" w:cs="Arial"/>
          <w:sz w:val="20"/>
        </w:rPr>
      </w:pPr>
      <w:r w:rsidRPr="00205602">
        <w:rPr>
          <w:rFonts w:ascii="Arial" w:hAnsi="Arial" w:cs="Arial"/>
          <w:sz w:val="20"/>
        </w:rPr>
        <w:t>Silkworms, like other phytophagous insects, employ complex chemosensory systems to recognize, assess, and accept suitable host plants. The feeding process is initiated and regulated by a combination of physical characteristics (such as texture, shape, and color) and chemical cues, particularly plant volatiles and surface compounds (</w:t>
      </w:r>
      <w:r w:rsidRPr="00974BAD">
        <w:rPr>
          <w:rFonts w:ascii="Arial" w:hAnsi="Arial" w:cs="Arial"/>
          <w:sz w:val="20"/>
        </w:rPr>
        <w:t xml:space="preserve">Miller &amp; Strickler, 1984; </w:t>
      </w:r>
      <w:proofErr w:type="spellStart"/>
      <w:r w:rsidRPr="00974BAD">
        <w:rPr>
          <w:rFonts w:ascii="Arial" w:hAnsi="Arial" w:cs="Arial"/>
          <w:sz w:val="20"/>
        </w:rPr>
        <w:t>Rausher</w:t>
      </w:r>
      <w:proofErr w:type="spellEnd"/>
      <w:r w:rsidRPr="00974BAD">
        <w:rPr>
          <w:rFonts w:ascii="Arial" w:hAnsi="Arial" w:cs="Arial"/>
          <w:sz w:val="20"/>
        </w:rPr>
        <w:t xml:space="preserve">, 1978; Renwick, 1990; Carter &amp; Feeny, 1999). Host plant location is typically guided by olfactory and visual cues at long range, whereas tactile and gustatory perception becomes dominant at close range (Bernays &amp; Chapman, 1994). Once the silkworm larva comes into contact with a leaf surface, its gustatory receptor neurons are activated to evaluate the presence of stimulatory or inhibitory compounds, thereby influencing feeding decisions (Watanabe, 1958; Thorsteinson, 1960; Ishikawa </w:t>
      </w:r>
      <w:r w:rsidRPr="00974BAD">
        <w:rPr>
          <w:rFonts w:ascii="Arial" w:hAnsi="Arial" w:cs="Arial"/>
          <w:i/>
          <w:sz w:val="20"/>
        </w:rPr>
        <w:t>et al,</w:t>
      </w:r>
      <w:r w:rsidR="00974BAD">
        <w:rPr>
          <w:rFonts w:ascii="Arial" w:hAnsi="Arial" w:cs="Arial"/>
          <w:sz w:val="20"/>
        </w:rPr>
        <w:t xml:space="preserve"> 1969</w:t>
      </w:r>
      <w:r w:rsidRPr="00974BAD">
        <w:rPr>
          <w:rFonts w:ascii="Arial" w:hAnsi="Arial" w:cs="Arial"/>
          <w:sz w:val="20"/>
        </w:rPr>
        <w:t>).</w:t>
      </w:r>
    </w:p>
    <w:p w14:paraId="309D9E74" w14:textId="77777777" w:rsidR="006A34B3" w:rsidRPr="00205602" w:rsidRDefault="006A34B3" w:rsidP="006A34B3">
      <w:pPr>
        <w:pStyle w:val="NormalWeb"/>
        <w:jc w:val="both"/>
        <w:rPr>
          <w:rFonts w:ascii="Arial" w:hAnsi="Arial" w:cs="Arial"/>
          <w:sz w:val="20"/>
        </w:rPr>
      </w:pPr>
      <w:r w:rsidRPr="00205602">
        <w:rPr>
          <w:rFonts w:ascii="Arial" w:hAnsi="Arial" w:cs="Arial"/>
          <w:sz w:val="20"/>
        </w:rPr>
        <w:t xml:space="preserve">A substantial body of research has demonstrated the importance of secondary plant metabolites in mediating host plant selection and feeding behavior in lepidopteran larvae </w:t>
      </w:r>
      <w:r w:rsidRPr="004C0667">
        <w:rPr>
          <w:rFonts w:ascii="Arial" w:hAnsi="Arial" w:cs="Arial"/>
          <w:sz w:val="20"/>
        </w:rPr>
        <w:t xml:space="preserve">(Haynes </w:t>
      </w:r>
      <w:r w:rsidRPr="004C0667">
        <w:rPr>
          <w:rFonts w:ascii="Arial" w:hAnsi="Arial" w:cs="Arial"/>
          <w:i/>
          <w:sz w:val="20"/>
        </w:rPr>
        <w:t>et al.,</w:t>
      </w:r>
      <w:r w:rsidRPr="004C0667">
        <w:rPr>
          <w:rFonts w:ascii="Arial" w:hAnsi="Arial" w:cs="Arial"/>
          <w:sz w:val="20"/>
        </w:rPr>
        <w:t xml:space="preserve"> 1991; Lopez </w:t>
      </w:r>
      <w:r w:rsidRPr="004C0667">
        <w:rPr>
          <w:rFonts w:ascii="Arial" w:hAnsi="Arial" w:cs="Arial"/>
          <w:i/>
          <w:sz w:val="20"/>
        </w:rPr>
        <w:t>et al.,</w:t>
      </w:r>
      <w:r w:rsidRPr="004C0667">
        <w:rPr>
          <w:rFonts w:ascii="Arial" w:hAnsi="Arial" w:cs="Arial"/>
          <w:sz w:val="20"/>
        </w:rPr>
        <w:t xml:space="preserve"> 2000;</w:t>
      </w:r>
      <w:r w:rsidR="00974BAD" w:rsidRPr="004C0667">
        <w:rPr>
          <w:rFonts w:ascii="Arial" w:hAnsi="Arial" w:cs="Arial"/>
          <w:sz w:val="20"/>
        </w:rPr>
        <w:t xml:space="preserve"> Legay, 1958</w:t>
      </w:r>
      <w:r w:rsidRPr="004C0667">
        <w:rPr>
          <w:rFonts w:ascii="Arial" w:hAnsi="Arial" w:cs="Arial"/>
          <w:sz w:val="20"/>
        </w:rPr>
        <w:t xml:space="preserve">). Compounds such as phenolics, flavonoids, sterols, and terpenoids act either as phagostimulants, encouraging feeding, or as deterrents, depending on their concentration and the insect’s gustatory receptor response. In </w:t>
      </w:r>
      <w:r w:rsidRPr="004C0667">
        <w:rPr>
          <w:rStyle w:val="Emphasis"/>
          <w:rFonts w:ascii="Arial" w:hAnsi="Arial" w:cs="Arial"/>
          <w:sz w:val="20"/>
        </w:rPr>
        <w:t>B. mori</w:t>
      </w:r>
      <w:r w:rsidRPr="004C0667">
        <w:rPr>
          <w:rFonts w:ascii="Arial" w:hAnsi="Arial" w:cs="Arial"/>
          <w:sz w:val="20"/>
        </w:rPr>
        <w:t xml:space="preserve">, specific chemicals like chlorogenic acid, </w:t>
      </w:r>
      <w:proofErr w:type="spellStart"/>
      <w:r w:rsidRPr="004C0667">
        <w:rPr>
          <w:rFonts w:ascii="Arial" w:hAnsi="Arial" w:cs="Arial"/>
          <w:sz w:val="20"/>
        </w:rPr>
        <w:t>isoquercetin</w:t>
      </w:r>
      <w:proofErr w:type="spellEnd"/>
      <w:r w:rsidRPr="004C0667">
        <w:rPr>
          <w:rFonts w:ascii="Arial" w:hAnsi="Arial" w:cs="Arial"/>
          <w:sz w:val="20"/>
        </w:rPr>
        <w:t>, and β-sitosterol have been shown to elicit strong feeding responses and promote larval development (Ito &amp; Tanaka, 1959; Nayar &amp; Fraenkel, 1962</w:t>
      </w:r>
      <w:r w:rsidR="00522207" w:rsidRPr="004C0667">
        <w:rPr>
          <w:rFonts w:ascii="Arial" w:hAnsi="Arial" w:cs="Arial"/>
          <w:sz w:val="20"/>
        </w:rPr>
        <w:t xml:space="preserve">; Neog </w:t>
      </w:r>
      <w:r w:rsidR="00522207" w:rsidRPr="004C0667">
        <w:rPr>
          <w:rFonts w:ascii="Arial" w:hAnsi="Arial" w:cs="Arial"/>
          <w:i/>
          <w:sz w:val="20"/>
        </w:rPr>
        <w:t>et al.,</w:t>
      </w:r>
      <w:r w:rsidR="00522207" w:rsidRPr="004C0667">
        <w:rPr>
          <w:rFonts w:ascii="Arial" w:hAnsi="Arial" w:cs="Arial"/>
          <w:sz w:val="20"/>
        </w:rPr>
        <w:t xml:space="preserve"> 2011</w:t>
      </w:r>
      <w:r w:rsidRPr="004C0667">
        <w:rPr>
          <w:rFonts w:ascii="Arial" w:hAnsi="Arial" w:cs="Arial"/>
          <w:sz w:val="20"/>
        </w:rPr>
        <w:t>), highlighting the critical role</w:t>
      </w:r>
      <w:r w:rsidRPr="00205602">
        <w:rPr>
          <w:rFonts w:ascii="Arial" w:hAnsi="Arial" w:cs="Arial"/>
          <w:sz w:val="20"/>
        </w:rPr>
        <w:t xml:space="preserve"> of host plant chemistry in silkworm biology.</w:t>
      </w:r>
    </w:p>
    <w:p w14:paraId="29D48D87" w14:textId="77777777" w:rsidR="006A34B3" w:rsidRPr="00205602" w:rsidRDefault="006A34B3" w:rsidP="006A34B3">
      <w:pPr>
        <w:pStyle w:val="NormalWeb"/>
        <w:jc w:val="both"/>
        <w:rPr>
          <w:rFonts w:ascii="Arial" w:hAnsi="Arial" w:cs="Arial"/>
          <w:sz w:val="20"/>
        </w:rPr>
      </w:pPr>
      <w:r w:rsidRPr="00205602">
        <w:rPr>
          <w:rFonts w:ascii="Arial" w:hAnsi="Arial" w:cs="Arial"/>
          <w:sz w:val="20"/>
        </w:rPr>
        <w:t xml:space="preserve">Further complicating this interaction is the role of adult female behavior in oviposition site selection. In insects with limited larval mobility, such as silkworms, the choice of oviposition site by the female strongly determines larval success. Females rely on a suite of environmental and chemical cues to locate optimal host plants that ensure suitable larval habitats and food resources </w:t>
      </w:r>
      <w:r w:rsidRPr="004C0667">
        <w:rPr>
          <w:rFonts w:ascii="Arial" w:hAnsi="Arial" w:cs="Arial"/>
          <w:sz w:val="20"/>
        </w:rPr>
        <w:t xml:space="preserve">(Gothard </w:t>
      </w:r>
      <w:r w:rsidRPr="004C0667">
        <w:rPr>
          <w:rFonts w:ascii="Arial" w:hAnsi="Arial" w:cs="Arial"/>
          <w:i/>
          <w:sz w:val="20"/>
        </w:rPr>
        <w:t>et al.,</w:t>
      </w:r>
      <w:r w:rsidRPr="004C0667">
        <w:rPr>
          <w:rFonts w:ascii="Arial" w:hAnsi="Arial" w:cs="Arial"/>
          <w:sz w:val="20"/>
        </w:rPr>
        <w:t xml:space="preserve"> 2005; Bossart &amp; Scriber, 1999). Therefore, the relative acceptability of a host plant is governed by a dynamic interplay of intrinsic factors such as genetic and neurophysiological makeup and extrinsic factors, including surface chemistry and plant volatiles (</w:t>
      </w:r>
      <w:proofErr w:type="spellStart"/>
      <w:r w:rsidR="004C0667" w:rsidRPr="004C0667">
        <w:rPr>
          <w:rFonts w:ascii="Arial" w:hAnsi="Arial" w:cs="Arial"/>
          <w:color w:val="222222"/>
          <w:sz w:val="20"/>
          <w:szCs w:val="20"/>
          <w:shd w:val="clear" w:color="auto" w:fill="FFFFFF"/>
        </w:rPr>
        <w:t>Sokame</w:t>
      </w:r>
      <w:proofErr w:type="spellEnd"/>
      <w:r w:rsidR="004C0667" w:rsidRPr="004C0667">
        <w:rPr>
          <w:rFonts w:ascii="Arial" w:hAnsi="Arial" w:cs="Arial"/>
          <w:color w:val="222222"/>
          <w:sz w:val="20"/>
          <w:szCs w:val="20"/>
          <w:shd w:val="clear" w:color="auto" w:fill="FFFFFF"/>
        </w:rPr>
        <w:t xml:space="preserve"> </w:t>
      </w:r>
      <w:r w:rsidR="004C0667" w:rsidRPr="004C0667">
        <w:rPr>
          <w:rFonts w:ascii="Arial" w:hAnsi="Arial" w:cs="Arial"/>
          <w:i/>
          <w:color w:val="222222"/>
          <w:sz w:val="20"/>
          <w:szCs w:val="20"/>
          <w:shd w:val="clear" w:color="auto" w:fill="FFFFFF"/>
        </w:rPr>
        <w:t>et al.</w:t>
      </w:r>
      <w:r w:rsidR="004C0667" w:rsidRPr="004C0667">
        <w:rPr>
          <w:rFonts w:ascii="Arial" w:hAnsi="Arial" w:cs="Arial"/>
          <w:color w:val="222222"/>
          <w:sz w:val="20"/>
          <w:szCs w:val="20"/>
          <w:shd w:val="clear" w:color="auto" w:fill="FFFFFF"/>
        </w:rPr>
        <w:t>, 2020</w:t>
      </w:r>
      <w:r w:rsidRPr="004C0667">
        <w:rPr>
          <w:rFonts w:ascii="Arial" w:hAnsi="Arial" w:cs="Arial"/>
          <w:sz w:val="20"/>
        </w:rPr>
        <w:t xml:space="preserve">; </w:t>
      </w:r>
      <w:proofErr w:type="spellStart"/>
      <w:r w:rsidRPr="004C0667">
        <w:rPr>
          <w:rFonts w:ascii="Arial" w:hAnsi="Arial" w:cs="Arial"/>
          <w:sz w:val="20"/>
        </w:rPr>
        <w:t>Scheirs</w:t>
      </w:r>
      <w:proofErr w:type="spellEnd"/>
      <w:r w:rsidRPr="004C0667">
        <w:rPr>
          <w:rFonts w:ascii="Arial" w:hAnsi="Arial" w:cs="Arial"/>
          <w:sz w:val="20"/>
        </w:rPr>
        <w:t xml:space="preserve"> </w:t>
      </w:r>
      <w:r w:rsidRPr="004C0667">
        <w:rPr>
          <w:rFonts w:ascii="Arial" w:hAnsi="Arial" w:cs="Arial"/>
          <w:i/>
          <w:sz w:val="20"/>
        </w:rPr>
        <w:t>et al.,</w:t>
      </w:r>
      <w:r w:rsidRPr="004C0667">
        <w:rPr>
          <w:rFonts w:ascii="Arial" w:hAnsi="Arial" w:cs="Arial"/>
          <w:sz w:val="20"/>
        </w:rPr>
        <w:t xml:space="preserve"> 2000).</w:t>
      </w:r>
    </w:p>
    <w:p w14:paraId="5A462F29" w14:textId="77777777" w:rsidR="006A34B3" w:rsidRPr="00205602" w:rsidRDefault="006A34B3" w:rsidP="006A34B3">
      <w:pPr>
        <w:pStyle w:val="NormalWeb"/>
        <w:jc w:val="both"/>
        <w:rPr>
          <w:rFonts w:ascii="Arial" w:hAnsi="Arial" w:cs="Arial"/>
          <w:sz w:val="20"/>
        </w:rPr>
      </w:pPr>
      <w:r w:rsidRPr="00205602">
        <w:rPr>
          <w:rFonts w:ascii="Arial" w:hAnsi="Arial" w:cs="Arial"/>
          <w:sz w:val="20"/>
        </w:rPr>
        <w:t xml:space="preserve">Among the diverse types of silk produced worldwide, mulberry and </w:t>
      </w:r>
      <w:proofErr w:type="spellStart"/>
      <w:r w:rsidRPr="00205602">
        <w:rPr>
          <w:rFonts w:ascii="Arial" w:hAnsi="Arial" w:cs="Arial"/>
          <w:sz w:val="20"/>
        </w:rPr>
        <w:t>muga</w:t>
      </w:r>
      <w:proofErr w:type="spellEnd"/>
      <w:r w:rsidRPr="00205602">
        <w:rPr>
          <w:rFonts w:ascii="Arial" w:hAnsi="Arial" w:cs="Arial"/>
          <w:sz w:val="20"/>
        </w:rPr>
        <w:t xml:space="preserve"> silk stand out due to their exceptional quality, fine texture, natural sheen, and high market value. These qualities have led to their widespread popularity in the textile industry and cultural heritage sectors. Given their superior attributes and commercial importance, the present review focuses primarily on these two silkworm species—</w:t>
      </w:r>
      <w:r w:rsidRPr="00205602">
        <w:rPr>
          <w:rStyle w:val="Emphasis"/>
          <w:rFonts w:ascii="Arial" w:hAnsi="Arial" w:cs="Arial"/>
          <w:sz w:val="20"/>
        </w:rPr>
        <w:t>Bombyx mori</w:t>
      </w:r>
      <w:r w:rsidRPr="00205602">
        <w:rPr>
          <w:rFonts w:ascii="Arial" w:hAnsi="Arial" w:cs="Arial"/>
          <w:sz w:val="20"/>
        </w:rPr>
        <w:t xml:space="preserve"> and </w:t>
      </w:r>
      <w:proofErr w:type="spellStart"/>
      <w:r w:rsidRPr="00205602">
        <w:rPr>
          <w:rStyle w:val="Emphasis"/>
          <w:rFonts w:ascii="Arial" w:hAnsi="Arial" w:cs="Arial"/>
          <w:sz w:val="20"/>
        </w:rPr>
        <w:t>Antheraea</w:t>
      </w:r>
      <w:proofErr w:type="spellEnd"/>
      <w:r w:rsidRPr="00205602">
        <w:rPr>
          <w:rStyle w:val="Emphasis"/>
          <w:rFonts w:ascii="Arial" w:hAnsi="Arial" w:cs="Arial"/>
          <w:sz w:val="20"/>
        </w:rPr>
        <w:t xml:space="preserve"> </w:t>
      </w:r>
      <w:proofErr w:type="spellStart"/>
      <w:r w:rsidRPr="00205602">
        <w:rPr>
          <w:rStyle w:val="Emphasis"/>
          <w:rFonts w:ascii="Arial" w:hAnsi="Arial" w:cs="Arial"/>
          <w:sz w:val="20"/>
        </w:rPr>
        <w:t>assamensis</w:t>
      </w:r>
      <w:proofErr w:type="spellEnd"/>
      <w:r w:rsidRPr="00205602">
        <w:rPr>
          <w:rFonts w:ascii="Arial" w:hAnsi="Arial" w:cs="Arial"/>
          <w:sz w:val="20"/>
        </w:rPr>
        <w:t xml:space="preserve"> with the objective of unraveling the chemical and molecular mechanisms that underlie their feeding behavior and host plant interactions.</w:t>
      </w:r>
    </w:p>
    <w:p w14:paraId="518C1DCC" w14:textId="77777777" w:rsidR="006A34B3" w:rsidRPr="00205602" w:rsidRDefault="006A34B3" w:rsidP="006A34B3">
      <w:pPr>
        <w:pStyle w:val="NormalWeb"/>
        <w:jc w:val="both"/>
        <w:rPr>
          <w:rFonts w:ascii="Arial" w:hAnsi="Arial" w:cs="Arial"/>
          <w:sz w:val="20"/>
        </w:rPr>
      </w:pPr>
      <w:r w:rsidRPr="00205602">
        <w:rPr>
          <w:rFonts w:ascii="Arial" w:hAnsi="Arial" w:cs="Arial"/>
          <w:sz w:val="20"/>
        </w:rPr>
        <w:t xml:space="preserve">Although advances have been made in understanding the ecological and physiological aspects of silkworm–host plant relationships, the deeper molecular mechanisms, especially those linked to chemoreception, receptor gene expression, and downstream signaling remain incompletely understood. This review seeks to bridge this knowledge gap by compiling and analyzing current findings on the </w:t>
      </w:r>
      <w:r w:rsidRPr="00205602">
        <w:rPr>
          <w:rFonts w:ascii="Arial" w:hAnsi="Arial" w:cs="Arial"/>
          <w:sz w:val="20"/>
        </w:rPr>
        <w:lastRenderedPageBreak/>
        <w:t xml:space="preserve">chemical ecology and molecular biology of silkworm feeding, with special emphasis on gustatory receptor functions, secondary plant metabolites, and genetic determinants that shape host specificity and adaptability in </w:t>
      </w:r>
      <w:r w:rsidRPr="00205602">
        <w:rPr>
          <w:rStyle w:val="Emphasis"/>
          <w:rFonts w:ascii="Arial" w:hAnsi="Arial" w:cs="Arial"/>
          <w:sz w:val="20"/>
        </w:rPr>
        <w:t>B. mori</w:t>
      </w:r>
      <w:r w:rsidRPr="00205602">
        <w:rPr>
          <w:rFonts w:ascii="Arial" w:hAnsi="Arial" w:cs="Arial"/>
          <w:sz w:val="20"/>
        </w:rPr>
        <w:t xml:space="preserve"> and </w:t>
      </w:r>
      <w:r w:rsidRPr="00205602">
        <w:rPr>
          <w:rStyle w:val="Emphasis"/>
          <w:rFonts w:ascii="Arial" w:hAnsi="Arial" w:cs="Arial"/>
          <w:sz w:val="20"/>
        </w:rPr>
        <w:t xml:space="preserve">A. </w:t>
      </w:r>
      <w:proofErr w:type="spellStart"/>
      <w:r w:rsidRPr="00205602">
        <w:rPr>
          <w:rStyle w:val="Emphasis"/>
          <w:rFonts w:ascii="Arial" w:hAnsi="Arial" w:cs="Arial"/>
          <w:sz w:val="20"/>
        </w:rPr>
        <w:t>assamensis</w:t>
      </w:r>
      <w:proofErr w:type="spellEnd"/>
      <w:r w:rsidRPr="00205602">
        <w:rPr>
          <w:rFonts w:ascii="Arial" w:hAnsi="Arial" w:cs="Arial"/>
          <w:sz w:val="20"/>
        </w:rPr>
        <w:t>.</w:t>
      </w:r>
    </w:p>
    <w:p w14:paraId="075FF627" w14:textId="77777777" w:rsidR="00DD7E90" w:rsidRPr="00AC4554" w:rsidRDefault="008B78C4" w:rsidP="00AC4554">
      <w:pPr>
        <w:pStyle w:val="Heading3"/>
        <w:numPr>
          <w:ilvl w:val="0"/>
          <w:numId w:val="3"/>
        </w:numPr>
        <w:ind w:left="284" w:hanging="284"/>
        <w:rPr>
          <w:rFonts w:ascii="Arial" w:hAnsi="Arial" w:cs="Arial"/>
          <w:color w:val="auto"/>
        </w:rPr>
      </w:pPr>
      <w:r w:rsidRPr="00AC4554">
        <w:rPr>
          <w:rFonts w:ascii="Arial" w:hAnsi="Arial" w:cs="Arial"/>
        </w:rPr>
        <w:t xml:space="preserve"> </w:t>
      </w:r>
      <w:r w:rsidR="00DD7E90" w:rsidRPr="00AC4554">
        <w:rPr>
          <w:rStyle w:val="Strong"/>
          <w:rFonts w:ascii="Arial" w:hAnsi="Arial" w:cs="Arial"/>
          <w:b/>
          <w:bCs/>
          <w:color w:val="auto"/>
        </w:rPr>
        <w:t>HOST PLANTS OF MULBERRY SILKWORM</w:t>
      </w:r>
    </w:p>
    <w:p w14:paraId="0772DDE2" w14:textId="77777777" w:rsidR="00DD7E90" w:rsidRPr="00205602" w:rsidRDefault="00DD7E90" w:rsidP="00DD7E90">
      <w:pPr>
        <w:pStyle w:val="NormalWeb"/>
        <w:jc w:val="both"/>
        <w:rPr>
          <w:rFonts w:ascii="Arial" w:hAnsi="Arial" w:cs="Arial"/>
          <w:sz w:val="20"/>
        </w:rPr>
      </w:pPr>
      <w:r w:rsidRPr="00205602">
        <w:rPr>
          <w:rFonts w:ascii="Arial" w:hAnsi="Arial" w:cs="Arial"/>
          <w:sz w:val="20"/>
        </w:rPr>
        <w:t xml:space="preserve">The domesticated silkworm, </w:t>
      </w:r>
      <w:r w:rsidRPr="00205602">
        <w:rPr>
          <w:rStyle w:val="Emphasis"/>
          <w:rFonts w:ascii="Arial" w:hAnsi="Arial" w:cs="Arial"/>
          <w:sz w:val="20"/>
        </w:rPr>
        <w:t>Bombyx mori</w:t>
      </w:r>
      <w:r w:rsidRPr="00205602">
        <w:rPr>
          <w:rFonts w:ascii="Arial" w:hAnsi="Arial" w:cs="Arial"/>
          <w:sz w:val="20"/>
        </w:rPr>
        <w:t xml:space="preserve"> L., is a phytophagous insect of significant economic importance, primarily reared for silk production. Although it is traditionally viewed as a monophagous species due to its strong preference for mulberry (</w:t>
      </w:r>
      <w:r w:rsidRPr="00205602">
        <w:rPr>
          <w:rStyle w:val="Emphasis"/>
          <w:rFonts w:ascii="Arial" w:hAnsi="Arial" w:cs="Arial"/>
          <w:sz w:val="20"/>
        </w:rPr>
        <w:t>Morus</w:t>
      </w:r>
      <w:r w:rsidRPr="00205602">
        <w:rPr>
          <w:rFonts w:ascii="Arial" w:hAnsi="Arial" w:cs="Arial"/>
          <w:sz w:val="20"/>
        </w:rPr>
        <w:t xml:space="preserve"> spp.) leaves, which provide a complete nutritional profile essential for its growth, development, and cocoon formation (</w:t>
      </w:r>
      <w:r w:rsidRPr="004C0667">
        <w:rPr>
          <w:rFonts w:ascii="Arial" w:hAnsi="Arial" w:cs="Arial"/>
          <w:sz w:val="20"/>
        </w:rPr>
        <w:t>Fraenkel, 1959</w:t>
      </w:r>
      <w:r w:rsidRPr="00205602">
        <w:rPr>
          <w:rFonts w:ascii="Arial" w:hAnsi="Arial" w:cs="Arial"/>
          <w:sz w:val="20"/>
        </w:rPr>
        <w:t xml:space="preserve">), its feeding behavior is more accurately described as oligophagous. In addition to mulberry, </w:t>
      </w:r>
      <w:r w:rsidRPr="00205602">
        <w:rPr>
          <w:rStyle w:val="Emphasis"/>
          <w:rFonts w:ascii="Arial" w:hAnsi="Arial" w:cs="Arial"/>
          <w:sz w:val="20"/>
        </w:rPr>
        <w:t>B. mori</w:t>
      </w:r>
      <w:r w:rsidRPr="00205602">
        <w:rPr>
          <w:rFonts w:ascii="Arial" w:hAnsi="Arial" w:cs="Arial"/>
          <w:sz w:val="20"/>
        </w:rPr>
        <w:t xml:space="preserve"> has been experimentally observed to accept leaves from other plant families, including </w:t>
      </w:r>
      <w:proofErr w:type="spellStart"/>
      <w:r w:rsidRPr="00205602">
        <w:rPr>
          <w:rFonts w:ascii="Arial" w:hAnsi="Arial" w:cs="Arial"/>
          <w:sz w:val="20"/>
        </w:rPr>
        <w:t>Ulmaceae</w:t>
      </w:r>
      <w:proofErr w:type="spellEnd"/>
      <w:r w:rsidRPr="00205602">
        <w:rPr>
          <w:rFonts w:ascii="Arial" w:hAnsi="Arial" w:cs="Arial"/>
          <w:sz w:val="20"/>
        </w:rPr>
        <w:t xml:space="preserve"> (e.g., wild elm), Compositae (e.g., lettuce and dandelion), and Urticaceae </w:t>
      </w:r>
      <w:r w:rsidRPr="004C0667">
        <w:rPr>
          <w:rFonts w:ascii="Arial" w:hAnsi="Arial" w:cs="Arial"/>
          <w:sz w:val="20"/>
        </w:rPr>
        <w:t xml:space="preserve">(Fraenkel, 1959; Ishikawa </w:t>
      </w:r>
      <w:r w:rsidRPr="004C0667">
        <w:rPr>
          <w:rFonts w:ascii="Arial" w:hAnsi="Arial" w:cs="Arial"/>
          <w:i/>
          <w:sz w:val="20"/>
        </w:rPr>
        <w:t>et al.,</w:t>
      </w:r>
      <w:r w:rsidRPr="004C0667">
        <w:rPr>
          <w:rFonts w:ascii="Arial" w:hAnsi="Arial" w:cs="Arial"/>
          <w:sz w:val="20"/>
        </w:rPr>
        <w:t xml:space="preserve"> 1969</w:t>
      </w:r>
      <w:r w:rsidRPr="00205602">
        <w:rPr>
          <w:rFonts w:ascii="Arial" w:hAnsi="Arial" w:cs="Arial"/>
          <w:sz w:val="20"/>
        </w:rPr>
        <w:t>). However, these alternative host plants are markedly inferior in nutritional quality compared to mulberry, often resulting in poor larval development, reduced silk production, or even mortality due to phytochemical incompatibility or toxicity (</w:t>
      </w:r>
      <w:r w:rsidRPr="00D250E0">
        <w:rPr>
          <w:rFonts w:ascii="Arial" w:hAnsi="Arial" w:cs="Arial"/>
          <w:sz w:val="20"/>
        </w:rPr>
        <w:t xml:space="preserve">Fraenkel </w:t>
      </w:r>
      <w:r w:rsidRPr="00D250E0">
        <w:rPr>
          <w:rFonts w:ascii="Arial" w:hAnsi="Arial" w:cs="Arial"/>
          <w:i/>
          <w:sz w:val="20"/>
        </w:rPr>
        <w:t>et al.,</w:t>
      </w:r>
      <w:r w:rsidRPr="00D250E0">
        <w:rPr>
          <w:rFonts w:ascii="Arial" w:hAnsi="Arial" w:cs="Arial"/>
          <w:sz w:val="20"/>
        </w:rPr>
        <w:t xml:space="preserve"> 1959). Historical and comparative analyses (</w:t>
      </w:r>
      <w:r w:rsidR="00D250E0" w:rsidRPr="00D250E0">
        <w:rPr>
          <w:rFonts w:ascii="Arial" w:hAnsi="Arial" w:cs="Arial"/>
          <w:sz w:val="20"/>
        </w:rPr>
        <w:t>Zhang et al., 2013; Legay, 1958; Fraenkel, 1959; Jacobson, 2019</w:t>
      </w:r>
      <w:r w:rsidRPr="00D250E0">
        <w:rPr>
          <w:rFonts w:ascii="Arial" w:hAnsi="Arial" w:cs="Arial"/>
          <w:sz w:val="20"/>
        </w:rPr>
        <w:t xml:space="preserve">) also support the classification of </w:t>
      </w:r>
      <w:r w:rsidRPr="00D250E0">
        <w:rPr>
          <w:rStyle w:val="Emphasis"/>
          <w:rFonts w:ascii="Arial" w:hAnsi="Arial" w:cs="Arial"/>
          <w:sz w:val="20"/>
        </w:rPr>
        <w:t>B. mori</w:t>
      </w:r>
      <w:r w:rsidRPr="00D250E0">
        <w:rPr>
          <w:rFonts w:ascii="Arial" w:hAnsi="Arial" w:cs="Arial"/>
          <w:sz w:val="20"/>
        </w:rPr>
        <w:t xml:space="preserve"> as an oligophagous insect, with restricted</w:t>
      </w:r>
      <w:r w:rsidRPr="00205602">
        <w:rPr>
          <w:rFonts w:ascii="Arial" w:hAnsi="Arial" w:cs="Arial"/>
          <w:sz w:val="20"/>
        </w:rPr>
        <w:t xml:space="preserve"> but observable feeding flexibility beyond the </w:t>
      </w:r>
      <w:proofErr w:type="spellStart"/>
      <w:r w:rsidRPr="00205602">
        <w:rPr>
          <w:rFonts w:ascii="Arial" w:hAnsi="Arial" w:cs="Arial"/>
          <w:sz w:val="20"/>
        </w:rPr>
        <w:t>Moraceae</w:t>
      </w:r>
      <w:proofErr w:type="spellEnd"/>
      <w:r w:rsidRPr="00205602">
        <w:rPr>
          <w:rFonts w:ascii="Arial" w:hAnsi="Arial" w:cs="Arial"/>
          <w:sz w:val="20"/>
        </w:rPr>
        <w:t xml:space="preserve"> family. Nonetheless, under practical rearing conditions, mulberry remains the only viable and nutritionally optimal host plant for sustainable and profitable silkworm cultivation.</w:t>
      </w:r>
    </w:p>
    <w:p w14:paraId="5CB6E4EA" w14:textId="77777777" w:rsidR="002E68B7" w:rsidRPr="00AC4554" w:rsidRDefault="00053733" w:rsidP="00AC4554">
      <w:pPr>
        <w:pStyle w:val="Heading2"/>
        <w:numPr>
          <w:ilvl w:val="0"/>
          <w:numId w:val="3"/>
        </w:numPr>
        <w:ind w:left="284" w:hanging="284"/>
        <w:rPr>
          <w:rFonts w:ascii="Arial" w:hAnsi="Arial" w:cs="Arial"/>
          <w:sz w:val="22"/>
          <w:szCs w:val="22"/>
        </w:rPr>
      </w:pPr>
      <w:r w:rsidRPr="00AC4554">
        <w:rPr>
          <w:rStyle w:val="Strong"/>
          <w:rFonts w:ascii="Arial" w:hAnsi="Arial" w:cs="Arial"/>
          <w:b/>
          <w:bCs/>
          <w:sz w:val="22"/>
          <w:szCs w:val="22"/>
        </w:rPr>
        <w:t>CHEMOSENSORY MECHANISMS IN SILKWORM FEEDING BEHAVIOR</w:t>
      </w:r>
    </w:p>
    <w:p w14:paraId="6F78DF97" w14:textId="77777777" w:rsidR="002E68B7" w:rsidRPr="00205602" w:rsidRDefault="002E68B7" w:rsidP="00053733">
      <w:pPr>
        <w:pStyle w:val="NormalWeb"/>
        <w:jc w:val="both"/>
        <w:rPr>
          <w:rFonts w:ascii="Arial" w:hAnsi="Arial" w:cs="Arial"/>
          <w:sz w:val="20"/>
        </w:rPr>
      </w:pPr>
      <w:r w:rsidRPr="00205602">
        <w:rPr>
          <w:rFonts w:ascii="Arial" w:hAnsi="Arial" w:cs="Arial"/>
          <w:sz w:val="20"/>
        </w:rPr>
        <w:t xml:space="preserve">Silkworm feeding behavior is orchestrated by a complex interplay of behavioral, physiological, and molecular mechanisms involving specialized chemosensory organs. Both </w:t>
      </w:r>
      <w:r w:rsidRPr="00205602">
        <w:rPr>
          <w:rStyle w:val="Emphasis"/>
          <w:rFonts w:ascii="Arial" w:hAnsi="Arial" w:cs="Arial"/>
          <w:sz w:val="20"/>
        </w:rPr>
        <w:t>Bombyx mori</w:t>
      </w:r>
      <w:r w:rsidRPr="00205602">
        <w:rPr>
          <w:rFonts w:ascii="Arial" w:hAnsi="Arial" w:cs="Arial"/>
          <w:sz w:val="20"/>
        </w:rPr>
        <w:t xml:space="preserve"> (the monophagous mulberry silkworm) and </w:t>
      </w:r>
      <w:proofErr w:type="spellStart"/>
      <w:r w:rsidRPr="00205602">
        <w:rPr>
          <w:rStyle w:val="Emphasis"/>
          <w:rFonts w:ascii="Arial" w:hAnsi="Arial" w:cs="Arial"/>
          <w:sz w:val="20"/>
        </w:rPr>
        <w:t>Antheraea</w:t>
      </w:r>
      <w:proofErr w:type="spellEnd"/>
      <w:r w:rsidRPr="00205602">
        <w:rPr>
          <w:rStyle w:val="Emphasis"/>
          <w:rFonts w:ascii="Arial" w:hAnsi="Arial" w:cs="Arial"/>
          <w:sz w:val="20"/>
        </w:rPr>
        <w:t xml:space="preserve"> </w:t>
      </w:r>
      <w:proofErr w:type="spellStart"/>
      <w:r w:rsidRPr="00205602">
        <w:rPr>
          <w:rStyle w:val="Emphasis"/>
          <w:rFonts w:ascii="Arial" w:hAnsi="Arial" w:cs="Arial"/>
          <w:sz w:val="20"/>
        </w:rPr>
        <w:t>assamensis</w:t>
      </w:r>
      <w:proofErr w:type="spellEnd"/>
      <w:r w:rsidRPr="00205602">
        <w:rPr>
          <w:rFonts w:ascii="Arial" w:hAnsi="Arial" w:cs="Arial"/>
          <w:sz w:val="20"/>
        </w:rPr>
        <w:t xml:space="preserve"> (the polyphagous </w:t>
      </w:r>
      <w:proofErr w:type="spellStart"/>
      <w:r w:rsidRPr="00205602">
        <w:rPr>
          <w:rFonts w:ascii="Arial" w:hAnsi="Arial" w:cs="Arial"/>
          <w:sz w:val="20"/>
        </w:rPr>
        <w:t>muga</w:t>
      </w:r>
      <w:proofErr w:type="spellEnd"/>
      <w:r w:rsidRPr="00205602">
        <w:rPr>
          <w:rFonts w:ascii="Arial" w:hAnsi="Arial" w:cs="Arial"/>
          <w:sz w:val="20"/>
        </w:rPr>
        <w:t xml:space="preserve"> silkworm) rely on finely tuned sensory systems to recognize and discriminate among host plants, though their degree of selectivity and sensory adaptations differ considerably. Understanding these mechanisms is critical not only for elucidating silkworm–plant interactions but also for advancing sericultural practices, artificial diet development, and host plant improvement.</w:t>
      </w:r>
    </w:p>
    <w:p w14:paraId="0B2683FE" w14:textId="77777777" w:rsidR="002E68B7" w:rsidRPr="00AC4554" w:rsidRDefault="00AC4554" w:rsidP="00AC4554">
      <w:pPr>
        <w:pStyle w:val="Heading3"/>
        <w:rPr>
          <w:rFonts w:ascii="Arial" w:hAnsi="Arial" w:cs="Arial"/>
          <w:color w:val="auto"/>
        </w:rPr>
      </w:pPr>
      <w:r w:rsidRPr="00AC4554">
        <w:rPr>
          <w:rStyle w:val="Strong"/>
          <w:rFonts w:ascii="Arial" w:hAnsi="Arial" w:cs="Arial"/>
          <w:b/>
          <w:bCs/>
          <w:color w:val="auto"/>
        </w:rPr>
        <w:t>3</w:t>
      </w:r>
      <w:r w:rsidR="002E68B7" w:rsidRPr="00AC4554">
        <w:rPr>
          <w:rStyle w:val="Strong"/>
          <w:rFonts w:ascii="Arial" w:hAnsi="Arial" w:cs="Arial"/>
          <w:b/>
          <w:bCs/>
          <w:color w:val="auto"/>
        </w:rPr>
        <w:t>.1 Behavioral and Electrophysiological Basis of Host Recognition</w:t>
      </w:r>
    </w:p>
    <w:p w14:paraId="5FA25C8C" w14:textId="77777777" w:rsidR="002E68B7" w:rsidRPr="00205602" w:rsidRDefault="002E68B7" w:rsidP="00053733">
      <w:pPr>
        <w:pStyle w:val="NormalWeb"/>
        <w:jc w:val="both"/>
        <w:rPr>
          <w:rFonts w:ascii="Arial" w:hAnsi="Arial" w:cs="Arial"/>
          <w:sz w:val="20"/>
        </w:rPr>
      </w:pPr>
      <w:r w:rsidRPr="00205602">
        <w:rPr>
          <w:rFonts w:ascii="Arial" w:hAnsi="Arial" w:cs="Arial"/>
          <w:sz w:val="20"/>
        </w:rPr>
        <w:t>Initial host plant recognition in silkworms begins with long-range olfactory cues detected by chemoreceptors located on the antennae and maxillary palps</w:t>
      </w:r>
      <w:r w:rsidR="00BB6537" w:rsidRPr="00205602">
        <w:rPr>
          <w:rFonts w:ascii="Arial" w:hAnsi="Arial" w:cs="Arial"/>
          <w:sz w:val="20"/>
        </w:rPr>
        <w:t xml:space="preserve"> (</w:t>
      </w:r>
      <w:r w:rsidR="00BB6537" w:rsidRPr="00D250E0">
        <w:rPr>
          <w:rFonts w:ascii="Arial" w:hAnsi="Arial" w:cs="Arial"/>
          <w:sz w:val="20"/>
        </w:rPr>
        <w:t xml:space="preserve">Sato </w:t>
      </w:r>
      <w:r w:rsidR="000D5F60" w:rsidRPr="00D250E0">
        <w:rPr>
          <w:rFonts w:ascii="Arial" w:hAnsi="Arial" w:cs="Arial"/>
          <w:sz w:val="20"/>
        </w:rPr>
        <w:t>&amp;</w:t>
      </w:r>
      <w:r w:rsidR="00BB6537" w:rsidRPr="00D250E0">
        <w:rPr>
          <w:rFonts w:ascii="Arial" w:hAnsi="Arial" w:cs="Arial"/>
          <w:sz w:val="20"/>
        </w:rPr>
        <w:t xml:space="preserve"> </w:t>
      </w:r>
      <w:proofErr w:type="spellStart"/>
      <w:r w:rsidR="00BB6537" w:rsidRPr="00D250E0">
        <w:rPr>
          <w:rFonts w:ascii="Arial" w:hAnsi="Arial" w:cs="Arial"/>
          <w:sz w:val="20"/>
        </w:rPr>
        <w:t>Touhara</w:t>
      </w:r>
      <w:proofErr w:type="spellEnd"/>
      <w:r w:rsidR="00BB6537" w:rsidRPr="00D250E0">
        <w:rPr>
          <w:rFonts w:ascii="Arial" w:hAnsi="Arial" w:cs="Arial"/>
          <w:sz w:val="20"/>
        </w:rPr>
        <w:t xml:space="preserve">, 2008; Hansson, 1995; Johnson </w:t>
      </w:r>
      <w:r w:rsidR="00BB6537" w:rsidRPr="00D250E0">
        <w:rPr>
          <w:rFonts w:ascii="Arial" w:hAnsi="Arial" w:cs="Arial"/>
          <w:i/>
          <w:sz w:val="20"/>
        </w:rPr>
        <w:t xml:space="preserve">et </w:t>
      </w:r>
      <w:r w:rsidR="000D5F60" w:rsidRPr="00D250E0">
        <w:rPr>
          <w:rFonts w:ascii="Arial" w:hAnsi="Arial" w:cs="Arial"/>
          <w:i/>
          <w:sz w:val="20"/>
        </w:rPr>
        <w:t>al.,</w:t>
      </w:r>
      <w:r w:rsidR="000D5F60" w:rsidRPr="00D250E0">
        <w:rPr>
          <w:rFonts w:ascii="Arial" w:hAnsi="Arial" w:cs="Arial"/>
          <w:sz w:val="20"/>
        </w:rPr>
        <w:t xml:space="preserve"> 2011; Nissan </w:t>
      </w:r>
      <w:r w:rsidR="000D5F60" w:rsidRPr="00D250E0">
        <w:rPr>
          <w:rFonts w:ascii="Arial" w:hAnsi="Arial" w:cs="Arial"/>
          <w:i/>
          <w:sz w:val="20"/>
        </w:rPr>
        <w:t>et al.,</w:t>
      </w:r>
      <w:r w:rsidR="000D5F60" w:rsidRPr="00D250E0">
        <w:rPr>
          <w:rFonts w:ascii="Arial" w:hAnsi="Arial" w:cs="Arial"/>
          <w:sz w:val="20"/>
        </w:rPr>
        <w:t xml:space="preserve"> 2009)</w:t>
      </w:r>
      <w:r w:rsidRPr="00D250E0">
        <w:rPr>
          <w:rFonts w:ascii="Arial" w:hAnsi="Arial" w:cs="Arial"/>
          <w:sz w:val="20"/>
        </w:rPr>
        <w:t xml:space="preserve">. These cues, often in the form of plant-emitted volatile organic compounds, guide larvae to potential food sources (Ishikawa </w:t>
      </w:r>
      <w:r w:rsidRPr="00D250E0">
        <w:rPr>
          <w:rFonts w:ascii="Arial" w:hAnsi="Arial" w:cs="Arial"/>
          <w:i/>
          <w:sz w:val="20"/>
        </w:rPr>
        <w:t>et al.,</w:t>
      </w:r>
      <w:r w:rsidRPr="00D250E0">
        <w:rPr>
          <w:rFonts w:ascii="Arial" w:hAnsi="Arial" w:cs="Arial"/>
          <w:sz w:val="20"/>
        </w:rPr>
        <w:t xml:space="preserve"> 1969). Upon contact, tactile and gustatory cues dominate, with test biting behavior serving as a crucial evaluative step</w:t>
      </w:r>
      <w:r w:rsidR="00205602" w:rsidRPr="00D250E0">
        <w:rPr>
          <w:rFonts w:ascii="Arial" w:hAnsi="Arial" w:cs="Arial"/>
          <w:sz w:val="20"/>
        </w:rPr>
        <w:t xml:space="preserve"> (Van &amp; </w:t>
      </w:r>
      <w:r w:rsidR="00BB6537" w:rsidRPr="00D250E0">
        <w:rPr>
          <w:rFonts w:ascii="Arial" w:hAnsi="Arial" w:cs="Arial"/>
          <w:sz w:val="20"/>
        </w:rPr>
        <w:t>Carlson, 2006)</w:t>
      </w:r>
      <w:r w:rsidRPr="00D250E0">
        <w:rPr>
          <w:rFonts w:ascii="Arial" w:hAnsi="Arial" w:cs="Arial"/>
          <w:sz w:val="20"/>
        </w:rPr>
        <w:t>. This is mediated by gustatory receptors located on the maxillary galea and labrum, which sense surface phytochemicals and exuded sap from host leaves (Bernays &amp; Chapman, 1994</w:t>
      </w:r>
      <w:r w:rsidR="00A84707" w:rsidRPr="00D250E0">
        <w:rPr>
          <w:rFonts w:ascii="Arial" w:hAnsi="Arial" w:cs="Arial"/>
          <w:sz w:val="20"/>
        </w:rPr>
        <w:t>, 2001</w:t>
      </w:r>
      <w:r w:rsidRPr="00D250E0">
        <w:rPr>
          <w:rFonts w:ascii="Arial" w:hAnsi="Arial" w:cs="Arial"/>
          <w:sz w:val="20"/>
        </w:rPr>
        <w:t>; Watanabe, 1958</w:t>
      </w:r>
      <w:r w:rsidR="00A84707" w:rsidRPr="00D250E0">
        <w:rPr>
          <w:rFonts w:ascii="Arial" w:hAnsi="Arial" w:cs="Arial"/>
          <w:sz w:val="20"/>
        </w:rPr>
        <w:t xml:space="preserve">; Watanabe </w:t>
      </w:r>
      <w:r w:rsidR="00A84707" w:rsidRPr="00D250E0">
        <w:rPr>
          <w:rFonts w:ascii="Arial" w:hAnsi="Arial" w:cs="Arial"/>
          <w:i/>
          <w:sz w:val="20"/>
        </w:rPr>
        <w:t>et al.,</w:t>
      </w:r>
      <w:r w:rsidR="00A84707" w:rsidRPr="00D250E0">
        <w:rPr>
          <w:rFonts w:ascii="Arial" w:hAnsi="Arial" w:cs="Arial"/>
          <w:sz w:val="20"/>
        </w:rPr>
        <w:t xml:space="preserve"> 2011</w:t>
      </w:r>
      <w:r w:rsidR="00BB6537" w:rsidRPr="00D250E0">
        <w:rPr>
          <w:rFonts w:ascii="Arial" w:hAnsi="Arial" w:cs="Arial"/>
          <w:sz w:val="20"/>
        </w:rPr>
        <w:t xml:space="preserve">; Miles </w:t>
      </w:r>
      <w:r w:rsidR="00BB6537" w:rsidRPr="00D250E0">
        <w:rPr>
          <w:rFonts w:ascii="Arial" w:hAnsi="Arial" w:cs="Arial"/>
          <w:i/>
          <w:sz w:val="20"/>
        </w:rPr>
        <w:t>et al., 2005;</w:t>
      </w:r>
      <w:r w:rsidR="00BB6537" w:rsidRPr="00D250E0">
        <w:rPr>
          <w:rFonts w:ascii="Arial" w:hAnsi="Arial" w:cs="Arial"/>
          <w:sz w:val="20"/>
        </w:rPr>
        <w:t xml:space="preserve"> Van &amp; Schoonhoven, 1999</w:t>
      </w:r>
      <w:r w:rsidRPr="00D250E0">
        <w:rPr>
          <w:rFonts w:ascii="Arial" w:hAnsi="Arial" w:cs="Arial"/>
          <w:sz w:val="20"/>
        </w:rPr>
        <w:t>)</w:t>
      </w:r>
      <w:r w:rsidR="00B8025E" w:rsidRPr="00D250E0">
        <w:rPr>
          <w:rFonts w:ascii="Arial" w:hAnsi="Arial" w:cs="Arial"/>
          <w:sz w:val="20"/>
        </w:rPr>
        <w:t xml:space="preserve"> (Fig. 1)</w:t>
      </w:r>
      <w:r w:rsidRPr="00D250E0">
        <w:rPr>
          <w:rFonts w:ascii="Arial" w:hAnsi="Arial" w:cs="Arial"/>
          <w:sz w:val="20"/>
        </w:rPr>
        <w:t>.</w:t>
      </w:r>
    </w:p>
    <w:p w14:paraId="72C54651" w14:textId="77777777" w:rsidR="002E68B7" w:rsidRPr="00205602" w:rsidRDefault="002E68B7" w:rsidP="00205602">
      <w:pPr>
        <w:pStyle w:val="NormalWeb"/>
        <w:jc w:val="both"/>
        <w:rPr>
          <w:rFonts w:ascii="Arial" w:hAnsi="Arial" w:cs="Arial"/>
          <w:sz w:val="20"/>
        </w:rPr>
      </w:pPr>
      <w:r w:rsidRPr="00205602">
        <w:rPr>
          <w:rFonts w:ascii="Arial" w:hAnsi="Arial" w:cs="Arial"/>
          <w:sz w:val="20"/>
        </w:rPr>
        <w:t xml:space="preserve">Electrophysiological studies in </w:t>
      </w:r>
      <w:r w:rsidRPr="00205602">
        <w:rPr>
          <w:rStyle w:val="Emphasis"/>
          <w:rFonts w:ascii="Arial" w:hAnsi="Arial" w:cs="Arial"/>
          <w:sz w:val="20"/>
        </w:rPr>
        <w:t>B. mori</w:t>
      </w:r>
      <w:r w:rsidRPr="00205602">
        <w:rPr>
          <w:rFonts w:ascii="Arial" w:hAnsi="Arial" w:cs="Arial"/>
          <w:sz w:val="20"/>
        </w:rPr>
        <w:t xml:space="preserve"> have demonstrated that the larvae respond selectively to specific host-derived compounds, such as chlorogenic acid, β-sitosterol, and flavonoids like </w:t>
      </w:r>
      <w:proofErr w:type="spellStart"/>
      <w:r w:rsidRPr="00205602">
        <w:rPr>
          <w:rFonts w:ascii="Arial" w:hAnsi="Arial" w:cs="Arial"/>
          <w:sz w:val="20"/>
        </w:rPr>
        <w:t>isoquercetin</w:t>
      </w:r>
      <w:proofErr w:type="spellEnd"/>
      <w:r w:rsidRPr="00205602">
        <w:rPr>
          <w:rFonts w:ascii="Arial" w:hAnsi="Arial" w:cs="Arial"/>
          <w:sz w:val="20"/>
        </w:rPr>
        <w:t xml:space="preserve">, found in </w:t>
      </w:r>
      <w:proofErr w:type="spellStart"/>
      <w:r w:rsidRPr="00205602">
        <w:rPr>
          <w:rStyle w:val="Emphasis"/>
          <w:rFonts w:ascii="Arial" w:hAnsi="Arial" w:cs="Arial"/>
          <w:sz w:val="20"/>
        </w:rPr>
        <w:t>Morus</w:t>
      </w:r>
      <w:proofErr w:type="spellEnd"/>
      <w:r w:rsidRPr="00205602">
        <w:rPr>
          <w:rFonts w:ascii="Arial" w:hAnsi="Arial" w:cs="Arial"/>
          <w:sz w:val="20"/>
        </w:rPr>
        <w:t xml:space="preserve"> spp. leaves (</w:t>
      </w:r>
      <w:r w:rsidRPr="00D250E0">
        <w:rPr>
          <w:rFonts w:ascii="Arial" w:hAnsi="Arial" w:cs="Arial"/>
          <w:sz w:val="20"/>
        </w:rPr>
        <w:t xml:space="preserve">Ito &amp; Tanaka, 1959; Nayar &amp; Fraenkel, 1962). Activation of sensory neurons upon detection of these compounds initiates feeding. Similar behavior has been observed in </w:t>
      </w:r>
      <w:r w:rsidRPr="00D250E0">
        <w:rPr>
          <w:rStyle w:val="Emphasis"/>
          <w:rFonts w:ascii="Arial" w:hAnsi="Arial" w:cs="Arial"/>
          <w:sz w:val="20"/>
        </w:rPr>
        <w:t xml:space="preserve">A. </w:t>
      </w:r>
      <w:proofErr w:type="spellStart"/>
      <w:r w:rsidRPr="00D250E0">
        <w:rPr>
          <w:rStyle w:val="Emphasis"/>
          <w:rFonts w:ascii="Arial" w:hAnsi="Arial" w:cs="Arial"/>
          <w:sz w:val="20"/>
        </w:rPr>
        <w:t>assamensis</w:t>
      </w:r>
      <w:proofErr w:type="spellEnd"/>
      <w:r w:rsidRPr="00D250E0">
        <w:rPr>
          <w:rFonts w:ascii="Arial" w:hAnsi="Arial" w:cs="Arial"/>
          <w:sz w:val="20"/>
        </w:rPr>
        <w:t>, though the range of acceptable host plants is broader, and the spectrum of responsive</w:t>
      </w:r>
      <w:r w:rsidRPr="00205602">
        <w:rPr>
          <w:rFonts w:ascii="Arial" w:hAnsi="Arial" w:cs="Arial"/>
          <w:sz w:val="20"/>
        </w:rPr>
        <w:t xml:space="preserve"> compounds is more diverse due to its polyphagous nature (</w:t>
      </w:r>
      <w:r w:rsidR="00D250E0" w:rsidRPr="00D250E0">
        <w:rPr>
          <w:rStyle w:val="Strong"/>
          <w:rFonts w:ascii="Arial" w:hAnsi="Arial" w:cs="Arial"/>
          <w:b w:val="0"/>
          <w:sz w:val="20"/>
          <w:szCs w:val="20"/>
        </w:rPr>
        <w:t>Mech &amp; Vijay</w:t>
      </w:r>
      <w:r w:rsidR="00D250E0" w:rsidRPr="00D250E0">
        <w:rPr>
          <w:rFonts w:ascii="Arial" w:hAnsi="Arial" w:cs="Arial"/>
          <w:sz w:val="20"/>
          <w:szCs w:val="20"/>
        </w:rPr>
        <w:t>, 2022</w:t>
      </w:r>
      <w:r w:rsidR="00D250E0" w:rsidRPr="00D250E0">
        <w:rPr>
          <w:rFonts w:ascii="Arial" w:hAnsi="Arial" w:cs="Arial"/>
          <w:sz w:val="20"/>
        </w:rPr>
        <w:t xml:space="preserve">; </w:t>
      </w:r>
      <w:proofErr w:type="spellStart"/>
      <w:r w:rsidR="00D250E0" w:rsidRPr="00D250E0">
        <w:rPr>
          <w:rFonts w:ascii="Arial" w:hAnsi="Arial" w:cs="Arial"/>
          <w:sz w:val="20"/>
        </w:rPr>
        <w:t>Haloi</w:t>
      </w:r>
      <w:proofErr w:type="spellEnd"/>
      <w:r w:rsidR="00D250E0">
        <w:rPr>
          <w:rFonts w:ascii="Arial" w:hAnsi="Arial" w:cs="Arial"/>
          <w:sz w:val="20"/>
        </w:rPr>
        <w:t xml:space="preserve"> </w:t>
      </w:r>
      <w:r w:rsidR="00D250E0" w:rsidRPr="00D250E0">
        <w:rPr>
          <w:rFonts w:ascii="Arial" w:hAnsi="Arial" w:cs="Arial"/>
          <w:i/>
          <w:sz w:val="20"/>
        </w:rPr>
        <w:t>et al.,</w:t>
      </w:r>
      <w:r w:rsidR="00D250E0">
        <w:rPr>
          <w:rFonts w:ascii="Arial" w:hAnsi="Arial" w:cs="Arial"/>
          <w:sz w:val="20"/>
        </w:rPr>
        <w:t xml:space="preserve"> 2023</w:t>
      </w:r>
      <w:r w:rsidRPr="00205602">
        <w:rPr>
          <w:rFonts w:ascii="Arial" w:hAnsi="Arial" w:cs="Arial"/>
          <w:sz w:val="20"/>
        </w:rPr>
        <w:t>).</w:t>
      </w:r>
    </w:p>
    <w:p w14:paraId="15277B01" w14:textId="77777777" w:rsidR="00832C9B" w:rsidRDefault="00832C9B" w:rsidP="00053733">
      <w:pPr>
        <w:pStyle w:val="NormalWeb"/>
        <w:jc w:val="both"/>
      </w:pPr>
      <w:r>
        <w:lastRenderedPageBreak/>
        <w:t xml:space="preserve">                                 </w:t>
      </w:r>
      <w:r w:rsidRPr="00832C9B">
        <w:rPr>
          <w:noProof/>
        </w:rPr>
        <w:drawing>
          <wp:inline distT="0" distB="0" distL="0" distR="0" wp14:anchorId="7A7151E5" wp14:editId="685FBB9F">
            <wp:extent cx="2997888" cy="2099144"/>
            <wp:effectExtent l="1905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2995965" cy="2097797"/>
                    </a:xfrm>
                    <a:prstGeom prst="rect">
                      <a:avLst/>
                    </a:prstGeom>
                    <a:noFill/>
                    <a:ln w="9525">
                      <a:noFill/>
                      <a:miter lim="800000"/>
                      <a:headEnd/>
                      <a:tailEnd/>
                    </a:ln>
                  </pic:spPr>
                </pic:pic>
              </a:graphicData>
            </a:graphic>
          </wp:inline>
        </w:drawing>
      </w:r>
    </w:p>
    <w:p w14:paraId="26A6864B" w14:textId="77777777" w:rsidR="00832C9B" w:rsidRPr="00ED6D5E" w:rsidRDefault="00B8025E" w:rsidP="00832C9B">
      <w:pPr>
        <w:pStyle w:val="NormalWeb"/>
        <w:jc w:val="both"/>
        <w:rPr>
          <w:rFonts w:ascii="Arial" w:hAnsi="Arial" w:cs="Arial"/>
          <w:b/>
          <w:i/>
          <w:sz w:val="20"/>
          <w:szCs w:val="20"/>
        </w:rPr>
      </w:pPr>
      <w:r w:rsidRPr="00ED6D5E">
        <w:rPr>
          <w:rFonts w:ascii="Arial" w:hAnsi="Arial" w:cs="Arial"/>
          <w:b/>
          <w:sz w:val="20"/>
          <w:szCs w:val="20"/>
        </w:rPr>
        <w:t>Fig. 1</w:t>
      </w:r>
      <w:r w:rsidR="00832C9B" w:rsidRPr="00ED6D5E">
        <w:rPr>
          <w:rFonts w:ascii="Arial" w:hAnsi="Arial" w:cs="Arial"/>
          <w:b/>
          <w:sz w:val="20"/>
          <w:szCs w:val="20"/>
        </w:rPr>
        <w:t xml:space="preserve">. Host recognition and acceptance by </w:t>
      </w:r>
      <w:r w:rsidR="00832C9B" w:rsidRPr="00ED6D5E">
        <w:rPr>
          <w:rFonts w:ascii="Arial" w:hAnsi="Arial" w:cs="Arial"/>
          <w:b/>
          <w:i/>
          <w:sz w:val="20"/>
          <w:szCs w:val="20"/>
        </w:rPr>
        <w:t>B. mori</w:t>
      </w:r>
    </w:p>
    <w:p w14:paraId="5D7AB62C" w14:textId="77777777" w:rsidR="00832C9B" w:rsidRPr="00ED6D5E" w:rsidRDefault="00832C9B" w:rsidP="00053733">
      <w:pPr>
        <w:pStyle w:val="NormalWeb"/>
        <w:jc w:val="both"/>
        <w:rPr>
          <w:rFonts w:ascii="Arial" w:hAnsi="Arial" w:cs="Arial"/>
          <w:b/>
          <w:sz w:val="20"/>
          <w:szCs w:val="20"/>
        </w:rPr>
      </w:pPr>
      <w:r w:rsidRPr="00D250E0">
        <w:rPr>
          <w:rFonts w:ascii="Arial" w:hAnsi="Arial" w:cs="Arial"/>
          <w:sz w:val="20"/>
          <w:szCs w:val="20"/>
        </w:rPr>
        <w:t>(</w:t>
      </w:r>
      <w:proofErr w:type="spellStart"/>
      <w:r w:rsidRPr="00D250E0">
        <w:rPr>
          <w:rFonts w:ascii="Arial" w:hAnsi="Arial" w:cs="Arial"/>
          <w:sz w:val="20"/>
          <w:szCs w:val="20"/>
        </w:rPr>
        <w:t>Tsuneto</w:t>
      </w:r>
      <w:proofErr w:type="spellEnd"/>
      <w:r w:rsidRPr="00D250E0">
        <w:rPr>
          <w:rFonts w:ascii="Arial" w:hAnsi="Arial" w:cs="Arial"/>
          <w:sz w:val="20"/>
          <w:szCs w:val="20"/>
        </w:rPr>
        <w:t xml:space="preserve"> </w:t>
      </w:r>
      <w:r w:rsidRPr="00D250E0">
        <w:rPr>
          <w:rFonts w:ascii="Arial" w:hAnsi="Arial" w:cs="Arial"/>
          <w:i/>
          <w:sz w:val="20"/>
          <w:szCs w:val="20"/>
        </w:rPr>
        <w:t>et al.,</w:t>
      </w:r>
      <w:r w:rsidRPr="00D250E0">
        <w:rPr>
          <w:rFonts w:ascii="Arial" w:hAnsi="Arial" w:cs="Arial"/>
          <w:sz w:val="20"/>
          <w:szCs w:val="20"/>
        </w:rPr>
        <w:t xml:space="preserve"> 2020)</w:t>
      </w:r>
    </w:p>
    <w:p w14:paraId="47ABA866" w14:textId="77777777" w:rsidR="002E68B7" w:rsidRPr="00AC4554" w:rsidRDefault="00AC4554" w:rsidP="00AC4554">
      <w:pPr>
        <w:pStyle w:val="Heading3"/>
        <w:rPr>
          <w:rFonts w:ascii="Arial" w:hAnsi="Arial" w:cs="Arial"/>
          <w:color w:val="auto"/>
        </w:rPr>
      </w:pPr>
      <w:r w:rsidRPr="00AC4554">
        <w:rPr>
          <w:rStyle w:val="Strong"/>
          <w:rFonts w:ascii="Arial" w:hAnsi="Arial" w:cs="Arial"/>
          <w:b/>
          <w:bCs/>
          <w:color w:val="auto"/>
        </w:rPr>
        <w:t>3</w:t>
      </w:r>
      <w:r w:rsidR="002E68B7" w:rsidRPr="00AC4554">
        <w:rPr>
          <w:rStyle w:val="Strong"/>
          <w:rFonts w:ascii="Arial" w:hAnsi="Arial" w:cs="Arial"/>
          <w:b/>
          <w:bCs/>
          <w:color w:val="auto"/>
        </w:rPr>
        <w:t xml:space="preserve">.2 Two-Factor Host Acceptance Model in </w:t>
      </w:r>
      <w:r w:rsidR="002E68B7" w:rsidRPr="00AC4554">
        <w:rPr>
          <w:rStyle w:val="Emphasis"/>
          <w:rFonts w:ascii="Arial" w:hAnsi="Arial" w:cs="Arial"/>
          <w:color w:val="auto"/>
        </w:rPr>
        <w:t>Bombyx mori</w:t>
      </w:r>
    </w:p>
    <w:p w14:paraId="1F6838E8" w14:textId="77777777" w:rsidR="002E68B7" w:rsidRPr="00205602" w:rsidRDefault="002E68B7" w:rsidP="00053733">
      <w:pPr>
        <w:pStyle w:val="NormalWeb"/>
        <w:jc w:val="both"/>
        <w:rPr>
          <w:rFonts w:ascii="Arial" w:hAnsi="Arial" w:cs="Arial"/>
          <w:sz w:val="20"/>
        </w:rPr>
      </w:pPr>
      <w:r w:rsidRPr="00205602">
        <w:rPr>
          <w:rFonts w:ascii="Arial" w:hAnsi="Arial" w:cs="Arial"/>
          <w:sz w:val="20"/>
        </w:rPr>
        <w:t xml:space="preserve">Recent advances have clarified the two-step chemosensory mechanism in </w:t>
      </w:r>
      <w:r w:rsidRPr="00205602">
        <w:rPr>
          <w:rStyle w:val="Emphasis"/>
          <w:rFonts w:ascii="Arial" w:hAnsi="Arial" w:cs="Arial"/>
          <w:sz w:val="20"/>
        </w:rPr>
        <w:t>B. mori</w:t>
      </w:r>
      <w:r w:rsidRPr="00205602">
        <w:rPr>
          <w:rFonts w:ascii="Arial" w:hAnsi="Arial" w:cs="Arial"/>
          <w:sz w:val="20"/>
        </w:rPr>
        <w:t xml:space="preserve">, as proposed by </w:t>
      </w:r>
      <w:proofErr w:type="spellStart"/>
      <w:r w:rsidRPr="00D250E0">
        <w:rPr>
          <w:rFonts w:ascii="Arial" w:hAnsi="Arial" w:cs="Arial"/>
          <w:sz w:val="20"/>
        </w:rPr>
        <w:t>Tsuneto</w:t>
      </w:r>
      <w:proofErr w:type="spellEnd"/>
      <w:r w:rsidRPr="00D250E0">
        <w:rPr>
          <w:rFonts w:ascii="Arial" w:hAnsi="Arial" w:cs="Arial"/>
          <w:sz w:val="20"/>
        </w:rPr>
        <w:t xml:space="preserve"> </w:t>
      </w:r>
      <w:r w:rsidRPr="00D250E0">
        <w:rPr>
          <w:rFonts w:ascii="Arial" w:hAnsi="Arial" w:cs="Arial"/>
          <w:i/>
          <w:sz w:val="20"/>
        </w:rPr>
        <w:t>et al.</w:t>
      </w:r>
      <w:r w:rsidRPr="00D250E0">
        <w:rPr>
          <w:rFonts w:ascii="Arial" w:hAnsi="Arial" w:cs="Arial"/>
          <w:sz w:val="20"/>
        </w:rPr>
        <w:t xml:space="preserve"> (2020)</w:t>
      </w:r>
      <w:r w:rsidR="00B8025E" w:rsidRPr="00205602">
        <w:rPr>
          <w:rFonts w:ascii="Arial" w:hAnsi="Arial" w:cs="Arial"/>
          <w:sz w:val="20"/>
        </w:rPr>
        <w:t xml:space="preserve"> (Fig.2</w:t>
      </w:r>
      <w:r w:rsidR="004F4FB1" w:rsidRPr="00205602">
        <w:rPr>
          <w:rFonts w:ascii="Arial" w:hAnsi="Arial" w:cs="Arial"/>
          <w:sz w:val="20"/>
        </w:rPr>
        <w:t>)</w:t>
      </w:r>
      <w:r w:rsidRPr="00205602">
        <w:rPr>
          <w:rFonts w:ascii="Arial" w:hAnsi="Arial" w:cs="Arial"/>
          <w:sz w:val="20"/>
        </w:rPr>
        <w:t>. In this model, host acceptance involves sequential input from two key maxillary structures:</w:t>
      </w:r>
    </w:p>
    <w:p w14:paraId="7C5BECAD" w14:textId="77777777" w:rsidR="002E68B7" w:rsidRPr="00205602" w:rsidRDefault="002E68B7" w:rsidP="00053733">
      <w:pPr>
        <w:pStyle w:val="NormalWeb"/>
        <w:numPr>
          <w:ilvl w:val="0"/>
          <w:numId w:val="2"/>
        </w:numPr>
        <w:jc w:val="both"/>
        <w:rPr>
          <w:rFonts w:ascii="Arial" w:hAnsi="Arial" w:cs="Arial"/>
          <w:sz w:val="20"/>
        </w:rPr>
      </w:pPr>
      <w:r w:rsidRPr="00205602">
        <w:rPr>
          <w:rFonts w:ascii="Arial" w:hAnsi="Arial" w:cs="Arial"/>
          <w:sz w:val="20"/>
        </w:rPr>
        <w:t xml:space="preserve">The </w:t>
      </w:r>
      <w:r w:rsidRPr="00205602">
        <w:rPr>
          <w:rStyle w:val="Strong"/>
          <w:rFonts w:ascii="Arial" w:hAnsi="Arial" w:cs="Arial"/>
          <w:sz w:val="20"/>
        </w:rPr>
        <w:t>maxillary palp (MP)</w:t>
      </w:r>
      <w:r w:rsidRPr="00205602">
        <w:rPr>
          <w:rFonts w:ascii="Arial" w:hAnsi="Arial" w:cs="Arial"/>
          <w:sz w:val="20"/>
        </w:rPr>
        <w:t xml:space="preserve"> plays a critical role in the initial recognition phase. It houses ultra-sensitive gustatory neurons capable of detecting host-specific phytochemicals, including </w:t>
      </w:r>
      <w:r w:rsidRPr="00205602">
        <w:rPr>
          <w:rStyle w:val="Strong"/>
          <w:rFonts w:ascii="Arial" w:hAnsi="Arial" w:cs="Arial"/>
          <w:b w:val="0"/>
          <w:sz w:val="20"/>
        </w:rPr>
        <w:t xml:space="preserve">chlorogenic acid, β-sitosterol, and </w:t>
      </w:r>
      <w:proofErr w:type="spellStart"/>
      <w:r w:rsidRPr="00205602">
        <w:rPr>
          <w:rStyle w:val="Strong"/>
          <w:rFonts w:ascii="Arial" w:hAnsi="Arial" w:cs="Arial"/>
          <w:b w:val="0"/>
          <w:sz w:val="20"/>
        </w:rPr>
        <w:t>isoquercetin</w:t>
      </w:r>
      <w:proofErr w:type="spellEnd"/>
      <w:r w:rsidRPr="00205602">
        <w:rPr>
          <w:rFonts w:ascii="Arial" w:hAnsi="Arial" w:cs="Arial"/>
          <w:sz w:val="20"/>
        </w:rPr>
        <w:t>, at extremely low concentrations (</w:t>
      </w:r>
      <w:proofErr w:type="spellStart"/>
      <w:r w:rsidRPr="00205602">
        <w:rPr>
          <w:rFonts w:ascii="Arial" w:hAnsi="Arial" w:cs="Arial"/>
          <w:sz w:val="20"/>
        </w:rPr>
        <w:t>attomolar</w:t>
      </w:r>
      <w:proofErr w:type="spellEnd"/>
      <w:r w:rsidRPr="00205602">
        <w:rPr>
          <w:rFonts w:ascii="Arial" w:hAnsi="Arial" w:cs="Arial"/>
          <w:sz w:val="20"/>
        </w:rPr>
        <w:t xml:space="preserve"> to femtomolar levels). These compounds are found on the leaf surface waxes of mulberry and serve as reliable chemical signatures for </w:t>
      </w:r>
      <w:r w:rsidRPr="00205602">
        <w:rPr>
          <w:rStyle w:val="Emphasis"/>
          <w:rFonts w:ascii="Arial" w:hAnsi="Arial" w:cs="Arial"/>
          <w:sz w:val="20"/>
        </w:rPr>
        <w:t>B. mori</w:t>
      </w:r>
      <w:r w:rsidRPr="00205602">
        <w:rPr>
          <w:rFonts w:ascii="Arial" w:hAnsi="Arial" w:cs="Arial"/>
          <w:sz w:val="20"/>
        </w:rPr>
        <w:t>. Activation of MP receptors by these molecules triggers the larva to engage in test biting behavior.</w:t>
      </w:r>
    </w:p>
    <w:p w14:paraId="6D93A53A" w14:textId="77777777" w:rsidR="002E68B7" w:rsidRPr="00205602" w:rsidRDefault="002E68B7" w:rsidP="00053733">
      <w:pPr>
        <w:pStyle w:val="NormalWeb"/>
        <w:numPr>
          <w:ilvl w:val="0"/>
          <w:numId w:val="2"/>
        </w:numPr>
        <w:jc w:val="both"/>
        <w:rPr>
          <w:rFonts w:ascii="Arial" w:hAnsi="Arial" w:cs="Arial"/>
          <w:sz w:val="20"/>
        </w:rPr>
      </w:pPr>
      <w:r w:rsidRPr="00205602">
        <w:rPr>
          <w:rFonts w:ascii="Arial" w:hAnsi="Arial" w:cs="Arial"/>
          <w:sz w:val="20"/>
        </w:rPr>
        <w:t xml:space="preserve">Following this, the </w:t>
      </w:r>
      <w:r w:rsidRPr="00205602">
        <w:rPr>
          <w:rStyle w:val="Strong"/>
          <w:rFonts w:ascii="Arial" w:hAnsi="Arial" w:cs="Arial"/>
          <w:sz w:val="20"/>
        </w:rPr>
        <w:t>maxillary galea (MG)</w:t>
      </w:r>
      <w:r w:rsidRPr="00205602">
        <w:rPr>
          <w:rFonts w:ascii="Arial" w:hAnsi="Arial" w:cs="Arial"/>
          <w:sz w:val="20"/>
        </w:rPr>
        <w:t xml:space="preserve"> becomes active during the test bite stage, where it evaluates compounds released from the leaf sap. Sugars like </w:t>
      </w:r>
      <w:r w:rsidRPr="00205602">
        <w:rPr>
          <w:rStyle w:val="Strong"/>
          <w:rFonts w:ascii="Arial" w:hAnsi="Arial" w:cs="Arial"/>
          <w:b w:val="0"/>
          <w:sz w:val="20"/>
        </w:rPr>
        <w:t>sucrose</w:t>
      </w:r>
      <w:r w:rsidRPr="00205602">
        <w:rPr>
          <w:rFonts w:ascii="Arial" w:hAnsi="Arial" w:cs="Arial"/>
          <w:sz w:val="20"/>
        </w:rPr>
        <w:t xml:space="preserve"> and </w:t>
      </w:r>
      <w:r w:rsidRPr="00205602">
        <w:rPr>
          <w:rStyle w:val="Strong"/>
          <w:rFonts w:ascii="Arial" w:hAnsi="Arial" w:cs="Arial"/>
          <w:b w:val="0"/>
          <w:sz w:val="20"/>
        </w:rPr>
        <w:t>myo</w:t>
      </w:r>
      <w:r w:rsidRPr="00205602">
        <w:rPr>
          <w:rStyle w:val="Strong"/>
          <w:rFonts w:ascii="Arial" w:hAnsi="Arial" w:cs="Arial"/>
          <w:sz w:val="20"/>
        </w:rPr>
        <w:t>-</w:t>
      </w:r>
      <w:r w:rsidRPr="00205602">
        <w:rPr>
          <w:rStyle w:val="Strong"/>
          <w:rFonts w:ascii="Arial" w:hAnsi="Arial" w:cs="Arial"/>
          <w:b w:val="0"/>
          <w:sz w:val="20"/>
        </w:rPr>
        <w:t>inositol</w:t>
      </w:r>
      <w:r w:rsidRPr="00205602">
        <w:rPr>
          <w:rFonts w:ascii="Arial" w:hAnsi="Arial" w:cs="Arial"/>
          <w:b/>
          <w:sz w:val="20"/>
        </w:rPr>
        <w:t>,</w:t>
      </w:r>
      <w:r w:rsidRPr="00205602">
        <w:rPr>
          <w:rFonts w:ascii="Arial" w:hAnsi="Arial" w:cs="Arial"/>
          <w:sz w:val="20"/>
        </w:rPr>
        <w:t xml:space="preserve"> which leak from the damaged plant tissues, act as feeding stimulants when detected by MG receptors (</w:t>
      </w:r>
      <w:r w:rsidRPr="00D250E0">
        <w:rPr>
          <w:rFonts w:ascii="Arial" w:hAnsi="Arial" w:cs="Arial"/>
          <w:sz w:val="20"/>
        </w:rPr>
        <w:t xml:space="preserve">Ishikawa </w:t>
      </w:r>
      <w:r w:rsidRPr="00D250E0">
        <w:rPr>
          <w:rFonts w:ascii="Arial" w:hAnsi="Arial" w:cs="Arial"/>
          <w:i/>
          <w:sz w:val="20"/>
        </w:rPr>
        <w:t>et al.,</w:t>
      </w:r>
      <w:r w:rsidRPr="00D250E0">
        <w:rPr>
          <w:rFonts w:ascii="Arial" w:hAnsi="Arial" w:cs="Arial"/>
          <w:sz w:val="20"/>
        </w:rPr>
        <w:t xml:space="preserve"> 1969;</w:t>
      </w:r>
      <w:r w:rsidR="00A84707" w:rsidRPr="00D250E0">
        <w:rPr>
          <w:rFonts w:ascii="Arial" w:hAnsi="Arial" w:cs="Arial"/>
          <w:sz w:val="20"/>
        </w:rPr>
        <w:t xml:space="preserve"> </w:t>
      </w:r>
      <w:proofErr w:type="spellStart"/>
      <w:r w:rsidR="00A84707" w:rsidRPr="00D250E0">
        <w:rPr>
          <w:rFonts w:ascii="Arial" w:hAnsi="Arial" w:cs="Arial"/>
          <w:sz w:val="20"/>
        </w:rPr>
        <w:t>Wanner</w:t>
      </w:r>
      <w:proofErr w:type="spellEnd"/>
      <w:r w:rsidR="00A84707" w:rsidRPr="00D250E0">
        <w:rPr>
          <w:rFonts w:ascii="Arial" w:hAnsi="Arial" w:cs="Arial"/>
          <w:sz w:val="20"/>
        </w:rPr>
        <w:t xml:space="preserve"> &amp; Robertson, 2009</w:t>
      </w:r>
      <w:r w:rsidRPr="00205602">
        <w:rPr>
          <w:rFonts w:ascii="Arial" w:hAnsi="Arial" w:cs="Arial"/>
          <w:sz w:val="20"/>
        </w:rPr>
        <w:t>). The detection of these compounds confirms the palatability and nutritional suitability of the plant, prompting the larva to initiate persistent feeding.</w:t>
      </w:r>
    </w:p>
    <w:p w14:paraId="54368FFD" w14:textId="77777777" w:rsidR="00A700D0" w:rsidRPr="0070410B" w:rsidRDefault="00A700D0" w:rsidP="00A700D0">
      <w:pPr>
        <w:pStyle w:val="NormalWeb"/>
        <w:jc w:val="both"/>
      </w:pPr>
    </w:p>
    <w:p w14:paraId="4C3EC8BB" w14:textId="77777777" w:rsidR="00053733" w:rsidRPr="0070410B" w:rsidRDefault="0070410B" w:rsidP="00053733">
      <w:pPr>
        <w:pStyle w:val="NormalWeb"/>
        <w:ind w:left="720"/>
        <w:jc w:val="both"/>
      </w:pPr>
      <w:r>
        <w:lastRenderedPageBreak/>
        <w:t xml:space="preserve">                    </w:t>
      </w:r>
      <w:r w:rsidR="001D3960" w:rsidRPr="0070410B">
        <w:t xml:space="preserve">    </w:t>
      </w:r>
      <w:r w:rsidR="001D3960" w:rsidRPr="0070410B">
        <w:rPr>
          <w:noProof/>
        </w:rPr>
        <w:drawing>
          <wp:inline distT="0" distB="0" distL="0" distR="0" wp14:anchorId="3BAD9F4C" wp14:editId="0EC50CF7">
            <wp:extent cx="3305668" cy="4134811"/>
            <wp:effectExtent l="19050" t="0" r="9032"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308852" cy="4138794"/>
                    </a:xfrm>
                    <a:prstGeom prst="rect">
                      <a:avLst/>
                    </a:prstGeom>
                    <a:noFill/>
                    <a:ln w="9525">
                      <a:noFill/>
                      <a:miter lim="800000"/>
                      <a:headEnd/>
                      <a:tailEnd/>
                    </a:ln>
                  </pic:spPr>
                </pic:pic>
              </a:graphicData>
            </a:graphic>
          </wp:inline>
        </w:drawing>
      </w:r>
    </w:p>
    <w:p w14:paraId="1FA79663" w14:textId="77777777" w:rsidR="0070410B" w:rsidRPr="00ED6D5E" w:rsidRDefault="00B8025E" w:rsidP="0070410B">
      <w:pPr>
        <w:pStyle w:val="NormalWeb"/>
        <w:jc w:val="both"/>
        <w:rPr>
          <w:rFonts w:ascii="Arial" w:hAnsi="Arial" w:cs="Arial"/>
          <w:b/>
          <w:sz w:val="20"/>
          <w:szCs w:val="20"/>
        </w:rPr>
      </w:pPr>
      <w:r w:rsidRPr="00ED6D5E">
        <w:rPr>
          <w:rFonts w:ascii="Arial" w:hAnsi="Arial" w:cs="Arial"/>
          <w:b/>
          <w:sz w:val="20"/>
          <w:szCs w:val="20"/>
        </w:rPr>
        <w:t>Fig. 2</w:t>
      </w:r>
      <w:r w:rsidR="0070410B" w:rsidRPr="00ED6D5E">
        <w:rPr>
          <w:rFonts w:ascii="Arial" w:hAnsi="Arial" w:cs="Arial"/>
          <w:b/>
          <w:sz w:val="20"/>
          <w:szCs w:val="20"/>
        </w:rPr>
        <w:t xml:space="preserve">. Sequential Feeding Behavior in </w:t>
      </w:r>
      <w:r w:rsidR="0070410B" w:rsidRPr="00ED6D5E">
        <w:rPr>
          <w:rStyle w:val="Emphasis"/>
          <w:rFonts w:ascii="Arial" w:hAnsi="Arial" w:cs="Arial"/>
          <w:b/>
          <w:sz w:val="20"/>
          <w:szCs w:val="20"/>
        </w:rPr>
        <w:t>Bombyx mori</w:t>
      </w:r>
      <w:r w:rsidR="0070410B" w:rsidRPr="00ED6D5E">
        <w:rPr>
          <w:rFonts w:ascii="Arial" w:hAnsi="Arial" w:cs="Arial"/>
          <w:b/>
          <w:sz w:val="20"/>
          <w:szCs w:val="20"/>
        </w:rPr>
        <w:t xml:space="preserve"> Larvae Mediated by Maxillary palp (MP) and Maxillary galea (MG). (A) Mouthparts of a silkworm larva. The maxilla consists of the MG and MP. The MG has 2 gustatory sensilla, the lateral </w:t>
      </w:r>
      <w:proofErr w:type="spellStart"/>
      <w:r w:rsidR="0070410B" w:rsidRPr="00ED6D5E">
        <w:rPr>
          <w:rFonts w:ascii="Arial" w:hAnsi="Arial" w:cs="Arial"/>
          <w:b/>
          <w:sz w:val="20"/>
          <w:szCs w:val="20"/>
        </w:rPr>
        <w:t>styloconic</w:t>
      </w:r>
      <w:proofErr w:type="spellEnd"/>
      <w:r w:rsidR="0070410B" w:rsidRPr="00ED6D5E">
        <w:rPr>
          <w:rFonts w:ascii="Arial" w:hAnsi="Arial" w:cs="Arial"/>
          <w:b/>
          <w:sz w:val="20"/>
          <w:szCs w:val="20"/>
        </w:rPr>
        <w:t xml:space="preserve"> sensillum (LS) and median </w:t>
      </w:r>
      <w:proofErr w:type="spellStart"/>
      <w:r w:rsidR="0070410B" w:rsidRPr="00ED6D5E">
        <w:rPr>
          <w:rFonts w:ascii="Arial" w:hAnsi="Arial" w:cs="Arial"/>
          <w:b/>
          <w:sz w:val="20"/>
          <w:szCs w:val="20"/>
        </w:rPr>
        <w:t>styloconic</w:t>
      </w:r>
      <w:proofErr w:type="spellEnd"/>
      <w:r w:rsidR="0070410B" w:rsidRPr="00ED6D5E">
        <w:rPr>
          <w:rFonts w:ascii="Arial" w:hAnsi="Arial" w:cs="Arial"/>
          <w:b/>
          <w:sz w:val="20"/>
          <w:szCs w:val="20"/>
        </w:rPr>
        <w:t xml:space="preserve"> sensillum (MS). (B) </w:t>
      </w:r>
      <w:r w:rsidR="004F4FB1" w:rsidRPr="00ED6D5E">
        <w:rPr>
          <w:rFonts w:ascii="Arial" w:hAnsi="Arial" w:cs="Arial"/>
          <w:b/>
          <w:sz w:val="20"/>
          <w:szCs w:val="20"/>
        </w:rPr>
        <w:t>Schematic</w:t>
      </w:r>
      <w:r w:rsidR="0070410B" w:rsidRPr="00ED6D5E">
        <w:rPr>
          <w:rFonts w:ascii="Arial" w:hAnsi="Arial" w:cs="Arial"/>
          <w:b/>
          <w:sz w:val="20"/>
          <w:szCs w:val="20"/>
        </w:rPr>
        <w:t xml:space="preserve"> diagram of the maxilla of a silkworm larva. (C) Feeding on mulberry leaves by silkworm larvae. (1) Palpation: a silkworm larva first palpates the leaf surface with its maxilla (MP and MG) for 5–30 seconds. The white arrow and arrowhead indicate MP and MG. (2) Test biting: the larva bites the leaf edge several times intermittently during palpation. (3) Persistent biting: the larva nibbles the leaf edge repeatedly (2–3 times per second) with its head moving in the dorsoventral direction along the leaf edge. Magenta arrows indicate the direction of head movement. </w:t>
      </w:r>
    </w:p>
    <w:p w14:paraId="7B410F61" w14:textId="77777777" w:rsidR="0070410B" w:rsidRPr="00ED6D5E" w:rsidRDefault="0070410B" w:rsidP="0070410B">
      <w:pPr>
        <w:pStyle w:val="NormalWeb"/>
        <w:jc w:val="both"/>
        <w:rPr>
          <w:rFonts w:ascii="Arial" w:hAnsi="Arial" w:cs="Arial"/>
          <w:sz w:val="20"/>
          <w:szCs w:val="20"/>
        </w:rPr>
      </w:pPr>
      <w:r w:rsidRPr="00ED6D5E">
        <w:rPr>
          <w:rFonts w:ascii="Arial" w:hAnsi="Arial" w:cs="Arial"/>
          <w:sz w:val="20"/>
          <w:szCs w:val="20"/>
        </w:rPr>
        <w:t>(</w:t>
      </w:r>
      <w:proofErr w:type="spellStart"/>
      <w:r w:rsidRPr="00D250E0">
        <w:rPr>
          <w:rFonts w:ascii="Arial" w:hAnsi="Arial" w:cs="Arial"/>
          <w:sz w:val="20"/>
          <w:szCs w:val="20"/>
        </w:rPr>
        <w:t>Tsuneto</w:t>
      </w:r>
      <w:proofErr w:type="spellEnd"/>
      <w:r w:rsidRPr="00D250E0">
        <w:rPr>
          <w:rFonts w:ascii="Arial" w:hAnsi="Arial" w:cs="Arial"/>
          <w:sz w:val="20"/>
          <w:szCs w:val="20"/>
        </w:rPr>
        <w:t xml:space="preserve"> </w:t>
      </w:r>
      <w:r w:rsidRPr="00D250E0">
        <w:rPr>
          <w:rFonts w:ascii="Arial" w:hAnsi="Arial" w:cs="Arial"/>
          <w:i/>
          <w:sz w:val="20"/>
          <w:szCs w:val="20"/>
        </w:rPr>
        <w:t>et al.,</w:t>
      </w:r>
      <w:r w:rsidRPr="00D250E0">
        <w:rPr>
          <w:rFonts w:ascii="Arial" w:hAnsi="Arial" w:cs="Arial"/>
          <w:sz w:val="20"/>
          <w:szCs w:val="20"/>
        </w:rPr>
        <w:t xml:space="preserve"> 2020; Endo </w:t>
      </w:r>
      <w:r w:rsidRPr="00D250E0">
        <w:rPr>
          <w:rFonts w:ascii="Arial" w:hAnsi="Arial" w:cs="Arial"/>
          <w:i/>
          <w:sz w:val="20"/>
          <w:szCs w:val="20"/>
        </w:rPr>
        <w:t>et al.,</w:t>
      </w:r>
      <w:r w:rsidRPr="00D250E0">
        <w:rPr>
          <w:rFonts w:ascii="Arial" w:hAnsi="Arial" w:cs="Arial"/>
          <w:sz w:val="20"/>
          <w:szCs w:val="20"/>
        </w:rPr>
        <w:t xml:space="preserve"> 2024)</w:t>
      </w:r>
    </w:p>
    <w:p w14:paraId="09F7FE05" w14:textId="77777777" w:rsidR="004F4FB1" w:rsidRPr="00AC4554" w:rsidRDefault="004F4FB1" w:rsidP="00AC4554">
      <w:pPr>
        <w:pStyle w:val="Heading2"/>
        <w:numPr>
          <w:ilvl w:val="0"/>
          <w:numId w:val="3"/>
        </w:numPr>
        <w:ind w:left="284" w:hanging="284"/>
        <w:rPr>
          <w:rFonts w:ascii="Arial" w:hAnsi="Arial" w:cs="Arial"/>
          <w:sz w:val="24"/>
        </w:rPr>
      </w:pPr>
      <w:r w:rsidRPr="00AC4554">
        <w:rPr>
          <w:rFonts w:ascii="Arial" w:hAnsi="Arial" w:cs="Arial"/>
          <w:sz w:val="24"/>
        </w:rPr>
        <w:t>KEY PHYTOCHEMICALS INFLUENCING SILKWORM FEEDING</w:t>
      </w:r>
    </w:p>
    <w:p w14:paraId="09D8AA03" w14:textId="77777777" w:rsidR="004F4FB1" w:rsidRPr="00205602" w:rsidRDefault="004F4FB1" w:rsidP="00E050B0">
      <w:pPr>
        <w:pStyle w:val="NormalWeb"/>
        <w:jc w:val="both"/>
        <w:rPr>
          <w:rFonts w:ascii="Arial" w:hAnsi="Arial" w:cs="Arial"/>
          <w:sz w:val="20"/>
        </w:rPr>
      </w:pPr>
      <w:r w:rsidRPr="00205602">
        <w:rPr>
          <w:rFonts w:ascii="Arial" w:hAnsi="Arial" w:cs="Arial"/>
          <w:sz w:val="20"/>
        </w:rPr>
        <w:t xml:space="preserve">The feeding behavior of silkworms, particularly </w:t>
      </w:r>
      <w:r w:rsidRPr="00205602">
        <w:rPr>
          <w:rStyle w:val="Emphasis"/>
          <w:rFonts w:ascii="Arial" w:hAnsi="Arial" w:cs="Arial"/>
          <w:sz w:val="20"/>
        </w:rPr>
        <w:t>Bombyx mori</w:t>
      </w:r>
      <w:r w:rsidRPr="00205602">
        <w:rPr>
          <w:rFonts w:ascii="Arial" w:hAnsi="Arial" w:cs="Arial"/>
          <w:sz w:val="20"/>
        </w:rPr>
        <w:t xml:space="preserve"> and </w:t>
      </w:r>
      <w:proofErr w:type="spellStart"/>
      <w:r w:rsidRPr="00205602">
        <w:rPr>
          <w:rStyle w:val="Emphasis"/>
          <w:rFonts w:ascii="Arial" w:hAnsi="Arial" w:cs="Arial"/>
          <w:sz w:val="20"/>
        </w:rPr>
        <w:t>Antheraea</w:t>
      </w:r>
      <w:proofErr w:type="spellEnd"/>
      <w:r w:rsidRPr="00205602">
        <w:rPr>
          <w:rStyle w:val="Emphasis"/>
          <w:rFonts w:ascii="Arial" w:hAnsi="Arial" w:cs="Arial"/>
          <w:sz w:val="20"/>
        </w:rPr>
        <w:t xml:space="preserve"> </w:t>
      </w:r>
      <w:proofErr w:type="spellStart"/>
      <w:r w:rsidRPr="00205602">
        <w:rPr>
          <w:rStyle w:val="Emphasis"/>
          <w:rFonts w:ascii="Arial" w:hAnsi="Arial" w:cs="Arial"/>
          <w:sz w:val="20"/>
        </w:rPr>
        <w:t>assamensis</w:t>
      </w:r>
      <w:proofErr w:type="spellEnd"/>
      <w:r w:rsidRPr="00205602">
        <w:rPr>
          <w:rFonts w:ascii="Arial" w:hAnsi="Arial" w:cs="Arial"/>
          <w:sz w:val="20"/>
        </w:rPr>
        <w:t xml:space="preserve">, is primarily governed by a complex interaction between phytochemicals present on the leaf surface and within the sap. These compounds function either as stimulants or deterrents, modulating silkworm host plant selection, feeding initiation, and continuation. </w:t>
      </w:r>
      <w:r w:rsidR="00E050B0" w:rsidRPr="00205602">
        <w:rPr>
          <w:rFonts w:ascii="Arial" w:hAnsi="Arial" w:cs="Arial"/>
          <w:sz w:val="20"/>
        </w:rPr>
        <w:t>The maxillary</w:t>
      </w:r>
      <w:r w:rsidRPr="00205602">
        <w:rPr>
          <w:rFonts w:ascii="Arial" w:hAnsi="Arial" w:cs="Arial"/>
          <w:sz w:val="20"/>
        </w:rPr>
        <w:t xml:space="preserve"> palp (MP) and maxillary galea (MG) </w:t>
      </w:r>
      <w:r w:rsidR="00E050B0" w:rsidRPr="00205602">
        <w:rPr>
          <w:rFonts w:ascii="Arial" w:hAnsi="Arial" w:cs="Arial"/>
          <w:sz w:val="20"/>
        </w:rPr>
        <w:t xml:space="preserve">of silkworm </w:t>
      </w:r>
      <w:r w:rsidRPr="00205602">
        <w:rPr>
          <w:rFonts w:ascii="Arial" w:hAnsi="Arial" w:cs="Arial"/>
          <w:sz w:val="20"/>
        </w:rPr>
        <w:t>house specialized gustatory receptors that detect these compounds and trigger appropriate behavioral responses</w:t>
      </w:r>
      <w:r w:rsidR="008D2452" w:rsidRPr="00205602">
        <w:rPr>
          <w:rFonts w:ascii="Arial" w:hAnsi="Arial" w:cs="Arial"/>
          <w:sz w:val="20"/>
        </w:rPr>
        <w:t xml:space="preserve"> </w:t>
      </w:r>
      <w:r w:rsidRPr="00205602">
        <w:rPr>
          <w:rFonts w:ascii="Arial" w:hAnsi="Arial" w:cs="Arial"/>
          <w:sz w:val="20"/>
        </w:rPr>
        <w:t>(</w:t>
      </w:r>
      <w:r w:rsidRPr="00D250E0">
        <w:rPr>
          <w:rFonts w:ascii="Arial" w:hAnsi="Arial" w:cs="Arial"/>
          <w:sz w:val="20"/>
        </w:rPr>
        <w:t>Ishikawa</w:t>
      </w:r>
      <w:r w:rsidR="002F0685" w:rsidRPr="00D250E0">
        <w:rPr>
          <w:rFonts w:ascii="Arial" w:hAnsi="Arial" w:cs="Arial"/>
          <w:sz w:val="20"/>
        </w:rPr>
        <w:t xml:space="preserve"> </w:t>
      </w:r>
      <w:r w:rsidR="002F0685" w:rsidRPr="00D250E0">
        <w:rPr>
          <w:rFonts w:ascii="Arial" w:hAnsi="Arial" w:cs="Arial"/>
          <w:i/>
          <w:sz w:val="20"/>
        </w:rPr>
        <w:t>et al.,</w:t>
      </w:r>
      <w:r w:rsidR="002F0685" w:rsidRPr="00D250E0">
        <w:rPr>
          <w:rFonts w:ascii="Arial" w:hAnsi="Arial" w:cs="Arial"/>
          <w:sz w:val="20"/>
        </w:rPr>
        <w:t xml:space="preserve"> 1969; Endo </w:t>
      </w:r>
      <w:r w:rsidR="002F0685" w:rsidRPr="00D250E0">
        <w:rPr>
          <w:rFonts w:ascii="Arial" w:hAnsi="Arial" w:cs="Arial"/>
          <w:i/>
          <w:sz w:val="20"/>
        </w:rPr>
        <w:t>et al.,</w:t>
      </w:r>
      <w:r w:rsidR="002F0685" w:rsidRPr="00D250E0">
        <w:rPr>
          <w:rFonts w:ascii="Arial" w:hAnsi="Arial" w:cs="Arial"/>
          <w:sz w:val="20"/>
        </w:rPr>
        <w:t xml:space="preserve"> 2024</w:t>
      </w:r>
      <w:r w:rsidRPr="00205602">
        <w:rPr>
          <w:rFonts w:ascii="Arial" w:hAnsi="Arial" w:cs="Arial"/>
          <w:sz w:val="20"/>
        </w:rPr>
        <w:t>).</w:t>
      </w:r>
    </w:p>
    <w:p w14:paraId="57FEDE4D" w14:textId="77777777" w:rsidR="004F4FB1" w:rsidRPr="00AC4554" w:rsidRDefault="00AC4554" w:rsidP="00AC4554">
      <w:pPr>
        <w:pStyle w:val="Heading3"/>
        <w:rPr>
          <w:rFonts w:ascii="Arial" w:hAnsi="Arial" w:cs="Arial"/>
          <w:color w:val="auto"/>
        </w:rPr>
      </w:pPr>
      <w:r w:rsidRPr="00AC4554">
        <w:rPr>
          <w:rFonts w:ascii="Arial" w:hAnsi="Arial" w:cs="Arial"/>
          <w:color w:val="auto"/>
        </w:rPr>
        <w:lastRenderedPageBreak/>
        <w:t>4</w:t>
      </w:r>
      <w:r w:rsidR="004F4FB1" w:rsidRPr="00AC4554">
        <w:rPr>
          <w:rFonts w:ascii="Arial" w:hAnsi="Arial" w:cs="Arial"/>
          <w:color w:val="auto"/>
        </w:rPr>
        <w:t>.1 Feeding Stimulants</w:t>
      </w:r>
    </w:p>
    <w:p w14:paraId="67A30610" w14:textId="77777777" w:rsidR="004F4FB1" w:rsidRPr="00AC4554" w:rsidRDefault="00AC4554" w:rsidP="00AC4554">
      <w:pPr>
        <w:pStyle w:val="Heading4"/>
        <w:rPr>
          <w:rFonts w:ascii="Arial" w:hAnsi="Arial" w:cs="Arial"/>
          <w:i w:val="0"/>
          <w:color w:val="auto"/>
          <w:sz w:val="20"/>
          <w:szCs w:val="20"/>
          <w:u w:val="single"/>
        </w:rPr>
      </w:pPr>
      <w:r w:rsidRPr="00AC4554">
        <w:rPr>
          <w:rFonts w:ascii="Arial" w:hAnsi="Arial" w:cs="Arial"/>
          <w:i w:val="0"/>
          <w:color w:val="auto"/>
          <w:sz w:val="20"/>
          <w:szCs w:val="20"/>
          <w:u w:val="single"/>
        </w:rPr>
        <w:t xml:space="preserve">4.1.1 </w:t>
      </w:r>
      <w:r w:rsidR="004F4FB1" w:rsidRPr="00AC4554">
        <w:rPr>
          <w:rFonts w:ascii="Arial" w:hAnsi="Arial" w:cs="Arial"/>
          <w:i w:val="0"/>
          <w:color w:val="auto"/>
          <w:sz w:val="20"/>
          <w:szCs w:val="20"/>
          <w:u w:val="single"/>
        </w:rPr>
        <w:t>Chlorogenic Acid</w:t>
      </w:r>
    </w:p>
    <w:p w14:paraId="742C88B3" w14:textId="77777777" w:rsidR="004F4FB1" w:rsidRPr="00205602" w:rsidRDefault="004F4FB1" w:rsidP="00E050B0">
      <w:pPr>
        <w:pStyle w:val="NormalWeb"/>
        <w:jc w:val="both"/>
        <w:rPr>
          <w:rFonts w:ascii="Arial" w:hAnsi="Arial" w:cs="Arial"/>
          <w:sz w:val="20"/>
        </w:rPr>
      </w:pPr>
      <w:r w:rsidRPr="00205602">
        <w:rPr>
          <w:rFonts w:ascii="Arial" w:hAnsi="Arial" w:cs="Arial"/>
          <w:sz w:val="20"/>
        </w:rPr>
        <w:t xml:space="preserve">Chlorogenic acid has been consistently identified as one of the most effective feeding stimulants in </w:t>
      </w:r>
      <w:r w:rsidRPr="00205602">
        <w:rPr>
          <w:rStyle w:val="Emphasis"/>
          <w:rFonts w:ascii="Arial" w:hAnsi="Arial" w:cs="Arial"/>
          <w:sz w:val="20"/>
        </w:rPr>
        <w:t>B. mori</w:t>
      </w:r>
      <w:r w:rsidRPr="00205602">
        <w:rPr>
          <w:rFonts w:ascii="Arial" w:hAnsi="Arial" w:cs="Arial"/>
          <w:sz w:val="20"/>
        </w:rPr>
        <w:t>. It acts during the palpation and test biting phase and is detected by sensory neur</w:t>
      </w:r>
      <w:r w:rsidR="00E050B0" w:rsidRPr="00205602">
        <w:rPr>
          <w:rFonts w:ascii="Arial" w:hAnsi="Arial" w:cs="Arial"/>
          <w:sz w:val="20"/>
        </w:rPr>
        <w:t xml:space="preserve">ons in the MP. </w:t>
      </w:r>
      <w:r w:rsidR="00E050B0" w:rsidRPr="00D250E0">
        <w:rPr>
          <w:rFonts w:ascii="Arial" w:hAnsi="Arial" w:cs="Arial"/>
          <w:sz w:val="20"/>
        </w:rPr>
        <w:t xml:space="preserve">Endo </w:t>
      </w:r>
      <w:r w:rsidR="00E050B0" w:rsidRPr="00D250E0">
        <w:rPr>
          <w:rFonts w:ascii="Arial" w:hAnsi="Arial" w:cs="Arial"/>
          <w:i/>
          <w:sz w:val="20"/>
        </w:rPr>
        <w:t>et al.</w:t>
      </w:r>
      <w:r w:rsidR="00E050B0" w:rsidRPr="00D250E0">
        <w:rPr>
          <w:rFonts w:ascii="Arial" w:hAnsi="Arial" w:cs="Arial"/>
          <w:sz w:val="20"/>
        </w:rPr>
        <w:t xml:space="preserve"> (2024</w:t>
      </w:r>
      <w:r w:rsidRPr="00D250E0">
        <w:rPr>
          <w:rFonts w:ascii="Arial" w:hAnsi="Arial" w:cs="Arial"/>
          <w:sz w:val="20"/>
        </w:rPr>
        <w:t>)</w:t>
      </w:r>
      <w:r w:rsidRPr="00205602">
        <w:rPr>
          <w:rFonts w:ascii="Arial" w:hAnsi="Arial" w:cs="Arial"/>
          <w:sz w:val="20"/>
        </w:rPr>
        <w:t xml:space="preserve"> demonstrated that chlorogenic acid, when applied at </w:t>
      </w:r>
      <w:proofErr w:type="spellStart"/>
      <w:r w:rsidRPr="00205602">
        <w:rPr>
          <w:rFonts w:ascii="Arial" w:hAnsi="Arial" w:cs="Arial"/>
          <w:sz w:val="20"/>
        </w:rPr>
        <w:t>attomolar</w:t>
      </w:r>
      <w:proofErr w:type="spellEnd"/>
      <w:r w:rsidRPr="00205602">
        <w:rPr>
          <w:rFonts w:ascii="Arial" w:hAnsi="Arial" w:cs="Arial"/>
          <w:sz w:val="20"/>
        </w:rPr>
        <w:t xml:space="preserve"> concentrations, is sufficient to elicit test biting. Earlier work by </w:t>
      </w:r>
      <w:r w:rsidRPr="00D250E0">
        <w:rPr>
          <w:rFonts w:ascii="Arial" w:hAnsi="Arial" w:cs="Arial"/>
          <w:sz w:val="20"/>
        </w:rPr>
        <w:t>Ito &amp; Tanaka (1959)</w:t>
      </w:r>
      <w:r w:rsidRPr="00205602">
        <w:rPr>
          <w:rFonts w:ascii="Arial" w:hAnsi="Arial" w:cs="Arial"/>
          <w:sz w:val="20"/>
        </w:rPr>
        <w:t xml:space="preserve"> confirmed its bioactivity even in </w:t>
      </w:r>
      <w:r w:rsidR="008B7A9D" w:rsidRPr="00205602">
        <w:rPr>
          <w:rFonts w:ascii="Arial" w:hAnsi="Arial" w:cs="Arial"/>
          <w:sz w:val="20"/>
        </w:rPr>
        <w:t xml:space="preserve">isolation from the leaf matrix and </w:t>
      </w:r>
      <w:r w:rsidRPr="00205602">
        <w:rPr>
          <w:rFonts w:ascii="Arial" w:hAnsi="Arial" w:cs="Arial"/>
          <w:sz w:val="20"/>
        </w:rPr>
        <w:t>also reported strong feeding stimulation in response to chlorogenic acid extracted from mulberry leaves, linking its presence to increased larval acceptability.</w:t>
      </w:r>
    </w:p>
    <w:p w14:paraId="6B8522A7" w14:textId="77777777" w:rsidR="004F4FB1" w:rsidRPr="00AC4554" w:rsidRDefault="00AC4554" w:rsidP="00AC4554">
      <w:pPr>
        <w:pStyle w:val="Heading4"/>
        <w:rPr>
          <w:rFonts w:ascii="Arial" w:hAnsi="Arial" w:cs="Arial"/>
          <w:i w:val="0"/>
          <w:sz w:val="20"/>
          <w:szCs w:val="20"/>
          <w:u w:val="single"/>
        </w:rPr>
      </w:pPr>
      <w:r w:rsidRPr="00AC4554">
        <w:rPr>
          <w:rFonts w:ascii="Arial" w:hAnsi="Arial" w:cs="Arial"/>
          <w:i w:val="0"/>
          <w:color w:val="auto"/>
          <w:sz w:val="20"/>
          <w:szCs w:val="20"/>
          <w:u w:val="single"/>
        </w:rPr>
        <w:t xml:space="preserve">4.1.2 </w:t>
      </w:r>
      <w:r w:rsidR="004F4FB1" w:rsidRPr="00AC4554">
        <w:rPr>
          <w:rFonts w:ascii="Arial" w:hAnsi="Arial" w:cs="Arial"/>
          <w:i w:val="0"/>
          <w:color w:val="auto"/>
          <w:sz w:val="20"/>
          <w:szCs w:val="20"/>
          <w:u w:val="single"/>
        </w:rPr>
        <w:t>β-Sitosterol and Quercetin Glycosides</w:t>
      </w:r>
    </w:p>
    <w:p w14:paraId="6D8F4299" w14:textId="77777777" w:rsidR="004F4FB1" w:rsidRPr="00205602" w:rsidRDefault="004F4FB1" w:rsidP="00E050B0">
      <w:pPr>
        <w:pStyle w:val="NormalWeb"/>
        <w:jc w:val="both"/>
        <w:rPr>
          <w:rFonts w:ascii="Arial" w:hAnsi="Arial" w:cs="Arial"/>
          <w:sz w:val="20"/>
        </w:rPr>
      </w:pPr>
      <w:r w:rsidRPr="00205602">
        <w:rPr>
          <w:rFonts w:ascii="Arial" w:hAnsi="Arial" w:cs="Arial"/>
          <w:sz w:val="20"/>
        </w:rPr>
        <w:t>These phytochemicals also play a critical role in feeding initiation. β-Sitosterol and quercetin glycosides, often co-occurring with chlorogenic acid, significantly increase test bit</w:t>
      </w:r>
      <w:r w:rsidR="00E050B0" w:rsidRPr="00205602">
        <w:rPr>
          <w:rFonts w:ascii="Arial" w:hAnsi="Arial" w:cs="Arial"/>
          <w:sz w:val="20"/>
        </w:rPr>
        <w:t>ing frequency (</w:t>
      </w:r>
      <w:r w:rsidR="00E050B0" w:rsidRPr="00D250E0">
        <w:rPr>
          <w:rFonts w:ascii="Arial" w:hAnsi="Arial" w:cs="Arial"/>
          <w:sz w:val="20"/>
        </w:rPr>
        <w:t xml:space="preserve">Endo </w:t>
      </w:r>
      <w:r w:rsidR="00E050B0" w:rsidRPr="00D250E0">
        <w:rPr>
          <w:rFonts w:ascii="Arial" w:hAnsi="Arial" w:cs="Arial"/>
          <w:i/>
          <w:sz w:val="20"/>
        </w:rPr>
        <w:t>et al.,</w:t>
      </w:r>
      <w:r w:rsidR="00E050B0" w:rsidRPr="00D250E0">
        <w:rPr>
          <w:rFonts w:ascii="Arial" w:hAnsi="Arial" w:cs="Arial"/>
          <w:sz w:val="20"/>
        </w:rPr>
        <w:t xml:space="preserve"> 2024</w:t>
      </w:r>
      <w:r w:rsidRPr="00D250E0">
        <w:rPr>
          <w:rFonts w:ascii="Arial" w:hAnsi="Arial" w:cs="Arial"/>
          <w:sz w:val="20"/>
        </w:rPr>
        <w:t xml:space="preserve">; </w:t>
      </w:r>
      <w:proofErr w:type="spellStart"/>
      <w:r w:rsidRPr="00D250E0">
        <w:rPr>
          <w:rFonts w:ascii="Arial" w:hAnsi="Arial" w:cs="Arial"/>
          <w:sz w:val="20"/>
        </w:rPr>
        <w:t>Tsuneto</w:t>
      </w:r>
      <w:proofErr w:type="spellEnd"/>
      <w:r w:rsidRPr="00D250E0">
        <w:rPr>
          <w:rFonts w:ascii="Arial" w:hAnsi="Arial" w:cs="Arial"/>
          <w:sz w:val="20"/>
        </w:rPr>
        <w:t xml:space="preserve"> </w:t>
      </w:r>
      <w:r w:rsidRPr="00D250E0">
        <w:rPr>
          <w:rFonts w:ascii="Arial" w:hAnsi="Arial" w:cs="Arial"/>
          <w:i/>
          <w:sz w:val="20"/>
        </w:rPr>
        <w:t>et al.,</w:t>
      </w:r>
      <w:r w:rsidRPr="00D250E0">
        <w:rPr>
          <w:rFonts w:ascii="Arial" w:hAnsi="Arial" w:cs="Arial"/>
          <w:sz w:val="20"/>
        </w:rPr>
        <w:t xml:space="preserve"> </w:t>
      </w:r>
      <w:r w:rsidRPr="007A36EF">
        <w:rPr>
          <w:rFonts w:ascii="Arial" w:hAnsi="Arial" w:cs="Arial"/>
          <w:sz w:val="20"/>
        </w:rPr>
        <w:t>2020</w:t>
      </w:r>
      <w:r w:rsidR="007A36EF">
        <w:rPr>
          <w:rFonts w:ascii="Arial" w:hAnsi="Arial" w:cs="Arial"/>
          <w:sz w:val="20"/>
        </w:rPr>
        <w:t>; Chun</w:t>
      </w:r>
      <w:r w:rsidR="00E050B0" w:rsidRPr="007A36EF">
        <w:rPr>
          <w:rFonts w:ascii="Arial" w:hAnsi="Arial" w:cs="Arial"/>
          <w:sz w:val="20"/>
        </w:rPr>
        <w:t>, 1972; Devitt &amp; Smith, 1985</w:t>
      </w:r>
      <w:r w:rsidRPr="00205602">
        <w:rPr>
          <w:rFonts w:ascii="Arial" w:hAnsi="Arial" w:cs="Arial"/>
          <w:sz w:val="20"/>
        </w:rPr>
        <w:t>). According to behavioral assays, their combined presence triggers a greater than 50% acceptance rate in larvae during initi</w:t>
      </w:r>
      <w:r w:rsidR="00E050B0" w:rsidRPr="00205602">
        <w:rPr>
          <w:rFonts w:ascii="Arial" w:hAnsi="Arial" w:cs="Arial"/>
          <w:sz w:val="20"/>
        </w:rPr>
        <w:t>al inspection (</w:t>
      </w:r>
      <w:r w:rsidR="00E050B0" w:rsidRPr="00D250E0">
        <w:rPr>
          <w:rFonts w:ascii="Arial" w:hAnsi="Arial" w:cs="Arial"/>
          <w:sz w:val="20"/>
        </w:rPr>
        <w:t xml:space="preserve">Endo </w:t>
      </w:r>
      <w:r w:rsidR="00E050B0" w:rsidRPr="00D250E0">
        <w:rPr>
          <w:rFonts w:ascii="Arial" w:hAnsi="Arial" w:cs="Arial"/>
          <w:i/>
          <w:sz w:val="20"/>
        </w:rPr>
        <w:t>et al.,</w:t>
      </w:r>
      <w:r w:rsidR="00E050B0" w:rsidRPr="00D250E0">
        <w:rPr>
          <w:rFonts w:ascii="Arial" w:hAnsi="Arial" w:cs="Arial"/>
          <w:sz w:val="20"/>
        </w:rPr>
        <w:t xml:space="preserve"> 2024</w:t>
      </w:r>
      <w:r w:rsidRPr="00205602">
        <w:rPr>
          <w:rFonts w:ascii="Arial" w:hAnsi="Arial" w:cs="Arial"/>
          <w:sz w:val="20"/>
        </w:rPr>
        <w:t>). These compounds may also act as leaf surface recognition cues, mimicking essential sterols and flavonoids needed for larval development.</w:t>
      </w:r>
    </w:p>
    <w:p w14:paraId="2BFAD102" w14:textId="77777777" w:rsidR="004F4FB1" w:rsidRPr="00AC4554" w:rsidRDefault="00AC4554" w:rsidP="00AC4554">
      <w:pPr>
        <w:pStyle w:val="Heading4"/>
        <w:rPr>
          <w:rFonts w:ascii="Arial" w:hAnsi="Arial" w:cs="Arial"/>
          <w:i w:val="0"/>
          <w:color w:val="auto"/>
          <w:sz w:val="20"/>
          <w:szCs w:val="20"/>
          <w:u w:val="single"/>
        </w:rPr>
      </w:pPr>
      <w:r w:rsidRPr="00AC4554">
        <w:rPr>
          <w:rFonts w:ascii="Arial" w:hAnsi="Arial" w:cs="Arial"/>
          <w:i w:val="0"/>
          <w:color w:val="auto"/>
          <w:sz w:val="20"/>
          <w:szCs w:val="20"/>
          <w:u w:val="single"/>
        </w:rPr>
        <w:t xml:space="preserve">4.1.3 </w:t>
      </w:r>
      <w:r w:rsidR="004F4FB1" w:rsidRPr="00AC4554">
        <w:rPr>
          <w:rFonts w:ascii="Arial" w:hAnsi="Arial" w:cs="Arial"/>
          <w:i w:val="0"/>
          <w:color w:val="auto"/>
          <w:sz w:val="20"/>
          <w:szCs w:val="20"/>
          <w:u w:val="single"/>
        </w:rPr>
        <w:t>Sucrose and Myo-Inositol</w:t>
      </w:r>
    </w:p>
    <w:p w14:paraId="50310315" w14:textId="77777777" w:rsidR="00BB6537" w:rsidRDefault="004F4FB1" w:rsidP="00E050B0">
      <w:pPr>
        <w:pStyle w:val="NormalWeb"/>
        <w:jc w:val="both"/>
      </w:pPr>
      <w:r w:rsidRPr="00205602">
        <w:rPr>
          <w:rFonts w:ascii="Arial" w:hAnsi="Arial" w:cs="Arial"/>
          <w:sz w:val="20"/>
        </w:rPr>
        <w:t>Post-test biting, silkworm larvae evaluate internal sap for sugars that signal nutritional adequacy. Two specifi</w:t>
      </w:r>
      <w:r w:rsidR="00E050B0" w:rsidRPr="00205602">
        <w:rPr>
          <w:rFonts w:ascii="Arial" w:hAnsi="Arial" w:cs="Arial"/>
          <w:sz w:val="20"/>
        </w:rPr>
        <w:t xml:space="preserve">c gustatory receptors in the MG, </w:t>
      </w:r>
      <w:r w:rsidRPr="00205602">
        <w:rPr>
          <w:rFonts w:ascii="Arial" w:hAnsi="Arial" w:cs="Arial"/>
          <w:sz w:val="20"/>
        </w:rPr>
        <w:t>BmGr6, which responds to sucrose, and BmGr9,</w:t>
      </w:r>
      <w:r w:rsidR="00E050B0" w:rsidRPr="00205602">
        <w:rPr>
          <w:rFonts w:ascii="Arial" w:hAnsi="Arial" w:cs="Arial"/>
          <w:sz w:val="20"/>
        </w:rPr>
        <w:t xml:space="preserve"> which responds to myo-inositol, </w:t>
      </w:r>
      <w:r w:rsidRPr="00205602">
        <w:rPr>
          <w:rFonts w:ascii="Arial" w:hAnsi="Arial" w:cs="Arial"/>
          <w:sz w:val="20"/>
        </w:rPr>
        <w:t xml:space="preserve">mediate </w:t>
      </w:r>
      <w:r w:rsidR="00E050B0" w:rsidRPr="00205602">
        <w:rPr>
          <w:rFonts w:ascii="Arial" w:hAnsi="Arial" w:cs="Arial"/>
          <w:sz w:val="20"/>
        </w:rPr>
        <w:t>this response (</w:t>
      </w:r>
      <w:r w:rsidR="00E050B0" w:rsidRPr="007A36EF">
        <w:rPr>
          <w:rFonts w:ascii="Arial" w:hAnsi="Arial" w:cs="Arial"/>
          <w:sz w:val="20"/>
        </w:rPr>
        <w:t xml:space="preserve">Endo </w:t>
      </w:r>
      <w:r w:rsidR="00E050B0" w:rsidRPr="007A36EF">
        <w:rPr>
          <w:rFonts w:ascii="Arial" w:hAnsi="Arial" w:cs="Arial"/>
          <w:i/>
          <w:sz w:val="20"/>
        </w:rPr>
        <w:t>et al.,</w:t>
      </w:r>
      <w:r w:rsidR="00E050B0" w:rsidRPr="007A36EF">
        <w:rPr>
          <w:rFonts w:ascii="Arial" w:hAnsi="Arial" w:cs="Arial"/>
          <w:sz w:val="20"/>
        </w:rPr>
        <w:t xml:space="preserve"> 2024</w:t>
      </w:r>
      <w:r w:rsidRPr="007A36EF">
        <w:rPr>
          <w:rFonts w:ascii="Arial" w:hAnsi="Arial" w:cs="Arial"/>
          <w:sz w:val="20"/>
        </w:rPr>
        <w:t xml:space="preserve">; Morinaga </w:t>
      </w:r>
      <w:r w:rsidRPr="007A36EF">
        <w:rPr>
          <w:rFonts w:ascii="Arial" w:hAnsi="Arial" w:cs="Arial"/>
          <w:i/>
          <w:sz w:val="20"/>
        </w:rPr>
        <w:t>et al.,</w:t>
      </w:r>
      <w:r w:rsidRPr="007A36EF">
        <w:rPr>
          <w:rFonts w:ascii="Arial" w:hAnsi="Arial" w:cs="Arial"/>
          <w:sz w:val="20"/>
        </w:rPr>
        <w:t xml:space="preserve"> 2022).</w:t>
      </w:r>
      <w:r w:rsidRPr="007A36EF">
        <w:rPr>
          <w:sz w:val="20"/>
        </w:rPr>
        <w:t xml:space="preserve"> </w:t>
      </w:r>
      <w:r w:rsidRPr="007A36EF">
        <w:rPr>
          <w:rFonts w:ascii="Arial" w:hAnsi="Arial" w:cs="Arial"/>
          <w:sz w:val="20"/>
        </w:rPr>
        <w:t>This receptor activation leads to persistent biting, a hallmark of host acceptance</w:t>
      </w:r>
      <w:r w:rsidR="00E050B0" w:rsidRPr="007A36EF">
        <w:rPr>
          <w:rFonts w:ascii="Arial" w:hAnsi="Arial" w:cs="Arial"/>
          <w:sz w:val="20"/>
        </w:rPr>
        <w:t xml:space="preserve"> (</w:t>
      </w:r>
      <w:r w:rsidR="007A36EF" w:rsidRPr="007A36EF">
        <w:rPr>
          <w:rFonts w:ascii="Arial" w:hAnsi="Arial" w:cs="Arial"/>
          <w:sz w:val="20"/>
        </w:rPr>
        <w:t>Chun</w:t>
      </w:r>
      <w:r w:rsidR="00E050B0" w:rsidRPr="007A36EF">
        <w:rPr>
          <w:rFonts w:ascii="Arial" w:hAnsi="Arial" w:cs="Arial"/>
          <w:sz w:val="20"/>
        </w:rPr>
        <w:t>, 1972; Devitt &amp; Smith, 1985)</w:t>
      </w:r>
      <w:r w:rsidRPr="007A36EF">
        <w:rPr>
          <w:rFonts w:ascii="Arial" w:hAnsi="Arial" w:cs="Arial"/>
          <w:sz w:val="20"/>
        </w:rPr>
        <w:t>. Nayar &amp; Fraenkel (1962) similarly observed that sucrose solutions directly applied to leaf tissue increased biting frequency and reduc</w:t>
      </w:r>
      <w:r w:rsidRPr="00205602">
        <w:rPr>
          <w:rFonts w:ascii="Arial" w:hAnsi="Arial" w:cs="Arial"/>
          <w:sz w:val="20"/>
        </w:rPr>
        <w:t xml:space="preserve">ed hesitation time. In </w:t>
      </w:r>
      <w:r w:rsidRPr="00205602">
        <w:rPr>
          <w:rStyle w:val="Emphasis"/>
          <w:rFonts w:ascii="Arial" w:hAnsi="Arial" w:cs="Arial"/>
          <w:sz w:val="20"/>
        </w:rPr>
        <w:t xml:space="preserve">A. </w:t>
      </w:r>
      <w:proofErr w:type="spellStart"/>
      <w:r w:rsidRPr="00205602">
        <w:rPr>
          <w:rStyle w:val="Emphasis"/>
          <w:rFonts w:ascii="Arial" w:hAnsi="Arial" w:cs="Arial"/>
          <w:sz w:val="20"/>
        </w:rPr>
        <w:t>assamensis</w:t>
      </w:r>
      <w:proofErr w:type="spellEnd"/>
      <w:r w:rsidRPr="00205602">
        <w:rPr>
          <w:rFonts w:ascii="Arial" w:hAnsi="Arial" w:cs="Arial"/>
          <w:sz w:val="20"/>
        </w:rPr>
        <w:t xml:space="preserve">, although receptor-specific data are limited, similar sugars and polyols in </w:t>
      </w:r>
      <w:proofErr w:type="spellStart"/>
      <w:r w:rsidRPr="00205602">
        <w:rPr>
          <w:rFonts w:ascii="Arial" w:hAnsi="Arial" w:cs="Arial"/>
          <w:sz w:val="20"/>
        </w:rPr>
        <w:t>som</w:t>
      </w:r>
      <w:proofErr w:type="spellEnd"/>
      <w:r w:rsidRPr="00205602">
        <w:rPr>
          <w:rFonts w:ascii="Arial" w:hAnsi="Arial" w:cs="Arial"/>
          <w:sz w:val="20"/>
        </w:rPr>
        <w:t xml:space="preserve"> (</w:t>
      </w:r>
      <w:proofErr w:type="spellStart"/>
      <w:r w:rsidRPr="00205602">
        <w:rPr>
          <w:rStyle w:val="Emphasis"/>
          <w:rFonts w:ascii="Arial" w:hAnsi="Arial" w:cs="Arial"/>
          <w:sz w:val="20"/>
        </w:rPr>
        <w:t>Persea</w:t>
      </w:r>
      <w:proofErr w:type="spellEnd"/>
      <w:r w:rsidRPr="00205602">
        <w:rPr>
          <w:rStyle w:val="Emphasis"/>
          <w:rFonts w:ascii="Arial" w:hAnsi="Arial" w:cs="Arial"/>
          <w:sz w:val="20"/>
        </w:rPr>
        <w:t xml:space="preserve"> </w:t>
      </w:r>
      <w:proofErr w:type="spellStart"/>
      <w:r w:rsidRPr="00205602">
        <w:rPr>
          <w:rStyle w:val="Emphasis"/>
          <w:rFonts w:ascii="Arial" w:hAnsi="Arial" w:cs="Arial"/>
          <w:sz w:val="20"/>
        </w:rPr>
        <w:t>bombycina</w:t>
      </w:r>
      <w:proofErr w:type="spellEnd"/>
      <w:r w:rsidRPr="00205602">
        <w:rPr>
          <w:rFonts w:ascii="Arial" w:hAnsi="Arial" w:cs="Arial"/>
          <w:sz w:val="20"/>
        </w:rPr>
        <w:t xml:space="preserve">) and </w:t>
      </w:r>
      <w:proofErr w:type="spellStart"/>
      <w:r w:rsidRPr="00205602">
        <w:rPr>
          <w:rFonts w:ascii="Arial" w:hAnsi="Arial" w:cs="Arial"/>
          <w:sz w:val="20"/>
        </w:rPr>
        <w:t>soalu</w:t>
      </w:r>
      <w:proofErr w:type="spellEnd"/>
      <w:r w:rsidRPr="00205602">
        <w:rPr>
          <w:rFonts w:ascii="Arial" w:hAnsi="Arial" w:cs="Arial"/>
          <w:sz w:val="20"/>
        </w:rPr>
        <w:t xml:space="preserve"> (</w:t>
      </w:r>
      <w:proofErr w:type="spellStart"/>
      <w:r w:rsidRPr="00205602">
        <w:rPr>
          <w:rStyle w:val="Emphasis"/>
          <w:rFonts w:ascii="Arial" w:hAnsi="Arial" w:cs="Arial"/>
          <w:sz w:val="20"/>
        </w:rPr>
        <w:t>Litsea</w:t>
      </w:r>
      <w:proofErr w:type="spellEnd"/>
      <w:r w:rsidRPr="00205602">
        <w:rPr>
          <w:rStyle w:val="Emphasis"/>
          <w:rFonts w:ascii="Arial" w:hAnsi="Arial" w:cs="Arial"/>
          <w:sz w:val="20"/>
        </w:rPr>
        <w:t xml:space="preserve"> </w:t>
      </w:r>
      <w:proofErr w:type="spellStart"/>
      <w:r w:rsidRPr="00205602">
        <w:rPr>
          <w:rStyle w:val="Emphasis"/>
          <w:rFonts w:ascii="Arial" w:hAnsi="Arial" w:cs="Arial"/>
          <w:sz w:val="20"/>
        </w:rPr>
        <w:t>monopetala</w:t>
      </w:r>
      <w:proofErr w:type="spellEnd"/>
      <w:r w:rsidRPr="00205602">
        <w:rPr>
          <w:rFonts w:ascii="Arial" w:hAnsi="Arial" w:cs="Arial"/>
          <w:sz w:val="20"/>
        </w:rPr>
        <w:t>) sap are believed to contribute to host plant recognition (</w:t>
      </w:r>
      <w:proofErr w:type="spellStart"/>
      <w:r w:rsidR="00D250E0">
        <w:rPr>
          <w:rFonts w:ascii="Arial" w:hAnsi="Arial" w:cs="Arial"/>
          <w:sz w:val="20"/>
        </w:rPr>
        <w:t>Haloi</w:t>
      </w:r>
      <w:proofErr w:type="spellEnd"/>
      <w:r w:rsidR="00D250E0">
        <w:rPr>
          <w:rFonts w:ascii="Arial" w:hAnsi="Arial" w:cs="Arial"/>
          <w:sz w:val="20"/>
        </w:rPr>
        <w:t xml:space="preserve"> </w:t>
      </w:r>
      <w:r w:rsidR="00D250E0" w:rsidRPr="00D250E0">
        <w:rPr>
          <w:rFonts w:ascii="Arial" w:hAnsi="Arial" w:cs="Arial"/>
          <w:i/>
          <w:sz w:val="20"/>
        </w:rPr>
        <w:t>et al.,</w:t>
      </w:r>
      <w:r w:rsidR="00D250E0">
        <w:rPr>
          <w:rFonts w:ascii="Arial" w:hAnsi="Arial" w:cs="Arial"/>
          <w:sz w:val="20"/>
        </w:rPr>
        <w:t xml:space="preserve"> 2023</w:t>
      </w:r>
      <w:r w:rsidRPr="00205602">
        <w:rPr>
          <w:rFonts w:ascii="Arial" w:hAnsi="Arial" w:cs="Arial"/>
          <w:sz w:val="20"/>
        </w:rPr>
        <w:t>).</w:t>
      </w:r>
      <w:r w:rsidR="008D2452" w:rsidRPr="00205602">
        <w:rPr>
          <w:sz w:val="20"/>
        </w:rPr>
        <w:t xml:space="preserve">                                  </w:t>
      </w:r>
    </w:p>
    <w:p w14:paraId="03500FCE" w14:textId="77777777" w:rsidR="004F4FB1" w:rsidRPr="00AC4554" w:rsidRDefault="00AC4554" w:rsidP="00AC4554">
      <w:pPr>
        <w:pStyle w:val="Heading3"/>
        <w:rPr>
          <w:rFonts w:ascii="Arial" w:hAnsi="Arial" w:cs="Arial"/>
          <w:color w:val="auto"/>
        </w:rPr>
      </w:pPr>
      <w:r w:rsidRPr="00AC4554">
        <w:rPr>
          <w:rFonts w:ascii="Arial" w:hAnsi="Arial" w:cs="Arial"/>
          <w:color w:val="auto"/>
        </w:rPr>
        <w:t>4</w:t>
      </w:r>
      <w:r w:rsidR="004F4FB1" w:rsidRPr="00AC4554">
        <w:rPr>
          <w:rFonts w:ascii="Arial" w:hAnsi="Arial" w:cs="Arial"/>
          <w:color w:val="auto"/>
        </w:rPr>
        <w:t>.2 Feeding Deterrents</w:t>
      </w:r>
    </w:p>
    <w:p w14:paraId="317AF6C7" w14:textId="77777777" w:rsidR="004F4FB1" w:rsidRPr="00AC4554" w:rsidRDefault="00AC4554" w:rsidP="00AC4554">
      <w:pPr>
        <w:pStyle w:val="Heading4"/>
        <w:rPr>
          <w:rFonts w:ascii="Arial" w:hAnsi="Arial" w:cs="Arial"/>
          <w:i w:val="0"/>
          <w:color w:val="auto"/>
          <w:sz w:val="20"/>
          <w:szCs w:val="20"/>
          <w:u w:val="single"/>
        </w:rPr>
      </w:pPr>
      <w:r w:rsidRPr="00AC4554">
        <w:rPr>
          <w:rFonts w:ascii="Arial" w:hAnsi="Arial" w:cs="Arial"/>
          <w:i w:val="0"/>
          <w:color w:val="auto"/>
          <w:sz w:val="20"/>
          <w:szCs w:val="20"/>
          <w:u w:val="single"/>
        </w:rPr>
        <w:t xml:space="preserve">4.2.1 </w:t>
      </w:r>
      <w:r w:rsidR="004F4FB1" w:rsidRPr="00AC4554">
        <w:rPr>
          <w:rFonts w:ascii="Arial" w:hAnsi="Arial" w:cs="Arial"/>
          <w:i w:val="0"/>
          <w:color w:val="auto"/>
          <w:sz w:val="20"/>
          <w:szCs w:val="20"/>
          <w:u w:val="single"/>
        </w:rPr>
        <w:t>Antagonistic Compounds in Non-Host Plants</w:t>
      </w:r>
    </w:p>
    <w:p w14:paraId="5559F8D3" w14:textId="77777777" w:rsidR="004F4FB1" w:rsidRPr="003E0A8F" w:rsidRDefault="004F4FB1" w:rsidP="00E050B0">
      <w:pPr>
        <w:pStyle w:val="NormalWeb"/>
        <w:jc w:val="both"/>
        <w:rPr>
          <w:rFonts w:ascii="Arial" w:hAnsi="Arial" w:cs="Arial"/>
          <w:sz w:val="20"/>
        </w:rPr>
      </w:pPr>
      <w:r w:rsidRPr="00205602">
        <w:rPr>
          <w:rFonts w:ascii="Arial" w:hAnsi="Arial" w:cs="Arial"/>
          <w:sz w:val="20"/>
        </w:rPr>
        <w:t xml:space="preserve">Compounds found in non-host plants such as </w:t>
      </w:r>
      <w:r w:rsidRPr="00205602">
        <w:rPr>
          <w:rStyle w:val="Emphasis"/>
          <w:rFonts w:ascii="Arial" w:hAnsi="Arial" w:cs="Arial"/>
          <w:sz w:val="20"/>
        </w:rPr>
        <w:t>Artemisia vulgaris</w:t>
      </w:r>
      <w:r w:rsidRPr="00205602">
        <w:rPr>
          <w:rFonts w:ascii="Arial" w:hAnsi="Arial" w:cs="Arial"/>
          <w:sz w:val="20"/>
        </w:rPr>
        <w:t xml:space="preserve"> have been shown to interfere with gustatory signaling. Ethanol extracts of </w:t>
      </w:r>
      <w:r w:rsidRPr="00205602">
        <w:rPr>
          <w:rStyle w:val="Emphasis"/>
          <w:rFonts w:ascii="Arial" w:hAnsi="Arial" w:cs="Arial"/>
          <w:sz w:val="20"/>
        </w:rPr>
        <w:t>A. vulgaris</w:t>
      </w:r>
      <w:r w:rsidRPr="00205602">
        <w:rPr>
          <w:rFonts w:ascii="Arial" w:hAnsi="Arial" w:cs="Arial"/>
          <w:sz w:val="20"/>
        </w:rPr>
        <w:t xml:space="preserve"> suppressed sucrose-induced activation in MG neurons, reducing the likelihood of persistent </w:t>
      </w:r>
      <w:r w:rsidRPr="003E0A8F">
        <w:rPr>
          <w:rFonts w:ascii="Arial" w:hAnsi="Arial" w:cs="Arial"/>
          <w:sz w:val="20"/>
        </w:rPr>
        <w:t xml:space="preserve">biting (Endo </w:t>
      </w:r>
      <w:r w:rsidRPr="003E0A8F">
        <w:rPr>
          <w:rFonts w:ascii="Arial" w:hAnsi="Arial" w:cs="Arial"/>
          <w:i/>
          <w:sz w:val="20"/>
        </w:rPr>
        <w:t xml:space="preserve">et </w:t>
      </w:r>
      <w:r w:rsidR="00E050B0" w:rsidRPr="003E0A8F">
        <w:rPr>
          <w:rFonts w:ascii="Arial" w:hAnsi="Arial" w:cs="Arial"/>
          <w:i/>
          <w:sz w:val="20"/>
        </w:rPr>
        <w:t>al.,</w:t>
      </w:r>
      <w:r w:rsidR="00E050B0" w:rsidRPr="003E0A8F">
        <w:rPr>
          <w:rFonts w:ascii="Arial" w:hAnsi="Arial" w:cs="Arial"/>
          <w:sz w:val="20"/>
        </w:rPr>
        <w:t xml:space="preserve"> 2024</w:t>
      </w:r>
      <w:r w:rsidRPr="003E0A8F">
        <w:rPr>
          <w:rFonts w:ascii="Arial" w:hAnsi="Arial" w:cs="Arial"/>
          <w:sz w:val="20"/>
        </w:rPr>
        <w:t xml:space="preserve">). This is consistent with findings by </w:t>
      </w:r>
      <w:r w:rsidR="003E0A8F" w:rsidRPr="003E0A8F">
        <w:rPr>
          <w:rFonts w:ascii="Arial" w:hAnsi="Arial" w:cs="Arial"/>
          <w:color w:val="222222"/>
          <w:sz w:val="20"/>
          <w:szCs w:val="20"/>
          <w:shd w:val="clear" w:color="auto" w:fill="FFFFFF"/>
        </w:rPr>
        <w:t>Xu</w:t>
      </w:r>
      <w:r w:rsidRPr="003E0A8F">
        <w:rPr>
          <w:rFonts w:ascii="Arial" w:hAnsi="Arial" w:cs="Arial"/>
          <w:sz w:val="20"/>
        </w:rPr>
        <w:t xml:space="preserve"> </w:t>
      </w:r>
      <w:r w:rsidRPr="003E0A8F">
        <w:rPr>
          <w:rFonts w:ascii="Arial" w:hAnsi="Arial" w:cs="Arial"/>
          <w:i/>
          <w:sz w:val="20"/>
        </w:rPr>
        <w:t>et al.</w:t>
      </w:r>
      <w:r w:rsidR="003E0A8F" w:rsidRPr="003E0A8F">
        <w:rPr>
          <w:rFonts w:ascii="Arial" w:hAnsi="Arial" w:cs="Arial"/>
          <w:sz w:val="20"/>
        </w:rPr>
        <w:t xml:space="preserve"> (2024)</w:t>
      </w:r>
      <w:r w:rsidRPr="003E0A8F">
        <w:rPr>
          <w:rFonts w:ascii="Arial" w:hAnsi="Arial" w:cs="Arial"/>
          <w:sz w:val="20"/>
        </w:rPr>
        <w:t>, who demonstrated that sesquiterpene lactones and alkaloids in bitter plants could block sugar receptor pathways.</w:t>
      </w:r>
    </w:p>
    <w:p w14:paraId="77ABA0E6" w14:textId="77777777" w:rsidR="004F4FB1" w:rsidRPr="003E0A8F" w:rsidRDefault="00AC4554" w:rsidP="00AC4554">
      <w:pPr>
        <w:pStyle w:val="Heading4"/>
        <w:rPr>
          <w:rFonts w:ascii="Arial" w:hAnsi="Arial" w:cs="Arial"/>
          <w:i w:val="0"/>
          <w:color w:val="auto"/>
          <w:sz w:val="20"/>
          <w:szCs w:val="20"/>
          <w:u w:val="single"/>
        </w:rPr>
      </w:pPr>
      <w:r w:rsidRPr="003E0A8F">
        <w:rPr>
          <w:rFonts w:ascii="Arial" w:hAnsi="Arial" w:cs="Arial"/>
          <w:i w:val="0"/>
          <w:color w:val="auto"/>
          <w:sz w:val="20"/>
          <w:szCs w:val="20"/>
          <w:u w:val="single"/>
        </w:rPr>
        <w:t xml:space="preserve">4.2.2 </w:t>
      </w:r>
      <w:r w:rsidR="004F4FB1" w:rsidRPr="003E0A8F">
        <w:rPr>
          <w:rFonts w:ascii="Arial" w:hAnsi="Arial" w:cs="Arial"/>
          <w:i w:val="0"/>
          <w:color w:val="auto"/>
          <w:sz w:val="20"/>
          <w:szCs w:val="20"/>
          <w:u w:val="single"/>
        </w:rPr>
        <w:t>Absence of Key Stimulants</w:t>
      </w:r>
    </w:p>
    <w:p w14:paraId="0E488720" w14:textId="77777777" w:rsidR="004F4FB1" w:rsidRPr="00205602" w:rsidRDefault="004F4FB1" w:rsidP="00E050B0">
      <w:pPr>
        <w:pStyle w:val="NormalWeb"/>
        <w:jc w:val="both"/>
        <w:rPr>
          <w:rFonts w:ascii="Arial" w:hAnsi="Arial" w:cs="Arial"/>
          <w:sz w:val="20"/>
        </w:rPr>
      </w:pPr>
      <w:r w:rsidRPr="003E0A8F">
        <w:rPr>
          <w:rFonts w:ascii="Arial" w:hAnsi="Arial" w:cs="Arial"/>
          <w:sz w:val="20"/>
        </w:rPr>
        <w:t>Another form of deterrence is passive reje</w:t>
      </w:r>
      <w:r w:rsidR="00E050B0" w:rsidRPr="003E0A8F">
        <w:rPr>
          <w:rFonts w:ascii="Arial" w:hAnsi="Arial" w:cs="Arial"/>
          <w:sz w:val="20"/>
        </w:rPr>
        <w:t xml:space="preserve">ction, </w:t>
      </w:r>
      <w:r w:rsidRPr="003E0A8F">
        <w:rPr>
          <w:rFonts w:ascii="Arial" w:hAnsi="Arial" w:cs="Arial"/>
          <w:sz w:val="20"/>
        </w:rPr>
        <w:t>when test biting fails to yield sufficient levels of phagostimulants like chlorogenic acid, β-sitoster</w:t>
      </w:r>
      <w:r w:rsidR="00E050B0" w:rsidRPr="003E0A8F">
        <w:rPr>
          <w:rFonts w:ascii="Arial" w:hAnsi="Arial" w:cs="Arial"/>
          <w:sz w:val="20"/>
        </w:rPr>
        <w:t xml:space="preserve">ol, or sugars. Endo </w:t>
      </w:r>
      <w:r w:rsidR="00E050B0" w:rsidRPr="003E0A8F">
        <w:rPr>
          <w:rFonts w:ascii="Arial" w:hAnsi="Arial" w:cs="Arial"/>
          <w:i/>
          <w:sz w:val="20"/>
        </w:rPr>
        <w:t>et al.</w:t>
      </w:r>
      <w:r w:rsidR="00E050B0" w:rsidRPr="003E0A8F">
        <w:rPr>
          <w:rFonts w:ascii="Arial" w:hAnsi="Arial" w:cs="Arial"/>
          <w:sz w:val="20"/>
        </w:rPr>
        <w:t xml:space="preserve"> (2024</w:t>
      </w:r>
      <w:r w:rsidRPr="003E0A8F">
        <w:rPr>
          <w:rFonts w:ascii="Arial" w:hAnsi="Arial" w:cs="Arial"/>
          <w:sz w:val="20"/>
        </w:rPr>
        <w:t>) noted</w:t>
      </w:r>
      <w:r w:rsidRPr="00205602">
        <w:rPr>
          <w:rFonts w:ascii="Arial" w:hAnsi="Arial" w:cs="Arial"/>
          <w:sz w:val="20"/>
        </w:rPr>
        <w:t xml:space="preserve"> that leaves lacking these three signature compounds triggered minimal feeding behavior. This explains why </w:t>
      </w:r>
      <w:r w:rsidRPr="00205602">
        <w:rPr>
          <w:rStyle w:val="Emphasis"/>
          <w:rFonts w:ascii="Arial" w:hAnsi="Arial" w:cs="Arial"/>
          <w:sz w:val="20"/>
        </w:rPr>
        <w:t>B. mori</w:t>
      </w:r>
      <w:r w:rsidRPr="00205602">
        <w:rPr>
          <w:rFonts w:ascii="Arial" w:hAnsi="Arial" w:cs="Arial"/>
          <w:sz w:val="20"/>
        </w:rPr>
        <w:t>, though oligophagous, exhibits near-monophagous behavior under natural conditions.</w:t>
      </w:r>
    </w:p>
    <w:p w14:paraId="0F749BF0" w14:textId="77777777" w:rsidR="00081B2F" w:rsidRPr="00AC4554" w:rsidRDefault="003A7412" w:rsidP="00AC4554">
      <w:pPr>
        <w:pStyle w:val="Heading2"/>
        <w:numPr>
          <w:ilvl w:val="0"/>
          <w:numId w:val="3"/>
        </w:numPr>
        <w:ind w:left="284" w:hanging="284"/>
        <w:rPr>
          <w:rFonts w:ascii="Arial" w:hAnsi="Arial" w:cs="Arial"/>
          <w:sz w:val="22"/>
          <w:szCs w:val="22"/>
        </w:rPr>
      </w:pPr>
      <w:r w:rsidRPr="00AC4554">
        <w:rPr>
          <w:rFonts w:ascii="Arial" w:hAnsi="Arial" w:cs="Arial"/>
          <w:sz w:val="22"/>
          <w:szCs w:val="22"/>
        </w:rPr>
        <w:t>MOLECULAR GENETICS OF HOST PREFERENCE</w:t>
      </w:r>
    </w:p>
    <w:p w14:paraId="078EFA57" w14:textId="77777777" w:rsidR="00081B2F" w:rsidRPr="00205602" w:rsidRDefault="00081B2F" w:rsidP="003A7412">
      <w:pPr>
        <w:pStyle w:val="Heading2"/>
        <w:jc w:val="both"/>
        <w:rPr>
          <w:rFonts w:ascii="Arial" w:hAnsi="Arial" w:cs="Arial"/>
          <w:b w:val="0"/>
          <w:sz w:val="20"/>
        </w:rPr>
      </w:pPr>
      <w:r w:rsidRPr="00205602">
        <w:rPr>
          <w:rFonts w:ascii="Arial" w:hAnsi="Arial" w:cs="Arial"/>
          <w:b w:val="0"/>
          <w:sz w:val="20"/>
        </w:rPr>
        <w:t xml:space="preserve">The host preference of the domesticated silkworm, </w:t>
      </w:r>
      <w:r w:rsidRPr="00205602">
        <w:rPr>
          <w:rStyle w:val="Emphasis"/>
          <w:rFonts w:ascii="Arial" w:hAnsi="Arial" w:cs="Arial"/>
          <w:b w:val="0"/>
          <w:sz w:val="20"/>
        </w:rPr>
        <w:t>Bombyx mori</w:t>
      </w:r>
      <w:r w:rsidRPr="00205602">
        <w:rPr>
          <w:rFonts w:ascii="Arial" w:hAnsi="Arial" w:cs="Arial"/>
          <w:b w:val="0"/>
          <w:sz w:val="20"/>
        </w:rPr>
        <w:t xml:space="preserve">, presents a compelling model to explore the molecular genetic mechanisms underlying insect-plant interactions. As an oligophagous insect, </w:t>
      </w:r>
      <w:r w:rsidRPr="00205602">
        <w:rPr>
          <w:rStyle w:val="Emphasis"/>
          <w:rFonts w:ascii="Arial" w:hAnsi="Arial" w:cs="Arial"/>
          <w:b w:val="0"/>
          <w:sz w:val="20"/>
        </w:rPr>
        <w:t xml:space="preserve">B. </w:t>
      </w:r>
      <w:r w:rsidRPr="00205602">
        <w:rPr>
          <w:rStyle w:val="Emphasis"/>
          <w:rFonts w:ascii="Arial" w:hAnsi="Arial" w:cs="Arial"/>
          <w:b w:val="0"/>
          <w:sz w:val="20"/>
        </w:rPr>
        <w:lastRenderedPageBreak/>
        <w:t>mori</w:t>
      </w:r>
      <w:r w:rsidRPr="00205602">
        <w:rPr>
          <w:rFonts w:ascii="Arial" w:hAnsi="Arial" w:cs="Arial"/>
          <w:b w:val="0"/>
          <w:sz w:val="20"/>
        </w:rPr>
        <w:t xml:space="preserve"> feeds almost exclusively on mulberry (</w:t>
      </w:r>
      <w:r w:rsidRPr="00205602">
        <w:rPr>
          <w:rStyle w:val="Emphasis"/>
          <w:rFonts w:ascii="Arial" w:hAnsi="Arial" w:cs="Arial"/>
          <w:b w:val="0"/>
          <w:sz w:val="20"/>
        </w:rPr>
        <w:t>Morus</w:t>
      </w:r>
      <w:r w:rsidR="009F7281" w:rsidRPr="00205602">
        <w:rPr>
          <w:rStyle w:val="Emphasis"/>
          <w:rFonts w:ascii="Arial" w:hAnsi="Arial" w:cs="Arial"/>
          <w:b w:val="0"/>
          <w:sz w:val="20"/>
        </w:rPr>
        <w:t xml:space="preserve"> </w:t>
      </w:r>
      <w:r w:rsidR="009F7281" w:rsidRPr="00205602">
        <w:rPr>
          <w:rStyle w:val="Emphasis"/>
          <w:rFonts w:ascii="Arial" w:hAnsi="Arial" w:cs="Arial"/>
          <w:b w:val="0"/>
          <w:i w:val="0"/>
          <w:sz w:val="20"/>
        </w:rPr>
        <w:t>spp.</w:t>
      </w:r>
      <w:r w:rsidRPr="00205602">
        <w:rPr>
          <w:rFonts w:ascii="Arial" w:hAnsi="Arial" w:cs="Arial"/>
          <w:b w:val="0"/>
          <w:sz w:val="20"/>
        </w:rPr>
        <w:t xml:space="preserve">) leaves, despite having the capacity to accept a limited range of alternative host plants under artificial conditions. This narrow dietary preference is regulated not only by behavioral and physiological traits but also, and more importantly, by an intricate genetic network involving chemosensory receptors, particularly those governing gustatory and olfactory perception. With the advent of high-throughput molecular tools, including whole-genome sequencing, transcriptomic profiling, and gene-editing technologies, significant advances have been made in identifying key genes and pathways that shape the feeding specificity of </w:t>
      </w:r>
      <w:r w:rsidRPr="00205602">
        <w:rPr>
          <w:rStyle w:val="Emphasis"/>
          <w:rFonts w:ascii="Arial" w:hAnsi="Arial" w:cs="Arial"/>
          <w:b w:val="0"/>
          <w:sz w:val="20"/>
        </w:rPr>
        <w:t>B. mori</w:t>
      </w:r>
      <w:r w:rsidRPr="00205602">
        <w:rPr>
          <w:rFonts w:ascii="Arial" w:hAnsi="Arial" w:cs="Arial"/>
          <w:b w:val="0"/>
          <w:sz w:val="20"/>
        </w:rPr>
        <w:t>.</w:t>
      </w:r>
    </w:p>
    <w:p w14:paraId="13269F45" w14:textId="77777777" w:rsidR="00081B2F" w:rsidRPr="00AC4554" w:rsidRDefault="00AC4554" w:rsidP="00AC4554">
      <w:pPr>
        <w:pStyle w:val="Heading4"/>
        <w:rPr>
          <w:rFonts w:ascii="Arial" w:hAnsi="Arial" w:cs="Arial"/>
          <w:i w:val="0"/>
          <w:color w:val="auto"/>
        </w:rPr>
      </w:pPr>
      <w:r w:rsidRPr="00AC4554">
        <w:rPr>
          <w:rFonts w:ascii="Arial" w:hAnsi="Arial" w:cs="Arial"/>
          <w:i w:val="0"/>
          <w:color w:val="auto"/>
        </w:rPr>
        <w:t xml:space="preserve">5.1 </w:t>
      </w:r>
      <w:r w:rsidR="00081B2F" w:rsidRPr="00AC4554">
        <w:rPr>
          <w:rFonts w:ascii="Arial" w:hAnsi="Arial" w:cs="Arial"/>
          <w:i w:val="0"/>
          <w:color w:val="auto"/>
        </w:rPr>
        <w:t>Gustatory System and Host Discrimination</w:t>
      </w:r>
    </w:p>
    <w:p w14:paraId="4BB8CE5E" w14:textId="77777777" w:rsidR="00081B2F" w:rsidRPr="00EC2209" w:rsidRDefault="00081B2F" w:rsidP="003A7412">
      <w:pPr>
        <w:pStyle w:val="NormalWeb"/>
        <w:jc w:val="both"/>
        <w:rPr>
          <w:rFonts w:ascii="Arial" w:hAnsi="Arial" w:cs="Arial"/>
          <w:sz w:val="20"/>
        </w:rPr>
      </w:pPr>
      <w:r w:rsidRPr="00205602">
        <w:rPr>
          <w:rFonts w:ascii="Arial" w:hAnsi="Arial" w:cs="Arial"/>
          <w:sz w:val="20"/>
        </w:rPr>
        <w:t xml:space="preserve">The gustatory system plays a foundational role in host plant discrimination by enabling the silkworm to detect non-volatile compounds </w:t>
      </w:r>
      <w:r w:rsidRPr="00EC2209">
        <w:rPr>
          <w:rFonts w:ascii="Arial" w:hAnsi="Arial" w:cs="Arial"/>
          <w:sz w:val="20"/>
        </w:rPr>
        <w:t xml:space="preserve">through specialized gustatory receptor neurons (GRNs) located on its maxillary galea. Electrophysiological investigations of the </w:t>
      </w:r>
      <w:proofErr w:type="spellStart"/>
      <w:r w:rsidRPr="00EC2209">
        <w:rPr>
          <w:rFonts w:ascii="Arial" w:hAnsi="Arial" w:cs="Arial"/>
          <w:sz w:val="20"/>
        </w:rPr>
        <w:t>styloconic</w:t>
      </w:r>
      <w:proofErr w:type="spellEnd"/>
      <w:r w:rsidRPr="00EC2209">
        <w:rPr>
          <w:rFonts w:ascii="Arial" w:hAnsi="Arial" w:cs="Arial"/>
          <w:sz w:val="20"/>
        </w:rPr>
        <w:t xml:space="preserve"> sensilla (SS-I and SS-II) revealed that these structures respond robustly to certain phagostimulants, especially vitamin C, sucrose, and inositol, which are abundant in mulberry leaves (Cui &amp; Xu, 2001)</w:t>
      </w:r>
      <w:r w:rsidR="00622967" w:rsidRPr="00EC2209">
        <w:rPr>
          <w:rFonts w:ascii="Arial" w:hAnsi="Arial" w:cs="Arial"/>
          <w:sz w:val="20"/>
        </w:rPr>
        <w:t xml:space="preserve"> (Table 1)</w:t>
      </w:r>
      <w:r w:rsidRPr="00EC2209">
        <w:rPr>
          <w:rFonts w:ascii="Arial" w:hAnsi="Arial" w:cs="Arial"/>
          <w:sz w:val="20"/>
        </w:rPr>
        <w:t>. Interestingly, these compounds can also exhibit mutual inhibitory effects on sensory neurons; for instance, vitamin C suppresses the response of SS-I to sucrose and inositol and vice versa, indicating a complex regulatory crosstalk between stimulatory and inhibitory signals at the peripheral sensory level.</w:t>
      </w:r>
    </w:p>
    <w:p w14:paraId="0BD1BDC0" w14:textId="77777777" w:rsidR="00081B2F" w:rsidRPr="00EC2209" w:rsidRDefault="00081B2F" w:rsidP="003A7412">
      <w:pPr>
        <w:pStyle w:val="NormalWeb"/>
        <w:jc w:val="both"/>
        <w:rPr>
          <w:rFonts w:ascii="Arial" w:hAnsi="Arial" w:cs="Arial"/>
          <w:sz w:val="20"/>
        </w:rPr>
      </w:pPr>
      <w:r w:rsidRPr="00EC2209">
        <w:rPr>
          <w:rFonts w:ascii="Arial" w:hAnsi="Arial" w:cs="Arial"/>
          <w:sz w:val="20"/>
        </w:rPr>
        <w:t xml:space="preserve">At the molecular level, gustatory receptors (Grs), which belong to a distinct family of seven-transmembrane domain proteins, are central to decoding the chemical profile of potential food sources. Genome-wide annotations have identified up to 76 Gr genes in </w:t>
      </w:r>
      <w:r w:rsidRPr="00EC2209">
        <w:rPr>
          <w:rStyle w:val="Emphasis"/>
          <w:rFonts w:ascii="Arial" w:hAnsi="Arial" w:cs="Arial"/>
          <w:sz w:val="20"/>
        </w:rPr>
        <w:t>B. mori</w:t>
      </w:r>
      <w:r w:rsidRPr="00EC2209">
        <w:rPr>
          <w:rFonts w:ascii="Arial" w:hAnsi="Arial" w:cs="Arial"/>
          <w:sz w:val="20"/>
        </w:rPr>
        <w:t xml:space="preserve">, several of which are expressed in chemosensory tissues such as the maxillae, antennae, and even in the central nervous system (Guo </w:t>
      </w:r>
      <w:r w:rsidRPr="00EC2209">
        <w:rPr>
          <w:rFonts w:ascii="Arial" w:hAnsi="Arial" w:cs="Arial"/>
          <w:i/>
          <w:sz w:val="20"/>
        </w:rPr>
        <w:t>et al.,</w:t>
      </w:r>
      <w:r w:rsidRPr="00EC2209">
        <w:rPr>
          <w:rFonts w:ascii="Arial" w:hAnsi="Arial" w:cs="Arial"/>
          <w:sz w:val="20"/>
        </w:rPr>
        <w:t xml:space="preserve"> 2017). Among them, BmGr6, BmGr8, and BmGr4–10 function as sugar receptors, recognizing compounds like inositol and epi-inositol, which further reinforce mulberry specificity (Zhang </w:t>
      </w:r>
      <w:r w:rsidRPr="00EC2209">
        <w:rPr>
          <w:rFonts w:ascii="Arial" w:hAnsi="Arial" w:cs="Arial"/>
          <w:i/>
          <w:sz w:val="20"/>
        </w:rPr>
        <w:t>et al.,</w:t>
      </w:r>
      <w:r w:rsidRPr="00EC2209">
        <w:rPr>
          <w:rFonts w:ascii="Arial" w:hAnsi="Arial" w:cs="Arial"/>
          <w:sz w:val="20"/>
        </w:rPr>
        <w:t xml:space="preserve"> 2011; Mang </w:t>
      </w:r>
      <w:r w:rsidRPr="00EC2209">
        <w:rPr>
          <w:rFonts w:ascii="Arial" w:hAnsi="Arial" w:cs="Arial"/>
          <w:i/>
          <w:sz w:val="20"/>
        </w:rPr>
        <w:t>et al.,</w:t>
      </w:r>
      <w:r w:rsidR="00EC2209" w:rsidRPr="00EC2209">
        <w:rPr>
          <w:rFonts w:ascii="Arial" w:hAnsi="Arial" w:cs="Arial"/>
          <w:sz w:val="20"/>
        </w:rPr>
        <w:t xml:space="preserve"> 2016</w:t>
      </w:r>
      <w:r w:rsidRPr="00EC2209">
        <w:rPr>
          <w:rFonts w:ascii="Arial" w:hAnsi="Arial" w:cs="Arial"/>
          <w:sz w:val="20"/>
        </w:rPr>
        <w:t>).</w:t>
      </w:r>
      <w:r w:rsidR="003A7412" w:rsidRPr="00EC2209">
        <w:rPr>
          <w:rFonts w:ascii="Arial" w:hAnsi="Arial" w:cs="Arial"/>
          <w:sz w:val="20"/>
        </w:rPr>
        <w:t xml:space="preserve"> Notably, </w:t>
      </w:r>
      <w:r w:rsidR="003A7412" w:rsidRPr="00EC2209">
        <w:rPr>
          <w:rStyle w:val="Strong"/>
          <w:rFonts w:ascii="Arial" w:hAnsi="Arial" w:cs="Arial"/>
          <w:b w:val="0"/>
          <w:sz w:val="20"/>
        </w:rPr>
        <w:t>the maxillary galea</w:t>
      </w:r>
      <w:r w:rsidR="003A7412" w:rsidRPr="00EC2209">
        <w:rPr>
          <w:rStyle w:val="Strong"/>
          <w:rFonts w:ascii="Arial" w:hAnsi="Arial" w:cs="Arial"/>
          <w:sz w:val="20"/>
        </w:rPr>
        <w:t xml:space="preserve">, </w:t>
      </w:r>
      <w:r w:rsidR="003A7412" w:rsidRPr="00EC2209">
        <w:rPr>
          <w:rFonts w:ascii="Arial" w:hAnsi="Arial" w:cs="Arial"/>
          <w:sz w:val="20"/>
        </w:rPr>
        <w:t xml:space="preserve">a critical gustatory organ—plays a fundamental role in assessing the nutritional quality of a leaf following </w:t>
      </w:r>
      <w:r w:rsidR="003A7412" w:rsidRPr="00EC2209">
        <w:rPr>
          <w:rStyle w:val="Strong"/>
          <w:rFonts w:ascii="Arial" w:hAnsi="Arial" w:cs="Arial"/>
          <w:b w:val="0"/>
          <w:sz w:val="20"/>
        </w:rPr>
        <w:t>test biting</w:t>
      </w:r>
      <w:r w:rsidR="003A7412" w:rsidRPr="00EC2209">
        <w:rPr>
          <w:rFonts w:ascii="Arial" w:hAnsi="Arial" w:cs="Arial"/>
          <w:sz w:val="20"/>
        </w:rPr>
        <w:t xml:space="preserve">, the initial stage of feeding. Within this structure, </w:t>
      </w:r>
      <w:r w:rsidR="003A7412" w:rsidRPr="00EC2209">
        <w:rPr>
          <w:rStyle w:val="Strong"/>
          <w:rFonts w:ascii="Arial" w:hAnsi="Arial" w:cs="Arial"/>
          <w:b w:val="0"/>
          <w:sz w:val="20"/>
        </w:rPr>
        <w:t>BmGr6 and BmGr9</w:t>
      </w:r>
      <w:r w:rsidR="003A7412" w:rsidRPr="00EC2209">
        <w:rPr>
          <w:rFonts w:ascii="Arial" w:hAnsi="Arial" w:cs="Arial"/>
          <w:sz w:val="20"/>
        </w:rPr>
        <w:t xml:space="preserve"> serve as molecular sensors for sugars present in leaf sap, and their activation determines whether the larva proceeds to sustained feeding (Endo </w:t>
      </w:r>
      <w:r w:rsidR="003A7412" w:rsidRPr="00EC2209">
        <w:rPr>
          <w:rFonts w:ascii="Arial" w:hAnsi="Arial" w:cs="Arial"/>
          <w:i/>
          <w:sz w:val="20"/>
        </w:rPr>
        <w:t>et al.,</w:t>
      </w:r>
      <w:r w:rsidR="003A7412" w:rsidRPr="00EC2209">
        <w:rPr>
          <w:rFonts w:ascii="Arial" w:hAnsi="Arial" w:cs="Arial"/>
          <w:sz w:val="20"/>
        </w:rPr>
        <w:t xml:space="preserve"> 2024). </w:t>
      </w:r>
      <w:r w:rsidRPr="00EC2209">
        <w:rPr>
          <w:rFonts w:ascii="Arial" w:hAnsi="Arial" w:cs="Arial"/>
          <w:sz w:val="20"/>
        </w:rPr>
        <w:t xml:space="preserve"> In contrast, BmGr53, BmGr16, BmGr18, and BmGr66 are categorized as bitter receptors, responding to deterrent compounds such as coumarin, caffeine, and pilocarpine (</w:t>
      </w:r>
      <w:proofErr w:type="spellStart"/>
      <w:r w:rsidRPr="00EC2209">
        <w:rPr>
          <w:rFonts w:ascii="Arial" w:hAnsi="Arial" w:cs="Arial"/>
          <w:sz w:val="20"/>
        </w:rPr>
        <w:t>Kasubuchi</w:t>
      </w:r>
      <w:proofErr w:type="spellEnd"/>
      <w:r w:rsidRPr="00EC2209">
        <w:rPr>
          <w:rFonts w:ascii="Arial" w:hAnsi="Arial" w:cs="Arial"/>
          <w:sz w:val="20"/>
        </w:rPr>
        <w:t xml:space="preserve"> </w:t>
      </w:r>
      <w:r w:rsidRPr="00EC2209">
        <w:rPr>
          <w:rFonts w:ascii="Arial" w:hAnsi="Arial" w:cs="Arial"/>
          <w:i/>
          <w:sz w:val="20"/>
        </w:rPr>
        <w:t>et al.,</w:t>
      </w:r>
      <w:r w:rsidRPr="00EC2209">
        <w:rPr>
          <w:rFonts w:ascii="Arial" w:hAnsi="Arial" w:cs="Arial"/>
          <w:sz w:val="20"/>
        </w:rPr>
        <w:t xml:space="preserve"> 2018). These bitter Grs are critical for rejecting unsuitable or toxic plant material, adding another layer of selectivity to the silkworm’s feeding behavior.</w:t>
      </w:r>
    </w:p>
    <w:p w14:paraId="08691AD0" w14:textId="77777777" w:rsidR="00081B2F" w:rsidRPr="00622967" w:rsidRDefault="00081B2F" w:rsidP="003A7412">
      <w:pPr>
        <w:pStyle w:val="NormalWeb"/>
        <w:jc w:val="both"/>
        <w:rPr>
          <w:rFonts w:ascii="Arial" w:hAnsi="Arial" w:cs="Arial"/>
          <w:sz w:val="20"/>
        </w:rPr>
      </w:pPr>
      <w:r w:rsidRPr="00EC2209">
        <w:rPr>
          <w:rFonts w:ascii="Arial" w:hAnsi="Arial" w:cs="Arial"/>
          <w:sz w:val="20"/>
        </w:rPr>
        <w:t xml:space="preserve">Genetic studies have provided compelling evidence linking specific Gr genes to host preference. Using the CRISPR/Cas9 system, </w:t>
      </w:r>
      <w:r w:rsidR="00EC2209" w:rsidRPr="00EC2209">
        <w:rPr>
          <w:rFonts w:ascii="Arial" w:hAnsi="Arial" w:cs="Arial"/>
          <w:sz w:val="20"/>
        </w:rPr>
        <w:t>Baci</w:t>
      </w:r>
      <w:r w:rsidRPr="00EC2209">
        <w:rPr>
          <w:rFonts w:ascii="Arial" w:hAnsi="Arial" w:cs="Arial"/>
          <w:sz w:val="20"/>
        </w:rPr>
        <w:t xml:space="preserve"> </w:t>
      </w:r>
      <w:r w:rsidRPr="00EC2209">
        <w:rPr>
          <w:rFonts w:ascii="Arial" w:hAnsi="Arial" w:cs="Arial"/>
          <w:i/>
          <w:sz w:val="20"/>
        </w:rPr>
        <w:t>et al</w:t>
      </w:r>
      <w:r w:rsidR="00EC2209" w:rsidRPr="00EC2209">
        <w:rPr>
          <w:rFonts w:ascii="Arial" w:hAnsi="Arial" w:cs="Arial"/>
          <w:sz w:val="20"/>
        </w:rPr>
        <w:t>. (2021</w:t>
      </w:r>
      <w:r w:rsidRPr="00EC2209">
        <w:rPr>
          <w:rFonts w:ascii="Arial" w:hAnsi="Arial" w:cs="Arial"/>
          <w:sz w:val="20"/>
        </w:rPr>
        <w:t xml:space="preserve">) demonstrated that targeted disruption of the </w:t>
      </w:r>
      <w:proofErr w:type="spellStart"/>
      <w:r w:rsidRPr="00EC2209">
        <w:rPr>
          <w:rFonts w:ascii="Arial" w:hAnsi="Arial" w:cs="Arial"/>
          <w:sz w:val="20"/>
        </w:rPr>
        <w:t>hestia</w:t>
      </w:r>
      <w:proofErr w:type="spellEnd"/>
      <w:r w:rsidRPr="00EC2209">
        <w:rPr>
          <w:rFonts w:ascii="Arial" w:hAnsi="Arial" w:cs="Arial"/>
          <w:sz w:val="20"/>
        </w:rPr>
        <w:t xml:space="preserve"> gene converted </w:t>
      </w:r>
      <w:r w:rsidRPr="00EC2209">
        <w:rPr>
          <w:rStyle w:val="Emphasis"/>
          <w:rFonts w:ascii="Arial" w:hAnsi="Arial" w:cs="Arial"/>
          <w:sz w:val="20"/>
        </w:rPr>
        <w:t>B. mori</w:t>
      </w:r>
      <w:r w:rsidRPr="00EC2209">
        <w:rPr>
          <w:rFonts w:ascii="Arial" w:hAnsi="Arial" w:cs="Arial"/>
          <w:sz w:val="20"/>
        </w:rPr>
        <w:t xml:space="preserve"> from an oligophagous insect to one capable of consuming alternative foods such as apple and corn. Similarly, Zhang </w:t>
      </w:r>
      <w:r w:rsidRPr="00EC2209">
        <w:rPr>
          <w:rFonts w:ascii="Arial" w:hAnsi="Arial" w:cs="Arial"/>
          <w:i/>
          <w:sz w:val="20"/>
        </w:rPr>
        <w:t>et al.</w:t>
      </w:r>
      <w:r w:rsidRPr="00EC2209">
        <w:rPr>
          <w:rFonts w:ascii="Arial" w:hAnsi="Arial" w:cs="Arial"/>
          <w:sz w:val="20"/>
        </w:rPr>
        <w:t xml:space="preserve"> (2019) reported that knockout of the bitter receptor gene Gr66 resulted in silkworm larvae that readily accepted atypical</w:t>
      </w:r>
      <w:r w:rsidRPr="00622967">
        <w:rPr>
          <w:rFonts w:ascii="Arial" w:hAnsi="Arial" w:cs="Arial"/>
          <w:sz w:val="20"/>
        </w:rPr>
        <w:t xml:space="preserve"> food sources, losing their inherent selectivity for mulberry. These findings underscore the genetic control of feeding preference and suggest that specific Grs function as molecular gatekeepers in host recognition.</w:t>
      </w:r>
    </w:p>
    <w:p w14:paraId="4336498C" w14:textId="77777777" w:rsidR="00081B2F" w:rsidRPr="00AC4554" w:rsidRDefault="00AC4554" w:rsidP="00AC4554">
      <w:pPr>
        <w:pStyle w:val="Heading4"/>
        <w:rPr>
          <w:rFonts w:ascii="Arial" w:hAnsi="Arial" w:cs="Arial"/>
          <w:i w:val="0"/>
          <w:color w:val="auto"/>
        </w:rPr>
      </w:pPr>
      <w:r w:rsidRPr="00AC4554">
        <w:rPr>
          <w:rFonts w:ascii="Arial" w:hAnsi="Arial" w:cs="Arial"/>
          <w:i w:val="0"/>
          <w:color w:val="auto"/>
        </w:rPr>
        <w:t xml:space="preserve">5.2 </w:t>
      </w:r>
      <w:r w:rsidR="00081B2F" w:rsidRPr="00AC4554">
        <w:rPr>
          <w:rFonts w:ascii="Arial" w:hAnsi="Arial" w:cs="Arial"/>
          <w:i w:val="0"/>
          <w:color w:val="auto"/>
        </w:rPr>
        <w:t>Olfactory Contributions to Feeding Behavior</w:t>
      </w:r>
    </w:p>
    <w:p w14:paraId="14B04B3D" w14:textId="77777777" w:rsidR="00081B2F" w:rsidRPr="00622967" w:rsidRDefault="00081B2F" w:rsidP="003A7412">
      <w:pPr>
        <w:pStyle w:val="NormalWeb"/>
        <w:jc w:val="both"/>
        <w:rPr>
          <w:rFonts w:ascii="Arial" w:hAnsi="Arial" w:cs="Arial"/>
          <w:sz w:val="20"/>
        </w:rPr>
      </w:pPr>
      <w:r w:rsidRPr="00622967">
        <w:rPr>
          <w:rFonts w:ascii="Arial" w:hAnsi="Arial" w:cs="Arial"/>
          <w:sz w:val="20"/>
        </w:rPr>
        <w:t xml:space="preserve">In parallel with gustation, the olfactory system plays a critical role in long-range host detection. Located on the antennae, the olfactory apparatus includes odorant receptors (Ors), odorant-binding proteins (OBPs), and odorant-degrading enzymes (ODEs). These components work in concert to detect, transduce, and terminate responses to volatile </w:t>
      </w:r>
      <w:proofErr w:type="spellStart"/>
      <w:r w:rsidRPr="00622967">
        <w:rPr>
          <w:rFonts w:ascii="Arial" w:hAnsi="Arial" w:cs="Arial"/>
          <w:sz w:val="20"/>
        </w:rPr>
        <w:t>semiochemicals</w:t>
      </w:r>
      <w:proofErr w:type="spellEnd"/>
      <w:r w:rsidRPr="00622967">
        <w:rPr>
          <w:rFonts w:ascii="Arial" w:hAnsi="Arial" w:cs="Arial"/>
          <w:sz w:val="20"/>
        </w:rPr>
        <w:t xml:space="preserve"> released by host plants.</w:t>
      </w:r>
    </w:p>
    <w:p w14:paraId="4A4332A9" w14:textId="77777777" w:rsidR="00081B2F" w:rsidRPr="008A39C8" w:rsidRDefault="00081B2F" w:rsidP="003A7412">
      <w:pPr>
        <w:pStyle w:val="NormalWeb"/>
        <w:jc w:val="both"/>
        <w:rPr>
          <w:rFonts w:ascii="Arial" w:hAnsi="Arial" w:cs="Arial"/>
          <w:sz w:val="20"/>
        </w:rPr>
      </w:pPr>
      <w:r w:rsidRPr="008A39C8">
        <w:rPr>
          <w:rFonts w:ascii="Arial" w:hAnsi="Arial" w:cs="Arial"/>
          <w:sz w:val="20"/>
        </w:rPr>
        <w:t xml:space="preserve">Odorant-binding proteins serve as the first interface between environmental volatiles and neuronal receptors. </w:t>
      </w:r>
      <w:r w:rsidR="00EC2209" w:rsidRPr="008A39C8">
        <w:rPr>
          <w:rFonts w:ascii="Arial" w:hAnsi="Arial" w:cs="Arial"/>
          <w:sz w:val="20"/>
        </w:rPr>
        <w:t xml:space="preserve">Gong </w:t>
      </w:r>
      <w:r w:rsidR="00EC2209" w:rsidRPr="008A39C8">
        <w:rPr>
          <w:rFonts w:ascii="Arial" w:hAnsi="Arial" w:cs="Arial"/>
          <w:i/>
          <w:sz w:val="20"/>
        </w:rPr>
        <w:t>et al</w:t>
      </w:r>
      <w:r w:rsidR="00EC2209" w:rsidRPr="008A39C8">
        <w:rPr>
          <w:rFonts w:ascii="Arial" w:hAnsi="Arial" w:cs="Arial"/>
          <w:sz w:val="20"/>
        </w:rPr>
        <w:t>.</w:t>
      </w:r>
      <w:r w:rsidRPr="008A39C8">
        <w:rPr>
          <w:rFonts w:ascii="Arial" w:hAnsi="Arial" w:cs="Arial"/>
          <w:sz w:val="20"/>
        </w:rPr>
        <w:t xml:space="preserve"> (2009) demonstrated that proteins such as GOBP, ABP, and PBPs (PBP1–3) are differentially expressed in the olfactory tissues of </w:t>
      </w:r>
      <w:r w:rsidRPr="008A39C8">
        <w:rPr>
          <w:rStyle w:val="Emphasis"/>
          <w:rFonts w:ascii="Arial" w:hAnsi="Arial" w:cs="Arial"/>
          <w:sz w:val="20"/>
        </w:rPr>
        <w:t>B. mori</w:t>
      </w:r>
      <w:r w:rsidRPr="008A39C8">
        <w:rPr>
          <w:rFonts w:ascii="Arial" w:hAnsi="Arial" w:cs="Arial"/>
          <w:sz w:val="20"/>
        </w:rPr>
        <w:t xml:space="preserve"> and are involved in transporting volatile molecules through the sensillar lymph to their corresponding Ors. Among these, PBP1 binds sex </w:t>
      </w:r>
      <w:r w:rsidRPr="008A39C8">
        <w:rPr>
          <w:rFonts w:ascii="Arial" w:hAnsi="Arial" w:cs="Arial"/>
          <w:sz w:val="20"/>
        </w:rPr>
        <w:lastRenderedPageBreak/>
        <w:t xml:space="preserve">pheromones like bombykol and </w:t>
      </w:r>
      <w:proofErr w:type="spellStart"/>
      <w:r w:rsidRPr="008A39C8">
        <w:rPr>
          <w:rFonts w:ascii="Arial" w:hAnsi="Arial" w:cs="Arial"/>
          <w:sz w:val="20"/>
        </w:rPr>
        <w:t>bombykal</w:t>
      </w:r>
      <w:proofErr w:type="spellEnd"/>
      <w:r w:rsidRPr="008A39C8">
        <w:rPr>
          <w:rFonts w:ascii="Arial" w:hAnsi="Arial" w:cs="Arial"/>
          <w:sz w:val="20"/>
        </w:rPr>
        <w:t xml:space="preserve"> and transfers them to BmOr1 and BmOr3, respectively, facilitating not only mating behavior but also feeding-related responses.</w:t>
      </w:r>
    </w:p>
    <w:p w14:paraId="0EFB4C86" w14:textId="77777777" w:rsidR="00081B2F" w:rsidRPr="008A39C8" w:rsidRDefault="00081B2F" w:rsidP="003A7412">
      <w:pPr>
        <w:pStyle w:val="NormalWeb"/>
        <w:jc w:val="both"/>
        <w:rPr>
          <w:rFonts w:ascii="Arial" w:hAnsi="Arial" w:cs="Arial"/>
          <w:sz w:val="20"/>
        </w:rPr>
      </w:pPr>
      <w:r w:rsidRPr="008A39C8">
        <w:rPr>
          <w:rFonts w:ascii="Arial" w:hAnsi="Arial" w:cs="Arial"/>
          <w:sz w:val="20"/>
        </w:rPr>
        <w:t xml:space="preserve">Olfactory receptors themselves play a direct role in modulating feeding. For instance, BmOr56 has been shown to exhibit high sensitivity to cis-jasmone, a potent attractant in mulberry leaves, and mediates behavioral attraction in larvae (Tanaka </w:t>
      </w:r>
      <w:r w:rsidRPr="008A39C8">
        <w:rPr>
          <w:rFonts w:ascii="Arial" w:hAnsi="Arial" w:cs="Arial"/>
          <w:i/>
          <w:sz w:val="20"/>
        </w:rPr>
        <w:t>et al.,</w:t>
      </w:r>
      <w:r w:rsidRPr="008A39C8">
        <w:rPr>
          <w:rFonts w:ascii="Arial" w:hAnsi="Arial" w:cs="Arial"/>
          <w:sz w:val="20"/>
        </w:rPr>
        <w:t xml:space="preserve"> 2009). </w:t>
      </w:r>
      <w:r w:rsidR="00EC2209" w:rsidRPr="008A39C8">
        <w:rPr>
          <w:rFonts w:ascii="Arial" w:hAnsi="Arial" w:cs="Arial"/>
          <w:sz w:val="20"/>
        </w:rPr>
        <w:t>Xin &amp; Zhang (2020</w:t>
      </w:r>
      <w:r w:rsidRPr="008A39C8">
        <w:rPr>
          <w:rFonts w:ascii="Arial" w:hAnsi="Arial" w:cs="Arial"/>
          <w:sz w:val="20"/>
        </w:rPr>
        <w:t>) further demonstrated that BmOr54 and BmOr56 ex</w:t>
      </w:r>
      <w:r w:rsidR="001A2F4C" w:rsidRPr="008A39C8">
        <w:rPr>
          <w:rFonts w:ascii="Arial" w:hAnsi="Arial" w:cs="Arial"/>
          <w:sz w:val="20"/>
        </w:rPr>
        <w:t xml:space="preserve">ert opposing effects on feeding, </w:t>
      </w:r>
      <w:r w:rsidRPr="008A39C8">
        <w:rPr>
          <w:rFonts w:ascii="Arial" w:hAnsi="Arial" w:cs="Arial"/>
          <w:sz w:val="20"/>
        </w:rPr>
        <w:t>Or56 promotes feeding while Or54 suppresses it. Simultaneous disruption of both genes using CRISPR/Cas9 significantly altered larval feeding patterns, establishing these genes as key regulators of olfactory-driven host selection.</w:t>
      </w:r>
    </w:p>
    <w:p w14:paraId="59B35CF6" w14:textId="77777777" w:rsidR="00081B2F" w:rsidRPr="008A39C8" w:rsidRDefault="00081B2F" w:rsidP="003A7412">
      <w:pPr>
        <w:pStyle w:val="NormalWeb"/>
        <w:jc w:val="both"/>
        <w:rPr>
          <w:rFonts w:ascii="Arial" w:hAnsi="Arial" w:cs="Arial"/>
          <w:sz w:val="20"/>
        </w:rPr>
      </w:pPr>
      <w:r w:rsidRPr="008A39C8">
        <w:rPr>
          <w:rFonts w:ascii="Arial" w:hAnsi="Arial" w:cs="Arial"/>
          <w:sz w:val="20"/>
        </w:rPr>
        <w:t xml:space="preserve">The co-receptor </w:t>
      </w:r>
      <w:proofErr w:type="spellStart"/>
      <w:r w:rsidRPr="008A39C8">
        <w:rPr>
          <w:rFonts w:ascii="Arial" w:hAnsi="Arial" w:cs="Arial"/>
          <w:sz w:val="20"/>
        </w:rPr>
        <w:t>Orco</w:t>
      </w:r>
      <w:proofErr w:type="spellEnd"/>
      <w:r w:rsidRPr="008A39C8">
        <w:rPr>
          <w:rFonts w:ascii="Arial" w:hAnsi="Arial" w:cs="Arial"/>
          <w:sz w:val="20"/>
        </w:rPr>
        <w:t xml:space="preserve">, essential for functional olfactory signaling complexes, is also implicated in feeding regulation. </w:t>
      </w:r>
      <w:r w:rsidR="00EC2209" w:rsidRPr="008A39C8">
        <w:rPr>
          <w:rFonts w:ascii="Arial" w:hAnsi="Arial" w:cs="Arial"/>
          <w:sz w:val="20"/>
        </w:rPr>
        <w:t xml:space="preserve">Sun </w:t>
      </w:r>
      <w:r w:rsidR="00EC2209" w:rsidRPr="008A39C8">
        <w:rPr>
          <w:rFonts w:ascii="Arial" w:hAnsi="Arial" w:cs="Arial"/>
          <w:i/>
          <w:sz w:val="20"/>
        </w:rPr>
        <w:t>et al.</w:t>
      </w:r>
      <w:r w:rsidR="00EC2209" w:rsidRPr="008A39C8">
        <w:rPr>
          <w:rFonts w:ascii="Arial" w:hAnsi="Arial" w:cs="Arial"/>
          <w:sz w:val="20"/>
        </w:rPr>
        <w:t xml:space="preserve"> (2022</w:t>
      </w:r>
      <w:r w:rsidRPr="008A39C8">
        <w:rPr>
          <w:rFonts w:ascii="Arial" w:hAnsi="Arial" w:cs="Arial"/>
          <w:sz w:val="20"/>
        </w:rPr>
        <w:t xml:space="preserve">) observed that </w:t>
      </w:r>
      <w:proofErr w:type="spellStart"/>
      <w:r w:rsidRPr="008A39C8">
        <w:rPr>
          <w:rFonts w:ascii="Arial" w:hAnsi="Arial" w:cs="Arial"/>
          <w:sz w:val="20"/>
        </w:rPr>
        <w:t>Orco</w:t>
      </w:r>
      <w:proofErr w:type="spellEnd"/>
      <w:r w:rsidRPr="008A39C8">
        <w:rPr>
          <w:rFonts w:ascii="Arial" w:hAnsi="Arial" w:cs="Arial"/>
          <w:sz w:val="20"/>
        </w:rPr>
        <w:t xml:space="preserve"> expression correlates with feeding intensity and is downregulated under starvation, suggesting that it contributes to olfactory sensitivity and, by extension, feeding behavior. Supporting this, odorant-degrading enzymes such as BmGSTD1 (a glutathione-S-transferase) and CYP6AE21 (a cytochrome P450) act to rapidly degrade odorant molecules after signal transduction, maintaining olfactory acuity and preventing sensory desensitization (</w:t>
      </w:r>
      <w:r w:rsidR="00EC2209" w:rsidRPr="008A39C8">
        <w:rPr>
          <w:rFonts w:ascii="Arial" w:hAnsi="Arial" w:cs="Arial"/>
          <w:sz w:val="20"/>
        </w:rPr>
        <w:t xml:space="preserve">Liu </w:t>
      </w:r>
      <w:r w:rsidR="00EC2209" w:rsidRPr="008A39C8">
        <w:rPr>
          <w:rFonts w:ascii="Arial" w:hAnsi="Arial" w:cs="Arial"/>
          <w:i/>
          <w:sz w:val="20"/>
        </w:rPr>
        <w:t>et al.,</w:t>
      </w:r>
      <w:r w:rsidR="00EC2209" w:rsidRPr="008A39C8">
        <w:rPr>
          <w:rFonts w:ascii="Arial" w:hAnsi="Arial" w:cs="Arial"/>
          <w:sz w:val="20"/>
        </w:rPr>
        <w:t xml:space="preserve"> 2024</w:t>
      </w:r>
      <w:r w:rsidRPr="008A39C8">
        <w:rPr>
          <w:rFonts w:ascii="Arial" w:hAnsi="Arial" w:cs="Arial"/>
          <w:sz w:val="20"/>
        </w:rPr>
        <w:t xml:space="preserve">; Wang </w:t>
      </w:r>
      <w:r w:rsidRPr="008A39C8">
        <w:rPr>
          <w:rFonts w:ascii="Arial" w:hAnsi="Arial" w:cs="Arial"/>
          <w:i/>
          <w:sz w:val="20"/>
        </w:rPr>
        <w:t>et al.,</w:t>
      </w:r>
      <w:r w:rsidRPr="008A39C8">
        <w:rPr>
          <w:rFonts w:ascii="Arial" w:hAnsi="Arial" w:cs="Arial"/>
          <w:sz w:val="20"/>
        </w:rPr>
        <w:t xml:space="preserve"> 2011).</w:t>
      </w:r>
    </w:p>
    <w:p w14:paraId="5102309E" w14:textId="77777777" w:rsidR="00081B2F" w:rsidRPr="008A39C8" w:rsidRDefault="00AC4554" w:rsidP="00AC4554">
      <w:pPr>
        <w:pStyle w:val="Heading4"/>
        <w:rPr>
          <w:rFonts w:ascii="Arial" w:hAnsi="Arial" w:cs="Arial"/>
          <w:i w:val="0"/>
          <w:color w:val="auto"/>
        </w:rPr>
      </w:pPr>
      <w:r w:rsidRPr="008A39C8">
        <w:rPr>
          <w:rFonts w:ascii="Arial" w:hAnsi="Arial" w:cs="Arial"/>
          <w:i w:val="0"/>
          <w:color w:val="auto"/>
        </w:rPr>
        <w:t xml:space="preserve">5.3 </w:t>
      </w:r>
      <w:r w:rsidR="00081B2F" w:rsidRPr="008A39C8">
        <w:rPr>
          <w:rFonts w:ascii="Arial" w:hAnsi="Arial" w:cs="Arial"/>
          <w:i w:val="0"/>
          <w:color w:val="auto"/>
        </w:rPr>
        <w:t>Evolutionary Implications and Genomic Architecture</w:t>
      </w:r>
    </w:p>
    <w:p w14:paraId="5C1002C6" w14:textId="77777777" w:rsidR="00081B2F" w:rsidRPr="00622967" w:rsidRDefault="00081B2F" w:rsidP="003A7412">
      <w:pPr>
        <w:pStyle w:val="NormalWeb"/>
        <w:jc w:val="both"/>
        <w:rPr>
          <w:rFonts w:ascii="Arial" w:hAnsi="Arial" w:cs="Arial"/>
          <w:sz w:val="20"/>
        </w:rPr>
      </w:pPr>
      <w:r w:rsidRPr="008A39C8">
        <w:rPr>
          <w:rFonts w:ascii="Arial" w:hAnsi="Arial" w:cs="Arial"/>
          <w:sz w:val="20"/>
        </w:rPr>
        <w:t xml:space="preserve">Comparative genomic analyses reveal that the chemosensory genes involved in host preference have undergone significant duplication and divergence. Zhang </w:t>
      </w:r>
      <w:r w:rsidRPr="008A39C8">
        <w:rPr>
          <w:rFonts w:ascii="Arial" w:hAnsi="Arial" w:cs="Arial"/>
          <w:i/>
          <w:sz w:val="20"/>
        </w:rPr>
        <w:t xml:space="preserve">et al. </w:t>
      </w:r>
      <w:r w:rsidRPr="008A39C8">
        <w:rPr>
          <w:rFonts w:ascii="Arial" w:hAnsi="Arial" w:cs="Arial"/>
          <w:sz w:val="20"/>
        </w:rPr>
        <w:t xml:space="preserve">(2011) noted that many Gr and </w:t>
      </w:r>
      <w:proofErr w:type="gramStart"/>
      <w:r w:rsidRPr="008A39C8">
        <w:rPr>
          <w:rFonts w:ascii="Arial" w:hAnsi="Arial" w:cs="Arial"/>
          <w:sz w:val="20"/>
        </w:rPr>
        <w:t>Or</w:t>
      </w:r>
      <w:proofErr w:type="gramEnd"/>
      <w:r w:rsidRPr="008A39C8">
        <w:rPr>
          <w:rFonts w:ascii="Arial" w:hAnsi="Arial" w:cs="Arial"/>
          <w:sz w:val="20"/>
        </w:rPr>
        <w:t xml:space="preserve"> genes are arranged in tandem on the same chromosomes, particularly chromosomes 7 and 17, implying evolutionary expansion through gene duplication events. These genes</w:t>
      </w:r>
      <w:r w:rsidRPr="00622967">
        <w:rPr>
          <w:rFonts w:ascii="Arial" w:hAnsi="Arial" w:cs="Arial"/>
          <w:sz w:val="20"/>
        </w:rPr>
        <w:t xml:space="preserve"> are believed to have originated from common ancestral loci and diversified to enable species-specific adaptation. Notably, Gr66 and its homologs appear to play pivotal roles in maintaining mulberry specificity, whereas mutations in these genes result in expanded dietary flexibility, suggesting a strong link between genotype and host preference phenotype.</w:t>
      </w:r>
    </w:p>
    <w:p w14:paraId="6D475CEA" w14:textId="77777777" w:rsidR="003A7412" w:rsidRPr="00ED6D5E" w:rsidRDefault="009F7281" w:rsidP="003A7412">
      <w:pPr>
        <w:pStyle w:val="NormalWeb"/>
        <w:jc w:val="both"/>
        <w:rPr>
          <w:rFonts w:ascii="Arial" w:hAnsi="Arial" w:cs="Arial"/>
          <w:b/>
          <w:sz w:val="20"/>
          <w:szCs w:val="20"/>
        </w:rPr>
      </w:pPr>
      <w:r w:rsidRPr="00ED6D5E">
        <w:rPr>
          <w:rFonts w:ascii="Arial" w:hAnsi="Arial" w:cs="Arial"/>
          <w:b/>
          <w:sz w:val="20"/>
          <w:szCs w:val="20"/>
        </w:rPr>
        <w:t>Table 1</w:t>
      </w:r>
      <w:r w:rsidR="003A7412" w:rsidRPr="00ED6D5E">
        <w:rPr>
          <w:rFonts w:ascii="Arial" w:hAnsi="Arial" w:cs="Arial"/>
          <w:b/>
          <w:sz w:val="20"/>
          <w:szCs w:val="20"/>
        </w:rPr>
        <w:t xml:space="preserve">. Factors influencing feeding behavior in </w:t>
      </w:r>
      <w:r w:rsidR="003A7412" w:rsidRPr="00ED6D5E">
        <w:rPr>
          <w:rFonts w:ascii="Arial" w:hAnsi="Arial" w:cs="Arial"/>
          <w:b/>
          <w:i/>
          <w:sz w:val="20"/>
          <w:szCs w:val="20"/>
        </w:rPr>
        <w:t>B. mori</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518"/>
        <w:gridCol w:w="1792"/>
        <w:gridCol w:w="2174"/>
        <w:gridCol w:w="2417"/>
        <w:gridCol w:w="1675"/>
      </w:tblGrid>
      <w:tr w:rsidR="00D04C42" w:rsidRPr="00271DF4" w14:paraId="661D05CE" w14:textId="77777777" w:rsidTr="00ED6D5E">
        <w:tc>
          <w:tcPr>
            <w:tcW w:w="0" w:type="auto"/>
            <w:tcBorders>
              <w:top w:val="single" w:sz="4" w:space="0" w:color="auto"/>
              <w:bottom w:val="single" w:sz="4" w:space="0" w:color="auto"/>
            </w:tcBorders>
            <w:hideMark/>
          </w:tcPr>
          <w:p w14:paraId="65C467EE" w14:textId="77777777" w:rsidR="003A7412" w:rsidRPr="00ED6D5E" w:rsidRDefault="003A7412" w:rsidP="00ED6D5E">
            <w:pPr>
              <w:spacing w:line="480" w:lineRule="auto"/>
              <w:rPr>
                <w:rFonts w:ascii="Arial" w:eastAsia="Times New Roman" w:hAnsi="Arial" w:cs="Arial"/>
                <w:b/>
                <w:bCs/>
                <w:sz w:val="20"/>
                <w:szCs w:val="20"/>
              </w:rPr>
            </w:pPr>
            <w:r w:rsidRPr="00ED6D5E">
              <w:rPr>
                <w:rFonts w:ascii="Arial" w:eastAsia="Times New Roman" w:hAnsi="Arial" w:cs="Arial"/>
                <w:b/>
                <w:bCs/>
                <w:sz w:val="20"/>
                <w:szCs w:val="20"/>
              </w:rPr>
              <w:t>Classification</w:t>
            </w:r>
          </w:p>
        </w:tc>
        <w:tc>
          <w:tcPr>
            <w:tcW w:w="0" w:type="auto"/>
            <w:tcBorders>
              <w:top w:val="single" w:sz="4" w:space="0" w:color="auto"/>
              <w:bottom w:val="single" w:sz="4" w:space="0" w:color="auto"/>
            </w:tcBorders>
            <w:hideMark/>
          </w:tcPr>
          <w:p w14:paraId="3AD3F718" w14:textId="77777777" w:rsidR="003A7412" w:rsidRPr="00ED6D5E" w:rsidRDefault="003A7412" w:rsidP="00ED6D5E">
            <w:pPr>
              <w:spacing w:line="480" w:lineRule="auto"/>
              <w:rPr>
                <w:rFonts w:ascii="Arial" w:eastAsia="Times New Roman" w:hAnsi="Arial" w:cs="Arial"/>
                <w:b/>
                <w:bCs/>
                <w:sz w:val="20"/>
                <w:szCs w:val="20"/>
              </w:rPr>
            </w:pPr>
            <w:r w:rsidRPr="00ED6D5E">
              <w:rPr>
                <w:rFonts w:ascii="Arial" w:eastAsia="Times New Roman" w:hAnsi="Arial" w:cs="Arial"/>
                <w:b/>
                <w:bCs/>
                <w:sz w:val="20"/>
                <w:szCs w:val="20"/>
              </w:rPr>
              <w:t>Silkworm-related and general functions</w:t>
            </w:r>
          </w:p>
        </w:tc>
        <w:tc>
          <w:tcPr>
            <w:tcW w:w="0" w:type="auto"/>
            <w:tcBorders>
              <w:top w:val="single" w:sz="4" w:space="0" w:color="auto"/>
              <w:bottom w:val="single" w:sz="4" w:space="0" w:color="auto"/>
            </w:tcBorders>
            <w:hideMark/>
          </w:tcPr>
          <w:p w14:paraId="70BB2131" w14:textId="77777777" w:rsidR="003A7412" w:rsidRPr="00ED6D5E" w:rsidRDefault="003A7412" w:rsidP="00ED6D5E">
            <w:pPr>
              <w:spacing w:line="480" w:lineRule="auto"/>
              <w:rPr>
                <w:rFonts w:ascii="Arial" w:eastAsia="Times New Roman" w:hAnsi="Arial" w:cs="Arial"/>
                <w:b/>
                <w:bCs/>
                <w:sz w:val="20"/>
                <w:szCs w:val="20"/>
              </w:rPr>
            </w:pPr>
            <w:r w:rsidRPr="00ED6D5E">
              <w:rPr>
                <w:rFonts w:ascii="Arial" w:eastAsia="Times New Roman" w:hAnsi="Arial" w:cs="Arial"/>
                <w:b/>
                <w:bCs/>
                <w:sz w:val="20"/>
                <w:szCs w:val="20"/>
              </w:rPr>
              <w:t>Factors</w:t>
            </w:r>
          </w:p>
        </w:tc>
        <w:tc>
          <w:tcPr>
            <w:tcW w:w="0" w:type="auto"/>
            <w:tcBorders>
              <w:top w:val="single" w:sz="4" w:space="0" w:color="auto"/>
              <w:bottom w:val="single" w:sz="4" w:space="0" w:color="auto"/>
            </w:tcBorders>
            <w:hideMark/>
          </w:tcPr>
          <w:p w14:paraId="55F54DF5" w14:textId="77777777" w:rsidR="003A7412" w:rsidRPr="00ED6D5E" w:rsidRDefault="003A7412" w:rsidP="00ED6D5E">
            <w:pPr>
              <w:spacing w:line="480" w:lineRule="auto"/>
              <w:rPr>
                <w:rFonts w:ascii="Arial" w:eastAsia="Times New Roman" w:hAnsi="Arial" w:cs="Arial"/>
                <w:b/>
                <w:bCs/>
                <w:sz w:val="20"/>
                <w:szCs w:val="20"/>
              </w:rPr>
            </w:pPr>
            <w:r w:rsidRPr="00ED6D5E">
              <w:rPr>
                <w:rFonts w:ascii="Arial" w:eastAsia="Times New Roman" w:hAnsi="Arial" w:cs="Arial"/>
                <w:b/>
                <w:bCs/>
                <w:sz w:val="20"/>
                <w:szCs w:val="20"/>
              </w:rPr>
              <w:t>Function</w:t>
            </w:r>
          </w:p>
        </w:tc>
        <w:tc>
          <w:tcPr>
            <w:tcW w:w="0" w:type="auto"/>
            <w:tcBorders>
              <w:top w:val="single" w:sz="4" w:space="0" w:color="auto"/>
              <w:bottom w:val="single" w:sz="4" w:space="0" w:color="auto"/>
            </w:tcBorders>
            <w:hideMark/>
          </w:tcPr>
          <w:p w14:paraId="3EBCA544" w14:textId="77777777" w:rsidR="003A7412" w:rsidRPr="00ED6D5E" w:rsidRDefault="003A7412" w:rsidP="00ED6D5E">
            <w:pPr>
              <w:spacing w:line="480" w:lineRule="auto"/>
              <w:rPr>
                <w:rFonts w:ascii="Arial" w:eastAsia="Times New Roman" w:hAnsi="Arial" w:cs="Arial"/>
                <w:b/>
                <w:bCs/>
                <w:sz w:val="20"/>
                <w:szCs w:val="20"/>
              </w:rPr>
            </w:pPr>
            <w:r w:rsidRPr="00ED6D5E">
              <w:rPr>
                <w:rFonts w:ascii="Arial" w:eastAsia="Times New Roman" w:hAnsi="Arial" w:cs="Arial"/>
                <w:b/>
                <w:bCs/>
                <w:sz w:val="20"/>
                <w:szCs w:val="20"/>
              </w:rPr>
              <w:t>Reference</w:t>
            </w:r>
          </w:p>
        </w:tc>
      </w:tr>
      <w:tr w:rsidR="00D04C42" w:rsidRPr="00271DF4" w14:paraId="40CB5A90" w14:textId="77777777" w:rsidTr="00ED6D5E">
        <w:tc>
          <w:tcPr>
            <w:tcW w:w="0" w:type="auto"/>
            <w:tcBorders>
              <w:top w:val="single" w:sz="4" w:space="0" w:color="auto"/>
              <w:bottom w:val="nil"/>
            </w:tcBorders>
            <w:hideMark/>
          </w:tcPr>
          <w:p w14:paraId="0274A374" w14:textId="77777777" w:rsidR="003A7412" w:rsidRPr="00ED6D5E" w:rsidRDefault="003A7412" w:rsidP="00ED6D5E">
            <w:pPr>
              <w:spacing w:line="480" w:lineRule="auto"/>
              <w:rPr>
                <w:rFonts w:ascii="Arial" w:eastAsia="Times New Roman" w:hAnsi="Arial" w:cs="Arial"/>
                <w:sz w:val="20"/>
                <w:szCs w:val="20"/>
              </w:rPr>
            </w:pPr>
            <w:r w:rsidRPr="00ED6D5E">
              <w:rPr>
                <w:rFonts w:ascii="Arial" w:eastAsia="Times New Roman" w:hAnsi="Arial" w:cs="Arial"/>
                <w:b/>
                <w:bCs/>
                <w:sz w:val="20"/>
                <w:szCs w:val="20"/>
              </w:rPr>
              <w:t>Gustatory</w:t>
            </w:r>
          </w:p>
        </w:tc>
        <w:tc>
          <w:tcPr>
            <w:tcW w:w="0" w:type="auto"/>
            <w:tcBorders>
              <w:top w:val="single" w:sz="4" w:space="0" w:color="auto"/>
              <w:bottom w:val="nil"/>
            </w:tcBorders>
            <w:hideMark/>
          </w:tcPr>
          <w:p w14:paraId="4FAF5708" w14:textId="77777777" w:rsidR="003A7412" w:rsidRPr="00ED6D5E" w:rsidRDefault="003A7412" w:rsidP="00ED6D5E">
            <w:pPr>
              <w:spacing w:line="480" w:lineRule="auto"/>
              <w:rPr>
                <w:rFonts w:ascii="Arial" w:eastAsia="Times New Roman" w:hAnsi="Arial" w:cs="Arial"/>
                <w:sz w:val="20"/>
                <w:szCs w:val="20"/>
              </w:rPr>
            </w:pPr>
            <w:proofErr w:type="spellStart"/>
            <w:r w:rsidRPr="00ED6D5E">
              <w:rPr>
                <w:rFonts w:ascii="Arial" w:eastAsia="Times New Roman" w:hAnsi="Arial" w:cs="Arial"/>
                <w:sz w:val="20"/>
                <w:szCs w:val="20"/>
              </w:rPr>
              <w:t>Styloconic</w:t>
            </w:r>
            <w:proofErr w:type="spellEnd"/>
            <w:r w:rsidRPr="00ED6D5E">
              <w:rPr>
                <w:rFonts w:ascii="Arial" w:eastAsia="Times New Roman" w:hAnsi="Arial" w:cs="Arial"/>
                <w:sz w:val="20"/>
                <w:szCs w:val="20"/>
              </w:rPr>
              <w:t xml:space="preserve"> sensilla on the maxillary galea (SSI and SSII)</w:t>
            </w:r>
          </w:p>
        </w:tc>
        <w:tc>
          <w:tcPr>
            <w:tcW w:w="0" w:type="auto"/>
            <w:tcBorders>
              <w:top w:val="single" w:sz="4" w:space="0" w:color="auto"/>
              <w:bottom w:val="nil"/>
            </w:tcBorders>
            <w:hideMark/>
          </w:tcPr>
          <w:p w14:paraId="14AAA919" w14:textId="77777777" w:rsidR="003A7412" w:rsidRPr="00ED6D5E" w:rsidRDefault="003A7412"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Vitamin C, sucrose and inositol</w:t>
            </w:r>
          </w:p>
        </w:tc>
        <w:tc>
          <w:tcPr>
            <w:tcW w:w="0" w:type="auto"/>
            <w:tcBorders>
              <w:top w:val="single" w:sz="4" w:space="0" w:color="auto"/>
              <w:bottom w:val="nil"/>
            </w:tcBorders>
            <w:hideMark/>
          </w:tcPr>
          <w:p w14:paraId="7225F0BB" w14:textId="77777777"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 xml:space="preserve">SSI and SSII are the primary sensory sites initiating feeding. Vitamin C suppress their response of SSI to sucrose and inositol. Conversely, sucrose </w:t>
            </w:r>
            <w:r w:rsidRPr="00ED6D5E">
              <w:rPr>
                <w:rFonts w:ascii="Arial" w:hAnsi="Arial" w:cs="Arial"/>
                <w:sz w:val="20"/>
                <w:szCs w:val="20"/>
              </w:rPr>
              <w:lastRenderedPageBreak/>
              <w:t xml:space="preserve">and inositol can inhibit the response of SS-I and SS-II to vitamin C. </w:t>
            </w:r>
          </w:p>
        </w:tc>
        <w:tc>
          <w:tcPr>
            <w:tcW w:w="0" w:type="auto"/>
            <w:tcBorders>
              <w:top w:val="single" w:sz="4" w:space="0" w:color="auto"/>
              <w:bottom w:val="nil"/>
            </w:tcBorders>
            <w:hideMark/>
          </w:tcPr>
          <w:p w14:paraId="34912F2B" w14:textId="77777777" w:rsidR="003A7412" w:rsidRPr="00ED6D5E" w:rsidRDefault="003A7412" w:rsidP="00ED6D5E">
            <w:pPr>
              <w:spacing w:line="480" w:lineRule="auto"/>
              <w:rPr>
                <w:rFonts w:ascii="Arial" w:eastAsia="Times New Roman" w:hAnsi="Arial" w:cs="Arial"/>
                <w:sz w:val="20"/>
                <w:szCs w:val="20"/>
              </w:rPr>
            </w:pPr>
            <w:r w:rsidRPr="00ED6D5E">
              <w:rPr>
                <w:rFonts w:ascii="Arial" w:eastAsia="Times New Roman" w:hAnsi="Arial" w:cs="Arial"/>
                <w:sz w:val="20"/>
                <w:szCs w:val="20"/>
              </w:rPr>
              <w:lastRenderedPageBreak/>
              <w:t>Cui &amp; Xu, 2001</w:t>
            </w:r>
          </w:p>
        </w:tc>
      </w:tr>
      <w:tr w:rsidR="00D04C42" w:rsidRPr="00271DF4" w14:paraId="578619BC" w14:textId="77777777" w:rsidTr="00ED6D5E">
        <w:tc>
          <w:tcPr>
            <w:tcW w:w="0" w:type="auto"/>
            <w:tcBorders>
              <w:top w:val="nil"/>
              <w:bottom w:val="nil"/>
            </w:tcBorders>
            <w:hideMark/>
          </w:tcPr>
          <w:p w14:paraId="545E2D43" w14:textId="77777777" w:rsidR="003A7412" w:rsidRPr="00ED6D5E" w:rsidRDefault="003A7412" w:rsidP="00ED6D5E">
            <w:pPr>
              <w:spacing w:line="480" w:lineRule="auto"/>
              <w:rPr>
                <w:rFonts w:ascii="Arial" w:eastAsia="Times New Roman" w:hAnsi="Arial" w:cs="Arial"/>
                <w:sz w:val="20"/>
                <w:szCs w:val="20"/>
              </w:rPr>
            </w:pPr>
          </w:p>
        </w:tc>
        <w:tc>
          <w:tcPr>
            <w:tcW w:w="0" w:type="auto"/>
            <w:tcBorders>
              <w:top w:val="nil"/>
              <w:bottom w:val="nil"/>
            </w:tcBorders>
            <w:hideMark/>
          </w:tcPr>
          <w:p w14:paraId="3BFB5335" w14:textId="77777777" w:rsidR="003A7412" w:rsidRPr="00ED6D5E" w:rsidRDefault="003A7412"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Gustatory receptors (Grs)- </w:t>
            </w:r>
            <w:r w:rsidRPr="00ED6D5E">
              <w:rPr>
                <w:rFonts w:ascii="Arial" w:hAnsi="Arial" w:cs="Arial"/>
                <w:sz w:val="20"/>
                <w:szCs w:val="20"/>
              </w:rPr>
              <w:t>involved in food preference and selection</w:t>
            </w:r>
          </w:p>
        </w:tc>
        <w:tc>
          <w:tcPr>
            <w:tcW w:w="0" w:type="auto"/>
            <w:tcBorders>
              <w:top w:val="nil"/>
              <w:bottom w:val="nil"/>
            </w:tcBorders>
            <w:hideMark/>
          </w:tcPr>
          <w:p w14:paraId="33B3F95D" w14:textId="77777777" w:rsidR="003A7412" w:rsidRPr="00ED6D5E" w:rsidRDefault="003A7412"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BmGr9, BmGr8, </w:t>
            </w:r>
            <w:r w:rsidRPr="00ED6D5E">
              <w:rPr>
                <w:rFonts w:ascii="Arial" w:hAnsi="Arial" w:cs="Arial"/>
                <w:sz w:val="20"/>
                <w:szCs w:val="20"/>
              </w:rPr>
              <w:t>BmGr4-10,</w:t>
            </w:r>
          </w:p>
        </w:tc>
        <w:tc>
          <w:tcPr>
            <w:tcW w:w="0" w:type="auto"/>
            <w:tcBorders>
              <w:top w:val="nil"/>
              <w:bottom w:val="nil"/>
            </w:tcBorders>
            <w:hideMark/>
          </w:tcPr>
          <w:p w14:paraId="1A7227D9" w14:textId="77777777"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 xml:space="preserve">Function as </w:t>
            </w:r>
            <w:r w:rsidRPr="00ED6D5E">
              <w:rPr>
                <w:rFonts w:ascii="Arial" w:eastAsia="Times New Roman" w:hAnsi="Arial" w:cs="Arial"/>
                <w:sz w:val="20"/>
                <w:szCs w:val="20"/>
              </w:rPr>
              <w:t>Sugar receptor</w:t>
            </w:r>
          </w:p>
        </w:tc>
        <w:tc>
          <w:tcPr>
            <w:tcW w:w="0" w:type="auto"/>
            <w:tcBorders>
              <w:top w:val="nil"/>
              <w:bottom w:val="nil"/>
            </w:tcBorders>
            <w:hideMark/>
          </w:tcPr>
          <w:p w14:paraId="286F791D" w14:textId="77777777" w:rsidR="003A7412" w:rsidRPr="00ED6D5E" w:rsidRDefault="003C4A1B" w:rsidP="00ED6D5E">
            <w:pPr>
              <w:spacing w:line="480" w:lineRule="auto"/>
              <w:rPr>
                <w:rFonts w:ascii="Arial" w:eastAsia="Times New Roman" w:hAnsi="Arial" w:cs="Arial"/>
                <w:sz w:val="20"/>
                <w:szCs w:val="20"/>
              </w:rPr>
            </w:pPr>
            <w:r>
              <w:rPr>
                <w:rFonts w:ascii="Arial" w:eastAsia="Times New Roman" w:hAnsi="Arial" w:cs="Arial"/>
                <w:sz w:val="20"/>
                <w:szCs w:val="20"/>
              </w:rPr>
              <w:t xml:space="preserve">Mang </w:t>
            </w:r>
            <w:r w:rsidRPr="003C4A1B">
              <w:rPr>
                <w:rFonts w:ascii="Arial" w:eastAsia="Times New Roman" w:hAnsi="Arial" w:cs="Arial"/>
                <w:i/>
                <w:sz w:val="20"/>
                <w:szCs w:val="20"/>
              </w:rPr>
              <w:t>et al.,</w:t>
            </w:r>
            <w:r>
              <w:rPr>
                <w:rFonts w:ascii="Arial" w:eastAsia="Times New Roman" w:hAnsi="Arial" w:cs="Arial"/>
                <w:sz w:val="20"/>
                <w:szCs w:val="20"/>
              </w:rPr>
              <w:t xml:space="preserve"> 2016</w:t>
            </w:r>
            <w:r w:rsidR="003A7412" w:rsidRPr="00ED6D5E">
              <w:rPr>
                <w:rFonts w:ascii="Arial" w:eastAsia="Times New Roman" w:hAnsi="Arial" w:cs="Arial"/>
                <w:sz w:val="20"/>
                <w:szCs w:val="20"/>
              </w:rPr>
              <w:t xml:space="preserve">; </w:t>
            </w:r>
            <w:r w:rsidR="003A7412" w:rsidRPr="00ED6D5E">
              <w:rPr>
                <w:rFonts w:ascii="Arial" w:hAnsi="Arial" w:cs="Arial"/>
                <w:sz w:val="20"/>
                <w:szCs w:val="20"/>
              </w:rPr>
              <w:t xml:space="preserve">Zhang </w:t>
            </w:r>
            <w:r w:rsidR="003A7412" w:rsidRPr="003C4A1B">
              <w:rPr>
                <w:rFonts w:ascii="Arial" w:hAnsi="Arial" w:cs="Arial"/>
                <w:i/>
                <w:sz w:val="20"/>
                <w:szCs w:val="20"/>
              </w:rPr>
              <w:t>et al.,</w:t>
            </w:r>
            <w:r w:rsidR="003A7412" w:rsidRPr="00ED6D5E">
              <w:rPr>
                <w:rFonts w:ascii="Arial" w:hAnsi="Arial" w:cs="Arial"/>
                <w:sz w:val="20"/>
                <w:szCs w:val="20"/>
              </w:rPr>
              <w:t xml:space="preserve"> 2011</w:t>
            </w:r>
          </w:p>
        </w:tc>
      </w:tr>
      <w:tr w:rsidR="00D04C42" w:rsidRPr="00271DF4" w14:paraId="0899F83D" w14:textId="77777777" w:rsidTr="00ED6D5E">
        <w:tc>
          <w:tcPr>
            <w:tcW w:w="0" w:type="auto"/>
            <w:tcBorders>
              <w:top w:val="nil"/>
              <w:bottom w:val="single" w:sz="4" w:space="0" w:color="auto"/>
            </w:tcBorders>
            <w:hideMark/>
          </w:tcPr>
          <w:p w14:paraId="4E963715" w14:textId="77777777" w:rsidR="003A7412" w:rsidRPr="00ED6D5E" w:rsidRDefault="003A7412" w:rsidP="00ED6D5E">
            <w:pPr>
              <w:spacing w:line="480" w:lineRule="auto"/>
              <w:rPr>
                <w:rFonts w:ascii="Arial" w:eastAsia="Times New Roman" w:hAnsi="Arial" w:cs="Arial"/>
                <w:sz w:val="20"/>
                <w:szCs w:val="20"/>
              </w:rPr>
            </w:pPr>
          </w:p>
        </w:tc>
        <w:tc>
          <w:tcPr>
            <w:tcW w:w="0" w:type="auto"/>
            <w:tcBorders>
              <w:top w:val="nil"/>
              <w:bottom w:val="single" w:sz="4" w:space="0" w:color="auto"/>
            </w:tcBorders>
            <w:hideMark/>
          </w:tcPr>
          <w:p w14:paraId="73CC0F25" w14:textId="77777777" w:rsidR="003A7412" w:rsidRPr="00ED6D5E" w:rsidRDefault="003A7412" w:rsidP="00ED6D5E">
            <w:pPr>
              <w:spacing w:line="480" w:lineRule="auto"/>
              <w:rPr>
                <w:rFonts w:ascii="Arial" w:eastAsia="Times New Roman" w:hAnsi="Arial" w:cs="Arial"/>
                <w:sz w:val="20"/>
                <w:szCs w:val="20"/>
              </w:rPr>
            </w:pPr>
          </w:p>
        </w:tc>
        <w:tc>
          <w:tcPr>
            <w:tcW w:w="0" w:type="auto"/>
            <w:tcBorders>
              <w:top w:val="nil"/>
              <w:bottom w:val="single" w:sz="4" w:space="0" w:color="auto"/>
            </w:tcBorders>
            <w:hideMark/>
          </w:tcPr>
          <w:p w14:paraId="766DFB92" w14:textId="77777777" w:rsidR="003A7412" w:rsidRPr="00ED6D5E" w:rsidRDefault="003A7412"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BmGr53, BmGr16, BmGr18, BmGr66</w:t>
            </w:r>
          </w:p>
        </w:tc>
        <w:tc>
          <w:tcPr>
            <w:tcW w:w="0" w:type="auto"/>
            <w:tcBorders>
              <w:top w:val="nil"/>
              <w:bottom w:val="single" w:sz="4" w:space="0" w:color="auto"/>
            </w:tcBorders>
            <w:hideMark/>
          </w:tcPr>
          <w:p w14:paraId="7458F710" w14:textId="77777777"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 xml:space="preserve">Function as </w:t>
            </w:r>
            <w:r w:rsidRPr="00ED6D5E">
              <w:rPr>
                <w:rFonts w:ascii="Arial" w:eastAsia="Times New Roman" w:hAnsi="Arial" w:cs="Arial"/>
                <w:sz w:val="20"/>
                <w:szCs w:val="20"/>
              </w:rPr>
              <w:t>Bitter receptor</w:t>
            </w:r>
          </w:p>
        </w:tc>
        <w:tc>
          <w:tcPr>
            <w:tcW w:w="0" w:type="auto"/>
            <w:tcBorders>
              <w:top w:val="nil"/>
              <w:bottom w:val="single" w:sz="4" w:space="0" w:color="auto"/>
            </w:tcBorders>
            <w:hideMark/>
          </w:tcPr>
          <w:p w14:paraId="140B17BA" w14:textId="77777777"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 xml:space="preserve">Zhang </w:t>
            </w:r>
            <w:r w:rsidRPr="003C4A1B">
              <w:rPr>
                <w:rFonts w:ascii="Arial" w:hAnsi="Arial" w:cs="Arial"/>
                <w:i/>
                <w:sz w:val="20"/>
                <w:szCs w:val="20"/>
              </w:rPr>
              <w:t>et al.,</w:t>
            </w:r>
            <w:r w:rsidRPr="00ED6D5E">
              <w:rPr>
                <w:rFonts w:ascii="Arial" w:hAnsi="Arial" w:cs="Arial"/>
                <w:sz w:val="20"/>
                <w:szCs w:val="20"/>
              </w:rPr>
              <w:t xml:space="preserve"> 2011; </w:t>
            </w:r>
            <w:proofErr w:type="spellStart"/>
            <w:r w:rsidRPr="00ED6D5E">
              <w:rPr>
                <w:rFonts w:ascii="Arial" w:hAnsi="Arial" w:cs="Arial"/>
                <w:sz w:val="20"/>
                <w:szCs w:val="20"/>
              </w:rPr>
              <w:t>Kasubuchi</w:t>
            </w:r>
            <w:proofErr w:type="spellEnd"/>
            <w:r w:rsidRPr="00ED6D5E">
              <w:rPr>
                <w:rFonts w:ascii="Arial" w:hAnsi="Arial" w:cs="Arial"/>
                <w:sz w:val="20"/>
                <w:szCs w:val="20"/>
              </w:rPr>
              <w:t xml:space="preserve"> </w:t>
            </w:r>
            <w:r w:rsidRPr="003C4A1B">
              <w:rPr>
                <w:rFonts w:ascii="Arial" w:hAnsi="Arial" w:cs="Arial"/>
                <w:i/>
                <w:sz w:val="20"/>
                <w:szCs w:val="20"/>
              </w:rPr>
              <w:t>et al.,</w:t>
            </w:r>
            <w:r w:rsidRPr="00ED6D5E">
              <w:rPr>
                <w:rFonts w:ascii="Arial" w:hAnsi="Arial" w:cs="Arial"/>
                <w:sz w:val="20"/>
                <w:szCs w:val="20"/>
              </w:rPr>
              <w:t xml:space="preserve"> 2018; Zhang </w:t>
            </w:r>
            <w:r w:rsidRPr="003C4A1B">
              <w:rPr>
                <w:rFonts w:ascii="Arial" w:hAnsi="Arial" w:cs="Arial"/>
                <w:i/>
                <w:sz w:val="20"/>
                <w:szCs w:val="20"/>
              </w:rPr>
              <w:t>et al.</w:t>
            </w:r>
            <w:r w:rsidRPr="00ED6D5E">
              <w:rPr>
                <w:rFonts w:ascii="Arial" w:hAnsi="Arial" w:cs="Arial"/>
                <w:sz w:val="20"/>
                <w:szCs w:val="20"/>
              </w:rPr>
              <w:t>, 2019</w:t>
            </w:r>
          </w:p>
        </w:tc>
      </w:tr>
      <w:tr w:rsidR="00D04C42" w:rsidRPr="00271DF4" w14:paraId="615A5CEF" w14:textId="77777777" w:rsidTr="00ED6D5E">
        <w:tc>
          <w:tcPr>
            <w:tcW w:w="0" w:type="auto"/>
            <w:tcBorders>
              <w:top w:val="single" w:sz="4" w:space="0" w:color="auto"/>
              <w:bottom w:val="nil"/>
            </w:tcBorders>
            <w:hideMark/>
          </w:tcPr>
          <w:p w14:paraId="15D50272" w14:textId="77777777" w:rsidR="003A7412" w:rsidRPr="00ED6D5E" w:rsidRDefault="003A7412" w:rsidP="00ED6D5E">
            <w:pPr>
              <w:spacing w:line="480" w:lineRule="auto"/>
              <w:rPr>
                <w:rFonts w:ascii="Arial" w:eastAsia="Times New Roman" w:hAnsi="Arial" w:cs="Arial"/>
                <w:sz w:val="20"/>
                <w:szCs w:val="20"/>
              </w:rPr>
            </w:pPr>
            <w:r w:rsidRPr="00ED6D5E">
              <w:rPr>
                <w:rFonts w:ascii="Arial" w:eastAsia="Times New Roman" w:hAnsi="Arial" w:cs="Arial"/>
                <w:b/>
                <w:bCs/>
                <w:sz w:val="20"/>
                <w:szCs w:val="20"/>
              </w:rPr>
              <w:t>Olfactory</w:t>
            </w:r>
          </w:p>
        </w:tc>
        <w:tc>
          <w:tcPr>
            <w:tcW w:w="0" w:type="auto"/>
            <w:tcBorders>
              <w:top w:val="single" w:sz="4" w:space="0" w:color="auto"/>
              <w:bottom w:val="nil"/>
            </w:tcBorders>
            <w:hideMark/>
          </w:tcPr>
          <w:p w14:paraId="27CB916D" w14:textId="77777777" w:rsidR="003A7412" w:rsidRDefault="003A7412" w:rsidP="00ED6D5E">
            <w:pPr>
              <w:spacing w:line="480" w:lineRule="auto"/>
              <w:rPr>
                <w:rFonts w:ascii="Arial" w:hAnsi="Arial" w:cs="Arial"/>
                <w:sz w:val="20"/>
                <w:szCs w:val="20"/>
              </w:rPr>
            </w:pPr>
            <w:r w:rsidRPr="00ED6D5E">
              <w:rPr>
                <w:rFonts w:ascii="Arial" w:hAnsi="Arial" w:cs="Arial"/>
                <w:sz w:val="20"/>
                <w:szCs w:val="20"/>
              </w:rPr>
              <w:t>Odorant binding proteins (OBPs)- facilitate transport of odor molecules to sensory neurons, triggering signal transmission</w:t>
            </w:r>
          </w:p>
          <w:p w14:paraId="4796DD69" w14:textId="77777777" w:rsidR="00ED6D5E" w:rsidRPr="00ED6D5E" w:rsidRDefault="00ED6D5E" w:rsidP="00ED6D5E">
            <w:pPr>
              <w:spacing w:line="480" w:lineRule="auto"/>
              <w:rPr>
                <w:rFonts w:ascii="Arial" w:eastAsia="Times New Roman" w:hAnsi="Arial" w:cs="Arial"/>
                <w:sz w:val="20"/>
                <w:szCs w:val="20"/>
              </w:rPr>
            </w:pPr>
          </w:p>
        </w:tc>
        <w:tc>
          <w:tcPr>
            <w:tcW w:w="0" w:type="auto"/>
            <w:tcBorders>
              <w:top w:val="single" w:sz="4" w:space="0" w:color="auto"/>
              <w:bottom w:val="nil"/>
            </w:tcBorders>
            <w:hideMark/>
          </w:tcPr>
          <w:p w14:paraId="01B8E4AF" w14:textId="77777777" w:rsidR="003A7412" w:rsidRPr="00ED6D5E" w:rsidRDefault="003A7412"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GOBP</w:t>
            </w:r>
          </w:p>
        </w:tc>
        <w:tc>
          <w:tcPr>
            <w:tcW w:w="0" w:type="auto"/>
            <w:tcBorders>
              <w:top w:val="single" w:sz="4" w:space="0" w:color="auto"/>
              <w:bottom w:val="nil"/>
            </w:tcBorders>
            <w:hideMark/>
          </w:tcPr>
          <w:p w14:paraId="2D29B164" w14:textId="77777777"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Capable of binding a range of odor molecules from food and the environment</w:t>
            </w:r>
          </w:p>
        </w:tc>
        <w:tc>
          <w:tcPr>
            <w:tcW w:w="0" w:type="auto"/>
            <w:tcBorders>
              <w:top w:val="single" w:sz="4" w:space="0" w:color="auto"/>
              <w:bottom w:val="nil"/>
            </w:tcBorders>
            <w:hideMark/>
          </w:tcPr>
          <w:p w14:paraId="33871C6D" w14:textId="77777777" w:rsidR="003A7412" w:rsidRPr="00ED6D5E" w:rsidRDefault="003A7412"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Zhang, 2009</w:t>
            </w:r>
          </w:p>
        </w:tc>
      </w:tr>
      <w:tr w:rsidR="00D04C42" w:rsidRPr="00271DF4" w14:paraId="7879356B" w14:textId="77777777" w:rsidTr="00ED6D5E">
        <w:tc>
          <w:tcPr>
            <w:tcW w:w="0" w:type="auto"/>
            <w:tcBorders>
              <w:top w:val="nil"/>
              <w:bottom w:val="nil"/>
            </w:tcBorders>
            <w:hideMark/>
          </w:tcPr>
          <w:p w14:paraId="62AC26C5" w14:textId="77777777" w:rsidR="003A7412" w:rsidRPr="00ED6D5E" w:rsidRDefault="003A7412" w:rsidP="00ED6D5E">
            <w:pPr>
              <w:spacing w:line="480" w:lineRule="auto"/>
              <w:rPr>
                <w:rFonts w:ascii="Arial" w:eastAsia="Times New Roman" w:hAnsi="Arial" w:cs="Arial"/>
                <w:sz w:val="20"/>
                <w:szCs w:val="20"/>
              </w:rPr>
            </w:pPr>
          </w:p>
        </w:tc>
        <w:tc>
          <w:tcPr>
            <w:tcW w:w="0" w:type="auto"/>
            <w:tcBorders>
              <w:top w:val="nil"/>
              <w:bottom w:val="nil"/>
            </w:tcBorders>
            <w:hideMark/>
          </w:tcPr>
          <w:p w14:paraId="01584DA1" w14:textId="77777777"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Olfactory receptors (Ors)- convert odorant chemical signals into electrical responses via ion channel changes</w:t>
            </w:r>
          </w:p>
        </w:tc>
        <w:tc>
          <w:tcPr>
            <w:tcW w:w="0" w:type="auto"/>
            <w:tcBorders>
              <w:top w:val="nil"/>
              <w:bottom w:val="nil"/>
            </w:tcBorders>
            <w:hideMark/>
          </w:tcPr>
          <w:p w14:paraId="33A6C8D8" w14:textId="77777777"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BmOr56</w:t>
            </w:r>
          </w:p>
        </w:tc>
        <w:tc>
          <w:tcPr>
            <w:tcW w:w="0" w:type="auto"/>
            <w:tcBorders>
              <w:top w:val="nil"/>
              <w:bottom w:val="nil"/>
            </w:tcBorders>
            <w:hideMark/>
          </w:tcPr>
          <w:p w14:paraId="2073D885" w14:textId="77777777"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Highly responsive to cis-jasmone, a strong attractant from mulberry leaves; mediates behavioral attraction.</w:t>
            </w:r>
          </w:p>
        </w:tc>
        <w:tc>
          <w:tcPr>
            <w:tcW w:w="0" w:type="auto"/>
            <w:tcBorders>
              <w:top w:val="nil"/>
              <w:bottom w:val="nil"/>
            </w:tcBorders>
            <w:hideMark/>
          </w:tcPr>
          <w:p w14:paraId="17462153" w14:textId="77777777"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 xml:space="preserve">Tanaka </w:t>
            </w:r>
            <w:r w:rsidRPr="003C4A1B">
              <w:rPr>
                <w:rFonts w:ascii="Arial" w:hAnsi="Arial" w:cs="Arial"/>
                <w:i/>
                <w:sz w:val="20"/>
                <w:szCs w:val="20"/>
              </w:rPr>
              <w:t>et al.,</w:t>
            </w:r>
            <w:r w:rsidRPr="00ED6D5E">
              <w:rPr>
                <w:rFonts w:ascii="Arial" w:hAnsi="Arial" w:cs="Arial"/>
                <w:sz w:val="20"/>
                <w:szCs w:val="20"/>
              </w:rPr>
              <w:t xml:space="preserve"> 2009</w:t>
            </w:r>
          </w:p>
        </w:tc>
      </w:tr>
      <w:tr w:rsidR="00D04C42" w:rsidRPr="00271DF4" w14:paraId="081DBE85" w14:textId="77777777" w:rsidTr="00ED6D5E">
        <w:tc>
          <w:tcPr>
            <w:tcW w:w="0" w:type="auto"/>
            <w:tcBorders>
              <w:top w:val="nil"/>
              <w:bottom w:val="single" w:sz="4" w:space="0" w:color="auto"/>
            </w:tcBorders>
            <w:hideMark/>
          </w:tcPr>
          <w:p w14:paraId="5D033E45" w14:textId="77777777" w:rsidR="003A7412" w:rsidRPr="00ED6D5E" w:rsidRDefault="003A7412" w:rsidP="00ED6D5E">
            <w:pPr>
              <w:spacing w:line="480" w:lineRule="auto"/>
              <w:rPr>
                <w:rFonts w:ascii="Arial" w:eastAsia="Times New Roman" w:hAnsi="Arial" w:cs="Arial"/>
                <w:sz w:val="20"/>
                <w:szCs w:val="20"/>
              </w:rPr>
            </w:pPr>
          </w:p>
        </w:tc>
        <w:tc>
          <w:tcPr>
            <w:tcW w:w="0" w:type="auto"/>
            <w:tcBorders>
              <w:top w:val="nil"/>
              <w:bottom w:val="single" w:sz="4" w:space="0" w:color="auto"/>
            </w:tcBorders>
            <w:hideMark/>
          </w:tcPr>
          <w:p w14:paraId="6078D0FB" w14:textId="77777777" w:rsidR="003A7412" w:rsidRPr="00ED6D5E" w:rsidRDefault="003A7412" w:rsidP="00ED6D5E">
            <w:pPr>
              <w:spacing w:line="480" w:lineRule="auto"/>
              <w:rPr>
                <w:rFonts w:ascii="Arial" w:eastAsia="Times New Roman" w:hAnsi="Arial" w:cs="Arial"/>
                <w:sz w:val="20"/>
                <w:szCs w:val="20"/>
              </w:rPr>
            </w:pPr>
          </w:p>
        </w:tc>
        <w:tc>
          <w:tcPr>
            <w:tcW w:w="0" w:type="auto"/>
            <w:tcBorders>
              <w:top w:val="nil"/>
              <w:bottom w:val="single" w:sz="4" w:space="0" w:color="auto"/>
            </w:tcBorders>
            <w:hideMark/>
          </w:tcPr>
          <w:p w14:paraId="15F606F3" w14:textId="77777777"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BmOr54 and BmOr56</w:t>
            </w:r>
          </w:p>
        </w:tc>
        <w:tc>
          <w:tcPr>
            <w:tcW w:w="0" w:type="auto"/>
            <w:tcBorders>
              <w:top w:val="nil"/>
              <w:bottom w:val="single" w:sz="4" w:space="0" w:color="auto"/>
            </w:tcBorders>
            <w:hideMark/>
          </w:tcPr>
          <w:p w14:paraId="1A7562FC" w14:textId="77777777"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Or56 stimulates feeding, whereas Or54 suppresses it. These two receptors work antagonistically to regulate larval feeding</w:t>
            </w:r>
          </w:p>
        </w:tc>
        <w:tc>
          <w:tcPr>
            <w:tcW w:w="0" w:type="auto"/>
            <w:tcBorders>
              <w:top w:val="nil"/>
              <w:bottom w:val="single" w:sz="4" w:space="0" w:color="auto"/>
            </w:tcBorders>
            <w:hideMark/>
          </w:tcPr>
          <w:p w14:paraId="246314B2" w14:textId="77777777"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Liu, 2017</w:t>
            </w:r>
          </w:p>
        </w:tc>
      </w:tr>
      <w:tr w:rsidR="00D04C42" w:rsidRPr="00271DF4" w14:paraId="429DD655" w14:textId="77777777" w:rsidTr="00ED6D5E">
        <w:trPr>
          <w:trHeight w:val="1395"/>
        </w:trPr>
        <w:tc>
          <w:tcPr>
            <w:tcW w:w="0" w:type="auto"/>
            <w:tcBorders>
              <w:top w:val="single" w:sz="4" w:space="0" w:color="auto"/>
              <w:bottom w:val="nil"/>
            </w:tcBorders>
            <w:hideMark/>
          </w:tcPr>
          <w:p w14:paraId="78229D39" w14:textId="77777777" w:rsidR="003A7412" w:rsidRPr="00ED6D5E" w:rsidRDefault="003A7412" w:rsidP="00ED6D5E">
            <w:pPr>
              <w:spacing w:line="480" w:lineRule="auto"/>
              <w:rPr>
                <w:rFonts w:ascii="Arial" w:eastAsia="Times New Roman" w:hAnsi="Arial" w:cs="Arial"/>
                <w:sz w:val="20"/>
                <w:szCs w:val="20"/>
              </w:rPr>
            </w:pPr>
            <w:r w:rsidRPr="00ED6D5E">
              <w:rPr>
                <w:rFonts w:ascii="Arial" w:eastAsia="Times New Roman" w:hAnsi="Arial" w:cs="Arial"/>
                <w:b/>
                <w:bCs/>
                <w:sz w:val="20"/>
                <w:szCs w:val="20"/>
              </w:rPr>
              <w:t>Mulberry leaf</w:t>
            </w:r>
          </w:p>
        </w:tc>
        <w:tc>
          <w:tcPr>
            <w:tcW w:w="0" w:type="auto"/>
            <w:tcBorders>
              <w:top w:val="single" w:sz="4" w:space="0" w:color="auto"/>
              <w:bottom w:val="nil"/>
            </w:tcBorders>
            <w:hideMark/>
          </w:tcPr>
          <w:p w14:paraId="62F69AA7" w14:textId="77777777" w:rsidR="003A7412" w:rsidRPr="00ED6D5E" w:rsidRDefault="003A7412"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Attracting factors</w:t>
            </w:r>
          </w:p>
        </w:tc>
        <w:tc>
          <w:tcPr>
            <w:tcW w:w="0" w:type="auto"/>
            <w:tcBorders>
              <w:top w:val="single" w:sz="4" w:space="0" w:color="auto"/>
              <w:bottom w:val="nil"/>
            </w:tcBorders>
            <w:hideMark/>
          </w:tcPr>
          <w:p w14:paraId="2997D7C1" w14:textId="77777777"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α, β-hexenal, β, γ-</w:t>
            </w:r>
            <w:proofErr w:type="spellStart"/>
            <w:r w:rsidRPr="00ED6D5E">
              <w:rPr>
                <w:rFonts w:ascii="Arial" w:hAnsi="Arial" w:cs="Arial"/>
                <w:sz w:val="20"/>
                <w:szCs w:val="20"/>
              </w:rPr>
              <w:t>hexenol</w:t>
            </w:r>
            <w:proofErr w:type="spellEnd"/>
            <w:r w:rsidRPr="00ED6D5E">
              <w:rPr>
                <w:rFonts w:ascii="Arial" w:hAnsi="Arial" w:cs="Arial"/>
                <w:sz w:val="20"/>
                <w:szCs w:val="20"/>
              </w:rPr>
              <w:t xml:space="preserve">, </w:t>
            </w:r>
            <w:proofErr w:type="spellStart"/>
            <w:r w:rsidRPr="00ED6D5E">
              <w:rPr>
                <w:rFonts w:ascii="Arial" w:hAnsi="Arial" w:cs="Arial"/>
                <w:sz w:val="20"/>
                <w:szCs w:val="20"/>
              </w:rPr>
              <w:t>citral</w:t>
            </w:r>
            <w:proofErr w:type="spellEnd"/>
            <w:r w:rsidRPr="00ED6D5E">
              <w:rPr>
                <w:rFonts w:ascii="Arial" w:hAnsi="Arial" w:cs="Arial"/>
                <w:sz w:val="20"/>
                <w:szCs w:val="20"/>
              </w:rPr>
              <w:t xml:space="preserve">, linalyl acetate and </w:t>
            </w:r>
            <w:proofErr w:type="spellStart"/>
            <w:r w:rsidRPr="00ED6D5E">
              <w:rPr>
                <w:rFonts w:ascii="Arial" w:hAnsi="Arial" w:cs="Arial"/>
                <w:sz w:val="20"/>
                <w:szCs w:val="20"/>
              </w:rPr>
              <w:t>linalol</w:t>
            </w:r>
            <w:proofErr w:type="spellEnd"/>
          </w:p>
        </w:tc>
        <w:tc>
          <w:tcPr>
            <w:tcW w:w="0" w:type="auto"/>
            <w:tcBorders>
              <w:top w:val="single" w:sz="4" w:space="0" w:color="auto"/>
              <w:bottom w:val="nil"/>
            </w:tcBorders>
            <w:hideMark/>
          </w:tcPr>
          <w:p w14:paraId="413CCDD9" w14:textId="77777777"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Elicit feeding behavior in larvae</w:t>
            </w:r>
          </w:p>
        </w:tc>
        <w:tc>
          <w:tcPr>
            <w:tcW w:w="0" w:type="auto"/>
            <w:tcBorders>
              <w:top w:val="single" w:sz="4" w:space="0" w:color="auto"/>
              <w:bottom w:val="nil"/>
            </w:tcBorders>
            <w:hideMark/>
          </w:tcPr>
          <w:p w14:paraId="54B1C34A" w14:textId="77777777"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 xml:space="preserve">Watanabe </w:t>
            </w:r>
            <w:r w:rsidRPr="003C4A1B">
              <w:rPr>
                <w:rFonts w:ascii="Arial" w:hAnsi="Arial" w:cs="Arial"/>
                <w:i/>
                <w:sz w:val="20"/>
                <w:szCs w:val="20"/>
              </w:rPr>
              <w:t>et al.,</w:t>
            </w:r>
            <w:r w:rsidRPr="00ED6D5E">
              <w:rPr>
                <w:rFonts w:ascii="Arial" w:hAnsi="Arial" w:cs="Arial"/>
                <w:sz w:val="20"/>
                <w:szCs w:val="20"/>
              </w:rPr>
              <w:t xml:space="preserve"> 1958; Hamamura and Naito, 1961</w:t>
            </w:r>
          </w:p>
        </w:tc>
      </w:tr>
      <w:tr w:rsidR="00D04C42" w:rsidRPr="00271DF4" w14:paraId="4B078CF5" w14:textId="77777777" w:rsidTr="00ED6D5E">
        <w:tc>
          <w:tcPr>
            <w:tcW w:w="0" w:type="auto"/>
            <w:tcBorders>
              <w:top w:val="nil"/>
            </w:tcBorders>
            <w:hideMark/>
          </w:tcPr>
          <w:p w14:paraId="3C345CA9" w14:textId="77777777" w:rsidR="003A7412" w:rsidRPr="00ED6D5E" w:rsidRDefault="003A7412" w:rsidP="00ED6D5E">
            <w:pPr>
              <w:spacing w:line="480" w:lineRule="auto"/>
              <w:rPr>
                <w:rFonts w:ascii="Arial" w:eastAsia="Times New Roman" w:hAnsi="Arial" w:cs="Arial"/>
                <w:b/>
                <w:bCs/>
                <w:sz w:val="20"/>
                <w:szCs w:val="20"/>
              </w:rPr>
            </w:pPr>
          </w:p>
        </w:tc>
        <w:tc>
          <w:tcPr>
            <w:tcW w:w="0" w:type="auto"/>
            <w:tcBorders>
              <w:top w:val="nil"/>
            </w:tcBorders>
            <w:hideMark/>
          </w:tcPr>
          <w:p w14:paraId="3FD39ACF" w14:textId="77777777" w:rsidR="003A7412" w:rsidRPr="00ED6D5E" w:rsidRDefault="003A7412"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Biting factors</w:t>
            </w:r>
          </w:p>
        </w:tc>
        <w:tc>
          <w:tcPr>
            <w:tcW w:w="0" w:type="auto"/>
            <w:tcBorders>
              <w:top w:val="nil"/>
            </w:tcBorders>
            <w:hideMark/>
          </w:tcPr>
          <w:p w14:paraId="33E6C1C1" w14:textId="77777777" w:rsidR="003A7412" w:rsidRPr="00ED6D5E" w:rsidRDefault="003A7412" w:rsidP="00ED6D5E">
            <w:pPr>
              <w:spacing w:line="480" w:lineRule="auto"/>
              <w:rPr>
                <w:rFonts w:ascii="Arial" w:hAnsi="Arial" w:cs="Arial"/>
                <w:sz w:val="20"/>
                <w:szCs w:val="20"/>
              </w:rPr>
            </w:pPr>
            <w:r w:rsidRPr="00ED6D5E">
              <w:rPr>
                <w:rFonts w:ascii="Arial" w:hAnsi="Arial" w:cs="Arial"/>
                <w:sz w:val="20"/>
                <w:szCs w:val="20"/>
              </w:rPr>
              <w:t>β-sitosterol</w:t>
            </w:r>
          </w:p>
        </w:tc>
        <w:tc>
          <w:tcPr>
            <w:tcW w:w="0" w:type="auto"/>
            <w:tcBorders>
              <w:top w:val="nil"/>
            </w:tcBorders>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A7412" w:rsidRPr="00ED6D5E" w14:paraId="46BCAE08" w14:textId="77777777" w:rsidTr="008B2BED">
              <w:trPr>
                <w:tblCellSpacing w:w="15" w:type="dxa"/>
              </w:trPr>
              <w:tc>
                <w:tcPr>
                  <w:tcW w:w="0" w:type="auto"/>
                  <w:vAlign w:val="center"/>
                  <w:hideMark/>
                </w:tcPr>
                <w:p w14:paraId="36A3D8B0" w14:textId="77777777" w:rsidR="003A7412" w:rsidRPr="00ED6D5E" w:rsidRDefault="003A7412" w:rsidP="00ED6D5E">
                  <w:pPr>
                    <w:spacing w:after="0" w:line="480" w:lineRule="auto"/>
                    <w:rPr>
                      <w:rFonts w:ascii="Arial" w:eastAsia="Times New Roman" w:hAnsi="Arial" w:cs="Arial"/>
                      <w:sz w:val="20"/>
                      <w:szCs w:val="20"/>
                    </w:rPr>
                  </w:pPr>
                </w:p>
              </w:tc>
            </w:tr>
          </w:tbl>
          <w:p w14:paraId="4F6D376E" w14:textId="77777777" w:rsidR="003A7412" w:rsidRPr="00ED6D5E" w:rsidRDefault="003A7412" w:rsidP="00ED6D5E">
            <w:pPr>
              <w:spacing w:line="480" w:lineRule="auto"/>
              <w:rPr>
                <w:rFonts w:ascii="Arial" w:eastAsia="Times New Roman" w:hAnsi="Arial" w:cs="Arial"/>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91"/>
            </w:tblGrid>
            <w:tr w:rsidR="003A7412" w:rsidRPr="00ED6D5E" w14:paraId="58DD8259" w14:textId="77777777" w:rsidTr="008B2BED">
              <w:trPr>
                <w:tblCellSpacing w:w="15" w:type="dxa"/>
              </w:trPr>
              <w:tc>
                <w:tcPr>
                  <w:tcW w:w="0" w:type="auto"/>
                  <w:vAlign w:val="center"/>
                  <w:hideMark/>
                </w:tcPr>
                <w:p w14:paraId="2BF45E97" w14:textId="77777777" w:rsidR="003A7412" w:rsidRPr="00ED6D5E" w:rsidRDefault="003A7412" w:rsidP="00ED6D5E">
                  <w:pPr>
                    <w:spacing w:after="0" w:line="480" w:lineRule="auto"/>
                    <w:rPr>
                      <w:rFonts w:ascii="Arial" w:eastAsia="Times New Roman" w:hAnsi="Arial" w:cs="Arial"/>
                      <w:sz w:val="20"/>
                      <w:szCs w:val="20"/>
                    </w:rPr>
                  </w:pPr>
                  <w:r w:rsidRPr="00ED6D5E">
                    <w:rPr>
                      <w:rFonts w:ascii="Arial" w:eastAsia="Times New Roman" w:hAnsi="Arial" w:cs="Arial"/>
                      <w:sz w:val="20"/>
                      <w:szCs w:val="20"/>
                    </w:rPr>
                    <w:t>Induces biting activity</w:t>
                  </w:r>
                </w:p>
              </w:tc>
            </w:tr>
          </w:tbl>
          <w:p w14:paraId="44DE72B7" w14:textId="77777777" w:rsidR="003A7412" w:rsidRPr="00ED6D5E" w:rsidRDefault="003A7412" w:rsidP="00ED6D5E">
            <w:pPr>
              <w:spacing w:line="480" w:lineRule="auto"/>
              <w:rPr>
                <w:rFonts w:ascii="Arial" w:eastAsia="Times New Roman" w:hAnsi="Arial" w:cs="Arial"/>
                <w:sz w:val="20"/>
                <w:szCs w:val="20"/>
              </w:rPr>
            </w:pPr>
          </w:p>
        </w:tc>
        <w:tc>
          <w:tcPr>
            <w:tcW w:w="0" w:type="auto"/>
            <w:tcBorders>
              <w:top w:val="nil"/>
            </w:tcBorders>
            <w:hideMark/>
          </w:tcPr>
          <w:p w14:paraId="24E39CEA" w14:textId="77777777" w:rsidR="003A7412" w:rsidRPr="00ED6D5E" w:rsidRDefault="003C4A1B" w:rsidP="003C4A1B">
            <w:pPr>
              <w:spacing w:line="480" w:lineRule="auto"/>
              <w:rPr>
                <w:rFonts w:ascii="Arial" w:eastAsia="Times New Roman" w:hAnsi="Arial" w:cs="Arial"/>
                <w:sz w:val="20"/>
                <w:szCs w:val="20"/>
              </w:rPr>
            </w:pPr>
            <w:r>
              <w:rPr>
                <w:rFonts w:ascii="Arial" w:hAnsi="Arial" w:cs="Arial"/>
                <w:sz w:val="20"/>
                <w:szCs w:val="20"/>
              </w:rPr>
              <w:t>Takeda &amp; Ueda</w:t>
            </w:r>
            <w:r w:rsidR="003A7412" w:rsidRPr="00ED6D5E">
              <w:rPr>
                <w:rFonts w:ascii="Arial" w:hAnsi="Arial" w:cs="Arial"/>
                <w:sz w:val="20"/>
                <w:szCs w:val="20"/>
              </w:rPr>
              <w:t xml:space="preserve">, 1984; </w:t>
            </w:r>
            <w:r>
              <w:rPr>
                <w:rFonts w:ascii="Arial" w:hAnsi="Arial" w:cs="Arial"/>
                <w:sz w:val="20"/>
                <w:szCs w:val="20"/>
              </w:rPr>
              <w:t xml:space="preserve">Nagata </w:t>
            </w:r>
            <w:r w:rsidRPr="003C4A1B">
              <w:rPr>
                <w:rFonts w:ascii="Arial" w:hAnsi="Arial" w:cs="Arial"/>
                <w:i/>
                <w:sz w:val="20"/>
                <w:szCs w:val="20"/>
              </w:rPr>
              <w:t>et al.,</w:t>
            </w:r>
            <w:r w:rsidRPr="003C4A1B">
              <w:rPr>
                <w:rFonts w:ascii="Arial" w:hAnsi="Arial" w:cs="Arial"/>
                <w:sz w:val="20"/>
                <w:szCs w:val="20"/>
              </w:rPr>
              <w:t>2011</w:t>
            </w:r>
          </w:p>
        </w:tc>
      </w:tr>
      <w:tr w:rsidR="00D04C42" w:rsidRPr="00271DF4" w14:paraId="01774F41" w14:textId="77777777" w:rsidTr="00ED6D5E">
        <w:tc>
          <w:tcPr>
            <w:tcW w:w="0" w:type="auto"/>
            <w:hideMark/>
          </w:tcPr>
          <w:p w14:paraId="7BB76592" w14:textId="77777777" w:rsidR="003A7412" w:rsidRPr="00ED6D5E" w:rsidRDefault="003A7412" w:rsidP="00ED6D5E">
            <w:pPr>
              <w:spacing w:line="480" w:lineRule="auto"/>
              <w:rPr>
                <w:rFonts w:ascii="Arial" w:eastAsia="Times New Roman" w:hAnsi="Arial" w:cs="Arial"/>
                <w:sz w:val="20"/>
                <w:szCs w:val="20"/>
              </w:rPr>
            </w:pPr>
          </w:p>
        </w:tc>
        <w:tc>
          <w:tcPr>
            <w:tcW w:w="0" w:type="auto"/>
            <w:hideMark/>
          </w:tcPr>
          <w:p w14:paraId="45C098AF" w14:textId="77777777" w:rsidR="003A7412" w:rsidRPr="00ED6D5E" w:rsidRDefault="003A7412"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Swallowing factors </w:t>
            </w:r>
          </w:p>
        </w:tc>
        <w:tc>
          <w:tcPr>
            <w:tcW w:w="0" w:type="auto"/>
            <w:hideMark/>
          </w:tcPr>
          <w:p w14:paraId="08AE5B27" w14:textId="77777777" w:rsidR="003A7412" w:rsidRPr="00ED6D5E" w:rsidRDefault="00750C68" w:rsidP="00ED6D5E">
            <w:pPr>
              <w:spacing w:line="480" w:lineRule="auto"/>
              <w:rPr>
                <w:rFonts w:ascii="Arial" w:eastAsia="Times New Roman" w:hAnsi="Arial" w:cs="Arial"/>
                <w:sz w:val="20"/>
                <w:szCs w:val="20"/>
              </w:rPr>
            </w:pPr>
            <w:r w:rsidRPr="00ED6D5E">
              <w:rPr>
                <w:rFonts w:ascii="Arial" w:hAnsi="Arial" w:cs="Arial"/>
                <w:sz w:val="20"/>
                <w:szCs w:val="20"/>
              </w:rPr>
              <w:t xml:space="preserve">Cellulose, phosphate and silica, </w:t>
            </w:r>
            <w:r w:rsidR="003A7412" w:rsidRPr="00ED6D5E">
              <w:rPr>
                <w:rFonts w:ascii="Arial" w:hAnsi="Arial" w:cs="Arial"/>
                <w:sz w:val="20"/>
                <w:szCs w:val="20"/>
              </w:rPr>
              <w:t xml:space="preserve">Sucrose, inositol, high levels of casein and ascorbic acid </w:t>
            </w:r>
            <w:proofErr w:type="spellStart"/>
            <w:r w:rsidR="003A7412" w:rsidRPr="00ED6D5E">
              <w:rPr>
                <w:rFonts w:ascii="Arial" w:hAnsi="Arial" w:cs="Arial"/>
                <w:sz w:val="20"/>
                <w:szCs w:val="20"/>
              </w:rPr>
              <w:t>isoquercetin</w:t>
            </w:r>
            <w:proofErr w:type="spellEnd"/>
            <w:r w:rsidR="003A7412" w:rsidRPr="00ED6D5E">
              <w:rPr>
                <w:rFonts w:ascii="Arial" w:hAnsi="Arial" w:cs="Arial"/>
                <w:sz w:val="20"/>
                <w:szCs w:val="20"/>
              </w:rPr>
              <w:t xml:space="preserve">, morin, quercetin, chlorogenic acid, vanillin, polyphenolic acid, choline, certain vegetable oils and fatty acids </w:t>
            </w:r>
          </w:p>
        </w:tc>
        <w:tc>
          <w:tcPr>
            <w:tcW w:w="0" w:type="auto"/>
            <w:hideMark/>
          </w:tcPr>
          <w:p w14:paraId="23EB9806" w14:textId="77777777"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Enhance feeding and swallowing responses</w:t>
            </w:r>
          </w:p>
        </w:tc>
        <w:tc>
          <w:tcPr>
            <w:tcW w:w="0" w:type="auto"/>
            <w:hideMark/>
          </w:tcPr>
          <w:p w14:paraId="2033E224" w14:textId="77777777" w:rsidR="003A7412" w:rsidRPr="00ED6D5E" w:rsidRDefault="003C4A1B" w:rsidP="00D04C42">
            <w:pPr>
              <w:spacing w:line="480" w:lineRule="auto"/>
              <w:rPr>
                <w:rFonts w:ascii="Arial" w:eastAsia="Times New Roman" w:hAnsi="Arial" w:cs="Arial"/>
                <w:sz w:val="20"/>
                <w:szCs w:val="20"/>
              </w:rPr>
            </w:pPr>
            <w:r>
              <w:rPr>
                <w:rFonts w:ascii="Arial" w:hAnsi="Arial" w:cs="Arial"/>
                <w:sz w:val="20"/>
                <w:szCs w:val="20"/>
              </w:rPr>
              <w:t xml:space="preserve">Nagata </w:t>
            </w:r>
            <w:r w:rsidRPr="003C4A1B">
              <w:rPr>
                <w:rFonts w:ascii="Arial" w:hAnsi="Arial" w:cs="Arial"/>
                <w:i/>
                <w:sz w:val="20"/>
                <w:szCs w:val="20"/>
              </w:rPr>
              <w:t>et al.,</w:t>
            </w:r>
            <w:r w:rsidRPr="003C4A1B">
              <w:rPr>
                <w:rFonts w:ascii="Arial" w:hAnsi="Arial" w:cs="Arial"/>
                <w:sz w:val="20"/>
                <w:szCs w:val="20"/>
              </w:rPr>
              <w:t>2011</w:t>
            </w:r>
            <w:r w:rsidR="003A7412" w:rsidRPr="00ED6D5E">
              <w:rPr>
                <w:rFonts w:ascii="Arial" w:hAnsi="Arial" w:cs="Arial"/>
                <w:sz w:val="20"/>
                <w:szCs w:val="20"/>
              </w:rPr>
              <w:t>;</w:t>
            </w:r>
            <w:r w:rsidR="00D04C42">
              <w:rPr>
                <w:rFonts w:ascii="Arial" w:hAnsi="Arial" w:cs="Arial"/>
                <w:sz w:val="20"/>
                <w:szCs w:val="20"/>
              </w:rPr>
              <w:t xml:space="preserve"> Song </w:t>
            </w:r>
            <w:r w:rsidR="00D04C42" w:rsidRPr="00D04C42">
              <w:rPr>
                <w:rFonts w:ascii="Arial" w:hAnsi="Arial" w:cs="Arial"/>
                <w:i/>
                <w:sz w:val="20"/>
                <w:szCs w:val="20"/>
              </w:rPr>
              <w:t>et al.,</w:t>
            </w:r>
            <w:r w:rsidR="00D04C42">
              <w:rPr>
                <w:rFonts w:ascii="Arial" w:hAnsi="Arial" w:cs="Arial"/>
                <w:sz w:val="20"/>
                <w:szCs w:val="20"/>
              </w:rPr>
              <w:t xml:space="preserve"> 2022; Naito et al.</w:t>
            </w:r>
            <w:r w:rsidR="003A7412" w:rsidRPr="00ED6D5E">
              <w:rPr>
                <w:rFonts w:ascii="Arial" w:hAnsi="Arial" w:cs="Arial"/>
                <w:sz w:val="20"/>
                <w:szCs w:val="20"/>
              </w:rPr>
              <w:t>, 1965; Kato</w:t>
            </w:r>
            <w:r w:rsidR="00D04C42" w:rsidRPr="00ED6D5E">
              <w:rPr>
                <w:rFonts w:ascii="Arial" w:hAnsi="Arial" w:cs="Arial"/>
                <w:sz w:val="20"/>
                <w:szCs w:val="20"/>
              </w:rPr>
              <w:t xml:space="preserve"> and Yamada</w:t>
            </w:r>
            <w:r w:rsidR="003A7412" w:rsidRPr="00ED6D5E">
              <w:rPr>
                <w:rFonts w:ascii="Arial" w:hAnsi="Arial" w:cs="Arial"/>
                <w:sz w:val="20"/>
                <w:szCs w:val="20"/>
              </w:rPr>
              <w:t xml:space="preserve">, 1966; Hamamura et al., 1966; </w:t>
            </w:r>
            <w:proofErr w:type="spellStart"/>
            <w:r w:rsidR="003A7412" w:rsidRPr="00ED6D5E">
              <w:rPr>
                <w:rFonts w:ascii="Arial" w:hAnsi="Arial" w:cs="Arial"/>
                <w:sz w:val="20"/>
                <w:szCs w:val="20"/>
              </w:rPr>
              <w:t>Hayashiya</w:t>
            </w:r>
            <w:proofErr w:type="spellEnd"/>
            <w:r w:rsidR="003A7412" w:rsidRPr="00ED6D5E">
              <w:rPr>
                <w:rFonts w:ascii="Arial" w:hAnsi="Arial" w:cs="Arial"/>
                <w:sz w:val="20"/>
                <w:szCs w:val="20"/>
              </w:rPr>
              <w:t>, 1965</w:t>
            </w:r>
          </w:p>
        </w:tc>
      </w:tr>
      <w:tr w:rsidR="00D04C42" w:rsidRPr="00271DF4" w14:paraId="31F7C24B" w14:textId="77777777" w:rsidTr="00ED6D5E">
        <w:tc>
          <w:tcPr>
            <w:tcW w:w="0" w:type="auto"/>
            <w:hideMark/>
          </w:tcPr>
          <w:p w14:paraId="592831BA" w14:textId="77777777" w:rsidR="003A7412" w:rsidRPr="00ED6D5E" w:rsidRDefault="003A7412" w:rsidP="00ED6D5E">
            <w:pPr>
              <w:spacing w:line="480" w:lineRule="auto"/>
              <w:rPr>
                <w:rFonts w:ascii="Arial" w:eastAsia="Times New Roman" w:hAnsi="Arial" w:cs="Arial"/>
                <w:sz w:val="20"/>
                <w:szCs w:val="20"/>
              </w:rPr>
            </w:pPr>
          </w:p>
        </w:tc>
        <w:tc>
          <w:tcPr>
            <w:tcW w:w="0" w:type="auto"/>
            <w:hideMark/>
          </w:tcPr>
          <w:p w14:paraId="7608807D" w14:textId="77777777" w:rsidR="003A7412" w:rsidRPr="00ED6D5E" w:rsidRDefault="003A7412"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Inhibitory factors</w:t>
            </w:r>
          </w:p>
        </w:tc>
        <w:tc>
          <w:tcPr>
            <w:tcW w:w="0" w:type="auto"/>
            <w:hideMark/>
          </w:tcPr>
          <w:p w14:paraId="3F36317F" w14:textId="77777777" w:rsidR="003A7412" w:rsidRPr="00ED6D5E" w:rsidRDefault="003A7412" w:rsidP="00ED6D5E">
            <w:pPr>
              <w:spacing w:line="480" w:lineRule="auto"/>
              <w:rPr>
                <w:rFonts w:ascii="Arial" w:hAnsi="Arial" w:cs="Arial"/>
                <w:sz w:val="20"/>
                <w:szCs w:val="20"/>
              </w:rPr>
            </w:pPr>
            <w:r w:rsidRPr="00ED6D5E">
              <w:rPr>
                <w:rFonts w:ascii="Arial" w:hAnsi="Arial" w:cs="Arial"/>
                <w:sz w:val="20"/>
                <w:szCs w:val="20"/>
              </w:rPr>
              <w:t>Tartaric acid, malic acid, sorbic acid, acetic acid and phosphoric acid</w:t>
            </w:r>
          </w:p>
        </w:tc>
        <w:tc>
          <w:tcPr>
            <w:tcW w:w="0" w:type="auto"/>
            <w:hideMark/>
          </w:tcPr>
          <w:p w14:paraId="1D15B92B" w14:textId="77777777" w:rsidR="003A7412" w:rsidRPr="00ED6D5E" w:rsidRDefault="003A7412" w:rsidP="00ED6D5E">
            <w:pPr>
              <w:spacing w:line="480" w:lineRule="auto"/>
              <w:rPr>
                <w:rFonts w:ascii="Arial" w:hAnsi="Arial" w:cs="Arial"/>
                <w:sz w:val="20"/>
                <w:szCs w:val="20"/>
              </w:rPr>
            </w:pPr>
            <w:r w:rsidRPr="00ED6D5E">
              <w:rPr>
                <w:rFonts w:ascii="Arial" w:hAnsi="Arial" w:cs="Arial"/>
                <w:sz w:val="20"/>
                <w:szCs w:val="20"/>
              </w:rPr>
              <w:t>Suppress the growth and feeding of silkworms.</w:t>
            </w:r>
          </w:p>
        </w:tc>
        <w:tc>
          <w:tcPr>
            <w:tcW w:w="0" w:type="auto"/>
            <w:hideMark/>
          </w:tcPr>
          <w:p w14:paraId="656D6CE7" w14:textId="77777777" w:rsidR="003A7412" w:rsidRPr="00ED6D5E" w:rsidRDefault="00D04C42" w:rsidP="00ED6D5E">
            <w:pPr>
              <w:spacing w:line="480" w:lineRule="auto"/>
              <w:rPr>
                <w:rFonts w:ascii="Arial" w:hAnsi="Arial" w:cs="Arial"/>
                <w:sz w:val="20"/>
                <w:szCs w:val="20"/>
              </w:rPr>
            </w:pPr>
            <w:r>
              <w:rPr>
                <w:rFonts w:ascii="Arial" w:hAnsi="Arial" w:cs="Arial"/>
                <w:sz w:val="20"/>
                <w:szCs w:val="20"/>
              </w:rPr>
              <w:t>Ts</w:t>
            </w:r>
            <w:r w:rsidR="003A7412" w:rsidRPr="00ED6D5E">
              <w:rPr>
                <w:rFonts w:ascii="Arial" w:hAnsi="Arial" w:cs="Arial"/>
                <w:sz w:val="20"/>
                <w:szCs w:val="20"/>
              </w:rPr>
              <w:t>ai et al., 1978; Cui et al., 1998</w:t>
            </w:r>
          </w:p>
        </w:tc>
      </w:tr>
      <w:tr w:rsidR="00D04C42" w:rsidRPr="00271DF4" w14:paraId="1094D429" w14:textId="77777777" w:rsidTr="00ED6D5E">
        <w:trPr>
          <w:trHeight w:val="914"/>
        </w:trPr>
        <w:tc>
          <w:tcPr>
            <w:tcW w:w="0" w:type="auto"/>
            <w:hideMark/>
          </w:tcPr>
          <w:p w14:paraId="08E59210" w14:textId="77777777" w:rsidR="003A7412" w:rsidRPr="00ED6D5E" w:rsidRDefault="003A7412" w:rsidP="00ED6D5E">
            <w:pPr>
              <w:spacing w:line="480" w:lineRule="auto"/>
              <w:rPr>
                <w:rFonts w:ascii="Arial" w:eastAsia="Times New Roman" w:hAnsi="Arial" w:cs="Arial"/>
                <w:sz w:val="20"/>
                <w:szCs w:val="20"/>
              </w:rPr>
            </w:pPr>
          </w:p>
        </w:tc>
        <w:tc>
          <w:tcPr>
            <w:tcW w:w="0" w:type="auto"/>
            <w:hideMark/>
          </w:tcPr>
          <w:p w14:paraId="6A2128FB" w14:textId="77777777"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Avoidance factor</w:t>
            </w:r>
          </w:p>
        </w:tc>
        <w:tc>
          <w:tcPr>
            <w:tcW w:w="0" w:type="auto"/>
            <w:hideMark/>
          </w:tcPr>
          <w:p w14:paraId="152E15BB" w14:textId="77777777" w:rsidR="003A7412" w:rsidRPr="00ED6D5E" w:rsidRDefault="003A7412" w:rsidP="00ED6D5E">
            <w:pPr>
              <w:spacing w:line="480" w:lineRule="auto"/>
              <w:rPr>
                <w:rFonts w:ascii="Arial" w:hAnsi="Arial" w:cs="Arial"/>
                <w:sz w:val="20"/>
                <w:szCs w:val="20"/>
              </w:rPr>
            </w:pPr>
            <w:r w:rsidRPr="00ED6D5E">
              <w:rPr>
                <w:rFonts w:ascii="Arial" w:hAnsi="Arial" w:cs="Arial"/>
                <w:sz w:val="20"/>
                <w:szCs w:val="20"/>
              </w:rPr>
              <w:t>Artemisinin</w:t>
            </w:r>
          </w:p>
        </w:tc>
        <w:tc>
          <w:tcPr>
            <w:tcW w:w="0" w:type="auto"/>
            <w:hideMark/>
          </w:tcPr>
          <w:p w14:paraId="240453AB" w14:textId="77777777"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Suppresses feeding behavior in larvae</w:t>
            </w:r>
          </w:p>
        </w:tc>
        <w:tc>
          <w:tcPr>
            <w:tcW w:w="0" w:type="auto"/>
            <w:hideMark/>
          </w:tcPr>
          <w:p w14:paraId="550A8B74" w14:textId="77777777" w:rsidR="003A7412" w:rsidRPr="00ED6D5E" w:rsidRDefault="003A7412" w:rsidP="00ED6D5E">
            <w:pPr>
              <w:spacing w:line="480" w:lineRule="auto"/>
              <w:rPr>
                <w:rFonts w:ascii="Arial" w:hAnsi="Arial" w:cs="Arial"/>
                <w:sz w:val="20"/>
                <w:szCs w:val="20"/>
              </w:rPr>
            </w:pPr>
            <w:r w:rsidRPr="00ED6D5E">
              <w:rPr>
                <w:rFonts w:ascii="Arial" w:hAnsi="Arial" w:cs="Arial"/>
                <w:sz w:val="20"/>
                <w:szCs w:val="20"/>
              </w:rPr>
              <w:t>Zhang, 2012</w:t>
            </w:r>
          </w:p>
        </w:tc>
      </w:tr>
    </w:tbl>
    <w:p w14:paraId="389BD567" w14:textId="77777777" w:rsidR="003A7412" w:rsidRDefault="003A7412" w:rsidP="003A7412">
      <w:pPr>
        <w:pStyle w:val="NormalWeb"/>
        <w:jc w:val="both"/>
      </w:pPr>
      <w:r w:rsidRPr="00271DF4">
        <w:t>(</w:t>
      </w:r>
      <w:r w:rsidRPr="008A39C8">
        <w:t xml:space="preserve">Song </w:t>
      </w:r>
      <w:r w:rsidRPr="008A39C8">
        <w:rPr>
          <w:i/>
        </w:rPr>
        <w:t>et al.,</w:t>
      </w:r>
      <w:r w:rsidRPr="008A39C8">
        <w:t xml:space="preserve"> 2021</w:t>
      </w:r>
      <w:r w:rsidRPr="00271DF4">
        <w:t>)</w:t>
      </w:r>
    </w:p>
    <w:p w14:paraId="4D56A636" w14:textId="77777777" w:rsidR="003A7412" w:rsidRPr="00ED6D5E" w:rsidRDefault="00AC4554" w:rsidP="003A7412">
      <w:pPr>
        <w:pStyle w:val="Heading3"/>
        <w:rPr>
          <w:rFonts w:ascii="Arial" w:hAnsi="Arial" w:cs="Arial"/>
          <w:color w:val="auto"/>
        </w:rPr>
      </w:pPr>
      <w:r w:rsidRPr="00ED6D5E">
        <w:rPr>
          <w:rFonts w:ascii="Arial" w:hAnsi="Arial" w:cs="Arial"/>
          <w:color w:val="auto"/>
        </w:rPr>
        <w:t xml:space="preserve">6. </w:t>
      </w:r>
      <w:r w:rsidR="003A7412" w:rsidRPr="00ED6D5E">
        <w:rPr>
          <w:rFonts w:ascii="Arial" w:hAnsi="Arial" w:cs="Arial"/>
          <w:color w:val="auto"/>
        </w:rPr>
        <w:t>INSIGHTS FROM MUGA SILKWORM (</w:t>
      </w:r>
      <w:r w:rsidR="003A7412" w:rsidRPr="00ED6D5E">
        <w:rPr>
          <w:rStyle w:val="Emphasis"/>
          <w:rFonts w:ascii="Arial" w:hAnsi="Arial" w:cs="Arial"/>
          <w:color w:val="auto"/>
        </w:rPr>
        <w:t>ANTHERAEA ASSAMENSIS</w:t>
      </w:r>
      <w:r w:rsidR="003A7412" w:rsidRPr="00ED6D5E">
        <w:rPr>
          <w:rFonts w:ascii="Arial" w:hAnsi="Arial" w:cs="Arial"/>
          <w:color w:val="auto"/>
        </w:rPr>
        <w:t>)</w:t>
      </w:r>
    </w:p>
    <w:p w14:paraId="10333EA3" w14:textId="77777777" w:rsidR="00D90495" w:rsidRPr="00ED6D5E" w:rsidRDefault="00ED6D5E" w:rsidP="00D90495">
      <w:pPr>
        <w:pStyle w:val="Heading4"/>
        <w:rPr>
          <w:rFonts w:ascii="Arial" w:hAnsi="Arial" w:cs="Arial"/>
          <w:i w:val="0"/>
          <w:color w:val="auto"/>
        </w:rPr>
      </w:pPr>
      <w:r w:rsidRPr="00ED6D5E">
        <w:rPr>
          <w:rFonts w:ascii="Arial" w:hAnsi="Arial" w:cs="Arial"/>
          <w:i w:val="0"/>
          <w:color w:val="auto"/>
        </w:rPr>
        <w:t>6</w:t>
      </w:r>
      <w:r w:rsidR="00D90495" w:rsidRPr="00ED6D5E">
        <w:rPr>
          <w:rFonts w:ascii="Arial" w:hAnsi="Arial" w:cs="Arial"/>
          <w:i w:val="0"/>
          <w:color w:val="auto"/>
        </w:rPr>
        <w:t>.1 Feeding Preferences and Host Plants</w:t>
      </w:r>
    </w:p>
    <w:p w14:paraId="18F69E9A" w14:textId="77777777" w:rsidR="001B0C63" w:rsidRPr="00622967" w:rsidRDefault="001B0C63" w:rsidP="00D250E0">
      <w:pPr>
        <w:pStyle w:val="NormalWeb"/>
        <w:tabs>
          <w:tab w:val="left" w:pos="6521"/>
        </w:tabs>
        <w:jc w:val="both"/>
        <w:rPr>
          <w:rFonts w:ascii="Arial" w:hAnsi="Arial" w:cs="Arial"/>
          <w:sz w:val="20"/>
        </w:rPr>
      </w:pPr>
      <w:r w:rsidRPr="00622967">
        <w:rPr>
          <w:rFonts w:ascii="Arial" w:hAnsi="Arial" w:cs="Arial"/>
          <w:sz w:val="20"/>
        </w:rPr>
        <w:t xml:space="preserve">The golden-hued </w:t>
      </w:r>
      <w:proofErr w:type="spellStart"/>
      <w:r w:rsidRPr="00622967">
        <w:rPr>
          <w:rFonts w:ascii="Arial" w:hAnsi="Arial" w:cs="Arial"/>
          <w:sz w:val="20"/>
        </w:rPr>
        <w:t>muga</w:t>
      </w:r>
      <w:proofErr w:type="spellEnd"/>
      <w:r w:rsidRPr="00622967">
        <w:rPr>
          <w:rFonts w:ascii="Arial" w:hAnsi="Arial" w:cs="Arial"/>
          <w:sz w:val="20"/>
        </w:rPr>
        <w:t xml:space="preserve"> silk is produced by the semi-domesticated silkworm </w:t>
      </w:r>
      <w:proofErr w:type="spellStart"/>
      <w:r w:rsidRPr="00622967">
        <w:rPr>
          <w:rStyle w:val="Emphasis"/>
          <w:rFonts w:ascii="Arial" w:hAnsi="Arial" w:cs="Arial"/>
          <w:sz w:val="20"/>
        </w:rPr>
        <w:t>Antheraea</w:t>
      </w:r>
      <w:proofErr w:type="spellEnd"/>
      <w:r w:rsidRPr="00622967">
        <w:rPr>
          <w:rStyle w:val="Emphasis"/>
          <w:rFonts w:ascii="Arial" w:hAnsi="Arial" w:cs="Arial"/>
          <w:sz w:val="20"/>
        </w:rPr>
        <w:t xml:space="preserve"> </w:t>
      </w:r>
      <w:proofErr w:type="spellStart"/>
      <w:r w:rsidRPr="00622967">
        <w:rPr>
          <w:rStyle w:val="Emphasis"/>
          <w:rFonts w:ascii="Arial" w:hAnsi="Arial" w:cs="Arial"/>
          <w:sz w:val="20"/>
        </w:rPr>
        <w:t>assamensis</w:t>
      </w:r>
      <w:proofErr w:type="spellEnd"/>
      <w:r w:rsidRPr="00622967">
        <w:rPr>
          <w:rFonts w:ascii="Arial" w:hAnsi="Arial" w:cs="Arial"/>
          <w:sz w:val="20"/>
        </w:rPr>
        <w:t xml:space="preserve"> Helfer, a polyphagous lepidopteran species known for its ability to utilize a diverse array of host plants. The natural distribution of its food plants spans extensively across the northeastern region of India, particularly in states such as Assam, Meghalaya, Manipur, Mizoram, Nagaland, Tripura, and Sikkim. Additionally, several northern and eastern states, including Himachal Pradesh, Uttarakhand, Uttar Pradesh, Gujarat, West Bengal, and the Union Territory of Puducherry</w:t>
      </w:r>
      <w:r w:rsidRPr="008A39C8">
        <w:rPr>
          <w:rFonts w:ascii="Arial" w:hAnsi="Arial" w:cs="Arial"/>
          <w:sz w:val="20"/>
        </w:rPr>
        <w:t>, also support the growth of these host plants. In Arunachal Pradesh, their occurrence is more sporadic (</w:t>
      </w:r>
      <w:r w:rsidR="00D250E0" w:rsidRPr="008A39C8">
        <w:rPr>
          <w:rStyle w:val="Strong"/>
          <w:rFonts w:ascii="Arial" w:hAnsi="Arial" w:cs="Arial"/>
          <w:b w:val="0"/>
          <w:sz w:val="20"/>
          <w:szCs w:val="20"/>
        </w:rPr>
        <w:t>Mech &amp; Vijay</w:t>
      </w:r>
      <w:r w:rsidR="00D250E0" w:rsidRPr="008A39C8">
        <w:rPr>
          <w:rFonts w:ascii="Arial" w:hAnsi="Arial" w:cs="Arial"/>
          <w:sz w:val="20"/>
          <w:szCs w:val="20"/>
        </w:rPr>
        <w:t>, 2022</w:t>
      </w:r>
      <w:r w:rsidR="00D250E0" w:rsidRPr="008A39C8">
        <w:rPr>
          <w:rFonts w:ascii="Arial" w:hAnsi="Arial" w:cs="Arial"/>
          <w:sz w:val="20"/>
        </w:rPr>
        <w:t xml:space="preserve">; </w:t>
      </w:r>
      <w:proofErr w:type="spellStart"/>
      <w:r w:rsidR="00D250E0" w:rsidRPr="008A39C8">
        <w:rPr>
          <w:rFonts w:ascii="Arial" w:hAnsi="Arial" w:cs="Arial"/>
          <w:sz w:val="20"/>
        </w:rPr>
        <w:t>Haloi</w:t>
      </w:r>
      <w:proofErr w:type="spellEnd"/>
      <w:r w:rsidR="00D250E0" w:rsidRPr="008A39C8">
        <w:rPr>
          <w:rFonts w:ascii="Arial" w:hAnsi="Arial" w:cs="Arial"/>
          <w:sz w:val="20"/>
        </w:rPr>
        <w:t xml:space="preserve"> </w:t>
      </w:r>
      <w:r w:rsidR="00D250E0" w:rsidRPr="008A39C8">
        <w:rPr>
          <w:rFonts w:ascii="Arial" w:hAnsi="Arial" w:cs="Arial"/>
          <w:i/>
          <w:sz w:val="20"/>
        </w:rPr>
        <w:t xml:space="preserve">et al., </w:t>
      </w:r>
      <w:r w:rsidR="00D250E0" w:rsidRPr="008A39C8">
        <w:rPr>
          <w:rFonts w:ascii="Arial" w:hAnsi="Arial" w:cs="Arial"/>
          <w:sz w:val="20"/>
        </w:rPr>
        <w:t>2023</w:t>
      </w:r>
      <w:r w:rsidRPr="008A39C8">
        <w:rPr>
          <w:rFonts w:ascii="Arial" w:hAnsi="Arial" w:cs="Arial"/>
          <w:sz w:val="20"/>
        </w:rPr>
        <w:t>).</w:t>
      </w:r>
    </w:p>
    <w:p w14:paraId="482F33F1" w14:textId="77777777" w:rsidR="001B0C63" w:rsidRPr="00622967" w:rsidRDefault="001B0C63" w:rsidP="001B0C63">
      <w:pPr>
        <w:pStyle w:val="NormalWeb"/>
        <w:jc w:val="both"/>
        <w:rPr>
          <w:rFonts w:ascii="Arial" w:hAnsi="Arial" w:cs="Arial"/>
          <w:sz w:val="20"/>
        </w:rPr>
      </w:pPr>
      <w:r w:rsidRPr="00622967">
        <w:rPr>
          <w:rFonts w:ascii="Arial" w:hAnsi="Arial" w:cs="Arial"/>
          <w:sz w:val="20"/>
        </w:rPr>
        <w:t xml:space="preserve">Among the various host species, </w:t>
      </w:r>
      <w:proofErr w:type="spellStart"/>
      <w:r w:rsidRPr="00622967">
        <w:rPr>
          <w:rStyle w:val="Emphasis"/>
          <w:rFonts w:ascii="Arial" w:hAnsi="Arial" w:cs="Arial"/>
          <w:sz w:val="20"/>
        </w:rPr>
        <w:t>Persea</w:t>
      </w:r>
      <w:proofErr w:type="spellEnd"/>
      <w:r w:rsidRPr="00622967">
        <w:rPr>
          <w:rStyle w:val="Emphasis"/>
          <w:rFonts w:ascii="Arial" w:hAnsi="Arial" w:cs="Arial"/>
          <w:sz w:val="20"/>
        </w:rPr>
        <w:t xml:space="preserve"> </w:t>
      </w:r>
      <w:proofErr w:type="spellStart"/>
      <w:r w:rsidRPr="00622967">
        <w:rPr>
          <w:rStyle w:val="Emphasis"/>
          <w:rFonts w:ascii="Arial" w:hAnsi="Arial" w:cs="Arial"/>
          <w:sz w:val="20"/>
        </w:rPr>
        <w:t>bombycina</w:t>
      </w:r>
      <w:proofErr w:type="spellEnd"/>
      <w:r w:rsidR="00271DF4" w:rsidRPr="00622967">
        <w:rPr>
          <w:rFonts w:ascii="Arial" w:hAnsi="Arial" w:cs="Arial"/>
          <w:sz w:val="20"/>
        </w:rPr>
        <w:t xml:space="preserve"> (locally known as </w:t>
      </w:r>
      <w:proofErr w:type="spellStart"/>
      <w:r w:rsidR="00271DF4" w:rsidRPr="00622967">
        <w:rPr>
          <w:rFonts w:ascii="Arial" w:hAnsi="Arial" w:cs="Arial"/>
          <w:sz w:val="20"/>
        </w:rPr>
        <w:t>som</w:t>
      </w:r>
      <w:proofErr w:type="spellEnd"/>
      <w:r w:rsidRPr="00622967">
        <w:rPr>
          <w:rFonts w:ascii="Arial" w:hAnsi="Arial" w:cs="Arial"/>
          <w:sz w:val="20"/>
        </w:rPr>
        <w:t xml:space="preserve">) and </w:t>
      </w:r>
      <w:proofErr w:type="spellStart"/>
      <w:r w:rsidRPr="00622967">
        <w:rPr>
          <w:rStyle w:val="Emphasis"/>
          <w:rFonts w:ascii="Arial" w:hAnsi="Arial" w:cs="Arial"/>
          <w:sz w:val="20"/>
        </w:rPr>
        <w:t>Litsea</w:t>
      </w:r>
      <w:proofErr w:type="spellEnd"/>
      <w:r w:rsidRPr="00622967">
        <w:rPr>
          <w:rStyle w:val="Emphasis"/>
          <w:rFonts w:ascii="Arial" w:hAnsi="Arial" w:cs="Arial"/>
          <w:sz w:val="20"/>
        </w:rPr>
        <w:t xml:space="preserve"> </w:t>
      </w:r>
      <w:proofErr w:type="spellStart"/>
      <w:r w:rsidRPr="00622967">
        <w:rPr>
          <w:rStyle w:val="Emphasis"/>
          <w:rFonts w:ascii="Arial" w:hAnsi="Arial" w:cs="Arial"/>
          <w:sz w:val="20"/>
        </w:rPr>
        <w:t>monopetala</w:t>
      </w:r>
      <w:proofErr w:type="spellEnd"/>
      <w:r w:rsidR="00271DF4" w:rsidRPr="00622967">
        <w:rPr>
          <w:rFonts w:ascii="Arial" w:hAnsi="Arial" w:cs="Arial"/>
          <w:sz w:val="20"/>
        </w:rPr>
        <w:t xml:space="preserve"> (</w:t>
      </w:r>
      <w:proofErr w:type="spellStart"/>
      <w:r w:rsidR="00271DF4" w:rsidRPr="00622967">
        <w:rPr>
          <w:rFonts w:ascii="Arial" w:hAnsi="Arial" w:cs="Arial"/>
          <w:sz w:val="20"/>
        </w:rPr>
        <w:t>soalu</w:t>
      </w:r>
      <w:proofErr w:type="spellEnd"/>
      <w:r w:rsidRPr="00622967">
        <w:rPr>
          <w:rFonts w:ascii="Arial" w:hAnsi="Arial" w:cs="Arial"/>
          <w:sz w:val="20"/>
        </w:rPr>
        <w:t xml:space="preserve">) are regarded as the primary food plants, providing optimal nutrition and supporting healthy larval growth. Secondary host plants include </w:t>
      </w:r>
      <w:proofErr w:type="spellStart"/>
      <w:r w:rsidRPr="00622967">
        <w:rPr>
          <w:rStyle w:val="Emphasis"/>
          <w:rFonts w:ascii="Arial" w:hAnsi="Arial" w:cs="Arial"/>
          <w:sz w:val="20"/>
        </w:rPr>
        <w:t>Litsea</w:t>
      </w:r>
      <w:proofErr w:type="spellEnd"/>
      <w:r w:rsidRPr="00622967">
        <w:rPr>
          <w:rStyle w:val="Emphasis"/>
          <w:rFonts w:ascii="Arial" w:hAnsi="Arial" w:cs="Arial"/>
          <w:sz w:val="20"/>
        </w:rPr>
        <w:t xml:space="preserve"> </w:t>
      </w:r>
      <w:proofErr w:type="spellStart"/>
      <w:r w:rsidRPr="00622967">
        <w:rPr>
          <w:rStyle w:val="Emphasis"/>
          <w:rFonts w:ascii="Arial" w:hAnsi="Arial" w:cs="Arial"/>
          <w:sz w:val="20"/>
        </w:rPr>
        <w:t>salicifolia</w:t>
      </w:r>
      <w:proofErr w:type="spellEnd"/>
      <w:r w:rsidR="00271DF4" w:rsidRPr="00622967">
        <w:rPr>
          <w:rFonts w:ascii="Arial" w:hAnsi="Arial" w:cs="Arial"/>
          <w:sz w:val="20"/>
        </w:rPr>
        <w:t xml:space="preserve"> (</w:t>
      </w:r>
      <w:proofErr w:type="spellStart"/>
      <w:r w:rsidR="00271DF4" w:rsidRPr="00622967">
        <w:rPr>
          <w:rFonts w:ascii="Arial" w:hAnsi="Arial" w:cs="Arial"/>
          <w:sz w:val="20"/>
        </w:rPr>
        <w:t>dighloti</w:t>
      </w:r>
      <w:proofErr w:type="spellEnd"/>
      <w:r w:rsidRPr="00622967">
        <w:rPr>
          <w:rFonts w:ascii="Arial" w:hAnsi="Arial" w:cs="Arial"/>
          <w:sz w:val="20"/>
        </w:rPr>
        <w:t xml:space="preserve">) and </w:t>
      </w:r>
      <w:proofErr w:type="spellStart"/>
      <w:r w:rsidRPr="00622967">
        <w:rPr>
          <w:rStyle w:val="Emphasis"/>
          <w:rFonts w:ascii="Arial" w:hAnsi="Arial" w:cs="Arial"/>
          <w:sz w:val="20"/>
        </w:rPr>
        <w:t>Litsea</w:t>
      </w:r>
      <w:proofErr w:type="spellEnd"/>
      <w:r w:rsidRPr="00622967">
        <w:rPr>
          <w:rStyle w:val="Emphasis"/>
          <w:rFonts w:ascii="Arial" w:hAnsi="Arial" w:cs="Arial"/>
          <w:sz w:val="20"/>
        </w:rPr>
        <w:t xml:space="preserve"> </w:t>
      </w:r>
      <w:proofErr w:type="spellStart"/>
      <w:r w:rsidRPr="00622967">
        <w:rPr>
          <w:rStyle w:val="Emphasis"/>
          <w:rFonts w:ascii="Arial" w:hAnsi="Arial" w:cs="Arial"/>
          <w:sz w:val="20"/>
        </w:rPr>
        <w:t>citrata</w:t>
      </w:r>
      <w:proofErr w:type="spellEnd"/>
      <w:r w:rsidR="00271DF4" w:rsidRPr="00622967">
        <w:rPr>
          <w:rFonts w:ascii="Arial" w:hAnsi="Arial" w:cs="Arial"/>
          <w:sz w:val="20"/>
        </w:rPr>
        <w:t xml:space="preserve"> (</w:t>
      </w:r>
      <w:proofErr w:type="spellStart"/>
      <w:r w:rsidR="00271DF4" w:rsidRPr="00622967">
        <w:rPr>
          <w:rFonts w:ascii="Arial" w:hAnsi="Arial" w:cs="Arial"/>
          <w:sz w:val="20"/>
        </w:rPr>
        <w:t>mejankori</w:t>
      </w:r>
      <w:proofErr w:type="spellEnd"/>
      <w:r w:rsidRPr="00622967">
        <w:rPr>
          <w:rFonts w:ascii="Arial" w:hAnsi="Arial" w:cs="Arial"/>
          <w:sz w:val="20"/>
        </w:rPr>
        <w:t xml:space="preserve">), which are also commonly used but are considered slightly inferior in nutritional quality. Beyond these, several additional species serve as minor or tertiary hosts, including </w:t>
      </w:r>
      <w:proofErr w:type="spellStart"/>
      <w:r w:rsidRPr="00622967">
        <w:rPr>
          <w:rStyle w:val="Emphasis"/>
          <w:rFonts w:ascii="Arial" w:hAnsi="Arial" w:cs="Arial"/>
          <w:sz w:val="20"/>
        </w:rPr>
        <w:t>Cinnamomum</w:t>
      </w:r>
      <w:proofErr w:type="spellEnd"/>
      <w:r w:rsidRPr="00622967">
        <w:rPr>
          <w:rStyle w:val="Emphasis"/>
          <w:rFonts w:ascii="Arial" w:hAnsi="Arial" w:cs="Arial"/>
          <w:sz w:val="20"/>
        </w:rPr>
        <w:t xml:space="preserve"> </w:t>
      </w:r>
      <w:proofErr w:type="spellStart"/>
      <w:r w:rsidRPr="00622967">
        <w:rPr>
          <w:rStyle w:val="Emphasis"/>
          <w:rFonts w:ascii="Arial" w:hAnsi="Arial" w:cs="Arial"/>
          <w:sz w:val="20"/>
        </w:rPr>
        <w:t>glaucescens</w:t>
      </w:r>
      <w:proofErr w:type="spellEnd"/>
      <w:r w:rsidRPr="00622967">
        <w:rPr>
          <w:rFonts w:ascii="Arial" w:hAnsi="Arial" w:cs="Arial"/>
          <w:sz w:val="20"/>
        </w:rPr>
        <w:t xml:space="preserve">, </w:t>
      </w:r>
      <w:proofErr w:type="spellStart"/>
      <w:r w:rsidRPr="00622967">
        <w:rPr>
          <w:rStyle w:val="Emphasis"/>
          <w:rFonts w:ascii="Arial" w:hAnsi="Arial" w:cs="Arial"/>
          <w:sz w:val="20"/>
        </w:rPr>
        <w:t>Actinodaphne</w:t>
      </w:r>
      <w:proofErr w:type="spellEnd"/>
      <w:r w:rsidRPr="00622967">
        <w:rPr>
          <w:rStyle w:val="Emphasis"/>
          <w:rFonts w:ascii="Arial" w:hAnsi="Arial" w:cs="Arial"/>
          <w:sz w:val="20"/>
        </w:rPr>
        <w:t xml:space="preserve"> </w:t>
      </w:r>
      <w:proofErr w:type="spellStart"/>
      <w:r w:rsidRPr="00622967">
        <w:rPr>
          <w:rStyle w:val="Emphasis"/>
          <w:rFonts w:ascii="Arial" w:hAnsi="Arial" w:cs="Arial"/>
          <w:sz w:val="20"/>
        </w:rPr>
        <w:t>obovata</w:t>
      </w:r>
      <w:proofErr w:type="spellEnd"/>
      <w:r w:rsidRPr="00622967">
        <w:rPr>
          <w:rFonts w:ascii="Arial" w:hAnsi="Arial" w:cs="Arial"/>
          <w:sz w:val="20"/>
        </w:rPr>
        <w:t xml:space="preserve">, </w:t>
      </w:r>
      <w:proofErr w:type="spellStart"/>
      <w:r w:rsidRPr="00622967">
        <w:rPr>
          <w:rStyle w:val="Emphasis"/>
          <w:rFonts w:ascii="Arial" w:hAnsi="Arial" w:cs="Arial"/>
          <w:sz w:val="20"/>
        </w:rPr>
        <w:t>Michelia</w:t>
      </w:r>
      <w:proofErr w:type="spellEnd"/>
      <w:r w:rsidRPr="00622967">
        <w:rPr>
          <w:rStyle w:val="Emphasis"/>
          <w:rFonts w:ascii="Arial" w:hAnsi="Arial" w:cs="Arial"/>
          <w:sz w:val="20"/>
        </w:rPr>
        <w:t xml:space="preserve"> </w:t>
      </w:r>
      <w:proofErr w:type="spellStart"/>
      <w:r w:rsidRPr="00622967">
        <w:rPr>
          <w:rStyle w:val="Emphasis"/>
          <w:rFonts w:ascii="Arial" w:hAnsi="Arial" w:cs="Arial"/>
          <w:sz w:val="20"/>
        </w:rPr>
        <w:t>champaca</w:t>
      </w:r>
      <w:proofErr w:type="spellEnd"/>
      <w:r w:rsidRPr="00622967">
        <w:rPr>
          <w:rFonts w:ascii="Arial" w:hAnsi="Arial" w:cs="Arial"/>
          <w:sz w:val="20"/>
        </w:rPr>
        <w:t xml:space="preserve">, </w:t>
      </w:r>
      <w:proofErr w:type="spellStart"/>
      <w:r w:rsidRPr="00622967">
        <w:rPr>
          <w:rStyle w:val="Emphasis"/>
          <w:rFonts w:ascii="Arial" w:hAnsi="Arial" w:cs="Arial"/>
          <w:sz w:val="20"/>
        </w:rPr>
        <w:t>Zizyphus</w:t>
      </w:r>
      <w:proofErr w:type="spellEnd"/>
      <w:r w:rsidRPr="00622967">
        <w:rPr>
          <w:rStyle w:val="Emphasis"/>
          <w:rFonts w:ascii="Arial" w:hAnsi="Arial" w:cs="Arial"/>
          <w:sz w:val="20"/>
        </w:rPr>
        <w:t xml:space="preserve"> </w:t>
      </w:r>
      <w:proofErr w:type="spellStart"/>
      <w:r w:rsidRPr="00622967">
        <w:rPr>
          <w:rStyle w:val="Emphasis"/>
          <w:rFonts w:ascii="Arial" w:hAnsi="Arial" w:cs="Arial"/>
          <w:sz w:val="20"/>
        </w:rPr>
        <w:t>jujuba</w:t>
      </w:r>
      <w:proofErr w:type="spellEnd"/>
      <w:r w:rsidRPr="00622967">
        <w:rPr>
          <w:rFonts w:ascii="Arial" w:hAnsi="Arial" w:cs="Arial"/>
          <w:sz w:val="20"/>
        </w:rPr>
        <w:t xml:space="preserve">, </w:t>
      </w:r>
      <w:proofErr w:type="spellStart"/>
      <w:r w:rsidRPr="00622967">
        <w:rPr>
          <w:rStyle w:val="Emphasis"/>
          <w:rFonts w:ascii="Arial" w:hAnsi="Arial" w:cs="Arial"/>
          <w:sz w:val="20"/>
        </w:rPr>
        <w:t>Zanthoxylum</w:t>
      </w:r>
      <w:proofErr w:type="spellEnd"/>
      <w:r w:rsidRPr="00622967">
        <w:rPr>
          <w:rStyle w:val="Emphasis"/>
          <w:rFonts w:ascii="Arial" w:hAnsi="Arial" w:cs="Arial"/>
          <w:sz w:val="20"/>
        </w:rPr>
        <w:t xml:space="preserve"> </w:t>
      </w:r>
      <w:proofErr w:type="spellStart"/>
      <w:r w:rsidRPr="00622967">
        <w:rPr>
          <w:rStyle w:val="Emphasis"/>
          <w:rFonts w:ascii="Arial" w:hAnsi="Arial" w:cs="Arial"/>
          <w:sz w:val="20"/>
        </w:rPr>
        <w:t>rhetsa</w:t>
      </w:r>
      <w:proofErr w:type="spellEnd"/>
      <w:r w:rsidRPr="00622967">
        <w:rPr>
          <w:rFonts w:ascii="Arial" w:hAnsi="Arial" w:cs="Arial"/>
          <w:sz w:val="20"/>
        </w:rPr>
        <w:t xml:space="preserve">, and </w:t>
      </w:r>
      <w:proofErr w:type="spellStart"/>
      <w:r w:rsidRPr="00622967">
        <w:rPr>
          <w:rStyle w:val="Emphasis"/>
          <w:rFonts w:ascii="Arial" w:hAnsi="Arial" w:cs="Arial"/>
          <w:sz w:val="20"/>
        </w:rPr>
        <w:t>Celastrus</w:t>
      </w:r>
      <w:proofErr w:type="spellEnd"/>
      <w:r w:rsidRPr="00622967">
        <w:rPr>
          <w:rStyle w:val="Emphasis"/>
          <w:rFonts w:ascii="Arial" w:hAnsi="Arial" w:cs="Arial"/>
          <w:sz w:val="20"/>
        </w:rPr>
        <w:t xml:space="preserve"> </w:t>
      </w:r>
      <w:proofErr w:type="spellStart"/>
      <w:r w:rsidRPr="00622967">
        <w:rPr>
          <w:rStyle w:val="Emphasis"/>
          <w:rFonts w:ascii="Arial" w:hAnsi="Arial" w:cs="Arial"/>
          <w:sz w:val="20"/>
        </w:rPr>
        <w:t>monosperma</w:t>
      </w:r>
      <w:proofErr w:type="spellEnd"/>
      <w:r w:rsidRPr="00622967">
        <w:rPr>
          <w:rFonts w:ascii="Arial" w:hAnsi="Arial" w:cs="Arial"/>
          <w:sz w:val="20"/>
        </w:rPr>
        <w:t xml:space="preserve"> </w:t>
      </w:r>
      <w:r w:rsidRPr="008A39C8">
        <w:rPr>
          <w:rFonts w:ascii="Arial" w:hAnsi="Arial" w:cs="Arial"/>
          <w:sz w:val="20"/>
        </w:rPr>
        <w:t xml:space="preserve">(Neog </w:t>
      </w:r>
      <w:r w:rsidRPr="008A39C8">
        <w:rPr>
          <w:rFonts w:ascii="Arial" w:hAnsi="Arial" w:cs="Arial"/>
          <w:i/>
          <w:sz w:val="20"/>
        </w:rPr>
        <w:t>et al.,</w:t>
      </w:r>
      <w:r w:rsidRPr="008A39C8">
        <w:rPr>
          <w:rFonts w:ascii="Arial" w:hAnsi="Arial" w:cs="Arial"/>
          <w:sz w:val="20"/>
        </w:rPr>
        <w:t xml:space="preserve"> 2005). These alternative hosts, although not commonly used in commercial rearing, can support larval development under specific ecological or seasonal constraints. A comprehen</w:t>
      </w:r>
      <w:r w:rsidRPr="00622967">
        <w:rPr>
          <w:rFonts w:ascii="Arial" w:hAnsi="Arial" w:cs="Arial"/>
          <w:sz w:val="20"/>
        </w:rPr>
        <w:t xml:space="preserve">sive list of host plants for </w:t>
      </w:r>
      <w:r w:rsidRPr="00622967">
        <w:rPr>
          <w:rStyle w:val="Emphasis"/>
          <w:rFonts w:ascii="Arial" w:hAnsi="Arial" w:cs="Arial"/>
          <w:sz w:val="20"/>
        </w:rPr>
        <w:t xml:space="preserve">A. </w:t>
      </w:r>
      <w:proofErr w:type="spellStart"/>
      <w:r w:rsidRPr="00622967">
        <w:rPr>
          <w:rStyle w:val="Emphasis"/>
          <w:rFonts w:ascii="Arial" w:hAnsi="Arial" w:cs="Arial"/>
          <w:sz w:val="20"/>
        </w:rPr>
        <w:t>assamensis</w:t>
      </w:r>
      <w:proofErr w:type="spellEnd"/>
      <w:r w:rsidR="009F7281" w:rsidRPr="00622967">
        <w:rPr>
          <w:rFonts w:ascii="Arial" w:hAnsi="Arial" w:cs="Arial"/>
          <w:sz w:val="20"/>
        </w:rPr>
        <w:t xml:space="preserve"> is detailed in Table 2</w:t>
      </w:r>
      <w:r w:rsidRPr="00622967">
        <w:rPr>
          <w:rFonts w:ascii="Arial" w:hAnsi="Arial" w:cs="Arial"/>
          <w:sz w:val="20"/>
        </w:rPr>
        <w:t>, highlighting the species' broad polyphagous feeding nature and adaptability to varied ecological conditions.</w:t>
      </w:r>
    </w:p>
    <w:p w14:paraId="55E86EA7" w14:textId="77777777" w:rsidR="001B0C63" w:rsidRPr="00ED6D5E" w:rsidRDefault="009F7281" w:rsidP="001B0C63">
      <w:pPr>
        <w:pStyle w:val="NormalWeb"/>
        <w:jc w:val="both"/>
        <w:rPr>
          <w:rFonts w:ascii="Arial" w:hAnsi="Arial" w:cs="Arial"/>
          <w:b/>
          <w:sz w:val="20"/>
          <w:szCs w:val="20"/>
        </w:rPr>
      </w:pPr>
      <w:r w:rsidRPr="00ED6D5E">
        <w:rPr>
          <w:rFonts w:ascii="Arial" w:hAnsi="Arial" w:cs="Arial"/>
          <w:b/>
          <w:sz w:val="20"/>
          <w:szCs w:val="20"/>
        </w:rPr>
        <w:t>Table 2</w:t>
      </w:r>
      <w:r w:rsidR="00ED6D5E" w:rsidRPr="00ED6D5E">
        <w:rPr>
          <w:rFonts w:ascii="Arial" w:hAnsi="Arial" w:cs="Arial"/>
          <w:b/>
          <w:sz w:val="20"/>
          <w:szCs w:val="20"/>
        </w:rPr>
        <w:t>.</w:t>
      </w:r>
      <w:r w:rsidR="001B0C63" w:rsidRPr="00ED6D5E">
        <w:rPr>
          <w:rFonts w:ascii="Arial" w:hAnsi="Arial" w:cs="Arial"/>
          <w:b/>
          <w:sz w:val="20"/>
          <w:szCs w:val="20"/>
        </w:rPr>
        <w:t xml:space="preserve"> Host plants of </w:t>
      </w:r>
      <w:proofErr w:type="spellStart"/>
      <w:r w:rsidR="001B0C63" w:rsidRPr="00ED6D5E">
        <w:rPr>
          <w:rFonts w:ascii="Arial" w:hAnsi="Arial" w:cs="Arial"/>
          <w:b/>
          <w:sz w:val="20"/>
          <w:szCs w:val="20"/>
        </w:rPr>
        <w:t>muga</w:t>
      </w:r>
      <w:proofErr w:type="spellEnd"/>
      <w:r w:rsidR="001B0C63" w:rsidRPr="00ED6D5E">
        <w:rPr>
          <w:rFonts w:ascii="Arial" w:hAnsi="Arial" w:cs="Arial"/>
          <w:b/>
          <w:sz w:val="20"/>
          <w:szCs w:val="20"/>
        </w:rPr>
        <w:t xml:space="preserve"> silkworm</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4253"/>
        <w:gridCol w:w="2126"/>
      </w:tblGrid>
      <w:tr w:rsidR="001B0C63" w:rsidRPr="00ED6D5E" w14:paraId="3C8D0EDA" w14:textId="77777777" w:rsidTr="008B2BED">
        <w:tc>
          <w:tcPr>
            <w:tcW w:w="3085" w:type="dxa"/>
            <w:tcBorders>
              <w:top w:val="single" w:sz="4" w:space="0" w:color="auto"/>
              <w:bottom w:val="single" w:sz="4" w:space="0" w:color="auto"/>
            </w:tcBorders>
            <w:hideMark/>
          </w:tcPr>
          <w:p w14:paraId="50E9EF28" w14:textId="77777777" w:rsidR="001B0C63" w:rsidRPr="00ED6D5E" w:rsidRDefault="001B0C63" w:rsidP="00ED6D5E">
            <w:pPr>
              <w:spacing w:line="480" w:lineRule="auto"/>
              <w:rPr>
                <w:rFonts w:ascii="Arial" w:eastAsia="Times New Roman" w:hAnsi="Arial" w:cs="Arial"/>
                <w:b/>
                <w:bCs/>
                <w:sz w:val="20"/>
                <w:szCs w:val="20"/>
              </w:rPr>
            </w:pPr>
            <w:r w:rsidRPr="00ED6D5E">
              <w:rPr>
                <w:rFonts w:ascii="Arial" w:eastAsia="Times New Roman" w:hAnsi="Arial" w:cs="Arial"/>
                <w:b/>
                <w:bCs/>
                <w:sz w:val="20"/>
                <w:szCs w:val="20"/>
              </w:rPr>
              <w:t>Status of Food Plant</w:t>
            </w:r>
          </w:p>
        </w:tc>
        <w:tc>
          <w:tcPr>
            <w:tcW w:w="4253" w:type="dxa"/>
            <w:tcBorders>
              <w:top w:val="single" w:sz="4" w:space="0" w:color="auto"/>
              <w:bottom w:val="single" w:sz="4" w:space="0" w:color="auto"/>
            </w:tcBorders>
            <w:hideMark/>
          </w:tcPr>
          <w:p w14:paraId="3988C05A" w14:textId="77777777" w:rsidR="001B0C63" w:rsidRPr="00ED6D5E" w:rsidRDefault="001B0C63" w:rsidP="00ED6D5E">
            <w:pPr>
              <w:spacing w:line="480" w:lineRule="auto"/>
              <w:rPr>
                <w:rFonts w:ascii="Arial" w:eastAsia="Times New Roman" w:hAnsi="Arial" w:cs="Arial"/>
                <w:b/>
                <w:bCs/>
                <w:sz w:val="20"/>
                <w:szCs w:val="20"/>
              </w:rPr>
            </w:pPr>
            <w:r w:rsidRPr="00ED6D5E">
              <w:rPr>
                <w:rFonts w:ascii="Arial" w:eastAsia="Times New Roman" w:hAnsi="Arial" w:cs="Arial"/>
                <w:b/>
                <w:bCs/>
                <w:sz w:val="20"/>
                <w:szCs w:val="20"/>
              </w:rPr>
              <w:t>Host Plants</w:t>
            </w:r>
          </w:p>
        </w:tc>
        <w:tc>
          <w:tcPr>
            <w:tcW w:w="2126" w:type="dxa"/>
            <w:tcBorders>
              <w:top w:val="single" w:sz="4" w:space="0" w:color="auto"/>
              <w:bottom w:val="single" w:sz="4" w:space="0" w:color="auto"/>
            </w:tcBorders>
            <w:hideMark/>
          </w:tcPr>
          <w:p w14:paraId="4E4808F9" w14:textId="77777777" w:rsidR="001B0C63" w:rsidRPr="00ED6D5E" w:rsidRDefault="001B0C63" w:rsidP="00ED6D5E">
            <w:pPr>
              <w:spacing w:line="480" w:lineRule="auto"/>
              <w:rPr>
                <w:rFonts w:ascii="Arial" w:eastAsia="Times New Roman" w:hAnsi="Arial" w:cs="Arial"/>
                <w:b/>
                <w:bCs/>
                <w:sz w:val="20"/>
                <w:szCs w:val="20"/>
              </w:rPr>
            </w:pPr>
            <w:r w:rsidRPr="00ED6D5E">
              <w:rPr>
                <w:rFonts w:ascii="Arial" w:eastAsia="Times New Roman" w:hAnsi="Arial" w:cs="Arial"/>
                <w:b/>
                <w:bCs/>
                <w:sz w:val="20"/>
                <w:szCs w:val="20"/>
              </w:rPr>
              <w:t>Family</w:t>
            </w:r>
          </w:p>
        </w:tc>
      </w:tr>
      <w:tr w:rsidR="001B0C63" w:rsidRPr="00ED6D5E" w14:paraId="30761FC6" w14:textId="77777777" w:rsidTr="008B2BED">
        <w:tc>
          <w:tcPr>
            <w:tcW w:w="3085" w:type="dxa"/>
            <w:tcBorders>
              <w:top w:val="single" w:sz="4" w:space="0" w:color="auto"/>
              <w:bottom w:val="nil"/>
            </w:tcBorders>
            <w:hideMark/>
          </w:tcPr>
          <w:p w14:paraId="0A7F853C"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b/>
                <w:bCs/>
                <w:sz w:val="20"/>
                <w:szCs w:val="20"/>
              </w:rPr>
              <w:t>Primary</w:t>
            </w:r>
          </w:p>
        </w:tc>
        <w:tc>
          <w:tcPr>
            <w:tcW w:w="4253" w:type="dxa"/>
            <w:tcBorders>
              <w:top w:val="single" w:sz="4" w:space="0" w:color="auto"/>
              <w:bottom w:val="nil"/>
            </w:tcBorders>
            <w:hideMark/>
          </w:tcPr>
          <w:p w14:paraId="5926FF93" w14:textId="77777777"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t>Persea</w:t>
            </w:r>
            <w:proofErr w:type="spellEnd"/>
            <w:r w:rsidRPr="00ED6D5E">
              <w:rPr>
                <w:rFonts w:ascii="Arial" w:eastAsia="Times New Roman" w:hAnsi="Arial" w:cs="Arial"/>
                <w:i/>
                <w:iCs/>
                <w:sz w:val="20"/>
                <w:szCs w:val="20"/>
              </w:rPr>
              <w:t xml:space="preserve"> </w:t>
            </w:r>
            <w:proofErr w:type="spellStart"/>
            <w:r w:rsidRPr="00ED6D5E">
              <w:rPr>
                <w:rFonts w:ascii="Arial" w:eastAsia="Times New Roman" w:hAnsi="Arial" w:cs="Arial"/>
                <w:i/>
                <w:iCs/>
                <w:sz w:val="20"/>
                <w:szCs w:val="20"/>
              </w:rPr>
              <w:t>bombycina</w:t>
            </w:r>
            <w:proofErr w:type="spellEnd"/>
          </w:p>
        </w:tc>
        <w:tc>
          <w:tcPr>
            <w:tcW w:w="2126" w:type="dxa"/>
            <w:tcBorders>
              <w:top w:val="single" w:sz="4" w:space="0" w:color="auto"/>
              <w:bottom w:val="nil"/>
            </w:tcBorders>
            <w:hideMark/>
          </w:tcPr>
          <w:p w14:paraId="48278DC2" w14:textId="77777777"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sz w:val="20"/>
                <w:szCs w:val="20"/>
              </w:rPr>
              <w:t>Lauraceae</w:t>
            </w:r>
            <w:proofErr w:type="spellEnd"/>
          </w:p>
        </w:tc>
      </w:tr>
      <w:tr w:rsidR="001B0C63" w:rsidRPr="00ED6D5E" w14:paraId="39EE1B86" w14:textId="77777777" w:rsidTr="008B2BED">
        <w:tc>
          <w:tcPr>
            <w:tcW w:w="3085" w:type="dxa"/>
            <w:tcBorders>
              <w:top w:val="nil"/>
              <w:bottom w:val="single" w:sz="4" w:space="0" w:color="auto"/>
            </w:tcBorders>
            <w:hideMark/>
          </w:tcPr>
          <w:p w14:paraId="3EADAFAB" w14:textId="77777777" w:rsidR="001B0C63" w:rsidRPr="00ED6D5E" w:rsidRDefault="001B0C63" w:rsidP="00ED6D5E">
            <w:pPr>
              <w:spacing w:line="480" w:lineRule="auto"/>
              <w:rPr>
                <w:rFonts w:ascii="Arial" w:eastAsia="Times New Roman" w:hAnsi="Arial" w:cs="Arial"/>
                <w:sz w:val="20"/>
                <w:szCs w:val="20"/>
              </w:rPr>
            </w:pPr>
          </w:p>
        </w:tc>
        <w:tc>
          <w:tcPr>
            <w:tcW w:w="4253" w:type="dxa"/>
            <w:tcBorders>
              <w:top w:val="nil"/>
              <w:bottom w:val="single" w:sz="4" w:space="0" w:color="auto"/>
            </w:tcBorders>
            <w:hideMark/>
          </w:tcPr>
          <w:p w14:paraId="28390A90" w14:textId="77777777"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t>Litsea</w:t>
            </w:r>
            <w:proofErr w:type="spellEnd"/>
            <w:r w:rsidRPr="00ED6D5E">
              <w:rPr>
                <w:rFonts w:ascii="Arial" w:eastAsia="Times New Roman" w:hAnsi="Arial" w:cs="Arial"/>
                <w:i/>
                <w:iCs/>
                <w:sz w:val="20"/>
                <w:szCs w:val="20"/>
              </w:rPr>
              <w:t xml:space="preserve"> </w:t>
            </w:r>
            <w:proofErr w:type="spellStart"/>
            <w:r w:rsidRPr="00ED6D5E">
              <w:rPr>
                <w:rFonts w:ascii="Arial" w:eastAsia="Times New Roman" w:hAnsi="Arial" w:cs="Arial"/>
                <w:i/>
                <w:iCs/>
                <w:sz w:val="20"/>
                <w:szCs w:val="20"/>
              </w:rPr>
              <w:t>monopetala</w:t>
            </w:r>
            <w:proofErr w:type="spellEnd"/>
          </w:p>
        </w:tc>
        <w:tc>
          <w:tcPr>
            <w:tcW w:w="2126" w:type="dxa"/>
            <w:tcBorders>
              <w:top w:val="nil"/>
              <w:bottom w:val="single" w:sz="4" w:space="0" w:color="auto"/>
            </w:tcBorders>
            <w:hideMark/>
          </w:tcPr>
          <w:p w14:paraId="2F570F2E" w14:textId="77777777"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sz w:val="20"/>
                <w:szCs w:val="20"/>
              </w:rPr>
              <w:t>Lauraceae</w:t>
            </w:r>
            <w:proofErr w:type="spellEnd"/>
          </w:p>
        </w:tc>
      </w:tr>
      <w:tr w:rsidR="001B0C63" w:rsidRPr="00ED6D5E" w14:paraId="55260732" w14:textId="77777777" w:rsidTr="008B2BED">
        <w:tc>
          <w:tcPr>
            <w:tcW w:w="3085" w:type="dxa"/>
            <w:tcBorders>
              <w:top w:val="single" w:sz="4" w:space="0" w:color="auto"/>
              <w:bottom w:val="nil"/>
            </w:tcBorders>
            <w:hideMark/>
          </w:tcPr>
          <w:p w14:paraId="7EA2A5EA"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b/>
                <w:bCs/>
                <w:sz w:val="20"/>
                <w:szCs w:val="20"/>
              </w:rPr>
              <w:t>Secondary</w:t>
            </w:r>
          </w:p>
        </w:tc>
        <w:tc>
          <w:tcPr>
            <w:tcW w:w="4253" w:type="dxa"/>
            <w:tcBorders>
              <w:top w:val="single" w:sz="4" w:space="0" w:color="auto"/>
              <w:bottom w:val="nil"/>
            </w:tcBorders>
            <w:hideMark/>
          </w:tcPr>
          <w:p w14:paraId="40C3F1BA" w14:textId="77777777"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t>Cinnamomum</w:t>
            </w:r>
            <w:proofErr w:type="spellEnd"/>
            <w:r w:rsidRPr="00ED6D5E">
              <w:rPr>
                <w:rFonts w:ascii="Arial" w:eastAsia="Times New Roman" w:hAnsi="Arial" w:cs="Arial"/>
                <w:i/>
                <w:iCs/>
                <w:sz w:val="20"/>
                <w:szCs w:val="20"/>
              </w:rPr>
              <w:t xml:space="preserve"> </w:t>
            </w:r>
            <w:proofErr w:type="spellStart"/>
            <w:r w:rsidRPr="00ED6D5E">
              <w:rPr>
                <w:rFonts w:ascii="Arial" w:eastAsia="Times New Roman" w:hAnsi="Arial" w:cs="Arial"/>
                <w:i/>
                <w:iCs/>
                <w:sz w:val="20"/>
                <w:szCs w:val="20"/>
              </w:rPr>
              <w:t>camphora</w:t>
            </w:r>
            <w:proofErr w:type="spellEnd"/>
          </w:p>
        </w:tc>
        <w:tc>
          <w:tcPr>
            <w:tcW w:w="2126" w:type="dxa"/>
            <w:tcBorders>
              <w:top w:val="single" w:sz="4" w:space="0" w:color="auto"/>
              <w:bottom w:val="nil"/>
            </w:tcBorders>
            <w:hideMark/>
          </w:tcPr>
          <w:p w14:paraId="381D3FD1" w14:textId="77777777"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sz w:val="20"/>
                <w:szCs w:val="20"/>
              </w:rPr>
              <w:t>Lauraceae</w:t>
            </w:r>
            <w:proofErr w:type="spellEnd"/>
          </w:p>
        </w:tc>
      </w:tr>
      <w:tr w:rsidR="001B0C63" w:rsidRPr="00ED6D5E" w14:paraId="71624071" w14:textId="77777777" w:rsidTr="008B2BED">
        <w:tc>
          <w:tcPr>
            <w:tcW w:w="3085" w:type="dxa"/>
            <w:tcBorders>
              <w:top w:val="nil"/>
            </w:tcBorders>
            <w:hideMark/>
          </w:tcPr>
          <w:p w14:paraId="2EEEF3F0" w14:textId="77777777" w:rsidR="001B0C63" w:rsidRPr="00ED6D5E" w:rsidRDefault="001B0C63" w:rsidP="00ED6D5E">
            <w:pPr>
              <w:spacing w:line="480" w:lineRule="auto"/>
              <w:rPr>
                <w:rFonts w:ascii="Arial" w:eastAsia="Times New Roman" w:hAnsi="Arial" w:cs="Arial"/>
                <w:sz w:val="20"/>
                <w:szCs w:val="20"/>
              </w:rPr>
            </w:pPr>
          </w:p>
        </w:tc>
        <w:tc>
          <w:tcPr>
            <w:tcW w:w="4253" w:type="dxa"/>
            <w:tcBorders>
              <w:top w:val="nil"/>
            </w:tcBorders>
            <w:hideMark/>
          </w:tcPr>
          <w:p w14:paraId="201111CF" w14:textId="77777777"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t>Cinnamomum</w:t>
            </w:r>
            <w:proofErr w:type="spellEnd"/>
            <w:r w:rsidRPr="00ED6D5E">
              <w:rPr>
                <w:rFonts w:ascii="Arial" w:eastAsia="Times New Roman" w:hAnsi="Arial" w:cs="Arial"/>
                <w:i/>
                <w:iCs/>
                <w:sz w:val="20"/>
                <w:szCs w:val="20"/>
              </w:rPr>
              <w:t xml:space="preserve"> </w:t>
            </w:r>
            <w:proofErr w:type="spellStart"/>
            <w:r w:rsidRPr="00ED6D5E">
              <w:rPr>
                <w:rFonts w:ascii="Arial" w:eastAsia="Times New Roman" w:hAnsi="Arial" w:cs="Arial"/>
                <w:i/>
                <w:iCs/>
                <w:sz w:val="20"/>
                <w:szCs w:val="20"/>
              </w:rPr>
              <w:t>tamala</w:t>
            </w:r>
            <w:proofErr w:type="spellEnd"/>
          </w:p>
        </w:tc>
        <w:tc>
          <w:tcPr>
            <w:tcW w:w="2126" w:type="dxa"/>
            <w:tcBorders>
              <w:top w:val="nil"/>
            </w:tcBorders>
            <w:hideMark/>
          </w:tcPr>
          <w:p w14:paraId="49E500F3" w14:textId="77777777"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sz w:val="20"/>
                <w:szCs w:val="20"/>
              </w:rPr>
              <w:t>Lauraceae</w:t>
            </w:r>
            <w:proofErr w:type="spellEnd"/>
          </w:p>
        </w:tc>
      </w:tr>
      <w:tr w:rsidR="001B0C63" w:rsidRPr="00ED6D5E" w14:paraId="47332E00" w14:textId="77777777" w:rsidTr="008B2BED">
        <w:tc>
          <w:tcPr>
            <w:tcW w:w="3085" w:type="dxa"/>
            <w:hideMark/>
          </w:tcPr>
          <w:p w14:paraId="614F2AE8" w14:textId="77777777" w:rsidR="001B0C63" w:rsidRPr="00ED6D5E" w:rsidRDefault="001B0C63" w:rsidP="00ED6D5E">
            <w:pPr>
              <w:spacing w:line="480" w:lineRule="auto"/>
              <w:rPr>
                <w:rFonts w:ascii="Arial" w:eastAsia="Times New Roman" w:hAnsi="Arial" w:cs="Arial"/>
                <w:sz w:val="20"/>
                <w:szCs w:val="20"/>
              </w:rPr>
            </w:pPr>
          </w:p>
        </w:tc>
        <w:tc>
          <w:tcPr>
            <w:tcW w:w="4253" w:type="dxa"/>
            <w:hideMark/>
          </w:tcPr>
          <w:p w14:paraId="352DE9DD" w14:textId="77777777"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t>Litsea</w:t>
            </w:r>
            <w:proofErr w:type="spellEnd"/>
            <w:r w:rsidRPr="00ED6D5E">
              <w:rPr>
                <w:rFonts w:ascii="Arial" w:eastAsia="Times New Roman" w:hAnsi="Arial" w:cs="Arial"/>
                <w:i/>
                <w:iCs/>
                <w:sz w:val="20"/>
                <w:szCs w:val="20"/>
              </w:rPr>
              <w:t xml:space="preserve"> </w:t>
            </w:r>
            <w:proofErr w:type="spellStart"/>
            <w:r w:rsidRPr="00ED6D5E">
              <w:rPr>
                <w:rFonts w:ascii="Arial" w:eastAsia="Times New Roman" w:hAnsi="Arial" w:cs="Arial"/>
                <w:i/>
                <w:iCs/>
                <w:sz w:val="20"/>
                <w:szCs w:val="20"/>
              </w:rPr>
              <w:t>citrata</w:t>
            </w:r>
            <w:proofErr w:type="spellEnd"/>
          </w:p>
        </w:tc>
        <w:tc>
          <w:tcPr>
            <w:tcW w:w="2126" w:type="dxa"/>
            <w:hideMark/>
          </w:tcPr>
          <w:p w14:paraId="3D71861F" w14:textId="77777777"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sz w:val="20"/>
                <w:szCs w:val="20"/>
              </w:rPr>
              <w:t>Lauraceae</w:t>
            </w:r>
            <w:proofErr w:type="spellEnd"/>
          </w:p>
        </w:tc>
      </w:tr>
      <w:tr w:rsidR="001B0C63" w:rsidRPr="00ED6D5E" w14:paraId="480BAF5A" w14:textId="77777777" w:rsidTr="008B2BED">
        <w:tc>
          <w:tcPr>
            <w:tcW w:w="3085" w:type="dxa"/>
            <w:hideMark/>
          </w:tcPr>
          <w:p w14:paraId="11788E92" w14:textId="77777777" w:rsidR="001B0C63" w:rsidRPr="00ED6D5E" w:rsidRDefault="001B0C63" w:rsidP="00ED6D5E">
            <w:pPr>
              <w:spacing w:line="480" w:lineRule="auto"/>
              <w:rPr>
                <w:rFonts w:ascii="Arial" w:eastAsia="Times New Roman" w:hAnsi="Arial" w:cs="Arial"/>
                <w:sz w:val="20"/>
                <w:szCs w:val="20"/>
              </w:rPr>
            </w:pPr>
          </w:p>
        </w:tc>
        <w:tc>
          <w:tcPr>
            <w:tcW w:w="4253" w:type="dxa"/>
            <w:hideMark/>
          </w:tcPr>
          <w:p w14:paraId="59021EFA" w14:textId="77777777"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t>Litsea</w:t>
            </w:r>
            <w:proofErr w:type="spellEnd"/>
            <w:r w:rsidRPr="00ED6D5E">
              <w:rPr>
                <w:rFonts w:ascii="Arial" w:eastAsia="Times New Roman" w:hAnsi="Arial" w:cs="Arial"/>
                <w:i/>
                <w:iCs/>
                <w:sz w:val="20"/>
                <w:szCs w:val="20"/>
              </w:rPr>
              <w:t xml:space="preserve"> </w:t>
            </w:r>
            <w:proofErr w:type="spellStart"/>
            <w:r w:rsidRPr="00ED6D5E">
              <w:rPr>
                <w:rFonts w:ascii="Arial" w:eastAsia="Times New Roman" w:hAnsi="Arial" w:cs="Arial"/>
                <w:i/>
                <w:iCs/>
                <w:sz w:val="20"/>
                <w:szCs w:val="20"/>
              </w:rPr>
              <w:t>salicifolia</w:t>
            </w:r>
            <w:proofErr w:type="spellEnd"/>
          </w:p>
        </w:tc>
        <w:tc>
          <w:tcPr>
            <w:tcW w:w="2126" w:type="dxa"/>
            <w:hideMark/>
          </w:tcPr>
          <w:p w14:paraId="416B2F8B" w14:textId="77777777"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sz w:val="20"/>
                <w:szCs w:val="20"/>
              </w:rPr>
              <w:t>Lauraceae</w:t>
            </w:r>
            <w:proofErr w:type="spellEnd"/>
          </w:p>
        </w:tc>
      </w:tr>
      <w:tr w:rsidR="001B0C63" w:rsidRPr="00ED6D5E" w14:paraId="5BACEE5A" w14:textId="77777777" w:rsidTr="008B2BED">
        <w:tc>
          <w:tcPr>
            <w:tcW w:w="3085" w:type="dxa"/>
            <w:hideMark/>
          </w:tcPr>
          <w:p w14:paraId="0352F0F5" w14:textId="77777777" w:rsidR="001B0C63" w:rsidRPr="00ED6D5E" w:rsidRDefault="001B0C63" w:rsidP="00ED6D5E">
            <w:pPr>
              <w:spacing w:line="480" w:lineRule="auto"/>
              <w:rPr>
                <w:rFonts w:ascii="Arial" w:eastAsia="Times New Roman" w:hAnsi="Arial" w:cs="Arial"/>
                <w:sz w:val="20"/>
                <w:szCs w:val="20"/>
              </w:rPr>
            </w:pPr>
          </w:p>
        </w:tc>
        <w:tc>
          <w:tcPr>
            <w:tcW w:w="4253" w:type="dxa"/>
            <w:hideMark/>
          </w:tcPr>
          <w:p w14:paraId="1FF291A4" w14:textId="77777777"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t>Actinodaphne</w:t>
            </w:r>
            <w:proofErr w:type="spellEnd"/>
            <w:r w:rsidRPr="00ED6D5E">
              <w:rPr>
                <w:rFonts w:ascii="Arial" w:eastAsia="Times New Roman" w:hAnsi="Arial" w:cs="Arial"/>
                <w:i/>
                <w:iCs/>
                <w:sz w:val="20"/>
                <w:szCs w:val="20"/>
              </w:rPr>
              <w:t xml:space="preserve"> </w:t>
            </w:r>
            <w:proofErr w:type="spellStart"/>
            <w:r w:rsidRPr="00ED6D5E">
              <w:rPr>
                <w:rFonts w:ascii="Arial" w:eastAsia="Times New Roman" w:hAnsi="Arial" w:cs="Arial"/>
                <w:i/>
                <w:iCs/>
                <w:sz w:val="20"/>
                <w:szCs w:val="20"/>
              </w:rPr>
              <w:t>augustifolia</w:t>
            </w:r>
            <w:proofErr w:type="spellEnd"/>
          </w:p>
        </w:tc>
        <w:tc>
          <w:tcPr>
            <w:tcW w:w="2126" w:type="dxa"/>
            <w:hideMark/>
          </w:tcPr>
          <w:p w14:paraId="37CA019E" w14:textId="77777777"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sz w:val="20"/>
                <w:szCs w:val="20"/>
              </w:rPr>
              <w:t>Lauraceae</w:t>
            </w:r>
            <w:proofErr w:type="spellEnd"/>
          </w:p>
        </w:tc>
      </w:tr>
      <w:tr w:rsidR="001B0C63" w:rsidRPr="00ED6D5E" w14:paraId="6540C250" w14:textId="77777777" w:rsidTr="008B2BED">
        <w:tc>
          <w:tcPr>
            <w:tcW w:w="3085" w:type="dxa"/>
            <w:tcBorders>
              <w:bottom w:val="nil"/>
            </w:tcBorders>
            <w:hideMark/>
          </w:tcPr>
          <w:p w14:paraId="1440D860" w14:textId="77777777" w:rsidR="001B0C63" w:rsidRPr="00ED6D5E" w:rsidRDefault="001B0C63" w:rsidP="00ED6D5E">
            <w:pPr>
              <w:spacing w:line="480" w:lineRule="auto"/>
              <w:rPr>
                <w:rFonts w:ascii="Arial" w:eastAsia="Times New Roman" w:hAnsi="Arial" w:cs="Arial"/>
                <w:sz w:val="20"/>
                <w:szCs w:val="20"/>
              </w:rPr>
            </w:pPr>
          </w:p>
        </w:tc>
        <w:tc>
          <w:tcPr>
            <w:tcW w:w="4253" w:type="dxa"/>
            <w:tcBorders>
              <w:bottom w:val="nil"/>
            </w:tcBorders>
            <w:hideMark/>
          </w:tcPr>
          <w:p w14:paraId="16B9A103" w14:textId="77777777"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t>Actinodaphne</w:t>
            </w:r>
            <w:proofErr w:type="spellEnd"/>
            <w:r w:rsidRPr="00ED6D5E">
              <w:rPr>
                <w:rFonts w:ascii="Arial" w:eastAsia="Times New Roman" w:hAnsi="Arial" w:cs="Arial"/>
                <w:i/>
                <w:iCs/>
                <w:sz w:val="20"/>
                <w:szCs w:val="20"/>
              </w:rPr>
              <w:t xml:space="preserve"> </w:t>
            </w:r>
            <w:proofErr w:type="spellStart"/>
            <w:r w:rsidRPr="00ED6D5E">
              <w:rPr>
                <w:rFonts w:ascii="Arial" w:eastAsia="Times New Roman" w:hAnsi="Arial" w:cs="Arial"/>
                <w:i/>
                <w:iCs/>
                <w:sz w:val="20"/>
                <w:szCs w:val="20"/>
              </w:rPr>
              <w:t>obovata</w:t>
            </w:r>
            <w:proofErr w:type="spellEnd"/>
          </w:p>
        </w:tc>
        <w:tc>
          <w:tcPr>
            <w:tcW w:w="2126" w:type="dxa"/>
            <w:tcBorders>
              <w:bottom w:val="nil"/>
            </w:tcBorders>
            <w:hideMark/>
          </w:tcPr>
          <w:p w14:paraId="6A62A42A" w14:textId="77777777"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sz w:val="20"/>
                <w:szCs w:val="20"/>
              </w:rPr>
              <w:t>Lauraceae</w:t>
            </w:r>
            <w:proofErr w:type="spellEnd"/>
          </w:p>
        </w:tc>
      </w:tr>
      <w:tr w:rsidR="001B0C63" w:rsidRPr="00ED6D5E" w14:paraId="0B8C0100" w14:textId="77777777" w:rsidTr="008B2BED">
        <w:tc>
          <w:tcPr>
            <w:tcW w:w="3085" w:type="dxa"/>
            <w:tcBorders>
              <w:top w:val="nil"/>
              <w:bottom w:val="single" w:sz="4" w:space="0" w:color="auto"/>
            </w:tcBorders>
            <w:hideMark/>
          </w:tcPr>
          <w:p w14:paraId="006B55DA" w14:textId="77777777" w:rsidR="001B0C63" w:rsidRPr="00ED6D5E" w:rsidRDefault="001B0C63" w:rsidP="00ED6D5E">
            <w:pPr>
              <w:spacing w:line="480" w:lineRule="auto"/>
              <w:rPr>
                <w:rFonts w:ascii="Arial" w:eastAsia="Times New Roman" w:hAnsi="Arial" w:cs="Arial"/>
                <w:sz w:val="20"/>
                <w:szCs w:val="20"/>
              </w:rPr>
            </w:pPr>
          </w:p>
        </w:tc>
        <w:tc>
          <w:tcPr>
            <w:tcW w:w="4253" w:type="dxa"/>
            <w:tcBorders>
              <w:top w:val="nil"/>
              <w:bottom w:val="single" w:sz="4" w:space="0" w:color="auto"/>
            </w:tcBorders>
            <w:hideMark/>
          </w:tcPr>
          <w:p w14:paraId="30C9370E" w14:textId="77777777"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t>Celastrus</w:t>
            </w:r>
            <w:proofErr w:type="spellEnd"/>
            <w:r w:rsidRPr="00ED6D5E">
              <w:rPr>
                <w:rFonts w:ascii="Arial" w:eastAsia="Times New Roman" w:hAnsi="Arial" w:cs="Arial"/>
                <w:i/>
                <w:iCs/>
                <w:sz w:val="20"/>
                <w:szCs w:val="20"/>
              </w:rPr>
              <w:t xml:space="preserve"> </w:t>
            </w:r>
            <w:proofErr w:type="spellStart"/>
            <w:r w:rsidRPr="00ED6D5E">
              <w:rPr>
                <w:rFonts w:ascii="Arial" w:eastAsia="Times New Roman" w:hAnsi="Arial" w:cs="Arial"/>
                <w:i/>
                <w:iCs/>
                <w:sz w:val="20"/>
                <w:szCs w:val="20"/>
              </w:rPr>
              <w:t>monosperma</w:t>
            </w:r>
            <w:proofErr w:type="spellEnd"/>
          </w:p>
        </w:tc>
        <w:tc>
          <w:tcPr>
            <w:tcW w:w="2126" w:type="dxa"/>
            <w:tcBorders>
              <w:top w:val="nil"/>
              <w:bottom w:val="single" w:sz="4" w:space="0" w:color="auto"/>
            </w:tcBorders>
            <w:hideMark/>
          </w:tcPr>
          <w:p w14:paraId="3251EA08" w14:textId="77777777"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sz w:val="20"/>
                <w:szCs w:val="20"/>
              </w:rPr>
              <w:t>Celastraceae</w:t>
            </w:r>
            <w:proofErr w:type="spellEnd"/>
          </w:p>
        </w:tc>
      </w:tr>
      <w:tr w:rsidR="001B0C63" w:rsidRPr="00ED6D5E" w14:paraId="46B0D188" w14:textId="77777777" w:rsidTr="008B2BED">
        <w:tc>
          <w:tcPr>
            <w:tcW w:w="3085" w:type="dxa"/>
            <w:tcBorders>
              <w:top w:val="single" w:sz="4" w:space="0" w:color="auto"/>
              <w:bottom w:val="nil"/>
            </w:tcBorders>
            <w:hideMark/>
          </w:tcPr>
          <w:p w14:paraId="150F0ECB"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b/>
                <w:bCs/>
                <w:sz w:val="20"/>
                <w:szCs w:val="20"/>
              </w:rPr>
              <w:lastRenderedPageBreak/>
              <w:t>Tertiary</w:t>
            </w:r>
          </w:p>
        </w:tc>
        <w:tc>
          <w:tcPr>
            <w:tcW w:w="4253" w:type="dxa"/>
            <w:tcBorders>
              <w:top w:val="single" w:sz="4" w:space="0" w:color="auto"/>
              <w:bottom w:val="nil"/>
            </w:tcBorders>
            <w:hideMark/>
          </w:tcPr>
          <w:p w14:paraId="7DB73CE6" w14:textId="77777777"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t>Cinnamomum</w:t>
            </w:r>
            <w:proofErr w:type="spellEnd"/>
            <w:r w:rsidRPr="00ED6D5E">
              <w:rPr>
                <w:rFonts w:ascii="Arial" w:eastAsia="Times New Roman" w:hAnsi="Arial" w:cs="Arial"/>
                <w:i/>
                <w:iCs/>
                <w:sz w:val="20"/>
                <w:szCs w:val="20"/>
              </w:rPr>
              <w:t xml:space="preserve"> </w:t>
            </w:r>
            <w:proofErr w:type="spellStart"/>
            <w:r w:rsidRPr="00ED6D5E">
              <w:rPr>
                <w:rFonts w:ascii="Arial" w:eastAsia="Times New Roman" w:hAnsi="Arial" w:cs="Arial"/>
                <w:i/>
                <w:iCs/>
                <w:sz w:val="20"/>
                <w:szCs w:val="20"/>
              </w:rPr>
              <w:t>cecidodaphne</w:t>
            </w:r>
            <w:proofErr w:type="spellEnd"/>
          </w:p>
        </w:tc>
        <w:tc>
          <w:tcPr>
            <w:tcW w:w="2126" w:type="dxa"/>
            <w:tcBorders>
              <w:top w:val="single" w:sz="4" w:space="0" w:color="auto"/>
              <w:bottom w:val="nil"/>
            </w:tcBorders>
            <w:hideMark/>
          </w:tcPr>
          <w:p w14:paraId="79A8401F" w14:textId="77777777"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sz w:val="20"/>
                <w:szCs w:val="20"/>
              </w:rPr>
              <w:t>Lauraceae</w:t>
            </w:r>
            <w:proofErr w:type="spellEnd"/>
          </w:p>
        </w:tc>
      </w:tr>
      <w:tr w:rsidR="001B0C63" w:rsidRPr="00ED6D5E" w14:paraId="359F0DE7" w14:textId="77777777" w:rsidTr="008B2BED">
        <w:tc>
          <w:tcPr>
            <w:tcW w:w="3085" w:type="dxa"/>
            <w:tcBorders>
              <w:top w:val="nil"/>
            </w:tcBorders>
            <w:hideMark/>
          </w:tcPr>
          <w:p w14:paraId="08633A62" w14:textId="77777777" w:rsidR="001B0C63" w:rsidRPr="00ED6D5E" w:rsidRDefault="001B0C63" w:rsidP="00ED6D5E">
            <w:pPr>
              <w:spacing w:line="480" w:lineRule="auto"/>
              <w:rPr>
                <w:rFonts w:ascii="Arial" w:eastAsia="Times New Roman" w:hAnsi="Arial" w:cs="Arial"/>
                <w:sz w:val="20"/>
                <w:szCs w:val="20"/>
              </w:rPr>
            </w:pPr>
          </w:p>
        </w:tc>
        <w:tc>
          <w:tcPr>
            <w:tcW w:w="4253" w:type="dxa"/>
            <w:tcBorders>
              <w:top w:val="nil"/>
            </w:tcBorders>
            <w:hideMark/>
          </w:tcPr>
          <w:p w14:paraId="61C36B43" w14:textId="77777777"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t>Cinnamomum</w:t>
            </w:r>
            <w:proofErr w:type="spellEnd"/>
            <w:r w:rsidRPr="00ED6D5E">
              <w:rPr>
                <w:rFonts w:ascii="Arial" w:eastAsia="Times New Roman" w:hAnsi="Arial" w:cs="Arial"/>
                <w:i/>
                <w:iCs/>
                <w:sz w:val="20"/>
                <w:szCs w:val="20"/>
              </w:rPr>
              <w:t xml:space="preserve"> </w:t>
            </w:r>
            <w:proofErr w:type="spellStart"/>
            <w:r w:rsidRPr="00ED6D5E">
              <w:rPr>
                <w:rFonts w:ascii="Arial" w:eastAsia="Times New Roman" w:hAnsi="Arial" w:cs="Arial"/>
                <w:i/>
                <w:iCs/>
                <w:sz w:val="20"/>
                <w:szCs w:val="20"/>
              </w:rPr>
              <w:t>glanduliferum</w:t>
            </w:r>
            <w:proofErr w:type="spellEnd"/>
          </w:p>
        </w:tc>
        <w:tc>
          <w:tcPr>
            <w:tcW w:w="2126" w:type="dxa"/>
            <w:tcBorders>
              <w:top w:val="nil"/>
            </w:tcBorders>
            <w:hideMark/>
          </w:tcPr>
          <w:p w14:paraId="20F6C2E2" w14:textId="77777777"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sz w:val="20"/>
                <w:szCs w:val="20"/>
              </w:rPr>
              <w:t>Lauraceae</w:t>
            </w:r>
            <w:proofErr w:type="spellEnd"/>
          </w:p>
        </w:tc>
      </w:tr>
      <w:tr w:rsidR="001B0C63" w:rsidRPr="00ED6D5E" w14:paraId="4ECF62F7" w14:textId="77777777" w:rsidTr="008B2BED">
        <w:tc>
          <w:tcPr>
            <w:tcW w:w="3085" w:type="dxa"/>
            <w:hideMark/>
          </w:tcPr>
          <w:p w14:paraId="31E51A6E" w14:textId="77777777" w:rsidR="001B0C63" w:rsidRPr="00ED6D5E" w:rsidRDefault="001B0C63" w:rsidP="00ED6D5E">
            <w:pPr>
              <w:spacing w:line="480" w:lineRule="auto"/>
              <w:rPr>
                <w:rFonts w:ascii="Arial" w:eastAsia="Times New Roman" w:hAnsi="Arial" w:cs="Arial"/>
                <w:sz w:val="20"/>
                <w:szCs w:val="20"/>
              </w:rPr>
            </w:pPr>
          </w:p>
        </w:tc>
        <w:tc>
          <w:tcPr>
            <w:tcW w:w="4253" w:type="dxa"/>
            <w:hideMark/>
          </w:tcPr>
          <w:p w14:paraId="3D33BAB0" w14:textId="77777777"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t>Cinnamomum</w:t>
            </w:r>
            <w:proofErr w:type="spellEnd"/>
            <w:r w:rsidRPr="00ED6D5E">
              <w:rPr>
                <w:rFonts w:ascii="Arial" w:eastAsia="Times New Roman" w:hAnsi="Arial" w:cs="Arial"/>
                <w:i/>
                <w:iCs/>
                <w:sz w:val="20"/>
                <w:szCs w:val="20"/>
              </w:rPr>
              <w:t xml:space="preserve"> </w:t>
            </w:r>
            <w:proofErr w:type="spellStart"/>
            <w:r w:rsidRPr="00ED6D5E">
              <w:rPr>
                <w:rFonts w:ascii="Arial" w:eastAsia="Times New Roman" w:hAnsi="Arial" w:cs="Arial"/>
                <w:i/>
                <w:iCs/>
                <w:sz w:val="20"/>
                <w:szCs w:val="20"/>
              </w:rPr>
              <w:t>obtusifolium</w:t>
            </w:r>
            <w:proofErr w:type="spellEnd"/>
          </w:p>
        </w:tc>
        <w:tc>
          <w:tcPr>
            <w:tcW w:w="2126" w:type="dxa"/>
            <w:hideMark/>
          </w:tcPr>
          <w:p w14:paraId="048DCBC8" w14:textId="77777777"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sz w:val="20"/>
                <w:szCs w:val="20"/>
              </w:rPr>
              <w:t>Lauraceae</w:t>
            </w:r>
            <w:proofErr w:type="spellEnd"/>
          </w:p>
        </w:tc>
      </w:tr>
      <w:tr w:rsidR="001B0C63" w:rsidRPr="00ED6D5E" w14:paraId="3E89C04F" w14:textId="77777777" w:rsidTr="008B2BED">
        <w:tc>
          <w:tcPr>
            <w:tcW w:w="3085" w:type="dxa"/>
            <w:hideMark/>
          </w:tcPr>
          <w:p w14:paraId="05147720" w14:textId="77777777" w:rsidR="001B0C63" w:rsidRPr="00ED6D5E" w:rsidRDefault="001B0C63" w:rsidP="00ED6D5E">
            <w:pPr>
              <w:spacing w:line="480" w:lineRule="auto"/>
              <w:rPr>
                <w:rFonts w:ascii="Arial" w:eastAsia="Times New Roman" w:hAnsi="Arial" w:cs="Arial"/>
                <w:sz w:val="20"/>
                <w:szCs w:val="20"/>
              </w:rPr>
            </w:pPr>
          </w:p>
        </w:tc>
        <w:tc>
          <w:tcPr>
            <w:tcW w:w="4253" w:type="dxa"/>
            <w:hideMark/>
          </w:tcPr>
          <w:p w14:paraId="7D2AAE7C"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i/>
                <w:iCs/>
                <w:sz w:val="20"/>
                <w:szCs w:val="20"/>
              </w:rPr>
              <w:t>Gmelina arborea</w:t>
            </w:r>
          </w:p>
        </w:tc>
        <w:tc>
          <w:tcPr>
            <w:tcW w:w="2126" w:type="dxa"/>
            <w:hideMark/>
          </w:tcPr>
          <w:p w14:paraId="6974BD29"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Verbenaceae</w:t>
            </w:r>
          </w:p>
        </w:tc>
      </w:tr>
      <w:tr w:rsidR="001B0C63" w:rsidRPr="00ED6D5E" w14:paraId="04C6D437" w14:textId="77777777" w:rsidTr="008B2BED">
        <w:tc>
          <w:tcPr>
            <w:tcW w:w="3085" w:type="dxa"/>
            <w:hideMark/>
          </w:tcPr>
          <w:p w14:paraId="45A37E8D" w14:textId="77777777" w:rsidR="001B0C63" w:rsidRPr="00ED6D5E" w:rsidRDefault="001B0C63" w:rsidP="00ED6D5E">
            <w:pPr>
              <w:spacing w:line="480" w:lineRule="auto"/>
              <w:rPr>
                <w:rFonts w:ascii="Arial" w:eastAsia="Times New Roman" w:hAnsi="Arial" w:cs="Arial"/>
                <w:sz w:val="20"/>
                <w:szCs w:val="20"/>
              </w:rPr>
            </w:pPr>
          </w:p>
        </w:tc>
        <w:tc>
          <w:tcPr>
            <w:tcW w:w="4253" w:type="dxa"/>
            <w:hideMark/>
          </w:tcPr>
          <w:p w14:paraId="2C3AB79F" w14:textId="77777777"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t>Litsea</w:t>
            </w:r>
            <w:proofErr w:type="spellEnd"/>
            <w:r w:rsidRPr="00ED6D5E">
              <w:rPr>
                <w:rFonts w:ascii="Arial" w:eastAsia="Times New Roman" w:hAnsi="Arial" w:cs="Arial"/>
                <w:i/>
                <w:iCs/>
                <w:sz w:val="20"/>
                <w:szCs w:val="20"/>
              </w:rPr>
              <w:t xml:space="preserve"> </w:t>
            </w:r>
            <w:proofErr w:type="spellStart"/>
            <w:r w:rsidRPr="00ED6D5E">
              <w:rPr>
                <w:rFonts w:ascii="Arial" w:eastAsia="Times New Roman" w:hAnsi="Arial" w:cs="Arial"/>
                <w:i/>
                <w:iCs/>
                <w:sz w:val="20"/>
                <w:szCs w:val="20"/>
              </w:rPr>
              <w:t>nitida</w:t>
            </w:r>
            <w:proofErr w:type="spellEnd"/>
          </w:p>
        </w:tc>
        <w:tc>
          <w:tcPr>
            <w:tcW w:w="2126" w:type="dxa"/>
            <w:hideMark/>
          </w:tcPr>
          <w:p w14:paraId="63A324C7" w14:textId="77777777"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sz w:val="20"/>
                <w:szCs w:val="20"/>
              </w:rPr>
              <w:t>Lauraceae</w:t>
            </w:r>
            <w:proofErr w:type="spellEnd"/>
          </w:p>
        </w:tc>
      </w:tr>
      <w:tr w:rsidR="001B0C63" w:rsidRPr="00ED6D5E" w14:paraId="33864F59" w14:textId="77777777" w:rsidTr="008B2BED">
        <w:tc>
          <w:tcPr>
            <w:tcW w:w="3085" w:type="dxa"/>
            <w:hideMark/>
          </w:tcPr>
          <w:p w14:paraId="5AC8075D" w14:textId="77777777" w:rsidR="001B0C63" w:rsidRPr="00ED6D5E" w:rsidRDefault="001B0C63" w:rsidP="00ED6D5E">
            <w:pPr>
              <w:spacing w:line="480" w:lineRule="auto"/>
              <w:rPr>
                <w:rFonts w:ascii="Arial" w:eastAsia="Times New Roman" w:hAnsi="Arial" w:cs="Arial"/>
                <w:sz w:val="20"/>
                <w:szCs w:val="20"/>
              </w:rPr>
            </w:pPr>
          </w:p>
        </w:tc>
        <w:tc>
          <w:tcPr>
            <w:tcW w:w="4253" w:type="dxa"/>
            <w:hideMark/>
          </w:tcPr>
          <w:p w14:paraId="46CF5C44" w14:textId="77777777"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t>Machilus</w:t>
            </w:r>
            <w:proofErr w:type="spellEnd"/>
            <w:r w:rsidRPr="00ED6D5E">
              <w:rPr>
                <w:rFonts w:ascii="Arial" w:eastAsia="Times New Roman" w:hAnsi="Arial" w:cs="Arial"/>
                <w:i/>
                <w:iCs/>
                <w:sz w:val="20"/>
                <w:szCs w:val="20"/>
              </w:rPr>
              <w:t xml:space="preserve"> </w:t>
            </w:r>
            <w:proofErr w:type="spellStart"/>
            <w:r w:rsidRPr="00ED6D5E">
              <w:rPr>
                <w:rFonts w:ascii="Arial" w:eastAsia="Times New Roman" w:hAnsi="Arial" w:cs="Arial"/>
                <w:i/>
                <w:iCs/>
                <w:sz w:val="20"/>
                <w:szCs w:val="20"/>
              </w:rPr>
              <w:t>odoratissima</w:t>
            </w:r>
            <w:proofErr w:type="spellEnd"/>
          </w:p>
        </w:tc>
        <w:tc>
          <w:tcPr>
            <w:tcW w:w="2126" w:type="dxa"/>
            <w:hideMark/>
          </w:tcPr>
          <w:p w14:paraId="1C13829C" w14:textId="77777777"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sz w:val="20"/>
                <w:szCs w:val="20"/>
              </w:rPr>
              <w:t>Lauraceae</w:t>
            </w:r>
            <w:proofErr w:type="spellEnd"/>
          </w:p>
        </w:tc>
      </w:tr>
      <w:tr w:rsidR="001B0C63" w:rsidRPr="00ED6D5E" w14:paraId="0C38DBA1" w14:textId="77777777" w:rsidTr="008B2BED">
        <w:tc>
          <w:tcPr>
            <w:tcW w:w="3085" w:type="dxa"/>
            <w:hideMark/>
          </w:tcPr>
          <w:p w14:paraId="429ED768" w14:textId="77777777" w:rsidR="001B0C63" w:rsidRPr="00ED6D5E" w:rsidRDefault="001B0C63" w:rsidP="00ED6D5E">
            <w:pPr>
              <w:spacing w:line="480" w:lineRule="auto"/>
              <w:rPr>
                <w:rFonts w:ascii="Arial" w:eastAsia="Times New Roman" w:hAnsi="Arial" w:cs="Arial"/>
                <w:sz w:val="20"/>
                <w:szCs w:val="20"/>
              </w:rPr>
            </w:pPr>
          </w:p>
        </w:tc>
        <w:tc>
          <w:tcPr>
            <w:tcW w:w="4253" w:type="dxa"/>
            <w:hideMark/>
          </w:tcPr>
          <w:p w14:paraId="62BA94F5"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i/>
                <w:iCs/>
                <w:sz w:val="20"/>
                <w:szCs w:val="20"/>
              </w:rPr>
              <w:t xml:space="preserve">Magnolia </w:t>
            </w:r>
            <w:proofErr w:type="spellStart"/>
            <w:r w:rsidRPr="00ED6D5E">
              <w:rPr>
                <w:rFonts w:ascii="Arial" w:eastAsia="Times New Roman" w:hAnsi="Arial" w:cs="Arial"/>
                <w:i/>
                <w:iCs/>
                <w:sz w:val="20"/>
                <w:szCs w:val="20"/>
              </w:rPr>
              <w:t>pterocarpa</w:t>
            </w:r>
            <w:proofErr w:type="spellEnd"/>
          </w:p>
        </w:tc>
        <w:tc>
          <w:tcPr>
            <w:tcW w:w="2126" w:type="dxa"/>
            <w:hideMark/>
          </w:tcPr>
          <w:p w14:paraId="2AF17597"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Magnoliaceae</w:t>
            </w:r>
          </w:p>
        </w:tc>
      </w:tr>
      <w:tr w:rsidR="001B0C63" w:rsidRPr="00ED6D5E" w14:paraId="727936F5" w14:textId="77777777" w:rsidTr="008B2BED">
        <w:tc>
          <w:tcPr>
            <w:tcW w:w="3085" w:type="dxa"/>
            <w:hideMark/>
          </w:tcPr>
          <w:p w14:paraId="7C4E64AF" w14:textId="77777777" w:rsidR="001B0C63" w:rsidRPr="00ED6D5E" w:rsidRDefault="001B0C63" w:rsidP="00ED6D5E">
            <w:pPr>
              <w:spacing w:line="480" w:lineRule="auto"/>
              <w:rPr>
                <w:rFonts w:ascii="Arial" w:eastAsia="Times New Roman" w:hAnsi="Arial" w:cs="Arial"/>
                <w:sz w:val="20"/>
                <w:szCs w:val="20"/>
              </w:rPr>
            </w:pPr>
          </w:p>
        </w:tc>
        <w:tc>
          <w:tcPr>
            <w:tcW w:w="4253" w:type="dxa"/>
            <w:hideMark/>
          </w:tcPr>
          <w:p w14:paraId="66798C6D" w14:textId="77777777"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t>Michelia</w:t>
            </w:r>
            <w:proofErr w:type="spellEnd"/>
            <w:r w:rsidRPr="00ED6D5E">
              <w:rPr>
                <w:rFonts w:ascii="Arial" w:eastAsia="Times New Roman" w:hAnsi="Arial" w:cs="Arial"/>
                <w:i/>
                <w:iCs/>
                <w:sz w:val="20"/>
                <w:szCs w:val="20"/>
              </w:rPr>
              <w:t xml:space="preserve"> </w:t>
            </w:r>
            <w:proofErr w:type="spellStart"/>
            <w:r w:rsidRPr="00ED6D5E">
              <w:rPr>
                <w:rFonts w:ascii="Arial" w:eastAsia="Times New Roman" w:hAnsi="Arial" w:cs="Arial"/>
                <w:i/>
                <w:iCs/>
                <w:sz w:val="20"/>
                <w:szCs w:val="20"/>
              </w:rPr>
              <w:t>champaca</w:t>
            </w:r>
            <w:proofErr w:type="spellEnd"/>
          </w:p>
        </w:tc>
        <w:tc>
          <w:tcPr>
            <w:tcW w:w="2126" w:type="dxa"/>
            <w:hideMark/>
          </w:tcPr>
          <w:p w14:paraId="600D1F5E"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Magnoliaceae</w:t>
            </w:r>
          </w:p>
        </w:tc>
      </w:tr>
      <w:tr w:rsidR="001B0C63" w:rsidRPr="00ED6D5E" w14:paraId="3C7DBAB3" w14:textId="77777777" w:rsidTr="008B2BED">
        <w:tc>
          <w:tcPr>
            <w:tcW w:w="3085" w:type="dxa"/>
            <w:hideMark/>
          </w:tcPr>
          <w:p w14:paraId="2F3E3EBB" w14:textId="77777777" w:rsidR="001B0C63" w:rsidRPr="00ED6D5E" w:rsidRDefault="001B0C63" w:rsidP="00ED6D5E">
            <w:pPr>
              <w:spacing w:line="480" w:lineRule="auto"/>
              <w:rPr>
                <w:rFonts w:ascii="Arial" w:eastAsia="Times New Roman" w:hAnsi="Arial" w:cs="Arial"/>
                <w:sz w:val="20"/>
                <w:szCs w:val="20"/>
              </w:rPr>
            </w:pPr>
          </w:p>
        </w:tc>
        <w:tc>
          <w:tcPr>
            <w:tcW w:w="4253" w:type="dxa"/>
            <w:hideMark/>
          </w:tcPr>
          <w:p w14:paraId="01F94ACD"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i/>
                <w:iCs/>
                <w:sz w:val="20"/>
                <w:szCs w:val="20"/>
              </w:rPr>
              <w:t>Michelia oblonga</w:t>
            </w:r>
          </w:p>
        </w:tc>
        <w:tc>
          <w:tcPr>
            <w:tcW w:w="2126" w:type="dxa"/>
            <w:hideMark/>
          </w:tcPr>
          <w:p w14:paraId="53B75D28"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Magnoliaceae</w:t>
            </w:r>
          </w:p>
        </w:tc>
      </w:tr>
      <w:tr w:rsidR="001B0C63" w:rsidRPr="00ED6D5E" w14:paraId="0712CF4E" w14:textId="77777777" w:rsidTr="008B2BED">
        <w:tc>
          <w:tcPr>
            <w:tcW w:w="3085" w:type="dxa"/>
            <w:hideMark/>
          </w:tcPr>
          <w:p w14:paraId="3E70367A" w14:textId="77777777" w:rsidR="001B0C63" w:rsidRPr="00ED6D5E" w:rsidRDefault="001B0C63" w:rsidP="00ED6D5E">
            <w:pPr>
              <w:spacing w:line="480" w:lineRule="auto"/>
              <w:rPr>
                <w:rFonts w:ascii="Arial" w:eastAsia="Times New Roman" w:hAnsi="Arial" w:cs="Arial"/>
                <w:sz w:val="20"/>
                <w:szCs w:val="20"/>
              </w:rPr>
            </w:pPr>
          </w:p>
        </w:tc>
        <w:tc>
          <w:tcPr>
            <w:tcW w:w="4253" w:type="dxa"/>
            <w:hideMark/>
          </w:tcPr>
          <w:p w14:paraId="71E6AACD" w14:textId="77777777"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t>Symplocos</w:t>
            </w:r>
            <w:proofErr w:type="spellEnd"/>
            <w:r w:rsidRPr="00ED6D5E">
              <w:rPr>
                <w:rFonts w:ascii="Arial" w:eastAsia="Times New Roman" w:hAnsi="Arial" w:cs="Arial"/>
                <w:i/>
                <w:iCs/>
                <w:sz w:val="20"/>
                <w:szCs w:val="20"/>
              </w:rPr>
              <w:t xml:space="preserve"> grandiflora</w:t>
            </w:r>
          </w:p>
        </w:tc>
        <w:tc>
          <w:tcPr>
            <w:tcW w:w="2126" w:type="dxa"/>
            <w:hideMark/>
          </w:tcPr>
          <w:p w14:paraId="39337B6D" w14:textId="77777777"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sz w:val="20"/>
                <w:szCs w:val="20"/>
              </w:rPr>
              <w:t>Symplocaceae</w:t>
            </w:r>
            <w:proofErr w:type="spellEnd"/>
          </w:p>
        </w:tc>
      </w:tr>
      <w:tr w:rsidR="001B0C63" w:rsidRPr="00ED6D5E" w14:paraId="4953E78B" w14:textId="77777777" w:rsidTr="008B2BED">
        <w:tc>
          <w:tcPr>
            <w:tcW w:w="3085" w:type="dxa"/>
            <w:hideMark/>
          </w:tcPr>
          <w:p w14:paraId="77A79A7B" w14:textId="77777777" w:rsidR="001B0C63" w:rsidRPr="00ED6D5E" w:rsidRDefault="001B0C63" w:rsidP="00ED6D5E">
            <w:pPr>
              <w:spacing w:line="480" w:lineRule="auto"/>
              <w:rPr>
                <w:rFonts w:ascii="Arial" w:eastAsia="Times New Roman" w:hAnsi="Arial" w:cs="Arial"/>
                <w:sz w:val="20"/>
                <w:szCs w:val="20"/>
              </w:rPr>
            </w:pPr>
          </w:p>
        </w:tc>
        <w:tc>
          <w:tcPr>
            <w:tcW w:w="4253" w:type="dxa"/>
            <w:hideMark/>
          </w:tcPr>
          <w:p w14:paraId="73DE54E5" w14:textId="77777777"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t>Symplocos</w:t>
            </w:r>
            <w:proofErr w:type="spellEnd"/>
            <w:r w:rsidRPr="00ED6D5E">
              <w:rPr>
                <w:rFonts w:ascii="Arial" w:eastAsia="Times New Roman" w:hAnsi="Arial" w:cs="Arial"/>
                <w:i/>
                <w:iCs/>
                <w:sz w:val="20"/>
                <w:szCs w:val="20"/>
              </w:rPr>
              <w:t xml:space="preserve"> </w:t>
            </w:r>
            <w:proofErr w:type="spellStart"/>
            <w:r w:rsidRPr="00ED6D5E">
              <w:rPr>
                <w:rFonts w:ascii="Arial" w:eastAsia="Times New Roman" w:hAnsi="Arial" w:cs="Arial"/>
                <w:i/>
                <w:iCs/>
                <w:sz w:val="20"/>
                <w:szCs w:val="20"/>
              </w:rPr>
              <w:t>paniculata</w:t>
            </w:r>
            <w:proofErr w:type="spellEnd"/>
          </w:p>
        </w:tc>
        <w:tc>
          <w:tcPr>
            <w:tcW w:w="2126" w:type="dxa"/>
            <w:hideMark/>
          </w:tcPr>
          <w:p w14:paraId="336BCAE8" w14:textId="77777777"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sz w:val="20"/>
                <w:szCs w:val="20"/>
              </w:rPr>
              <w:t>Symplocaceae</w:t>
            </w:r>
            <w:proofErr w:type="spellEnd"/>
          </w:p>
        </w:tc>
      </w:tr>
      <w:tr w:rsidR="001B0C63" w:rsidRPr="00ED6D5E" w14:paraId="4740EFFA" w14:textId="77777777" w:rsidTr="008B2BED">
        <w:tc>
          <w:tcPr>
            <w:tcW w:w="3085" w:type="dxa"/>
            <w:hideMark/>
          </w:tcPr>
          <w:p w14:paraId="32E6A15B" w14:textId="77777777" w:rsidR="001B0C63" w:rsidRPr="00ED6D5E" w:rsidRDefault="001B0C63" w:rsidP="00ED6D5E">
            <w:pPr>
              <w:spacing w:line="480" w:lineRule="auto"/>
              <w:rPr>
                <w:rFonts w:ascii="Arial" w:eastAsia="Times New Roman" w:hAnsi="Arial" w:cs="Arial"/>
                <w:sz w:val="20"/>
                <w:szCs w:val="20"/>
              </w:rPr>
            </w:pPr>
          </w:p>
        </w:tc>
        <w:tc>
          <w:tcPr>
            <w:tcW w:w="4253" w:type="dxa"/>
            <w:hideMark/>
          </w:tcPr>
          <w:p w14:paraId="54C8DC13" w14:textId="77777777"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t>Symplocos</w:t>
            </w:r>
            <w:proofErr w:type="spellEnd"/>
            <w:r w:rsidRPr="00ED6D5E">
              <w:rPr>
                <w:rFonts w:ascii="Arial" w:eastAsia="Times New Roman" w:hAnsi="Arial" w:cs="Arial"/>
                <w:i/>
                <w:iCs/>
                <w:sz w:val="20"/>
                <w:szCs w:val="20"/>
              </w:rPr>
              <w:t xml:space="preserve"> </w:t>
            </w:r>
            <w:proofErr w:type="spellStart"/>
            <w:r w:rsidRPr="00ED6D5E">
              <w:rPr>
                <w:rFonts w:ascii="Arial" w:eastAsia="Times New Roman" w:hAnsi="Arial" w:cs="Arial"/>
                <w:i/>
                <w:iCs/>
                <w:sz w:val="20"/>
                <w:szCs w:val="20"/>
              </w:rPr>
              <w:t>ramosissima</w:t>
            </w:r>
            <w:proofErr w:type="spellEnd"/>
          </w:p>
        </w:tc>
        <w:tc>
          <w:tcPr>
            <w:tcW w:w="2126" w:type="dxa"/>
            <w:hideMark/>
          </w:tcPr>
          <w:p w14:paraId="38AFB1B3" w14:textId="77777777"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sz w:val="20"/>
                <w:szCs w:val="20"/>
              </w:rPr>
              <w:t>Symplocaceae</w:t>
            </w:r>
            <w:proofErr w:type="spellEnd"/>
          </w:p>
        </w:tc>
      </w:tr>
    </w:tbl>
    <w:p w14:paraId="21431C65" w14:textId="77777777" w:rsidR="001B0C63" w:rsidRPr="00ED6D5E" w:rsidRDefault="001B0C63" w:rsidP="001B0C63">
      <w:pPr>
        <w:pStyle w:val="NormalWeb"/>
        <w:jc w:val="both"/>
        <w:rPr>
          <w:rFonts w:ascii="Arial" w:hAnsi="Arial" w:cs="Arial"/>
          <w:sz w:val="20"/>
          <w:szCs w:val="20"/>
        </w:rPr>
      </w:pPr>
      <w:r w:rsidRPr="00ED6D5E">
        <w:rPr>
          <w:rFonts w:ascii="Arial" w:hAnsi="Arial" w:cs="Arial"/>
          <w:sz w:val="20"/>
          <w:szCs w:val="20"/>
        </w:rPr>
        <w:t>(</w:t>
      </w:r>
      <w:proofErr w:type="spellStart"/>
      <w:r w:rsidRPr="008A39C8">
        <w:rPr>
          <w:rFonts w:ascii="Arial" w:hAnsi="Arial" w:cs="Arial"/>
          <w:sz w:val="20"/>
          <w:szCs w:val="20"/>
        </w:rPr>
        <w:t>Tikader</w:t>
      </w:r>
      <w:proofErr w:type="spellEnd"/>
      <w:r w:rsidRPr="008A39C8">
        <w:rPr>
          <w:rFonts w:ascii="Arial" w:hAnsi="Arial" w:cs="Arial"/>
          <w:sz w:val="20"/>
          <w:szCs w:val="20"/>
        </w:rPr>
        <w:t xml:space="preserve"> </w:t>
      </w:r>
      <w:r w:rsidRPr="008A39C8">
        <w:rPr>
          <w:rFonts w:ascii="Arial" w:hAnsi="Arial" w:cs="Arial"/>
          <w:i/>
          <w:sz w:val="20"/>
          <w:szCs w:val="20"/>
        </w:rPr>
        <w:t>et al.,</w:t>
      </w:r>
      <w:r w:rsidRPr="008A39C8">
        <w:rPr>
          <w:rFonts w:ascii="Arial" w:hAnsi="Arial" w:cs="Arial"/>
          <w:sz w:val="20"/>
          <w:szCs w:val="20"/>
        </w:rPr>
        <w:t xml:space="preserve"> 2013; Das </w:t>
      </w:r>
      <w:r w:rsidRPr="008A39C8">
        <w:rPr>
          <w:rFonts w:ascii="Arial" w:hAnsi="Arial" w:cs="Arial"/>
          <w:i/>
          <w:sz w:val="20"/>
          <w:szCs w:val="20"/>
        </w:rPr>
        <w:t>et al.,</w:t>
      </w:r>
      <w:r w:rsidRPr="008A39C8">
        <w:rPr>
          <w:rFonts w:ascii="Arial" w:hAnsi="Arial" w:cs="Arial"/>
          <w:sz w:val="20"/>
          <w:szCs w:val="20"/>
        </w:rPr>
        <w:t xml:space="preserve"> 2020)</w:t>
      </w:r>
    </w:p>
    <w:p w14:paraId="26A5089D" w14:textId="77777777" w:rsidR="003A7412" w:rsidRPr="00622967" w:rsidRDefault="003A7412" w:rsidP="006B35C6">
      <w:pPr>
        <w:pStyle w:val="NormalWeb"/>
        <w:jc w:val="both"/>
        <w:rPr>
          <w:rFonts w:ascii="Arial" w:hAnsi="Arial" w:cs="Arial"/>
          <w:sz w:val="20"/>
        </w:rPr>
      </w:pPr>
      <w:r w:rsidRPr="00622967">
        <w:rPr>
          <w:rFonts w:ascii="Arial" w:hAnsi="Arial" w:cs="Arial"/>
          <w:sz w:val="20"/>
        </w:rPr>
        <w:t xml:space="preserve">The </w:t>
      </w:r>
      <w:proofErr w:type="spellStart"/>
      <w:r w:rsidRPr="00622967">
        <w:rPr>
          <w:rFonts w:ascii="Arial" w:hAnsi="Arial" w:cs="Arial"/>
          <w:sz w:val="20"/>
        </w:rPr>
        <w:t>muga</w:t>
      </w:r>
      <w:proofErr w:type="spellEnd"/>
      <w:r w:rsidRPr="00622967">
        <w:rPr>
          <w:rFonts w:ascii="Arial" w:hAnsi="Arial" w:cs="Arial"/>
          <w:sz w:val="20"/>
        </w:rPr>
        <w:t xml:space="preserve"> silkworm, </w:t>
      </w:r>
      <w:proofErr w:type="spellStart"/>
      <w:r w:rsidRPr="00622967">
        <w:rPr>
          <w:rStyle w:val="Emphasis"/>
          <w:rFonts w:ascii="Arial" w:hAnsi="Arial" w:cs="Arial"/>
          <w:sz w:val="20"/>
        </w:rPr>
        <w:t>Antheraea</w:t>
      </w:r>
      <w:proofErr w:type="spellEnd"/>
      <w:r w:rsidRPr="00622967">
        <w:rPr>
          <w:rStyle w:val="Emphasis"/>
          <w:rFonts w:ascii="Arial" w:hAnsi="Arial" w:cs="Arial"/>
          <w:sz w:val="20"/>
        </w:rPr>
        <w:t xml:space="preserve"> </w:t>
      </w:r>
      <w:proofErr w:type="spellStart"/>
      <w:r w:rsidRPr="00622967">
        <w:rPr>
          <w:rStyle w:val="Emphasis"/>
          <w:rFonts w:ascii="Arial" w:hAnsi="Arial" w:cs="Arial"/>
          <w:sz w:val="20"/>
        </w:rPr>
        <w:t>assamensis</w:t>
      </w:r>
      <w:proofErr w:type="spellEnd"/>
      <w:r w:rsidRPr="00622967">
        <w:rPr>
          <w:rFonts w:ascii="Arial" w:hAnsi="Arial" w:cs="Arial"/>
          <w:sz w:val="20"/>
        </w:rPr>
        <w:t xml:space="preserve">, is a polyphagous insect that exhibits strong feeding preferences for members of the </w:t>
      </w:r>
      <w:proofErr w:type="spellStart"/>
      <w:r w:rsidRPr="00622967">
        <w:rPr>
          <w:rFonts w:ascii="Arial" w:hAnsi="Arial" w:cs="Arial"/>
          <w:sz w:val="20"/>
        </w:rPr>
        <w:t>Lauraceae</w:t>
      </w:r>
      <w:proofErr w:type="spellEnd"/>
      <w:r w:rsidRPr="00622967">
        <w:rPr>
          <w:rFonts w:ascii="Arial" w:hAnsi="Arial" w:cs="Arial"/>
          <w:sz w:val="20"/>
        </w:rPr>
        <w:t xml:space="preserve"> family, primarily </w:t>
      </w:r>
      <w:proofErr w:type="spellStart"/>
      <w:r w:rsidRPr="00622967">
        <w:rPr>
          <w:rStyle w:val="Emphasis"/>
          <w:rFonts w:ascii="Arial" w:hAnsi="Arial" w:cs="Arial"/>
          <w:sz w:val="20"/>
        </w:rPr>
        <w:t>Persea</w:t>
      </w:r>
      <w:proofErr w:type="spellEnd"/>
      <w:r w:rsidRPr="00622967">
        <w:rPr>
          <w:rStyle w:val="Emphasis"/>
          <w:rFonts w:ascii="Arial" w:hAnsi="Arial" w:cs="Arial"/>
          <w:sz w:val="20"/>
        </w:rPr>
        <w:t xml:space="preserve"> </w:t>
      </w:r>
      <w:proofErr w:type="spellStart"/>
      <w:r w:rsidRPr="00622967">
        <w:rPr>
          <w:rStyle w:val="Emphasis"/>
          <w:rFonts w:ascii="Arial" w:hAnsi="Arial" w:cs="Arial"/>
          <w:sz w:val="20"/>
        </w:rPr>
        <w:t>bombycina</w:t>
      </w:r>
      <w:proofErr w:type="spellEnd"/>
      <w:r w:rsidRPr="00622967">
        <w:rPr>
          <w:rFonts w:ascii="Arial" w:hAnsi="Arial" w:cs="Arial"/>
          <w:sz w:val="20"/>
        </w:rPr>
        <w:t xml:space="preserve">, </w:t>
      </w:r>
      <w:proofErr w:type="spellStart"/>
      <w:r w:rsidRPr="00622967">
        <w:rPr>
          <w:rStyle w:val="Emphasis"/>
          <w:rFonts w:ascii="Arial" w:hAnsi="Arial" w:cs="Arial"/>
          <w:sz w:val="20"/>
        </w:rPr>
        <w:t>Litsea</w:t>
      </w:r>
      <w:proofErr w:type="spellEnd"/>
      <w:r w:rsidRPr="00622967">
        <w:rPr>
          <w:rStyle w:val="Emphasis"/>
          <w:rFonts w:ascii="Arial" w:hAnsi="Arial" w:cs="Arial"/>
          <w:sz w:val="20"/>
        </w:rPr>
        <w:t xml:space="preserve"> polyantha</w:t>
      </w:r>
      <w:r w:rsidRPr="00622967">
        <w:rPr>
          <w:rFonts w:ascii="Arial" w:hAnsi="Arial" w:cs="Arial"/>
          <w:sz w:val="20"/>
        </w:rPr>
        <w:t xml:space="preserve">, and </w:t>
      </w:r>
      <w:proofErr w:type="spellStart"/>
      <w:r w:rsidRPr="00622967">
        <w:rPr>
          <w:rStyle w:val="Emphasis"/>
          <w:rFonts w:ascii="Arial" w:hAnsi="Arial" w:cs="Arial"/>
          <w:sz w:val="20"/>
        </w:rPr>
        <w:t>Litsea</w:t>
      </w:r>
      <w:proofErr w:type="spellEnd"/>
      <w:r w:rsidRPr="00622967">
        <w:rPr>
          <w:rStyle w:val="Emphasis"/>
          <w:rFonts w:ascii="Arial" w:hAnsi="Arial" w:cs="Arial"/>
          <w:sz w:val="20"/>
        </w:rPr>
        <w:t xml:space="preserve"> </w:t>
      </w:r>
      <w:proofErr w:type="spellStart"/>
      <w:r w:rsidRPr="00622967">
        <w:rPr>
          <w:rStyle w:val="Emphasis"/>
          <w:rFonts w:ascii="Arial" w:hAnsi="Arial" w:cs="Arial"/>
          <w:sz w:val="20"/>
        </w:rPr>
        <w:t>citrata</w:t>
      </w:r>
      <w:proofErr w:type="spellEnd"/>
      <w:r w:rsidRPr="00622967">
        <w:rPr>
          <w:rFonts w:ascii="Arial" w:hAnsi="Arial" w:cs="Arial"/>
          <w:sz w:val="20"/>
        </w:rPr>
        <w:t xml:space="preserve">. Among these, </w:t>
      </w:r>
      <w:r w:rsidR="006B35C6" w:rsidRPr="00622967">
        <w:rPr>
          <w:rFonts w:ascii="Arial" w:hAnsi="Arial" w:cs="Arial"/>
          <w:sz w:val="20"/>
        </w:rPr>
        <w:t xml:space="preserve">the tender leaves of </w:t>
      </w:r>
      <w:proofErr w:type="spellStart"/>
      <w:r w:rsidR="006B35C6" w:rsidRPr="00622967">
        <w:rPr>
          <w:rStyle w:val="Emphasis"/>
          <w:rFonts w:ascii="Arial" w:hAnsi="Arial" w:cs="Arial"/>
          <w:sz w:val="20"/>
        </w:rPr>
        <w:t>Litsea</w:t>
      </w:r>
      <w:proofErr w:type="spellEnd"/>
      <w:r w:rsidR="006B35C6" w:rsidRPr="00622967">
        <w:rPr>
          <w:rStyle w:val="Emphasis"/>
          <w:rFonts w:ascii="Arial" w:hAnsi="Arial" w:cs="Arial"/>
          <w:sz w:val="20"/>
        </w:rPr>
        <w:t xml:space="preserve"> polyantha</w:t>
      </w:r>
      <w:r w:rsidR="006B35C6" w:rsidRPr="00622967">
        <w:rPr>
          <w:rFonts w:ascii="Arial" w:hAnsi="Arial" w:cs="Arial"/>
          <w:sz w:val="20"/>
        </w:rPr>
        <w:t xml:space="preserve"> showed the highest concentration of soluble protein (17.17 mg/g), whereas the tender leaves of </w:t>
      </w:r>
      <w:proofErr w:type="spellStart"/>
      <w:r w:rsidR="006B35C6" w:rsidRPr="00622967">
        <w:rPr>
          <w:rStyle w:val="Emphasis"/>
          <w:rFonts w:ascii="Arial" w:hAnsi="Arial" w:cs="Arial"/>
          <w:sz w:val="20"/>
        </w:rPr>
        <w:t>Persea</w:t>
      </w:r>
      <w:proofErr w:type="spellEnd"/>
      <w:r w:rsidR="006B35C6" w:rsidRPr="00622967">
        <w:rPr>
          <w:rStyle w:val="Emphasis"/>
          <w:rFonts w:ascii="Arial" w:hAnsi="Arial" w:cs="Arial"/>
          <w:sz w:val="20"/>
        </w:rPr>
        <w:t xml:space="preserve"> </w:t>
      </w:r>
      <w:proofErr w:type="spellStart"/>
      <w:r w:rsidR="006B35C6" w:rsidRPr="00622967">
        <w:rPr>
          <w:rStyle w:val="Emphasis"/>
          <w:rFonts w:ascii="Arial" w:hAnsi="Arial" w:cs="Arial"/>
          <w:sz w:val="20"/>
        </w:rPr>
        <w:t>bombycina</w:t>
      </w:r>
      <w:proofErr w:type="spellEnd"/>
      <w:r w:rsidR="006B35C6" w:rsidRPr="00622967">
        <w:rPr>
          <w:rFonts w:ascii="Arial" w:hAnsi="Arial" w:cs="Arial"/>
          <w:sz w:val="20"/>
        </w:rPr>
        <w:t xml:space="preserve"> recorded the highest total phenol content (119.79 mg/100g)</w:t>
      </w:r>
      <w:r w:rsidR="00870964" w:rsidRPr="00622967">
        <w:rPr>
          <w:rFonts w:ascii="Arial" w:hAnsi="Arial" w:cs="Arial"/>
          <w:sz w:val="20"/>
        </w:rPr>
        <w:t xml:space="preserve"> (Table 3)</w:t>
      </w:r>
      <w:r w:rsidR="006B35C6" w:rsidRPr="00622967">
        <w:rPr>
          <w:rFonts w:ascii="Arial" w:hAnsi="Arial" w:cs="Arial"/>
          <w:sz w:val="20"/>
        </w:rPr>
        <w:t xml:space="preserve">. In contrast, the mature and medium leaves of </w:t>
      </w:r>
      <w:proofErr w:type="spellStart"/>
      <w:r w:rsidR="006B35C6" w:rsidRPr="00622967">
        <w:rPr>
          <w:rStyle w:val="Emphasis"/>
          <w:rFonts w:ascii="Arial" w:hAnsi="Arial" w:cs="Arial"/>
          <w:sz w:val="20"/>
        </w:rPr>
        <w:t>Litsea</w:t>
      </w:r>
      <w:proofErr w:type="spellEnd"/>
      <w:r w:rsidR="006B35C6" w:rsidRPr="00622967">
        <w:rPr>
          <w:rStyle w:val="Emphasis"/>
          <w:rFonts w:ascii="Arial" w:hAnsi="Arial" w:cs="Arial"/>
          <w:sz w:val="20"/>
        </w:rPr>
        <w:t xml:space="preserve"> </w:t>
      </w:r>
      <w:proofErr w:type="spellStart"/>
      <w:r w:rsidR="006B35C6" w:rsidRPr="00622967">
        <w:rPr>
          <w:rStyle w:val="Emphasis"/>
          <w:rFonts w:ascii="Arial" w:hAnsi="Arial" w:cs="Arial"/>
          <w:sz w:val="20"/>
        </w:rPr>
        <w:t>citrata</w:t>
      </w:r>
      <w:proofErr w:type="spellEnd"/>
      <w:r w:rsidR="006B35C6" w:rsidRPr="00622967">
        <w:rPr>
          <w:rFonts w:ascii="Arial" w:hAnsi="Arial" w:cs="Arial"/>
          <w:sz w:val="20"/>
        </w:rPr>
        <w:t xml:space="preserve"> exhibited the lowest levels of soluble protein (8.86 mg/g) and total phenols (15.50 mg/100g)</w:t>
      </w:r>
      <w:r w:rsidRPr="00622967">
        <w:rPr>
          <w:rFonts w:ascii="Arial" w:hAnsi="Arial" w:cs="Arial"/>
          <w:sz w:val="20"/>
        </w:rPr>
        <w:t>, which contribute to both nutritional quality and chemical signaling essential for larval development (</w:t>
      </w:r>
      <w:proofErr w:type="spellStart"/>
      <w:r w:rsidR="00D250E0" w:rsidRPr="008A39C8">
        <w:rPr>
          <w:rFonts w:ascii="Arial" w:hAnsi="Arial" w:cs="Arial"/>
          <w:sz w:val="20"/>
        </w:rPr>
        <w:t>Haloi</w:t>
      </w:r>
      <w:proofErr w:type="spellEnd"/>
      <w:r w:rsidR="00D250E0" w:rsidRPr="008A39C8">
        <w:rPr>
          <w:rFonts w:ascii="Arial" w:hAnsi="Arial" w:cs="Arial"/>
          <w:sz w:val="20"/>
        </w:rPr>
        <w:t xml:space="preserve"> </w:t>
      </w:r>
      <w:r w:rsidR="00D250E0" w:rsidRPr="008A39C8">
        <w:rPr>
          <w:rFonts w:ascii="Arial" w:hAnsi="Arial" w:cs="Arial"/>
          <w:i/>
          <w:sz w:val="20"/>
        </w:rPr>
        <w:t>et al.,</w:t>
      </w:r>
      <w:r w:rsidR="00D250E0" w:rsidRPr="008A39C8">
        <w:rPr>
          <w:rFonts w:ascii="Arial" w:hAnsi="Arial" w:cs="Arial"/>
          <w:sz w:val="20"/>
        </w:rPr>
        <w:t xml:space="preserve"> 2023</w:t>
      </w:r>
      <w:r w:rsidRPr="008A39C8">
        <w:rPr>
          <w:rFonts w:ascii="Arial" w:hAnsi="Arial" w:cs="Arial"/>
          <w:sz w:val="20"/>
        </w:rPr>
        <w:t xml:space="preserve">; Neog </w:t>
      </w:r>
      <w:r w:rsidRPr="008A39C8">
        <w:rPr>
          <w:rFonts w:ascii="Arial" w:hAnsi="Arial" w:cs="Arial"/>
          <w:i/>
          <w:sz w:val="20"/>
        </w:rPr>
        <w:t>et al.,</w:t>
      </w:r>
      <w:r w:rsidRPr="008A39C8">
        <w:rPr>
          <w:rFonts w:ascii="Arial" w:hAnsi="Arial" w:cs="Arial"/>
          <w:sz w:val="20"/>
        </w:rPr>
        <w:t xml:space="preserve"> 2005).</w:t>
      </w:r>
    </w:p>
    <w:p w14:paraId="2448322C" w14:textId="77777777" w:rsidR="00ED6D5E" w:rsidRPr="00ED6D5E" w:rsidRDefault="006B35C6" w:rsidP="006B35C6">
      <w:pPr>
        <w:pStyle w:val="NormalWeb"/>
        <w:jc w:val="both"/>
        <w:rPr>
          <w:rFonts w:ascii="Arial" w:hAnsi="Arial" w:cs="Arial"/>
          <w:b/>
          <w:sz w:val="20"/>
          <w:szCs w:val="20"/>
        </w:rPr>
      </w:pPr>
      <w:r w:rsidRPr="00ED6D5E">
        <w:rPr>
          <w:rFonts w:ascii="Arial" w:hAnsi="Arial" w:cs="Arial"/>
          <w:b/>
          <w:sz w:val="20"/>
          <w:szCs w:val="20"/>
        </w:rPr>
        <w:t>Table 3. Comparative Analysis of Protein, Phenolic Content, and PAL Activity in Leaves of Host Plants at Different Maturity Stages</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0A0" w:firstRow="1" w:lastRow="0" w:firstColumn="1" w:lastColumn="0" w:noHBand="0" w:noVBand="0"/>
      </w:tblPr>
      <w:tblGrid>
        <w:gridCol w:w="1595"/>
        <w:gridCol w:w="1332"/>
        <w:gridCol w:w="1814"/>
        <w:gridCol w:w="2394"/>
        <w:gridCol w:w="2441"/>
      </w:tblGrid>
      <w:tr w:rsidR="006B35C6" w:rsidRPr="00ED6D5E" w14:paraId="08FE0098" w14:textId="77777777" w:rsidTr="00ED6D5E">
        <w:tc>
          <w:tcPr>
            <w:tcW w:w="0" w:type="auto"/>
            <w:tcBorders>
              <w:top w:val="single" w:sz="4" w:space="0" w:color="auto"/>
              <w:bottom w:val="single" w:sz="4" w:space="0" w:color="auto"/>
            </w:tcBorders>
            <w:hideMark/>
          </w:tcPr>
          <w:p w14:paraId="00B9923D" w14:textId="77777777" w:rsidR="006B35C6" w:rsidRPr="00ED6D5E" w:rsidRDefault="006B35C6" w:rsidP="00ED6D5E">
            <w:pPr>
              <w:spacing w:line="480" w:lineRule="auto"/>
              <w:jc w:val="center"/>
              <w:rPr>
                <w:rFonts w:ascii="Arial" w:eastAsia="Times New Roman" w:hAnsi="Arial" w:cs="Arial"/>
                <w:b/>
                <w:bCs/>
                <w:sz w:val="20"/>
                <w:szCs w:val="20"/>
              </w:rPr>
            </w:pPr>
            <w:r w:rsidRPr="00ED6D5E">
              <w:rPr>
                <w:rFonts w:ascii="Arial" w:eastAsia="Times New Roman" w:hAnsi="Arial" w:cs="Arial"/>
                <w:b/>
                <w:bCs/>
                <w:sz w:val="20"/>
                <w:szCs w:val="20"/>
              </w:rPr>
              <w:t>Host Plant</w:t>
            </w:r>
          </w:p>
        </w:tc>
        <w:tc>
          <w:tcPr>
            <w:tcW w:w="0" w:type="auto"/>
            <w:tcBorders>
              <w:top w:val="single" w:sz="4" w:space="0" w:color="auto"/>
              <w:bottom w:val="single" w:sz="4" w:space="0" w:color="auto"/>
            </w:tcBorders>
            <w:hideMark/>
          </w:tcPr>
          <w:p w14:paraId="6A2BCFE0" w14:textId="77777777" w:rsidR="006B35C6" w:rsidRPr="00ED6D5E" w:rsidRDefault="006B35C6" w:rsidP="00ED6D5E">
            <w:pPr>
              <w:spacing w:line="480" w:lineRule="auto"/>
              <w:jc w:val="center"/>
              <w:rPr>
                <w:rFonts w:ascii="Arial" w:eastAsia="Times New Roman" w:hAnsi="Arial" w:cs="Arial"/>
                <w:b/>
                <w:bCs/>
                <w:sz w:val="20"/>
                <w:szCs w:val="20"/>
              </w:rPr>
            </w:pPr>
            <w:r w:rsidRPr="00ED6D5E">
              <w:rPr>
                <w:rFonts w:ascii="Arial" w:eastAsia="Times New Roman" w:hAnsi="Arial" w:cs="Arial"/>
                <w:b/>
                <w:bCs/>
                <w:sz w:val="20"/>
                <w:szCs w:val="20"/>
              </w:rPr>
              <w:t>Maturity Level</w:t>
            </w:r>
          </w:p>
        </w:tc>
        <w:tc>
          <w:tcPr>
            <w:tcW w:w="0" w:type="auto"/>
            <w:tcBorders>
              <w:top w:val="single" w:sz="4" w:space="0" w:color="auto"/>
              <w:bottom w:val="single" w:sz="4" w:space="0" w:color="auto"/>
            </w:tcBorders>
            <w:hideMark/>
          </w:tcPr>
          <w:p w14:paraId="2DD2BA8A" w14:textId="77777777" w:rsidR="006B35C6" w:rsidRPr="00ED6D5E" w:rsidRDefault="006B35C6" w:rsidP="00ED6D5E">
            <w:pPr>
              <w:spacing w:line="480" w:lineRule="auto"/>
              <w:jc w:val="center"/>
              <w:rPr>
                <w:rFonts w:ascii="Arial" w:eastAsia="Times New Roman" w:hAnsi="Arial" w:cs="Arial"/>
                <w:b/>
                <w:bCs/>
                <w:sz w:val="20"/>
                <w:szCs w:val="20"/>
              </w:rPr>
            </w:pPr>
            <w:r w:rsidRPr="00ED6D5E">
              <w:rPr>
                <w:rFonts w:ascii="Arial" w:eastAsia="Times New Roman" w:hAnsi="Arial" w:cs="Arial"/>
                <w:b/>
                <w:bCs/>
                <w:sz w:val="20"/>
                <w:szCs w:val="20"/>
              </w:rPr>
              <w:t>Protein Content (mg/g)</w:t>
            </w:r>
          </w:p>
        </w:tc>
        <w:tc>
          <w:tcPr>
            <w:tcW w:w="0" w:type="auto"/>
            <w:tcBorders>
              <w:top w:val="single" w:sz="4" w:space="0" w:color="auto"/>
              <w:bottom w:val="single" w:sz="4" w:space="0" w:color="auto"/>
            </w:tcBorders>
            <w:hideMark/>
          </w:tcPr>
          <w:p w14:paraId="084B103C" w14:textId="77777777" w:rsidR="006B35C6" w:rsidRPr="00ED6D5E" w:rsidRDefault="006B35C6" w:rsidP="00ED6D5E">
            <w:pPr>
              <w:spacing w:line="480" w:lineRule="auto"/>
              <w:jc w:val="center"/>
              <w:rPr>
                <w:rFonts w:ascii="Arial" w:eastAsia="Times New Roman" w:hAnsi="Arial" w:cs="Arial"/>
                <w:b/>
                <w:bCs/>
                <w:sz w:val="20"/>
                <w:szCs w:val="20"/>
              </w:rPr>
            </w:pPr>
            <w:r w:rsidRPr="00ED6D5E">
              <w:rPr>
                <w:rFonts w:ascii="Arial" w:eastAsia="Times New Roman" w:hAnsi="Arial" w:cs="Arial"/>
                <w:b/>
                <w:bCs/>
                <w:sz w:val="20"/>
                <w:szCs w:val="20"/>
              </w:rPr>
              <w:t>Total Phenol Content (mg/100g)</w:t>
            </w:r>
          </w:p>
        </w:tc>
        <w:tc>
          <w:tcPr>
            <w:tcW w:w="0" w:type="auto"/>
            <w:tcBorders>
              <w:top w:val="single" w:sz="4" w:space="0" w:color="auto"/>
              <w:bottom w:val="single" w:sz="4" w:space="0" w:color="auto"/>
            </w:tcBorders>
            <w:hideMark/>
          </w:tcPr>
          <w:p w14:paraId="42BA87F1" w14:textId="77777777" w:rsidR="006B35C6" w:rsidRPr="00ED6D5E" w:rsidRDefault="006B35C6" w:rsidP="00ED6D5E">
            <w:pPr>
              <w:spacing w:line="480" w:lineRule="auto"/>
              <w:jc w:val="center"/>
              <w:rPr>
                <w:rFonts w:ascii="Arial" w:eastAsia="Times New Roman" w:hAnsi="Arial" w:cs="Arial"/>
                <w:b/>
                <w:bCs/>
                <w:sz w:val="20"/>
                <w:szCs w:val="20"/>
              </w:rPr>
            </w:pPr>
            <w:r w:rsidRPr="00ED6D5E">
              <w:rPr>
                <w:rFonts w:ascii="Arial" w:eastAsia="Times New Roman" w:hAnsi="Arial" w:cs="Arial"/>
                <w:b/>
                <w:bCs/>
                <w:sz w:val="20"/>
                <w:szCs w:val="20"/>
              </w:rPr>
              <w:t>PAL Activity (</w:t>
            </w:r>
            <w:proofErr w:type="spellStart"/>
            <w:r w:rsidRPr="00ED6D5E">
              <w:rPr>
                <w:rFonts w:ascii="Arial" w:eastAsia="Times New Roman" w:hAnsi="Arial" w:cs="Arial"/>
                <w:b/>
                <w:bCs/>
                <w:sz w:val="20"/>
                <w:szCs w:val="20"/>
              </w:rPr>
              <w:t>nmole</w:t>
            </w:r>
            <w:proofErr w:type="spellEnd"/>
            <w:r w:rsidRPr="00ED6D5E">
              <w:rPr>
                <w:rFonts w:ascii="Arial" w:eastAsia="Times New Roman" w:hAnsi="Arial" w:cs="Arial"/>
                <w:b/>
                <w:bCs/>
                <w:sz w:val="20"/>
                <w:szCs w:val="20"/>
              </w:rPr>
              <w:t>/mg/min)</w:t>
            </w:r>
          </w:p>
        </w:tc>
      </w:tr>
      <w:tr w:rsidR="006B35C6" w:rsidRPr="00ED6D5E" w14:paraId="5294804E" w14:textId="77777777" w:rsidTr="00ED6D5E">
        <w:tc>
          <w:tcPr>
            <w:tcW w:w="0" w:type="auto"/>
            <w:vMerge w:val="restart"/>
            <w:tcBorders>
              <w:top w:val="single" w:sz="4" w:space="0" w:color="auto"/>
              <w:bottom w:val="nil"/>
            </w:tcBorders>
            <w:hideMark/>
          </w:tcPr>
          <w:p w14:paraId="13698B1B" w14:textId="77777777" w:rsidR="006B35C6" w:rsidRPr="00ED6D5E" w:rsidRDefault="006B35C6"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t>Persea</w:t>
            </w:r>
            <w:proofErr w:type="spellEnd"/>
            <w:r w:rsidRPr="00ED6D5E">
              <w:rPr>
                <w:rFonts w:ascii="Arial" w:eastAsia="Times New Roman" w:hAnsi="Arial" w:cs="Arial"/>
                <w:i/>
                <w:iCs/>
                <w:sz w:val="20"/>
                <w:szCs w:val="20"/>
              </w:rPr>
              <w:t xml:space="preserve"> </w:t>
            </w:r>
            <w:proofErr w:type="spellStart"/>
            <w:r w:rsidRPr="00ED6D5E">
              <w:rPr>
                <w:rFonts w:ascii="Arial" w:eastAsia="Times New Roman" w:hAnsi="Arial" w:cs="Arial"/>
                <w:i/>
                <w:iCs/>
                <w:sz w:val="20"/>
                <w:szCs w:val="20"/>
              </w:rPr>
              <w:t>bombycina</w:t>
            </w:r>
            <w:proofErr w:type="spellEnd"/>
          </w:p>
        </w:tc>
        <w:tc>
          <w:tcPr>
            <w:tcW w:w="0" w:type="auto"/>
            <w:tcBorders>
              <w:top w:val="single" w:sz="4" w:space="0" w:color="auto"/>
              <w:bottom w:val="nil"/>
            </w:tcBorders>
            <w:hideMark/>
          </w:tcPr>
          <w:p w14:paraId="530A5403"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Tender</w:t>
            </w:r>
          </w:p>
        </w:tc>
        <w:tc>
          <w:tcPr>
            <w:tcW w:w="0" w:type="auto"/>
            <w:tcBorders>
              <w:top w:val="single" w:sz="4" w:space="0" w:color="auto"/>
              <w:bottom w:val="nil"/>
            </w:tcBorders>
            <w:hideMark/>
          </w:tcPr>
          <w:p w14:paraId="4E45E2B0"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16.23</w:t>
            </w:r>
          </w:p>
        </w:tc>
        <w:tc>
          <w:tcPr>
            <w:tcW w:w="0" w:type="auto"/>
            <w:tcBorders>
              <w:top w:val="single" w:sz="4" w:space="0" w:color="auto"/>
              <w:bottom w:val="nil"/>
            </w:tcBorders>
            <w:hideMark/>
          </w:tcPr>
          <w:p w14:paraId="6A164D7B"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119.79</w:t>
            </w:r>
          </w:p>
        </w:tc>
        <w:tc>
          <w:tcPr>
            <w:tcW w:w="0" w:type="auto"/>
            <w:tcBorders>
              <w:top w:val="single" w:sz="4" w:space="0" w:color="auto"/>
              <w:bottom w:val="nil"/>
            </w:tcBorders>
            <w:hideMark/>
          </w:tcPr>
          <w:p w14:paraId="74A755D3"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3.48</w:t>
            </w:r>
          </w:p>
        </w:tc>
      </w:tr>
      <w:tr w:rsidR="006B35C6" w:rsidRPr="00ED6D5E" w14:paraId="7FDF3876" w14:textId="77777777" w:rsidTr="00ED6D5E">
        <w:tc>
          <w:tcPr>
            <w:tcW w:w="0" w:type="auto"/>
            <w:vMerge/>
            <w:tcBorders>
              <w:top w:val="nil"/>
              <w:bottom w:val="nil"/>
            </w:tcBorders>
            <w:hideMark/>
          </w:tcPr>
          <w:p w14:paraId="260B0588" w14:textId="77777777" w:rsidR="006B35C6" w:rsidRPr="00ED6D5E" w:rsidRDefault="006B35C6" w:rsidP="00ED6D5E">
            <w:pPr>
              <w:spacing w:line="480" w:lineRule="auto"/>
              <w:rPr>
                <w:rFonts w:ascii="Arial" w:eastAsia="Times New Roman" w:hAnsi="Arial" w:cs="Arial"/>
                <w:sz w:val="20"/>
                <w:szCs w:val="20"/>
              </w:rPr>
            </w:pPr>
          </w:p>
        </w:tc>
        <w:tc>
          <w:tcPr>
            <w:tcW w:w="0" w:type="auto"/>
            <w:tcBorders>
              <w:top w:val="nil"/>
              <w:bottom w:val="nil"/>
            </w:tcBorders>
            <w:hideMark/>
          </w:tcPr>
          <w:p w14:paraId="0FDFFA0A"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Medium</w:t>
            </w:r>
          </w:p>
        </w:tc>
        <w:tc>
          <w:tcPr>
            <w:tcW w:w="0" w:type="auto"/>
            <w:tcBorders>
              <w:top w:val="nil"/>
              <w:bottom w:val="nil"/>
            </w:tcBorders>
            <w:hideMark/>
          </w:tcPr>
          <w:p w14:paraId="1E881DFD"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11.61</w:t>
            </w:r>
          </w:p>
        </w:tc>
        <w:tc>
          <w:tcPr>
            <w:tcW w:w="0" w:type="auto"/>
            <w:tcBorders>
              <w:top w:val="nil"/>
              <w:bottom w:val="nil"/>
            </w:tcBorders>
            <w:hideMark/>
          </w:tcPr>
          <w:p w14:paraId="66F329E8"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47.26</w:t>
            </w:r>
          </w:p>
        </w:tc>
        <w:tc>
          <w:tcPr>
            <w:tcW w:w="0" w:type="auto"/>
            <w:tcBorders>
              <w:top w:val="nil"/>
              <w:bottom w:val="nil"/>
            </w:tcBorders>
            <w:hideMark/>
          </w:tcPr>
          <w:p w14:paraId="199B8F90"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4.14</w:t>
            </w:r>
          </w:p>
        </w:tc>
      </w:tr>
      <w:tr w:rsidR="006B35C6" w:rsidRPr="00ED6D5E" w14:paraId="07004C57" w14:textId="77777777" w:rsidTr="00ED6D5E">
        <w:tc>
          <w:tcPr>
            <w:tcW w:w="0" w:type="auto"/>
            <w:vMerge/>
            <w:tcBorders>
              <w:top w:val="nil"/>
              <w:bottom w:val="single" w:sz="4" w:space="0" w:color="auto"/>
            </w:tcBorders>
            <w:hideMark/>
          </w:tcPr>
          <w:p w14:paraId="31860D11" w14:textId="77777777" w:rsidR="006B35C6" w:rsidRPr="00ED6D5E" w:rsidRDefault="006B35C6" w:rsidP="00ED6D5E">
            <w:pPr>
              <w:spacing w:line="480" w:lineRule="auto"/>
              <w:rPr>
                <w:rFonts w:ascii="Arial" w:eastAsia="Times New Roman" w:hAnsi="Arial" w:cs="Arial"/>
                <w:sz w:val="20"/>
                <w:szCs w:val="20"/>
              </w:rPr>
            </w:pPr>
          </w:p>
        </w:tc>
        <w:tc>
          <w:tcPr>
            <w:tcW w:w="0" w:type="auto"/>
            <w:tcBorders>
              <w:top w:val="nil"/>
              <w:bottom w:val="single" w:sz="4" w:space="0" w:color="auto"/>
            </w:tcBorders>
            <w:hideMark/>
          </w:tcPr>
          <w:p w14:paraId="7EB004F0"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Mature</w:t>
            </w:r>
          </w:p>
        </w:tc>
        <w:tc>
          <w:tcPr>
            <w:tcW w:w="0" w:type="auto"/>
            <w:tcBorders>
              <w:top w:val="nil"/>
              <w:bottom w:val="single" w:sz="4" w:space="0" w:color="auto"/>
            </w:tcBorders>
            <w:hideMark/>
          </w:tcPr>
          <w:p w14:paraId="41BA5B21"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9.98</w:t>
            </w:r>
          </w:p>
        </w:tc>
        <w:tc>
          <w:tcPr>
            <w:tcW w:w="0" w:type="auto"/>
            <w:tcBorders>
              <w:top w:val="nil"/>
              <w:bottom w:val="single" w:sz="4" w:space="0" w:color="auto"/>
            </w:tcBorders>
            <w:hideMark/>
          </w:tcPr>
          <w:p w14:paraId="2546E937"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53.12</w:t>
            </w:r>
          </w:p>
        </w:tc>
        <w:tc>
          <w:tcPr>
            <w:tcW w:w="0" w:type="auto"/>
            <w:tcBorders>
              <w:top w:val="nil"/>
              <w:bottom w:val="single" w:sz="4" w:space="0" w:color="auto"/>
            </w:tcBorders>
            <w:hideMark/>
          </w:tcPr>
          <w:p w14:paraId="2C6DAFDC"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2.06</w:t>
            </w:r>
          </w:p>
        </w:tc>
      </w:tr>
      <w:tr w:rsidR="006B35C6" w:rsidRPr="00ED6D5E" w14:paraId="2D9D9CF0" w14:textId="77777777" w:rsidTr="00ED6D5E">
        <w:tc>
          <w:tcPr>
            <w:tcW w:w="0" w:type="auto"/>
            <w:vMerge w:val="restart"/>
            <w:tcBorders>
              <w:top w:val="single" w:sz="4" w:space="0" w:color="auto"/>
              <w:bottom w:val="nil"/>
            </w:tcBorders>
            <w:hideMark/>
          </w:tcPr>
          <w:p w14:paraId="317D48AC" w14:textId="77777777" w:rsidR="006B35C6" w:rsidRPr="00ED6D5E" w:rsidRDefault="006B35C6"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t>Litsea</w:t>
            </w:r>
            <w:proofErr w:type="spellEnd"/>
            <w:r w:rsidRPr="00ED6D5E">
              <w:rPr>
                <w:rFonts w:ascii="Arial" w:eastAsia="Times New Roman" w:hAnsi="Arial" w:cs="Arial"/>
                <w:i/>
                <w:iCs/>
                <w:sz w:val="20"/>
                <w:szCs w:val="20"/>
              </w:rPr>
              <w:t xml:space="preserve"> polyantha</w:t>
            </w:r>
          </w:p>
        </w:tc>
        <w:tc>
          <w:tcPr>
            <w:tcW w:w="0" w:type="auto"/>
            <w:tcBorders>
              <w:top w:val="single" w:sz="4" w:space="0" w:color="auto"/>
              <w:bottom w:val="nil"/>
            </w:tcBorders>
            <w:hideMark/>
          </w:tcPr>
          <w:p w14:paraId="2E59C8A0"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Tender</w:t>
            </w:r>
          </w:p>
        </w:tc>
        <w:tc>
          <w:tcPr>
            <w:tcW w:w="0" w:type="auto"/>
            <w:tcBorders>
              <w:top w:val="single" w:sz="4" w:space="0" w:color="auto"/>
              <w:bottom w:val="nil"/>
            </w:tcBorders>
            <w:hideMark/>
          </w:tcPr>
          <w:p w14:paraId="4572694F"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17.17</w:t>
            </w:r>
          </w:p>
        </w:tc>
        <w:tc>
          <w:tcPr>
            <w:tcW w:w="0" w:type="auto"/>
            <w:tcBorders>
              <w:top w:val="single" w:sz="4" w:space="0" w:color="auto"/>
              <w:bottom w:val="nil"/>
            </w:tcBorders>
            <w:hideMark/>
          </w:tcPr>
          <w:p w14:paraId="513EC49B"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40.41</w:t>
            </w:r>
          </w:p>
        </w:tc>
        <w:tc>
          <w:tcPr>
            <w:tcW w:w="0" w:type="auto"/>
            <w:tcBorders>
              <w:top w:val="single" w:sz="4" w:space="0" w:color="auto"/>
              <w:bottom w:val="nil"/>
            </w:tcBorders>
            <w:hideMark/>
          </w:tcPr>
          <w:p w14:paraId="70093E08"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3.03</w:t>
            </w:r>
          </w:p>
        </w:tc>
      </w:tr>
      <w:tr w:rsidR="006B35C6" w:rsidRPr="00ED6D5E" w14:paraId="4418E4E3" w14:textId="77777777" w:rsidTr="00ED6D5E">
        <w:tc>
          <w:tcPr>
            <w:tcW w:w="0" w:type="auto"/>
            <w:vMerge/>
            <w:tcBorders>
              <w:top w:val="nil"/>
              <w:bottom w:val="nil"/>
            </w:tcBorders>
            <w:hideMark/>
          </w:tcPr>
          <w:p w14:paraId="129A698C" w14:textId="77777777" w:rsidR="006B35C6" w:rsidRPr="00ED6D5E" w:rsidRDefault="006B35C6" w:rsidP="00ED6D5E">
            <w:pPr>
              <w:spacing w:line="480" w:lineRule="auto"/>
              <w:rPr>
                <w:rFonts w:ascii="Arial" w:eastAsia="Times New Roman" w:hAnsi="Arial" w:cs="Arial"/>
                <w:sz w:val="20"/>
                <w:szCs w:val="20"/>
              </w:rPr>
            </w:pPr>
          </w:p>
        </w:tc>
        <w:tc>
          <w:tcPr>
            <w:tcW w:w="0" w:type="auto"/>
            <w:tcBorders>
              <w:top w:val="nil"/>
              <w:bottom w:val="nil"/>
            </w:tcBorders>
            <w:hideMark/>
          </w:tcPr>
          <w:p w14:paraId="48CFE8D7"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Medium</w:t>
            </w:r>
          </w:p>
        </w:tc>
        <w:tc>
          <w:tcPr>
            <w:tcW w:w="0" w:type="auto"/>
            <w:tcBorders>
              <w:top w:val="nil"/>
              <w:bottom w:val="nil"/>
            </w:tcBorders>
            <w:hideMark/>
          </w:tcPr>
          <w:p w14:paraId="6B2456CC"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13.67</w:t>
            </w:r>
          </w:p>
        </w:tc>
        <w:tc>
          <w:tcPr>
            <w:tcW w:w="0" w:type="auto"/>
            <w:tcBorders>
              <w:top w:val="nil"/>
              <w:bottom w:val="nil"/>
            </w:tcBorders>
            <w:hideMark/>
          </w:tcPr>
          <w:p w14:paraId="6C22B004"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101.39</w:t>
            </w:r>
          </w:p>
        </w:tc>
        <w:tc>
          <w:tcPr>
            <w:tcW w:w="0" w:type="auto"/>
            <w:tcBorders>
              <w:top w:val="nil"/>
              <w:bottom w:val="nil"/>
            </w:tcBorders>
            <w:hideMark/>
          </w:tcPr>
          <w:p w14:paraId="09C7767A"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3.22</w:t>
            </w:r>
          </w:p>
        </w:tc>
      </w:tr>
      <w:tr w:rsidR="006B35C6" w:rsidRPr="00ED6D5E" w14:paraId="62312406" w14:textId="77777777" w:rsidTr="00ED6D5E">
        <w:tc>
          <w:tcPr>
            <w:tcW w:w="0" w:type="auto"/>
            <w:vMerge/>
            <w:tcBorders>
              <w:top w:val="nil"/>
              <w:bottom w:val="single" w:sz="4" w:space="0" w:color="auto"/>
            </w:tcBorders>
            <w:hideMark/>
          </w:tcPr>
          <w:p w14:paraId="0A11A5A5" w14:textId="77777777" w:rsidR="006B35C6" w:rsidRPr="00ED6D5E" w:rsidRDefault="006B35C6" w:rsidP="00ED6D5E">
            <w:pPr>
              <w:spacing w:line="480" w:lineRule="auto"/>
              <w:rPr>
                <w:rFonts w:ascii="Arial" w:eastAsia="Times New Roman" w:hAnsi="Arial" w:cs="Arial"/>
                <w:sz w:val="20"/>
                <w:szCs w:val="20"/>
              </w:rPr>
            </w:pPr>
          </w:p>
        </w:tc>
        <w:tc>
          <w:tcPr>
            <w:tcW w:w="0" w:type="auto"/>
            <w:tcBorders>
              <w:top w:val="nil"/>
              <w:bottom w:val="single" w:sz="4" w:space="0" w:color="auto"/>
            </w:tcBorders>
            <w:hideMark/>
          </w:tcPr>
          <w:p w14:paraId="620C61DD"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Mature</w:t>
            </w:r>
          </w:p>
        </w:tc>
        <w:tc>
          <w:tcPr>
            <w:tcW w:w="0" w:type="auto"/>
            <w:tcBorders>
              <w:top w:val="nil"/>
              <w:bottom w:val="single" w:sz="4" w:space="0" w:color="auto"/>
            </w:tcBorders>
            <w:hideMark/>
          </w:tcPr>
          <w:p w14:paraId="10133A99"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11.19</w:t>
            </w:r>
          </w:p>
        </w:tc>
        <w:tc>
          <w:tcPr>
            <w:tcW w:w="0" w:type="auto"/>
            <w:tcBorders>
              <w:top w:val="nil"/>
              <w:bottom w:val="single" w:sz="4" w:space="0" w:color="auto"/>
            </w:tcBorders>
            <w:hideMark/>
          </w:tcPr>
          <w:p w14:paraId="4CBBB4DB"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34.30</w:t>
            </w:r>
          </w:p>
        </w:tc>
        <w:tc>
          <w:tcPr>
            <w:tcW w:w="0" w:type="auto"/>
            <w:tcBorders>
              <w:top w:val="nil"/>
              <w:bottom w:val="single" w:sz="4" w:space="0" w:color="auto"/>
            </w:tcBorders>
            <w:hideMark/>
          </w:tcPr>
          <w:p w14:paraId="58161504"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1.44</w:t>
            </w:r>
          </w:p>
        </w:tc>
      </w:tr>
      <w:tr w:rsidR="006B35C6" w:rsidRPr="00ED6D5E" w14:paraId="69179401" w14:textId="77777777" w:rsidTr="00ED6D5E">
        <w:tc>
          <w:tcPr>
            <w:tcW w:w="0" w:type="auto"/>
            <w:vMerge w:val="restart"/>
            <w:tcBorders>
              <w:top w:val="single" w:sz="4" w:space="0" w:color="auto"/>
              <w:bottom w:val="nil"/>
            </w:tcBorders>
            <w:hideMark/>
          </w:tcPr>
          <w:p w14:paraId="123FF7C3" w14:textId="77777777" w:rsidR="006B35C6" w:rsidRPr="00ED6D5E" w:rsidRDefault="006B35C6"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lastRenderedPageBreak/>
              <w:t>Litsea</w:t>
            </w:r>
            <w:proofErr w:type="spellEnd"/>
            <w:r w:rsidRPr="00ED6D5E">
              <w:rPr>
                <w:rFonts w:ascii="Arial" w:eastAsia="Times New Roman" w:hAnsi="Arial" w:cs="Arial"/>
                <w:i/>
                <w:iCs/>
                <w:sz w:val="20"/>
                <w:szCs w:val="20"/>
              </w:rPr>
              <w:t xml:space="preserve"> </w:t>
            </w:r>
            <w:proofErr w:type="spellStart"/>
            <w:r w:rsidRPr="00ED6D5E">
              <w:rPr>
                <w:rFonts w:ascii="Arial" w:eastAsia="Times New Roman" w:hAnsi="Arial" w:cs="Arial"/>
                <w:i/>
                <w:iCs/>
                <w:sz w:val="20"/>
                <w:szCs w:val="20"/>
              </w:rPr>
              <w:t>salicifolia</w:t>
            </w:r>
            <w:proofErr w:type="spellEnd"/>
          </w:p>
        </w:tc>
        <w:tc>
          <w:tcPr>
            <w:tcW w:w="0" w:type="auto"/>
            <w:tcBorders>
              <w:top w:val="single" w:sz="4" w:space="0" w:color="auto"/>
              <w:bottom w:val="nil"/>
            </w:tcBorders>
            <w:hideMark/>
          </w:tcPr>
          <w:p w14:paraId="3B10B7CD"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Tender</w:t>
            </w:r>
          </w:p>
        </w:tc>
        <w:tc>
          <w:tcPr>
            <w:tcW w:w="0" w:type="auto"/>
            <w:tcBorders>
              <w:top w:val="single" w:sz="4" w:space="0" w:color="auto"/>
              <w:bottom w:val="nil"/>
            </w:tcBorders>
            <w:hideMark/>
          </w:tcPr>
          <w:p w14:paraId="0B6803A6"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14.23</w:t>
            </w:r>
          </w:p>
        </w:tc>
        <w:tc>
          <w:tcPr>
            <w:tcW w:w="0" w:type="auto"/>
            <w:tcBorders>
              <w:top w:val="single" w:sz="4" w:space="0" w:color="auto"/>
              <w:bottom w:val="nil"/>
            </w:tcBorders>
            <w:hideMark/>
          </w:tcPr>
          <w:p w14:paraId="3060B86B"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31.10</w:t>
            </w:r>
          </w:p>
        </w:tc>
        <w:tc>
          <w:tcPr>
            <w:tcW w:w="0" w:type="auto"/>
            <w:tcBorders>
              <w:top w:val="single" w:sz="4" w:space="0" w:color="auto"/>
              <w:bottom w:val="nil"/>
            </w:tcBorders>
            <w:hideMark/>
          </w:tcPr>
          <w:p w14:paraId="098FB4CB"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2.54</w:t>
            </w:r>
          </w:p>
        </w:tc>
      </w:tr>
      <w:tr w:rsidR="006B35C6" w:rsidRPr="00ED6D5E" w14:paraId="54852B48" w14:textId="77777777" w:rsidTr="00ED6D5E">
        <w:tc>
          <w:tcPr>
            <w:tcW w:w="0" w:type="auto"/>
            <w:vMerge/>
            <w:tcBorders>
              <w:top w:val="nil"/>
              <w:bottom w:val="nil"/>
            </w:tcBorders>
            <w:hideMark/>
          </w:tcPr>
          <w:p w14:paraId="4895D669" w14:textId="77777777" w:rsidR="006B35C6" w:rsidRPr="00ED6D5E" w:rsidRDefault="006B35C6" w:rsidP="00ED6D5E">
            <w:pPr>
              <w:spacing w:line="480" w:lineRule="auto"/>
              <w:rPr>
                <w:rFonts w:ascii="Arial" w:eastAsia="Times New Roman" w:hAnsi="Arial" w:cs="Arial"/>
                <w:sz w:val="20"/>
                <w:szCs w:val="20"/>
              </w:rPr>
            </w:pPr>
          </w:p>
        </w:tc>
        <w:tc>
          <w:tcPr>
            <w:tcW w:w="0" w:type="auto"/>
            <w:tcBorders>
              <w:top w:val="nil"/>
              <w:bottom w:val="nil"/>
            </w:tcBorders>
            <w:hideMark/>
          </w:tcPr>
          <w:p w14:paraId="374F5123"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Medium</w:t>
            </w:r>
          </w:p>
        </w:tc>
        <w:tc>
          <w:tcPr>
            <w:tcW w:w="0" w:type="auto"/>
            <w:tcBorders>
              <w:top w:val="nil"/>
              <w:bottom w:val="nil"/>
            </w:tcBorders>
            <w:hideMark/>
          </w:tcPr>
          <w:p w14:paraId="78E88121"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13.03</w:t>
            </w:r>
          </w:p>
        </w:tc>
        <w:tc>
          <w:tcPr>
            <w:tcW w:w="0" w:type="auto"/>
            <w:tcBorders>
              <w:top w:val="nil"/>
              <w:bottom w:val="nil"/>
            </w:tcBorders>
            <w:hideMark/>
          </w:tcPr>
          <w:p w14:paraId="0AAED1E4"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47.51</w:t>
            </w:r>
          </w:p>
        </w:tc>
        <w:tc>
          <w:tcPr>
            <w:tcW w:w="0" w:type="auto"/>
            <w:tcBorders>
              <w:top w:val="nil"/>
              <w:bottom w:val="nil"/>
            </w:tcBorders>
            <w:hideMark/>
          </w:tcPr>
          <w:p w14:paraId="6FB6D7E4"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2.42</w:t>
            </w:r>
          </w:p>
        </w:tc>
      </w:tr>
      <w:tr w:rsidR="006B35C6" w:rsidRPr="00ED6D5E" w14:paraId="64C1EDB2" w14:textId="77777777" w:rsidTr="00ED6D5E">
        <w:tc>
          <w:tcPr>
            <w:tcW w:w="0" w:type="auto"/>
            <w:vMerge/>
            <w:tcBorders>
              <w:top w:val="nil"/>
              <w:bottom w:val="single" w:sz="4" w:space="0" w:color="auto"/>
            </w:tcBorders>
            <w:hideMark/>
          </w:tcPr>
          <w:p w14:paraId="13DA40E6" w14:textId="77777777" w:rsidR="006B35C6" w:rsidRPr="00ED6D5E" w:rsidRDefault="006B35C6" w:rsidP="00ED6D5E">
            <w:pPr>
              <w:spacing w:line="480" w:lineRule="auto"/>
              <w:rPr>
                <w:rFonts w:ascii="Arial" w:eastAsia="Times New Roman" w:hAnsi="Arial" w:cs="Arial"/>
                <w:sz w:val="20"/>
                <w:szCs w:val="20"/>
              </w:rPr>
            </w:pPr>
          </w:p>
        </w:tc>
        <w:tc>
          <w:tcPr>
            <w:tcW w:w="0" w:type="auto"/>
            <w:tcBorders>
              <w:top w:val="nil"/>
              <w:bottom w:val="single" w:sz="4" w:space="0" w:color="auto"/>
            </w:tcBorders>
            <w:hideMark/>
          </w:tcPr>
          <w:p w14:paraId="36F885EE"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Mature</w:t>
            </w:r>
          </w:p>
        </w:tc>
        <w:tc>
          <w:tcPr>
            <w:tcW w:w="0" w:type="auto"/>
            <w:tcBorders>
              <w:top w:val="nil"/>
              <w:bottom w:val="single" w:sz="4" w:space="0" w:color="auto"/>
            </w:tcBorders>
            <w:hideMark/>
          </w:tcPr>
          <w:p w14:paraId="7736D526"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9.44</w:t>
            </w:r>
          </w:p>
        </w:tc>
        <w:tc>
          <w:tcPr>
            <w:tcW w:w="0" w:type="auto"/>
            <w:tcBorders>
              <w:top w:val="nil"/>
              <w:bottom w:val="single" w:sz="4" w:space="0" w:color="auto"/>
            </w:tcBorders>
            <w:hideMark/>
          </w:tcPr>
          <w:p w14:paraId="0D9BFCE8"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101.97</w:t>
            </w:r>
          </w:p>
        </w:tc>
        <w:tc>
          <w:tcPr>
            <w:tcW w:w="0" w:type="auto"/>
            <w:tcBorders>
              <w:top w:val="nil"/>
              <w:bottom w:val="single" w:sz="4" w:space="0" w:color="auto"/>
            </w:tcBorders>
            <w:hideMark/>
          </w:tcPr>
          <w:p w14:paraId="34420B8D"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1.19</w:t>
            </w:r>
          </w:p>
        </w:tc>
      </w:tr>
      <w:tr w:rsidR="006B35C6" w:rsidRPr="00ED6D5E" w14:paraId="6228045D" w14:textId="77777777" w:rsidTr="00ED6D5E">
        <w:tc>
          <w:tcPr>
            <w:tcW w:w="0" w:type="auto"/>
            <w:vMerge w:val="restart"/>
            <w:tcBorders>
              <w:top w:val="single" w:sz="4" w:space="0" w:color="auto"/>
              <w:bottom w:val="nil"/>
            </w:tcBorders>
            <w:hideMark/>
          </w:tcPr>
          <w:p w14:paraId="7EC8BED2" w14:textId="77777777" w:rsidR="006B35C6" w:rsidRPr="00ED6D5E" w:rsidRDefault="006B35C6" w:rsidP="00ED6D5E">
            <w:pPr>
              <w:spacing w:line="480" w:lineRule="auto"/>
              <w:rPr>
                <w:rFonts w:ascii="Arial" w:eastAsia="Times New Roman" w:hAnsi="Arial" w:cs="Arial"/>
                <w:sz w:val="20"/>
                <w:szCs w:val="20"/>
              </w:rPr>
            </w:pPr>
            <w:proofErr w:type="spellStart"/>
            <w:r w:rsidRPr="00ED6D5E">
              <w:rPr>
                <w:rFonts w:ascii="Arial" w:eastAsia="Times New Roman" w:hAnsi="Arial" w:cs="Arial"/>
                <w:i/>
                <w:iCs/>
                <w:sz w:val="20"/>
                <w:szCs w:val="20"/>
              </w:rPr>
              <w:t>Litsea</w:t>
            </w:r>
            <w:proofErr w:type="spellEnd"/>
            <w:r w:rsidRPr="00ED6D5E">
              <w:rPr>
                <w:rFonts w:ascii="Arial" w:eastAsia="Times New Roman" w:hAnsi="Arial" w:cs="Arial"/>
                <w:i/>
                <w:iCs/>
                <w:sz w:val="20"/>
                <w:szCs w:val="20"/>
              </w:rPr>
              <w:t xml:space="preserve"> </w:t>
            </w:r>
            <w:proofErr w:type="spellStart"/>
            <w:r w:rsidRPr="00ED6D5E">
              <w:rPr>
                <w:rFonts w:ascii="Arial" w:eastAsia="Times New Roman" w:hAnsi="Arial" w:cs="Arial"/>
                <w:i/>
                <w:iCs/>
                <w:sz w:val="20"/>
                <w:szCs w:val="20"/>
              </w:rPr>
              <w:t>citrata</w:t>
            </w:r>
            <w:proofErr w:type="spellEnd"/>
          </w:p>
        </w:tc>
        <w:tc>
          <w:tcPr>
            <w:tcW w:w="0" w:type="auto"/>
            <w:tcBorders>
              <w:top w:val="single" w:sz="4" w:space="0" w:color="auto"/>
              <w:bottom w:val="nil"/>
            </w:tcBorders>
            <w:hideMark/>
          </w:tcPr>
          <w:p w14:paraId="764D7379"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Tender</w:t>
            </w:r>
          </w:p>
        </w:tc>
        <w:tc>
          <w:tcPr>
            <w:tcW w:w="0" w:type="auto"/>
            <w:tcBorders>
              <w:top w:val="single" w:sz="4" w:space="0" w:color="auto"/>
              <w:bottom w:val="nil"/>
            </w:tcBorders>
            <w:hideMark/>
          </w:tcPr>
          <w:p w14:paraId="1453EC76"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12.13</w:t>
            </w:r>
          </w:p>
        </w:tc>
        <w:tc>
          <w:tcPr>
            <w:tcW w:w="0" w:type="auto"/>
            <w:tcBorders>
              <w:top w:val="single" w:sz="4" w:space="0" w:color="auto"/>
              <w:bottom w:val="nil"/>
            </w:tcBorders>
            <w:hideMark/>
          </w:tcPr>
          <w:p w14:paraId="72A315F3"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34.51</w:t>
            </w:r>
          </w:p>
        </w:tc>
        <w:tc>
          <w:tcPr>
            <w:tcW w:w="0" w:type="auto"/>
            <w:tcBorders>
              <w:top w:val="single" w:sz="4" w:space="0" w:color="auto"/>
              <w:bottom w:val="nil"/>
            </w:tcBorders>
            <w:hideMark/>
          </w:tcPr>
          <w:p w14:paraId="758DF61F"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2.52</w:t>
            </w:r>
          </w:p>
        </w:tc>
      </w:tr>
      <w:tr w:rsidR="006B35C6" w:rsidRPr="00ED6D5E" w14:paraId="72BE53A0" w14:textId="77777777" w:rsidTr="00ED6D5E">
        <w:tc>
          <w:tcPr>
            <w:tcW w:w="0" w:type="auto"/>
            <w:vMerge/>
            <w:tcBorders>
              <w:top w:val="nil"/>
            </w:tcBorders>
            <w:hideMark/>
          </w:tcPr>
          <w:p w14:paraId="343C3C6D" w14:textId="77777777" w:rsidR="006B35C6" w:rsidRPr="00ED6D5E" w:rsidRDefault="006B35C6" w:rsidP="00ED6D5E">
            <w:pPr>
              <w:spacing w:line="480" w:lineRule="auto"/>
              <w:rPr>
                <w:rFonts w:ascii="Arial" w:eastAsia="Times New Roman" w:hAnsi="Arial" w:cs="Arial"/>
                <w:sz w:val="20"/>
                <w:szCs w:val="20"/>
              </w:rPr>
            </w:pPr>
          </w:p>
        </w:tc>
        <w:tc>
          <w:tcPr>
            <w:tcW w:w="0" w:type="auto"/>
            <w:tcBorders>
              <w:top w:val="nil"/>
            </w:tcBorders>
            <w:hideMark/>
          </w:tcPr>
          <w:p w14:paraId="05E6F6DF"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Medium</w:t>
            </w:r>
          </w:p>
        </w:tc>
        <w:tc>
          <w:tcPr>
            <w:tcW w:w="0" w:type="auto"/>
            <w:tcBorders>
              <w:top w:val="nil"/>
            </w:tcBorders>
            <w:hideMark/>
          </w:tcPr>
          <w:p w14:paraId="08997140"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9.93</w:t>
            </w:r>
          </w:p>
        </w:tc>
        <w:tc>
          <w:tcPr>
            <w:tcW w:w="0" w:type="auto"/>
            <w:tcBorders>
              <w:top w:val="nil"/>
            </w:tcBorders>
            <w:hideMark/>
          </w:tcPr>
          <w:p w14:paraId="019A6C7C"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15.50</w:t>
            </w:r>
          </w:p>
        </w:tc>
        <w:tc>
          <w:tcPr>
            <w:tcW w:w="0" w:type="auto"/>
            <w:tcBorders>
              <w:top w:val="nil"/>
            </w:tcBorders>
            <w:hideMark/>
          </w:tcPr>
          <w:p w14:paraId="1C40886C"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1.81</w:t>
            </w:r>
          </w:p>
        </w:tc>
      </w:tr>
      <w:tr w:rsidR="006B35C6" w:rsidRPr="00ED6D5E" w14:paraId="7F91FE97" w14:textId="77777777" w:rsidTr="00ED6D5E">
        <w:tc>
          <w:tcPr>
            <w:tcW w:w="0" w:type="auto"/>
            <w:vMerge/>
            <w:hideMark/>
          </w:tcPr>
          <w:p w14:paraId="0A9B15E8" w14:textId="77777777" w:rsidR="006B35C6" w:rsidRPr="00ED6D5E" w:rsidRDefault="006B35C6" w:rsidP="00ED6D5E">
            <w:pPr>
              <w:spacing w:line="480" w:lineRule="auto"/>
              <w:rPr>
                <w:rFonts w:ascii="Arial" w:eastAsia="Times New Roman" w:hAnsi="Arial" w:cs="Arial"/>
                <w:sz w:val="20"/>
                <w:szCs w:val="20"/>
              </w:rPr>
            </w:pPr>
          </w:p>
        </w:tc>
        <w:tc>
          <w:tcPr>
            <w:tcW w:w="0" w:type="auto"/>
            <w:hideMark/>
          </w:tcPr>
          <w:p w14:paraId="7AA40905"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Mature</w:t>
            </w:r>
          </w:p>
        </w:tc>
        <w:tc>
          <w:tcPr>
            <w:tcW w:w="0" w:type="auto"/>
            <w:hideMark/>
          </w:tcPr>
          <w:p w14:paraId="01FAF750"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8.86</w:t>
            </w:r>
          </w:p>
        </w:tc>
        <w:tc>
          <w:tcPr>
            <w:tcW w:w="0" w:type="auto"/>
            <w:hideMark/>
          </w:tcPr>
          <w:p w14:paraId="13EE5A28"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28.43</w:t>
            </w:r>
          </w:p>
        </w:tc>
        <w:tc>
          <w:tcPr>
            <w:tcW w:w="0" w:type="auto"/>
            <w:hideMark/>
          </w:tcPr>
          <w:p w14:paraId="3A057CD0" w14:textId="77777777"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0.96</w:t>
            </w:r>
          </w:p>
        </w:tc>
      </w:tr>
    </w:tbl>
    <w:p w14:paraId="1EE0EE8E" w14:textId="77777777" w:rsidR="006B35C6" w:rsidRPr="00ED6D5E" w:rsidRDefault="00870964" w:rsidP="006B35C6">
      <w:pPr>
        <w:pStyle w:val="NormalWeb"/>
        <w:jc w:val="both"/>
        <w:rPr>
          <w:rFonts w:ascii="Arial" w:hAnsi="Arial" w:cs="Arial"/>
          <w:sz w:val="20"/>
          <w:szCs w:val="20"/>
        </w:rPr>
      </w:pPr>
      <w:r w:rsidRPr="00ED6D5E">
        <w:rPr>
          <w:rFonts w:ascii="Arial" w:hAnsi="Arial" w:cs="Arial"/>
          <w:sz w:val="20"/>
          <w:szCs w:val="20"/>
        </w:rPr>
        <w:t>(</w:t>
      </w:r>
      <w:r w:rsidRPr="008A39C8">
        <w:rPr>
          <w:rFonts w:ascii="Arial" w:hAnsi="Arial" w:cs="Arial"/>
          <w:sz w:val="20"/>
          <w:szCs w:val="20"/>
        </w:rPr>
        <w:t xml:space="preserve">Neog </w:t>
      </w:r>
      <w:r w:rsidRPr="008A39C8">
        <w:rPr>
          <w:rFonts w:ascii="Arial" w:hAnsi="Arial" w:cs="Arial"/>
          <w:i/>
          <w:sz w:val="20"/>
          <w:szCs w:val="20"/>
        </w:rPr>
        <w:t>et al.,</w:t>
      </w:r>
      <w:r w:rsidRPr="008A39C8">
        <w:rPr>
          <w:rFonts w:ascii="Arial" w:hAnsi="Arial" w:cs="Arial"/>
          <w:sz w:val="20"/>
          <w:szCs w:val="20"/>
        </w:rPr>
        <w:t xml:space="preserve"> 2011</w:t>
      </w:r>
      <w:r w:rsidRPr="00ED6D5E">
        <w:rPr>
          <w:rFonts w:ascii="Arial" w:hAnsi="Arial" w:cs="Arial"/>
          <w:sz w:val="20"/>
          <w:szCs w:val="20"/>
        </w:rPr>
        <w:t xml:space="preserve"> b)</w:t>
      </w:r>
    </w:p>
    <w:p w14:paraId="362C6F44" w14:textId="77777777" w:rsidR="003A7412" w:rsidRPr="00ED6D5E" w:rsidRDefault="00ED6D5E" w:rsidP="003A7412">
      <w:pPr>
        <w:pStyle w:val="Heading4"/>
        <w:rPr>
          <w:rFonts w:ascii="Arial" w:hAnsi="Arial" w:cs="Arial"/>
          <w:i w:val="0"/>
          <w:color w:val="auto"/>
        </w:rPr>
      </w:pPr>
      <w:r w:rsidRPr="00ED6D5E">
        <w:rPr>
          <w:rFonts w:ascii="Arial" w:hAnsi="Arial" w:cs="Arial"/>
          <w:i w:val="0"/>
          <w:color w:val="auto"/>
        </w:rPr>
        <w:t>6</w:t>
      </w:r>
      <w:r w:rsidR="003A7412" w:rsidRPr="00ED6D5E">
        <w:rPr>
          <w:rFonts w:ascii="Arial" w:hAnsi="Arial" w:cs="Arial"/>
          <w:i w:val="0"/>
          <w:color w:val="auto"/>
        </w:rPr>
        <w:t>.2 Role of Chemical Stimulants</w:t>
      </w:r>
    </w:p>
    <w:p w14:paraId="61B54796" w14:textId="77777777" w:rsidR="003A7412" w:rsidRPr="00D250E0" w:rsidRDefault="003A7412" w:rsidP="006B35C6">
      <w:pPr>
        <w:pStyle w:val="NormalWeb"/>
        <w:jc w:val="both"/>
        <w:rPr>
          <w:rFonts w:ascii="Arial" w:hAnsi="Arial" w:cs="Arial"/>
          <w:sz w:val="20"/>
          <w:szCs w:val="20"/>
        </w:rPr>
      </w:pPr>
      <w:r w:rsidRPr="00D250E0">
        <w:rPr>
          <w:rFonts w:ascii="Arial" w:hAnsi="Arial" w:cs="Arial"/>
          <w:sz w:val="20"/>
          <w:szCs w:val="20"/>
        </w:rPr>
        <w:t xml:space="preserve">Feeding stimulation in </w:t>
      </w:r>
      <w:r w:rsidRPr="00D250E0">
        <w:rPr>
          <w:rStyle w:val="Emphasis"/>
          <w:rFonts w:ascii="Arial" w:hAnsi="Arial" w:cs="Arial"/>
          <w:sz w:val="20"/>
          <w:szCs w:val="20"/>
        </w:rPr>
        <w:t xml:space="preserve">A. </w:t>
      </w:r>
      <w:proofErr w:type="spellStart"/>
      <w:r w:rsidRPr="00D250E0">
        <w:rPr>
          <w:rStyle w:val="Emphasis"/>
          <w:rFonts w:ascii="Arial" w:hAnsi="Arial" w:cs="Arial"/>
          <w:sz w:val="20"/>
          <w:szCs w:val="20"/>
        </w:rPr>
        <w:t>assamensis</w:t>
      </w:r>
      <w:proofErr w:type="spellEnd"/>
      <w:r w:rsidRPr="00D250E0">
        <w:rPr>
          <w:rFonts w:ascii="Arial" w:hAnsi="Arial" w:cs="Arial"/>
          <w:sz w:val="20"/>
          <w:szCs w:val="20"/>
        </w:rPr>
        <w:t xml:space="preserve"> is driven by an array of phytochemicals. Flavonoids such as myricetin and 7,2’,4’-trimethoxy-dihydroxy flavo</w:t>
      </w:r>
      <w:r w:rsidR="006B35C6" w:rsidRPr="00D250E0">
        <w:rPr>
          <w:rFonts w:ascii="Arial" w:hAnsi="Arial" w:cs="Arial"/>
          <w:sz w:val="20"/>
          <w:szCs w:val="20"/>
        </w:rPr>
        <w:t>ne, along with β-sitosterol (0.69–1.06 %</w:t>
      </w:r>
      <w:r w:rsidRPr="00D250E0">
        <w:rPr>
          <w:rFonts w:ascii="Arial" w:hAnsi="Arial" w:cs="Arial"/>
          <w:sz w:val="20"/>
          <w:szCs w:val="20"/>
        </w:rPr>
        <w:t>), are crucial in eliciting biting and acceptance behaviors. Additionally, volatile terpenoids like ca</w:t>
      </w:r>
      <w:r w:rsidR="00622967" w:rsidRPr="00D250E0">
        <w:rPr>
          <w:rFonts w:ascii="Arial" w:hAnsi="Arial" w:cs="Arial"/>
          <w:sz w:val="20"/>
          <w:szCs w:val="20"/>
        </w:rPr>
        <w:t xml:space="preserve">ryophyllene and linalyl acetate, detected via olfactory pathways </w:t>
      </w:r>
      <w:r w:rsidRPr="00D250E0">
        <w:rPr>
          <w:rFonts w:ascii="Arial" w:hAnsi="Arial" w:cs="Arial"/>
          <w:sz w:val="20"/>
          <w:szCs w:val="20"/>
        </w:rPr>
        <w:t>act as attractants that guide larvae toward suitable foliage. These chemicals, often concentrated in younger leaves, serve as both feeding cues and developmental enhancers (</w:t>
      </w:r>
      <w:r w:rsidR="00D250E0" w:rsidRPr="00D250E0">
        <w:rPr>
          <w:rStyle w:val="Strong"/>
          <w:rFonts w:ascii="Arial" w:hAnsi="Arial" w:cs="Arial"/>
          <w:b w:val="0"/>
          <w:sz w:val="20"/>
          <w:szCs w:val="20"/>
        </w:rPr>
        <w:t>Mech &amp; Vijay</w:t>
      </w:r>
      <w:r w:rsidR="00D250E0" w:rsidRPr="008A39C8">
        <w:rPr>
          <w:rFonts w:ascii="Arial" w:hAnsi="Arial" w:cs="Arial"/>
          <w:sz w:val="20"/>
          <w:szCs w:val="20"/>
        </w:rPr>
        <w:t>, 2022</w:t>
      </w:r>
      <w:r w:rsidRPr="008A39C8">
        <w:rPr>
          <w:rFonts w:ascii="Arial" w:hAnsi="Arial" w:cs="Arial"/>
          <w:sz w:val="20"/>
          <w:szCs w:val="20"/>
        </w:rPr>
        <w:t xml:space="preserve">; </w:t>
      </w:r>
      <w:proofErr w:type="spellStart"/>
      <w:r w:rsidRPr="008A39C8">
        <w:rPr>
          <w:rFonts w:ascii="Arial" w:hAnsi="Arial" w:cs="Arial"/>
          <w:sz w:val="20"/>
          <w:szCs w:val="20"/>
        </w:rPr>
        <w:t>Tikader</w:t>
      </w:r>
      <w:proofErr w:type="spellEnd"/>
      <w:r w:rsidRPr="008A39C8">
        <w:rPr>
          <w:rFonts w:ascii="Arial" w:hAnsi="Arial" w:cs="Arial"/>
          <w:sz w:val="20"/>
          <w:szCs w:val="20"/>
        </w:rPr>
        <w:t xml:space="preserve"> </w:t>
      </w:r>
      <w:r w:rsidRPr="008A39C8">
        <w:rPr>
          <w:rFonts w:ascii="Arial" w:hAnsi="Arial" w:cs="Arial"/>
          <w:i/>
          <w:sz w:val="20"/>
          <w:szCs w:val="20"/>
        </w:rPr>
        <w:t>et al.,</w:t>
      </w:r>
      <w:r w:rsidRPr="008A39C8">
        <w:rPr>
          <w:rFonts w:ascii="Arial" w:hAnsi="Arial" w:cs="Arial"/>
          <w:sz w:val="20"/>
          <w:szCs w:val="20"/>
        </w:rPr>
        <w:t xml:space="preserve"> 2013</w:t>
      </w:r>
      <w:r w:rsidRPr="00D250E0">
        <w:rPr>
          <w:rFonts w:ascii="Arial" w:hAnsi="Arial" w:cs="Arial"/>
          <w:sz w:val="20"/>
          <w:szCs w:val="20"/>
        </w:rPr>
        <w:t>).</w:t>
      </w:r>
    </w:p>
    <w:p w14:paraId="02883511" w14:textId="77777777" w:rsidR="003A7412" w:rsidRPr="00ED6D5E" w:rsidRDefault="00ED6D5E" w:rsidP="003A7412">
      <w:pPr>
        <w:pStyle w:val="Heading4"/>
        <w:rPr>
          <w:rFonts w:ascii="Arial" w:hAnsi="Arial" w:cs="Arial"/>
          <w:i w:val="0"/>
          <w:color w:val="auto"/>
        </w:rPr>
      </w:pPr>
      <w:r w:rsidRPr="00ED6D5E">
        <w:rPr>
          <w:rFonts w:ascii="Arial" w:hAnsi="Arial" w:cs="Arial"/>
          <w:i w:val="0"/>
          <w:color w:val="auto"/>
        </w:rPr>
        <w:t>6</w:t>
      </w:r>
      <w:r w:rsidR="003A7412" w:rsidRPr="00ED6D5E">
        <w:rPr>
          <w:rFonts w:ascii="Arial" w:hAnsi="Arial" w:cs="Arial"/>
          <w:i w:val="0"/>
          <w:color w:val="auto"/>
        </w:rPr>
        <w:t>.3 Secondary Metabolite Analysis</w:t>
      </w:r>
    </w:p>
    <w:p w14:paraId="3E686C0C" w14:textId="77777777" w:rsidR="003A7412" w:rsidRPr="00D250E0" w:rsidRDefault="003A7412" w:rsidP="006B35C6">
      <w:pPr>
        <w:pStyle w:val="NormalWeb"/>
        <w:jc w:val="both"/>
        <w:rPr>
          <w:rFonts w:ascii="Arial" w:hAnsi="Arial" w:cs="Arial"/>
          <w:sz w:val="20"/>
          <w:szCs w:val="20"/>
        </w:rPr>
      </w:pPr>
      <w:r w:rsidRPr="00D250E0">
        <w:rPr>
          <w:rFonts w:ascii="Arial" w:hAnsi="Arial" w:cs="Arial"/>
          <w:sz w:val="20"/>
          <w:szCs w:val="20"/>
        </w:rPr>
        <w:t xml:space="preserve">High-performance liquid chromatography (HPLC) profiling of </w:t>
      </w:r>
      <w:r w:rsidRPr="00D250E0">
        <w:rPr>
          <w:rStyle w:val="Emphasis"/>
          <w:rFonts w:ascii="Arial" w:hAnsi="Arial" w:cs="Arial"/>
          <w:sz w:val="20"/>
          <w:szCs w:val="20"/>
        </w:rPr>
        <w:t xml:space="preserve">P. </w:t>
      </w:r>
      <w:proofErr w:type="spellStart"/>
      <w:r w:rsidRPr="00D250E0">
        <w:rPr>
          <w:rStyle w:val="Emphasis"/>
          <w:rFonts w:ascii="Arial" w:hAnsi="Arial" w:cs="Arial"/>
          <w:sz w:val="20"/>
          <w:szCs w:val="20"/>
        </w:rPr>
        <w:t>bombycina</w:t>
      </w:r>
      <w:proofErr w:type="spellEnd"/>
      <w:r w:rsidRPr="00D250E0">
        <w:rPr>
          <w:rFonts w:ascii="Arial" w:hAnsi="Arial" w:cs="Arial"/>
          <w:sz w:val="20"/>
          <w:szCs w:val="20"/>
        </w:rPr>
        <w:t xml:space="preserve"> leaves has revealed high concent</w:t>
      </w:r>
      <w:r w:rsidR="006B35C6" w:rsidRPr="00D250E0">
        <w:rPr>
          <w:rFonts w:ascii="Arial" w:hAnsi="Arial" w:cs="Arial"/>
          <w:sz w:val="20"/>
          <w:szCs w:val="20"/>
        </w:rPr>
        <w:t>rations of chlorogenic acid (1.45–2.06</w:t>
      </w:r>
      <w:r w:rsidRPr="00D250E0">
        <w:rPr>
          <w:rFonts w:ascii="Arial" w:hAnsi="Arial" w:cs="Arial"/>
          <w:sz w:val="20"/>
          <w:szCs w:val="20"/>
        </w:rPr>
        <w:t xml:space="preserve"> </w:t>
      </w:r>
      <w:r w:rsidR="006B35C6" w:rsidRPr="00D250E0">
        <w:rPr>
          <w:rFonts w:ascii="Arial" w:hAnsi="Arial" w:cs="Arial"/>
          <w:sz w:val="20"/>
          <w:szCs w:val="20"/>
        </w:rPr>
        <w:t>%</w:t>
      </w:r>
      <w:r w:rsidRPr="00D250E0">
        <w:rPr>
          <w:rFonts w:ascii="Arial" w:hAnsi="Arial" w:cs="Arial"/>
          <w:sz w:val="20"/>
          <w:szCs w:val="20"/>
        </w:rPr>
        <w:t>) and β-sitosterol in</w:t>
      </w:r>
      <w:r w:rsidR="006B35C6" w:rsidRPr="00D250E0">
        <w:rPr>
          <w:rFonts w:ascii="Arial" w:hAnsi="Arial" w:cs="Arial"/>
          <w:sz w:val="20"/>
          <w:szCs w:val="20"/>
        </w:rPr>
        <w:t xml:space="preserve"> tender and semi-mature stages, </w:t>
      </w:r>
      <w:r w:rsidRPr="00D250E0">
        <w:rPr>
          <w:rFonts w:ascii="Arial" w:hAnsi="Arial" w:cs="Arial"/>
          <w:sz w:val="20"/>
          <w:szCs w:val="20"/>
        </w:rPr>
        <w:t xml:space="preserve">which contribute to palatability and possess antioxidant and antimicrobial properties. Such compounds play a significant role not only in stimulating larval feeding but also in enhancing cocoon quality and larval immunity </w:t>
      </w:r>
      <w:r w:rsidRPr="008A39C8">
        <w:rPr>
          <w:rFonts w:ascii="Arial" w:hAnsi="Arial" w:cs="Arial"/>
          <w:sz w:val="20"/>
          <w:szCs w:val="20"/>
        </w:rPr>
        <w:t xml:space="preserve">(Das </w:t>
      </w:r>
      <w:r w:rsidRPr="008A39C8">
        <w:rPr>
          <w:rFonts w:ascii="Arial" w:hAnsi="Arial" w:cs="Arial"/>
          <w:i/>
          <w:sz w:val="20"/>
          <w:szCs w:val="20"/>
        </w:rPr>
        <w:t>et al.,</w:t>
      </w:r>
      <w:r w:rsidRPr="008A39C8">
        <w:rPr>
          <w:rFonts w:ascii="Arial" w:hAnsi="Arial" w:cs="Arial"/>
          <w:sz w:val="20"/>
          <w:szCs w:val="20"/>
        </w:rPr>
        <w:t xml:space="preserve"> 2020; </w:t>
      </w:r>
      <w:proofErr w:type="spellStart"/>
      <w:r w:rsidRPr="008A39C8">
        <w:rPr>
          <w:rFonts w:ascii="Arial" w:hAnsi="Arial" w:cs="Arial"/>
          <w:sz w:val="20"/>
          <w:szCs w:val="20"/>
        </w:rPr>
        <w:t>Tikader</w:t>
      </w:r>
      <w:proofErr w:type="spellEnd"/>
      <w:r w:rsidRPr="008A39C8">
        <w:rPr>
          <w:rFonts w:ascii="Arial" w:hAnsi="Arial" w:cs="Arial"/>
          <w:sz w:val="20"/>
          <w:szCs w:val="20"/>
        </w:rPr>
        <w:t xml:space="preserve"> </w:t>
      </w:r>
      <w:r w:rsidRPr="008A39C8">
        <w:rPr>
          <w:rFonts w:ascii="Arial" w:hAnsi="Arial" w:cs="Arial"/>
          <w:i/>
          <w:sz w:val="20"/>
          <w:szCs w:val="20"/>
        </w:rPr>
        <w:t>et al.,</w:t>
      </w:r>
      <w:r w:rsidRPr="008A39C8">
        <w:rPr>
          <w:rFonts w:ascii="Arial" w:hAnsi="Arial" w:cs="Arial"/>
          <w:sz w:val="20"/>
          <w:szCs w:val="20"/>
        </w:rPr>
        <w:t xml:space="preserve"> 2013)</w:t>
      </w:r>
      <w:r w:rsidR="00870964" w:rsidRPr="00D250E0">
        <w:rPr>
          <w:rFonts w:ascii="Arial" w:hAnsi="Arial" w:cs="Arial"/>
          <w:sz w:val="20"/>
          <w:szCs w:val="20"/>
        </w:rPr>
        <w:t xml:space="preserve"> (Table 4)</w:t>
      </w:r>
      <w:r w:rsidRPr="00D250E0">
        <w:rPr>
          <w:rFonts w:ascii="Arial" w:hAnsi="Arial" w:cs="Arial"/>
          <w:sz w:val="20"/>
          <w:szCs w:val="20"/>
        </w:rPr>
        <w:t>.</w:t>
      </w:r>
    </w:p>
    <w:p w14:paraId="4705DBE8" w14:textId="77777777" w:rsidR="009F7281" w:rsidRPr="00ED6D5E" w:rsidRDefault="009F7281" w:rsidP="00ED6D5E">
      <w:pPr>
        <w:pStyle w:val="NormalWeb"/>
        <w:jc w:val="both"/>
        <w:rPr>
          <w:rFonts w:ascii="Arial" w:hAnsi="Arial" w:cs="Arial"/>
          <w:b/>
          <w:sz w:val="20"/>
          <w:szCs w:val="20"/>
        </w:rPr>
      </w:pPr>
      <w:r w:rsidRPr="00ED6D5E">
        <w:rPr>
          <w:rFonts w:ascii="Arial" w:hAnsi="Arial" w:cs="Arial"/>
          <w:b/>
          <w:sz w:val="20"/>
          <w:szCs w:val="20"/>
        </w:rPr>
        <w:t>Table</w:t>
      </w:r>
      <w:r w:rsidR="00870964" w:rsidRPr="00ED6D5E">
        <w:rPr>
          <w:rFonts w:ascii="Arial" w:hAnsi="Arial" w:cs="Arial"/>
          <w:b/>
          <w:sz w:val="20"/>
          <w:szCs w:val="20"/>
        </w:rPr>
        <w:t xml:space="preserve"> 4</w:t>
      </w:r>
      <w:r w:rsidRPr="00ED6D5E">
        <w:rPr>
          <w:rFonts w:ascii="Arial" w:hAnsi="Arial" w:cs="Arial"/>
          <w:b/>
          <w:sz w:val="20"/>
          <w:szCs w:val="20"/>
        </w:rPr>
        <w:t xml:space="preserve">. Quantitative Profiling of Secondary Metabolites and Phenolic Compounds in </w:t>
      </w:r>
      <w:proofErr w:type="spellStart"/>
      <w:r w:rsidRPr="00ED6D5E">
        <w:rPr>
          <w:rStyle w:val="Emphasis"/>
          <w:rFonts w:ascii="Arial" w:hAnsi="Arial" w:cs="Arial"/>
          <w:b/>
          <w:sz w:val="20"/>
          <w:szCs w:val="20"/>
        </w:rPr>
        <w:t>Persea</w:t>
      </w:r>
      <w:proofErr w:type="spellEnd"/>
      <w:r w:rsidRPr="00ED6D5E">
        <w:rPr>
          <w:rStyle w:val="Emphasis"/>
          <w:rFonts w:ascii="Arial" w:hAnsi="Arial" w:cs="Arial"/>
          <w:b/>
          <w:sz w:val="20"/>
          <w:szCs w:val="20"/>
        </w:rPr>
        <w:t xml:space="preserve"> </w:t>
      </w:r>
      <w:proofErr w:type="spellStart"/>
      <w:r w:rsidRPr="00ED6D5E">
        <w:rPr>
          <w:rStyle w:val="Emphasis"/>
          <w:rFonts w:ascii="Arial" w:hAnsi="Arial" w:cs="Arial"/>
          <w:b/>
          <w:sz w:val="20"/>
          <w:szCs w:val="20"/>
        </w:rPr>
        <w:t>bombycina</w:t>
      </w:r>
      <w:proofErr w:type="spellEnd"/>
      <w:r w:rsidRPr="00ED6D5E">
        <w:rPr>
          <w:rFonts w:ascii="Arial" w:hAnsi="Arial" w:cs="Arial"/>
          <w:b/>
          <w:sz w:val="20"/>
          <w:szCs w:val="20"/>
        </w:rPr>
        <w:t xml:space="preserve"> Leaves at Different Maturity Stages</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839"/>
        <w:gridCol w:w="3518"/>
        <w:gridCol w:w="1706"/>
        <w:gridCol w:w="1794"/>
        <w:gridCol w:w="1695"/>
      </w:tblGrid>
      <w:tr w:rsidR="001B0C63" w:rsidRPr="00ED6D5E" w14:paraId="7B81BE87" w14:textId="77777777" w:rsidTr="00ED6D5E">
        <w:tc>
          <w:tcPr>
            <w:tcW w:w="0" w:type="auto"/>
            <w:tcBorders>
              <w:top w:val="single" w:sz="4" w:space="0" w:color="auto"/>
              <w:bottom w:val="single" w:sz="4" w:space="0" w:color="auto"/>
            </w:tcBorders>
            <w:hideMark/>
          </w:tcPr>
          <w:p w14:paraId="46D23211" w14:textId="77777777" w:rsidR="001B0C63" w:rsidRPr="00ED6D5E" w:rsidRDefault="001B0C63" w:rsidP="00ED6D5E">
            <w:pPr>
              <w:spacing w:line="480" w:lineRule="auto"/>
              <w:jc w:val="center"/>
              <w:rPr>
                <w:rFonts w:ascii="Arial" w:eastAsia="Times New Roman" w:hAnsi="Arial" w:cs="Arial"/>
                <w:b/>
                <w:bCs/>
                <w:sz w:val="20"/>
                <w:szCs w:val="20"/>
              </w:rPr>
            </w:pPr>
            <w:r w:rsidRPr="00ED6D5E">
              <w:rPr>
                <w:rFonts w:ascii="Arial" w:eastAsia="Times New Roman" w:hAnsi="Arial" w:cs="Arial"/>
                <w:b/>
                <w:bCs/>
                <w:sz w:val="20"/>
                <w:szCs w:val="20"/>
              </w:rPr>
              <w:t>Sl. No.</w:t>
            </w:r>
          </w:p>
        </w:tc>
        <w:tc>
          <w:tcPr>
            <w:tcW w:w="0" w:type="auto"/>
            <w:tcBorders>
              <w:top w:val="single" w:sz="4" w:space="0" w:color="auto"/>
              <w:bottom w:val="single" w:sz="4" w:space="0" w:color="auto"/>
            </w:tcBorders>
            <w:hideMark/>
          </w:tcPr>
          <w:p w14:paraId="08D78767" w14:textId="77777777" w:rsidR="001B0C63" w:rsidRPr="00ED6D5E" w:rsidRDefault="009F7281" w:rsidP="00ED6D5E">
            <w:pPr>
              <w:spacing w:line="480" w:lineRule="auto"/>
              <w:jc w:val="center"/>
              <w:rPr>
                <w:rFonts w:ascii="Arial" w:eastAsia="Times New Roman" w:hAnsi="Arial" w:cs="Arial"/>
                <w:b/>
                <w:bCs/>
                <w:sz w:val="20"/>
                <w:szCs w:val="20"/>
              </w:rPr>
            </w:pPr>
            <w:r w:rsidRPr="00ED6D5E">
              <w:rPr>
                <w:rFonts w:ascii="Arial" w:hAnsi="Arial" w:cs="Arial"/>
                <w:b/>
                <w:sz w:val="20"/>
                <w:szCs w:val="20"/>
              </w:rPr>
              <w:t>Secondary Metabolites</w:t>
            </w:r>
          </w:p>
        </w:tc>
        <w:tc>
          <w:tcPr>
            <w:tcW w:w="0" w:type="auto"/>
            <w:tcBorders>
              <w:top w:val="single" w:sz="4" w:space="0" w:color="auto"/>
              <w:bottom w:val="single" w:sz="4" w:space="0" w:color="auto"/>
            </w:tcBorders>
            <w:hideMark/>
          </w:tcPr>
          <w:p w14:paraId="4F7229FF" w14:textId="77777777" w:rsidR="001B0C63" w:rsidRPr="00ED6D5E" w:rsidRDefault="001B0C63" w:rsidP="00ED6D5E">
            <w:pPr>
              <w:spacing w:line="480" w:lineRule="auto"/>
              <w:jc w:val="center"/>
              <w:rPr>
                <w:rFonts w:ascii="Arial" w:eastAsia="Times New Roman" w:hAnsi="Arial" w:cs="Arial"/>
                <w:b/>
                <w:bCs/>
                <w:sz w:val="20"/>
                <w:szCs w:val="20"/>
              </w:rPr>
            </w:pPr>
            <w:r w:rsidRPr="00ED6D5E">
              <w:rPr>
                <w:rFonts w:ascii="Arial" w:eastAsia="Times New Roman" w:hAnsi="Arial" w:cs="Arial"/>
                <w:b/>
                <w:bCs/>
                <w:sz w:val="20"/>
                <w:szCs w:val="20"/>
              </w:rPr>
              <w:t>Tender</w:t>
            </w:r>
          </w:p>
        </w:tc>
        <w:tc>
          <w:tcPr>
            <w:tcW w:w="0" w:type="auto"/>
            <w:tcBorders>
              <w:top w:val="single" w:sz="4" w:space="0" w:color="auto"/>
              <w:bottom w:val="single" w:sz="4" w:space="0" w:color="auto"/>
            </w:tcBorders>
            <w:hideMark/>
          </w:tcPr>
          <w:p w14:paraId="69C20296" w14:textId="77777777" w:rsidR="001B0C63" w:rsidRPr="00ED6D5E" w:rsidRDefault="001B0C63" w:rsidP="00ED6D5E">
            <w:pPr>
              <w:spacing w:line="480" w:lineRule="auto"/>
              <w:jc w:val="center"/>
              <w:rPr>
                <w:rFonts w:ascii="Arial" w:eastAsia="Times New Roman" w:hAnsi="Arial" w:cs="Arial"/>
                <w:b/>
                <w:bCs/>
                <w:sz w:val="20"/>
                <w:szCs w:val="20"/>
              </w:rPr>
            </w:pPr>
            <w:r w:rsidRPr="00ED6D5E">
              <w:rPr>
                <w:rFonts w:ascii="Arial" w:eastAsia="Times New Roman" w:hAnsi="Arial" w:cs="Arial"/>
                <w:b/>
                <w:bCs/>
                <w:sz w:val="20"/>
                <w:szCs w:val="20"/>
              </w:rPr>
              <w:t>Medium</w:t>
            </w:r>
          </w:p>
        </w:tc>
        <w:tc>
          <w:tcPr>
            <w:tcW w:w="0" w:type="auto"/>
            <w:tcBorders>
              <w:top w:val="single" w:sz="4" w:space="0" w:color="auto"/>
              <w:bottom w:val="single" w:sz="4" w:space="0" w:color="auto"/>
            </w:tcBorders>
            <w:hideMark/>
          </w:tcPr>
          <w:p w14:paraId="52EA245C" w14:textId="77777777" w:rsidR="001B0C63" w:rsidRPr="00ED6D5E" w:rsidRDefault="001B0C63" w:rsidP="00ED6D5E">
            <w:pPr>
              <w:spacing w:line="480" w:lineRule="auto"/>
              <w:jc w:val="center"/>
              <w:rPr>
                <w:rFonts w:ascii="Arial" w:eastAsia="Times New Roman" w:hAnsi="Arial" w:cs="Arial"/>
                <w:b/>
                <w:bCs/>
                <w:sz w:val="20"/>
                <w:szCs w:val="20"/>
              </w:rPr>
            </w:pPr>
            <w:r w:rsidRPr="00ED6D5E">
              <w:rPr>
                <w:rFonts w:ascii="Arial" w:eastAsia="Times New Roman" w:hAnsi="Arial" w:cs="Arial"/>
                <w:b/>
                <w:bCs/>
                <w:sz w:val="20"/>
                <w:szCs w:val="20"/>
              </w:rPr>
              <w:t>Mature</w:t>
            </w:r>
          </w:p>
        </w:tc>
      </w:tr>
      <w:tr w:rsidR="001B0C63" w:rsidRPr="00ED6D5E" w14:paraId="63B10423" w14:textId="77777777" w:rsidTr="00ED6D5E">
        <w:tc>
          <w:tcPr>
            <w:tcW w:w="0" w:type="auto"/>
            <w:tcBorders>
              <w:top w:val="single" w:sz="4" w:space="0" w:color="auto"/>
              <w:bottom w:val="nil"/>
            </w:tcBorders>
            <w:hideMark/>
          </w:tcPr>
          <w:p w14:paraId="3B772A78"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w:t>
            </w:r>
          </w:p>
        </w:tc>
        <w:tc>
          <w:tcPr>
            <w:tcW w:w="0" w:type="auto"/>
            <w:tcBorders>
              <w:top w:val="single" w:sz="4" w:space="0" w:color="auto"/>
              <w:bottom w:val="nil"/>
            </w:tcBorders>
            <w:hideMark/>
          </w:tcPr>
          <w:p w14:paraId="65A506F2"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β-sitosterol (%)</w:t>
            </w:r>
          </w:p>
        </w:tc>
        <w:tc>
          <w:tcPr>
            <w:tcW w:w="0" w:type="auto"/>
            <w:tcBorders>
              <w:top w:val="single" w:sz="4" w:space="0" w:color="auto"/>
              <w:bottom w:val="nil"/>
            </w:tcBorders>
            <w:hideMark/>
          </w:tcPr>
          <w:p w14:paraId="07086B74"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1.06 </w:t>
            </w:r>
          </w:p>
        </w:tc>
        <w:tc>
          <w:tcPr>
            <w:tcW w:w="0" w:type="auto"/>
            <w:tcBorders>
              <w:top w:val="single" w:sz="4" w:space="0" w:color="auto"/>
              <w:bottom w:val="nil"/>
            </w:tcBorders>
            <w:hideMark/>
          </w:tcPr>
          <w:p w14:paraId="690EE614"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0.82 </w:t>
            </w:r>
          </w:p>
        </w:tc>
        <w:tc>
          <w:tcPr>
            <w:tcW w:w="0" w:type="auto"/>
            <w:tcBorders>
              <w:top w:val="single" w:sz="4" w:space="0" w:color="auto"/>
              <w:bottom w:val="nil"/>
            </w:tcBorders>
            <w:hideMark/>
          </w:tcPr>
          <w:p w14:paraId="7B9D7C28"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0.69 </w:t>
            </w:r>
          </w:p>
        </w:tc>
      </w:tr>
      <w:tr w:rsidR="001B0C63" w:rsidRPr="00ED6D5E" w14:paraId="1DC609EC" w14:textId="77777777" w:rsidTr="00ED6D5E">
        <w:tc>
          <w:tcPr>
            <w:tcW w:w="0" w:type="auto"/>
            <w:tcBorders>
              <w:top w:val="nil"/>
            </w:tcBorders>
            <w:hideMark/>
          </w:tcPr>
          <w:p w14:paraId="18F8AB6D"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2</w:t>
            </w:r>
          </w:p>
        </w:tc>
        <w:tc>
          <w:tcPr>
            <w:tcW w:w="0" w:type="auto"/>
            <w:tcBorders>
              <w:top w:val="nil"/>
            </w:tcBorders>
            <w:hideMark/>
          </w:tcPr>
          <w:p w14:paraId="16D53FFA"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Chlorogenic acid (%)</w:t>
            </w:r>
          </w:p>
        </w:tc>
        <w:tc>
          <w:tcPr>
            <w:tcW w:w="0" w:type="auto"/>
            <w:tcBorders>
              <w:top w:val="nil"/>
            </w:tcBorders>
            <w:hideMark/>
          </w:tcPr>
          <w:p w14:paraId="0E042953"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1.81 </w:t>
            </w:r>
          </w:p>
        </w:tc>
        <w:tc>
          <w:tcPr>
            <w:tcW w:w="0" w:type="auto"/>
            <w:tcBorders>
              <w:top w:val="nil"/>
            </w:tcBorders>
            <w:hideMark/>
          </w:tcPr>
          <w:p w14:paraId="50B1FDEA"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2.06 </w:t>
            </w:r>
          </w:p>
        </w:tc>
        <w:tc>
          <w:tcPr>
            <w:tcW w:w="0" w:type="auto"/>
            <w:tcBorders>
              <w:top w:val="nil"/>
            </w:tcBorders>
            <w:hideMark/>
          </w:tcPr>
          <w:p w14:paraId="5766CCA7"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1.45 </w:t>
            </w:r>
          </w:p>
        </w:tc>
      </w:tr>
      <w:tr w:rsidR="001B0C63" w:rsidRPr="00ED6D5E" w14:paraId="36A5167B" w14:textId="77777777" w:rsidTr="00ED6D5E">
        <w:tc>
          <w:tcPr>
            <w:tcW w:w="0" w:type="auto"/>
            <w:hideMark/>
          </w:tcPr>
          <w:p w14:paraId="517761C0"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3</w:t>
            </w:r>
          </w:p>
        </w:tc>
        <w:tc>
          <w:tcPr>
            <w:tcW w:w="0" w:type="auto"/>
            <w:hideMark/>
          </w:tcPr>
          <w:p w14:paraId="6BEDD35F"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Phytic acid (mg/100g)</w:t>
            </w:r>
          </w:p>
        </w:tc>
        <w:tc>
          <w:tcPr>
            <w:tcW w:w="0" w:type="auto"/>
            <w:hideMark/>
          </w:tcPr>
          <w:p w14:paraId="1DD2CE70"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83.33 </w:t>
            </w:r>
          </w:p>
        </w:tc>
        <w:tc>
          <w:tcPr>
            <w:tcW w:w="0" w:type="auto"/>
            <w:hideMark/>
          </w:tcPr>
          <w:p w14:paraId="3B4659F5"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1642.20 </w:t>
            </w:r>
          </w:p>
        </w:tc>
        <w:tc>
          <w:tcPr>
            <w:tcW w:w="0" w:type="auto"/>
            <w:hideMark/>
          </w:tcPr>
          <w:p w14:paraId="14F5D97C"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2310.05 </w:t>
            </w:r>
          </w:p>
        </w:tc>
      </w:tr>
      <w:tr w:rsidR="001B0C63" w:rsidRPr="00ED6D5E" w14:paraId="1A3B8C05" w14:textId="77777777" w:rsidTr="00ED6D5E">
        <w:tc>
          <w:tcPr>
            <w:tcW w:w="0" w:type="auto"/>
            <w:hideMark/>
          </w:tcPr>
          <w:p w14:paraId="765C3B81"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4</w:t>
            </w:r>
          </w:p>
        </w:tc>
        <w:tc>
          <w:tcPr>
            <w:tcW w:w="0" w:type="auto"/>
            <w:hideMark/>
          </w:tcPr>
          <w:p w14:paraId="4B63C75D"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Total phenol (%)</w:t>
            </w:r>
          </w:p>
        </w:tc>
        <w:tc>
          <w:tcPr>
            <w:tcW w:w="0" w:type="auto"/>
            <w:hideMark/>
          </w:tcPr>
          <w:p w14:paraId="4DE40C3B"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1.946 </w:t>
            </w:r>
          </w:p>
        </w:tc>
        <w:tc>
          <w:tcPr>
            <w:tcW w:w="0" w:type="auto"/>
            <w:hideMark/>
          </w:tcPr>
          <w:p w14:paraId="40B61E48"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1.182 </w:t>
            </w:r>
          </w:p>
        </w:tc>
        <w:tc>
          <w:tcPr>
            <w:tcW w:w="0" w:type="auto"/>
            <w:hideMark/>
          </w:tcPr>
          <w:p w14:paraId="25B48ABF"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0.712 </w:t>
            </w:r>
          </w:p>
        </w:tc>
      </w:tr>
      <w:tr w:rsidR="001B0C63" w:rsidRPr="00ED6D5E" w14:paraId="6253DBB8" w14:textId="77777777" w:rsidTr="00ED6D5E">
        <w:tc>
          <w:tcPr>
            <w:tcW w:w="0" w:type="auto"/>
            <w:hideMark/>
          </w:tcPr>
          <w:p w14:paraId="79774BFE"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5</w:t>
            </w:r>
          </w:p>
        </w:tc>
        <w:tc>
          <w:tcPr>
            <w:tcW w:w="0" w:type="auto"/>
            <w:hideMark/>
          </w:tcPr>
          <w:p w14:paraId="70AB479B"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Acid detergent </w:t>
            </w:r>
            <w:proofErr w:type="spellStart"/>
            <w:r w:rsidRPr="00ED6D5E">
              <w:rPr>
                <w:rFonts w:ascii="Arial" w:eastAsia="Times New Roman" w:hAnsi="Arial" w:cs="Arial"/>
                <w:sz w:val="20"/>
                <w:szCs w:val="20"/>
              </w:rPr>
              <w:t>fibre</w:t>
            </w:r>
            <w:proofErr w:type="spellEnd"/>
            <w:r w:rsidRPr="00ED6D5E">
              <w:rPr>
                <w:rFonts w:ascii="Arial" w:eastAsia="Times New Roman" w:hAnsi="Arial" w:cs="Arial"/>
                <w:sz w:val="20"/>
                <w:szCs w:val="20"/>
              </w:rPr>
              <w:t xml:space="preserve"> (%)</w:t>
            </w:r>
          </w:p>
        </w:tc>
        <w:tc>
          <w:tcPr>
            <w:tcW w:w="0" w:type="auto"/>
            <w:hideMark/>
          </w:tcPr>
          <w:p w14:paraId="75E6FAB8"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16.90 </w:t>
            </w:r>
          </w:p>
        </w:tc>
        <w:tc>
          <w:tcPr>
            <w:tcW w:w="0" w:type="auto"/>
            <w:hideMark/>
          </w:tcPr>
          <w:p w14:paraId="392D56F6"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23.35 </w:t>
            </w:r>
          </w:p>
        </w:tc>
        <w:tc>
          <w:tcPr>
            <w:tcW w:w="0" w:type="auto"/>
            <w:hideMark/>
          </w:tcPr>
          <w:p w14:paraId="1B6DE76C"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26.50</w:t>
            </w:r>
          </w:p>
        </w:tc>
      </w:tr>
      <w:tr w:rsidR="001B0C63" w:rsidRPr="00ED6D5E" w14:paraId="1B22C5CC" w14:textId="77777777" w:rsidTr="00622967">
        <w:tc>
          <w:tcPr>
            <w:tcW w:w="0" w:type="auto"/>
            <w:tcBorders>
              <w:bottom w:val="nil"/>
            </w:tcBorders>
            <w:hideMark/>
          </w:tcPr>
          <w:p w14:paraId="4621189B"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6</w:t>
            </w:r>
          </w:p>
        </w:tc>
        <w:tc>
          <w:tcPr>
            <w:tcW w:w="0" w:type="auto"/>
            <w:tcBorders>
              <w:bottom w:val="nil"/>
            </w:tcBorders>
            <w:hideMark/>
          </w:tcPr>
          <w:p w14:paraId="7EB9C853"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Acid detergent lignin (%)</w:t>
            </w:r>
          </w:p>
        </w:tc>
        <w:tc>
          <w:tcPr>
            <w:tcW w:w="0" w:type="auto"/>
            <w:tcBorders>
              <w:bottom w:val="nil"/>
            </w:tcBorders>
            <w:hideMark/>
          </w:tcPr>
          <w:p w14:paraId="38470613"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8.02 </w:t>
            </w:r>
          </w:p>
        </w:tc>
        <w:tc>
          <w:tcPr>
            <w:tcW w:w="0" w:type="auto"/>
            <w:tcBorders>
              <w:bottom w:val="nil"/>
            </w:tcBorders>
            <w:hideMark/>
          </w:tcPr>
          <w:p w14:paraId="17C0CC5D"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13.52 </w:t>
            </w:r>
          </w:p>
        </w:tc>
        <w:tc>
          <w:tcPr>
            <w:tcW w:w="0" w:type="auto"/>
            <w:tcBorders>
              <w:bottom w:val="nil"/>
            </w:tcBorders>
            <w:hideMark/>
          </w:tcPr>
          <w:p w14:paraId="5A6CCDDF"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15.83 </w:t>
            </w:r>
          </w:p>
        </w:tc>
      </w:tr>
      <w:tr w:rsidR="001B0C63" w:rsidRPr="00ED6D5E" w14:paraId="5D5242E8" w14:textId="77777777" w:rsidTr="00622967">
        <w:tc>
          <w:tcPr>
            <w:tcW w:w="0" w:type="auto"/>
            <w:tcBorders>
              <w:top w:val="nil"/>
              <w:bottom w:val="single" w:sz="4" w:space="0" w:color="auto"/>
            </w:tcBorders>
            <w:hideMark/>
          </w:tcPr>
          <w:p w14:paraId="200AD829"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7</w:t>
            </w:r>
          </w:p>
        </w:tc>
        <w:tc>
          <w:tcPr>
            <w:tcW w:w="0" w:type="auto"/>
            <w:tcBorders>
              <w:top w:val="nil"/>
              <w:bottom w:val="single" w:sz="4" w:space="0" w:color="auto"/>
            </w:tcBorders>
            <w:hideMark/>
          </w:tcPr>
          <w:p w14:paraId="5B136772"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Tannin (%)</w:t>
            </w:r>
          </w:p>
        </w:tc>
        <w:tc>
          <w:tcPr>
            <w:tcW w:w="0" w:type="auto"/>
            <w:tcBorders>
              <w:top w:val="nil"/>
              <w:bottom w:val="single" w:sz="4" w:space="0" w:color="auto"/>
            </w:tcBorders>
            <w:hideMark/>
          </w:tcPr>
          <w:p w14:paraId="1274765B"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6.71 </w:t>
            </w:r>
          </w:p>
        </w:tc>
        <w:tc>
          <w:tcPr>
            <w:tcW w:w="0" w:type="auto"/>
            <w:tcBorders>
              <w:top w:val="nil"/>
              <w:bottom w:val="single" w:sz="4" w:space="0" w:color="auto"/>
            </w:tcBorders>
            <w:hideMark/>
          </w:tcPr>
          <w:p w14:paraId="18ED30CA"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2.05 </w:t>
            </w:r>
          </w:p>
        </w:tc>
        <w:tc>
          <w:tcPr>
            <w:tcW w:w="0" w:type="auto"/>
            <w:tcBorders>
              <w:top w:val="nil"/>
              <w:bottom w:val="single" w:sz="4" w:space="0" w:color="auto"/>
            </w:tcBorders>
            <w:hideMark/>
          </w:tcPr>
          <w:p w14:paraId="5E7583E8"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3.00 </w:t>
            </w:r>
          </w:p>
        </w:tc>
      </w:tr>
      <w:tr w:rsidR="001B0C63" w:rsidRPr="00ED6D5E" w14:paraId="580B6490" w14:textId="77777777" w:rsidTr="00622967">
        <w:tc>
          <w:tcPr>
            <w:tcW w:w="0" w:type="auto"/>
            <w:tcBorders>
              <w:top w:val="single" w:sz="4" w:space="0" w:color="auto"/>
              <w:bottom w:val="single" w:sz="4" w:space="0" w:color="auto"/>
            </w:tcBorders>
            <w:hideMark/>
          </w:tcPr>
          <w:p w14:paraId="37DDA023" w14:textId="77777777" w:rsidR="001B0C63" w:rsidRPr="00ED6D5E" w:rsidRDefault="001B0C63" w:rsidP="00ED6D5E">
            <w:pPr>
              <w:spacing w:line="480" w:lineRule="auto"/>
              <w:jc w:val="center"/>
              <w:rPr>
                <w:rFonts w:ascii="Arial" w:eastAsia="Times New Roman" w:hAnsi="Arial" w:cs="Arial"/>
                <w:b/>
                <w:bCs/>
                <w:sz w:val="20"/>
                <w:szCs w:val="20"/>
              </w:rPr>
            </w:pPr>
            <w:r w:rsidRPr="00ED6D5E">
              <w:rPr>
                <w:rFonts w:ascii="Arial" w:eastAsia="Times New Roman" w:hAnsi="Arial" w:cs="Arial"/>
                <w:b/>
                <w:bCs/>
                <w:sz w:val="20"/>
                <w:szCs w:val="20"/>
              </w:rPr>
              <w:t>Sl. No.</w:t>
            </w:r>
          </w:p>
        </w:tc>
        <w:tc>
          <w:tcPr>
            <w:tcW w:w="0" w:type="auto"/>
            <w:tcBorders>
              <w:top w:val="single" w:sz="4" w:space="0" w:color="auto"/>
              <w:bottom w:val="single" w:sz="4" w:space="0" w:color="auto"/>
            </w:tcBorders>
            <w:hideMark/>
          </w:tcPr>
          <w:p w14:paraId="4C554118" w14:textId="77777777" w:rsidR="001B0C63" w:rsidRPr="00ED6D5E" w:rsidRDefault="009F7281" w:rsidP="00ED6D5E">
            <w:pPr>
              <w:spacing w:line="480" w:lineRule="auto"/>
              <w:jc w:val="center"/>
              <w:rPr>
                <w:rFonts w:ascii="Arial" w:eastAsia="Times New Roman" w:hAnsi="Arial" w:cs="Arial"/>
                <w:b/>
                <w:bCs/>
                <w:sz w:val="20"/>
                <w:szCs w:val="20"/>
              </w:rPr>
            </w:pPr>
            <w:r w:rsidRPr="00ED6D5E">
              <w:rPr>
                <w:rFonts w:ascii="Arial" w:hAnsi="Arial" w:cs="Arial"/>
                <w:b/>
                <w:sz w:val="20"/>
                <w:szCs w:val="20"/>
              </w:rPr>
              <w:t xml:space="preserve">Phenolic </w:t>
            </w:r>
            <w:r w:rsidR="001B0C63" w:rsidRPr="00ED6D5E">
              <w:rPr>
                <w:rFonts w:ascii="Arial" w:eastAsia="Times New Roman" w:hAnsi="Arial" w:cs="Arial"/>
                <w:b/>
                <w:bCs/>
                <w:sz w:val="20"/>
                <w:szCs w:val="20"/>
              </w:rPr>
              <w:t>Compound</w:t>
            </w:r>
          </w:p>
        </w:tc>
        <w:tc>
          <w:tcPr>
            <w:tcW w:w="0" w:type="auto"/>
            <w:tcBorders>
              <w:top w:val="single" w:sz="4" w:space="0" w:color="auto"/>
              <w:bottom w:val="single" w:sz="4" w:space="0" w:color="auto"/>
            </w:tcBorders>
            <w:hideMark/>
          </w:tcPr>
          <w:p w14:paraId="7DAF2283" w14:textId="77777777" w:rsidR="001B0C63" w:rsidRPr="00ED6D5E" w:rsidRDefault="001B0C63" w:rsidP="00ED6D5E">
            <w:pPr>
              <w:spacing w:line="480" w:lineRule="auto"/>
              <w:jc w:val="center"/>
              <w:rPr>
                <w:rFonts w:ascii="Arial" w:eastAsia="Times New Roman" w:hAnsi="Arial" w:cs="Arial"/>
                <w:b/>
                <w:bCs/>
                <w:sz w:val="20"/>
                <w:szCs w:val="20"/>
              </w:rPr>
            </w:pPr>
            <w:r w:rsidRPr="00ED6D5E">
              <w:rPr>
                <w:rFonts w:ascii="Arial" w:eastAsia="Times New Roman" w:hAnsi="Arial" w:cs="Arial"/>
                <w:b/>
                <w:bCs/>
                <w:sz w:val="20"/>
                <w:szCs w:val="20"/>
              </w:rPr>
              <w:t>Tender (g/100g)</w:t>
            </w:r>
          </w:p>
        </w:tc>
        <w:tc>
          <w:tcPr>
            <w:tcW w:w="0" w:type="auto"/>
            <w:tcBorders>
              <w:top w:val="single" w:sz="4" w:space="0" w:color="auto"/>
              <w:bottom w:val="single" w:sz="4" w:space="0" w:color="auto"/>
            </w:tcBorders>
            <w:hideMark/>
          </w:tcPr>
          <w:p w14:paraId="42CBF1E7" w14:textId="77777777" w:rsidR="001B0C63" w:rsidRPr="00ED6D5E" w:rsidRDefault="001B0C63" w:rsidP="00ED6D5E">
            <w:pPr>
              <w:spacing w:line="480" w:lineRule="auto"/>
              <w:jc w:val="center"/>
              <w:rPr>
                <w:rFonts w:ascii="Arial" w:eastAsia="Times New Roman" w:hAnsi="Arial" w:cs="Arial"/>
                <w:b/>
                <w:bCs/>
                <w:sz w:val="20"/>
                <w:szCs w:val="20"/>
              </w:rPr>
            </w:pPr>
            <w:r w:rsidRPr="00ED6D5E">
              <w:rPr>
                <w:rFonts w:ascii="Arial" w:eastAsia="Times New Roman" w:hAnsi="Arial" w:cs="Arial"/>
                <w:b/>
                <w:bCs/>
                <w:sz w:val="20"/>
                <w:szCs w:val="20"/>
              </w:rPr>
              <w:t>Medium (g/100g)</w:t>
            </w:r>
          </w:p>
        </w:tc>
        <w:tc>
          <w:tcPr>
            <w:tcW w:w="0" w:type="auto"/>
            <w:tcBorders>
              <w:top w:val="single" w:sz="4" w:space="0" w:color="auto"/>
              <w:bottom w:val="single" w:sz="4" w:space="0" w:color="auto"/>
            </w:tcBorders>
            <w:hideMark/>
          </w:tcPr>
          <w:p w14:paraId="250BFD91" w14:textId="77777777" w:rsidR="001B0C63" w:rsidRPr="00ED6D5E" w:rsidRDefault="001B0C63" w:rsidP="00ED6D5E">
            <w:pPr>
              <w:spacing w:line="480" w:lineRule="auto"/>
              <w:jc w:val="center"/>
              <w:rPr>
                <w:rFonts w:ascii="Arial" w:eastAsia="Times New Roman" w:hAnsi="Arial" w:cs="Arial"/>
                <w:b/>
                <w:bCs/>
                <w:sz w:val="20"/>
                <w:szCs w:val="20"/>
              </w:rPr>
            </w:pPr>
            <w:r w:rsidRPr="00ED6D5E">
              <w:rPr>
                <w:rFonts w:ascii="Arial" w:eastAsia="Times New Roman" w:hAnsi="Arial" w:cs="Arial"/>
                <w:b/>
                <w:bCs/>
                <w:sz w:val="20"/>
                <w:szCs w:val="20"/>
              </w:rPr>
              <w:t>Mature (g/100g)</w:t>
            </w:r>
          </w:p>
        </w:tc>
      </w:tr>
      <w:tr w:rsidR="001B0C63" w:rsidRPr="00ED6D5E" w14:paraId="668396B3" w14:textId="77777777" w:rsidTr="00622967">
        <w:tc>
          <w:tcPr>
            <w:tcW w:w="0" w:type="auto"/>
            <w:tcBorders>
              <w:top w:val="single" w:sz="4" w:space="0" w:color="auto"/>
              <w:bottom w:val="nil"/>
            </w:tcBorders>
            <w:hideMark/>
          </w:tcPr>
          <w:p w14:paraId="481DCDB1"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lastRenderedPageBreak/>
              <w:t>1</w:t>
            </w:r>
          </w:p>
        </w:tc>
        <w:tc>
          <w:tcPr>
            <w:tcW w:w="0" w:type="auto"/>
            <w:tcBorders>
              <w:top w:val="single" w:sz="4" w:space="0" w:color="auto"/>
              <w:bottom w:val="nil"/>
            </w:tcBorders>
            <w:hideMark/>
          </w:tcPr>
          <w:p w14:paraId="3A68CFED"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Quercetin</w:t>
            </w:r>
          </w:p>
        </w:tc>
        <w:tc>
          <w:tcPr>
            <w:tcW w:w="0" w:type="auto"/>
            <w:tcBorders>
              <w:top w:val="single" w:sz="4" w:space="0" w:color="auto"/>
              <w:bottom w:val="nil"/>
            </w:tcBorders>
            <w:hideMark/>
          </w:tcPr>
          <w:p w14:paraId="61FD7BA8"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0.008</w:t>
            </w:r>
          </w:p>
        </w:tc>
        <w:tc>
          <w:tcPr>
            <w:tcW w:w="0" w:type="auto"/>
            <w:tcBorders>
              <w:top w:val="single" w:sz="4" w:space="0" w:color="auto"/>
              <w:bottom w:val="nil"/>
            </w:tcBorders>
            <w:hideMark/>
          </w:tcPr>
          <w:p w14:paraId="547DBD96"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0.015</w:t>
            </w:r>
          </w:p>
        </w:tc>
        <w:tc>
          <w:tcPr>
            <w:tcW w:w="0" w:type="auto"/>
            <w:tcBorders>
              <w:top w:val="single" w:sz="4" w:space="0" w:color="auto"/>
              <w:bottom w:val="nil"/>
            </w:tcBorders>
            <w:hideMark/>
          </w:tcPr>
          <w:p w14:paraId="76DF105C"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0.025</w:t>
            </w:r>
          </w:p>
        </w:tc>
      </w:tr>
      <w:tr w:rsidR="001B0C63" w:rsidRPr="00ED6D5E" w14:paraId="19BC2CBD" w14:textId="77777777" w:rsidTr="00622967">
        <w:tc>
          <w:tcPr>
            <w:tcW w:w="0" w:type="auto"/>
            <w:tcBorders>
              <w:top w:val="nil"/>
            </w:tcBorders>
            <w:hideMark/>
          </w:tcPr>
          <w:p w14:paraId="613945D7"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2</w:t>
            </w:r>
          </w:p>
        </w:tc>
        <w:tc>
          <w:tcPr>
            <w:tcW w:w="0" w:type="auto"/>
            <w:tcBorders>
              <w:top w:val="nil"/>
            </w:tcBorders>
            <w:hideMark/>
          </w:tcPr>
          <w:p w14:paraId="6D3929C3"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3’, 4’ Dimethyl Quercetin</w:t>
            </w:r>
          </w:p>
        </w:tc>
        <w:tc>
          <w:tcPr>
            <w:tcW w:w="0" w:type="auto"/>
            <w:tcBorders>
              <w:top w:val="nil"/>
            </w:tcBorders>
            <w:hideMark/>
          </w:tcPr>
          <w:p w14:paraId="450403D1"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0.026</w:t>
            </w:r>
          </w:p>
        </w:tc>
        <w:tc>
          <w:tcPr>
            <w:tcW w:w="0" w:type="auto"/>
            <w:tcBorders>
              <w:top w:val="nil"/>
            </w:tcBorders>
            <w:hideMark/>
          </w:tcPr>
          <w:p w14:paraId="46134B02"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0.035</w:t>
            </w:r>
          </w:p>
        </w:tc>
        <w:tc>
          <w:tcPr>
            <w:tcW w:w="0" w:type="auto"/>
            <w:tcBorders>
              <w:top w:val="nil"/>
            </w:tcBorders>
            <w:hideMark/>
          </w:tcPr>
          <w:p w14:paraId="6D315CA6"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0.042</w:t>
            </w:r>
          </w:p>
        </w:tc>
      </w:tr>
      <w:tr w:rsidR="001B0C63" w:rsidRPr="00ED6D5E" w14:paraId="72F2226E" w14:textId="77777777" w:rsidTr="00ED6D5E">
        <w:tc>
          <w:tcPr>
            <w:tcW w:w="0" w:type="auto"/>
            <w:hideMark/>
          </w:tcPr>
          <w:p w14:paraId="630D1FCE"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3</w:t>
            </w:r>
          </w:p>
        </w:tc>
        <w:tc>
          <w:tcPr>
            <w:tcW w:w="0" w:type="auto"/>
            <w:hideMark/>
          </w:tcPr>
          <w:p w14:paraId="098A172D"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Morin</w:t>
            </w:r>
          </w:p>
        </w:tc>
        <w:tc>
          <w:tcPr>
            <w:tcW w:w="0" w:type="auto"/>
            <w:hideMark/>
          </w:tcPr>
          <w:p w14:paraId="11A7DE0F"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0.028</w:t>
            </w:r>
          </w:p>
        </w:tc>
        <w:tc>
          <w:tcPr>
            <w:tcW w:w="0" w:type="auto"/>
            <w:hideMark/>
          </w:tcPr>
          <w:p w14:paraId="6FFEAE94"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0.035</w:t>
            </w:r>
          </w:p>
        </w:tc>
        <w:tc>
          <w:tcPr>
            <w:tcW w:w="0" w:type="auto"/>
            <w:hideMark/>
          </w:tcPr>
          <w:p w14:paraId="187C4866"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0.045</w:t>
            </w:r>
          </w:p>
        </w:tc>
      </w:tr>
      <w:tr w:rsidR="001B0C63" w:rsidRPr="00ED6D5E" w14:paraId="14CBC3F1" w14:textId="77777777" w:rsidTr="00ED6D5E">
        <w:tc>
          <w:tcPr>
            <w:tcW w:w="0" w:type="auto"/>
            <w:hideMark/>
          </w:tcPr>
          <w:p w14:paraId="4E1FCAB3"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4</w:t>
            </w:r>
          </w:p>
        </w:tc>
        <w:tc>
          <w:tcPr>
            <w:tcW w:w="0" w:type="auto"/>
            <w:hideMark/>
          </w:tcPr>
          <w:p w14:paraId="34B00EDE" w14:textId="77777777" w:rsidR="001B0C63" w:rsidRPr="00ED6D5E" w:rsidRDefault="001B0C63" w:rsidP="00ED6D5E">
            <w:pPr>
              <w:spacing w:line="480" w:lineRule="auto"/>
              <w:rPr>
                <w:rFonts w:ascii="Arial" w:eastAsia="Times New Roman" w:hAnsi="Arial" w:cs="Arial"/>
                <w:sz w:val="20"/>
                <w:szCs w:val="20"/>
              </w:rPr>
            </w:pPr>
            <w:proofErr w:type="spellStart"/>
            <w:r w:rsidRPr="00ED6D5E">
              <w:rPr>
                <w:rFonts w:ascii="Arial" w:eastAsia="Times New Roman" w:hAnsi="Arial" w:cs="Arial"/>
                <w:sz w:val="20"/>
                <w:szCs w:val="20"/>
              </w:rPr>
              <w:t>Myrecetin</w:t>
            </w:r>
            <w:proofErr w:type="spellEnd"/>
          </w:p>
        </w:tc>
        <w:tc>
          <w:tcPr>
            <w:tcW w:w="0" w:type="auto"/>
            <w:hideMark/>
          </w:tcPr>
          <w:p w14:paraId="61372C52"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0.040</w:t>
            </w:r>
          </w:p>
        </w:tc>
        <w:tc>
          <w:tcPr>
            <w:tcW w:w="0" w:type="auto"/>
            <w:hideMark/>
          </w:tcPr>
          <w:p w14:paraId="1CAC1F2E"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0.025</w:t>
            </w:r>
          </w:p>
        </w:tc>
        <w:tc>
          <w:tcPr>
            <w:tcW w:w="0" w:type="auto"/>
            <w:hideMark/>
          </w:tcPr>
          <w:p w14:paraId="1234F5F0"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0.018</w:t>
            </w:r>
          </w:p>
        </w:tc>
      </w:tr>
      <w:tr w:rsidR="001B0C63" w:rsidRPr="00ED6D5E" w14:paraId="1CC8FDC4" w14:textId="77777777" w:rsidTr="00ED6D5E">
        <w:tc>
          <w:tcPr>
            <w:tcW w:w="0" w:type="auto"/>
            <w:hideMark/>
          </w:tcPr>
          <w:p w14:paraId="6828C087"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5</w:t>
            </w:r>
          </w:p>
        </w:tc>
        <w:tc>
          <w:tcPr>
            <w:tcW w:w="0" w:type="auto"/>
            <w:hideMark/>
          </w:tcPr>
          <w:p w14:paraId="7E6EDBEC"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7, 2’, 4’ Trimethoxy dihydroxy flavone</w:t>
            </w:r>
          </w:p>
        </w:tc>
        <w:tc>
          <w:tcPr>
            <w:tcW w:w="0" w:type="auto"/>
            <w:hideMark/>
          </w:tcPr>
          <w:p w14:paraId="7DF7E79D"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0.038</w:t>
            </w:r>
          </w:p>
        </w:tc>
        <w:tc>
          <w:tcPr>
            <w:tcW w:w="0" w:type="auto"/>
            <w:hideMark/>
          </w:tcPr>
          <w:p w14:paraId="2A7D6E0B"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0.030</w:t>
            </w:r>
          </w:p>
        </w:tc>
        <w:tc>
          <w:tcPr>
            <w:tcW w:w="0" w:type="auto"/>
            <w:hideMark/>
          </w:tcPr>
          <w:p w14:paraId="28F36727"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0.015</w:t>
            </w:r>
          </w:p>
        </w:tc>
      </w:tr>
      <w:tr w:rsidR="001B0C63" w:rsidRPr="00ED6D5E" w14:paraId="7E8BE6EB" w14:textId="77777777" w:rsidTr="00ED6D5E">
        <w:tc>
          <w:tcPr>
            <w:tcW w:w="0" w:type="auto"/>
            <w:hideMark/>
          </w:tcPr>
          <w:p w14:paraId="65BBFD53"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6</w:t>
            </w:r>
          </w:p>
        </w:tc>
        <w:tc>
          <w:tcPr>
            <w:tcW w:w="0" w:type="auto"/>
            <w:hideMark/>
          </w:tcPr>
          <w:p w14:paraId="77F25109"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2’, 4’ Dimethyl Morin</w:t>
            </w:r>
          </w:p>
        </w:tc>
        <w:tc>
          <w:tcPr>
            <w:tcW w:w="0" w:type="auto"/>
            <w:hideMark/>
          </w:tcPr>
          <w:p w14:paraId="261BB816"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0.012</w:t>
            </w:r>
          </w:p>
        </w:tc>
        <w:tc>
          <w:tcPr>
            <w:tcW w:w="0" w:type="auto"/>
            <w:hideMark/>
          </w:tcPr>
          <w:p w14:paraId="1071FA8A"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0.025</w:t>
            </w:r>
          </w:p>
        </w:tc>
        <w:tc>
          <w:tcPr>
            <w:tcW w:w="0" w:type="auto"/>
            <w:hideMark/>
          </w:tcPr>
          <w:p w14:paraId="7FA52BBD" w14:textId="77777777"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0.033</w:t>
            </w:r>
          </w:p>
        </w:tc>
      </w:tr>
    </w:tbl>
    <w:p w14:paraId="5826CFEA" w14:textId="77777777" w:rsidR="001B0C63" w:rsidRPr="00622967" w:rsidRDefault="009F7281" w:rsidP="003A7412">
      <w:pPr>
        <w:pStyle w:val="NormalWeb"/>
        <w:rPr>
          <w:rFonts w:ascii="Arial" w:hAnsi="Arial" w:cs="Arial"/>
          <w:sz w:val="20"/>
          <w:szCs w:val="20"/>
        </w:rPr>
      </w:pPr>
      <w:r w:rsidRPr="00622967">
        <w:rPr>
          <w:rFonts w:ascii="Arial" w:hAnsi="Arial" w:cs="Arial"/>
          <w:sz w:val="20"/>
          <w:szCs w:val="20"/>
        </w:rPr>
        <w:t>(</w:t>
      </w:r>
      <w:r w:rsidRPr="008A39C8">
        <w:rPr>
          <w:rFonts w:ascii="Arial" w:hAnsi="Arial" w:cs="Arial"/>
          <w:sz w:val="20"/>
          <w:szCs w:val="20"/>
        </w:rPr>
        <w:t xml:space="preserve">Neog </w:t>
      </w:r>
      <w:r w:rsidRPr="008A39C8">
        <w:rPr>
          <w:rFonts w:ascii="Arial" w:hAnsi="Arial" w:cs="Arial"/>
          <w:i/>
          <w:sz w:val="20"/>
          <w:szCs w:val="20"/>
        </w:rPr>
        <w:t>et al.,</w:t>
      </w:r>
      <w:r w:rsidRPr="008A39C8">
        <w:rPr>
          <w:rFonts w:ascii="Arial" w:hAnsi="Arial" w:cs="Arial"/>
          <w:sz w:val="20"/>
          <w:szCs w:val="20"/>
        </w:rPr>
        <w:t xml:space="preserve"> 2011a, b</w:t>
      </w:r>
      <w:r w:rsidRPr="00622967">
        <w:rPr>
          <w:rFonts w:ascii="Arial" w:hAnsi="Arial" w:cs="Arial"/>
          <w:sz w:val="20"/>
          <w:szCs w:val="20"/>
        </w:rPr>
        <w:t>)</w:t>
      </w:r>
    </w:p>
    <w:p w14:paraId="6403184D" w14:textId="77777777" w:rsidR="00095B00" w:rsidRPr="00ED6D5E" w:rsidRDefault="00ED6D5E" w:rsidP="00ED6D5E">
      <w:pPr>
        <w:pStyle w:val="Heading3"/>
        <w:rPr>
          <w:rFonts w:ascii="Arial" w:hAnsi="Arial" w:cs="Arial"/>
          <w:color w:val="auto"/>
        </w:rPr>
      </w:pPr>
      <w:r w:rsidRPr="00ED6D5E">
        <w:rPr>
          <w:rStyle w:val="Strong"/>
          <w:rFonts w:ascii="Arial" w:hAnsi="Arial" w:cs="Arial"/>
          <w:b/>
          <w:bCs/>
          <w:color w:val="auto"/>
        </w:rPr>
        <w:t>6.4</w:t>
      </w:r>
      <w:r w:rsidR="00095B00" w:rsidRPr="00ED6D5E">
        <w:rPr>
          <w:rStyle w:val="Strong"/>
          <w:rFonts w:ascii="Arial" w:hAnsi="Arial" w:cs="Arial"/>
          <w:b/>
          <w:bCs/>
          <w:color w:val="auto"/>
        </w:rPr>
        <w:t xml:space="preserve"> Chemosensory Flexibility in </w:t>
      </w:r>
      <w:proofErr w:type="spellStart"/>
      <w:r w:rsidR="00095B00" w:rsidRPr="00ED6D5E">
        <w:rPr>
          <w:rStyle w:val="Emphasis"/>
          <w:rFonts w:ascii="Arial" w:hAnsi="Arial" w:cs="Arial"/>
          <w:color w:val="auto"/>
        </w:rPr>
        <w:t>Antheraea</w:t>
      </w:r>
      <w:proofErr w:type="spellEnd"/>
      <w:r w:rsidR="00095B00" w:rsidRPr="00ED6D5E">
        <w:rPr>
          <w:rStyle w:val="Emphasis"/>
          <w:rFonts w:ascii="Arial" w:hAnsi="Arial" w:cs="Arial"/>
          <w:color w:val="auto"/>
        </w:rPr>
        <w:t xml:space="preserve"> </w:t>
      </w:r>
      <w:proofErr w:type="spellStart"/>
      <w:r w:rsidR="00095B00" w:rsidRPr="00ED6D5E">
        <w:rPr>
          <w:rStyle w:val="Emphasis"/>
          <w:rFonts w:ascii="Arial" w:hAnsi="Arial" w:cs="Arial"/>
          <w:color w:val="auto"/>
        </w:rPr>
        <w:t>assamensis</w:t>
      </w:r>
      <w:proofErr w:type="spellEnd"/>
    </w:p>
    <w:p w14:paraId="65C82912" w14:textId="77777777" w:rsidR="00095B00" w:rsidRPr="00622967" w:rsidRDefault="00095B00" w:rsidP="00CE78A7">
      <w:pPr>
        <w:pStyle w:val="NormalWeb"/>
        <w:jc w:val="both"/>
        <w:rPr>
          <w:rFonts w:ascii="Arial" w:hAnsi="Arial" w:cs="Arial"/>
          <w:sz w:val="20"/>
        </w:rPr>
      </w:pPr>
      <w:r w:rsidRPr="00622967">
        <w:rPr>
          <w:rFonts w:ascii="Arial" w:hAnsi="Arial" w:cs="Arial"/>
          <w:sz w:val="20"/>
        </w:rPr>
        <w:t xml:space="preserve">In contrast to the strict selectivity of </w:t>
      </w:r>
      <w:r w:rsidRPr="00622967">
        <w:rPr>
          <w:rStyle w:val="Emphasis"/>
          <w:rFonts w:ascii="Arial" w:hAnsi="Arial" w:cs="Arial"/>
          <w:sz w:val="20"/>
        </w:rPr>
        <w:t>B. mori</w:t>
      </w:r>
      <w:r w:rsidRPr="00622967">
        <w:rPr>
          <w:rFonts w:ascii="Arial" w:hAnsi="Arial" w:cs="Arial"/>
          <w:sz w:val="20"/>
        </w:rPr>
        <w:t xml:space="preserve">, </w:t>
      </w:r>
      <w:r w:rsidRPr="00622967">
        <w:rPr>
          <w:rStyle w:val="Emphasis"/>
          <w:rFonts w:ascii="Arial" w:hAnsi="Arial" w:cs="Arial"/>
          <w:sz w:val="20"/>
        </w:rPr>
        <w:t xml:space="preserve">A. </w:t>
      </w:r>
      <w:proofErr w:type="spellStart"/>
      <w:r w:rsidRPr="00622967">
        <w:rPr>
          <w:rStyle w:val="Emphasis"/>
          <w:rFonts w:ascii="Arial" w:hAnsi="Arial" w:cs="Arial"/>
          <w:sz w:val="20"/>
        </w:rPr>
        <w:t>assamensis</w:t>
      </w:r>
      <w:proofErr w:type="spellEnd"/>
      <w:r w:rsidRPr="00622967">
        <w:rPr>
          <w:rFonts w:ascii="Arial" w:hAnsi="Arial" w:cs="Arial"/>
          <w:sz w:val="20"/>
        </w:rPr>
        <w:t xml:space="preserve"> displays remarkable chemosensory plasticity, which supports its polyphagous lifestyle. The larvae accept a broad spectrum of host plants, primarily </w:t>
      </w:r>
      <w:r w:rsidR="00622967" w:rsidRPr="00622967">
        <w:rPr>
          <w:rFonts w:ascii="Arial" w:hAnsi="Arial" w:cs="Arial"/>
          <w:sz w:val="20"/>
        </w:rPr>
        <w:t xml:space="preserve">from the </w:t>
      </w:r>
      <w:proofErr w:type="spellStart"/>
      <w:r w:rsidR="00622967" w:rsidRPr="00622967">
        <w:rPr>
          <w:rFonts w:ascii="Arial" w:hAnsi="Arial" w:cs="Arial"/>
          <w:sz w:val="20"/>
        </w:rPr>
        <w:t>Lauraceae</w:t>
      </w:r>
      <w:proofErr w:type="spellEnd"/>
      <w:r w:rsidR="00622967" w:rsidRPr="00622967">
        <w:rPr>
          <w:rFonts w:ascii="Arial" w:hAnsi="Arial" w:cs="Arial"/>
          <w:sz w:val="20"/>
        </w:rPr>
        <w:t xml:space="preserve"> family (</w:t>
      </w:r>
      <w:proofErr w:type="spellStart"/>
      <w:r w:rsidRPr="00622967">
        <w:rPr>
          <w:rStyle w:val="Emphasis"/>
          <w:rFonts w:ascii="Arial" w:hAnsi="Arial" w:cs="Arial"/>
          <w:sz w:val="20"/>
        </w:rPr>
        <w:t>Persea</w:t>
      </w:r>
      <w:proofErr w:type="spellEnd"/>
      <w:r w:rsidRPr="00622967">
        <w:rPr>
          <w:rStyle w:val="Emphasis"/>
          <w:rFonts w:ascii="Arial" w:hAnsi="Arial" w:cs="Arial"/>
          <w:sz w:val="20"/>
        </w:rPr>
        <w:t xml:space="preserve"> </w:t>
      </w:r>
      <w:proofErr w:type="spellStart"/>
      <w:r w:rsidRPr="00622967">
        <w:rPr>
          <w:rStyle w:val="Emphasis"/>
          <w:rFonts w:ascii="Arial" w:hAnsi="Arial" w:cs="Arial"/>
          <w:sz w:val="20"/>
        </w:rPr>
        <w:t>bombycina</w:t>
      </w:r>
      <w:proofErr w:type="spellEnd"/>
      <w:r w:rsidRPr="00622967">
        <w:rPr>
          <w:rFonts w:ascii="Arial" w:hAnsi="Arial" w:cs="Arial"/>
          <w:sz w:val="20"/>
        </w:rPr>
        <w:t xml:space="preserve">, </w:t>
      </w:r>
      <w:proofErr w:type="spellStart"/>
      <w:r w:rsidRPr="00622967">
        <w:rPr>
          <w:rStyle w:val="Emphasis"/>
          <w:rFonts w:ascii="Arial" w:hAnsi="Arial" w:cs="Arial"/>
          <w:sz w:val="20"/>
        </w:rPr>
        <w:t>Litsea</w:t>
      </w:r>
      <w:proofErr w:type="spellEnd"/>
      <w:r w:rsidRPr="00622967">
        <w:rPr>
          <w:rStyle w:val="Emphasis"/>
          <w:rFonts w:ascii="Arial" w:hAnsi="Arial" w:cs="Arial"/>
          <w:sz w:val="20"/>
        </w:rPr>
        <w:t xml:space="preserve"> </w:t>
      </w:r>
      <w:proofErr w:type="spellStart"/>
      <w:r w:rsidRPr="00622967">
        <w:rPr>
          <w:rStyle w:val="Emphasis"/>
          <w:rFonts w:ascii="Arial" w:hAnsi="Arial" w:cs="Arial"/>
          <w:sz w:val="20"/>
        </w:rPr>
        <w:t>monopetala</w:t>
      </w:r>
      <w:proofErr w:type="spellEnd"/>
      <w:r w:rsidRPr="00622967">
        <w:rPr>
          <w:rFonts w:ascii="Arial" w:hAnsi="Arial" w:cs="Arial"/>
          <w:sz w:val="20"/>
        </w:rPr>
        <w:t xml:space="preserve">), but also including secondary and tertiary hosts like </w:t>
      </w:r>
      <w:proofErr w:type="spellStart"/>
      <w:r w:rsidRPr="00622967">
        <w:rPr>
          <w:rStyle w:val="Emphasis"/>
          <w:rFonts w:ascii="Arial" w:hAnsi="Arial" w:cs="Arial"/>
          <w:sz w:val="20"/>
        </w:rPr>
        <w:t>Michelia</w:t>
      </w:r>
      <w:proofErr w:type="spellEnd"/>
      <w:r w:rsidRPr="00622967">
        <w:rPr>
          <w:rStyle w:val="Emphasis"/>
          <w:rFonts w:ascii="Arial" w:hAnsi="Arial" w:cs="Arial"/>
          <w:sz w:val="20"/>
        </w:rPr>
        <w:t xml:space="preserve"> </w:t>
      </w:r>
      <w:proofErr w:type="spellStart"/>
      <w:r w:rsidRPr="00622967">
        <w:rPr>
          <w:rStyle w:val="Emphasis"/>
          <w:rFonts w:ascii="Arial" w:hAnsi="Arial" w:cs="Arial"/>
          <w:sz w:val="20"/>
        </w:rPr>
        <w:t>champaca</w:t>
      </w:r>
      <w:proofErr w:type="spellEnd"/>
      <w:r w:rsidRPr="00622967">
        <w:rPr>
          <w:rFonts w:ascii="Arial" w:hAnsi="Arial" w:cs="Arial"/>
          <w:sz w:val="20"/>
        </w:rPr>
        <w:t xml:space="preserve"> and </w:t>
      </w:r>
      <w:proofErr w:type="spellStart"/>
      <w:r w:rsidRPr="00622967">
        <w:rPr>
          <w:rStyle w:val="Emphasis"/>
          <w:rFonts w:ascii="Arial" w:hAnsi="Arial" w:cs="Arial"/>
          <w:sz w:val="20"/>
        </w:rPr>
        <w:t>Cinnamomum</w:t>
      </w:r>
      <w:proofErr w:type="spellEnd"/>
      <w:r w:rsidRPr="00622967">
        <w:rPr>
          <w:rStyle w:val="Emphasis"/>
          <w:rFonts w:ascii="Arial" w:hAnsi="Arial" w:cs="Arial"/>
          <w:sz w:val="20"/>
        </w:rPr>
        <w:t xml:space="preserve"> </w:t>
      </w:r>
      <w:proofErr w:type="spellStart"/>
      <w:r w:rsidRPr="00622967">
        <w:rPr>
          <w:rStyle w:val="Emphasis"/>
          <w:rFonts w:ascii="Arial" w:hAnsi="Arial" w:cs="Arial"/>
          <w:sz w:val="20"/>
        </w:rPr>
        <w:t>glaucescens</w:t>
      </w:r>
      <w:proofErr w:type="spellEnd"/>
      <w:r w:rsidRPr="00622967">
        <w:rPr>
          <w:rFonts w:ascii="Arial" w:hAnsi="Arial" w:cs="Arial"/>
          <w:sz w:val="20"/>
        </w:rPr>
        <w:t xml:space="preserve"> (</w:t>
      </w:r>
      <w:proofErr w:type="spellStart"/>
      <w:r w:rsidRPr="008A39C8">
        <w:rPr>
          <w:rFonts w:ascii="Arial" w:hAnsi="Arial" w:cs="Arial"/>
          <w:sz w:val="20"/>
        </w:rPr>
        <w:t>Tikader</w:t>
      </w:r>
      <w:proofErr w:type="spellEnd"/>
      <w:r w:rsidRPr="008A39C8">
        <w:rPr>
          <w:rFonts w:ascii="Arial" w:hAnsi="Arial" w:cs="Arial"/>
          <w:sz w:val="20"/>
        </w:rPr>
        <w:t xml:space="preserve"> </w:t>
      </w:r>
      <w:r w:rsidRPr="008A39C8">
        <w:rPr>
          <w:rFonts w:ascii="Arial" w:hAnsi="Arial" w:cs="Arial"/>
          <w:i/>
          <w:sz w:val="20"/>
        </w:rPr>
        <w:t>et al.,</w:t>
      </w:r>
      <w:r w:rsidRPr="008A39C8">
        <w:rPr>
          <w:rFonts w:ascii="Arial" w:hAnsi="Arial" w:cs="Arial"/>
          <w:sz w:val="20"/>
        </w:rPr>
        <w:t xml:space="preserve"> 2013; Das </w:t>
      </w:r>
      <w:r w:rsidRPr="008A39C8">
        <w:rPr>
          <w:rFonts w:ascii="Arial" w:hAnsi="Arial" w:cs="Arial"/>
          <w:i/>
          <w:sz w:val="20"/>
        </w:rPr>
        <w:t>et al.,</w:t>
      </w:r>
      <w:r w:rsidRPr="008A39C8">
        <w:rPr>
          <w:rFonts w:ascii="Arial" w:hAnsi="Arial" w:cs="Arial"/>
          <w:sz w:val="20"/>
        </w:rPr>
        <w:t xml:space="preserve"> 2020</w:t>
      </w:r>
      <w:r w:rsidRPr="00622967">
        <w:rPr>
          <w:rFonts w:ascii="Arial" w:hAnsi="Arial" w:cs="Arial"/>
          <w:sz w:val="20"/>
        </w:rPr>
        <w:t>)</w:t>
      </w:r>
      <w:r w:rsidR="00870964" w:rsidRPr="00622967">
        <w:rPr>
          <w:rFonts w:ascii="Arial" w:hAnsi="Arial" w:cs="Arial"/>
          <w:sz w:val="20"/>
        </w:rPr>
        <w:t xml:space="preserve"> (Table 5)</w:t>
      </w:r>
      <w:r w:rsidRPr="00622967">
        <w:rPr>
          <w:rFonts w:ascii="Arial" w:hAnsi="Arial" w:cs="Arial"/>
          <w:sz w:val="20"/>
        </w:rPr>
        <w:t xml:space="preserve">. Although fewer electrophysiological studies have been conducted on </w:t>
      </w:r>
      <w:r w:rsidRPr="00622967">
        <w:rPr>
          <w:rStyle w:val="Emphasis"/>
          <w:rFonts w:ascii="Arial" w:hAnsi="Arial" w:cs="Arial"/>
          <w:sz w:val="20"/>
        </w:rPr>
        <w:t xml:space="preserve">A. </w:t>
      </w:r>
      <w:proofErr w:type="spellStart"/>
      <w:r w:rsidRPr="00622967">
        <w:rPr>
          <w:rStyle w:val="Emphasis"/>
          <w:rFonts w:ascii="Arial" w:hAnsi="Arial" w:cs="Arial"/>
          <w:sz w:val="20"/>
        </w:rPr>
        <w:t>assamensis</w:t>
      </w:r>
      <w:proofErr w:type="spellEnd"/>
      <w:r w:rsidRPr="00622967">
        <w:rPr>
          <w:rFonts w:ascii="Arial" w:hAnsi="Arial" w:cs="Arial"/>
          <w:sz w:val="20"/>
        </w:rPr>
        <w:t xml:space="preserve">, analogous research on </w:t>
      </w:r>
      <w:proofErr w:type="spellStart"/>
      <w:r w:rsidRPr="00622967">
        <w:rPr>
          <w:rStyle w:val="Emphasis"/>
          <w:rFonts w:ascii="Arial" w:hAnsi="Arial" w:cs="Arial"/>
          <w:sz w:val="20"/>
        </w:rPr>
        <w:t>Antheraea</w:t>
      </w:r>
      <w:proofErr w:type="spellEnd"/>
      <w:r w:rsidRPr="00622967">
        <w:rPr>
          <w:rStyle w:val="Emphasis"/>
          <w:rFonts w:ascii="Arial" w:hAnsi="Arial" w:cs="Arial"/>
          <w:sz w:val="20"/>
        </w:rPr>
        <w:t xml:space="preserve"> </w:t>
      </w:r>
      <w:proofErr w:type="spellStart"/>
      <w:r w:rsidRPr="00622967">
        <w:rPr>
          <w:rStyle w:val="Emphasis"/>
          <w:rFonts w:ascii="Arial" w:hAnsi="Arial" w:cs="Arial"/>
          <w:sz w:val="20"/>
        </w:rPr>
        <w:t>pernyi</w:t>
      </w:r>
      <w:proofErr w:type="spellEnd"/>
      <w:r w:rsidRPr="00622967">
        <w:rPr>
          <w:rStyle w:val="Emphasis"/>
          <w:rFonts w:ascii="Arial" w:hAnsi="Arial" w:cs="Arial"/>
          <w:sz w:val="20"/>
        </w:rPr>
        <w:t xml:space="preserve"> and </w:t>
      </w:r>
      <w:proofErr w:type="spellStart"/>
      <w:r w:rsidRPr="00622967">
        <w:rPr>
          <w:rStyle w:val="Emphasis"/>
          <w:rFonts w:ascii="Arial" w:hAnsi="Arial" w:cs="Arial"/>
          <w:sz w:val="20"/>
        </w:rPr>
        <w:t>Antheraea</w:t>
      </w:r>
      <w:proofErr w:type="spellEnd"/>
      <w:r w:rsidRPr="00622967">
        <w:rPr>
          <w:rStyle w:val="Emphasis"/>
          <w:rFonts w:ascii="Arial" w:hAnsi="Arial" w:cs="Arial"/>
          <w:sz w:val="20"/>
        </w:rPr>
        <w:t xml:space="preserve"> </w:t>
      </w:r>
      <w:proofErr w:type="spellStart"/>
      <w:r w:rsidRPr="00622967">
        <w:rPr>
          <w:rStyle w:val="Emphasis"/>
          <w:rFonts w:ascii="Arial" w:hAnsi="Arial" w:cs="Arial"/>
          <w:sz w:val="20"/>
        </w:rPr>
        <w:t>yamamai</w:t>
      </w:r>
      <w:proofErr w:type="spellEnd"/>
      <w:r w:rsidRPr="00622967">
        <w:rPr>
          <w:rFonts w:ascii="Arial" w:hAnsi="Arial" w:cs="Arial"/>
          <w:sz w:val="20"/>
        </w:rPr>
        <w:t xml:space="preserve"> suggests the presence of a well-developed array of gustatory and olfactory receptor genes expressed in the maxillary organs, antennae, and palps (</w:t>
      </w:r>
      <w:r w:rsidRPr="00CE78A7">
        <w:rPr>
          <w:rFonts w:ascii="Arial" w:hAnsi="Arial" w:cs="Arial"/>
          <w:sz w:val="20"/>
        </w:rPr>
        <w:t xml:space="preserve">Jiang </w:t>
      </w:r>
      <w:r w:rsidRPr="00CE78A7">
        <w:rPr>
          <w:rFonts w:ascii="Arial" w:hAnsi="Arial" w:cs="Arial"/>
          <w:i/>
          <w:sz w:val="20"/>
        </w:rPr>
        <w:t>et al.,</w:t>
      </w:r>
      <w:r w:rsidRPr="00CE78A7">
        <w:rPr>
          <w:rFonts w:ascii="Arial" w:hAnsi="Arial" w:cs="Arial"/>
          <w:sz w:val="20"/>
        </w:rPr>
        <w:t xml:space="preserve"> 2023; Li </w:t>
      </w:r>
      <w:r w:rsidRPr="00CE78A7">
        <w:rPr>
          <w:rFonts w:ascii="Arial" w:hAnsi="Arial" w:cs="Arial"/>
          <w:i/>
          <w:sz w:val="20"/>
        </w:rPr>
        <w:t>et al.,</w:t>
      </w:r>
      <w:r w:rsidRPr="00CE78A7">
        <w:rPr>
          <w:rFonts w:ascii="Arial" w:hAnsi="Arial" w:cs="Arial"/>
          <w:sz w:val="20"/>
        </w:rPr>
        <w:t xml:space="preserve"> 2020</w:t>
      </w:r>
      <w:r w:rsidRPr="00622967">
        <w:rPr>
          <w:rFonts w:ascii="Arial" w:hAnsi="Arial" w:cs="Arial"/>
          <w:sz w:val="20"/>
        </w:rPr>
        <w:t>).</w:t>
      </w:r>
    </w:p>
    <w:p w14:paraId="4ADC9558" w14:textId="77777777" w:rsidR="00095B00" w:rsidRPr="00622967" w:rsidRDefault="00095B00" w:rsidP="00095B00">
      <w:pPr>
        <w:pStyle w:val="NormalWeb"/>
        <w:jc w:val="both"/>
        <w:rPr>
          <w:rFonts w:ascii="Arial" w:hAnsi="Arial" w:cs="Arial"/>
          <w:sz w:val="20"/>
        </w:rPr>
      </w:pPr>
      <w:r w:rsidRPr="00622967">
        <w:rPr>
          <w:rFonts w:ascii="Arial" w:hAnsi="Arial" w:cs="Arial"/>
          <w:sz w:val="20"/>
        </w:rPr>
        <w:t xml:space="preserve">Behaviorally, </w:t>
      </w:r>
      <w:proofErr w:type="spellStart"/>
      <w:r w:rsidRPr="00622967">
        <w:rPr>
          <w:rFonts w:ascii="Arial" w:hAnsi="Arial" w:cs="Arial"/>
          <w:sz w:val="20"/>
        </w:rPr>
        <w:t>muga</w:t>
      </w:r>
      <w:proofErr w:type="spellEnd"/>
      <w:r w:rsidRPr="00622967">
        <w:rPr>
          <w:rFonts w:ascii="Arial" w:hAnsi="Arial" w:cs="Arial"/>
          <w:sz w:val="20"/>
        </w:rPr>
        <w:t xml:space="preserve"> larvae also exhibit test biting followed by committed feeding, implying that a similar two-step chemosensory process may operate. However, the thresholds for stimulant detection are likely broader, and receptor tuning less specific, allowing the species to adapt to varying host chemical profiles. This sensory </w:t>
      </w:r>
      <w:proofErr w:type="spellStart"/>
      <w:r w:rsidRPr="00622967">
        <w:rPr>
          <w:rFonts w:ascii="Arial" w:hAnsi="Arial" w:cs="Arial"/>
          <w:sz w:val="20"/>
        </w:rPr>
        <w:t>generalism</w:t>
      </w:r>
      <w:proofErr w:type="spellEnd"/>
      <w:r w:rsidRPr="00622967">
        <w:rPr>
          <w:rFonts w:ascii="Arial" w:hAnsi="Arial" w:cs="Arial"/>
          <w:sz w:val="20"/>
        </w:rPr>
        <w:t xml:space="preserve"> is advantageous for survival in fluctuating environments where host plant availability changes seasonally.</w:t>
      </w:r>
    </w:p>
    <w:p w14:paraId="0B5A29D6" w14:textId="77777777" w:rsidR="00095B00" w:rsidRPr="00622967" w:rsidRDefault="00095B00" w:rsidP="00095B00">
      <w:pPr>
        <w:pStyle w:val="NormalWeb"/>
        <w:jc w:val="both"/>
        <w:rPr>
          <w:rFonts w:ascii="Arial" w:hAnsi="Arial" w:cs="Arial"/>
          <w:sz w:val="20"/>
        </w:rPr>
      </w:pPr>
      <w:r w:rsidRPr="00622967">
        <w:rPr>
          <w:rFonts w:ascii="Arial" w:hAnsi="Arial" w:cs="Arial"/>
          <w:sz w:val="20"/>
        </w:rPr>
        <w:t xml:space="preserve">Adult oviposition behavior in both species is chemically mediated. Females detect surface volatiles and cuticular compounds of leaves via chemoreceptors on the tarsi and ovipositor, ensuring eggs are laid on suitable host plants </w:t>
      </w:r>
      <w:r w:rsidRPr="008A39C8">
        <w:rPr>
          <w:rFonts w:ascii="Arial" w:hAnsi="Arial" w:cs="Arial"/>
          <w:sz w:val="20"/>
        </w:rPr>
        <w:t xml:space="preserve">(Gothard </w:t>
      </w:r>
      <w:r w:rsidRPr="008A39C8">
        <w:rPr>
          <w:rFonts w:ascii="Arial" w:hAnsi="Arial" w:cs="Arial"/>
          <w:i/>
          <w:sz w:val="20"/>
        </w:rPr>
        <w:t>et al.,</w:t>
      </w:r>
      <w:r w:rsidRPr="008A39C8">
        <w:rPr>
          <w:rFonts w:ascii="Arial" w:hAnsi="Arial" w:cs="Arial"/>
          <w:sz w:val="20"/>
        </w:rPr>
        <w:t xml:space="preserve"> 2005; Bossart &amp; Scriber, 1999</w:t>
      </w:r>
      <w:r w:rsidRPr="00622967">
        <w:rPr>
          <w:rFonts w:ascii="Arial" w:hAnsi="Arial" w:cs="Arial"/>
          <w:sz w:val="20"/>
        </w:rPr>
        <w:t xml:space="preserve">). In </w:t>
      </w:r>
      <w:r w:rsidRPr="00622967">
        <w:rPr>
          <w:rStyle w:val="Emphasis"/>
          <w:rFonts w:ascii="Arial" w:hAnsi="Arial" w:cs="Arial"/>
          <w:sz w:val="20"/>
        </w:rPr>
        <w:t xml:space="preserve">A. </w:t>
      </w:r>
      <w:proofErr w:type="spellStart"/>
      <w:r w:rsidRPr="00622967">
        <w:rPr>
          <w:rStyle w:val="Emphasis"/>
          <w:rFonts w:ascii="Arial" w:hAnsi="Arial" w:cs="Arial"/>
          <w:sz w:val="20"/>
        </w:rPr>
        <w:t>assamensis</w:t>
      </w:r>
      <w:proofErr w:type="spellEnd"/>
      <w:r w:rsidRPr="00622967">
        <w:rPr>
          <w:rFonts w:ascii="Arial" w:hAnsi="Arial" w:cs="Arial"/>
          <w:sz w:val="20"/>
        </w:rPr>
        <w:t xml:space="preserve">, the wider oviposition range corresponds with larval </w:t>
      </w:r>
      <w:proofErr w:type="spellStart"/>
      <w:r w:rsidRPr="00622967">
        <w:rPr>
          <w:rFonts w:ascii="Arial" w:hAnsi="Arial" w:cs="Arial"/>
          <w:sz w:val="20"/>
        </w:rPr>
        <w:t>polyphagy</w:t>
      </w:r>
      <w:proofErr w:type="spellEnd"/>
      <w:r w:rsidRPr="00622967">
        <w:rPr>
          <w:rFonts w:ascii="Arial" w:hAnsi="Arial" w:cs="Arial"/>
          <w:sz w:val="20"/>
        </w:rPr>
        <w:t xml:space="preserve">, whereas in </w:t>
      </w:r>
      <w:r w:rsidRPr="00622967">
        <w:rPr>
          <w:rStyle w:val="Emphasis"/>
          <w:rFonts w:ascii="Arial" w:hAnsi="Arial" w:cs="Arial"/>
          <w:sz w:val="20"/>
        </w:rPr>
        <w:t>B. mori</w:t>
      </w:r>
      <w:r w:rsidRPr="00622967">
        <w:rPr>
          <w:rFonts w:ascii="Arial" w:hAnsi="Arial" w:cs="Arial"/>
          <w:sz w:val="20"/>
        </w:rPr>
        <w:t>, oviposition is limited due to domestication and dependence on cultivated mulberry.</w:t>
      </w:r>
    </w:p>
    <w:p w14:paraId="1D03BA8E" w14:textId="77777777" w:rsidR="00870964" w:rsidRPr="00622967" w:rsidRDefault="00870964" w:rsidP="00095B00">
      <w:pPr>
        <w:pStyle w:val="NormalWeb"/>
        <w:jc w:val="both"/>
        <w:rPr>
          <w:rFonts w:ascii="Arial" w:hAnsi="Arial" w:cs="Arial"/>
          <w:b/>
          <w:sz w:val="20"/>
          <w:szCs w:val="20"/>
        </w:rPr>
      </w:pPr>
      <w:r w:rsidRPr="00622967">
        <w:rPr>
          <w:rFonts w:ascii="Arial" w:hAnsi="Arial" w:cs="Arial"/>
          <w:b/>
          <w:sz w:val="20"/>
          <w:szCs w:val="20"/>
        </w:rPr>
        <w:t>Table 5. Behavioral Response of Muga Silkworm Larvae to Various Chemical Stimuli</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6327"/>
        <w:gridCol w:w="1161"/>
        <w:gridCol w:w="1156"/>
      </w:tblGrid>
      <w:tr w:rsidR="00870964" w:rsidRPr="00622967" w14:paraId="7BE6A486" w14:textId="77777777" w:rsidTr="00622967">
        <w:tc>
          <w:tcPr>
            <w:tcW w:w="675" w:type="dxa"/>
            <w:tcBorders>
              <w:top w:val="single" w:sz="4" w:space="0" w:color="auto"/>
              <w:bottom w:val="single" w:sz="4" w:space="0" w:color="auto"/>
            </w:tcBorders>
            <w:hideMark/>
          </w:tcPr>
          <w:p w14:paraId="33189BD3" w14:textId="77777777" w:rsidR="00870964" w:rsidRPr="00622967" w:rsidRDefault="00870964" w:rsidP="00622967">
            <w:pPr>
              <w:spacing w:line="480" w:lineRule="auto"/>
              <w:jc w:val="center"/>
              <w:rPr>
                <w:rFonts w:ascii="Arial" w:eastAsia="Times New Roman" w:hAnsi="Arial" w:cs="Arial"/>
                <w:b/>
                <w:bCs/>
                <w:sz w:val="20"/>
                <w:szCs w:val="20"/>
              </w:rPr>
            </w:pPr>
            <w:r w:rsidRPr="00622967">
              <w:rPr>
                <w:rFonts w:ascii="Arial" w:eastAsia="Times New Roman" w:hAnsi="Arial" w:cs="Arial"/>
                <w:b/>
                <w:bCs/>
                <w:sz w:val="20"/>
                <w:szCs w:val="20"/>
              </w:rPr>
              <w:t>Sl. No.</w:t>
            </w:r>
          </w:p>
        </w:tc>
        <w:tc>
          <w:tcPr>
            <w:tcW w:w="6327" w:type="dxa"/>
            <w:tcBorders>
              <w:top w:val="single" w:sz="4" w:space="0" w:color="auto"/>
              <w:bottom w:val="single" w:sz="4" w:space="0" w:color="auto"/>
            </w:tcBorders>
            <w:hideMark/>
          </w:tcPr>
          <w:p w14:paraId="521EB702" w14:textId="77777777" w:rsidR="00870964" w:rsidRPr="00622967" w:rsidRDefault="00870964" w:rsidP="00622967">
            <w:pPr>
              <w:spacing w:line="480" w:lineRule="auto"/>
              <w:jc w:val="center"/>
              <w:rPr>
                <w:rFonts w:ascii="Arial" w:eastAsia="Times New Roman" w:hAnsi="Arial" w:cs="Arial"/>
                <w:b/>
                <w:bCs/>
                <w:sz w:val="20"/>
                <w:szCs w:val="20"/>
              </w:rPr>
            </w:pPr>
            <w:r w:rsidRPr="00622967">
              <w:rPr>
                <w:rFonts w:ascii="Arial" w:eastAsia="Times New Roman" w:hAnsi="Arial" w:cs="Arial"/>
                <w:b/>
                <w:bCs/>
                <w:sz w:val="20"/>
                <w:szCs w:val="20"/>
              </w:rPr>
              <w:t>Name of the Chemical</w:t>
            </w:r>
          </w:p>
        </w:tc>
        <w:tc>
          <w:tcPr>
            <w:tcW w:w="0" w:type="auto"/>
            <w:tcBorders>
              <w:top w:val="single" w:sz="4" w:space="0" w:color="auto"/>
              <w:bottom w:val="single" w:sz="4" w:space="0" w:color="auto"/>
            </w:tcBorders>
            <w:hideMark/>
          </w:tcPr>
          <w:p w14:paraId="7F5F9AE5" w14:textId="77777777" w:rsidR="00870964" w:rsidRPr="00622967" w:rsidRDefault="00870964" w:rsidP="00622967">
            <w:pPr>
              <w:spacing w:line="480" w:lineRule="auto"/>
              <w:jc w:val="center"/>
              <w:rPr>
                <w:rFonts w:ascii="Arial" w:eastAsia="Times New Roman" w:hAnsi="Arial" w:cs="Arial"/>
                <w:b/>
                <w:bCs/>
                <w:sz w:val="20"/>
                <w:szCs w:val="20"/>
              </w:rPr>
            </w:pPr>
            <w:r w:rsidRPr="00622967">
              <w:rPr>
                <w:rFonts w:ascii="Arial" w:eastAsia="Times New Roman" w:hAnsi="Arial" w:cs="Arial"/>
                <w:b/>
                <w:bCs/>
                <w:sz w:val="20"/>
                <w:szCs w:val="20"/>
              </w:rPr>
              <w:t>Attraction</w:t>
            </w:r>
          </w:p>
        </w:tc>
        <w:tc>
          <w:tcPr>
            <w:tcW w:w="0" w:type="auto"/>
            <w:tcBorders>
              <w:top w:val="single" w:sz="4" w:space="0" w:color="auto"/>
              <w:bottom w:val="single" w:sz="4" w:space="0" w:color="auto"/>
            </w:tcBorders>
            <w:hideMark/>
          </w:tcPr>
          <w:p w14:paraId="11C634DC" w14:textId="77777777" w:rsidR="00870964" w:rsidRPr="00622967" w:rsidRDefault="00870964" w:rsidP="00622967">
            <w:pPr>
              <w:spacing w:line="480" w:lineRule="auto"/>
              <w:jc w:val="center"/>
              <w:rPr>
                <w:rFonts w:ascii="Arial" w:eastAsia="Times New Roman" w:hAnsi="Arial" w:cs="Arial"/>
                <w:b/>
                <w:bCs/>
                <w:sz w:val="20"/>
                <w:szCs w:val="20"/>
              </w:rPr>
            </w:pPr>
            <w:r w:rsidRPr="00622967">
              <w:rPr>
                <w:rFonts w:ascii="Arial" w:eastAsia="Times New Roman" w:hAnsi="Arial" w:cs="Arial"/>
                <w:b/>
                <w:bCs/>
                <w:sz w:val="20"/>
                <w:szCs w:val="20"/>
              </w:rPr>
              <w:t>Biting</w:t>
            </w:r>
          </w:p>
        </w:tc>
      </w:tr>
      <w:tr w:rsidR="00870964" w:rsidRPr="00622967" w14:paraId="01175221" w14:textId="77777777" w:rsidTr="00622967">
        <w:tc>
          <w:tcPr>
            <w:tcW w:w="675" w:type="dxa"/>
            <w:tcBorders>
              <w:top w:val="single" w:sz="4" w:space="0" w:color="auto"/>
              <w:bottom w:val="nil"/>
            </w:tcBorders>
            <w:hideMark/>
          </w:tcPr>
          <w:p w14:paraId="5A42A941"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1</w:t>
            </w:r>
          </w:p>
        </w:tc>
        <w:tc>
          <w:tcPr>
            <w:tcW w:w="6327" w:type="dxa"/>
            <w:tcBorders>
              <w:top w:val="single" w:sz="4" w:space="0" w:color="auto"/>
              <w:bottom w:val="nil"/>
            </w:tcBorders>
            <w:hideMark/>
          </w:tcPr>
          <w:p w14:paraId="4A641720" w14:textId="77777777" w:rsidR="00870964" w:rsidRPr="00622967" w:rsidRDefault="00870964" w:rsidP="00622967">
            <w:pPr>
              <w:spacing w:line="480" w:lineRule="auto"/>
              <w:rPr>
                <w:rFonts w:ascii="Arial" w:eastAsia="Times New Roman" w:hAnsi="Arial" w:cs="Arial"/>
                <w:sz w:val="20"/>
                <w:szCs w:val="20"/>
              </w:rPr>
            </w:pPr>
            <w:proofErr w:type="spellStart"/>
            <w:r w:rsidRPr="00622967">
              <w:rPr>
                <w:rFonts w:ascii="Arial" w:eastAsia="Times New Roman" w:hAnsi="Arial" w:cs="Arial"/>
                <w:sz w:val="20"/>
                <w:szCs w:val="20"/>
              </w:rPr>
              <w:t>Myrcetin</w:t>
            </w:r>
            <w:proofErr w:type="spellEnd"/>
          </w:p>
        </w:tc>
        <w:tc>
          <w:tcPr>
            <w:tcW w:w="0" w:type="auto"/>
            <w:tcBorders>
              <w:top w:val="single" w:sz="4" w:space="0" w:color="auto"/>
              <w:bottom w:val="nil"/>
            </w:tcBorders>
            <w:hideMark/>
          </w:tcPr>
          <w:p w14:paraId="7CD811C5"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c>
          <w:tcPr>
            <w:tcW w:w="0" w:type="auto"/>
            <w:tcBorders>
              <w:top w:val="single" w:sz="4" w:space="0" w:color="auto"/>
              <w:bottom w:val="nil"/>
            </w:tcBorders>
            <w:hideMark/>
          </w:tcPr>
          <w:p w14:paraId="082EA908"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w:t>
            </w:r>
            <w:proofErr w:type="spellStart"/>
            <w:r w:rsidRPr="00622967">
              <w:rPr>
                <w:rFonts w:ascii="Arial" w:eastAsia="Times New Roman" w:hAnsi="Arial" w:cs="Arial"/>
                <w:sz w:val="20"/>
                <w:szCs w:val="20"/>
              </w:rPr>
              <w:t>ve</w:t>
            </w:r>
            <w:proofErr w:type="spellEnd"/>
          </w:p>
        </w:tc>
      </w:tr>
      <w:tr w:rsidR="00870964" w:rsidRPr="00622967" w14:paraId="527A595D" w14:textId="77777777" w:rsidTr="00622967">
        <w:tc>
          <w:tcPr>
            <w:tcW w:w="675" w:type="dxa"/>
            <w:tcBorders>
              <w:top w:val="nil"/>
            </w:tcBorders>
            <w:hideMark/>
          </w:tcPr>
          <w:p w14:paraId="76B674A2"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2</w:t>
            </w:r>
          </w:p>
        </w:tc>
        <w:tc>
          <w:tcPr>
            <w:tcW w:w="6327" w:type="dxa"/>
            <w:tcBorders>
              <w:top w:val="nil"/>
            </w:tcBorders>
            <w:hideMark/>
          </w:tcPr>
          <w:p w14:paraId="50A550FB"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Morin</w:t>
            </w:r>
          </w:p>
        </w:tc>
        <w:tc>
          <w:tcPr>
            <w:tcW w:w="0" w:type="auto"/>
            <w:tcBorders>
              <w:top w:val="nil"/>
            </w:tcBorders>
            <w:hideMark/>
          </w:tcPr>
          <w:p w14:paraId="71208260"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c>
          <w:tcPr>
            <w:tcW w:w="0" w:type="auto"/>
            <w:tcBorders>
              <w:top w:val="nil"/>
            </w:tcBorders>
            <w:hideMark/>
          </w:tcPr>
          <w:p w14:paraId="07368AE0"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r>
      <w:tr w:rsidR="00870964" w:rsidRPr="00622967" w14:paraId="767A39AA" w14:textId="77777777" w:rsidTr="00622967">
        <w:tc>
          <w:tcPr>
            <w:tcW w:w="675" w:type="dxa"/>
            <w:hideMark/>
          </w:tcPr>
          <w:p w14:paraId="3AC32225"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3</w:t>
            </w:r>
          </w:p>
        </w:tc>
        <w:tc>
          <w:tcPr>
            <w:tcW w:w="6327" w:type="dxa"/>
            <w:hideMark/>
          </w:tcPr>
          <w:p w14:paraId="6B01CBB7"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Quercetin</w:t>
            </w:r>
          </w:p>
        </w:tc>
        <w:tc>
          <w:tcPr>
            <w:tcW w:w="0" w:type="auto"/>
            <w:hideMark/>
          </w:tcPr>
          <w:p w14:paraId="3EF1295C"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c>
          <w:tcPr>
            <w:tcW w:w="0" w:type="auto"/>
            <w:hideMark/>
          </w:tcPr>
          <w:p w14:paraId="44CC8E41"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r>
      <w:tr w:rsidR="00870964" w:rsidRPr="00622967" w14:paraId="3B1A2359" w14:textId="77777777" w:rsidTr="00622967">
        <w:tc>
          <w:tcPr>
            <w:tcW w:w="675" w:type="dxa"/>
            <w:hideMark/>
          </w:tcPr>
          <w:p w14:paraId="4A0317BB"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4</w:t>
            </w:r>
          </w:p>
        </w:tc>
        <w:tc>
          <w:tcPr>
            <w:tcW w:w="6327" w:type="dxa"/>
            <w:hideMark/>
          </w:tcPr>
          <w:p w14:paraId="73B24D34"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7, 2′, 4′ Trimethoxy dihydroxy flavone</w:t>
            </w:r>
          </w:p>
        </w:tc>
        <w:tc>
          <w:tcPr>
            <w:tcW w:w="0" w:type="auto"/>
            <w:hideMark/>
          </w:tcPr>
          <w:p w14:paraId="1A48AFCA"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c>
          <w:tcPr>
            <w:tcW w:w="0" w:type="auto"/>
            <w:hideMark/>
          </w:tcPr>
          <w:p w14:paraId="718CA16F"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w:t>
            </w:r>
            <w:proofErr w:type="spellStart"/>
            <w:r w:rsidRPr="00622967">
              <w:rPr>
                <w:rFonts w:ascii="Arial" w:eastAsia="Times New Roman" w:hAnsi="Arial" w:cs="Arial"/>
                <w:sz w:val="20"/>
                <w:szCs w:val="20"/>
              </w:rPr>
              <w:t>ve</w:t>
            </w:r>
            <w:proofErr w:type="spellEnd"/>
          </w:p>
        </w:tc>
      </w:tr>
      <w:tr w:rsidR="00870964" w:rsidRPr="00622967" w14:paraId="4EA21FBB" w14:textId="77777777" w:rsidTr="00622967">
        <w:tc>
          <w:tcPr>
            <w:tcW w:w="675" w:type="dxa"/>
            <w:hideMark/>
          </w:tcPr>
          <w:p w14:paraId="74CAE944"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5</w:t>
            </w:r>
          </w:p>
        </w:tc>
        <w:tc>
          <w:tcPr>
            <w:tcW w:w="6327" w:type="dxa"/>
            <w:hideMark/>
          </w:tcPr>
          <w:p w14:paraId="2763D109"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3′, 4′ Dimethyl Quercetin</w:t>
            </w:r>
          </w:p>
        </w:tc>
        <w:tc>
          <w:tcPr>
            <w:tcW w:w="0" w:type="auto"/>
            <w:hideMark/>
          </w:tcPr>
          <w:p w14:paraId="3B571F82"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c>
          <w:tcPr>
            <w:tcW w:w="0" w:type="auto"/>
            <w:hideMark/>
          </w:tcPr>
          <w:p w14:paraId="1860A4E2"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r>
      <w:tr w:rsidR="00870964" w:rsidRPr="00622967" w14:paraId="4C810C64" w14:textId="77777777" w:rsidTr="00622967">
        <w:tc>
          <w:tcPr>
            <w:tcW w:w="675" w:type="dxa"/>
            <w:hideMark/>
          </w:tcPr>
          <w:p w14:paraId="3CA83A87"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lastRenderedPageBreak/>
              <w:t>6</w:t>
            </w:r>
          </w:p>
        </w:tc>
        <w:tc>
          <w:tcPr>
            <w:tcW w:w="6327" w:type="dxa"/>
            <w:hideMark/>
          </w:tcPr>
          <w:p w14:paraId="1CDA0E9C"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2′, 4′ Dimethyl Morin</w:t>
            </w:r>
          </w:p>
        </w:tc>
        <w:tc>
          <w:tcPr>
            <w:tcW w:w="0" w:type="auto"/>
            <w:hideMark/>
          </w:tcPr>
          <w:p w14:paraId="746F27AC"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c>
          <w:tcPr>
            <w:tcW w:w="0" w:type="auto"/>
            <w:hideMark/>
          </w:tcPr>
          <w:p w14:paraId="6751E9BE"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r>
      <w:tr w:rsidR="00870964" w:rsidRPr="00622967" w14:paraId="797154F7" w14:textId="77777777" w:rsidTr="00622967">
        <w:tc>
          <w:tcPr>
            <w:tcW w:w="675" w:type="dxa"/>
            <w:hideMark/>
          </w:tcPr>
          <w:p w14:paraId="0DC54786"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7</w:t>
            </w:r>
          </w:p>
        </w:tc>
        <w:tc>
          <w:tcPr>
            <w:tcW w:w="6327" w:type="dxa"/>
            <w:hideMark/>
          </w:tcPr>
          <w:p w14:paraId="6455A86F"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Beta sitosterol</w:t>
            </w:r>
          </w:p>
        </w:tc>
        <w:tc>
          <w:tcPr>
            <w:tcW w:w="0" w:type="auto"/>
            <w:hideMark/>
          </w:tcPr>
          <w:p w14:paraId="452B9279"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c>
          <w:tcPr>
            <w:tcW w:w="0" w:type="auto"/>
            <w:hideMark/>
          </w:tcPr>
          <w:p w14:paraId="339F183B"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w:t>
            </w:r>
            <w:proofErr w:type="spellStart"/>
            <w:r w:rsidRPr="00622967">
              <w:rPr>
                <w:rFonts w:ascii="Arial" w:eastAsia="Times New Roman" w:hAnsi="Arial" w:cs="Arial"/>
                <w:sz w:val="20"/>
                <w:szCs w:val="20"/>
              </w:rPr>
              <w:t>ve</w:t>
            </w:r>
            <w:proofErr w:type="spellEnd"/>
          </w:p>
        </w:tc>
      </w:tr>
      <w:tr w:rsidR="00870964" w:rsidRPr="00622967" w14:paraId="47494F5E" w14:textId="77777777" w:rsidTr="00622967">
        <w:tc>
          <w:tcPr>
            <w:tcW w:w="675" w:type="dxa"/>
            <w:hideMark/>
          </w:tcPr>
          <w:p w14:paraId="0BD57727"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8</w:t>
            </w:r>
          </w:p>
        </w:tc>
        <w:tc>
          <w:tcPr>
            <w:tcW w:w="6327" w:type="dxa"/>
            <w:hideMark/>
          </w:tcPr>
          <w:p w14:paraId="1748CA8B" w14:textId="77777777" w:rsidR="00870964" w:rsidRPr="00622967" w:rsidRDefault="00870964" w:rsidP="00622967">
            <w:pPr>
              <w:spacing w:line="480" w:lineRule="auto"/>
              <w:rPr>
                <w:rFonts w:ascii="Arial" w:eastAsia="Times New Roman" w:hAnsi="Arial" w:cs="Arial"/>
                <w:sz w:val="20"/>
                <w:szCs w:val="20"/>
              </w:rPr>
            </w:pPr>
            <w:proofErr w:type="spellStart"/>
            <w:r w:rsidRPr="00622967">
              <w:rPr>
                <w:rFonts w:ascii="Arial" w:eastAsia="Times New Roman" w:hAnsi="Arial" w:cs="Arial"/>
                <w:sz w:val="20"/>
                <w:szCs w:val="20"/>
              </w:rPr>
              <w:t>Myrcetin</w:t>
            </w:r>
            <w:proofErr w:type="spellEnd"/>
            <w:r w:rsidRPr="00622967">
              <w:rPr>
                <w:rFonts w:ascii="Arial" w:eastAsia="Times New Roman" w:hAnsi="Arial" w:cs="Arial"/>
                <w:sz w:val="20"/>
                <w:szCs w:val="20"/>
              </w:rPr>
              <w:t>+ Beta sitosterol</w:t>
            </w:r>
          </w:p>
        </w:tc>
        <w:tc>
          <w:tcPr>
            <w:tcW w:w="0" w:type="auto"/>
            <w:hideMark/>
          </w:tcPr>
          <w:p w14:paraId="5E8EF2E3"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Highly +</w:t>
            </w:r>
            <w:proofErr w:type="spellStart"/>
            <w:r w:rsidRPr="00622967">
              <w:rPr>
                <w:rFonts w:ascii="Arial" w:eastAsia="Times New Roman" w:hAnsi="Arial" w:cs="Arial"/>
                <w:sz w:val="20"/>
                <w:szCs w:val="20"/>
              </w:rPr>
              <w:t>ve</w:t>
            </w:r>
            <w:proofErr w:type="spellEnd"/>
          </w:p>
        </w:tc>
        <w:tc>
          <w:tcPr>
            <w:tcW w:w="0" w:type="auto"/>
            <w:hideMark/>
          </w:tcPr>
          <w:p w14:paraId="2D08D7BE"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Highly +</w:t>
            </w:r>
            <w:proofErr w:type="spellStart"/>
            <w:r w:rsidRPr="00622967">
              <w:rPr>
                <w:rFonts w:ascii="Arial" w:eastAsia="Times New Roman" w:hAnsi="Arial" w:cs="Arial"/>
                <w:sz w:val="20"/>
                <w:szCs w:val="20"/>
              </w:rPr>
              <w:t>ve</w:t>
            </w:r>
            <w:proofErr w:type="spellEnd"/>
          </w:p>
        </w:tc>
      </w:tr>
      <w:tr w:rsidR="00870964" w:rsidRPr="00622967" w14:paraId="77A9778C" w14:textId="77777777" w:rsidTr="00622967">
        <w:tc>
          <w:tcPr>
            <w:tcW w:w="675" w:type="dxa"/>
            <w:hideMark/>
          </w:tcPr>
          <w:p w14:paraId="62769D97"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9</w:t>
            </w:r>
          </w:p>
        </w:tc>
        <w:tc>
          <w:tcPr>
            <w:tcW w:w="6327" w:type="dxa"/>
            <w:hideMark/>
          </w:tcPr>
          <w:p w14:paraId="7B889EE4"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7, 2′, 4′ Trimethoxy dihydroxy flavone +Beta sitosterol</w:t>
            </w:r>
          </w:p>
        </w:tc>
        <w:tc>
          <w:tcPr>
            <w:tcW w:w="0" w:type="auto"/>
            <w:hideMark/>
          </w:tcPr>
          <w:p w14:paraId="43448664"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Highly +</w:t>
            </w:r>
            <w:proofErr w:type="spellStart"/>
            <w:r w:rsidRPr="00622967">
              <w:rPr>
                <w:rFonts w:ascii="Arial" w:eastAsia="Times New Roman" w:hAnsi="Arial" w:cs="Arial"/>
                <w:sz w:val="20"/>
                <w:szCs w:val="20"/>
              </w:rPr>
              <w:t>ve</w:t>
            </w:r>
            <w:proofErr w:type="spellEnd"/>
          </w:p>
        </w:tc>
        <w:tc>
          <w:tcPr>
            <w:tcW w:w="0" w:type="auto"/>
            <w:hideMark/>
          </w:tcPr>
          <w:p w14:paraId="36E48405"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Highly +</w:t>
            </w:r>
            <w:proofErr w:type="spellStart"/>
            <w:r w:rsidRPr="00622967">
              <w:rPr>
                <w:rFonts w:ascii="Arial" w:eastAsia="Times New Roman" w:hAnsi="Arial" w:cs="Arial"/>
                <w:sz w:val="20"/>
                <w:szCs w:val="20"/>
              </w:rPr>
              <w:t>ve</w:t>
            </w:r>
            <w:proofErr w:type="spellEnd"/>
          </w:p>
        </w:tc>
      </w:tr>
      <w:tr w:rsidR="00870964" w:rsidRPr="00622967" w14:paraId="2F00B06A" w14:textId="77777777" w:rsidTr="00622967">
        <w:tc>
          <w:tcPr>
            <w:tcW w:w="675" w:type="dxa"/>
            <w:hideMark/>
          </w:tcPr>
          <w:p w14:paraId="3B5C3DDB"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10</w:t>
            </w:r>
          </w:p>
        </w:tc>
        <w:tc>
          <w:tcPr>
            <w:tcW w:w="6327" w:type="dxa"/>
            <w:hideMark/>
          </w:tcPr>
          <w:p w14:paraId="5CBDC81C" w14:textId="77777777" w:rsidR="00870964" w:rsidRPr="00622967" w:rsidRDefault="00870964" w:rsidP="00622967">
            <w:pPr>
              <w:spacing w:line="480" w:lineRule="auto"/>
              <w:rPr>
                <w:rFonts w:ascii="Arial" w:eastAsia="Times New Roman" w:hAnsi="Arial" w:cs="Arial"/>
                <w:sz w:val="20"/>
                <w:szCs w:val="20"/>
              </w:rPr>
            </w:pPr>
            <w:proofErr w:type="spellStart"/>
            <w:r w:rsidRPr="00622967">
              <w:rPr>
                <w:rFonts w:ascii="Arial" w:eastAsia="Times New Roman" w:hAnsi="Arial" w:cs="Arial"/>
                <w:sz w:val="20"/>
                <w:szCs w:val="20"/>
              </w:rPr>
              <w:t>Citral</w:t>
            </w:r>
            <w:proofErr w:type="spellEnd"/>
          </w:p>
        </w:tc>
        <w:tc>
          <w:tcPr>
            <w:tcW w:w="0" w:type="auto"/>
            <w:hideMark/>
          </w:tcPr>
          <w:p w14:paraId="77B2B3EF"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w:t>
            </w:r>
            <w:proofErr w:type="spellStart"/>
            <w:r w:rsidRPr="00622967">
              <w:rPr>
                <w:rFonts w:ascii="Arial" w:eastAsia="Times New Roman" w:hAnsi="Arial" w:cs="Arial"/>
                <w:sz w:val="20"/>
                <w:szCs w:val="20"/>
              </w:rPr>
              <w:t>ve</w:t>
            </w:r>
            <w:proofErr w:type="spellEnd"/>
          </w:p>
        </w:tc>
        <w:tc>
          <w:tcPr>
            <w:tcW w:w="0" w:type="auto"/>
            <w:hideMark/>
          </w:tcPr>
          <w:p w14:paraId="1DADC8E5"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w:t>
            </w:r>
            <w:proofErr w:type="spellStart"/>
            <w:r w:rsidRPr="00622967">
              <w:rPr>
                <w:rFonts w:ascii="Arial" w:eastAsia="Times New Roman" w:hAnsi="Arial" w:cs="Arial"/>
                <w:sz w:val="20"/>
                <w:szCs w:val="20"/>
              </w:rPr>
              <w:t>ve</w:t>
            </w:r>
            <w:proofErr w:type="spellEnd"/>
          </w:p>
        </w:tc>
      </w:tr>
      <w:tr w:rsidR="00870964" w:rsidRPr="00622967" w14:paraId="4B023460" w14:textId="77777777" w:rsidTr="00622967">
        <w:tc>
          <w:tcPr>
            <w:tcW w:w="675" w:type="dxa"/>
            <w:hideMark/>
          </w:tcPr>
          <w:p w14:paraId="487CA754"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11</w:t>
            </w:r>
          </w:p>
        </w:tc>
        <w:tc>
          <w:tcPr>
            <w:tcW w:w="6327" w:type="dxa"/>
            <w:hideMark/>
          </w:tcPr>
          <w:p w14:paraId="712C0CAB"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Linalool</w:t>
            </w:r>
          </w:p>
        </w:tc>
        <w:tc>
          <w:tcPr>
            <w:tcW w:w="0" w:type="auto"/>
            <w:hideMark/>
          </w:tcPr>
          <w:p w14:paraId="41EEDD14"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w:t>
            </w:r>
            <w:proofErr w:type="spellStart"/>
            <w:r w:rsidRPr="00622967">
              <w:rPr>
                <w:rFonts w:ascii="Arial" w:eastAsia="Times New Roman" w:hAnsi="Arial" w:cs="Arial"/>
                <w:sz w:val="20"/>
                <w:szCs w:val="20"/>
              </w:rPr>
              <w:t>ve</w:t>
            </w:r>
            <w:proofErr w:type="spellEnd"/>
          </w:p>
        </w:tc>
        <w:tc>
          <w:tcPr>
            <w:tcW w:w="0" w:type="auto"/>
            <w:hideMark/>
          </w:tcPr>
          <w:p w14:paraId="03A423E8"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w:t>
            </w:r>
            <w:proofErr w:type="spellStart"/>
            <w:r w:rsidRPr="00622967">
              <w:rPr>
                <w:rFonts w:ascii="Arial" w:eastAsia="Times New Roman" w:hAnsi="Arial" w:cs="Arial"/>
                <w:sz w:val="20"/>
                <w:szCs w:val="20"/>
              </w:rPr>
              <w:t>ve</w:t>
            </w:r>
            <w:proofErr w:type="spellEnd"/>
          </w:p>
        </w:tc>
      </w:tr>
      <w:tr w:rsidR="00870964" w:rsidRPr="00622967" w14:paraId="28895097" w14:textId="77777777" w:rsidTr="00622967">
        <w:tc>
          <w:tcPr>
            <w:tcW w:w="675" w:type="dxa"/>
            <w:hideMark/>
          </w:tcPr>
          <w:p w14:paraId="2EA03073"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12</w:t>
            </w:r>
          </w:p>
        </w:tc>
        <w:tc>
          <w:tcPr>
            <w:tcW w:w="6327" w:type="dxa"/>
            <w:hideMark/>
          </w:tcPr>
          <w:p w14:paraId="526F82FE"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Linalyl Acetate</w:t>
            </w:r>
          </w:p>
        </w:tc>
        <w:tc>
          <w:tcPr>
            <w:tcW w:w="0" w:type="auto"/>
            <w:hideMark/>
          </w:tcPr>
          <w:p w14:paraId="1B013499"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Highly +</w:t>
            </w:r>
            <w:proofErr w:type="spellStart"/>
            <w:r w:rsidRPr="00622967">
              <w:rPr>
                <w:rFonts w:ascii="Arial" w:eastAsia="Times New Roman" w:hAnsi="Arial" w:cs="Arial"/>
                <w:sz w:val="20"/>
                <w:szCs w:val="20"/>
              </w:rPr>
              <w:t>ve</w:t>
            </w:r>
            <w:proofErr w:type="spellEnd"/>
          </w:p>
        </w:tc>
        <w:tc>
          <w:tcPr>
            <w:tcW w:w="0" w:type="auto"/>
            <w:hideMark/>
          </w:tcPr>
          <w:p w14:paraId="184BA1C2"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w:t>
            </w:r>
            <w:proofErr w:type="spellStart"/>
            <w:r w:rsidRPr="00622967">
              <w:rPr>
                <w:rFonts w:ascii="Arial" w:eastAsia="Times New Roman" w:hAnsi="Arial" w:cs="Arial"/>
                <w:sz w:val="20"/>
                <w:szCs w:val="20"/>
              </w:rPr>
              <w:t>ve</w:t>
            </w:r>
            <w:proofErr w:type="spellEnd"/>
          </w:p>
        </w:tc>
      </w:tr>
      <w:tr w:rsidR="00870964" w:rsidRPr="00622967" w14:paraId="2025B1DF" w14:textId="77777777" w:rsidTr="00622967">
        <w:tc>
          <w:tcPr>
            <w:tcW w:w="675" w:type="dxa"/>
            <w:hideMark/>
          </w:tcPr>
          <w:p w14:paraId="36E584C7"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13</w:t>
            </w:r>
          </w:p>
        </w:tc>
        <w:tc>
          <w:tcPr>
            <w:tcW w:w="6327" w:type="dxa"/>
            <w:hideMark/>
          </w:tcPr>
          <w:p w14:paraId="1E238A8E"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Myrcetin+7, 2′, 4′ Trimethoxy dihydroxy flavone +Beta sitosterol</w:t>
            </w:r>
          </w:p>
        </w:tc>
        <w:tc>
          <w:tcPr>
            <w:tcW w:w="0" w:type="auto"/>
            <w:hideMark/>
          </w:tcPr>
          <w:p w14:paraId="54872F45"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w:t>
            </w:r>
            <w:proofErr w:type="spellStart"/>
            <w:r w:rsidRPr="00622967">
              <w:rPr>
                <w:rFonts w:ascii="Arial" w:eastAsia="Times New Roman" w:hAnsi="Arial" w:cs="Arial"/>
                <w:sz w:val="20"/>
                <w:szCs w:val="20"/>
              </w:rPr>
              <w:t>ve</w:t>
            </w:r>
            <w:proofErr w:type="spellEnd"/>
          </w:p>
        </w:tc>
        <w:tc>
          <w:tcPr>
            <w:tcW w:w="0" w:type="auto"/>
            <w:hideMark/>
          </w:tcPr>
          <w:p w14:paraId="612D410E"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w:t>
            </w:r>
            <w:proofErr w:type="spellStart"/>
            <w:r w:rsidRPr="00622967">
              <w:rPr>
                <w:rFonts w:ascii="Arial" w:eastAsia="Times New Roman" w:hAnsi="Arial" w:cs="Arial"/>
                <w:sz w:val="20"/>
                <w:szCs w:val="20"/>
              </w:rPr>
              <w:t>ve</w:t>
            </w:r>
            <w:proofErr w:type="spellEnd"/>
          </w:p>
        </w:tc>
      </w:tr>
      <w:tr w:rsidR="00870964" w:rsidRPr="00622967" w14:paraId="52E183E7" w14:textId="77777777" w:rsidTr="00622967">
        <w:tc>
          <w:tcPr>
            <w:tcW w:w="675" w:type="dxa"/>
            <w:hideMark/>
          </w:tcPr>
          <w:p w14:paraId="61256E2F"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14</w:t>
            </w:r>
          </w:p>
        </w:tc>
        <w:tc>
          <w:tcPr>
            <w:tcW w:w="6327" w:type="dxa"/>
            <w:hideMark/>
          </w:tcPr>
          <w:p w14:paraId="7400E76C"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Geraniol</w:t>
            </w:r>
          </w:p>
        </w:tc>
        <w:tc>
          <w:tcPr>
            <w:tcW w:w="0" w:type="auto"/>
            <w:hideMark/>
          </w:tcPr>
          <w:p w14:paraId="61BB1F15"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c>
          <w:tcPr>
            <w:tcW w:w="0" w:type="auto"/>
            <w:hideMark/>
          </w:tcPr>
          <w:p w14:paraId="62A4446A"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r>
      <w:tr w:rsidR="00870964" w:rsidRPr="00622967" w14:paraId="6C5289FA" w14:textId="77777777" w:rsidTr="00622967">
        <w:tc>
          <w:tcPr>
            <w:tcW w:w="675" w:type="dxa"/>
            <w:hideMark/>
          </w:tcPr>
          <w:p w14:paraId="308E1640"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15</w:t>
            </w:r>
          </w:p>
        </w:tc>
        <w:tc>
          <w:tcPr>
            <w:tcW w:w="6327" w:type="dxa"/>
            <w:hideMark/>
          </w:tcPr>
          <w:p w14:paraId="55F86D37"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Hexanol</w:t>
            </w:r>
          </w:p>
        </w:tc>
        <w:tc>
          <w:tcPr>
            <w:tcW w:w="0" w:type="auto"/>
            <w:hideMark/>
          </w:tcPr>
          <w:p w14:paraId="3682BA43"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c>
          <w:tcPr>
            <w:tcW w:w="0" w:type="auto"/>
            <w:hideMark/>
          </w:tcPr>
          <w:p w14:paraId="503069AA"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r>
      <w:tr w:rsidR="00870964" w:rsidRPr="00622967" w14:paraId="2A89396D" w14:textId="77777777" w:rsidTr="00622967">
        <w:tc>
          <w:tcPr>
            <w:tcW w:w="675" w:type="dxa"/>
            <w:hideMark/>
          </w:tcPr>
          <w:p w14:paraId="35843940"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16</w:t>
            </w:r>
          </w:p>
        </w:tc>
        <w:tc>
          <w:tcPr>
            <w:tcW w:w="6327" w:type="dxa"/>
            <w:hideMark/>
          </w:tcPr>
          <w:p w14:paraId="2C9528CA"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Caryophyllene</w:t>
            </w:r>
          </w:p>
        </w:tc>
        <w:tc>
          <w:tcPr>
            <w:tcW w:w="0" w:type="auto"/>
            <w:hideMark/>
          </w:tcPr>
          <w:p w14:paraId="714A8D5E"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w:t>
            </w:r>
            <w:proofErr w:type="spellStart"/>
            <w:r w:rsidRPr="00622967">
              <w:rPr>
                <w:rFonts w:ascii="Arial" w:eastAsia="Times New Roman" w:hAnsi="Arial" w:cs="Arial"/>
                <w:sz w:val="20"/>
                <w:szCs w:val="20"/>
              </w:rPr>
              <w:t>ve</w:t>
            </w:r>
            <w:proofErr w:type="spellEnd"/>
          </w:p>
        </w:tc>
        <w:tc>
          <w:tcPr>
            <w:tcW w:w="0" w:type="auto"/>
            <w:hideMark/>
          </w:tcPr>
          <w:p w14:paraId="541E53FF"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w:t>
            </w:r>
            <w:proofErr w:type="spellStart"/>
            <w:r w:rsidRPr="00622967">
              <w:rPr>
                <w:rFonts w:ascii="Arial" w:eastAsia="Times New Roman" w:hAnsi="Arial" w:cs="Arial"/>
                <w:sz w:val="20"/>
                <w:szCs w:val="20"/>
              </w:rPr>
              <w:t>ve</w:t>
            </w:r>
            <w:proofErr w:type="spellEnd"/>
          </w:p>
        </w:tc>
      </w:tr>
      <w:tr w:rsidR="00870964" w:rsidRPr="00622967" w14:paraId="7AB73568" w14:textId="77777777" w:rsidTr="00622967">
        <w:tc>
          <w:tcPr>
            <w:tcW w:w="675" w:type="dxa"/>
            <w:hideMark/>
          </w:tcPr>
          <w:p w14:paraId="6D6CD1A1"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17</w:t>
            </w:r>
          </w:p>
        </w:tc>
        <w:tc>
          <w:tcPr>
            <w:tcW w:w="6327" w:type="dxa"/>
            <w:hideMark/>
          </w:tcPr>
          <w:p w14:paraId="02B2EED3"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Decyl aldehyde</w:t>
            </w:r>
          </w:p>
        </w:tc>
        <w:tc>
          <w:tcPr>
            <w:tcW w:w="0" w:type="auto"/>
            <w:hideMark/>
          </w:tcPr>
          <w:p w14:paraId="2580C655"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w:t>
            </w:r>
            <w:proofErr w:type="spellStart"/>
            <w:r w:rsidRPr="00622967">
              <w:rPr>
                <w:rFonts w:ascii="Arial" w:eastAsia="Times New Roman" w:hAnsi="Arial" w:cs="Arial"/>
                <w:sz w:val="20"/>
                <w:szCs w:val="20"/>
              </w:rPr>
              <w:t>ve</w:t>
            </w:r>
            <w:proofErr w:type="spellEnd"/>
          </w:p>
        </w:tc>
        <w:tc>
          <w:tcPr>
            <w:tcW w:w="0" w:type="auto"/>
            <w:hideMark/>
          </w:tcPr>
          <w:p w14:paraId="58456EC4"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w:t>
            </w:r>
            <w:proofErr w:type="spellStart"/>
            <w:r w:rsidRPr="00622967">
              <w:rPr>
                <w:rFonts w:ascii="Arial" w:eastAsia="Times New Roman" w:hAnsi="Arial" w:cs="Arial"/>
                <w:sz w:val="20"/>
                <w:szCs w:val="20"/>
              </w:rPr>
              <w:t>ve</w:t>
            </w:r>
            <w:proofErr w:type="spellEnd"/>
          </w:p>
        </w:tc>
      </w:tr>
      <w:tr w:rsidR="00870964" w:rsidRPr="00622967" w14:paraId="51391D70" w14:textId="77777777" w:rsidTr="00622967">
        <w:tc>
          <w:tcPr>
            <w:tcW w:w="675" w:type="dxa"/>
            <w:hideMark/>
          </w:tcPr>
          <w:p w14:paraId="6188DFAC"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18</w:t>
            </w:r>
          </w:p>
        </w:tc>
        <w:tc>
          <w:tcPr>
            <w:tcW w:w="6327" w:type="dxa"/>
            <w:hideMark/>
          </w:tcPr>
          <w:p w14:paraId="5AF9C44A"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Dodecyl aldehyde</w:t>
            </w:r>
          </w:p>
        </w:tc>
        <w:tc>
          <w:tcPr>
            <w:tcW w:w="0" w:type="auto"/>
            <w:hideMark/>
          </w:tcPr>
          <w:p w14:paraId="3AEC3FEC"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w:t>
            </w:r>
            <w:proofErr w:type="spellStart"/>
            <w:r w:rsidRPr="00622967">
              <w:rPr>
                <w:rFonts w:ascii="Arial" w:eastAsia="Times New Roman" w:hAnsi="Arial" w:cs="Arial"/>
                <w:sz w:val="20"/>
                <w:szCs w:val="20"/>
              </w:rPr>
              <w:t>ve</w:t>
            </w:r>
            <w:proofErr w:type="spellEnd"/>
          </w:p>
        </w:tc>
        <w:tc>
          <w:tcPr>
            <w:tcW w:w="0" w:type="auto"/>
            <w:hideMark/>
          </w:tcPr>
          <w:p w14:paraId="145D0FF0"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w:t>
            </w:r>
            <w:proofErr w:type="spellStart"/>
            <w:r w:rsidRPr="00622967">
              <w:rPr>
                <w:rFonts w:ascii="Arial" w:eastAsia="Times New Roman" w:hAnsi="Arial" w:cs="Arial"/>
                <w:sz w:val="20"/>
                <w:szCs w:val="20"/>
              </w:rPr>
              <w:t>ve</w:t>
            </w:r>
            <w:proofErr w:type="spellEnd"/>
          </w:p>
        </w:tc>
      </w:tr>
      <w:tr w:rsidR="00870964" w:rsidRPr="00622967" w14:paraId="7B615A9C" w14:textId="77777777" w:rsidTr="00622967">
        <w:tc>
          <w:tcPr>
            <w:tcW w:w="675" w:type="dxa"/>
            <w:hideMark/>
          </w:tcPr>
          <w:p w14:paraId="172B34D2"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19</w:t>
            </w:r>
          </w:p>
        </w:tc>
        <w:tc>
          <w:tcPr>
            <w:tcW w:w="6327" w:type="dxa"/>
            <w:hideMark/>
          </w:tcPr>
          <w:p w14:paraId="6F961BAD"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Geraniol+ Hexanol+ Caryophyllene</w:t>
            </w:r>
          </w:p>
        </w:tc>
        <w:tc>
          <w:tcPr>
            <w:tcW w:w="0" w:type="auto"/>
            <w:hideMark/>
          </w:tcPr>
          <w:p w14:paraId="6CB0AF4F"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Highly +</w:t>
            </w:r>
            <w:proofErr w:type="spellStart"/>
            <w:r w:rsidRPr="00622967">
              <w:rPr>
                <w:rFonts w:ascii="Arial" w:eastAsia="Times New Roman" w:hAnsi="Arial" w:cs="Arial"/>
                <w:sz w:val="20"/>
                <w:szCs w:val="20"/>
              </w:rPr>
              <w:t>ve</w:t>
            </w:r>
            <w:proofErr w:type="spellEnd"/>
          </w:p>
        </w:tc>
        <w:tc>
          <w:tcPr>
            <w:tcW w:w="0" w:type="auto"/>
            <w:hideMark/>
          </w:tcPr>
          <w:p w14:paraId="51426674"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Highly +</w:t>
            </w:r>
            <w:proofErr w:type="spellStart"/>
            <w:r w:rsidRPr="00622967">
              <w:rPr>
                <w:rFonts w:ascii="Arial" w:eastAsia="Times New Roman" w:hAnsi="Arial" w:cs="Arial"/>
                <w:sz w:val="20"/>
                <w:szCs w:val="20"/>
              </w:rPr>
              <w:t>ve</w:t>
            </w:r>
            <w:proofErr w:type="spellEnd"/>
          </w:p>
        </w:tc>
      </w:tr>
      <w:tr w:rsidR="00870964" w:rsidRPr="00622967" w14:paraId="5509CB9B" w14:textId="77777777" w:rsidTr="00622967">
        <w:tc>
          <w:tcPr>
            <w:tcW w:w="675" w:type="dxa"/>
            <w:hideMark/>
          </w:tcPr>
          <w:p w14:paraId="60DE1725"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20</w:t>
            </w:r>
          </w:p>
        </w:tc>
        <w:tc>
          <w:tcPr>
            <w:tcW w:w="6327" w:type="dxa"/>
            <w:hideMark/>
          </w:tcPr>
          <w:p w14:paraId="432AC5AD"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Gallic acid</w:t>
            </w:r>
          </w:p>
        </w:tc>
        <w:tc>
          <w:tcPr>
            <w:tcW w:w="0" w:type="auto"/>
            <w:hideMark/>
          </w:tcPr>
          <w:p w14:paraId="5AEE5284"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w:t>
            </w:r>
            <w:proofErr w:type="spellStart"/>
            <w:r w:rsidRPr="00622967">
              <w:rPr>
                <w:rFonts w:ascii="Arial" w:eastAsia="Times New Roman" w:hAnsi="Arial" w:cs="Arial"/>
                <w:sz w:val="20"/>
                <w:szCs w:val="20"/>
              </w:rPr>
              <w:t>ve</w:t>
            </w:r>
            <w:proofErr w:type="spellEnd"/>
          </w:p>
        </w:tc>
        <w:tc>
          <w:tcPr>
            <w:tcW w:w="0" w:type="auto"/>
            <w:hideMark/>
          </w:tcPr>
          <w:p w14:paraId="03E07589"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w:t>
            </w:r>
            <w:proofErr w:type="spellStart"/>
            <w:r w:rsidRPr="00622967">
              <w:rPr>
                <w:rFonts w:ascii="Arial" w:eastAsia="Times New Roman" w:hAnsi="Arial" w:cs="Arial"/>
                <w:sz w:val="20"/>
                <w:szCs w:val="20"/>
              </w:rPr>
              <w:t>ve</w:t>
            </w:r>
            <w:proofErr w:type="spellEnd"/>
          </w:p>
        </w:tc>
      </w:tr>
      <w:tr w:rsidR="00870964" w:rsidRPr="00622967" w14:paraId="05DFE6EF" w14:textId="77777777" w:rsidTr="00622967">
        <w:tc>
          <w:tcPr>
            <w:tcW w:w="675" w:type="dxa"/>
            <w:hideMark/>
          </w:tcPr>
          <w:p w14:paraId="73D4D40B"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21</w:t>
            </w:r>
          </w:p>
        </w:tc>
        <w:tc>
          <w:tcPr>
            <w:tcW w:w="6327" w:type="dxa"/>
            <w:hideMark/>
          </w:tcPr>
          <w:p w14:paraId="46D7A8ED" w14:textId="77777777" w:rsidR="00870964" w:rsidRPr="00622967" w:rsidRDefault="00870964" w:rsidP="00622967">
            <w:pPr>
              <w:spacing w:line="480" w:lineRule="auto"/>
              <w:rPr>
                <w:rFonts w:ascii="Arial" w:eastAsia="Times New Roman" w:hAnsi="Arial" w:cs="Arial"/>
                <w:sz w:val="20"/>
                <w:szCs w:val="20"/>
              </w:rPr>
            </w:pPr>
            <w:proofErr w:type="spellStart"/>
            <w:r w:rsidRPr="00622967">
              <w:rPr>
                <w:rFonts w:ascii="Arial" w:eastAsia="Times New Roman" w:hAnsi="Arial" w:cs="Arial"/>
                <w:sz w:val="20"/>
                <w:szCs w:val="20"/>
              </w:rPr>
              <w:t>Azainidole</w:t>
            </w:r>
            <w:proofErr w:type="spellEnd"/>
          </w:p>
        </w:tc>
        <w:tc>
          <w:tcPr>
            <w:tcW w:w="0" w:type="auto"/>
            <w:hideMark/>
          </w:tcPr>
          <w:p w14:paraId="5A785A8C"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w:t>
            </w:r>
            <w:proofErr w:type="spellStart"/>
            <w:r w:rsidRPr="00622967">
              <w:rPr>
                <w:rFonts w:ascii="Arial" w:eastAsia="Times New Roman" w:hAnsi="Arial" w:cs="Arial"/>
                <w:sz w:val="20"/>
                <w:szCs w:val="20"/>
              </w:rPr>
              <w:t>ve</w:t>
            </w:r>
            <w:proofErr w:type="spellEnd"/>
          </w:p>
        </w:tc>
        <w:tc>
          <w:tcPr>
            <w:tcW w:w="0" w:type="auto"/>
            <w:hideMark/>
          </w:tcPr>
          <w:p w14:paraId="56368D84"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Highly -</w:t>
            </w:r>
            <w:proofErr w:type="spellStart"/>
            <w:r w:rsidRPr="00622967">
              <w:rPr>
                <w:rFonts w:ascii="Arial" w:eastAsia="Times New Roman" w:hAnsi="Arial" w:cs="Arial"/>
                <w:sz w:val="20"/>
                <w:szCs w:val="20"/>
              </w:rPr>
              <w:t>ve</w:t>
            </w:r>
            <w:proofErr w:type="spellEnd"/>
          </w:p>
        </w:tc>
      </w:tr>
      <w:tr w:rsidR="00870964" w:rsidRPr="00622967" w14:paraId="323D57AC" w14:textId="77777777" w:rsidTr="00622967">
        <w:tc>
          <w:tcPr>
            <w:tcW w:w="675" w:type="dxa"/>
            <w:hideMark/>
          </w:tcPr>
          <w:p w14:paraId="79AB1A77"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22</w:t>
            </w:r>
          </w:p>
        </w:tc>
        <w:tc>
          <w:tcPr>
            <w:tcW w:w="6327" w:type="dxa"/>
            <w:hideMark/>
          </w:tcPr>
          <w:p w14:paraId="3423378D"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Control (water)</w:t>
            </w:r>
          </w:p>
        </w:tc>
        <w:tc>
          <w:tcPr>
            <w:tcW w:w="0" w:type="auto"/>
            <w:hideMark/>
          </w:tcPr>
          <w:p w14:paraId="4616DA7D"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c>
          <w:tcPr>
            <w:tcW w:w="0" w:type="auto"/>
            <w:hideMark/>
          </w:tcPr>
          <w:p w14:paraId="75C8C513" w14:textId="77777777"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r>
    </w:tbl>
    <w:p w14:paraId="76593F5E" w14:textId="77777777" w:rsidR="00870964" w:rsidRPr="00622967" w:rsidRDefault="00870964" w:rsidP="00870964">
      <w:pPr>
        <w:pStyle w:val="NormalWeb"/>
        <w:jc w:val="both"/>
        <w:rPr>
          <w:rFonts w:ascii="Arial" w:hAnsi="Arial" w:cs="Arial"/>
          <w:sz w:val="20"/>
          <w:szCs w:val="20"/>
        </w:rPr>
      </w:pPr>
      <w:r w:rsidRPr="00622967">
        <w:rPr>
          <w:rFonts w:ascii="Arial" w:hAnsi="Arial" w:cs="Arial"/>
          <w:sz w:val="20"/>
          <w:szCs w:val="20"/>
        </w:rPr>
        <w:t>(</w:t>
      </w:r>
      <w:r w:rsidRPr="008A39C8">
        <w:rPr>
          <w:rFonts w:ascii="Arial" w:hAnsi="Arial" w:cs="Arial"/>
          <w:sz w:val="20"/>
          <w:szCs w:val="20"/>
        </w:rPr>
        <w:t xml:space="preserve">Neog </w:t>
      </w:r>
      <w:r w:rsidRPr="008A39C8">
        <w:rPr>
          <w:rFonts w:ascii="Arial" w:hAnsi="Arial" w:cs="Arial"/>
          <w:i/>
          <w:sz w:val="20"/>
          <w:szCs w:val="20"/>
        </w:rPr>
        <w:t>et al.,</w:t>
      </w:r>
      <w:r w:rsidRPr="008A39C8">
        <w:rPr>
          <w:rFonts w:ascii="Arial" w:hAnsi="Arial" w:cs="Arial"/>
          <w:sz w:val="20"/>
          <w:szCs w:val="20"/>
        </w:rPr>
        <w:t xml:space="preserve"> 2011 b)</w:t>
      </w:r>
    </w:p>
    <w:p w14:paraId="58E0E9D7" w14:textId="77777777" w:rsidR="008B2BED" w:rsidRPr="00ED6D5E" w:rsidRDefault="008B2BED" w:rsidP="00ED6D5E">
      <w:pPr>
        <w:pStyle w:val="NormalWeb"/>
        <w:numPr>
          <w:ilvl w:val="0"/>
          <w:numId w:val="4"/>
        </w:numPr>
        <w:ind w:left="284" w:hanging="284"/>
        <w:rPr>
          <w:rFonts w:ascii="Arial" w:hAnsi="Arial" w:cs="Arial"/>
          <w:b/>
          <w:sz w:val="22"/>
          <w:szCs w:val="22"/>
        </w:rPr>
      </w:pPr>
      <w:r w:rsidRPr="00ED6D5E">
        <w:rPr>
          <w:rFonts w:ascii="Arial" w:hAnsi="Arial" w:cs="Arial"/>
          <w:b/>
          <w:sz w:val="22"/>
          <w:szCs w:val="22"/>
        </w:rPr>
        <w:t>COMPARATIVE CHEMOSENSORY MECHANISMS UNDERLYING MONOPHAGY AND POLYPHAGY IN SILKWORMS</w:t>
      </w:r>
    </w:p>
    <w:p w14:paraId="4777BE23" w14:textId="77777777" w:rsidR="00B8025E" w:rsidRPr="00622967" w:rsidRDefault="00B8025E" w:rsidP="00B8025E">
      <w:pPr>
        <w:pStyle w:val="NormalWeb"/>
        <w:jc w:val="both"/>
        <w:rPr>
          <w:rFonts w:ascii="Arial" w:hAnsi="Arial" w:cs="Arial"/>
          <w:sz w:val="20"/>
        </w:rPr>
      </w:pPr>
      <w:r w:rsidRPr="00622967">
        <w:rPr>
          <w:rFonts w:ascii="Arial" w:hAnsi="Arial" w:cs="Arial"/>
          <w:sz w:val="20"/>
        </w:rPr>
        <w:t xml:space="preserve">The divergence in feeding strategies between </w:t>
      </w:r>
      <w:r w:rsidRPr="00622967">
        <w:rPr>
          <w:rStyle w:val="Emphasis"/>
          <w:rFonts w:ascii="Arial" w:hAnsi="Arial" w:cs="Arial"/>
          <w:sz w:val="20"/>
        </w:rPr>
        <w:t>Bombyx mori</w:t>
      </w:r>
      <w:r w:rsidRPr="00622967">
        <w:rPr>
          <w:rFonts w:ascii="Arial" w:hAnsi="Arial" w:cs="Arial"/>
          <w:sz w:val="20"/>
        </w:rPr>
        <w:t xml:space="preserve"> and </w:t>
      </w:r>
      <w:proofErr w:type="spellStart"/>
      <w:r w:rsidRPr="00622967">
        <w:rPr>
          <w:rStyle w:val="Emphasis"/>
          <w:rFonts w:ascii="Arial" w:hAnsi="Arial" w:cs="Arial"/>
          <w:sz w:val="20"/>
        </w:rPr>
        <w:t>Antheraea</w:t>
      </w:r>
      <w:proofErr w:type="spellEnd"/>
      <w:r w:rsidRPr="00622967">
        <w:rPr>
          <w:rStyle w:val="Emphasis"/>
          <w:rFonts w:ascii="Arial" w:hAnsi="Arial" w:cs="Arial"/>
          <w:sz w:val="20"/>
        </w:rPr>
        <w:t xml:space="preserve"> </w:t>
      </w:r>
      <w:proofErr w:type="spellStart"/>
      <w:r w:rsidRPr="00622967">
        <w:rPr>
          <w:rStyle w:val="Emphasis"/>
          <w:rFonts w:ascii="Arial" w:hAnsi="Arial" w:cs="Arial"/>
          <w:sz w:val="20"/>
        </w:rPr>
        <w:t>assamensis</w:t>
      </w:r>
      <w:proofErr w:type="spellEnd"/>
      <w:r w:rsidRPr="00622967">
        <w:rPr>
          <w:rFonts w:ascii="Arial" w:hAnsi="Arial" w:cs="Arial"/>
          <w:sz w:val="20"/>
        </w:rPr>
        <w:t xml:space="preserve"> reflects their distinct evolutionary histories and varying degrees of domestication. </w:t>
      </w:r>
      <w:r w:rsidRPr="00622967">
        <w:rPr>
          <w:rStyle w:val="Emphasis"/>
          <w:rFonts w:ascii="Arial" w:hAnsi="Arial" w:cs="Arial"/>
          <w:sz w:val="20"/>
        </w:rPr>
        <w:t>B. mori</w:t>
      </w:r>
      <w:r w:rsidRPr="00622967">
        <w:rPr>
          <w:rFonts w:ascii="Arial" w:hAnsi="Arial" w:cs="Arial"/>
          <w:sz w:val="20"/>
        </w:rPr>
        <w:t xml:space="preserve">, a fully domesticated lepidopteran, exhibits strict </w:t>
      </w:r>
      <w:proofErr w:type="spellStart"/>
      <w:r w:rsidRPr="00622967">
        <w:rPr>
          <w:rFonts w:ascii="Arial" w:hAnsi="Arial" w:cs="Arial"/>
          <w:sz w:val="20"/>
        </w:rPr>
        <w:t>monophagy</w:t>
      </w:r>
      <w:proofErr w:type="spellEnd"/>
      <w:r w:rsidRPr="00622967">
        <w:rPr>
          <w:rFonts w:ascii="Arial" w:hAnsi="Arial" w:cs="Arial"/>
          <w:sz w:val="20"/>
        </w:rPr>
        <w:t>, feeding exclusively on mulberry (</w:t>
      </w:r>
      <w:r w:rsidRPr="00622967">
        <w:rPr>
          <w:rStyle w:val="Emphasis"/>
          <w:rFonts w:ascii="Arial" w:hAnsi="Arial" w:cs="Arial"/>
          <w:sz w:val="20"/>
        </w:rPr>
        <w:t>Morus</w:t>
      </w:r>
      <w:r w:rsidRPr="00622967">
        <w:rPr>
          <w:rFonts w:ascii="Arial" w:hAnsi="Arial" w:cs="Arial"/>
          <w:sz w:val="20"/>
        </w:rPr>
        <w:t xml:space="preserve"> spp.). This limited host range is driven by a highly specialized and genetically constrained chemosensory system. Gustatory receptors (Grs), particularly Gr66, play a critical role in selective host plant recognition, ensuring high host fidelity and restricting dietary flexibility (</w:t>
      </w:r>
      <w:r w:rsidRPr="008A39C8">
        <w:rPr>
          <w:rFonts w:ascii="Arial" w:hAnsi="Arial" w:cs="Arial"/>
          <w:sz w:val="20"/>
        </w:rPr>
        <w:t xml:space="preserve">Zhang </w:t>
      </w:r>
      <w:r w:rsidRPr="008A39C8">
        <w:rPr>
          <w:rFonts w:ascii="Arial" w:hAnsi="Arial" w:cs="Arial"/>
          <w:i/>
          <w:sz w:val="20"/>
        </w:rPr>
        <w:t>et al.,</w:t>
      </w:r>
      <w:r w:rsidRPr="008A39C8">
        <w:rPr>
          <w:rFonts w:ascii="Arial" w:hAnsi="Arial" w:cs="Arial"/>
          <w:sz w:val="20"/>
        </w:rPr>
        <w:t xml:space="preserve"> 2019</w:t>
      </w:r>
      <w:r w:rsidRPr="00622967">
        <w:rPr>
          <w:rFonts w:ascii="Arial" w:hAnsi="Arial" w:cs="Arial"/>
          <w:sz w:val="20"/>
        </w:rPr>
        <w:t>).</w:t>
      </w:r>
    </w:p>
    <w:p w14:paraId="57C6272B" w14:textId="77777777" w:rsidR="00B8025E" w:rsidRPr="00622967" w:rsidRDefault="00B8025E" w:rsidP="00B8025E">
      <w:pPr>
        <w:pStyle w:val="NormalWeb"/>
        <w:jc w:val="both"/>
        <w:rPr>
          <w:rFonts w:ascii="Arial" w:hAnsi="Arial" w:cs="Arial"/>
          <w:sz w:val="20"/>
        </w:rPr>
      </w:pPr>
      <w:r w:rsidRPr="00622967">
        <w:rPr>
          <w:rFonts w:ascii="Arial" w:hAnsi="Arial" w:cs="Arial"/>
          <w:sz w:val="20"/>
        </w:rPr>
        <w:t xml:space="preserve">In contrast, </w:t>
      </w:r>
      <w:r w:rsidRPr="00622967">
        <w:rPr>
          <w:rStyle w:val="Emphasis"/>
          <w:rFonts w:ascii="Arial" w:hAnsi="Arial" w:cs="Arial"/>
          <w:sz w:val="20"/>
        </w:rPr>
        <w:t xml:space="preserve">A. </w:t>
      </w:r>
      <w:proofErr w:type="spellStart"/>
      <w:r w:rsidRPr="00622967">
        <w:rPr>
          <w:rStyle w:val="Emphasis"/>
          <w:rFonts w:ascii="Arial" w:hAnsi="Arial" w:cs="Arial"/>
          <w:sz w:val="20"/>
        </w:rPr>
        <w:t>assamensis</w:t>
      </w:r>
      <w:proofErr w:type="spellEnd"/>
      <w:r w:rsidRPr="00622967">
        <w:rPr>
          <w:rFonts w:ascii="Arial" w:hAnsi="Arial" w:cs="Arial"/>
          <w:sz w:val="20"/>
        </w:rPr>
        <w:t xml:space="preserve">, the </w:t>
      </w:r>
      <w:proofErr w:type="spellStart"/>
      <w:r w:rsidRPr="00622967">
        <w:rPr>
          <w:rFonts w:ascii="Arial" w:hAnsi="Arial" w:cs="Arial"/>
          <w:sz w:val="20"/>
        </w:rPr>
        <w:t>muga</w:t>
      </w:r>
      <w:proofErr w:type="spellEnd"/>
      <w:r w:rsidRPr="00622967">
        <w:rPr>
          <w:rFonts w:ascii="Arial" w:hAnsi="Arial" w:cs="Arial"/>
          <w:sz w:val="20"/>
        </w:rPr>
        <w:t xml:space="preserve"> silkworm, exhibits polyphagous behavior, feeding on a variety of host plants within the </w:t>
      </w:r>
      <w:proofErr w:type="spellStart"/>
      <w:r w:rsidRPr="00622967">
        <w:rPr>
          <w:rFonts w:ascii="Arial" w:hAnsi="Arial" w:cs="Arial"/>
          <w:sz w:val="20"/>
        </w:rPr>
        <w:t>Lauraceae</w:t>
      </w:r>
      <w:proofErr w:type="spellEnd"/>
      <w:r w:rsidRPr="00622967">
        <w:rPr>
          <w:rFonts w:ascii="Arial" w:hAnsi="Arial" w:cs="Arial"/>
          <w:sz w:val="20"/>
        </w:rPr>
        <w:t xml:space="preserve"> family, including </w:t>
      </w:r>
      <w:proofErr w:type="spellStart"/>
      <w:r w:rsidRPr="00622967">
        <w:rPr>
          <w:rStyle w:val="Emphasis"/>
          <w:rFonts w:ascii="Arial" w:hAnsi="Arial" w:cs="Arial"/>
          <w:sz w:val="20"/>
        </w:rPr>
        <w:t>Persea</w:t>
      </w:r>
      <w:proofErr w:type="spellEnd"/>
      <w:r w:rsidRPr="00622967">
        <w:rPr>
          <w:rStyle w:val="Emphasis"/>
          <w:rFonts w:ascii="Arial" w:hAnsi="Arial" w:cs="Arial"/>
          <w:sz w:val="20"/>
        </w:rPr>
        <w:t xml:space="preserve"> </w:t>
      </w:r>
      <w:proofErr w:type="spellStart"/>
      <w:r w:rsidRPr="00622967">
        <w:rPr>
          <w:rStyle w:val="Emphasis"/>
          <w:rFonts w:ascii="Arial" w:hAnsi="Arial" w:cs="Arial"/>
          <w:sz w:val="20"/>
        </w:rPr>
        <w:t>bombycina</w:t>
      </w:r>
      <w:proofErr w:type="spellEnd"/>
      <w:r w:rsidRPr="00622967">
        <w:rPr>
          <w:rFonts w:ascii="Arial" w:hAnsi="Arial" w:cs="Arial"/>
          <w:sz w:val="20"/>
        </w:rPr>
        <w:t xml:space="preserve">, </w:t>
      </w:r>
      <w:proofErr w:type="spellStart"/>
      <w:r w:rsidRPr="00622967">
        <w:rPr>
          <w:rStyle w:val="Emphasis"/>
          <w:rFonts w:ascii="Arial" w:hAnsi="Arial" w:cs="Arial"/>
          <w:sz w:val="20"/>
        </w:rPr>
        <w:t>Litsea</w:t>
      </w:r>
      <w:proofErr w:type="spellEnd"/>
      <w:r w:rsidRPr="00622967">
        <w:rPr>
          <w:rStyle w:val="Emphasis"/>
          <w:rFonts w:ascii="Arial" w:hAnsi="Arial" w:cs="Arial"/>
          <w:sz w:val="20"/>
        </w:rPr>
        <w:t xml:space="preserve"> polyantha</w:t>
      </w:r>
      <w:r w:rsidRPr="00622967">
        <w:rPr>
          <w:rFonts w:ascii="Arial" w:hAnsi="Arial" w:cs="Arial"/>
          <w:sz w:val="20"/>
        </w:rPr>
        <w:t xml:space="preserve">, and </w:t>
      </w:r>
      <w:r w:rsidRPr="00622967">
        <w:rPr>
          <w:rStyle w:val="Emphasis"/>
          <w:rFonts w:ascii="Arial" w:hAnsi="Arial" w:cs="Arial"/>
          <w:sz w:val="20"/>
        </w:rPr>
        <w:t xml:space="preserve">L. </w:t>
      </w:r>
      <w:proofErr w:type="spellStart"/>
      <w:r w:rsidRPr="00622967">
        <w:rPr>
          <w:rStyle w:val="Emphasis"/>
          <w:rFonts w:ascii="Arial" w:hAnsi="Arial" w:cs="Arial"/>
          <w:sz w:val="20"/>
        </w:rPr>
        <w:t>citrata</w:t>
      </w:r>
      <w:proofErr w:type="spellEnd"/>
      <w:r w:rsidRPr="00622967">
        <w:rPr>
          <w:rFonts w:ascii="Arial" w:hAnsi="Arial" w:cs="Arial"/>
          <w:sz w:val="20"/>
        </w:rPr>
        <w:t xml:space="preserve">. This broader host acceptance is facilitated by a more diverse and adaptable set of gustatory and olfactory receptors, allowing larvae to respond to a wide array of phytochemical cues. The species’ semi-domesticated status and its ecological association with diverse forest environments likely contribute to the maintenance of this chemosensory plasticity. While extensive research has elucidated the molecular mechanisms governing host recognition and feeding behavior in </w:t>
      </w:r>
      <w:r w:rsidRPr="00622967">
        <w:rPr>
          <w:rStyle w:val="Emphasis"/>
          <w:rFonts w:ascii="Arial" w:hAnsi="Arial" w:cs="Arial"/>
          <w:sz w:val="20"/>
        </w:rPr>
        <w:t>B. mori</w:t>
      </w:r>
      <w:r w:rsidRPr="00622967">
        <w:rPr>
          <w:rFonts w:ascii="Arial" w:hAnsi="Arial" w:cs="Arial"/>
          <w:sz w:val="20"/>
        </w:rPr>
        <w:t xml:space="preserve">, such as the role of specific feeding stimulants like β-sitosterol, sucrose, chlorogenic acid, and volatile organic compounds, the </w:t>
      </w:r>
      <w:r w:rsidRPr="00622967">
        <w:rPr>
          <w:rFonts w:ascii="Arial" w:hAnsi="Arial" w:cs="Arial"/>
          <w:sz w:val="20"/>
        </w:rPr>
        <w:lastRenderedPageBreak/>
        <w:t xml:space="preserve">corresponding mechanisms in </w:t>
      </w:r>
      <w:r w:rsidRPr="00622967">
        <w:rPr>
          <w:rStyle w:val="Emphasis"/>
          <w:rFonts w:ascii="Arial" w:hAnsi="Arial" w:cs="Arial"/>
          <w:sz w:val="20"/>
        </w:rPr>
        <w:t xml:space="preserve">A. </w:t>
      </w:r>
      <w:proofErr w:type="spellStart"/>
      <w:r w:rsidRPr="00622967">
        <w:rPr>
          <w:rStyle w:val="Emphasis"/>
          <w:rFonts w:ascii="Arial" w:hAnsi="Arial" w:cs="Arial"/>
          <w:sz w:val="20"/>
        </w:rPr>
        <w:t>assamensis</w:t>
      </w:r>
      <w:proofErr w:type="spellEnd"/>
      <w:r w:rsidRPr="00622967">
        <w:rPr>
          <w:rFonts w:ascii="Arial" w:hAnsi="Arial" w:cs="Arial"/>
          <w:sz w:val="20"/>
        </w:rPr>
        <w:t xml:space="preserve"> remain poorly understood. The phytochemical composition of its primary host, </w:t>
      </w:r>
      <w:proofErr w:type="spellStart"/>
      <w:r w:rsidRPr="00622967">
        <w:rPr>
          <w:rStyle w:val="Emphasis"/>
          <w:rFonts w:ascii="Arial" w:hAnsi="Arial" w:cs="Arial"/>
          <w:sz w:val="20"/>
        </w:rPr>
        <w:t>Persea</w:t>
      </w:r>
      <w:proofErr w:type="spellEnd"/>
      <w:r w:rsidRPr="00622967">
        <w:rPr>
          <w:rStyle w:val="Emphasis"/>
          <w:rFonts w:ascii="Arial" w:hAnsi="Arial" w:cs="Arial"/>
          <w:sz w:val="20"/>
        </w:rPr>
        <w:t xml:space="preserve"> </w:t>
      </w:r>
      <w:proofErr w:type="spellStart"/>
      <w:r w:rsidRPr="00622967">
        <w:rPr>
          <w:rStyle w:val="Emphasis"/>
          <w:rFonts w:ascii="Arial" w:hAnsi="Arial" w:cs="Arial"/>
          <w:sz w:val="20"/>
        </w:rPr>
        <w:t>bombycina</w:t>
      </w:r>
      <w:proofErr w:type="spellEnd"/>
      <w:r w:rsidRPr="00622967">
        <w:rPr>
          <w:rFonts w:ascii="Arial" w:hAnsi="Arial" w:cs="Arial"/>
          <w:sz w:val="20"/>
        </w:rPr>
        <w:t xml:space="preserve"> (</w:t>
      </w:r>
      <w:proofErr w:type="spellStart"/>
      <w:r w:rsidRPr="00622967">
        <w:rPr>
          <w:rFonts w:ascii="Arial" w:hAnsi="Arial" w:cs="Arial"/>
          <w:sz w:val="20"/>
        </w:rPr>
        <w:t>Som</w:t>
      </w:r>
      <w:proofErr w:type="spellEnd"/>
      <w:r w:rsidRPr="00622967">
        <w:rPr>
          <w:rFonts w:ascii="Arial" w:hAnsi="Arial" w:cs="Arial"/>
          <w:sz w:val="20"/>
        </w:rPr>
        <w:t>), and its influence on larval feeding behavior has not been comprehensively investigated.</w:t>
      </w:r>
    </w:p>
    <w:p w14:paraId="67D99062" w14:textId="77777777" w:rsidR="00B8025E" w:rsidRPr="00622967" w:rsidRDefault="00B8025E" w:rsidP="00B8025E">
      <w:pPr>
        <w:pStyle w:val="NormalWeb"/>
        <w:jc w:val="both"/>
        <w:rPr>
          <w:rFonts w:ascii="Arial" w:hAnsi="Arial" w:cs="Arial"/>
          <w:sz w:val="20"/>
        </w:rPr>
      </w:pPr>
      <w:r w:rsidRPr="00622967">
        <w:rPr>
          <w:rFonts w:ascii="Arial" w:hAnsi="Arial" w:cs="Arial"/>
          <w:sz w:val="20"/>
        </w:rPr>
        <w:t xml:space="preserve">To bridge this knowledge gap, further studies are required to identify and functionally characterize the gustatory receptor (Gr) genes in </w:t>
      </w:r>
      <w:r w:rsidRPr="00622967">
        <w:rPr>
          <w:rStyle w:val="Emphasis"/>
          <w:rFonts w:ascii="Arial" w:hAnsi="Arial" w:cs="Arial"/>
          <w:sz w:val="20"/>
        </w:rPr>
        <w:t xml:space="preserve">A. </w:t>
      </w:r>
      <w:proofErr w:type="spellStart"/>
      <w:r w:rsidRPr="00622967">
        <w:rPr>
          <w:rStyle w:val="Emphasis"/>
          <w:rFonts w:ascii="Arial" w:hAnsi="Arial" w:cs="Arial"/>
          <w:sz w:val="20"/>
        </w:rPr>
        <w:t>assamensis</w:t>
      </w:r>
      <w:proofErr w:type="spellEnd"/>
      <w:r w:rsidRPr="00622967">
        <w:rPr>
          <w:rFonts w:ascii="Arial" w:hAnsi="Arial" w:cs="Arial"/>
          <w:sz w:val="20"/>
        </w:rPr>
        <w:t xml:space="preserve">. Comparative transcriptomic analyses, receptor-ligand interaction assays, and behavioral studies are essential to uncover the molecular and neuroethological basis of </w:t>
      </w:r>
      <w:proofErr w:type="spellStart"/>
      <w:r w:rsidRPr="00622967">
        <w:rPr>
          <w:rFonts w:ascii="Arial" w:hAnsi="Arial" w:cs="Arial"/>
          <w:sz w:val="20"/>
        </w:rPr>
        <w:t>polyphagy</w:t>
      </w:r>
      <w:proofErr w:type="spellEnd"/>
      <w:r w:rsidRPr="00622967">
        <w:rPr>
          <w:rFonts w:ascii="Arial" w:hAnsi="Arial" w:cs="Arial"/>
          <w:sz w:val="20"/>
        </w:rPr>
        <w:t xml:space="preserve"> in this species. Such research will not only advance fundamental understanding of host plant adaptation but also support practical applications in </w:t>
      </w:r>
      <w:proofErr w:type="spellStart"/>
      <w:r w:rsidRPr="00622967">
        <w:rPr>
          <w:rFonts w:ascii="Arial" w:hAnsi="Arial" w:cs="Arial"/>
          <w:sz w:val="20"/>
        </w:rPr>
        <w:t>muga</w:t>
      </w:r>
      <w:proofErr w:type="spellEnd"/>
      <w:r w:rsidRPr="00622967">
        <w:rPr>
          <w:rFonts w:ascii="Arial" w:hAnsi="Arial" w:cs="Arial"/>
          <w:sz w:val="20"/>
        </w:rPr>
        <w:t xml:space="preserve"> silkworm breeding, host plant selection, and artificial diet formulation. Overall, comparative insights into the chemosensory systems of monophagous and polyphagous silkworms can significantly inform strategies for sustainable sericulture, species conservation, and the management of host plant resources.</w:t>
      </w:r>
    </w:p>
    <w:p w14:paraId="2084F1CB" w14:textId="77777777" w:rsidR="002E68B7" w:rsidRDefault="002E2642" w:rsidP="008B2BED">
      <w:pPr>
        <w:pStyle w:val="NormalWeb"/>
        <w:jc w:val="both"/>
      </w:pPr>
      <w:r>
        <w:rPr>
          <w:noProof/>
        </w:rPr>
        <w:drawing>
          <wp:inline distT="0" distB="0" distL="0" distR="0" wp14:anchorId="388F17DA" wp14:editId="6492E1E8">
            <wp:extent cx="5943600" cy="328446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943600" cy="3284466"/>
                    </a:xfrm>
                    <a:prstGeom prst="rect">
                      <a:avLst/>
                    </a:prstGeom>
                    <a:noFill/>
                    <a:ln w="9525">
                      <a:noFill/>
                      <a:miter lim="800000"/>
                      <a:headEnd/>
                      <a:tailEnd/>
                    </a:ln>
                  </pic:spPr>
                </pic:pic>
              </a:graphicData>
            </a:graphic>
          </wp:inline>
        </w:drawing>
      </w:r>
    </w:p>
    <w:p w14:paraId="273CCBB2" w14:textId="77777777" w:rsidR="008B2BED" w:rsidRPr="00622967" w:rsidRDefault="00B8025E" w:rsidP="008B2BED">
      <w:pPr>
        <w:pStyle w:val="NormalWeb"/>
        <w:jc w:val="both"/>
        <w:rPr>
          <w:rFonts w:ascii="Arial" w:hAnsi="Arial" w:cs="Arial"/>
          <w:b/>
          <w:sz w:val="20"/>
          <w:szCs w:val="20"/>
        </w:rPr>
      </w:pPr>
      <w:r w:rsidRPr="00622967">
        <w:rPr>
          <w:rFonts w:ascii="Arial" w:hAnsi="Arial" w:cs="Arial"/>
          <w:b/>
          <w:sz w:val="20"/>
          <w:szCs w:val="20"/>
        </w:rPr>
        <w:t>Fig. 3</w:t>
      </w:r>
      <w:r w:rsidR="00622967" w:rsidRPr="00622967">
        <w:rPr>
          <w:rFonts w:ascii="Arial" w:hAnsi="Arial" w:cs="Arial"/>
          <w:b/>
          <w:sz w:val="20"/>
          <w:szCs w:val="20"/>
        </w:rPr>
        <w:t>.</w:t>
      </w:r>
      <w:r w:rsidRPr="00622967">
        <w:rPr>
          <w:rFonts w:ascii="Arial" w:hAnsi="Arial" w:cs="Arial"/>
          <w:b/>
          <w:sz w:val="20"/>
          <w:szCs w:val="20"/>
        </w:rPr>
        <w:t xml:space="preserve"> Comparative analysis of phytochemical feeding cues in mulberry (</w:t>
      </w:r>
      <w:r w:rsidRPr="00622967">
        <w:rPr>
          <w:rStyle w:val="Emphasis"/>
          <w:rFonts w:ascii="Arial" w:hAnsi="Arial" w:cs="Arial"/>
          <w:b/>
          <w:sz w:val="20"/>
          <w:szCs w:val="20"/>
        </w:rPr>
        <w:t>Morus</w:t>
      </w:r>
      <w:r w:rsidRPr="00622967">
        <w:rPr>
          <w:rFonts w:ascii="Arial" w:hAnsi="Arial" w:cs="Arial"/>
          <w:b/>
          <w:sz w:val="20"/>
          <w:szCs w:val="20"/>
        </w:rPr>
        <w:t xml:space="preserve"> spp.) and </w:t>
      </w:r>
      <w:proofErr w:type="spellStart"/>
      <w:r w:rsidRPr="00622967">
        <w:rPr>
          <w:rFonts w:ascii="Arial" w:hAnsi="Arial" w:cs="Arial"/>
          <w:b/>
          <w:sz w:val="20"/>
          <w:szCs w:val="20"/>
        </w:rPr>
        <w:t>Som</w:t>
      </w:r>
      <w:proofErr w:type="spellEnd"/>
      <w:r w:rsidRPr="00622967">
        <w:rPr>
          <w:rFonts w:ascii="Arial" w:hAnsi="Arial" w:cs="Arial"/>
          <w:b/>
          <w:sz w:val="20"/>
          <w:szCs w:val="20"/>
        </w:rPr>
        <w:t xml:space="preserve"> (</w:t>
      </w:r>
      <w:proofErr w:type="spellStart"/>
      <w:r w:rsidRPr="00622967">
        <w:rPr>
          <w:rStyle w:val="Emphasis"/>
          <w:rFonts w:ascii="Arial" w:hAnsi="Arial" w:cs="Arial"/>
          <w:b/>
          <w:sz w:val="20"/>
          <w:szCs w:val="20"/>
        </w:rPr>
        <w:t>Persea</w:t>
      </w:r>
      <w:proofErr w:type="spellEnd"/>
      <w:r w:rsidRPr="00622967">
        <w:rPr>
          <w:rStyle w:val="Emphasis"/>
          <w:rFonts w:ascii="Arial" w:hAnsi="Arial" w:cs="Arial"/>
          <w:b/>
          <w:sz w:val="20"/>
          <w:szCs w:val="20"/>
        </w:rPr>
        <w:t xml:space="preserve"> </w:t>
      </w:r>
      <w:proofErr w:type="spellStart"/>
      <w:r w:rsidRPr="00622967">
        <w:rPr>
          <w:rStyle w:val="Emphasis"/>
          <w:rFonts w:ascii="Arial" w:hAnsi="Arial" w:cs="Arial"/>
          <w:b/>
          <w:sz w:val="20"/>
          <w:szCs w:val="20"/>
        </w:rPr>
        <w:t>bombycina</w:t>
      </w:r>
      <w:proofErr w:type="spellEnd"/>
      <w:r w:rsidRPr="00622967">
        <w:rPr>
          <w:rFonts w:ascii="Arial" w:hAnsi="Arial" w:cs="Arial"/>
          <w:b/>
          <w:sz w:val="20"/>
          <w:szCs w:val="20"/>
        </w:rPr>
        <w:t>) leaves influencing silkworm behavior</w:t>
      </w:r>
    </w:p>
    <w:p w14:paraId="625F220F" w14:textId="77777777" w:rsidR="00B8025E" w:rsidRPr="00ED6D5E" w:rsidRDefault="00ED6D5E" w:rsidP="00ED6D5E">
      <w:pPr>
        <w:pStyle w:val="Heading2"/>
        <w:rPr>
          <w:rFonts w:ascii="Arial" w:hAnsi="Arial" w:cs="Arial"/>
          <w:sz w:val="22"/>
          <w:szCs w:val="22"/>
        </w:rPr>
      </w:pPr>
      <w:r w:rsidRPr="00ED6D5E">
        <w:rPr>
          <w:rFonts w:ascii="Arial" w:hAnsi="Arial" w:cs="Arial"/>
          <w:sz w:val="22"/>
          <w:szCs w:val="22"/>
        </w:rPr>
        <w:t>8</w:t>
      </w:r>
      <w:r w:rsidR="00B8025E" w:rsidRPr="00ED6D5E">
        <w:rPr>
          <w:rFonts w:ascii="Arial" w:hAnsi="Arial" w:cs="Arial"/>
          <w:sz w:val="22"/>
          <w:szCs w:val="22"/>
        </w:rPr>
        <w:t>. APPLICATIONS AND FUTURE DIRECTIONS</w:t>
      </w:r>
    </w:p>
    <w:p w14:paraId="76AA94B4" w14:textId="77777777" w:rsidR="00B8025E" w:rsidRPr="00ED6D5E" w:rsidRDefault="00ED6D5E" w:rsidP="00ED6D5E">
      <w:pPr>
        <w:pStyle w:val="Heading3"/>
        <w:rPr>
          <w:rFonts w:ascii="Arial" w:hAnsi="Arial" w:cs="Arial"/>
          <w:color w:val="000000" w:themeColor="text1"/>
        </w:rPr>
      </w:pPr>
      <w:r w:rsidRPr="00ED6D5E">
        <w:rPr>
          <w:rFonts w:ascii="Arial" w:hAnsi="Arial" w:cs="Arial"/>
          <w:color w:val="000000" w:themeColor="text1"/>
        </w:rPr>
        <w:t>8</w:t>
      </w:r>
      <w:r w:rsidR="00B8025E" w:rsidRPr="00ED6D5E">
        <w:rPr>
          <w:rFonts w:ascii="Arial" w:hAnsi="Arial" w:cs="Arial"/>
          <w:color w:val="000000" w:themeColor="text1"/>
        </w:rPr>
        <w:t>.1 Artificial Diet Formulation</w:t>
      </w:r>
    </w:p>
    <w:p w14:paraId="0917B5E1" w14:textId="77777777" w:rsidR="00B8025E" w:rsidRPr="00622967" w:rsidRDefault="00B8025E" w:rsidP="00B8025E">
      <w:pPr>
        <w:pStyle w:val="NormalWeb"/>
        <w:jc w:val="both"/>
        <w:rPr>
          <w:rFonts w:ascii="Arial" w:hAnsi="Arial" w:cs="Arial"/>
          <w:sz w:val="20"/>
        </w:rPr>
      </w:pPr>
      <w:r w:rsidRPr="00622967">
        <w:rPr>
          <w:rFonts w:ascii="Arial" w:hAnsi="Arial" w:cs="Arial"/>
          <w:sz w:val="20"/>
        </w:rPr>
        <w:t xml:space="preserve">The elucidation of key phytochemical stimulants, such as chlorogenic acid, β-sitosterol, quercetin glycosides, and sugars like sucrose, paves the way for designing nutritionally and behaviorally effective artificial diets. By incorporating these compounds into synthetic feed matrices, researchers can significantly improve the palatability and acceptability of artificial diets, especially for </w:t>
      </w:r>
      <w:r w:rsidRPr="00622967">
        <w:rPr>
          <w:rStyle w:val="Emphasis"/>
          <w:rFonts w:ascii="Arial" w:hAnsi="Arial" w:cs="Arial"/>
          <w:sz w:val="20"/>
        </w:rPr>
        <w:t>B. mori</w:t>
      </w:r>
      <w:r w:rsidRPr="00622967">
        <w:rPr>
          <w:rFonts w:ascii="Arial" w:hAnsi="Arial" w:cs="Arial"/>
          <w:sz w:val="20"/>
        </w:rPr>
        <w:t>, which traditionally exhibits reluctance toward non-mulberry feeds.</w:t>
      </w:r>
    </w:p>
    <w:p w14:paraId="6DA92F35" w14:textId="77777777" w:rsidR="00B8025E" w:rsidRPr="00ED6D5E" w:rsidRDefault="00ED6D5E" w:rsidP="00ED6D5E">
      <w:pPr>
        <w:pStyle w:val="Heading3"/>
        <w:rPr>
          <w:rFonts w:ascii="Arial" w:hAnsi="Arial" w:cs="Arial"/>
          <w:color w:val="000000" w:themeColor="text1"/>
        </w:rPr>
      </w:pPr>
      <w:r w:rsidRPr="00ED6D5E">
        <w:rPr>
          <w:rFonts w:ascii="Arial" w:hAnsi="Arial" w:cs="Arial"/>
          <w:color w:val="000000" w:themeColor="text1"/>
        </w:rPr>
        <w:t>8</w:t>
      </w:r>
      <w:r w:rsidR="00B8025E" w:rsidRPr="00ED6D5E">
        <w:rPr>
          <w:rFonts w:ascii="Arial" w:hAnsi="Arial" w:cs="Arial"/>
          <w:color w:val="000000" w:themeColor="text1"/>
        </w:rPr>
        <w:t>.2 Silkworm Breeding and Genetic Engineering</w:t>
      </w:r>
    </w:p>
    <w:p w14:paraId="0E85067C" w14:textId="77777777" w:rsidR="00B8025E" w:rsidRPr="00622967" w:rsidRDefault="00B8025E" w:rsidP="00B8025E">
      <w:pPr>
        <w:pStyle w:val="NormalWeb"/>
        <w:jc w:val="both"/>
        <w:rPr>
          <w:rFonts w:ascii="Arial" w:hAnsi="Arial" w:cs="Arial"/>
          <w:sz w:val="20"/>
        </w:rPr>
      </w:pPr>
      <w:r w:rsidRPr="00622967">
        <w:rPr>
          <w:rFonts w:ascii="Arial" w:hAnsi="Arial" w:cs="Arial"/>
          <w:sz w:val="20"/>
        </w:rPr>
        <w:t xml:space="preserve">Advancements in molecular biology and genome editing techniques (e.g., CRISPR-Cas9) provide new opportunities to manipulate gustatory receptor genes like Gr66, Gr6, and Gr9. Modifying these receptors </w:t>
      </w:r>
      <w:r w:rsidRPr="00622967">
        <w:rPr>
          <w:rFonts w:ascii="Arial" w:hAnsi="Arial" w:cs="Arial"/>
          <w:sz w:val="20"/>
        </w:rPr>
        <w:lastRenderedPageBreak/>
        <w:t xml:space="preserve">could yield silkworm strains capable of feeding on alternative or less resource-intensive host plants, enhancing sustainability and adaptability under changing </w:t>
      </w:r>
      <w:proofErr w:type="spellStart"/>
      <w:r w:rsidRPr="00622967">
        <w:rPr>
          <w:rFonts w:ascii="Arial" w:hAnsi="Arial" w:cs="Arial"/>
          <w:sz w:val="20"/>
        </w:rPr>
        <w:t>agro</w:t>
      </w:r>
      <w:proofErr w:type="spellEnd"/>
      <w:r w:rsidRPr="00622967">
        <w:rPr>
          <w:rFonts w:ascii="Arial" w:hAnsi="Arial" w:cs="Arial"/>
          <w:sz w:val="20"/>
        </w:rPr>
        <w:t>-ecological conditions.</w:t>
      </w:r>
    </w:p>
    <w:p w14:paraId="20566AD6" w14:textId="77777777" w:rsidR="00B8025E" w:rsidRPr="00ED6D5E" w:rsidRDefault="00ED6D5E" w:rsidP="00ED6D5E">
      <w:pPr>
        <w:pStyle w:val="Heading3"/>
        <w:rPr>
          <w:rFonts w:ascii="Arial" w:hAnsi="Arial" w:cs="Arial"/>
          <w:color w:val="000000" w:themeColor="text1"/>
        </w:rPr>
      </w:pPr>
      <w:r w:rsidRPr="00ED6D5E">
        <w:rPr>
          <w:rFonts w:ascii="Arial" w:hAnsi="Arial" w:cs="Arial"/>
          <w:color w:val="000000" w:themeColor="text1"/>
        </w:rPr>
        <w:t>8</w:t>
      </w:r>
      <w:r w:rsidR="00B8025E" w:rsidRPr="00ED6D5E">
        <w:rPr>
          <w:rFonts w:ascii="Arial" w:hAnsi="Arial" w:cs="Arial"/>
          <w:color w:val="000000" w:themeColor="text1"/>
        </w:rPr>
        <w:t>.3 Pest Management Strategies</w:t>
      </w:r>
    </w:p>
    <w:p w14:paraId="2E4D5887" w14:textId="77777777" w:rsidR="00B8025E" w:rsidRPr="00622967" w:rsidRDefault="00B8025E" w:rsidP="00B8025E">
      <w:pPr>
        <w:pStyle w:val="NormalWeb"/>
        <w:jc w:val="both"/>
        <w:rPr>
          <w:rFonts w:ascii="Arial" w:hAnsi="Arial" w:cs="Arial"/>
          <w:sz w:val="20"/>
        </w:rPr>
      </w:pPr>
      <w:r w:rsidRPr="00622967">
        <w:rPr>
          <w:rFonts w:ascii="Arial" w:hAnsi="Arial" w:cs="Arial"/>
          <w:sz w:val="20"/>
        </w:rPr>
        <w:t>The knowledge derived from silkworm host plant interactions can be extended to agricultural pest species. Understanding chemosensory mechanisms can help develop targeted pest deterrents or resistant crop varieties by manipulating surface chemistry or metabolic pathways involved in host recognition.</w:t>
      </w:r>
    </w:p>
    <w:p w14:paraId="684A0324" w14:textId="77777777" w:rsidR="00B8025E" w:rsidRPr="00ED6D5E" w:rsidRDefault="00ED6D5E" w:rsidP="00ED6D5E">
      <w:pPr>
        <w:pStyle w:val="Heading3"/>
        <w:rPr>
          <w:rFonts w:ascii="Arial" w:hAnsi="Arial" w:cs="Arial"/>
          <w:color w:val="000000" w:themeColor="text1"/>
        </w:rPr>
      </w:pPr>
      <w:r w:rsidRPr="00ED6D5E">
        <w:rPr>
          <w:rFonts w:ascii="Arial" w:hAnsi="Arial" w:cs="Arial"/>
          <w:color w:val="000000" w:themeColor="text1"/>
        </w:rPr>
        <w:t>8</w:t>
      </w:r>
      <w:r w:rsidR="00B8025E" w:rsidRPr="00ED6D5E">
        <w:rPr>
          <w:rFonts w:ascii="Arial" w:hAnsi="Arial" w:cs="Arial"/>
          <w:color w:val="000000" w:themeColor="text1"/>
        </w:rPr>
        <w:t>.4 Future Research Directions</w:t>
      </w:r>
    </w:p>
    <w:p w14:paraId="7A675C95" w14:textId="77777777" w:rsidR="00B8025E" w:rsidRPr="00622967" w:rsidRDefault="00B8025E" w:rsidP="00B8025E">
      <w:pPr>
        <w:pStyle w:val="NormalWeb"/>
        <w:jc w:val="both"/>
        <w:rPr>
          <w:rFonts w:ascii="Arial" w:hAnsi="Arial" w:cs="Arial"/>
          <w:sz w:val="20"/>
          <w:szCs w:val="20"/>
        </w:rPr>
      </w:pPr>
      <w:r w:rsidRPr="00622967">
        <w:rPr>
          <w:rFonts w:ascii="Arial" w:hAnsi="Arial" w:cs="Arial"/>
          <w:sz w:val="20"/>
          <w:szCs w:val="20"/>
        </w:rPr>
        <w:t xml:space="preserve">While considerable research has elucidated the molecular and chemical basis of feeding in </w:t>
      </w:r>
      <w:r w:rsidRPr="00622967">
        <w:rPr>
          <w:rStyle w:val="Emphasis"/>
          <w:rFonts w:ascii="Arial" w:hAnsi="Arial" w:cs="Arial"/>
          <w:sz w:val="20"/>
          <w:szCs w:val="20"/>
        </w:rPr>
        <w:t>Bombyx mori</w:t>
      </w:r>
      <w:r w:rsidRPr="00622967">
        <w:rPr>
          <w:rFonts w:ascii="Arial" w:hAnsi="Arial" w:cs="Arial"/>
          <w:sz w:val="20"/>
          <w:szCs w:val="20"/>
        </w:rPr>
        <w:t xml:space="preserve">, there remains a substantial gap in our understanding of the equivalent mechanisms in </w:t>
      </w:r>
      <w:proofErr w:type="spellStart"/>
      <w:r w:rsidRPr="00622967">
        <w:rPr>
          <w:rStyle w:val="Emphasis"/>
          <w:rFonts w:ascii="Arial" w:hAnsi="Arial" w:cs="Arial"/>
          <w:sz w:val="20"/>
          <w:szCs w:val="20"/>
        </w:rPr>
        <w:t>Antheraea</w:t>
      </w:r>
      <w:proofErr w:type="spellEnd"/>
      <w:r w:rsidRPr="00622967">
        <w:rPr>
          <w:rStyle w:val="Emphasis"/>
          <w:rFonts w:ascii="Arial" w:hAnsi="Arial" w:cs="Arial"/>
          <w:sz w:val="20"/>
          <w:szCs w:val="20"/>
        </w:rPr>
        <w:t xml:space="preserve"> </w:t>
      </w:r>
      <w:proofErr w:type="spellStart"/>
      <w:r w:rsidRPr="00622967">
        <w:rPr>
          <w:rStyle w:val="Emphasis"/>
          <w:rFonts w:ascii="Arial" w:hAnsi="Arial" w:cs="Arial"/>
          <w:sz w:val="20"/>
          <w:szCs w:val="20"/>
        </w:rPr>
        <w:t>assamensis</w:t>
      </w:r>
      <w:proofErr w:type="spellEnd"/>
      <w:r w:rsidRPr="00622967">
        <w:rPr>
          <w:rFonts w:ascii="Arial" w:hAnsi="Arial" w:cs="Arial"/>
          <w:sz w:val="20"/>
          <w:szCs w:val="20"/>
        </w:rPr>
        <w:t xml:space="preserve">. Future research should prioritize the identification and functional characterization of gustatory and olfactory receptor genes in </w:t>
      </w:r>
      <w:r w:rsidRPr="00622967">
        <w:rPr>
          <w:rStyle w:val="Emphasis"/>
          <w:rFonts w:ascii="Arial" w:hAnsi="Arial" w:cs="Arial"/>
          <w:sz w:val="20"/>
          <w:szCs w:val="20"/>
        </w:rPr>
        <w:t xml:space="preserve">A. </w:t>
      </w:r>
      <w:proofErr w:type="spellStart"/>
      <w:r w:rsidRPr="00622967">
        <w:rPr>
          <w:rStyle w:val="Emphasis"/>
          <w:rFonts w:ascii="Arial" w:hAnsi="Arial" w:cs="Arial"/>
          <w:sz w:val="20"/>
          <w:szCs w:val="20"/>
        </w:rPr>
        <w:t>assamensis</w:t>
      </w:r>
      <w:proofErr w:type="spellEnd"/>
      <w:r w:rsidRPr="00622967">
        <w:rPr>
          <w:rFonts w:ascii="Arial" w:hAnsi="Arial" w:cs="Arial"/>
          <w:sz w:val="20"/>
          <w:szCs w:val="20"/>
        </w:rPr>
        <w:t xml:space="preserve">, as well as the downstream neural circuits involved in host plant selection. Comparative transcriptomic analyses between larval stages fed on different host plants could reveal regulatory networks that govern </w:t>
      </w:r>
      <w:proofErr w:type="spellStart"/>
      <w:r w:rsidRPr="00622967">
        <w:rPr>
          <w:rFonts w:ascii="Arial" w:hAnsi="Arial" w:cs="Arial"/>
          <w:sz w:val="20"/>
          <w:szCs w:val="20"/>
        </w:rPr>
        <w:t>polyphagy</w:t>
      </w:r>
      <w:proofErr w:type="spellEnd"/>
      <w:r w:rsidRPr="00622967">
        <w:rPr>
          <w:rFonts w:ascii="Arial" w:hAnsi="Arial" w:cs="Arial"/>
          <w:sz w:val="20"/>
          <w:szCs w:val="20"/>
        </w:rPr>
        <w:t>.</w:t>
      </w:r>
    </w:p>
    <w:p w14:paraId="6A57BE88" w14:textId="77777777" w:rsidR="00B8025E" w:rsidRPr="00622967" w:rsidRDefault="00B8025E" w:rsidP="00B8025E">
      <w:pPr>
        <w:pStyle w:val="NormalWeb"/>
        <w:jc w:val="both"/>
        <w:rPr>
          <w:rFonts w:ascii="Arial" w:hAnsi="Arial" w:cs="Arial"/>
          <w:sz w:val="20"/>
          <w:szCs w:val="20"/>
        </w:rPr>
      </w:pPr>
      <w:r w:rsidRPr="00622967">
        <w:rPr>
          <w:rFonts w:ascii="Arial" w:hAnsi="Arial" w:cs="Arial"/>
          <w:sz w:val="20"/>
          <w:szCs w:val="20"/>
        </w:rPr>
        <w:t xml:space="preserve">Furthermore, behavioral assays combined with metabolomic profiling of host plants can help delineate the precise chemical cues guiding </w:t>
      </w:r>
      <w:proofErr w:type="spellStart"/>
      <w:r w:rsidRPr="00622967">
        <w:rPr>
          <w:rFonts w:ascii="Arial" w:hAnsi="Arial" w:cs="Arial"/>
          <w:sz w:val="20"/>
          <w:szCs w:val="20"/>
        </w:rPr>
        <w:t>muga</w:t>
      </w:r>
      <w:proofErr w:type="spellEnd"/>
      <w:r w:rsidRPr="00622967">
        <w:rPr>
          <w:rFonts w:ascii="Arial" w:hAnsi="Arial" w:cs="Arial"/>
          <w:sz w:val="20"/>
          <w:szCs w:val="20"/>
        </w:rPr>
        <w:t xml:space="preserve"> silkworm feeding behavior. Integration of these approaches with genome editing tools will be instrumental in developing improved silkworm strains and refining sericultural practices tailored to the unique biology of </w:t>
      </w:r>
      <w:proofErr w:type="spellStart"/>
      <w:r w:rsidRPr="00622967">
        <w:rPr>
          <w:rFonts w:ascii="Arial" w:hAnsi="Arial" w:cs="Arial"/>
          <w:sz w:val="20"/>
          <w:szCs w:val="20"/>
        </w:rPr>
        <w:t>muga</w:t>
      </w:r>
      <w:proofErr w:type="spellEnd"/>
      <w:r w:rsidRPr="00622967">
        <w:rPr>
          <w:rFonts w:ascii="Arial" w:hAnsi="Arial" w:cs="Arial"/>
          <w:sz w:val="20"/>
          <w:szCs w:val="20"/>
        </w:rPr>
        <w:t xml:space="preserve"> silkworms.</w:t>
      </w:r>
      <w:r w:rsidR="000C61B6" w:rsidRPr="00622967">
        <w:rPr>
          <w:rFonts w:ascii="Arial" w:hAnsi="Arial" w:cs="Arial"/>
          <w:sz w:val="20"/>
          <w:szCs w:val="20"/>
        </w:rPr>
        <w:t xml:space="preserve"> </w:t>
      </w:r>
      <w:r w:rsidRPr="00622967">
        <w:rPr>
          <w:rFonts w:ascii="Arial" w:hAnsi="Arial" w:cs="Arial"/>
          <w:sz w:val="20"/>
          <w:szCs w:val="20"/>
        </w:rPr>
        <w:t>These insights hold promise not only for sericulture improvement but also for broader applications in insect ecology, evolutionary biology, and integrated pest management.</w:t>
      </w:r>
    </w:p>
    <w:p w14:paraId="433551BB" w14:textId="77777777" w:rsidR="001364B1" w:rsidRPr="00ED6D5E" w:rsidRDefault="00ED6D5E" w:rsidP="001364B1">
      <w:pPr>
        <w:spacing w:before="100" w:beforeAutospacing="1" w:after="100" w:afterAutospacing="1" w:line="240" w:lineRule="auto"/>
        <w:outlineLvl w:val="1"/>
        <w:rPr>
          <w:rFonts w:ascii="Arial" w:eastAsia="Times New Roman" w:hAnsi="Arial" w:cs="Arial"/>
          <w:b/>
          <w:bCs/>
        </w:rPr>
      </w:pPr>
      <w:r w:rsidRPr="00ED6D5E">
        <w:rPr>
          <w:rFonts w:ascii="Arial" w:eastAsia="Times New Roman" w:hAnsi="Arial" w:cs="Arial"/>
          <w:b/>
          <w:bCs/>
        </w:rPr>
        <w:t>9. CONCLUSION</w:t>
      </w:r>
    </w:p>
    <w:p w14:paraId="6F8D431B" w14:textId="77777777" w:rsidR="001364B1" w:rsidRPr="00622967" w:rsidRDefault="001364B1" w:rsidP="001364B1">
      <w:pPr>
        <w:spacing w:before="100" w:beforeAutospacing="1" w:after="100" w:afterAutospacing="1" w:line="240" w:lineRule="auto"/>
        <w:jc w:val="both"/>
        <w:rPr>
          <w:rFonts w:ascii="Arial" w:eastAsia="Times New Roman" w:hAnsi="Arial" w:cs="Arial"/>
          <w:sz w:val="20"/>
          <w:szCs w:val="20"/>
        </w:rPr>
      </w:pPr>
      <w:r w:rsidRPr="00622967">
        <w:rPr>
          <w:rFonts w:ascii="Arial" w:eastAsia="Times New Roman" w:hAnsi="Arial" w:cs="Arial"/>
          <w:sz w:val="20"/>
          <w:szCs w:val="20"/>
        </w:rPr>
        <w:t xml:space="preserve">Silkworm feeding behavior is driven by a complex integration of plant-derived phytochemicals, chemosensory detection, and genetic regulation. In </w:t>
      </w:r>
      <w:r w:rsidRPr="00622967">
        <w:rPr>
          <w:rFonts w:ascii="Arial" w:eastAsia="Times New Roman" w:hAnsi="Arial" w:cs="Arial"/>
          <w:i/>
          <w:iCs/>
          <w:sz w:val="20"/>
          <w:szCs w:val="20"/>
        </w:rPr>
        <w:t>Bombyx mori</w:t>
      </w:r>
      <w:r w:rsidRPr="00622967">
        <w:rPr>
          <w:rFonts w:ascii="Arial" w:eastAsia="Times New Roman" w:hAnsi="Arial" w:cs="Arial"/>
          <w:sz w:val="20"/>
          <w:szCs w:val="20"/>
        </w:rPr>
        <w:t xml:space="preserve">, feeding is highly specific to mulberry due to the action of gustatory receptors such as Gr66, Gr6, and Gr9. These receptors recognize stimulants like chlorogenic acid, β-sitosterol, and sugars, triggering a precise sequence of feeding behaviors. Gene editing studies have confirmed that these receptors are key determinants of host fidelity. In contrast, the polyphagous </w:t>
      </w:r>
      <w:proofErr w:type="spellStart"/>
      <w:r w:rsidRPr="00622967">
        <w:rPr>
          <w:rFonts w:ascii="Arial" w:eastAsia="Times New Roman" w:hAnsi="Arial" w:cs="Arial"/>
          <w:sz w:val="20"/>
          <w:szCs w:val="20"/>
        </w:rPr>
        <w:t>muga</w:t>
      </w:r>
      <w:proofErr w:type="spellEnd"/>
      <w:r w:rsidRPr="00622967">
        <w:rPr>
          <w:rFonts w:ascii="Arial" w:eastAsia="Times New Roman" w:hAnsi="Arial" w:cs="Arial"/>
          <w:sz w:val="20"/>
          <w:szCs w:val="20"/>
        </w:rPr>
        <w:t xml:space="preserve"> silkworm, </w:t>
      </w:r>
      <w:proofErr w:type="spellStart"/>
      <w:r w:rsidRPr="00622967">
        <w:rPr>
          <w:rFonts w:ascii="Arial" w:eastAsia="Times New Roman" w:hAnsi="Arial" w:cs="Arial"/>
          <w:i/>
          <w:iCs/>
          <w:sz w:val="20"/>
          <w:szCs w:val="20"/>
        </w:rPr>
        <w:t>Antheraea</w:t>
      </w:r>
      <w:proofErr w:type="spellEnd"/>
      <w:r w:rsidRPr="00622967">
        <w:rPr>
          <w:rFonts w:ascii="Arial" w:eastAsia="Times New Roman" w:hAnsi="Arial" w:cs="Arial"/>
          <w:i/>
          <w:iCs/>
          <w:sz w:val="20"/>
          <w:szCs w:val="20"/>
        </w:rPr>
        <w:t xml:space="preserve"> </w:t>
      </w:r>
      <w:proofErr w:type="spellStart"/>
      <w:r w:rsidRPr="00622967">
        <w:rPr>
          <w:rFonts w:ascii="Arial" w:eastAsia="Times New Roman" w:hAnsi="Arial" w:cs="Arial"/>
          <w:i/>
          <w:iCs/>
          <w:sz w:val="20"/>
          <w:szCs w:val="20"/>
        </w:rPr>
        <w:t>assamensis</w:t>
      </w:r>
      <w:proofErr w:type="spellEnd"/>
      <w:r w:rsidRPr="00622967">
        <w:rPr>
          <w:rFonts w:ascii="Arial" w:eastAsia="Times New Roman" w:hAnsi="Arial" w:cs="Arial"/>
          <w:sz w:val="20"/>
          <w:szCs w:val="20"/>
        </w:rPr>
        <w:t xml:space="preserve">, responds to a broader array of phytochemicals including flavonoids and terpenoids from multiple </w:t>
      </w:r>
      <w:proofErr w:type="spellStart"/>
      <w:r w:rsidRPr="00622967">
        <w:rPr>
          <w:rFonts w:ascii="Arial" w:eastAsia="Times New Roman" w:hAnsi="Arial" w:cs="Arial"/>
          <w:sz w:val="20"/>
          <w:szCs w:val="20"/>
        </w:rPr>
        <w:t>Lauraceae</w:t>
      </w:r>
      <w:proofErr w:type="spellEnd"/>
      <w:r w:rsidRPr="00622967">
        <w:rPr>
          <w:rFonts w:ascii="Arial" w:eastAsia="Times New Roman" w:hAnsi="Arial" w:cs="Arial"/>
          <w:sz w:val="20"/>
          <w:szCs w:val="20"/>
        </w:rPr>
        <w:t xml:space="preserve"> host plants. While its feeding ecology is well-documented, the molecular basis of its host selection remains underexplored, highlighting a critical area for future investigation.</w:t>
      </w:r>
    </w:p>
    <w:p w14:paraId="19544A4A" w14:textId="77777777" w:rsidR="001364B1" w:rsidRDefault="001364B1" w:rsidP="001364B1">
      <w:pPr>
        <w:spacing w:before="100" w:beforeAutospacing="1" w:after="100" w:afterAutospacing="1" w:line="240" w:lineRule="auto"/>
        <w:jc w:val="both"/>
        <w:rPr>
          <w:rFonts w:ascii="Arial" w:eastAsia="Times New Roman" w:hAnsi="Arial" w:cs="Arial"/>
          <w:sz w:val="20"/>
          <w:szCs w:val="20"/>
        </w:rPr>
      </w:pPr>
      <w:r w:rsidRPr="00622967">
        <w:rPr>
          <w:rFonts w:ascii="Arial" w:eastAsia="Times New Roman" w:hAnsi="Arial" w:cs="Arial"/>
          <w:sz w:val="20"/>
          <w:szCs w:val="20"/>
        </w:rPr>
        <w:t xml:space="preserve">These insights not only illuminate evolutionary differences in host adaptation but also offer practical applications. Artificial diets incorporating identified stimulants can improve feed acceptance, while receptor-targeted genetic modifications may broaden host range. Additionally, this knowledge has implications for pest management and crop protection. Future research should focus on expanding molecular and functional studies in non-mulberry silkworms like </w:t>
      </w:r>
      <w:r w:rsidRPr="00622967">
        <w:rPr>
          <w:rFonts w:ascii="Arial" w:eastAsia="Times New Roman" w:hAnsi="Arial" w:cs="Arial"/>
          <w:i/>
          <w:iCs/>
          <w:sz w:val="20"/>
          <w:szCs w:val="20"/>
        </w:rPr>
        <w:t xml:space="preserve">A. </w:t>
      </w:r>
      <w:proofErr w:type="spellStart"/>
      <w:r w:rsidRPr="00622967">
        <w:rPr>
          <w:rFonts w:ascii="Arial" w:eastAsia="Times New Roman" w:hAnsi="Arial" w:cs="Arial"/>
          <w:i/>
          <w:iCs/>
          <w:sz w:val="20"/>
          <w:szCs w:val="20"/>
        </w:rPr>
        <w:t>assamensis</w:t>
      </w:r>
      <w:proofErr w:type="spellEnd"/>
      <w:r w:rsidRPr="00622967">
        <w:rPr>
          <w:rFonts w:ascii="Arial" w:eastAsia="Times New Roman" w:hAnsi="Arial" w:cs="Arial"/>
          <w:sz w:val="20"/>
          <w:szCs w:val="20"/>
        </w:rPr>
        <w:t>, including receptor profiling and behavioral assays. Such efforts will support sustainable sericulture and advance our broader understanding of insect-plant interactions.</w:t>
      </w:r>
    </w:p>
    <w:p w14:paraId="1A5F2BD3" w14:textId="77777777" w:rsidR="00B8025E" w:rsidRDefault="005E2B5C" w:rsidP="008B2BED">
      <w:pPr>
        <w:pStyle w:val="NormalWeb"/>
        <w:jc w:val="both"/>
        <w:rPr>
          <w:rFonts w:ascii="Arial" w:hAnsi="Arial" w:cs="Arial"/>
          <w:b/>
          <w:sz w:val="22"/>
          <w:szCs w:val="22"/>
        </w:rPr>
      </w:pPr>
      <w:r w:rsidRPr="005E2B5C">
        <w:rPr>
          <w:rFonts w:ascii="Arial" w:hAnsi="Arial" w:cs="Arial"/>
          <w:b/>
          <w:sz w:val="22"/>
          <w:szCs w:val="22"/>
        </w:rPr>
        <w:t>REFERENCES</w:t>
      </w:r>
    </w:p>
    <w:p w14:paraId="50210D60" w14:textId="77777777" w:rsidR="00CE78A7" w:rsidRPr="00CE78A7" w:rsidRDefault="00CE78A7" w:rsidP="00CE78A7">
      <w:pPr>
        <w:pStyle w:val="NormalWeb"/>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Padaki, N. V., Bhattacharya, A., Das, B., Choudhury, B., Mishra, S. N., &amp; Singh, B. K. (2014). Studies on the Influence of seasonal and regional aspects on the quality of </w:t>
      </w:r>
      <w:proofErr w:type="spellStart"/>
      <w:r w:rsidRPr="00CE78A7">
        <w:rPr>
          <w:rFonts w:ascii="Arial" w:hAnsi="Arial" w:cs="Arial"/>
          <w:color w:val="222222"/>
          <w:sz w:val="20"/>
          <w:szCs w:val="20"/>
          <w:shd w:val="clear" w:color="auto" w:fill="FFFFFF"/>
        </w:rPr>
        <w:t>muga</w:t>
      </w:r>
      <w:proofErr w:type="spellEnd"/>
      <w:r w:rsidRPr="00CE78A7">
        <w:rPr>
          <w:rFonts w:ascii="Arial" w:hAnsi="Arial" w:cs="Arial"/>
          <w:color w:val="222222"/>
          <w:sz w:val="20"/>
          <w:szCs w:val="20"/>
          <w:shd w:val="clear" w:color="auto" w:fill="FFFFFF"/>
        </w:rPr>
        <w:t xml:space="preserve"> silk. </w:t>
      </w:r>
      <w:r w:rsidRPr="00CE78A7">
        <w:rPr>
          <w:rFonts w:ascii="Arial" w:hAnsi="Arial" w:cs="Arial"/>
          <w:iCs/>
          <w:color w:val="222222"/>
          <w:sz w:val="20"/>
          <w:szCs w:val="20"/>
          <w:shd w:val="clear" w:color="auto" w:fill="FFFFFF"/>
        </w:rPr>
        <w:t>Research Journal of Textile and Apparel</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18</w:t>
      </w:r>
      <w:r w:rsidRPr="00CE78A7">
        <w:rPr>
          <w:rFonts w:ascii="Arial" w:hAnsi="Arial" w:cs="Arial"/>
          <w:color w:val="222222"/>
          <w:sz w:val="20"/>
          <w:szCs w:val="20"/>
          <w:shd w:val="clear" w:color="auto" w:fill="FFFFFF"/>
        </w:rPr>
        <w:t xml:space="preserve">(1), 25-30. </w:t>
      </w:r>
      <w:hyperlink r:id="rId11" w:history="1">
        <w:r w:rsidRPr="00CE78A7">
          <w:rPr>
            <w:rStyle w:val="Hyperlink"/>
            <w:rFonts w:ascii="Arial" w:hAnsi="Arial" w:cs="Arial"/>
            <w:sz w:val="20"/>
            <w:szCs w:val="20"/>
            <w:shd w:val="clear" w:color="auto" w:fill="FFFFFF"/>
          </w:rPr>
          <w:t>https://doi.org/10.1108/RJTA-18-01-2014-B004</w:t>
        </w:r>
      </w:hyperlink>
    </w:p>
    <w:p w14:paraId="1F0AFFE8"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Das, S. K., Sahu, B. K., &amp; Singh, D. (2020). Host plant diversity of non-mulberry silkworms: a review. </w:t>
      </w:r>
      <w:r w:rsidRPr="00CE78A7">
        <w:rPr>
          <w:rFonts w:ascii="Arial" w:hAnsi="Arial" w:cs="Arial"/>
          <w:iCs/>
          <w:color w:val="222222"/>
          <w:sz w:val="20"/>
          <w:szCs w:val="20"/>
          <w:shd w:val="clear" w:color="auto" w:fill="FFFFFF"/>
        </w:rPr>
        <w:t>Journal of Pharmacognosy and Phytochemistry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9</w:t>
      </w:r>
      <w:r w:rsidRPr="00CE78A7">
        <w:rPr>
          <w:rFonts w:ascii="Arial" w:hAnsi="Arial" w:cs="Arial"/>
          <w:color w:val="222222"/>
          <w:sz w:val="20"/>
          <w:szCs w:val="20"/>
          <w:shd w:val="clear" w:color="auto" w:fill="FFFFFF"/>
        </w:rPr>
        <w:t>(3), 109-113.</w:t>
      </w:r>
    </w:p>
    <w:p w14:paraId="04082D91"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lastRenderedPageBreak/>
        <w:t xml:space="preserve">Saikia, S., &amp; Saikia, M. (2022). Physical and chemical properties of Indian silk </w:t>
      </w:r>
      <w:proofErr w:type="spellStart"/>
      <w:r w:rsidRPr="00CE78A7">
        <w:rPr>
          <w:rFonts w:ascii="Arial" w:hAnsi="Arial" w:cs="Arial"/>
          <w:color w:val="222222"/>
          <w:sz w:val="20"/>
          <w:szCs w:val="20"/>
          <w:shd w:val="clear" w:color="auto" w:fill="FFFFFF"/>
        </w:rPr>
        <w:t>fibres</w:t>
      </w:r>
      <w:proofErr w:type="spellEnd"/>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The Pharma Innovation Journal</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11</w:t>
      </w:r>
      <w:r w:rsidRPr="00CE78A7">
        <w:rPr>
          <w:rFonts w:ascii="Arial" w:hAnsi="Arial" w:cs="Arial"/>
          <w:color w:val="222222"/>
          <w:sz w:val="20"/>
          <w:szCs w:val="20"/>
          <w:shd w:val="clear" w:color="auto" w:fill="FFFFFF"/>
        </w:rPr>
        <w:t>, 732-738.</w:t>
      </w:r>
    </w:p>
    <w:p w14:paraId="48C8D5B0"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proofErr w:type="spellStart"/>
      <w:r w:rsidRPr="00CE78A7">
        <w:rPr>
          <w:rFonts w:ascii="Arial" w:hAnsi="Arial" w:cs="Arial"/>
          <w:color w:val="222222"/>
          <w:sz w:val="20"/>
          <w:szCs w:val="20"/>
          <w:shd w:val="clear" w:color="auto" w:fill="FFFFFF"/>
        </w:rPr>
        <w:t>Caers</w:t>
      </w:r>
      <w:proofErr w:type="spellEnd"/>
      <w:r w:rsidRPr="00CE78A7">
        <w:rPr>
          <w:rFonts w:ascii="Arial" w:hAnsi="Arial" w:cs="Arial"/>
          <w:color w:val="222222"/>
          <w:sz w:val="20"/>
          <w:szCs w:val="20"/>
          <w:shd w:val="clear" w:color="auto" w:fill="FFFFFF"/>
        </w:rPr>
        <w:t xml:space="preserve">, J., Verlinden, H., Zels, S., </w:t>
      </w:r>
      <w:proofErr w:type="spellStart"/>
      <w:r w:rsidRPr="00CE78A7">
        <w:rPr>
          <w:rFonts w:ascii="Arial" w:hAnsi="Arial" w:cs="Arial"/>
          <w:color w:val="222222"/>
          <w:sz w:val="20"/>
          <w:szCs w:val="20"/>
          <w:shd w:val="clear" w:color="auto" w:fill="FFFFFF"/>
        </w:rPr>
        <w:t>Vandersmissen</w:t>
      </w:r>
      <w:proofErr w:type="spellEnd"/>
      <w:r w:rsidRPr="00CE78A7">
        <w:rPr>
          <w:rFonts w:ascii="Arial" w:hAnsi="Arial" w:cs="Arial"/>
          <w:color w:val="222222"/>
          <w:sz w:val="20"/>
          <w:szCs w:val="20"/>
          <w:shd w:val="clear" w:color="auto" w:fill="FFFFFF"/>
        </w:rPr>
        <w:t xml:space="preserve">, H. P., </w:t>
      </w:r>
      <w:proofErr w:type="spellStart"/>
      <w:r w:rsidRPr="00CE78A7">
        <w:rPr>
          <w:rFonts w:ascii="Arial" w:hAnsi="Arial" w:cs="Arial"/>
          <w:color w:val="222222"/>
          <w:sz w:val="20"/>
          <w:szCs w:val="20"/>
          <w:shd w:val="clear" w:color="auto" w:fill="FFFFFF"/>
        </w:rPr>
        <w:t>Vuerinckx</w:t>
      </w:r>
      <w:proofErr w:type="spellEnd"/>
      <w:r w:rsidRPr="00CE78A7">
        <w:rPr>
          <w:rFonts w:ascii="Arial" w:hAnsi="Arial" w:cs="Arial"/>
          <w:color w:val="222222"/>
          <w:sz w:val="20"/>
          <w:szCs w:val="20"/>
          <w:shd w:val="clear" w:color="auto" w:fill="FFFFFF"/>
        </w:rPr>
        <w:t>, K., &amp; Schoofs, L. (2012). More than two decades of research on insect neuropeptide GPCRs: an overview. </w:t>
      </w:r>
      <w:r w:rsidRPr="00CE78A7">
        <w:rPr>
          <w:rFonts w:ascii="Arial" w:hAnsi="Arial" w:cs="Arial"/>
          <w:iCs/>
          <w:color w:val="222222"/>
          <w:sz w:val="20"/>
          <w:szCs w:val="20"/>
          <w:shd w:val="clear" w:color="auto" w:fill="FFFFFF"/>
        </w:rPr>
        <w:t>Frontiers in endocrinology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3</w:t>
      </w:r>
      <w:r w:rsidRPr="00CE78A7">
        <w:rPr>
          <w:rFonts w:ascii="Arial" w:hAnsi="Arial" w:cs="Arial"/>
          <w:color w:val="222222"/>
          <w:sz w:val="20"/>
          <w:szCs w:val="20"/>
          <w:shd w:val="clear" w:color="auto" w:fill="FFFFFF"/>
        </w:rPr>
        <w:t xml:space="preserve">, 151. </w:t>
      </w:r>
      <w:hyperlink r:id="rId12" w:history="1">
        <w:r w:rsidRPr="00CE78A7">
          <w:rPr>
            <w:rStyle w:val="Hyperlink"/>
            <w:rFonts w:ascii="Arial" w:hAnsi="Arial" w:cs="Arial"/>
            <w:sz w:val="20"/>
            <w:szCs w:val="20"/>
            <w:shd w:val="clear" w:color="auto" w:fill="FFFFFF"/>
          </w:rPr>
          <w:t>https://doi.org/10.3389/fendo.2012.00151</w:t>
        </w:r>
      </w:hyperlink>
    </w:p>
    <w:p w14:paraId="5BBA9BC0"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proofErr w:type="spellStart"/>
      <w:r w:rsidRPr="00CE78A7">
        <w:rPr>
          <w:rFonts w:ascii="Arial" w:hAnsi="Arial" w:cs="Arial"/>
          <w:color w:val="222222"/>
          <w:sz w:val="20"/>
          <w:szCs w:val="20"/>
          <w:shd w:val="clear" w:color="auto" w:fill="FFFFFF"/>
        </w:rPr>
        <w:t>Bellés</w:t>
      </w:r>
      <w:proofErr w:type="spellEnd"/>
      <w:r w:rsidRPr="00CE78A7">
        <w:rPr>
          <w:rFonts w:ascii="Arial" w:hAnsi="Arial" w:cs="Arial"/>
          <w:color w:val="222222"/>
          <w:sz w:val="20"/>
          <w:szCs w:val="20"/>
          <w:shd w:val="clear" w:color="auto" w:fill="FFFFFF"/>
        </w:rPr>
        <w:t>, X. (2010). Beyond Drosophila: RNAi in vivo and functional genomics in insects</w:t>
      </w:r>
      <w:r w:rsidRPr="00CE78A7">
        <w:rPr>
          <w:rFonts w:ascii="Arial" w:hAnsi="Arial" w:cs="Arial"/>
          <w:i/>
          <w:color w:val="222222"/>
          <w:sz w:val="20"/>
          <w:szCs w:val="20"/>
          <w:shd w:val="clear" w:color="auto" w:fill="FFFFFF"/>
        </w:rPr>
        <w:t>. </w:t>
      </w:r>
      <w:r w:rsidRPr="00CE78A7">
        <w:rPr>
          <w:rFonts w:ascii="Arial" w:hAnsi="Arial" w:cs="Arial"/>
          <w:iCs/>
          <w:color w:val="222222"/>
          <w:sz w:val="20"/>
          <w:szCs w:val="20"/>
          <w:shd w:val="clear" w:color="auto" w:fill="FFFFFF"/>
        </w:rPr>
        <w:t>Annual review of entomology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55</w:t>
      </w:r>
      <w:r w:rsidRPr="00CE78A7">
        <w:rPr>
          <w:rFonts w:ascii="Arial" w:hAnsi="Arial" w:cs="Arial"/>
          <w:color w:val="222222"/>
          <w:sz w:val="20"/>
          <w:szCs w:val="20"/>
          <w:shd w:val="clear" w:color="auto" w:fill="FFFFFF"/>
        </w:rPr>
        <w:t xml:space="preserve">(1), 111-128. </w:t>
      </w:r>
      <w:hyperlink r:id="rId13" w:history="1">
        <w:r w:rsidRPr="00CE78A7">
          <w:rPr>
            <w:rStyle w:val="Hyperlink"/>
            <w:rFonts w:ascii="Arial" w:hAnsi="Arial" w:cs="Arial"/>
            <w:sz w:val="20"/>
            <w:szCs w:val="20"/>
            <w:shd w:val="clear" w:color="auto" w:fill="FFFFFF"/>
          </w:rPr>
          <w:t>https://doi.org/10.1146/annurev-ento-112408-085301</w:t>
        </w:r>
      </w:hyperlink>
    </w:p>
    <w:p w14:paraId="20F5F449"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Song, W. T., Zhu, F. F., &amp; Chen, K. P. (2021). The molecular mechanisms and factors affecting the feeding habits of silkworm (Lepidoptera: </w:t>
      </w:r>
      <w:proofErr w:type="spellStart"/>
      <w:r w:rsidRPr="00CE78A7">
        <w:rPr>
          <w:rFonts w:ascii="Arial" w:hAnsi="Arial" w:cs="Arial"/>
          <w:color w:val="222222"/>
          <w:sz w:val="20"/>
          <w:szCs w:val="20"/>
          <w:shd w:val="clear" w:color="auto" w:fill="FFFFFF"/>
        </w:rPr>
        <w:t>Bombyxidae</w:t>
      </w:r>
      <w:proofErr w:type="spellEnd"/>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Journal of Asia-Pacific Entomology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24</w:t>
      </w:r>
      <w:r w:rsidRPr="00CE78A7">
        <w:rPr>
          <w:rFonts w:ascii="Arial" w:hAnsi="Arial" w:cs="Arial"/>
          <w:color w:val="222222"/>
          <w:sz w:val="20"/>
          <w:szCs w:val="20"/>
          <w:shd w:val="clear" w:color="auto" w:fill="FFFFFF"/>
        </w:rPr>
        <w:t xml:space="preserve">(4), 955-962. </w:t>
      </w:r>
      <w:hyperlink r:id="rId14" w:history="1">
        <w:r w:rsidRPr="00CE78A7">
          <w:rPr>
            <w:rStyle w:val="Hyperlink"/>
            <w:rFonts w:ascii="Arial" w:hAnsi="Arial" w:cs="Arial"/>
            <w:sz w:val="20"/>
            <w:szCs w:val="20"/>
            <w:shd w:val="clear" w:color="auto" w:fill="FFFFFF"/>
          </w:rPr>
          <w:t>https://doi.org/10.1016/j.aspen.2021.08.010</w:t>
        </w:r>
      </w:hyperlink>
    </w:p>
    <w:p w14:paraId="16A95EB4"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Regier, J. C., Mitter, C., Davis, D. R., Harrison, T. L., SOHN, J. C., Cummings, M. P. et al. (2015). A molecular phylogeny and revised classification for the oldest </w:t>
      </w:r>
      <w:proofErr w:type="spellStart"/>
      <w:r w:rsidRPr="00CE78A7">
        <w:rPr>
          <w:rFonts w:ascii="Arial" w:hAnsi="Arial" w:cs="Arial"/>
          <w:color w:val="222222"/>
          <w:sz w:val="20"/>
          <w:szCs w:val="20"/>
          <w:shd w:val="clear" w:color="auto" w:fill="FFFFFF"/>
        </w:rPr>
        <w:t>ditrysian</w:t>
      </w:r>
      <w:proofErr w:type="spellEnd"/>
      <w:r w:rsidRPr="00CE78A7">
        <w:rPr>
          <w:rFonts w:ascii="Arial" w:hAnsi="Arial" w:cs="Arial"/>
          <w:color w:val="222222"/>
          <w:sz w:val="20"/>
          <w:szCs w:val="20"/>
          <w:shd w:val="clear" w:color="auto" w:fill="FFFFFF"/>
        </w:rPr>
        <w:t xml:space="preserve"> moth lineages (Lepidoptera: </w:t>
      </w:r>
      <w:proofErr w:type="spellStart"/>
      <w:r w:rsidRPr="00CE78A7">
        <w:rPr>
          <w:rFonts w:ascii="Arial" w:hAnsi="Arial" w:cs="Arial"/>
          <w:color w:val="222222"/>
          <w:sz w:val="20"/>
          <w:szCs w:val="20"/>
          <w:shd w:val="clear" w:color="auto" w:fill="FFFFFF"/>
        </w:rPr>
        <w:t>Tineoidea</w:t>
      </w:r>
      <w:proofErr w:type="spellEnd"/>
      <w:r w:rsidRPr="00CE78A7">
        <w:rPr>
          <w:rFonts w:ascii="Arial" w:hAnsi="Arial" w:cs="Arial"/>
          <w:color w:val="222222"/>
          <w:sz w:val="20"/>
          <w:szCs w:val="20"/>
          <w:shd w:val="clear" w:color="auto" w:fill="FFFFFF"/>
        </w:rPr>
        <w:t>), with implications for ancestral feeding habits of the mega</w:t>
      </w:r>
      <w:r w:rsidRPr="00CE78A7">
        <w:rPr>
          <w:rFonts w:ascii="Cambria Math" w:hAnsi="Cambria Math" w:cs="Arial"/>
          <w:color w:val="222222"/>
          <w:sz w:val="20"/>
          <w:szCs w:val="20"/>
          <w:shd w:val="clear" w:color="auto" w:fill="FFFFFF"/>
        </w:rPr>
        <w:t>‐</w:t>
      </w:r>
      <w:r w:rsidRPr="00CE78A7">
        <w:rPr>
          <w:rFonts w:ascii="Arial" w:hAnsi="Arial" w:cs="Arial"/>
          <w:color w:val="222222"/>
          <w:sz w:val="20"/>
          <w:szCs w:val="20"/>
          <w:shd w:val="clear" w:color="auto" w:fill="FFFFFF"/>
        </w:rPr>
        <w:t xml:space="preserve">diverse </w:t>
      </w:r>
      <w:proofErr w:type="spellStart"/>
      <w:r w:rsidRPr="00CE78A7">
        <w:rPr>
          <w:rFonts w:ascii="Arial" w:hAnsi="Arial" w:cs="Arial"/>
          <w:color w:val="222222"/>
          <w:sz w:val="20"/>
          <w:szCs w:val="20"/>
          <w:shd w:val="clear" w:color="auto" w:fill="FFFFFF"/>
        </w:rPr>
        <w:t>Ditrysia</w:t>
      </w:r>
      <w:proofErr w:type="spellEnd"/>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Systematic Entomology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40</w:t>
      </w:r>
      <w:r w:rsidRPr="00CE78A7">
        <w:rPr>
          <w:rFonts w:ascii="Arial" w:hAnsi="Arial" w:cs="Arial"/>
          <w:color w:val="222222"/>
          <w:sz w:val="20"/>
          <w:szCs w:val="20"/>
          <w:shd w:val="clear" w:color="auto" w:fill="FFFFFF"/>
        </w:rPr>
        <w:t xml:space="preserve">(2), 409-432. </w:t>
      </w:r>
      <w:hyperlink r:id="rId15" w:history="1">
        <w:r w:rsidRPr="00CE78A7">
          <w:rPr>
            <w:rStyle w:val="Hyperlink"/>
            <w:rFonts w:ascii="Arial" w:hAnsi="Arial" w:cs="Arial"/>
            <w:sz w:val="20"/>
            <w:szCs w:val="20"/>
            <w:shd w:val="clear" w:color="auto" w:fill="FFFFFF"/>
          </w:rPr>
          <w:t>https://doi.org/10.1111/syen.12110</w:t>
        </w:r>
      </w:hyperlink>
    </w:p>
    <w:p w14:paraId="7AA2CC1F" w14:textId="77777777" w:rsidR="00CE78A7" w:rsidRPr="00CE78A7" w:rsidRDefault="00CE78A7" w:rsidP="00CE78A7">
      <w:pPr>
        <w:pStyle w:val="ListParagraph"/>
        <w:numPr>
          <w:ilvl w:val="0"/>
          <w:numId w:val="5"/>
        </w:numPr>
        <w:jc w:val="both"/>
        <w:rPr>
          <w:rFonts w:ascii="Arial" w:hAnsi="Arial" w:cs="Arial"/>
          <w:sz w:val="20"/>
          <w:szCs w:val="20"/>
        </w:rPr>
      </w:pPr>
      <w:r w:rsidRPr="00CE78A7">
        <w:rPr>
          <w:rFonts w:ascii="Arial" w:hAnsi="Arial" w:cs="Arial"/>
          <w:color w:val="222222"/>
          <w:sz w:val="20"/>
          <w:szCs w:val="20"/>
          <w:shd w:val="clear" w:color="auto" w:fill="FFFFFF"/>
        </w:rPr>
        <w:t>Morris, S. C. (2007</w:t>
      </w:r>
      <w:r w:rsidRPr="00CE78A7">
        <w:rPr>
          <w:rFonts w:ascii="Arial" w:hAnsi="Arial" w:cs="Arial"/>
          <w:i/>
          <w:color w:val="222222"/>
          <w:sz w:val="20"/>
          <w:szCs w:val="20"/>
          <w:shd w:val="clear" w:color="auto" w:fill="FFFFFF"/>
        </w:rPr>
        <w:t>).</w:t>
      </w:r>
      <w:r w:rsidRPr="00CE78A7">
        <w:rPr>
          <w:rStyle w:val="Emphasis"/>
          <w:rFonts w:ascii="Arial" w:hAnsi="Arial" w:cs="Arial"/>
          <w:i w:val="0"/>
          <w:sz w:val="20"/>
          <w:szCs w:val="20"/>
        </w:rPr>
        <w:t xml:space="preserve"> Review of the book</w:t>
      </w:r>
      <w:r w:rsidRPr="00CE78A7">
        <w:rPr>
          <w:rFonts w:ascii="Arial" w:hAnsi="Arial" w:cs="Arial"/>
          <w:i/>
          <w:sz w:val="20"/>
          <w:szCs w:val="20"/>
        </w:rPr>
        <w:t xml:space="preserve"> </w:t>
      </w:r>
      <w:r w:rsidRPr="00CE78A7">
        <w:rPr>
          <w:rFonts w:ascii="Arial" w:hAnsi="Arial" w:cs="Arial"/>
          <w:sz w:val="20"/>
          <w:szCs w:val="20"/>
        </w:rPr>
        <w:t>Evolution of the insects</w:t>
      </w:r>
      <w:r w:rsidRPr="00CE78A7">
        <w:rPr>
          <w:rFonts w:ascii="Arial" w:hAnsi="Arial" w:cs="Arial"/>
          <w:i/>
          <w:sz w:val="20"/>
          <w:szCs w:val="20"/>
        </w:rPr>
        <w:t xml:space="preserve">, </w:t>
      </w:r>
      <w:r w:rsidRPr="00CE78A7">
        <w:rPr>
          <w:rStyle w:val="Emphasis"/>
          <w:rFonts w:ascii="Arial" w:hAnsi="Arial" w:cs="Arial"/>
          <w:i w:val="0"/>
          <w:sz w:val="20"/>
          <w:szCs w:val="20"/>
        </w:rPr>
        <w:t>by D. Grimaldi &amp; M. S. Engel</w:t>
      </w:r>
      <w:r w:rsidRPr="00CE78A7">
        <w:rPr>
          <w:rFonts w:ascii="Arial" w:hAnsi="Arial" w:cs="Arial"/>
          <w:i/>
          <w:sz w:val="20"/>
          <w:szCs w:val="20"/>
        </w:rPr>
        <w:t xml:space="preserve">. </w:t>
      </w:r>
      <w:r w:rsidRPr="00CE78A7">
        <w:rPr>
          <w:rStyle w:val="Emphasis"/>
          <w:rFonts w:ascii="Arial" w:hAnsi="Arial" w:cs="Arial"/>
          <w:i w:val="0"/>
          <w:sz w:val="20"/>
          <w:szCs w:val="20"/>
        </w:rPr>
        <w:t>Geological Magazine, 144</w:t>
      </w:r>
      <w:r w:rsidRPr="00CE78A7">
        <w:rPr>
          <w:rFonts w:ascii="Arial" w:hAnsi="Arial" w:cs="Arial"/>
          <w:i/>
          <w:sz w:val="20"/>
          <w:szCs w:val="20"/>
        </w:rPr>
        <w:t>(</w:t>
      </w:r>
      <w:r w:rsidRPr="00CE78A7">
        <w:rPr>
          <w:rFonts w:ascii="Arial" w:hAnsi="Arial" w:cs="Arial"/>
          <w:sz w:val="20"/>
          <w:szCs w:val="20"/>
        </w:rPr>
        <w:t xml:space="preserve">6), </w:t>
      </w:r>
      <w:r w:rsidRPr="00CE78A7">
        <w:rPr>
          <w:rFonts w:ascii="Arial" w:hAnsi="Arial" w:cs="Arial"/>
          <w:color w:val="222222"/>
          <w:sz w:val="20"/>
          <w:szCs w:val="20"/>
          <w:shd w:val="clear" w:color="auto" w:fill="FFFFFF"/>
        </w:rPr>
        <w:t>1035-1036</w:t>
      </w:r>
      <w:r w:rsidRPr="00CE78A7">
        <w:rPr>
          <w:rFonts w:ascii="Arial" w:hAnsi="Arial" w:cs="Arial"/>
          <w:sz w:val="20"/>
          <w:szCs w:val="20"/>
        </w:rPr>
        <w:t xml:space="preserve">. </w:t>
      </w:r>
      <w:hyperlink r:id="rId16" w:history="1">
        <w:r w:rsidRPr="00CE78A7">
          <w:rPr>
            <w:rStyle w:val="Hyperlink"/>
            <w:rFonts w:ascii="Arial" w:hAnsi="Arial" w:cs="Arial"/>
            <w:sz w:val="20"/>
            <w:szCs w:val="20"/>
          </w:rPr>
          <w:t>https://doi.org/10.1017/S001675680700372X</w:t>
        </w:r>
      </w:hyperlink>
    </w:p>
    <w:p w14:paraId="527DABF5"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Saranya, M., Krishnamoorthy, S., &amp; Murugesh, K. (2019). Fortification of mulberry leaves with indigenous probiotic bacteria on larval growth and economic traits of silkworm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xml:space="preserve"> L.). </w:t>
      </w:r>
      <w:r w:rsidRPr="00CE78A7">
        <w:rPr>
          <w:rFonts w:ascii="Arial" w:hAnsi="Arial" w:cs="Arial"/>
          <w:iCs/>
          <w:color w:val="222222"/>
          <w:sz w:val="20"/>
          <w:szCs w:val="20"/>
          <w:shd w:val="clear" w:color="auto" w:fill="FFFFFF"/>
        </w:rPr>
        <w:t>Journal of Entomology and Zoology Studies</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7</w:t>
      </w:r>
      <w:r w:rsidRPr="00CE78A7">
        <w:rPr>
          <w:rFonts w:ascii="Arial" w:hAnsi="Arial" w:cs="Arial"/>
          <w:color w:val="222222"/>
          <w:sz w:val="20"/>
          <w:szCs w:val="20"/>
          <w:shd w:val="clear" w:color="auto" w:fill="FFFFFF"/>
        </w:rPr>
        <w:t xml:space="preserve">(4), 780-784. </w:t>
      </w:r>
    </w:p>
    <w:p w14:paraId="3A3AC905"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Fraenkel, G. S. (1959). The raison </w:t>
      </w:r>
      <w:proofErr w:type="spellStart"/>
      <w:r w:rsidRPr="00CE78A7">
        <w:rPr>
          <w:rFonts w:ascii="Arial" w:hAnsi="Arial" w:cs="Arial"/>
          <w:color w:val="222222"/>
          <w:sz w:val="20"/>
          <w:szCs w:val="20"/>
          <w:shd w:val="clear" w:color="auto" w:fill="FFFFFF"/>
        </w:rPr>
        <w:t>d'etre</w:t>
      </w:r>
      <w:proofErr w:type="spellEnd"/>
      <w:r w:rsidRPr="00CE78A7">
        <w:rPr>
          <w:rFonts w:ascii="Arial" w:hAnsi="Arial" w:cs="Arial"/>
          <w:color w:val="222222"/>
          <w:sz w:val="20"/>
          <w:szCs w:val="20"/>
          <w:shd w:val="clear" w:color="auto" w:fill="FFFFFF"/>
        </w:rPr>
        <w:t xml:space="preserve"> of secondary plant substances: these odd chemicals arose as a means of protecting plants from insects and now guide insects to food. </w:t>
      </w:r>
      <w:r w:rsidRPr="00CE78A7">
        <w:rPr>
          <w:rFonts w:ascii="Arial" w:hAnsi="Arial" w:cs="Arial"/>
          <w:iCs/>
          <w:color w:val="222222"/>
          <w:sz w:val="20"/>
          <w:szCs w:val="20"/>
          <w:shd w:val="clear" w:color="auto" w:fill="FFFFFF"/>
        </w:rPr>
        <w:t>Science</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129</w:t>
      </w:r>
      <w:r w:rsidRPr="00CE78A7">
        <w:rPr>
          <w:rFonts w:ascii="Arial" w:hAnsi="Arial" w:cs="Arial"/>
          <w:color w:val="222222"/>
          <w:sz w:val="20"/>
          <w:szCs w:val="20"/>
          <w:shd w:val="clear" w:color="auto" w:fill="FFFFFF"/>
        </w:rPr>
        <w:t xml:space="preserve">(3361), 1466-1470. </w:t>
      </w:r>
      <w:hyperlink r:id="rId17" w:history="1">
        <w:r w:rsidRPr="00CE78A7">
          <w:rPr>
            <w:rStyle w:val="Hyperlink"/>
            <w:rFonts w:ascii="Arial" w:hAnsi="Arial" w:cs="Arial"/>
            <w:sz w:val="20"/>
            <w:szCs w:val="20"/>
            <w:shd w:val="clear" w:color="auto" w:fill="FFFFFF"/>
          </w:rPr>
          <w:t>https://doi.org/10.1126/science.129.3361.1466</w:t>
        </w:r>
      </w:hyperlink>
    </w:p>
    <w:p w14:paraId="7C3E97AF"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Nagaraju, J. (2002). Application of genetic principles for improving silk production. </w:t>
      </w:r>
      <w:r w:rsidRPr="00CE78A7">
        <w:rPr>
          <w:rFonts w:ascii="Arial" w:hAnsi="Arial" w:cs="Arial"/>
          <w:iCs/>
          <w:color w:val="222222"/>
          <w:sz w:val="20"/>
          <w:szCs w:val="20"/>
          <w:shd w:val="clear" w:color="auto" w:fill="FFFFFF"/>
        </w:rPr>
        <w:t>Current science</w:t>
      </w:r>
      <w:r w:rsidRPr="00CE78A7">
        <w:rPr>
          <w:rFonts w:ascii="Arial" w:hAnsi="Arial" w:cs="Arial"/>
          <w:color w:val="222222"/>
          <w:sz w:val="20"/>
          <w:szCs w:val="20"/>
          <w:shd w:val="clear" w:color="auto" w:fill="FFFFFF"/>
        </w:rPr>
        <w:t>, 83 (4), 409-414.</w:t>
      </w:r>
    </w:p>
    <w:p w14:paraId="084E10BC"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proofErr w:type="spellStart"/>
      <w:r w:rsidRPr="00CE78A7">
        <w:rPr>
          <w:rFonts w:ascii="Arial" w:hAnsi="Arial" w:cs="Arial"/>
          <w:color w:val="222222"/>
          <w:sz w:val="20"/>
          <w:szCs w:val="20"/>
          <w:shd w:val="clear" w:color="auto" w:fill="FFFFFF"/>
        </w:rPr>
        <w:t>Fambayun</w:t>
      </w:r>
      <w:proofErr w:type="spellEnd"/>
      <w:r w:rsidRPr="00CE78A7">
        <w:rPr>
          <w:rFonts w:ascii="Arial" w:hAnsi="Arial" w:cs="Arial"/>
          <w:color w:val="222222"/>
          <w:sz w:val="20"/>
          <w:szCs w:val="20"/>
          <w:shd w:val="clear" w:color="auto" w:fill="FFFFFF"/>
        </w:rPr>
        <w:t xml:space="preserve">, R. A., </w:t>
      </w:r>
      <w:proofErr w:type="spellStart"/>
      <w:r w:rsidRPr="00CE78A7">
        <w:rPr>
          <w:rFonts w:ascii="Arial" w:hAnsi="Arial" w:cs="Arial"/>
          <w:color w:val="222222"/>
          <w:sz w:val="20"/>
          <w:szCs w:val="20"/>
          <w:shd w:val="clear" w:color="auto" w:fill="FFFFFF"/>
        </w:rPr>
        <w:t>Agustarini</w:t>
      </w:r>
      <w:proofErr w:type="spellEnd"/>
      <w:r w:rsidRPr="00CE78A7">
        <w:rPr>
          <w:rFonts w:ascii="Arial" w:hAnsi="Arial" w:cs="Arial"/>
          <w:color w:val="222222"/>
          <w:sz w:val="20"/>
          <w:szCs w:val="20"/>
          <w:shd w:val="clear" w:color="auto" w:fill="FFFFFF"/>
        </w:rPr>
        <w:t xml:space="preserve">, R., &amp; </w:t>
      </w:r>
      <w:proofErr w:type="spellStart"/>
      <w:r w:rsidRPr="00CE78A7">
        <w:rPr>
          <w:rFonts w:ascii="Arial" w:hAnsi="Arial" w:cs="Arial"/>
          <w:color w:val="222222"/>
          <w:sz w:val="20"/>
          <w:szCs w:val="20"/>
          <w:shd w:val="clear" w:color="auto" w:fill="FFFFFF"/>
        </w:rPr>
        <w:t>Andadari</w:t>
      </w:r>
      <w:proofErr w:type="spellEnd"/>
      <w:r w:rsidRPr="00CE78A7">
        <w:rPr>
          <w:rFonts w:ascii="Arial" w:hAnsi="Arial" w:cs="Arial"/>
          <w:color w:val="222222"/>
          <w:sz w:val="20"/>
          <w:szCs w:val="20"/>
          <w:shd w:val="clear" w:color="auto" w:fill="FFFFFF"/>
        </w:rPr>
        <w:t>, L. (2022). Cultivation and breeding techniques for increase silk productivity in Indonesia. In </w:t>
      </w:r>
      <w:r w:rsidRPr="00CE78A7">
        <w:rPr>
          <w:rFonts w:ascii="Arial" w:hAnsi="Arial" w:cs="Arial"/>
          <w:iCs/>
          <w:color w:val="222222"/>
          <w:sz w:val="20"/>
          <w:szCs w:val="20"/>
          <w:shd w:val="clear" w:color="auto" w:fill="FFFFFF"/>
        </w:rPr>
        <w:t>IOP Conference Series: Earth and Environmental Science</w:t>
      </w:r>
      <w:r w:rsidRPr="00CE78A7">
        <w:rPr>
          <w:rFonts w:ascii="Arial" w:hAnsi="Arial" w:cs="Arial"/>
          <w:color w:val="222222"/>
          <w:sz w:val="20"/>
          <w:szCs w:val="20"/>
          <w:shd w:val="clear" w:color="auto" w:fill="FFFFFF"/>
        </w:rPr>
        <w:t>, 995 (1), (p. 012055), IOP Publishing.</w:t>
      </w:r>
      <w:r w:rsidRPr="00CE78A7">
        <w:rPr>
          <w:rFonts w:ascii="Arial" w:hAnsi="Arial" w:cs="Arial"/>
          <w:sz w:val="20"/>
          <w:szCs w:val="20"/>
        </w:rPr>
        <w:t xml:space="preserve"> </w:t>
      </w:r>
      <w:hyperlink r:id="rId18" w:history="1">
        <w:r w:rsidRPr="00CE78A7">
          <w:rPr>
            <w:rStyle w:val="Hyperlink"/>
            <w:rFonts w:ascii="Arial" w:hAnsi="Arial" w:cs="Arial"/>
            <w:sz w:val="20"/>
            <w:szCs w:val="20"/>
            <w:shd w:val="clear" w:color="auto" w:fill="FFFFFF"/>
          </w:rPr>
          <w:t>http://dx.doi.org/10.1088/1755-1315/995/1/012055</w:t>
        </w:r>
      </w:hyperlink>
    </w:p>
    <w:p w14:paraId="35E4AF06"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proofErr w:type="spellStart"/>
      <w:r w:rsidRPr="00CE78A7">
        <w:rPr>
          <w:rFonts w:ascii="Arial" w:hAnsi="Arial" w:cs="Arial"/>
          <w:color w:val="222222"/>
          <w:sz w:val="20"/>
          <w:szCs w:val="20"/>
          <w:shd w:val="clear" w:color="auto" w:fill="FFFFFF"/>
        </w:rPr>
        <w:t>Samami</w:t>
      </w:r>
      <w:proofErr w:type="spellEnd"/>
      <w:r w:rsidRPr="00CE78A7">
        <w:rPr>
          <w:rFonts w:ascii="Arial" w:hAnsi="Arial" w:cs="Arial"/>
          <w:color w:val="222222"/>
          <w:sz w:val="20"/>
          <w:szCs w:val="20"/>
          <w:shd w:val="clear" w:color="auto" w:fill="FFFFFF"/>
        </w:rPr>
        <w:t xml:space="preserve">, R., </w:t>
      </w:r>
      <w:proofErr w:type="spellStart"/>
      <w:r w:rsidRPr="00CE78A7">
        <w:rPr>
          <w:rFonts w:ascii="Arial" w:hAnsi="Arial" w:cs="Arial"/>
          <w:color w:val="222222"/>
          <w:sz w:val="20"/>
          <w:szCs w:val="20"/>
          <w:shd w:val="clear" w:color="auto" w:fill="FFFFFF"/>
        </w:rPr>
        <w:t>Seidavi</w:t>
      </w:r>
      <w:proofErr w:type="spellEnd"/>
      <w:r w:rsidRPr="00CE78A7">
        <w:rPr>
          <w:rFonts w:ascii="Arial" w:hAnsi="Arial" w:cs="Arial"/>
          <w:color w:val="222222"/>
          <w:sz w:val="20"/>
          <w:szCs w:val="20"/>
          <w:shd w:val="clear" w:color="auto" w:fill="FFFFFF"/>
        </w:rPr>
        <w:t xml:space="preserve">, A., Eila, N., </w:t>
      </w:r>
      <w:proofErr w:type="spellStart"/>
      <w:r w:rsidRPr="00CE78A7">
        <w:rPr>
          <w:rFonts w:ascii="Arial" w:hAnsi="Arial" w:cs="Arial"/>
          <w:color w:val="222222"/>
          <w:sz w:val="20"/>
          <w:szCs w:val="20"/>
          <w:shd w:val="clear" w:color="auto" w:fill="FFFFFF"/>
        </w:rPr>
        <w:t>Moarefi</w:t>
      </w:r>
      <w:proofErr w:type="spellEnd"/>
      <w:r w:rsidRPr="00CE78A7">
        <w:rPr>
          <w:rFonts w:ascii="Arial" w:hAnsi="Arial" w:cs="Arial"/>
          <w:color w:val="222222"/>
          <w:sz w:val="20"/>
          <w:szCs w:val="20"/>
          <w:shd w:val="clear" w:color="auto" w:fill="FFFFFF"/>
        </w:rPr>
        <w:t>, M., Ziaja, D. J., Lis, J. A., et al. (2019). Production performance and economic traits of silkworms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xml:space="preserve"> L., 1758) fed with mulberry tree leaves (</w:t>
      </w:r>
      <w:r w:rsidRPr="00CE78A7">
        <w:rPr>
          <w:rFonts w:ascii="Arial" w:hAnsi="Arial" w:cs="Arial"/>
          <w:i/>
          <w:color w:val="222222"/>
          <w:sz w:val="20"/>
          <w:szCs w:val="20"/>
          <w:shd w:val="clear" w:color="auto" w:fill="FFFFFF"/>
        </w:rPr>
        <w:t>Morus alba</w:t>
      </w:r>
      <w:r w:rsidRPr="00CE78A7">
        <w:rPr>
          <w:rFonts w:ascii="Arial" w:hAnsi="Arial" w:cs="Arial"/>
          <w:color w:val="222222"/>
          <w:sz w:val="20"/>
          <w:szCs w:val="20"/>
          <w:shd w:val="clear" w:color="auto" w:fill="FFFFFF"/>
        </w:rPr>
        <w:t>, var. Ichinose) significantly differ according to hybrid lines. </w:t>
      </w:r>
      <w:r w:rsidRPr="00CE78A7">
        <w:rPr>
          <w:rFonts w:ascii="Arial" w:hAnsi="Arial" w:cs="Arial"/>
          <w:iCs/>
          <w:color w:val="222222"/>
          <w:sz w:val="20"/>
          <w:szCs w:val="20"/>
          <w:shd w:val="clear" w:color="auto" w:fill="FFFFFF"/>
        </w:rPr>
        <w:t>Livestock Science</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226</w:t>
      </w:r>
      <w:r w:rsidRPr="00CE78A7">
        <w:rPr>
          <w:rFonts w:ascii="Arial" w:hAnsi="Arial" w:cs="Arial"/>
          <w:color w:val="222222"/>
          <w:sz w:val="20"/>
          <w:szCs w:val="20"/>
          <w:shd w:val="clear" w:color="auto" w:fill="FFFFFF"/>
        </w:rPr>
        <w:t xml:space="preserve">, 133-137. </w:t>
      </w:r>
      <w:hyperlink r:id="rId19" w:history="1">
        <w:r w:rsidRPr="00CE78A7">
          <w:rPr>
            <w:rStyle w:val="Hyperlink"/>
            <w:rFonts w:ascii="Arial" w:hAnsi="Arial" w:cs="Arial"/>
            <w:sz w:val="20"/>
            <w:szCs w:val="20"/>
            <w:shd w:val="clear" w:color="auto" w:fill="FFFFFF"/>
          </w:rPr>
          <w:t>https://doi.org/10.1016/j.livsci.2019.06.015</w:t>
        </w:r>
      </w:hyperlink>
    </w:p>
    <w:p w14:paraId="211B51E6"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Miller, J.R., Strickler, K.L. (1984). Finding and Accepting Host Plants. In: Bell, W.J., </w:t>
      </w:r>
      <w:proofErr w:type="spellStart"/>
      <w:r w:rsidRPr="00CE78A7">
        <w:rPr>
          <w:rFonts w:ascii="Arial" w:hAnsi="Arial" w:cs="Arial"/>
          <w:color w:val="222222"/>
          <w:sz w:val="20"/>
          <w:szCs w:val="20"/>
          <w:shd w:val="clear" w:color="auto" w:fill="FFFFFF"/>
        </w:rPr>
        <w:t>Cardé</w:t>
      </w:r>
      <w:proofErr w:type="spellEnd"/>
      <w:r w:rsidRPr="00CE78A7">
        <w:rPr>
          <w:rFonts w:ascii="Arial" w:hAnsi="Arial" w:cs="Arial"/>
          <w:color w:val="222222"/>
          <w:sz w:val="20"/>
          <w:szCs w:val="20"/>
          <w:shd w:val="clear" w:color="auto" w:fill="FFFFFF"/>
        </w:rPr>
        <w:t xml:space="preserve">, R.T. (eds) Chemical Ecology of Insects. Springer, Boston, MA. </w:t>
      </w:r>
      <w:hyperlink r:id="rId20" w:history="1">
        <w:r w:rsidRPr="00CE78A7">
          <w:rPr>
            <w:rStyle w:val="Hyperlink"/>
            <w:rFonts w:ascii="Arial" w:hAnsi="Arial" w:cs="Arial"/>
            <w:sz w:val="20"/>
            <w:szCs w:val="20"/>
            <w:shd w:val="clear" w:color="auto" w:fill="FFFFFF"/>
          </w:rPr>
          <w:t>https://doi.org/10.1007/978-1-4899-3368-3_6</w:t>
        </w:r>
      </w:hyperlink>
    </w:p>
    <w:p w14:paraId="30219A6E"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proofErr w:type="spellStart"/>
      <w:r w:rsidRPr="00CE78A7">
        <w:rPr>
          <w:rFonts w:ascii="Arial" w:hAnsi="Arial" w:cs="Arial"/>
          <w:color w:val="222222"/>
          <w:sz w:val="20"/>
          <w:szCs w:val="20"/>
          <w:shd w:val="clear" w:color="auto" w:fill="FFFFFF"/>
        </w:rPr>
        <w:t>Rausher</w:t>
      </w:r>
      <w:proofErr w:type="spellEnd"/>
      <w:r w:rsidRPr="00CE78A7">
        <w:rPr>
          <w:rFonts w:ascii="Arial" w:hAnsi="Arial" w:cs="Arial"/>
          <w:color w:val="222222"/>
          <w:sz w:val="20"/>
          <w:szCs w:val="20"/>
          <w:shd w:val="clear" w:color="auto" w:fill="FFFFFF"/>
        </w:rPr>
        <w:t>, M. D. (1978). Search image for leaf shape in a butterfly. </w:t>
      </w:r>
      <w:r w:rsidRPr="00CE78A7">
        <w:rPr>
          <w:rFonts w:ascii="Arial" w:hAnsi="Arial" w:cs="Arial"/>
          <w:iCs/>
          <w:color w:val="222222"/>
          <w:sz w:val="20"/>
          <w:szCs w:val="20"/>
          <w:shd w:val="clear" w:color="auto" w:fill="FFFFFF"/>
        </w:rPr>
        <w:t>Science</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200</w:t>
      </w:r>
      <w:r w:rsidRPr="00CE78A7">
        <w:rPr>
          <w:rFonts w:ascii="Arial" w:hAnsi="Arial" w:cs="Arial"/>
          <w:color w:val="222222"/>
          <w:sz w:val="20"/>
          <w:szCs w:val="20"/>
          <w:shd w:val="clear" w:color="auto" w:fill="FFFFFF"/>
        </w:rPr>
        <w:t>(4345), 1071-1073.</w:t>
      </w:r>
      <w:r w:rsidRPr="00CE78A7">
        <w:rPr>
          <w:rFonts w:ascii="Arial" w:hAnsi="Arial" w:cs="Arial"/>
          <w:sz w:val="20"/>
          <w:szCs w:val="20"/>
        </w:rPr>
        <w:t xml:space="preserve"> </w:t>
      </w:r>
      <w:hyperlink r:id="rId21" w:history="1">
        <w:r w:rsidRPr="00CE78A7">
          <w:rPr>
            <w:rStyle w:val="Hyperlink"/>
            <w:rFonts w:ascii="Arial" w:hAnsi="Arial" w:cs="Arial"/>
            <w:sz w:val="20"/>
            <w:szCs w:val="20"/>
            <w:shd w:val="clear" w:color="auto" w:fill="FFFFFF"/>
          </w:rPr>
          <w:t>https://doi.org/10.1126/science.200.4345.1071</w:t>
        </w:r>
      </w:hyperlink>
    </w:p>
    <w:p w14:paraId="142E3871"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Renwick, J. A. A. (2018). Oviposition stimulants and deterrents. In </w:t>
      </w:r>
      <w:r w:rsidRPr="00CE78A7">
        <w:rPr>
          <w:rFonts w:ascii="Arial" w:hAnsi="Arial" w:cs="Arial"/>
          <w:iCs/>
          <w:color w:val="222222"/>
          <w:sz w:val="20"/>
          <w:szCs w:val="20"/>
          <w:shd w:val="clear" w:color="auto" w:fill="FFFFFF"/>
        </w:rPr>
        <w:t>Handbook of Natural Pesticides</w:t>
      </w:r>
      <w:r w:rsidRPr="00CE78A7">
        <w:rPr>
          <w:rFonts w:ascii="Arial" w:hAnsi="Arial" w:cs="Arial"/>
          <w:color w:val="222222"/>
          <w:sz w:val="20"/>
          <w:szCs w:val="20"/>
          <w:shd w:val="clear" w:color="auto" w:fill="FFFFFF"/>
        </w:rPr>
        <w:t> (pp. 151-160). CRC Press.</w:t>
      </w:r>
    </w:p>
    <w:p w14:paraId="4C380FA8"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Carter, M., &amp; Feeny, P. (1999). Host-plant chemistry influences oviposition choice of the spicebush swallowtail butterfly. </w:t>
      </w:r>
      <w:r w:rsidRPr="00CE78A7">
        <w:rPr>
          <w:rFonts w:ascii="Arial" w:hAnsi="Arial" w:cs="Arial"/>
          <w:iCs/>
          <w:color w:val="222222"/>
          <w:sz w:val="20"/>
          <w:szCs w:val="20"/>
          <w:shd w:val="clear" w:color="auto" w:fill="FFFFFF"/>
        </w:rPr>
        <w:t>Journal of chemical ecology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25</w:t>
      </w:r>
      <w:r w:rsidRPr="00CE78A7">
        <w:rPr>
          <w:rFonts w:ascii="Arial" w:hAnsi="Arial" w:cs="Arial"/>
          <w:color w:val="222222"/>
          <w:sz w:val="20"/>
          <w:szCs w:val="20"/>
          <w:shd w:val="clear" w:color="auto" w:fill="FFFFFF"/>
        </w:rPr>
        <w:t xml:space="preserve">(9), 1999-2009. </w:t>
      </w:r>
      <w:hyperlink r:id="rId22" w:history="1">
        <w:r w:rsidRPr="00CE78A7">
          <w:rPr>
            <w:rStyle w:val="Hyperlink"/>
            <w:rFonts w:ascii="Arial" w:hAnsi="Arial" w:cs="Arial"/>
            <w:sz w:val="20"/>
            <w:szCs w:val="20"/>
            <w:shd w:val="clear" w:color="auto" w:fill="FFFFFF"/>
          </w:rPr>
          <w:t>https://doi.org/10.1023/A:1021076404423</w:t>
        </w:r>
      </w:hyperlink>
    </w:p>
    <w:p w14:paraId="1DBD7A3F"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sz w:val="20"/>
          <w:szCs w:val="20"/>
        </w:rPr>
        <w:t>Bernays EA, Chapman RF. (1994).</w:t>
      </w:r>
      <w:r w:rsidRPr="00CE78A7">
        <w:rPr>
          <w:rFonts w:ascii="Arial" w:hAnsi="Arial" w:cs="Arial"/>
          <w:color w:val="222222"/>
          <w:sz w:val="20"/>
          <w:szCs w:val="20"/>
          <w:shd w:val="clear" w:color="auto" w:fill="FFFFFF"/>
        </w:rPr>
        <w:t xml:space="preserve"> Behavior: The Process of Host-Plant Selection. In:</w:t>
      </w:r>
      <w:r w:rsidRPr="00CE78A7">
        <w:rPr>
          <w:rFonts w:ascii="Arial" w:hAnsi="Arial" w:cs="Arial"/>
          <w:sz w:val="20"/>
          <w:szCs w:val="20"/>
        </w:rPr>
        <w:t xml:space="preserve"> Host-Plant Selection by Phytophagous Insects.</w:t>
      </w:r>
      <w:r w:rsidRPr="00CE78A7">
        <w:rPr>
          <w:rFonts w:ascii="Arial" w:hAnsi="Arial" w:cs="Arial"/>
          <w:color w:val="222222"/>
          <w:sz w:val="20"/>
          <w:szCs w:val="20"/>
          <w:shd w:val="clear" w:color="auto" w:fill="FFFFFF"/>
        </w:rPr>
        <w:t xml:space="preserve">  Contemporary Topics in Entomology, 2, (</w:t>
      </w:r>
      <w:r w:rsidRPr="00CE78A7">
        <w:rPr>
          <w:rFonts w:ascii="Arial" w:hAnsi="Arial" w:cs="Arial"/>
          <w:sz w:val="20"/>
          <w:szCs w:val="20"/>
        </w:rPr>
        <w:t>pp. 61-94). Chapman and Hall.</w:t>
      </w:r>
      <w:r w:rsidRPr="00CE78A7">
        <w:rPr>
          <w:rFonts w:ascii="Arial" w:hAnsi="Arial" w:cs="Arial"/>
          <w:color w:val="222222"/>
          <w:sz w:val="20"/>
          <w:szCs w:val="20"/>
          <w:shd w:val="clear" w:color="auto" w:fill="FFFFFF"/>
        </w:rPr>
        <w:t xml:space="preserve"> </w:t>
      </w:r>
      <w:hyperlink r:id="rId23" w:history="1">
        <w:r w:rsidRPr="00CE78A7">
          <w:rPr>
            <w:rStyle w:val="Hyperlink"/>
            <w:rFonts w:ascii="Arial" w:hAnsi="Arial" w:cs="Arial"/>
            <w:sz w:val="20"/>
            <w:szCs w:val="20"/>
            <w:shd w:val="clear" w:color="auto" w:fill="FFFFFF"/>
          </w:rPr>
          <w:t>https://doi.org/10.1007/978-0-585-30455-7_5</w:t>
        </w:r>
      </w:hyperlink>
    </w:p>
    <w:p w14:paraId="0907910A"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Watanabe, T. (1958). Substances in mulberry leaves which attract silkworm larvae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Nature</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182</w:t>
      </w:r>
      <w:r w:rsidRPr="00CE78A7">
        <w:rPr>
          <w:rFonts w:ascii="Arial" w:hAnsi="Arial" w:cs="Arial"/>
          <w:color w:val="222222"/>
          <w:sz w:val="20"/>
          <w:szCs w:val="20"/>
          <w:shd w:val="clear" w:color="auto" w:fill="FFFFFF"/>
        </w:rPr>
        <w:t xml:space="preserve">(4631), 325-326. </w:t>
      </w:r>
      <w:hyperlink r:id="rId24" w:history="1">
        <w:r w:rsidRPr="00CE78A7">
          <w:rPr>
            <w:rStyle w:val="Hyperlink"/>
            <w:rFonts w:ascii="Arial" w:hAnsi="Arial" w:cs="Arial"/>
            <w:sz w:val="20"/>
            <w:szCs w:val="20"/>
            <w:shd w:val="clear" w:color="auto" w:fill="FFFFFF"/>
          </w:rPr>
          <w:t>https://doi.org/10.1038/182325a0</w:t>
        </w:r>
      </w:hyperlink>
    </w:p>
    <w:p w14:paraId="0253F16C"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Thorsteinson, A. J. (1960). Host selection in phytophagous insects. </w:t>
      </w:r>
      <w:r w:rsidRPr="00CE78A7">
        <w:rPr>
          <w:rFonts w:ascii="Arial" w:hAnsi="Arial" w:cs="Arial"/>
          <w:iCs/>
          <w:color w:val="222222"/>
          <w:sz w:val="20"/>
          <w:szCs w:val="20"/>
          <w:shd w:val="clear" w:color="auto" w:fill="FFFFFF"/>
        </w:rPr>
        <w:t>Annual review of entomology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5</w:t>
      </w:r>
      <w:r w:rsidRPr="00CE78A7">
        <w:rPr>
          <w:rFonts w:ascii="Arial" w:hAnsi="Arial" w:cs="Arial"/>
          <w:color w:val="222222"/>
          <w:sz w:val="20"/>
          <w:szCs w:val="20"/>
          <w:shd w:val="clear" w:color="auto" w:fill="FFFFFF"/>
        </w:rPr>
        <w:t>(1), 193-218.</w:t>
      </w:r>
      <w:r w:rsidRPr="00CE78A7">
        <w:rPr>
          <w:rFonts w:ascii="Arial" w:hAnsi="Arial" w:cs="Arial"/>
          <w:sz w:val="20"/>
          <w:szCs w:val="20"/>
        </w:rPr>
        <w:t xml:space="preserve"> </w:t>
      </w:r>
      <w:hyperlink r:id="rId25" w:history="1">
        <w:r w:rsidRPr="00CE78A7">
          <w:rPr>
            <w:rStyle w:val="Hyperlink"/>
            <w:rFonts w:ascii="Arial" w:hAnsi="Arial" w:cs="Arial"/>
            <w:sz w:val="20"/>
            <w:szCs w:val="20"/>
            <w:shd w:val="clear" w:color="auto" w:fill="FFFFFF"/>
          </w:rPr>
          <w:t>https://doi.org/10.1146/annurev.en.05.010160.001205</w:t>
        </w:r>
      </w:hyperlink>
    </w:p>
    <w:p w14:paraId="696165F8"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lastRenderedPageBreak/>
        <w:t>Ishikawa, S., Hirao, T., &amp; Arai, N. (1969). Chemosensory basis of hostplant selection in the silkworm. </w:t>
      </w:r>
      <w:proofErr w:type="spellStart"/>
      <w:r w:rsidRPr="00CE78A7">
        <w:rPr>
          <w:rFonts w:ascii="Arial" w:hAnsi="Arial" w:cs="Arial"/>
          <w:iCs/>
          <w:color w:val="222222"/>
          <w:sz w:val="20"/>
          <w:szCs w:val="20"/>
          <w:shd w:val="clear" w:color="auto" w:fill="FFFFFF"/>
        </w:rPr>
        <w:t>Entomologia</w:t>
      </w:r>
      <w:proofErr w:type="spellEnd"/>
      <w:r w:rsidRPr="00CE78A7">
        <w:rPr>
          <w:rFonts w:ascii="Arial" w:hAnsi="Arial" w:cs="Arial"/>
          <w:iCs/>
          <w:color w:val="222222"/>
          <w:sz w:val="20"/>
          <w:szCs w:val="20"/>
          <w:shd w:val="clear" w:color="auto" w:fill="FFFFFF"/>
        </w:rPr>
        <w:t xml:space="preserve"> </w:t>
      </w:r>
      <w:proofErr w:type="spellStart"/>
      <w:r w:rsidRPr="00CE78A7">
        <w:rPr>
          <w:rFonts w:ascii="Arial" w:hAnsi="Arial" w:cs="Arial"/>
          <w:iCs/>
          <w:color w:val="222222"/>
          <w:sz w:val="20"/>
          <w:szCs w:val="20"/>
          <w:shd w:val="clear" w:color="auto" w:fill="FFFFFF"/>
        </w:rPr>
        <w:t>Experimentalis</w:t>
      </w:r>
      <w:proofErr w:type="spellEnd"/>
      <w:r w:rsidRPr="00CE78A7">
        <w:rPr>
          <w:rFonts w:ascii="Arial" w:hAnsi="Arial" w:cs="Arial"/>
          <w:iCs/>
          <w:color w:val="222222"/>
          <w:sz w:val="20"/>
          <w:szCs w:val="20"/>
          <w:shd w:val="clear" w:color="auto" w:fill="FFFFFF"/>
        </w:rPr>
        <w:t xml:space="preserve"> et </w:t>
      </w:r>
      <w:proofErr w:type="spellStart"/>
      <w:r w:rsidRPr="00CE78A7">
        <w:rPr>
          <w:rFonts w:ascii="Arial" w:hAnsi="Arial" w:cs="Arial"/>
          <w:iCs/>
          <w:color w:val="222222"/>
          <w:sz w:val="20"/>
          <w:szCs w:val="20"/>
          <w:shd w:val="clear" w:color="auto" w:fill="FFFFFF"/>
        </w:rPr>
        <w:t>Applicata</w:t>
      </w:r>
      <w:proofErr w:type="spellEnd"/>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12</w:t>
      </w:r>
      <w:r w:rsidRPr="00CE78A7">
        <w:rPr>
          <w:rFonts w:ascii="Arial" w:hAnsi="Arial" w:cs="Arial"/>
          <w:color w:val="222222"/>
          <w:sz w:val="20"/>
          <w:szCs w:val="20"/>
          <w:shd w:val="clear" w:color="auto" w:fill="FFFFFF"/>
        </w:rPr>
        <w:t xml:space="preserve">(5), 544-554. </w:t>
      </w:r>
      <w:hyperlink r:id="rId26" w:history="1">
        <w:r w:rsidRPr="00CE78A7">
          <w:rPr>
            <w:rStyle w:val="Hyperlink"/>
            <w:rFonts w:ascii="Arial" w:hAnsi="Arial" w:cs="Arial"/>
            <w:sz w:val="20"/>
            <w:szCs w:val="20"/>
            <w:shd w:val="clear" w:color="auto" w:fill="FFFFFF"/>
          </w:rPr>
          <w:t>https://doi.org/10.1111/j.1570-7458.1969.tb02552.x</w:t>
        </w:r>
      </w:hyperlink>
    </w:p>
    <w:p w14:paraId="5891BB9A"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Haynes, K. F., Zhao, J. Z., &amp; Latif, A. (1991). Identification of floral compounds from </w:t>
      </w:r>
      <w:r w:rsidRPr="00CE78A7">
        <w:rPr>
          <w:rFonts w:ascii="Arial" w:hAnsi="Arial" w:cs="Arial"/>
          <w:i/>
          <w:color w:val="222222"/>
          <w:sz w:val="20"/>
          <w:szCs w:val="20"/>
          <w:shd w:val="clear" w:color="auto" w:fill="FFFFFF"/>
        </w:rPr>
        <w:t>Abelia grandiflora</w:t>
      </w:r>
      <w:r w:rsidRPr="00CE78A7">
        <w:rPr>
          <w:rFonts w:ascii="Arial" w:hAnsi="Arial" w:cs="Arial"/>
          <w:color w:val="222222"/>
          <w:sz w:val="20"/>
          <w:szCs w:val="20"/>
          <w:shd w:val="clear" w:color="auto" w:fill="FFFFFF"/>
        </w:rPr>
        <w:t xml:space="preserve"> that stimulate upwind flight in cabbage looper moths. </w:t>
      </w:r>
      <w:r w:rsidRPr="00CE78A7">
        <w:rPr>
          <w:rFonts w:ascii="Arial" w:hAnsi="Arial" w:cs="Arial"/>
          <w:iCs/>
          <w:color w:val="222222"/>
          <w:sz w:val="20"/>
          <w:szCs w:val="20"/>
          <w:shd w:val="clear" w:color="auto" w:fill="FFFFFF"/>
        </w:rPr>
        <w:t>Journal of Chemical Ecology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17</w:t>
      </w:r>
      <w:r w:rsidRPr="00CE78A7">
        <w:rPr>
          <w:rFonts w:ascii="Arial" w:hAnsi="Arial" w:cs="Arial"/>
          <w:color w:val="222222"/>
          <w:sz w:val="20"/>
          <w:szCs w:val="20"/>
          <w:shd w:val="clear" w:color="auto" w:fill="FFFFFF"/>
        </w:rPr>
        <w:t xml:space="preserve">(3), 637-646. </w:t>
      </w:r>
      <w:hyperlink r:id="rId27" w:history="1">
        <w:r w:rsidRPr="00CE78A7">
          <w:rPr>
            <w:rStyle w:val="Hyperlink"/>
            <w:rFonts w:ascii="Arial" w:hAnsi="Arial" w:cs="Arial"/>
            <w:sz w:val="20"/>
            <w:szCs w:val="20"/>
            <w:shd w:val="clear" w:color="auto" w:fill="FFFFFF"/>
          </w:rPr>
          <w:t>https://doi.org/10.1007/BF00982132</w:t>
        </w:r>
      </w:hyperlink>
    </w:p>
    <w:p w14:paraId="69D6F1FD"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Lopez Jr, J. D., Shaver, T. N., </w:t>
      </w:r>
      <w:proofErr w:type="spellStart"/>
      <w:r w:rsidRPr="00CE78A7">
        <w:rPr>
          <w:rFonts w:ascii="Arial" w:hAnsi="Arial" w:cs="Arial"/>
          <w:color w:val="222222"/>
          <w:sz w:val="20"/>
          <w:szCs w:val="20"/>
          <w:shd w:val="clear" w:color="auto" w:fill="FFFFFF"/>
        </w:rPr>
        <w:t>Beerwinkle</w:t>
      </w:r>
      <w:proofErr w:type="spellEnd"/>
      <w:r w:rsidRPr="00CE78A7">
        <w:rPr>
          <w:rFonts w:ascii="Arial" w:hAnsi="Arial" w:cs="Arial"/>
          <w:color w:val="222222"/>
          <w:sz w:val="20"/>
          <w:szCs w:val="20"/>
          <w:shd w:val="clear" w:color="auto" w:fill="FFFFFF"/>
        </w:rPr>
        <w:t>, K. R., &amp; Lingren, P. D. (2000). </w:t>
      </w:r>
      <w:r w:rsidRPr="00CE78A7">
        <w:rPr>
          <w:rFonts w:ascii="Arial" w:hAnsi="Arial" w:cs="Arial"/>
          <w:iCs/>
          <w:color w:val="222222"/>
          <w:sz w:val="20"/>
          <w:szCs w:val="20"/>
          <w:shd w:val="clear" w:color="auto" w:fill="FFFFFF"/>
        </w:rPr>
        <w:t>U.S. Patent No. 6,074,634</w:t>
      </w:r>
      <w:r w:rsidRPr="00CE78A7">
        <w:rPr>
          <w:rFonts w:ascii="Arial" w:hAnsi="Arial" w:cs="Arial"/>
          <w:color w:val="222222"/>
          <w:sz w:val="20"/>
          <w:szCs w:val="20"/>
          <w:shd w:val="clear" w:color="auto" w:fill="FFFFFF"/>
        </w:rPr>
        <w:t>. Washington, DC: U.S. Patent and Trademark Office.</w:t>
      </w:r>
    </w:p>
    <w:p w14:paraId="760E5817" w14:textId="77777777" w:rsidR="00CE78A7" w:rsidRPr="00CE78A7" w:rsidRDefault="00CE78A7" w:rsidP="00CE78A7">
      <w:pPr>
        <w:pStyle w:val="ListParagraph"/>
        <w:numPr>
          <w:ilvl w:val="0"/>
          <w:numId w:val="5"/>
        </w:numPr>
        <w:jc w:val="both"/>
        <w:rPr>
          <w:rFonts w:ascii="Arial" w:hAnsi="Arial" w:cs="Arial"/>
          <w:sz w:val="20"/>
          <w:szCs w:val="20"/>
        </w:rPr>
      </w:pPr>
      <w:r w:rsidRPr="00CE78A7">
        <w:rPr>
          <w:rStyle w:val="Strong"/>
          <w:rFonts w:ascii="Arial" w:hAnsi="Arial" w:cs="Arial"/>
          <w:b w:val="0"/>
          <w:sz w:val="20"/>
          <w:szCs w:val="20"/>
        </w:rPr>
        <w:t>Legay, J. M</w:t>
      </w:r>
      <w:r w:rsidRPr="00CE78A7">
        <w:rPr>
          <w:rStyle w:val="Strong"/>
          <w:rFonts w:ascii="Arial" w:hAnsi="Arial" w:cs="Arial"/>
          <w:sz w:val="20"/>
          <w:szCs w:val="20"/>
        </w:rPr>
        <w:t>.</w:t>
      </w:r>
      <w:r w:rsidRPr="00CE78A7">
        <w:rPr>
          <w:rFonts w:ascii="Arial" w:hAnsi="Arial" w:cs="Arial"/>
          <w:sz w:val="20"/>
          <w:szCs w:val="20"/>
        </w:rPr>
        <w:t xml:space="preserve"> (1958). Recent advances in silkworm nutrition. </w:t>
      </w:r>
      <w:r w:rsidRPr="00CE78A7">
        <w:rPr>
          <w:rStyle w:val="Emphasis"/>
          <w:rFonts w:ascii="Arial" w:hAnsi="Arial" w:cs="Arial"/>
          <w:i w:val="0"/>
          <w:sz w:val="20"/>
          <w:szCs w:val="20"/>
        </w:rPr>
        <w:t>Annual Review of Entomology, 3</w:t>
      </w:r>
      <w:r w:rsidRPr="00CE78A7">
        <w:rPr>
          <w:rFonts w:ascii="Arial" w:hAnsi="Arial" w:cs="Arial"/>
          <w:i/>
          <w:sz w:val="20"/>
          <w:szCs w:val="20"/>
        </w:rPr>
        <w:t>,</w:t>
      </w:r>
      <w:r w:rsidRPr="00CE78A7">
        <w:rPr>
          <w:rFonts w:ascii="Arial" w:hAnsi="Arial" w:cs="Arial"/>
          <w:sz w:val="20"/>
          <w:szCs w:val="20"/>
        </w:rPr>
        <w:t xml:space="preserve"> 75–86. </w:t>
      </w:r>
      <w:hyperlink r:id="rId28" w:history="1">
        <w:r w:rsidRPr="00CE78A7">
          <w:rPr>
            <w:rStyle w:val="Hyperlink"/>
            <w:rFonts w:ascii="Arial" w:hAnsi="Arial" w:cs="Arial"/>
            <w:sz w:val="20"/>
            <w:szCs w:val="20"/>
          </w:rPr>
          <w:t>https://doi.org/10.1146/annurev.en.03.010158.000451</w:t>
        </w:r>
      </w:hyperlink>
    </w:p>
    <w:p w14:paraId="1F565AC0"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Ito, T., &amp; Tanaka, M. (1959). Per </w:t>
      </w:r>
      <w:proofErr w:type="spellStart"/>
      <w:r w:rsidRPr="00CE78A7">
        <w:rPr>
          <w:rFonts w:ascii="Arial" w:hAnsi="Arial" w:cs="Arial"/>
          <w:color w:val="222222"/>
          <w:sz w:val="20"/>
          <w:szCs w:val="20"/>
          <w:shd w:val="clear" w:color="auto" w:fill="FFFFFF"/>
        </w:rPr>
        <w:t>os</w:t>
      </w:r>
      <w:proofErr w:type="spellEnd"/>
      <w:r w:rsidRPr="00CE78A7">
        <w:rPr>
          <w:rFonts w:ascii="Arial" w:hAnsi="Arial" w:cs="Arial"/>
          <w:color w:val="222222"/>
          <w:sz w:val="20"/>
          <w:szCs w:val="20"/>
          <w:shd w:val="clear" w:color="auto" w:fill="FFFFFF"/>
        </w:rPr>
        <w:t xml:space="preserve"> administration of the nutrients to the silkworm larvae, I. Effect of the administration of glucose solution. </w:t>
      </w:r>
      <w:proofErr w:type="spellStart"/>
      <w:r w:rsidRPr="00CE78A7">
        <w:rPr>
          <w:rFonts w:ascii="Arial" w:hAnsi="Arial" w:cs="Arial"/>
          <w:iCs/>
          <w:color w:val="222222"/>
          <w:sz w:val="20"/>
          <w:szCs w:val="20"/>
          <w:shd w:val="clear" w:color="auto" w:fill="FFFFFF"/>
        </w:rPr>
        <w:t>Sanshi</w:t>
      </w:r>
      <w:proofErr w:type="spellEnd"/>
      <w:r w:rsidRPr="00CE78A7">
        <w:rPr>
          <w:rFonts w:ascii="Arial" w:hAnsi="Arial" w:cs="Arial"/>
          <w:iCs/>
          <w:color w:val="222222"/>
          <w:sz w:val="20"/>
          <w:szCs w:val="20"/>
          <w:shd w:val="clear" w:color="auto" w:fill="FFFFFF"/>
        </w:rPr>
        <w:t xml:space="preserve"> </w:t>
      </w:r>
      <w:proofErr w:type="spellStart"/>
      <w:r w:rsidRPr="00CE78A7">
        <w:rPr>
          <w:rFonts w:ascii="Arial" w:hAnsi="Arial" w:cs="Arial"/>
          <w:iCs/>
          <w:color w:val="222222"/>
          <w:sz w:val="20"/>
          <w:szCs w:val="20"/>
          <w:shd w:val="clear" w:color="auto" w:fill="FFFFFF"/>
        </w:rPr>
        <w:t>Shikenjo</w:t>
      </w:r>
      <w:proofErr w:type="spellEnd"/>
      <w:r w:rsidRPr="00CE78A7">
        <w:rPr>
          <w:rFonts w:ascii="Arial" w:hAnsi="Arial" w:cs="Arial"/>
          <w:iCs/>
          <w:color w:val="222222"/>
          <w:sz w:val="20"/>
          <w:szCs w:val="20"/>
          <w:shd w:val="clear" w:color="auto" w:fill="FFFFFF"/>
        </w:rPr>
        <w:t xml:space="preserve"> </w:t>
      </w:r>
      <w:proofErr w:type="spellStart"/>
      <w:r w:rsidRPr="00CE78A7">
        <w:rPr>
          <w:rFonts w:ascii="Arial" w:hAnsi="Arial" w:cs="Arial"/>
          <w:iCs/>
          <w:color w:val="222222"/>
          <w:sz w:val="20"/>
          <w:szCs w:val="20"/>
          <w:shd w:val="clear" w:color="auto" w:fill="FFFFFF"/>
        </w:rPr>
        <w:t>Hokoku</w:t>
      </w:r>
      <w:proofErr w:type="spellEnd"/>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15</w:t>
      </w:r>
      <w:r w:rsidRPr="00CE78A7">
        <w:rPr>
          <w:rFonts w:ascii="Arial" w:hAnsi="Arial" w:cs="Arial"/>
          <w:color w:val="222222"/>
          <w:sz w:val="20"/>
          <w:szCs w:val="20"/>
          <w:shd w:val="clear" w:color="auto" w:fill="FFFFFF"/>
        </w:rPr>
        <w:t>, 353-64.</w:t>
      </w:r>
    </w:p>
    <w:p w14:paraId="4EE43CE9"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Nayar, J. K., &amp; Fraenkel, G. (1962). The chemical basis of hostplant selection in the silkworm</w:t>
      </w:r>
      <w:r w:rsidRPr="00CE78A7">
        <w:rPr>
          <w:rFonts w:ascii="Arial" w:hAnsi="Arial" w:cs="Arial"/>
          <w:i/>
          <w:color w:val="222222"/>
          <w:sz w:val="20"/>
          <w:szCs w:val="20"/>
          <w:shd w:val="clear" w:color="auto" w:fill="FFFFFF"/>
        </w:rPr>
        <w:t>, Bombyx mori</w:t>
      </w:r>
      <w:r w:rsidRPr="00CE78A7">
        <w:rPr>
          <w:rFonts w:ascii="Arial" w:hAnsi="Arial" w:cs="Arial"/>
          <w:color w:val="222222"/>
          <w:sz w:val="20"/>
          <w:szCs w:val="20"/>
          <w:shd w:val="clear" w:color="auto" w:fill="FFFFFF"/>
        </w:rPr>
        <w:t xml:space="preserve"> (L.). </w:t>
      </w:r>
      <w:r w:rsidRPr="00CE78A7">
        <w:rPr>
          <w:rFonts w:ascii="Arial" w:hAnsi="Arial" w:cs="Arial"/>
          <w:iCs/>
          <w:color w:val="222222"/>
          <w:sz w:val="20"/>
          <w:szCs w:val="20"/>
          <w:shd w:val="clear" w:color="auto" w:fill="FFFFFF"/>
        </w:rPr>
        <w:t>Journal of Insect Physiology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8</w:t>
      </w:r>
      <w:r w:rsidRPr="00CE78A7">
        <w:rPr>
          <w:rFonts w:ascii="Arial" w:hAnsi="Arial" w:cs="Arial"/>
          <w:color w:val="222222"/>
          <w:sz w:val="20"/>
          <w:szCs w:val="20"/>
          <w:shd w:val="clear" w:color="auto" w:fill="FFFFFF"/>
        </w:rPr>
        <w:t xml:space="preserve">(5), 505-525. </w:t>
      </w:r>
      <w:hyperlink r:id="rId29" w:history="1">
        <w:r w:rsidRPr="00CE78A7">
          <w:rPr>
            <w:rStyle w:val="Hyperlink"/>
            <w:rFonts w:ascii="Arial" w:hAnsi="Arial" w:cs="Arial"/>
            <w:sz w:val="20"/>
            <w:szCs w:val="20"/>
            <w:shd w:val="clear" w:color="auto" w:fill="FFFFFF"/>
          </w:rPr>
          <w:t>https://doi.org/10.1016/0022-1910(62)90062-8</w:t>
        </w:r>
      </w:hyperlink>
    </w:p>
    <w:p w14:paraId="25018339"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Neog, K., Unni, B., &amp; Ahmed, G. (2011). Studies on the influence of host plants and effect of chemical stimulants on the feeding behavior in the </w:t>
      </w:r>
      <w:proofErr w:type="spellStart"/>
      <w:r w:rsidRPr="00CE78A7">
        <w:rPr>
          <w:rFonts w:ascii="Arial" w:hAnsi="Arial" w:cs="Arial"/>
          <w:color w:val="222222"/>
          <w:sz w:val="20"/>
          <w:szCs w:val="20"/>
          <w:shd w:val="clear" w:color="auto" w:fill="FFFFFF"/>
        </w:rPr>
        <w:t>muga</w:t>
      </w:r>
      <w:proofErr w:type="spellEnd"/>
      <w:r w:rsidRPr="00CE78A7">
        <w:rPr>
          <w:rFonts w:ascii="Arial" w:hAnsi="Arial" w:cs="Arial"/>
          <w:color w:val="222222"/>
          <w:sz w:val="20"/>
          <w:szCs w:val="20"/>
          <w:shd w:val="clear" w:color="auto" w:fill="FFFFFF"/>
        </w:rPr>
        <w:t xml:space="preserve"> silkworm, </w:t>
      </w:r>
      <w:proofErr w:type="spellStart"/>
      <w:r w:rsidRPr="00CE78A7">
        <w:rPr>
          <w:rFonts w:ascii="Arial" w:hAnsi="Arial" w:cs="Arial"/>
          <w:i/>
          <w:color w:val="222222"/>
          <w:sz w:val="20"/>
          <w:szCs w:val="20"/>
          <w:shd w:val="clear" w:color="auto" w:fill="FFFFFF"/>
        </w:rPr>
        <w:t>Antheraea</w:t>
      </w:r>
      <w:proofErr w:type="spellEnd"/>
      <w:r w:rsidRPr="00CE78A7">
        <w:rPr>
          <w:rFonts w:ascii="Arial" w:hAnsi="Arial" w:cs="Arial"/>
          <w:i/>
          <w:color w:val="222222"/>
          <w:sz w:val="20"/>
          <w:szCs w:val="20"/>
          <w:shd w:val="clear" w:color="auto" w:fill="FFFFFF"/>
        </w:rPr>
        <w:t xml:space="preserve"> </w:t>
      </w:r>
      <w:proofErr w:type="spellStart"/>
      <w:r w:rsidRPr="00CE78A7">
        <w:rPr>
          <w:rFonts w:ascii="Arial" w:hAnsi="Arial" w:cs="Arial"/>
          <w:i/>
          <w:color w:val="222222"/>
          <w:sz w:val="20"/>
          <w:szCs w:val="20"/>
          <w:shd w:val="clear" w:color="auto" w:fill="FFFFFF"/>
        </w:rPr>
        <w:t>assamensis</w:t>
      </w:r>
      <w:proofErr w:type="spellEnd"/>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Journal of Insect Science</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11</w:t>
      </w:r>
      <w:r w:rsidRPr="00CE78A7">
        <w:rPr>
          <w:rFonts w:ascii="Arial" w:hAnsi="Arial" w:cs="Arial"/>
          <w:color w:val="222222"/>
          <w:sz w:val="20"/>
          <w:szCs w:val="20"/>
          <w:shd w:val="clear" w:color="auto" w:fill="FFFFFF"/>
        </w:rPr>
        <w:t xml:space="preserve">(1), 133. </w:t>
      </w:r>
      <w:hyperlink r:id="rId30" w:history="1">
        <w:r w:rsidRPr="00CE78A7">
          <w:rPr>
            <w:rStyle w:val="Hyperlink"/>
            <w:rFonts w:ascii="Arial" w:hAnsi="Arial" w:cs="Arial"/>
            <w:sz w:val="20"/>
            <w:szCs w:val="20"/>
            <w:shd w:val="clear" w:color="auto" w:fill="FFFFFF"/>
          </w:rPr>
          <w:t>https://doi.org/10.1673/031.011.13301</w:t>
        </w:r>
      </w:hyperlink>
    </w:p>
    <w:p w14:paraId="4613ED9C"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Gotthard, K., Margraf, N., Rasmann, S., &amp; Rahier, M. (2005). The evolution of larval foraging </w:t>
      </w:r>
      <w:proofErr w:type="spellStart"/>
      <w:r w:rsidRPr="00CE78A7">
        <w:rPr>
          <w:rFonts w:ascii="Arial" w:hAnsi="Arial" w:cs="Arial"/>
          <w:color w:val="222222"/>
          <w:sz w:val="20"/>
          <w:szCs w:val="20"/>
          <w:shd w:val="clear" w:color="auto" w:fill="FFFFFF"/>
        </w:rPr>
        <w:t>behaviour</w:t>
      </w:r>
      <w:proofErr w:type="spellEnd"/>
      <w:r w:rsidRPr="00CE78A7">
        <w:rPr>
          <w:rFonts w:ascii="Arial" w:hAnsi="Arial" w:cs="Arial"/>
          <w:color w:val="222222"/>
          <w:sz w:val="20"/>
          <w:szCs w:val="20"/>
          <w:shd w:val="clear" w:color="auto" w:fill="FFFFFF"/>
        </w:rPr>
        <w:t xml:space="preserve"> in response to host plant variation in a leaf beetle. </w:t>
      </w:r>
      <w:r w:rsidRPr="00CE78A7">
        <w:rPr>
          <w:rFonts w:ascii="Arial" w:hAnsi="Arial" w:cs="Arial"/>
          <w:iCs/>
          <w:color w:val="222222"/>
          <w:sz w:val="20"/>
          <w:szCs w:val="20"/>
          <w:shd w:val="clear" w:color="auto" w:fill="FFFFFF"/>
        </w:rPr>
        <w:t>Oikos</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109</w:t>
      </w:r>
      <w:r w:rsidRPr="00CE78A7">
        <w:rPr>
          <w:rFonts w:ascii="Arial" w:hAnsi="Arial" w:cs="Arial"/>
          <w:color w:val="222222"/>
          <w:sz w:val="20"/>
          <w:szCs w:val="20"/>
          <w:shd w:val="clear" w:color="auto" w:fill="FFFFFF"/>
        </w:rPr>
        <w:t xml:space="preserve">(3), 503-512. </w:t>
      </w:r>
      <w:hyperlink r:id="rId31" w:history="1">
        <w:r w:rsidRPr="00CE78A7">
          <w:rPr>
            <w:rStyle w:val="Hyperlink"/>
            <w:rFonts w:ascii="Arial" w:hAnsi="Arial" w:cs="Arial"/>
            <w:sz w:val="20"/>
            <w:szCs w:val="20"/>
            <w:shd w:val="clear" w:color="auto" w:fill="FFFFFF"/>
          </w:rPr>
          <w:t>https://doi.org/10.1111/j.0030-1299.2005.14074.x</w:t>
        </w:r>
      </w:hyperlink>
    </w:p>
    <w:p w14:paraId="058F5397"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Bossart, J. L., &amp; Scriber, J. M. (1999). Preference variation in the polyphagous tiger swallowtail butterfly (Lepidoptera: </w:t>
      </w:r>
      <w:proofErr w:type="spellStart"/>
      <w:r w:rsidRPr="00CE78A7">
        <w:rPr>
          <w:rFonts w:ascii="Arial" w:hAnsi="Arial" w:cs="Arial"/>
          <w:color w:val="222222"/>
          <w:sz w:val="20"/>
          <w:szCs w:val="20"/>
          <w:shd w:val="clear" w:color="auto" w:fill="FFFFFF"/>
        </w:rPr>
        <w:t>Papilionidae</w:t>
      </w:r>
      <w:proofErr w:type="spellEnd"/>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Environmental Entomology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28</w:t>
      </w:r>
      <w:r w:rsidRPr="00CE78A7">
        <w:rPr>
          <w:rFonts w:ascii="Arial" w:hAnsi="Arial" w:cs="Arial"/>
          <w:color w:val="222222"/>
          <w:sz w:val="20"/>
          <w:szCs w:val="20"/>
          <w:shd w:val="clear" w:color="auto" w:fill="FFFFFF"/>
        </w:rPr>
        <w:t>(4), 628-637.</w:t>
      </w:r>
      <w:r w:rsidRPr="00CE78A7">
        <w:rPr>
          <w:rFonts w:ascii="Arial" w:hAnsi="Arial" w:cs="Arial"/>
          <w:sz w:val="20"/>
          <w:szCs w:val="20"/>
        </w:rPr>
        <w:t xml:space="preserve"> </w:t>
      </w:r>
      <w:hyperlink r:id="rId32" w:history="1">
        <w:r w:rsidRPr="00CE78A7">
          <w:rPr>
            <w:rStyle w:val="Hyperlink"/>
            <w:rFonts w:ascii="Arial" w:hAnsi="Arial" w:cs="Arial"/>
            <w:sz w:val="20"/>
            <w:szCs w:val="20"/>
            <w:shd w:val="clear" w:color="auto" w:fill="FFFFFF"/>
          </w:rPr>
          <w:t>https://doi.org/10.1093/ee/28.4.628</w:t>
        </w:r>
      </w:hyperlink>
    </w:p>
    <w:p w14:paraId="66867A21"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proofErr w:type="spellStart"/>
      <w:r w:rsidRPr="00CE78A7">
        <w:rPr>
          <w:rFonts w:ascii="Arial" w:hAnsi="Arial" w:cs="Arial"/>
          <w:color w:val="222222"/>
          <w:sz w:val="20"/>
          <w:szCs w:val="20"/>
          <w:shd w:val="clear" w:color="auto" w:fill="FFFFFF"/>
        </w:rPr>
        <w:t>Sokame</w:t>
      </w:r>
      <w:proofErr w:type="spellEnd"/>
      <w:r w:rsidRPr="00CE78A7">
        <w:rPr>
          <w:rFonts w:ascii="Arial" w:hAnsi="Arial" w:cs="Arial"/>
          <w:color w:val="222222"/>
          <w:sz w:val="20"/>
          <w:szCs w:val="20"/>
          <w:shd w:val="clear" w:color="auto" w:fill="FFFFFF"/>
        </w:rPr>
        <w:t xml:space="preserve">, B. M., Subramanian, S., </w:t>
      </w:r>
      <w:proofErr w:type="spellStart"/>
      <w:r w:rsidRPr="00CE78A7">
        <w:rPr>
          <w:rFonts w:ascii="Arial" w:hAnsi="Arial" w:cs="Arial"/>
          <w:color w:val="222222"/>
          <w:sz w:val="20"/>
          <w:szCs w:val="20"/>
          <w:shd w:val="clear" w:color="auto" w:fill="FFFFFF"/>
        </w:rPr>
        <w:t>Kilalo</w:t>
      </w:r>
      <w:proofErr w:type="spellEnd"/>
      <w:r w:rsidRPr="00CE78A7">
        <w:rPr>
          <w:rFonts w:ascii="Arial" w:hAnsi="Arial" w:cs="Arial"/>
          <w:color w:val="222222"/>
          <w:sz w:val="20"/>
          <w:szCs w:val="20"/>
          <w:shd w:val="clear" w:color="auto" w:fill="FFFFFF"/>
        </w:rPr>
        <w:t xml:space="preserve">, D. C., Juma, G., &amp; Calatayud, P. A. (2020). Larval dispersal of the invasive fall armyworm, </w:t>
      </w:r>
      <w:proofErr w:type="spellStart"/>
      <w:r w:rsidRPr="00CE78A7">
        <w:rPr>
          <w:rFonts w:ascii="Arial" w:hAnsi="Arial" w:cs="Arial"/>
          <w:color w:val="222222"/>
          <w:sz w:val="20"/>
          <w:szCs w:val="20"/>
          <w:shd w:val="clear" w:color="auto" w:fill="FFFFFF"/>
        </w:rPr>
        <w:t>Spodoptera</w:t>
      </w:r>
      <w:proofErr w:type="spellEnd"/>
      <w:r w:rsidRPr="00CE78A7">
        <w:rPr>
          <w:rFonts w:ascii="Arial" w:hAnsi="Arial" w:cs="Arial"/>
          <w:color w:val="222222"/>
          <w:sz w:val="20"/>
          <w:szCs w:val="20"/>
          <w:shd w:val="clear" w:color="auto" w:fill="FFFFFF"/>
        </w:rPr>
        <w:t xml:space="preserve"> </w:t>
      </w:r>
      <w:proofErr w:type="spellStart"/>
      <w:r w:rsidRPr="00CE78A7">
        <w:rPr>
          <w:rFonts w:ascii="Arial" w:hAnsi="Arial" w:cs="Arial"/>
          <w:color w:val="222222"/>
          <w:sz w:val="20"/>
          <w:szCs w:val="20"/>
          <w:shd w:val="clear" w:color="auto" w:fill="FFFFFF"/>
        </w:rPr>
        <w:t>frugiperda</w:t>
      </w:r>
      <w:proofErr w:type="spellEnd"/>
      <w:r w:rsidRPr="00CE78A7">
        <w:rPr>
          <w:rFonts w:ascii="Arial" w:hAnsi="Arial" w:cs="Arial"/>
          <w:color w:val="222222"/>
          <w:sz w:val="20"/>
          <w:szCs w:val="20"/>
          <w:shd w:val="clear" w:color="auto" w:fill="FFFFFF"/>
        </w:rPr>
        <w:t xml:space="preserve">, the exotic stemborer </w:t>
      </w:r>
      <w:proofErr w:type="spellStart"/>
      <w:r w:rsidRPr="00CE78A7">
        <w:rPr>
          <w:rFonts w:ascii="Arial" w:hAnsi="Arial" w:cs="Arial"/>
          <w:color w:val="222222"/>
          <w:sz w:val="20"/>
          <w:szCs w:val="20"/>
          <w:shd w:val="clear" w:color="auto" w:fill="FFFFFF"/>
        </w:rPr>
        <w:t>Chilo</w:t>
      </w:r>
      <w:proofErr w:type="spellEnd"/>
      <w:r w:rsidRPr="00CE78A7">
        <w:rPr>
          <w:rFonts w:ascii="Arial" w:hAnsi="Arial" w:cs="Arial"/>
          <w:color w:val="222222"/>
          <w:sz w:val="20"/>
          <w:szCs w:val="20"/>
          <w:shd w:val="clear" w:color="auto" w:fill="FFFFFF"/>
        </w:rPr>
        <w:t xml:space="preserve"> </w:t>
      </w:r>
      <w:proofErr w:type="spellStart"/>
      <w:r w:rsidRPr="00CE78A7">
        <w:rPr>
          <w:rFonts w:ascii="Arial" w:hAnsi="Arial" w:cs="Arial"/>
          <w:color w:val="222222"/>
          <w:sz w:val="20"/>
          <w:szCs w:val="20"/>
          <w:shd w:val="clear" w:color="auto" w:fill="FFFFFF"/>
        </w:rPr>
        <w:t>partellus</w:t>
      </w:r>
      <w:proofErr w:type="spellEnd"/>
      <w:r w:rsidRPr="00CE78A7">
        <w:rPr>
          <w:rFonts w:ascii="Arial" w:hAnsi="Arial" w:cs="Arial"/>
          <w:color w:val="222222"/>
          <w:sz w:val="20"/>
          <w:szCs w:val="20"/>
          <w:shd w:val="clear" w:color="auto" w:fill="FFFFFF"/>
        </w:rPr>
        <w:t>, and indigenous maize stemborers in Africa. </w:t>
      </w:r>
      <w:proofErr w:type="spellStart"/>
      <w:r w:rsidRPr="00CE78A7">
        <w:rPr>
          <w:rFonts w:ascii="Arial" w:hAnsi="Arial" w:cs="Arial"/>
          <w:i/>
          <w:iCs/>
          <w:color w:val="222222"/>
          <w:sz w:val="20"/>
          <w:szCs w:val="20"/>
          <w:shd w:val="clear" w:color="auto" w:fill="FFFFFF"/>
        </w:rPr>
        <w:t>Entomologia</w:t>
      </w:r>
      <w:proofErr w:type="spellEnd"/>
      <w:r w:rsidRPr="00CE78A7">
        <w:rPr>
          <w:rFonts w:ascii="Arial" w:hAnsi="Arial" w:cs="Arial"/>
          <w:i/>
          <w:iCs/>
          <w:color w:val="222222"/>
          <w:sz w:val="20"/>
          <w:szCs w:val="20"/>
          <w:shd w:val="clear" w:color="auto" w:fill="FFFFFF"/>
        </w:rPr>
        <w:t xml:space="preserve"> </w:t>
      </w:r>
      <w:proofErr w:type="spellStart"/>
      <w:r w:rsidRPr="00CE78A7">
        <w:rPr>
          <w:rFonts w:ascii="Arial" w:hAnsi="Arial" w:cs="Arial"/>
          <w:i/>
          <w:iCs/>
          <w:color w:val="222222"/>
          <w:sz w:val="20"/>
          <w:szCs w:val="20"/>
          <w:shd w:val="clear" w:color="auto" w:fill="FFFFFF"/>
        </w:rPr>
        <w:t>Experimentalis</w:t>
      </w:r>
      <w:proofErr w:type="spellEnd"/>
      <w:r w:rsidRPr="00CE78A7">
        <w:rPr>
          <w:rFonts w:ascii="Arial" w:hAnsi="Arial" w:cs="Arial"/>
          <w:i/>
          <w:iCs/>
          <w:color w:val="222222"/>
          <w:sz w:val="20"/>
          <w:szCs w:val="20"/>
          <w:shd w:val="clear" w:color="auto" w:fill="FFFFFF"/>
        </w:rPr>
        <w:t xml:space="preserve"> et </w:t>
      </w:r>
      <w:proofErr w:type="spellStart"/>
      <w:r w:rsidRPr="00CE78A7">
        <w:rPr>
          <w:rFonts w:ascii="Arial" w:hAnsi="Arial" w:cs="Arial"/>
          <w:i/>
          <w:iCs/>
          <w:color w:val="222222"/>
          <w:sz w:val="20"/>
          <w:szCs w:val="20"/>
          <w:shd w:val="clear" w:color="auto" w:fill="FFFFFF"/>
        </w:rPr>
        <w:t>Applicata</w:t>
      </w:r>
      <w:proofErr w:type="spellEnd"/>
      <w:r w:rsidRPr="00CE78A7">
        <w:rPr>
          <w:rFonts w:ascii="Arial" w:hAnsi="Arial" w:cs="Arial"/>
          <w:color w:val="222222"/>
          <w:sz w:val="20"/>
          <w:szCs w:val="20"/>
          <w:shd w:val="clear" w:color="auto" w:fill="FFFFFF"/>
        </w:rPr>
        <w:t>, </w:t>
      </w:r>
      <w:r w:rsidRPr="00CE78A7">
        <w:rPr>
          <w:rFonts w:ascii="Arial" w:hAnsi="Arial" w:cs="Arial"/>
          <w:i/>
          <w:iCs/>
          <w:color w:val="222222"/>
          <w:sz w:val="20"/>
          <w:szCs w:val="20"/>
          <w:shd w:val="clear" w:color="auto" w:fill="FFFFFF"/>
        </w:rPr>
        <w:t>168</w:t>
      </w:r>
      <w:r w:rsidRPr="00CE78A7">
        <w:rPr>
          <w:rFonts w:ascii="Arial" w:hAnsi="Arial" w:cs="Arial"/>
          <w:color w:val="222222"/>
          <w:sz w:val="20"/>
          <w:szCs w:val="20"/>
          <w:shd w:val="clear" w:color="auto" w:fill="FFFFFF"/>
        </w:rPr>
        <w:t>(4), 322-331.</w:t>
      </w:r>
      <w:r w:rsidRPr="00CE78A7">
        <w:rPr>
          <w:rFonts w:ascii="Arial" w:hAnsi="Arial" w:cs="Arial"/>
          <w:sz w:val="20"/>
          <w:szCs w:val="20"/>
        </w:rPr>
        <w:t xml:space="preserve"> </w:t>
      </w:r>
      <w:hyperlink r:id="rId33" w:history="1">
        <w:r w:rsidRPr="00CE78A7">
          <w:rPr>
            <w:rStyle w:val="Hyperlink"/>
            <w:rFonts w:ascii="Arial" w:hAnsi="Arial" w:cs="Arial"/>
            <w:sz w:val="20"/>
            <w:szCs w:val="20"/>
            <w:shd w:val="clear" w:color="auto" w:fill="FFFFFF"/>
          </w:rPr>
          <w:t>https://doi.org/10.1111/eea.12899</w:t>
        </w:r>
      </w:hyperlink>
    </w:p>
    <w:p w14:paraId="50083F9F"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proofErr w:type="spellStart"/>
      <w:r w:rsidRPr="00CE78A7">
        <w:rPr>
          <w:rFonts w:ascii="Arial" w:hAnsi="Arial" w:cs="Arial"/>
          <w:color w:val="222222"/>
          <w:sz w:val="20"/>
          <w:szCs w:val="20"/>
          <w:shd w:val="clear" w:color="auto" w:fill="FFFFFF"/>
        </w:rPr>
        <w:t>Scheirs</w:t>
      </w:r>
      <w:proofErr w:type="spellEnd"/>
      <w:r w:rsidRPr="00CE78A7">
        <w:rPr>
          <w:rFonts w:ascii="Arial" w:hAnsi="Arial" w:cs="Arial"/>
          <w:color w:val="222222"/>
          <w:sz w:val="20"/>
          <w:szCs w:val="20"/>
          <w:shd w:val="clear" w:color="auto" w:fill="FFFFFF"/>
        </w:rPr>
        <w:t>, J., Bruyn, L. D., &amp; Verhagen, R. (2000). Optimization of adult performance determines host choice in a grass miner. </w:t>
      </w:r>
      <w:r w:rsidRPr="00CE78A7">
        <w:rPr>
          <w:rFonts w:ascii="Arial" w:hAnsi="Arial" w:cs="Arial"/>
          <w:iCs/>
          <w:color w:val="222222"/>
          <w:sz w:val="20"/>
          <w:szCs w:val="20"/>
          <w:shd w:val="clear" w:color="auto" w:fill="FFFFFF"/>
        </w:rPr>
        <w:t>Proceedings of the Royal Society of London. Series B: Biological Sciences</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267</w:t>
      </w:r>
      <w:r w:rsidRPr="00CE78A7">
        <w:rPr>
          <w:rFonts w:ascii="Arial" w:hAnsi="Arial" w:cs="Arial"/>
          <w:color w:val="222222"/>
          <w:sz w:val="20"/>
          <w:szCs w:val="20"/>
          <w:shd w:val="clear" w:color="auto" w:fill="FFFFFF"/>
        </w:rPr>
        <w:t>(1457), 2065-2069.</w:t>
      </w:r>
      <w:r w:rsidRPr="00CE78A7">
        <w:rPr>
          <w:rFonts w:ascii="Arial" w:hAnsi="Arial" w:cs="Arial"/>
          <w:sz w:val="20"/>
          <w:szCs w:val="20"/>
        </w:rPr>
        <w:t xml:space="preserve"> </w:t>
      </w:r>
      <w:hyperlink r:id="rId34" w:history="1">
        <w:r w:rsidRPr="00CE78A7">
          <w:rPr>
            <w:rStyle w:val="Hyperlink"/>
            <w:rFonts w:ascii="Arial" w:hAnsi="Arial" w:cs="Arial"/>
            <w:sz w:val="20"/>
            <w:szCs w:val="20"/>
            <w:shd w:val="clear" w:color="auto" w:fill="FFFFFF"/>
          </w:rPr>
          <w:t>https://doi.org/10.1098/rspb.2000.1250</w:t>
        </w:r>
      </w:hyperlink>
    </w:p>
    <w:p w14:paraId="677D855C"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Zhang, H. J., Faucher, C. P., Anderson, A., Berna, A. Z., Trowell, S., Chen, Q. M., et al. (2013). Comparisons of contact chemoreception and food acceptance by larvae of polyphagous </w:t>
      </w:r>
      <w:r w:rsidRPr="00CE78A7">
        <w:rPr>
          <w:rFonts w:ascii="Arial" w:hAnsi="Arial" w:cs="Arial"/>
          <w:i/>
          <w:color w:val="222222"/>
          <w:sz w:val="20"/>
          <w:szCs w:val="20"/>
          <w:shd w:val="clear" w:color="auto" w:fill="FFFFFF"/>
        </w:rPr>
        <w:t>Helicoverpa armigera</w:t>
      </w:r>
      <w:r w:rsidRPr="00CE78A7">
        <w:rPr>
          <w:rFonts w:ascii="Arial" w:hAnsi="Arial" w:cs="Arial"/>
          <w:color w:val="222222"/>
          <w:sz w:val="20"/>
          <w:szCs w:val="20"/>
          <w:shd w:val="clear" w:color="auto" w:fill="FFFFFF"/>
        </w:rPr>
        <w:t xml:space="preserve"> and oligophagous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Journal of Chemical Ecology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39</w:t>
      </w:r>
      <w:r w:rsidRPr="00CE78A7">
        <w:rPr>
          <w:rFonts w:ascii="Arial" w:hAnsi="Arial" w:cs="Arial"/>
          <w:color w:val="222222"/>
          <w:sz w:val="20"/>
          <w:szCs w:val="20"/>
          <w:shd w:val="clear" w:color="auto" w:fill="FFFFFF"/>
        </w:rPr>
        <w:t>(8), 1070-1080.</w:t>
      </w:r>
    </w:p>
    <w:p w14:paraId="55720904" w14:textId="77777777" w:rsidR="00CE78A7" w:rsidRPr="00CE78A7" w:rsidRDefault="00CE78A7" w:rsidP="00CE78A7">
      <w:pPr>
        <w:pStyle w:val="ListParagraph"/>
        <w:numPr>
          <w:ilvl w:val="0"/>
          <w:numId w:val="5"/>
        </w:numPr>
        <w:jc w:val="both"/>
        <w:rPr>
          <w:rFonts w:ascii="Arial" w:hAnsi="Arial" w:cs="Arial"/>
          <w:color w:val="000000"/>
          <w:sz w:val="20"/>
          <w:szCs w:val="20"/>
          <w:shd w:val="clear" w:color="auto" w:fill="FFFFFF"/>
        </w:rPr>
      </w:pPr>
      <w:r w:rsidRPr="00CE78A7">
        <w:rPr>
          <w:rFonts w:ascii="Arial" w:hAnsi="Arial" w:cs="Arial"/>
          <w:color w:val="000000"/>
          <w:sz w:val="20"/>
          <w:szCs w:val="20"/>
          <w:shd w:val="clear" w:color="auto" w:fill="FFFFFF"/>
        </w:rPr>
        <w:t xml:space="preserve">Jacobson, M. (2019). Glossary Of Plant Derived Insect Deterrents (1st ed. </w:t>
      </w:r>
      <w:proofErr w:type="spellStart"/>
      <w:r w:rsidRPr="00CE78A7">
        <w:rPr>
          <w:rFonts w:ascii="Arial" w:hAnsi="Arial" w:cs="Arial"/>
          <w:color w:val="000000"/>
          <w:sz w:val="20"/>
          <w:szCs w:val="20"/>
          <w:shd w:val="clear" w:color="auto" w:fill="FFFFFF"/>
        </w:rPr>
        <w:t>ebook</w:t>
      </w:r>
      <w:proofErr w:type="spellEnd"/>
      <w:r w:rsidRPr="00CE78A7">
        <w:rPr>
          <w:rFonts w:ascii="Arial" w:hAnsi="Arial" w:cs="Arial"/>
          <w:color w:val="000000"/>
          <w:sz w:val="20"/>
          <w:szCs w:val="20"/>
          <w:shd w:val="clear" w:color="auto" w:fill="FFFFFF"/>
        </w:rPr>
        <w:t xml:space="preserve">). CRC Press. </w:t>
      </w:r>
      <w:hyperlink r:id="rId35" w:history="1">
        <w:r w:rsidRPr="00CE78A7">
          <w:rPr>
            <w:rStyle w:val="Hyperlink"/>
            <w:rFonts w:ascii="Arial" w:hAnsi="Arial" w:cs="Arial"/>
            <w:sz w:val="20"/>
            <w:szCs w:val="20"/>
            <w:shd w:val="clear" w:color="auto" w:fill="FFFFFF"/>
          </w:rPr>
          <w:t>https://doi.org/10.1201/9781351072274</w:t>
        </w:r>
      </w:hyperlink>
    </w:p>
    <w:p w14:paraId="12D0BC31"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Sato, K., &amp; </w:t>
      </w:r>
      <w:proofErr w:type="spellStart"/>
      <w:r w:rsidRPr="00CE78A7">
        <w:rPr>
          <w:rFonts w:ascii="Arial" w:hAnsi="Arial" w:cs="Arial"/>
          <w:color w:val="222222"/>
          <w:sz w:val="20"/>
          <w:szCs w:val="20"/>
          <w:shd w:val="clear" w:color="auto" w:fill="FFFFFF"/>
        </w:rPr>
        <w:t>Touhara</w:t>
      </w:r>
      <w:proofErr w:type="spellEnd"/>
      <w:r w:rsidRPr="00CE78A7">
        <w:rPr>
          <w:rFonts w:ascii="Arial" w:hAnsi="Arial" w:cs="Arial"/>
          <w:color w:val="222222"/>
          <w:sz w:val="20"/>
          <w:szCs w:val="20"/>
          <w:shd w:val="clear" w:color="auto" w:fill="FFFFFF"/>
        </w:rPr>
        <w:t xml:space="preserve">*, K. (2008). Insect olfaction: receptors, signal transduction, and behavior. In: </w:t>
      </w:r>
      <w:proofErr w:type="spellStart"/>
      <w:r w:rsidRPr="00CE78A7">
        <w:rPr>
          <w:rFonts w:ascii="Arial" w:hAnsi="Arial" w:cs="Arial"/>
          <w:color w:val="222222"/>
          <w:sz w:val="20"/>
          <w:szCs w:val="20"/>
          <w:shd w:val="clear" w:color="auto" w:fill="FFFFFF"/>
        </w:rPr>
        <w:t>Korsching</w:t>
      </w:r>
      <w:proofErr w:type="spellEnd"/>
      <w:r w:rsidRPr="00CE78A7">
        <w:rPr>
          <w:rFonts w:ascii="Arial" w:hAnsi="Arial" w:cs="Arial"/>
          <w:color w:val="222222"/>
          <w:sz w:val="20"/>
          <w:szCs w:val="20"/>
          <w:shd w:val="clear" w:color="auto" w:fill="FFFFFF"/>
        </w:rPr>
        <w:t>, S., Meyerhof, W. (eds), </w:t>
      </w:r>
      <w:r w:rsidRPr="00CE78A7">
        <w:rPr>
          <w:rFonts w:ascii="Arial" w:hAnsi="Arial" w:cs="Arial"/>
          <w:iCs/>
          <w:color w:val="222222"/>
          <w:sz w:val="20"/>
          <w:szCs w:val="20"/>
          <w:shd w:val="clear" w:color="auto" w:fill="FFFFFF"/>
        </w:rPr>
        <w:t>Chemosensory systems in mammals, fishes, and insects</w:t>
      </w:r>
      <w:r w:rsidRPr="00CE78A7">
        <w:rPr>
          <w:rFonts w:ascii="Arial" w:hAnsi="Arial" w:cs="Arial"/>
          <w:color w:val="222222"/>
          <w:sz w:val="20"/>
          <w:szCs w:val="20"/>
          <w:shd w:val="clear" w:color="auto" w:fill="FFFFFF"/>
        </w:rPr>
        <w:t xml:space="preserve">, </w:t>
      </w:r>
    </w:p>
    <w:p w14:paraId="6CD06031"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Results and Problems in Cell Differentiation, vol 47 (pp 203- 220). Springer, Berlin, Heidelberg. </w:t>
      </w:r>
      <w:hyperlink r:id="rId36" w:history="1">
        <w:r w:rsidRPr="00CE78A7">
          <w:rPr>
            <w:rStyle w:val="Hyperlink"/>
            <w:rFonts w:ascii="Arial" w:hAnsi="Arial" w:cs="Arial"/>
            <w:sz w:val="20"/>
            <w:szCs w:val="20"/>
            <w:shd w:val="clear" w:color="auto" w:fill="FFFFFF"/>
          </w:rPr>
          <w:t>https://doi.org/10.1007/400_2008_10</w:t>
        </w:r>
      </w:hyperlink>
    </w:p>
    <w:p w14:paraId="11072114"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Hansson, B. S. (1995). Olfaction in lepidoptera. </w:t>
      </w:r>
      <w:proofErr w:type="spellStart"/>
      <w:r w:rsidRPr="00CE78A7">
        <w:rPr>
          <w:rFonts w:ascii="Arial" w:hAnsi="Arial" w:cs="Arial"/>
          <w:iCs/>
          <w:color w:val="222222"/>
          <w:sz w:val="20"/>
          <w:szCs w:val="20"/>
          <w:shd w:val="clear" w:color="auto" w:fill="FFFFFF"/>
        </w:rPr>
        <w:t>Experientia</w:t>
      </w:r>
      <w:proofErr w:type="spellEnd"/>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51</w:t>
      </w:r>
      <w:r w:rsidRPr="00CE78A7">
        <w:rPr>
          <w:rFonts w:ascii="Arial" w:hAnsi="Arial" w:cs="Arial"/>
          <w:color w:val="222222"/>
          <w:sz w:val="20"/>
          <w:szCs w:val="20"/>
          <w:shd w:val="clear" w:color="auto" w:fill="FFFFFF"/>
        </w:rPr>
        <w:t xml:space="preserve">(11), 1003-1027. </w:t>
      </w:r>
      <w:hyperlink r:id="rId37" w:history="1">
        <w:r w:rsidRPr="00CE78A7">
          <w:rPr>
            <w:rStyle w:val="Hyperlink"/>
            <w:rFonts w:ascii="Arial" w:hAnsi="Arial" w:cs="Arial"/>
            <w:sz w:val="20"/>
            <w:szCs w:val="20"/>
            <w:shd w:val="clear" w:color="auto" w:fill="FFFFFF"/>
          </w:rPr>
          <w:t>https://doi.org/10.1007/BF01946910</w:t>
        </w:r>
      </w:hyperlink>
    </w:p>
    <w:p w14:paraId="598CB7AF"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Johnson, B. R., van </w:t>
      </w:r>
      <w:proofErr w:type="spellStart"/>
      <w:r w:rsidRPr="00CE78A7">
        <w:rPr>
          <w:rFonts w:ascii="Arial" w:hAnsi="Arial" w:cs="Arial"/>
          <w:color w:val="222222"/>
          <w:sz w:val="20"/>
          <w:szCs w:val="20"/>
          <w:shd w:val="clear" w:color="auto" w:fill="FFFFFF"/>
        </w:rPr>
        <w:t>Wilgenburg</w:t>
      </w:r>
      <w:proofErr w:type="spellEnd"/>
      <w:r w:rsidRPr="00CE78A7">
        <w:rPr>
          <w:rFonts w:ascii="Arial" w:hAnsi="Arial" w:cs="Arial"/>
          <w:color w:val="222222"/>
          <w:sz w:val="20"/>
          <w:szCs w:val="20"/>
          <w:shd w:val="clear" w:color="auto" w:fill="FFFFFF"/>
        </w:rPr>
        <w:t>, E., &amp; Tsutsui, N. D. (2011). Nestmate recognition in social insects: overcoming physiological constraints with collective decision making. </w:t>
      </w:r>
      <w:r w:rsidRPr="00CE78A7">
        <w:rPr>
          <w:rFonts w:ascii="Arial" w:hAnsi="Arial" w:cs="Arial"/>
          <w:iCs/>
          <w:color w:val="222222"/>
          <w:sz w:val="20"/>
          <w:szCs w:val="20"/>
          <w:shd w:val="clear" w:color="auto" w:fill="FFFFFF"/>
        </w:rPr>
        <w:t>Behavioral ecology and sociobiology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65</w:t>
      </w:r>
      <w:r w:rsidRPr="00CE78A7">
        <w:rPr>
          <w:rFonts w:ascii="Arial" w:hAnsi="Arial" w:cs="Arial"/>
          <w:color w:val="222222"/>
          <w:sz w:val="20"/>
          <w:szCs w:val="20"/>
          <w:shd w:val="clear" w:color="auto" w:fill="FFFFFF"/>
        </w:rPr>
        <w:t xml:space="preserve">(5), 935-944. </w:t>
      </w:r>
      <w:hyperlink r:id="rId38" w:history="1">
        <w:r w:rsidRPr="00CE78A7">
          <w:rPr>
            <w:rStyle w:val="Hyperlink"/>
            <w:rFonts w:ascii="Arial" w:hAnsi="Arial" w:cs="Arial"/>
            <w:sz w:val="20"/>
            <w:szCs w:val="20"/>
            <w:shd w:val="clear" w:color="auto" w:fill="FFFFFF"/>
          </w:rPr>
          <w:t>https://doi.org/10.1007/s00265-010-1094-x</w:t>
        </w:r>
      </w:hyperlink>
    </w:p>
    <w:p w14:paraId="066F8FFE"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Nissan, E. (2009). Peter McGregor (ed.), Animal Communication. Tristram D. Wyatt, Pheromones and Animal </w:t>
      </w:r>
      <w:proofErr w:type="spellStart"/>
      <w:r w:rsidRPr="00CE78A7">
        <w:rPr>
          <w:rFonts w:ascii="Arial" w:hAnsi="Arial" w:cs="Arial"/>
          <w:color w:val="222222"/>
          <w:sz w:val="20"/>
          <w:szCs w:val="20"/>
          <w:shd w:val="clear" w:color="auto" w:fill="FFFFFF"/>
        </w:rPr>
        <w:t>Behaviour</w:t>
      </w:r>
      <w:proofErr w:type="spellEnd"/>
      <w:r w:rsidRPr="00CE78A7">
        <w:rPr>
          <w:rFonts w:ascii="Arial" w:hAnsi="Arial" w:cs="Arial"/>
          <w:color w:val="222222"/>
          <w:sz w:val="20"/>
          <w:szCs w:val="20"/>
          <w:shd w:val="clear" w:color="auto" w:fill="FFFFFF"/>
        </w:rPr>
        <w:t>: Communication by Smell and Taste. Networks. </w:t>
      </w:r>
      <w:r w:rsidRPr="00CE78A7">
        <w:rPr>
          <w:rFonts w:ascii="Arial" w:hAnsi="Arial" w:cs="Arial"/>
          <w:iCs/>
          <w:color w:val="222222"/>
          <w:sz w:val="20"/>
          <w:szCs w:val="20"/>
          <w:shd w:val="clear" w:color="auto" w:fill="FFFFFF"/>
        </w:rPr>
        <w:t>Pragmatics &amp; Cognition</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17</w:t>
      </w:r>
      <w:r w:rsidRPr="00CE78A7">
        <w:rPr>
          <w:rFonts w:ascii="Arial" w:hAnsi="Arial" w:cs="Arial"/>
          <w:color w:val="222222"/>
          <w:sz w:val="20"/>
          <w:szCs w:val="20"/>
          <w:shd w:val="clear" w:color="auto" w:fill="FFFFFF"/>
        </w:rPr>
        <w:t>(2), 482-490.</w:t>
      </w:r>
      <w:r w:rsidRPr="00CE78A7">
        <w:rPr>
          <w:rFonts w:ascii="Arial" w:hAnsi="Arial" w:cs="Arial"/>
          <w:sz w:val="20"/>
          <w:szCs w:val="20"/>
        </w:rPr>
        <w:t xml:space="preserve"> </w:t>
      </w:r>
      <w:hyperlink r:id="rId39" w:history="1">
        <w:r w:rsidRPr="00CE78A7">
          <w:rPr>
            <w:rStyle w:val="Hyperlink"/>
            <w:rFonts w:ascii="Arial" w:hAnsi="Arial" w:cs="Arial"/>
            <w:sz w:val="20"/>
            <w:szCs w:val="20"/>
            <w:shd w:val="clear" w:color="auto" w:fill="FFFFFF"/>
          </w:rPr>
          <w:t>https://doi.org/10.1075/pc.17.2.16nis</w:t>
        </w:r>
      </w:hyperlink>
    </w:p>
    <w:p w14:paraId="00F3A778"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lastRenderedPageBreak/>
        <w:t xml:space="preserve">Van Der Goes Van </w:t>
      </w:r>
      <w:proofErr w:type="spellStart"/>
      <w:r w:rsidRPr="00CE78A7">
        <w:rPr>
          <w:rFonts w:ascii="Arial" w:hAnsi="Arial" w:cs="Arial"/>
          <w:color w:val="222222"/>
          <w:sz w:val="20"/>
          <w:szCs w:val="20"/>
          <w:shd w:val="clear" w:color="auto" w:fill="FFFFFF"/>
        </w:rPr>
        <w:t>Naters</w:t>
      </w:r>
      <w:proofErr w:type="spellEnd"/>
      <w:r w:rsidRPr="00CE78A7">
        <w:rPr>
          <w:rFonts w:ascii="Arial" w:hAnsi="Arial" w:cs="Arial"/>
          <w:color w:val="222222"/>
          <w:sz w:val="20"/>
          <w:szCs w:val="20"/>
          <w:shd w:val="clear" w:color="auto" w:fill="FFFFFF"/>
        </w:rPr>
        <w:t xml:space="preserve">, W., &amp; Carlson, J. R. (2006). Insects as </w:t>
      </w:r>
      <w:proofErr w:type="spellStart"/>
      <w:r w:rsidRPr="00CE78A7">
        <w:rPr>
          <w:rFonts w:ascii="Arial" w:hAnsi="Arial" w:cs="Arial"/>
          <w:color w:val="222222"/>
          <w:sz w:val="20"/>
          <w:szCs w:val="20"/>
          <w:shd w:val="clear" w:color="auto" w:fill="FFFFFF"/>
        </w:rPr>
        <w:t>chemosensors</w:t>
      </w:r>
      <w:proofErr w:type="spellEnd"/>
      <w:r w:rsidRPr="00CE78A7">
        <w:rPr>
          <w:rFonts w:ascii="Arial" w:hAnsi="Arial" w:cs="Arial"/>
          <w:color w:val="222222"/>
          <w:sz w:val="20"/>
          <w:szCs w:val="20"/>
          <w:shd w:val="clear" w:color="auto" w:fill="FFFFFF"/>
        </w:rPr>
        <w:t xml:space="preserve"> of humans and crops. </w:t>
      </w:r>
      <w:r w:rsidRPr="00CE78A7">
        <w:rPr>
          <w:rFonts w:ascii="Arial" w:hAnsi="Arial" w:cs="Arial"/>
          <w:iCs/>
          <w:color w:val="222222"/>
          <w:sz w:val="20"/>
          <w:szCs w:val="20"/>
          <w:shd w:val="clear" w:color="auto" w:fill="FFFFFF"/>
        </w:rPr>
        <w:t>Nature</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444</w:t>
      </w:r>
      <w:r w:rsidRPr="00CE78A7">
        <w:rPr>
          <w:rFonts w:ascii="Arial" w:hAnsi="Arial" w:cs="Arial"/>
          <w:color w:val="222222"/>
          <w:sz w:val="20"/>
          <w:szCs w:val="20"/>
          <w:shd w:val="clear" w:color="auto" w:fill="FFFFFF"/>
        </w:rPr>
        <w:t>(7117), 302-307.</w:t>
      </w:r>
      <w:r w:rsidRPr="00CE78A7">
        <w:rPr>
          <w:rFonts w:ascii="Arial" w:hAnsi="Arial" w:cs="Arial"/>
          <w:color w:val="222222"/>
          <w:sz w:val="20"/>
          <w:szCs w:val="20"/>
        </w:rPr>
        <w:t xml:space="preserve"> </w:t>
      </w:r>
      <w:hyperlink r:id="rId40" w:history="1">
        <w:r w:rsidRPr="00CE78A7">
          <w:rPr>
            <w:rStyle w:val="Hyperlink"/>
            <w:rFonts w:ascii="Arial" w:hAnsi="Arial" w:cs="Arial"/>
            <w:sz w:val="20"/>
            <w:szCs w:val="20"/>
          </w:rPr>
          <w:t>https://doi.org/10.1038/nature05403</w:t>
        </w:r>
      </w:hyperlink>
    </w:p>
    <w:p w14:paraId="1E6C4FCF"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Bernays, E. A., &amp; Chapman, R. F. (2001). Taste cell responses in the polyphagous arctiid, </w:t>
      </w:r>
      <w:proofErr w:type="spellStart"/>
      <w:r w:rsidRPr="00CE78A7">
        <w:rPr>
          <w:rFonts w:ascii="Arial" w:hAnsi="Arial" w:cs="Arial"/>
          <w:i/>
          <w:color w:val="222222"/>
          <w:sz w:val="20"/>
          <w:szCs w:val="20"/>
          <w:shd w:val="clear" w:color="auto" w:fill="FFFFFF"/>
        </w:rPr>
        <w:t>Grammia</w:t>
      </w:r>
      <w:proofErr w:type="spellEnd"/>
      <w:r w:rsidRPr="00CE78A7">
        <w:rPr>
          <w:rFonts w:ascii="Arial" w:hAnsi="Arial" w:cs="Arial"/>
          <w:i/>
          <w:color w:val="222222"/>
          <w:sz w:val="20"/>
          <w:szCs w:val="20"/>
          <w:shd w:val="clear" w:color="auto" w:fill="FFFFFF"/>
        </w:rPr>
        <w:t xml:space="preserve"> </w:t>
      </w:r>
      <w:proofErr w:type="spellStart"/>
      <w:r w:rsidRPr="00CE78A7">
        <w:rPr>
          <w:rFonts w:ascii="Arial" w:hAnsi="Arial" w:cs="Arial"/>
          <w:i/>
          <w:color w:val="222222"/>
          <w:sz w:val="20"/>
          <w:szCs w:val="20"/>
          <w:shd w:val="clear" w:color="auto" w:fill="FFFFFF"/>
        </w:rPr>
        <w:t>geneura</w:t>
      </w:r>
      <w:proofErr w:type="spellEnd"/>
      <w:r w:rsidRPr="00CE78A7">
        <w:rPr>
          <w:rFonts w:ascii="Arial" w:hAnsi="Arial" w:cs="Arial"/>
          <w:i/>
          <w:color w:val="222222"/>
          <w:sz w:val="20"/>
          <w:szCs w:val="20"/>
          <w:shd w:val="clear" w:color="auto" w:fill="FFFFFF"/>
        </w:rPr>
        <w:t>:</w:t>
      </w:r>
      <w:r w:rsidRPr="00CE78A7">
        <w:rPr>
          <w:rFonts w:ascii="Arial" w:hAnsi="Arial" w:cs="Arial"/>
          <w:color w:val="222222"/>
          <w:sz w:val="20"/>
          <w:szCs w:val="20"/>
          <w:shd w:val="clear" w:color="auto" w:fill="FFFFFF"/>
        </w:rPr>
        <w:t xml:space="preserve"> towards a general pattern for caterpillars. </w:t>
      </w:r>
      <w:r w:rsidRPr="00CE78A7">
        <w:rPr>
          <w:rFonts w:ascii="Arial" w:hAnsi="Arial" w:cs="Arial"/>
          <w:iCs/>
          <w:color w:val="222222"/>
          <w:sz w:val="20"/>
          <w:szCs w:val="20"/>
          <w:shd w:val="clear" w:color="auto" w:fill="FFFFFF"/>
        </w:rPr>
        <w:t>Journal of Insect Physiology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47</w:t>
      </w:r>
      <w:r w:rsidRPr="00CE78A7">
        <w:rPr>
          <w:rFonts w:ascii="Arial" w:hAnsi="Arial" w:cs="Arial"/>
          <w:color w:val="222222"/>
          <w:sz w:val="20"/>
          <w:szCs w:val="20"/>
          <w:shd w:val="clear" w:color="auto" w:fill="FFFFFF"/>
        </w:rPr>
        <w:t>(9), 1029-1043.</w:t>
      </w:r>
      <w:r w:rsidRPr="00CE78A7">
        <w:rPr>
          <w:rFonts w:ascii="Arial" w:hAnsi="Arial" w:cs="Arial"/>
          <w:sz w:val="20"/>
          <w:szCs w:val="20"/>
        </w:rPr>
        <w:t xml:space="preserve"> </w:t>
      </w:r>
      <w:hyperlink r:id="rId41" w:history="1">
        <w:r w:rsidRPr="00CE78A7">
          <w:rPr>
            <w:rStyle w:val="Hyperlink"/>
            <w:rFonts w:ascii="Arial" w:hAnsi="Arial" w:cs="Arial"/>
            <w:sz w:val="20"/>
            <w:szCs w:val="20"/>
            <w:shd w:val="clear" w:color="auto" w:fill="FFFFFF"/>
          </w:rPr>
          <w:t>https://doi.org/10.1016/S0022-1910(01)00079-8</w:t>
        </w:r>
      </w:hyperlink>
    </w:p>
    <w:p w14:paraId="3C3E67EE"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Watanabe, K., Toba, G., </w:t>
      </w:r>
      <w:proofErr w:type="spellStart"/>
      <w:r w:rsidRPr="00CE78A7">
        <w:rPr>
          <w:rFonts w:ascii="Arial" w:hAnsi="Arial" w:cs="Arial"/>
          <w:color w:val="222222"/>
          <w:sz w:val="20"/>
          <w:szCs w:val="20"/>
          <w:shd w:val="clear" w:color="auto" w:fill="FFFFFF"/>
        </w:rPr>
        <w:t>Koganezawa</w:t>
      </w:r>
      <w:proofErr w:type="spellEnd"/>
      <w:r w:rsidRPr="00CE78A7">
        <w:rPr>
          <w:rFonts w:ascii="Arial" w:hAnsi="Arial" w:cs="Arial"/>
          <w:color w:val="222222"/>
          <w:sz w:val="20"/>
          <w:szCs w:val="20"/>
          <w:shd w:val="clear" w:color="auto" w:fill="FFFFFF"/>
        </w:rPr>
        <w:t>, M., &amp; Yamamoto, D. (2011). Gr39a, a highly diversified gustatory receptor in Drosophila, has a role in sexual behavior. </w:t>
      </w:r>
      <w:r w:rsidRPr="00CE78A7">
        <w:rPr>
          <w:rFonts w:ascii="Arial" w:hAnsi="Arial" w:cs="Arial"/>
          <w:iCs/>
          <w:color w:val="222222"/>
          <w:sz w:val="20"/>
          <w:szCs w:val="20"/>
          <w:shd w:val="clear" w:color="auto" w:fill="FFFFFF"/>
        </w:rPr>
        <w:t>Behavior genetics</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41</w:t>
      </w:r>
      <w:r w:rsidRPr="00CE78A7">
        <w:rPr>
          <w:rFonts w:ascii="Arial" w:hAnsi="Arial" w:cs="Arial"/>
          <w:color w:val="222222"/>
          <w:sz w:val="20"/>
          <w:szCs w:val="20"/>
          <w:shd w:val="clear" w:color="auto" w:fill="FFFFFF"/>
        </w:rPr>
        <w:t xml:space="preserve">(5), 746-753. </w:t>
      </w:r>
      <w:hyperlink r:id="rId42" w:history="1">
        <w:r w:rsidRPr="00CE78A7">
          <w:rPr>
            <w:rStyle w:val="Hyperlink"/>
            <w:rFonts w:ascii="Arial" w:hAnsi="Arial" w:cs="Arial"/>
            <w:sz w:val="20"/>
            <w:szCs w:val="20"/>
            <w:shd w:val="clear" w:color="auto" w:fill="FFFFFF"/>
          </w:rPr>
          <w:t>https://doi.org/10.1007/s10519-011-9461-6</w:t>
        </w:r>
      </w:hyperlink>
    </w:p>
    <w:p w14:paraId="4125EF7D"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Miles, C. I., Campo, M. L. D., &amp; Renwick, J. A. A. (2005). Behavioral and chemosensory responses to a host recognition cue by larvae of </w:t>
      </w:r>
      <w:r w:rsidRPr="00CE78A7">
        <w:rPr>
          <w:rFonts w:ascii="Arial" w:hAnsi="Arial" w:cs="Arial"/>
          <w:i/>
          <w:color w:val="222222"/>
          <w:sz w:val="20"/>
          <w:szCs w:val="20"/>
          <w:shd w:val="clear" w:color="auto" w:fill="FFFFFF"/>
        </w:rPr>
        <w:t>Pieris rapae</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Journal of Comparative Physiology A</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191</w:t>
      </w:r>
      <w:r w:rsidRPr="00CE78A7">
        <w:rPr>
          <w:rFonts w:ascii="Arial" w:hAnsi="Arial" w:cs="Arial"/>
          <w:color w:val="222222"/>
          <w:sz w:val="20"/>
          <w:szCs w:val="20"/>
          <w:shd w:val="clear" w:color="auto" w:fill="FFFFFF"/>
        </w:rPr>
        <w:t xml:space="preserve">(2), 147-155. </w:t>
      </w:r>
      <w:hyperlink r:id="rId43" w:history="1">
        <w:r w:rsidRPr="00CE78A7">
          <w:rPr>
            <w:rStyle w:val="Hyperlink"/>
            <w:rFonts w:ascii="Arial" w:hAnsi="Arial" w:cs="Arial"/>
            <w:sz w:val="20"/>
            <w:szCs w:val="20"/>
            <w:shd w:val="clear" w:color="auto" w:fill="FFFFFF"/>
          </w:rPr>
          <w:t>https://doi.org/10.1007/s00359-004-0580-x</w:t>
        </w:r>
      </w:hyperlink>
    </w:p>
    <w:p w14:paraId="67615E48"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van Loon, J. J., &amp; Schoonhoven, L. M. (1999). Specialist deterrent chemoreceptors enable Pieris caterpillars to discriminate between chemically different deterrents. </w:t>
      </w:r>
      <w:proofErr w:type="spellStart"/>
      <w:r w:rsidRPr="00CE78A7">
        <w:rPr>
          <w:rFonts w:ascii="Arial" w:hAnsi="Arial" w:cs="Arial"/>
          <w:iCs/>
          <w:color w:val="222222"/>
          <w:sz w:val="20"/>
          <w:szCs w:val="20"/>
          <w:shd w:val="clear" w:color="auto" w:fill="FFFFFF"/>
        </w:rPr>
        <w:t>Entomologia</w:t>
      </w:r>
      <w:proofErr w:type="spellEnd"/>
      <w:r w:rsidRPr="00CE78A7">
        <w:rPr>
          <w:rFonts w:ascii="Arial" w:hAnsi="Arial" w:cs="Arial"/>
          <w:iCs/>
          <w:color w:val="222222"/>
          <w:sz w:val="20"/>
          <w:szCs w:val="20"/>
          <w:shd w:val="clear" w:color="auto" w:fill="FFFFFF"/>
        </w:rPr>
        <w:t xml:space="preserve"> </w:t>
      </w:r>
      <w:proofErr w:type="spellStart"/>
      <w:r w:rsidRPr="00CE78A7">
        <w:rPr>
          <w:rFonts w:ascii="Arial" w:hAnsi="Arial" w:cs="Arial"/>
          <w:iCs/>
          <w:color w:val="222222"/>
          <w:sz w:val="20"/>
          <w:szCs w:val="20"/>
          <w:shd w:val="clear" w:color="auto" w:fill="FFFFFF"/>
        </w:rPr>
        <w:t>Experimentalis</w:t>
      </w:r>
      <w:proofErr w:type="spellEnd"/>
      <w:r w:rsidRPr="00CE78A7">
        <w:rPr>
          <w:rFonts w:ascii="Arial" w:hAnsi="Arial" w:cs="Arial"/>
          <w:iCs/>
          <w:color w:val="222222"/>
          <w:sz w:val="20"/>
          <w:szCs w:val="20"/>
          <w:shd w:val="clear" w:color="auto" w:fill="FFFFFF"/>
        </w:rPr>
        <w:t xml:space="preserve"> et </w:t>
      </w:r>
      <w:proofErr w:type="spellStart"/>
      <w:r w:rsidRPr="00CE78A7">
        <w:rPr>
          <w:rFonts w:ascii="Arial" w:hAnsi="Arial" w:cs="Arial"/>
          <w:iCs/>
          <w:color w:val="222222"/>
          <w:sz w:val="20"/>
          <w:szCs w:val="20"/>
          <w:shd w:val="clear" w:color="auto" w:fill="FFFFFF"/>
        </w:rPr>
        <w:t>Applicata</w:t>
      </w:r>
      <w:proofErr w:type="spellEnd"/>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91</w:t>
      </w:r>
      <w:r w:rsidRPr="00CE78A7">
        <w:rPr>
          <w:rFonts w:ascii="Arial" w:hAnsi="Arial" w:cs="Arial"/>
          <w:color w:val="222222"/>
          <w:sz w:val="20"/>
          <w:szCs w:val="20"/>
          <w:shd w:val="clear" w:color="auto" w:fill="FFFFFF"/>
        </w:rPr>
        <w:t>(1), 29-35.</w:t>
      </w:r>
      <w:r w:rsidRPr="00CE78A7">
        <w:rPr>
          <w:rFonts w:ascii="Arial" w:hAnsi="Arial" w:cs="Arial"/>
          <w:sz w:val="20"/>
          <w:szCs w:val="20"/>
        </w:rPr>
        <w:t xml:space="preserve"> </w:t>
      </w:r>
      <w:hyperlink r:id="rId44" w:history="1">
        <w:r w:rsidRPr="00CE78A7">
          <w:rPr>
            <w:rStyle w:val="Hyperlink"/>
            <w:rFonts w:ascii="Arial" w:hAnsi="Arial" w:cs="Arial"/>
            <w:sz w:val="20"/>
            <w:szCs w:val="20"/>
            <w:shd w:val="clear" w:color="auto" w:fill="FFFFFF"/>
          </w:rPr>
          <w:t>https://doi.org/10.1046/j.1570-7458.1999.00463.x</w:t>
        </w:r>
      </w:hyperlink>
    </w:p>
    <w:p w14:paraId="1D6AE220"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Style w:val="Strong"/>
          <w:rFonts w:ascii="Arial" w:hAnsi="Arial" w:cs="Arial"/>
          <w:b w:val="0"/>
          <w:sz w:val="20"/>
          <w:szCs w:val="20"/>
        </w:rPr>
        <w:t>Mech, D., &amp; Vijay, N.</w:t>
      </w:r>
      <w:r w:rsidRPr="00CE78A7">
        <w:rPr>
          <w:rFonts w:ascii="Arial" w:hAnsi="Arial" w:cs="Arial"/>
          <w:sz w:val="20"/>
          <w:szCs w:val="20"/>
        </w:rPr>
        <w:t xml:space="preserve"> (2022). Indigenous technical knowledge for higher fecundity of Muga silkworm seeds. </w:t>
      </w:r>
      <w:r w:rsidRPr="00CE78A7">
        <w:rPr>
          <w:rStyle w:val="Emphasis"/>
          <w:rFonts w:ascii="Arial" w:hAnsi="Arial" w:cs="Arial"/>
          <w:i w:val="0"/>
          <w:sz w:val="20"/>
          <w:szCs w:val="20"/>
        </w:rPr>
        <w:t>Plant Archives, 22</w:t>
      </w:r>
      <w:r w:rsidRPr="00CE78A7">
        <w:rPr>
          <w:rFonts w:ascii="Arial" w:hAnsi="Arial" w:cs="Arial"/>
          <w:sz w:val="20"/>
          <w:szCs w:val="20"/>
        </w:rPr>
        <w:t xml:space="preserve">(Special Issue VSOG), 88–91. </w:t>
      </w:r>
      <w:hyperlink r:id="rId45" w:history="1">
        <w:r w:rsidRPr="00CE78A7">
          <w:rPr>
            <w:rStyle w:val="Hyperlink"/>
            <w:rFonts w:ascii="Arial" w:hAnsi="Arial" w:cs="Arial"/>
            <w:sz w:val="20"/>
            <w:szCs w:val="20"/>
          </w:rPr>
          <w:t>https://doi.org/10.51470/PLANTARCHIVES.2022.v22.splecialissue.018</w:t>
        </w:r>
      </w:hyperlink>
    </w:p>
    <w:p w14:paraId="2871A3AB"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proofErr w:type="spellStart"/>
      <w:r w:rsidRPr="00CE78A7">
        <w:rPr>
          <w:rFonts w:ascii="Arial" w:hAnsi="Arial" w:cs="Arial"/>
          <w:color w:val="222222"/>
          <w:sz w:val="20"/>
          <w:szCs w:val="20"/>
          <w:shd w:val="clear" w:color="auto" w:fill="FFFFFF"/>
        </w:rPr>
        <w:t>Haloi</w:t>
      </w:r>
      <w:proofErr w:type="spellEnd"/>
      <w:r w:rsidRPr="00CE78A7">
        <w:rPr>
          <w:rFonts w:ascii="Arial" w:hAnsi="Arial" w:cs="Arial"/>
          <w:color w:val="222222"/>
          <w:sz w:val="20"/>
          <w:szCs w:val="20"/>
          <w:shd w:val="clear" w:color="auto" w:fill="FFFFFF"/>
        </w:rPr>
        <w:t xml:space="preserve">, K., Kalita, M. K., &amp; Devi, D. (2023). Regulation and Characterization of Amylase Enzyme Secretion in the Digestive Tract of </w:t>
      </w:r>
      <w:proofErr w:type="spellStart"/>
      <w:r w:rsidRPr="00CE78A7">
        <w:rPr>
          <w:rFonts w:ascii="Arial" w:hAnsi="Arial" w:cs="Arial"/>
          <w:i/>
          <w:color w:val="222222"/>
          <w:sz w:val="20"/>
          <w:szCs w:val="20"/>
          <w:shd w:val="clear" w:color="auto" w:fill="FFFFFF"/>
        </w:rPr>
        <w:t>Antheraea</w:t>
      </w:r>
      <w:proofErr w:type="spellEnd"/>
      <w:r w:rsidRPr="00CE78A7">
        <w:rPr>
          <w:rFonts w:ascii="Arial" w:hAnsi="Arial" w:cs="Arial"/>
          <w:i/>
          <w:color w:val="222222"/>
          <w:sz w:val="20"/>
          <w:szCs w:val="20"/>
          <w:shd w:val="clear" w:color="auto" w:fill="FFFFFF"/>
        </w:rPr>
        <w:t xml:space="preserve"> </w:t>
      </w:r>
      <w:proofErr w:type="spellStart"/>
      <w:r w:rsidRPr="00CE78A7">
        <w:rPr>
          <w:rFonts w:ascii="Arial" w:hAnsi="Arial" w:cs="Arial"/>
          <w:i/>
          <w:color w:val="222222"/>
          <w:sz w:val="20"/>
          <w:szCs w:val="20"/>
          <w:shd w:val="clear" w:color="auto" w:fill="FFFFFF"/>
        </w:rPr>
        <w:t>assamensis</w:t>
      </w:r>
      <w:proofErr w:type="spellEnd"/>
      <w:r w:rsidRPr="00CE78A7">
        <w:rPr>
          <w:rFonts w:ascii="Arial" w:hAnsi="Arial" w:cs="Arial"/>
          <w:color w:val="222222"/>
          <w:sz w:val="20"/>
          <w:szCs w:val="20"/>
          <w:shd w:val="clear" w:color="auto" w:fill="FFFFFF"/>
        </w:rPr>
        <w:t xml:space="preserve"> Helfer. Indian Journal of Entomology, 85 (3), 556- 562. </w:t>
      </w:r>
      <w:hyperlink r:id="rId46" w:history="1">
        <w:r w:rsidRPr="00CE78A7">
          <w:rPr>
            <w:rStyle w:val="Hyperlink"/>
            <w:rFonts w:ascii="Arial" w:hAnsi="Arial" w:cs="Arial"/>
            <w:sz w:val="20"/>
            <w:szCs w:val="20"/>
            <w:shd w:val="clear" w:color="auto" w:fill="FFFFFF"/>
          </w:rPr>
          <w:t>http://dx.doi.org/10.55446/IJE.2023.962</w:t>
        </w:r>
      </w:hyperlink>
    </w:p>
    <w:p w14:paraId="2AA099E2"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proofErr w:type="spellStart"/>
      <w:r w:rsidRPr="00CE78A7">
        <w:rPr>
          <w:rFonts w:ascii="Arial" w:hAnsi="Arial" w:cs="Arial"/>
          <w:color w:val="222222"/>
          <w:sz w:val="20"/>
          <w:szCs w:val="20"/>
          <w:shd w:val="clear" w:color="auto" w:fill="FFFFFF"/>
        </w:rPr>
        <w:t>Tsuneto</w:t>
      </w:r>
      <w:proofErr w:type="spellEnd"/>
      <w:r w:rsidRPr="00CE78A7">
        <w:rPr>
          <w:rFonts w:ascii="Arial" w:hAnsi="Arial" w:cs="Arial"/>
          <w:color w:val="222222"/>
          <w:sz w:val="20"/>
          <w:szCs w:val="20"/>
          <w:shd w:val="clear" w:color="auto" w:fill="FFFFFF"/>
        </w:rPr>
        <w:t xml:space="preserve">, K., Endo, H., </w:t>
      </w:r>
      <w:proofErr w:type="spellStart"/>
      <w:r w:rsidRPr="00CE78A7">
        <w:rPr>
          <w:rFonts w:ascii="Arial" w:hAnsi="Arial" w:cs="Arial"/>
          <w:color w:val="222222"/>
          <w:sz w:val="20"/>
          <w:szCs w:val="20"/>
          <w:shd w:val="clear" w:color="auto" w:fill="FFFFFF"/>
        </w:rPr>
        <w:t>Shii</w:t>
      </w:r>
      <w:proofErr w:type="spellEnd"/>
      <w:r w:rsidRPr="00CE78A7">
        <w:rPr>
          <w:rFonts w:ascii="Arial" w:hAnsi="Arial" w:cs="Arial"/>
          <w:color w:val="222222"/>
          <w:sz w:val="20"/>
          <w:szCs w:val="20"/>
          <w:shd w:val="clear" w:color="auto" w:fill="FFFFFF"/>
        </w:rPr>
        <w:t>, F., Sasaki, K., Nagata, S., &amp; Sato, R. (2020). Diet choice: the two-factor host acceptance system of silkworm larvae. </w:t>
      </w:r>
      <w:proofErr w:type="spellStart"/>
      <w:r w:rsidRPr="00CE78A7">
        <w:rPr>
          <w:rFonts w:ascii="Arial" w:hAnsi="Arial" w:cs="Arial"/>
          <w:iCs/>
          <w:color w:val="222222"/>
          <w:sz w:val="20"/>
          <w:szCs w:val="20"/>
          <w:shd w:val="clear" w:color="auto" w:fill="FFFFFF"/>
        </w:rPr>
        <w:t>PLoS</w:t>
      </w:r>
      <w:proofErr w:type="spellEnd"/>
      <w:r w:rsidRPr="00CE78A7">
        <w:rPr>
          <w:rFonts w:ascii="Arial" w:hAnsi="Arial" w:cs="Arial"/>
          <w:iCs/>
          <w:color w:val="222222"/>
          <w:sz w:val="20"/>
          <w:szCs w:val="20"/>
          <w:shd w:val="clear" w:color="auto" w:fill="FFFFFF"/>
        </w:rPr>
        <w:t xml:space="preserve"> Biology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18</w:t>
      </w:r>
      <w:r w:rsidRPr="00CE78A7">
        <w:rPr>
          <w:rFonts w:ascii="Arial" w:hAnsi="Arial" w:cs="Arial"/>
          <w:color w:val="222222"/>
          <w:sz w:val="20"/>
          <w:szCs w:val="20"/>
          <w:shd w:val="clear" w:color="auto" w:fill="FFFFFF"/>
        </w:rPr>
        <w:t>(9), e3000828.</w:t>
      </w:r>
      <w:r w:rsidRPr="00CE78A7">
        <w:rPr>
          <w:rFonts w:ascii="Arial" w:hAnsi="Arial" w:cs="Arial"/>
          <w:sz w:val="20"/>
          <w:szCs w:val="20"/>
        </w:rPr>
        <w:t xml:space="preserve"> </w:t>
      </w:r>
      <w:hyperlink r:id="rId47" w:history="1">
        <w:r w:rsidRPr="00CE78A7">
          <w:rPr>
            <w:rStyle w:val="Hyperlink"/>
            <w:rFonts w:ascii="Arial" w:hAnsi="Arial" w:cs="Arial"/>
            <w:sz w:val="20"/>
            <w:szCs w:val="20"/>
            <w:shd w:val="clear" w:color="auto" w:fill="FFFFFF"/>
          </w:rPr>
          <w:t>https://doi.org/10.1371/journal.pbio.3000828</w:t>
        </w:r>
      </w:hyperlink>
    </w:p>
    <w:p w14:paraId="6E3C46DE"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proofErr w:type="spellStart"/>
      <w:r w:rsidRPr="00CE78A7">
        <w:rPr>
          <w:rFonts w:ascii="Arial" w:hAnsi="Arial" w:cs="Arial"/>
          <w:color w:val="222222"/>
          <w:sz w:val="20"/>
          <w:szCs w:val="20"/>
          <w:shd w:val="clear" w:color="auto" w:fill="FFFFFF"/>
        </w:rPr>
        <w:t>Wanner</w:t>
      </w:r>
      <w:proofErr w:type="spellEnd"/>
      <w:r w:rsidRPr="00CE78A7">
        <w:rPr>
          <w:rFonts w:ascii="Arial" w:hAnsi="Arial" w:cs="Arial"/>
          <w:color w:val="222222"/>
          <w:sz w:val="20"/>
          <w:szCs w:val="20"/>
          <w:shd w:val="clear" w:color="auto" w:fill="FFFFFF"/>
        </w:rPr>
        <w:t xml:space="preserve">, K. W., &amp; Robertson, H. M. (2008). The gustatory receptor family in the silkworm moth </w:t>
      </w:r>
      <w:r w:rsidRPr="00CE78A7">
        <w:rPr>
          <w:rFonts w:ascii="Arial" w:hAnsi="Arial" w:cs="Arial"/>
          <w:i/>
          <w:color w:val="222222"/>
          <w:sz w:val="20"/>
          <w:szCs w:val="20"/>
          <w:shd w:val="clear" w:color="auto" w:fill="FFFFFF"/>
        </w:rPr>
        <w:t xml:space="preserve">Bombyx mori </w:t>
      </w:r>
      <w:r w:rsidRPr="00CE78A7">
        <w:rPr>
          <w:rFonts w:ascii="Arial" w:hAnsi="Arial" w:cs="Arial"/>
          <w:color w:val="222222"/>
          <w:sz w:val="20"/>
          <w:szCs w:val="20"/>
          <w:shd w:val="clear" w:color="auto" w:fill="FFFFFF"/>
        </w:rPr>
        <w:t>is characterized by a large expansion of a single lineage of putative bitter receptors. </w:t>
      </w:r>
      <w:r w:rsidRPr="00CE78A7">
        <w:rPr>
          <w:rFonts w:ascii="Arial" w:hAnsi="Arial" w:cs="Arial"/>
          <w:iCs/>
          <w:color w:val="222222"/>
          <w:sz w:val="20"/>
          <w:szCs w:val="20"/>
          <w:shd w:val="clear" w:color="auto" w:fill="FFFFFF"/>
        </w:rPr>
        <w:t>Insect molecular biology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17</w:t>
      </w:r>
      <w:r w:rsidRPr="00CE78A7">
        <w:rPr>
          <w:rFonts w:ascii="Arial" w:hAnsi="Arial" w:cs="Arial"/>
          <w:color w:val="222222"/>
          <w:sz w:val="20"/>
          <w:szCs w:val="20"/>
          <w:shd w:val="clear" w:color="auto" w:fill="FFFFFF"/>
        </w:rPr>
        <w:t xml:space="preserve">(6), 621-629. </w:t>
      </w:r>
      <w:hyperlink r:id="rId48" w:history="1">
        <w:r w:rsidRPr="00CE78A7">
          <w:rPr>
            <w:rStyle w:val="Hyperlink"/>
            <w:rFonts w:ascii="Arial" w:hAnsi="Arial" w:cs="Arial"/>
            <w:sz w:val="20"/>
            <w:szCs w:val="20"/>
            <w:shd w:val="clear" w:color="auto" w:fill="FFFFFF"/>
          </w:rPr>
          <w:t>https://doi.org/10.1111/j.1365-2583.2008.00836.x</w:t>
        </w:r>
      </w:hyperlink>
    </w:p>
    <w:p w14:paraId="1977B5B3"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Endo, H., </w:t>
      </w:r>
      <w:proofErr w:type="spellStart"/>
      <w:r w:rsidRPr="00CE78A7">
        <w:rPr>
          <w:rFonts w:ascii="Arial" w:hAnsi="Arial" w:cs="Arial"/>
          <w:color w:val="222222"/>
          <w:sz w:val="20"/>
          <w:szCs w:val="20"/>
          <w:shd w:val="clear" w:color="auto" w:fill="FFFFFF"/>
        </w:rPr>
        <w:t>Tsuneto</w:t>
      </w:r>
      <w:proofErr w:type="spellEnd"/>
      <w:r w:rsidRPr="00CE78A7">
        <w:rPr>
          <w:rFonts w:ascii="Arial" w:hAnsi="Arial" w:cs="Arial"/>
          <w:color w:val="222222"/>
          <w:sz w:val="20"/>
          <w:szCs w:val="20"/>
          <w:shd w:val="clear" w:color="auto" w:fill="FFFFFF"/>
        </w:rPr>
        <w:t>, K., Mang, D., Zhang, W., Yamagishi, T., Ito, K., et al. (2024). Molecular basis of host plant recognition by silkworm larvae. </w:t>
      </w:r>
      <w:r w:rsidRPr="00CE78A7">
        <w:rPr>
          <w:rFonts w:ascii="Arial" w:hAnsi="Arial" w:cs="Arial"/>
          <w:iCs/>
          <w:color w:val="222222"/>
          <w:sz w:val="20"/>
          <w:szCs w:val="20"/>
          <w:shd w:val="clear" w:color="auto" w:fill="FFFFFF"/>
        </w:rPr>
        <w:t>Journal of Insect Physiology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154</w:t>
      </w:r>
      <w:r w:rsidRPr="00CE78A7">
        <w:rPr>
          <w:rFonts w:ascii="Arial" w:hAnsi="Arial" w:cs="Arial"/>
          <w:color w:val="222222"/>
          <w:sz w:val="20"/>
          <w:szCs w:val="20"/>
          <w:shd w:val="clear" w:color="auto" w:fill="FFFFFF"/>
        </w:rPr>
        <w:t>, 104628.</w:t>
      </w:r>
      <w:r w:rsidRPr="00CE78A7">
        <w:rPr>
          <w:rFonts w:ascii="Arial" w:hAnsi="Arial" w:cs="Arial"/>
          <w:sz w:val="20"/>
          <w:szCs w:val="20"/>
        </w:rPr>
        <w:t xml:space="preserve"> </w:t>
      </w:r>
      <w:hyperlink r:id="rId49" w:history="1">
        <w:r w:rsidRPr="00CE78A7">
          <w:rPr>
            <w:rStyle w:val="Hyperlink"/>
            <w:rFonts w:ascii="Arial" w:hAnsi="Arial" w:cs="Arial"/>
            <w:sz w:val="20"/>
            <w:szCs w:val="20"/>
            <w:shd w:val="clear" w:color="auto" w:fill="FFFFFF"/>
          </w:rPr>
          <w:t>https://doi.org/10.1016/j.jinsphys.2024.104628</w:t>
        </w:r>
      </w:hyperlink>
    </w:p>
    <w:p w14:paraId="20826208"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Style w:val="Strong"/>
          <w:rFonts w:ascii="Arial" w:hAnsi="Arial" w:cs="Arial"/>
          <w:b w:val="0"/>
          <w:sz w:val="20"/>
          <w:szCs w:val="20"/>
        </w:rPr>
        <w:t>Chun, M. W.</w:t>
      </w:r>
      <w:r w:rsidRPr="00CE78A7">
        <w:rPr>
          <w:rFonts w:ascii="Arial" w:hAnsi="Arial" w:cs="Arial"/>
          <w:sz w:val="20"/>
          <w:szCs w:val="20"/>
        </w:rPr>
        <w:t xml:space="preserve"> (1972). </w:t>
      </w:r>
      <w:r w:rsidRPr="00CE78A7">
        <w:rPr>
          <w:rStyle w:val="Emphasis"/>
          <w:rFonts w:ascii="Arial" w:hAnsi="Arial" w:cs="Arial"/>
          <w:i w:val="0"/>
          <w:sz w:val="20"/>
          <w:szCs w:val="20"/>
        </w:rPr>
        <w:t xml:space="preserve">Dynamics of feeding responses in </w:t>
      </w:r>
      <w:r w:rsidRPr="00CE78A7">
        <w:rPr>
          <w:rStyle w:val="Emphasis"/>
          <w:rFonts w:ascii="Arial" w:hAnsi="Arial" w:cs="Arial"/>
          <w:sz w:val="20"/>
          <w:szCs w:val="20"/>
        </w:rPr>
        <w:t xml:space="preserve">Pieris brassicae Linn. </w:t>
      </w:r>
      <w:r w:rsidRPr="00CE78A7">
        <w:rPr>
          <w:rStyle w:val="Emphasis"/>
          <w:rFonts w:ascii="Arial" w:hAnsi="Arial" w:cs="Arial"/>
          <w:i w:val="0"/>
          <w:sz w:val="20"/>
          <w:szCs w:val="20"/>
        </w:rPr>
        <w:t xml:space="preserve">as a function of chemosensory input: A </w:t>
      </w:r>
      <w:proofErr w:type="spellStart"/>
      <w:r w:rsidRPr="00CE78A7">
        <w:rPr>
          <w:rStyle w:val="Emphasis"/>
          <w:rFonts w:ascii="Arial" w:hAnsi="Arial" w:cs="Arial"/>
          <w:i w:val="0"/>
          <w:sz w:val="20"/>
          <w:szCs w:val="20"/>
        </w:rPr>
        <w:t>behavioural</w:t>
      </w:r>
      <w:proofErr w:type="spellEnd"/>
      <w:r w:rsidRPr="00CE78A7">
        <w:rPr>
          <w:rStyle w:val="Emphasis"/>
          <w:rFonts w:ascii="Arial" w:hAnsi="Arial" w:cs="Arial"/>
          <w:i w:val="0"/>
          <w:sz w:val="20"/>
          <w:szCs w:val="20"/>
        </w:rPr>
        <w:t>, ultrastructural and electrophysiological study</w:t>
      </w:r>
      <w:r w:rsidRPr="00CE78A7">
        <w:rPr>
          <w:rFonts w:ascii="Arial" w:hAnsi="Arial" w:cs="Arial"/>
          <w:sz w:val="20"/>
          <w:szCs w:val="20"/>
        </w:rPr>
        <w:t xml:space="preserve"> (Doctoral dissertation). Wageningen University and Research. </w:t>
      </w:r>
      <w:r w:rsidRPr="00CE78A7">
        <w:rPr>
          <w:rStyle w:val="Emphasis"/>
          <w:rFonts w:ascii="Arial" w:hAnsi="Arial" w:cs="Arial"/>
          <w:i w:val="0"/>
          <w:sz w:val="20"/>
          <w:szCs w:val="20"/>
        </w:rPr>
        <w:t>ProQuest Dissertations &amp; Theses Global</w:t>
      </w:r>
      <w:r w:rsidRPr="00CE78A7">
        <w:rPr>
          <w:rFonts w:ascii="Arial" w:hAnsi="Arial" w:cs="Arial"/>
          <w:sz w:val="20"/>
          <w:szCs w:val="20"/>
        </w:rPr>
        <w:t>, 72, 1–162.</w:t>
      </w:r>
    </w:p>
    <w:p w14:paraId="44F783C1"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Devitt, B. D., &amp; Smith, J. J. B. (1985). Action of mouthparts during feeding in the dark-sided cutworm, </w:t>
      </w:r>
      <w:proofErr w:type="spellStart"/>
      <w:r w:rsidRPr="00CE78A7">
        <w:rPr>
          <w:rFonts w:ascii="Arial" w:hAnsi="Arial" w:cs="Arial"/>
          <w:i/>
          <w:color w:val="222222"/>
          <w:sz w:val="20"/>
          <w:szCs w:val="20"/>
          <w:shd w:val="clear" w:color="auto" w:fill="FFFFFF"/>
        </w:rPr>
        <w:t>Euxoa</w:t>
      </w:r>
      <w:proofErr w:type="spellEnd"/>
      <w:r w:rsidRPr="00CE78A7">
        <w:rPr>
          <w:rFonts w:ascii="Arial" w:hAnsi="Arial" w:cs="Arial"/>
          <w:i/>
          <w:color w:val="222222"/>
          <w:sz w:val="20"/>
          <w:szCs w:val="20"/>
          <w:shd w:val="clear" w:color="auto" w:fill="FFFFFF"/>
        </w:rPr>
        <w:t xml:space="preserve"> </w:t>
      </w:r>
      <w:proofErr w:type="spellStart"/>
      <w:r w:rsidRPr="00CE78A7">
        <w:rPr>
          <w:rFonts w:ascii="Arial" w:hAnsi="Arial" w:cs="Arial"/>
          <w:i/>
          <w:color w:val="222222"/>
          <w:sz w:val="20"/>
          <w:szCs w:val="20"/>
          <w:shd w:val="clear" w:color="auto" w:fill="FFFFFF"/>
        </w:rPr>
        <w:t>messoria</w:t>
      </w:r>
      <w:proofErr w:type="spellEnd"/>
      <w:r w:rsidRPr="00CE78A7">
        <w:rPr>
          <w:rFonts w:ascii="Arial" w:hAnsi="Arial" w:cs="Arial"/>
          <w:color w:val="222222"/>
          <w:sz w:val="20"/>
          <w:szCs w:val="20"/>
          <w:shd w:val="clear" w:color="auto" w:fill="FFFFFF"/>
        </w:rPr>
        <w:t xml:space="preserve"> (Lepidoptera: </w:t>
      </w:r>
      <w:proofErr w:type="spellStart"/>
      <w:r w:rsidRPr="00CE78A7">
        <w:rPr>
          <w:rFonts w:ascii="Arial" w:hAnsi="Arial" w:cs="Arial"/>
          <w:color w:val="222222"/>
          <w:sz w:val="20"/>
          <w:szCs w:val="20"/>
          <w:shd w:val="clear" w:color="auto" w:fill="FFFFFF"/>
        </w:rPr>
        <w:t>Noctuidae</w:t>
      </w:r>
      <w:proofErr w:type="spellEnd"/>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The Canadian Entomologist</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117</w:t>
      </w:r>
      <w:r w:rsidRPr="00CE78A7">
        <w:rPr>
          <w:rFonts w:ascii="Arial" w:hAnsi="Arial" w:cs="Arial"/>
          <w:color w:val="222222"/>
          <w:sz w:val="20"/>
          <w:szCs w:val="20"/>
          <w:shd w:val="clear" w:color="auto" w:fill="FFFFFF"/>
        </w:rPr>
        <w:t>(3), 343-349.</w:t>
      </w:r>
      <w:r w:rsidRPr="00CE78A7">
        <w:rPr>
          <w:rFonts w:ascii="Arial" w:hAnsi="Arial" w:cs="Arial"/>
          <w:sz w:val="20"/>
          <w:szCs w:val="20"/>
        </w:rPr>
        <w:t xml:space="preserve"> </w:t>
      </w:r>
      <w:hyperlink r:id="rId50" w:history="1">
        <w:r w:rsidRPr="00CE78A7">
          <w:rPr>
            <w:rStyle w:val="Hyperlink"/>
            <w:rFonts w:ascii="Arial" w:hAnsi="Arial" w:cs="Arial"/>
            <w:sz w:val="20"/>
            <w:szCs w:val="20"/>
            <w:shd w:val="clear" w:color="auto" w:fill="FFFFFF"/>
          </w:rPr>
          <w:t>https://doi.org/10.4039/Ent117343-3</w:t>
        </w:r>
      </w:hyperlink>
    </w:p>
    <w:p w14:paraId="66865B74"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Morinaga, S., Nagata, K., Ihara, S., </w:t>
      </w:r>
      <w:proofErr w:type="spellStart"/>
      <w:r w:rsidRPr="00CE78A7">
        <w:rPr>
          <w:rFonts w:ascii="Arial" w:hAnsi="Arial" w:cs="Arial"/>
          <w:color w:val="222222"/>
          <w:sz w:val="20"/>
          <w:szCs w:val="20"/>
          <w:shd w:val="clear" w:color="auto" w:fill="FFFFFF"/>
        </w:rPr>
        <w:t>Yumita</w:t>
      </w:r>
      <w:proofErr w:type="spellEnd"/>
      <w:r w:rsidRPr="00CE78A7">
        <w:rPr>
          <w:rFonts w:ascii="Arial" w:hAnsi="Arial" w:cs="Arial"/>
          <w:color w:val="222222"/>
          <w:sz w:val="20"/>
          <w:szCs w:val="20"/>
          <w:shd w:val="clear" w:color="auto" w:fill="FFFFFF"/>
        </w:rPr>
        <w:t xml:space="preserve">, T., </w:t>
      </w:r>
      <w:proofErr w:type="spellStart"/>
      <w:r w:rsidRPr="00CE78A7">
        <w:rPr>
          <w:rFonts w:ascii="Arial" w:hAnsi="Arial" w:cs="Arial"/>
          <w:color w:val="222222"/>
          <w:sz w:val="20"/>
          <w:szCs w:val="20"/>
          <w:shd w:val="clear" w:color="auto" w:fill="FFFFFF"/>
        </w:rPr>
        <w:t>Niimura</w:t>
      </w:r>
      <w:proofErr w:type="spellEnd"/>
      <w:r w:rsidRPr="00CE78A7">
        <w:rPr>
          <w:rFonts w:ascii="Arial" w:hAnsi="Arial" w:cs="Arial"/>
          <w:color w:val="222222"/>
          <w:sz w:val="20"/>
          <w:szCs w:val="20"/>
          <w:shd w:val="clear" w:color="auto" w:fill="FFFFFF"/>
        </w:rPr>
        <w:t xml:space="preserve">, Y., Sato, K., &amp; </w:t>
      </w:r>
      <w:proofErr w:type="spellStart"/>
      <w:r w:rsidRPr="00CE78A7">
        <w:rPr>
          <w:rFonts w:ascii="Arial" w:hAnsi="Arial" w:cs="Arial"/>
          <w:color w:val="222222"/>
          <w:sz w:val="20"/>
          <w:szCs w:val="20"/>
          <w:shd w:val="clear" w:color="auto" w:fill="FFFFFF"/>
        </w:rPr>
        <w:t>Touhara</w:t>
      </w:r>
      <w:proofErr w:type="spellEnd"/>
      <w:r w:rsidRPr="00CE78A7">
        <w:rPr>
          <w:rFonts w:ascii="Arial" w:hAnsi="Arial" w:cs="Arial"/>
          <w:color w:val="222222"/>
          <w:sz w:val="20"/>
          <w:szCs w:val="20"/>
          <w:shd w:val="clear" w:color="auto" w:fill="FFFFFF"/>
        </w:rPr>
        <w:t>, K. (2022). Structural model for ligand binding and channel opening of an insect gustatory receptor. </w:t>
      </w:r>
      <w:r w:rsidRPr="00CE78A7">
        <w:rPr>
          <w:rFonts w:ascii="Arial" w:hAnsi="Arial" w:cs="Arial"/>
          <w:iCs/>
          <w:color w:val="222222"/>
          <w:sz w:val="20"/>
          <w:szCs w:val="20"/>
          <w:shd w:val="clear" w:color="auto" w:fill="FFFFFF"/>
        </w:rPr>
        <w:t>Journal of Biological Chemistry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298</w:t>
      </w:r>
      <w:r w:rsidRPr="00CE78A7">
        <w:rPr>
          <w:rFonts w:ascii="Arial" w:hAnsi="Arial" w:cs="Arial"/>
          <w:color w:val="222222"/>
          <w:sz w:val="20"/>
          <w:szCs w:val="20"/>
          <w:shd w:val="clear" w:color="auto" w:fill="FFFFFF"/>
        </w:rPr>
        <w:t>(11).</w:t>
      </w:r>
      <w:r w:rsidRPr="00CE78A7">
        <w:rPr>
          <w:rFonts w:ascii="Arial" w:hAnsi="Arial" w:cs="Arial"/>
          <w:sz w:val="20"/>
          <w:szCs w:val="20"/>
        </w:rPr>
        <w:t xml:space="preserve"> </w:t>
      </w:r>
      <w:hyperlink r:id="rId51" w:history="1">
        <w:r w:rsidRPr="00CE78A7">
          <w:rPr>
            <w:rStyle w:val="Hyperlink"/>
            <w:rFonts w:ascii="Arial" w:hAnsi="Arial" w:cs="Arial"/>
            <w:sz w:val="20"/>
            <w:szCs w:val="20"/>
            <w:shd w:val="clear" w:color="auto" w:fill="FFFFFF"/>
          </w:rPr>
          <w:t>http://dx.doi.org/10.1016/j.jbc.2022.102573</w:t>
        </w:r>
      </w:hyperlink>
    </w:p>
    <w:p w14:paraId="4B6F50E6"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Xu, Y., Wang, Y., Li, L., Lu, N., Zhu, Y., Huang, Z., &amp; McLoughlin, S. (2024). Plant-insect interactions across the Triassic–Jurassic boundary in the Sichuan Basin, South China. </w:t>
      </w:r>
      <w:r w:rsidRPr="00CE78A7">
        <w:rPr>
          <w:rFonts w:ascii="Arial" w:hAnsi="Arial" w:cs="Arial"/>
          <w:iCs/>
          <w:color w:val="222222"/>
          <w:sz w:val="20"/>
          <w:szCs w:val="20"/>
          <w:shd w:val="clear" w:color="auto" w:fill="FFFFFF"/>
        </w:rPr>
        <w:t>Frontiers in Ecology and Evolution</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11</w:t>
      </w:r>
      <w:r w:rsidRPr="00CE78A7">
        <w:rPr>
          <w:rFonts w:ascii="Arial" w:hAnsi="Arial" w:cs="Arial"/>
          <w:color w:val="222222"/>
          <w:sz w:val="20"/>
          <w:szCs w:val="20"/>
          <w:shd w:val="clear" w:color="auto" w:fill="FFFFFF"/>
        </w:rPr>
        <w:t>, 1338865.</w:t>
      </w:r>
      <w:r w:rsidRPr="00CE78A7">
        <w:rPr>
          <w:rFonts w:ascii="Arial" w:hAnsi="Arial" w:cs="Arial"/>
          <w:sz w:val="20"/>
          <w:szCs w:val="20"/>
        </w:rPr>
        <w:t xml:space="preserve"> </w:t>
      </w:r>
      <w:hyperlink r:id="rId52" w:history="1">
        <w:r w:rsidRPr="00CE78A7">
          <w:rPr>
            <w:rStyle w:val="Hyperlink"/>
            <w:rFonts w:ascii="Arial" w:hAnsi="Arial" w:cs="Arial"/>
            <w:sz w:val="20"/>
            <w:szCs w:val="20"/>
            <w:shd w:val="clear" w:color="auto" w:fill="FFFFFF"/>
          </w:rPr>
          <w:t>http://dx.doi.org/10.3389/fevo.2023.1338865</w:t>
        </w:r>
      </w:hyperlink>
    </w:p>
    <w:p w14:paraId="087F66A4"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Cui </w:t>
      </w:r>
      <w:proofErr w:type="spellStart"/>
      <w:r w:rsidRPr="00CE78A7">
        <w:rPr>
          <w:rFonts w:ascii="Arial" w:hAnsi="Arial" w:cs="Arial"/>
          <w:color w:val="222222"/>
          <w:sz w:val="20"/>
          <w:szCs w:val="20"/>
          <w:shd w:val="clear" w:color="auto" w:fill="FFFFFF"/>
        </w:rPr>
        <w:t>WeiZheng</w:t>
      </w:r>
      <w:proofErr w:type="spellEnd"/>
      <w:r w:rsidRPr="00CE78A7">
        <w:rPr>
          <w:rFonts w:ascii="Arial" w:hAnsi="Arial" w:cs="Arial"/>
          <w:color w:val="222222"/>
          <w:sz w:val="20"/>
          <w:szCs w:val="20"/>
          <w:shd w:val="clear" w:color="auto" w:fill="FFFFFF"/>
        </w:rPr>
        <w:t xml:space="preserve">, C. W., Wang </w:t>
      </w:r>
      <w:proofErr w:type="spellStart"/>
      <w:r w:rsidRPr="00CE78A7">
        <w:rPr>
          <w:rFonts w:ascii="Arial" w:hAnsi="Arial" w:cs="Arial"/>
          <w:color w:val="222222"/>
          <w:sz w:val="20"/>
          <w:szCs w:val="20"/>
          <w:shd w:val="clear" w:color="auto" w:fill="FFFFFF"/>
        </w:rPr>
        <w:t>YanWen</w:t>
      </w:r>
      <w:proofErr w:type="spellEnd"/>
      <w:r w:rsidRPr="00CE78A7">
        <w:rPr>
          <w:rFonts w:ascii="Arial" w:hAnsi="Arial" w:cs="Arial"/>
          <w:color w:val="222222"/>
          <w:sz w:val="20"/>
          <w:szCs w:val="20"/>
          <w:shd w:val="clear" w:color="auto" w:fill="FFFFFF"/>
        </w:rPr>
        <w:t xml:space="preserve">, W. Y., Mu </w:t>
      </w:r>
      <w:proofErr w:type="spellStart"/>
      <w:r w:rsidRPr="00CE78A7">
        <w:rPr>
          <w:rFonts w:ascii="Arial" w:hAnsi="Arial" w:cs="Arial"/>
          <w:color w:val="222222"/>
          <w:sz w:val="20"/>
          <w:szCs w:val="20"/>
          <w:shd w:val="clear" w:color="auto" w:fill="FFFFFF"/>
        </w:rPr>
        <w:t>ZhiMei</w:t>
      </w:r>
      <w:proofErr w:type="spellEnd"/>
      <w:r w:rsidRPr="00CE78A7">
        <w:rPr>
          <w:rFonts w:ascii="Arial" w:hAnsi="Arial" w:cs="Arial"/>
          <w:color w:val="222222"/>
          <w:sz w:val="20"/>
          <w:szCs w:val="20"/>
          <w:shd w:val="clear" w:color="auto" w:fill="FFFFFF"/>
        </w:rPr>
        <w:t xml:space="preserve">, M. Z., Hu </w:t>
      </w:r>
      <w:proofErr w:type="spellStart"/>
      <w:r w:rsidRPr="00CE78A7">
        <w:rPr>
          <w:rFonts w:ascii="Arial" w:hAnsi="Arial" w:cs="Arial"/>
          <w:color w:val="222222"/>
          <w:sz w:val="20"/>
          <w:szCs w:val="20"/>
          <w:shd w:val="clear" w:color="auto" w:fill="FFFFFF"/>
        </w:rPr>
        <w:t>ZengJuan</w:t>
      </w:r>
      <w:proofErr w:type="spellEnd"/>
      <w:r w:rsidRPr="00CE78A7">
        <w:rPr>
          <w:rFonts w:ascii="Arial" w:hAnsi="Arial" w:cs="Arial"/>
          <w:color w:val="222222"/>
          <w:sz w:val="20"/>
          <w:szCs w:val="20"/>
          <w:shd w:val="clear" w:color="auto" w:fill="FFFFFF"/>
        </w:rPr>
        <w:t xml:space="preserve">, H. Z., &amp; Xu </w:t>
      </w:r>
      <w:proofErr w:type="spellStart"/>
      <w:r w:rsidRPr="00CE78A7">
        <w:rPr>
          <w:rFonts w:ascii="Arial" w:hAnsi="Arial" w:cs="Arial"/>
          <w:color w:val="222222"/>
          <w:sz w:val="20"/>
          <w:szCs w:val="20"/>
          <w:shd w:val="clear" w:color="auto" w:fill="FFFFFF"/>
        </w:rPr>
        <w:t>JunLiang</w:t>
      </w:r>
      <w:proofErr w:type="spellEnd"/>
      <w:r w:rsidRPr="00CE78A7">
        <w:rPr>
          <w:rFonts w:ascii="Arial" w:hAnsi="Arial" w:cs="Arial"/>
          <w:color w:val="222222"/>
          <w:sz w:val="20"/>
          <w:szCs w:val="20"/>
          <w:shd w:val="clear" w:color="auto" w:fill="FFFFFF"/>
        </w:rPr>
        <w:t>, X. J. (2001). Gustation electrophysiological response to vitamin C of silkworm (</w:t>
      </w:r>
      <w:r w:rsidRPr="00CE78A7">
        <w:rPr>
          <w:rFonts w:ascii="Arial" w:hAnsi="Arial" w:cs="Arial"/>
          <w:i/>
          <w:color w:val="222222"/>
          <w:sz w:val="20"/>
          <w:szCs w:val="20"/>
          <w:shd w:val="clear" w:color="auto" w:fill="FFFFFF"/>
        </w:rPr>
        <w:t>Bombyx mori</w:t>
      </w:r>
      <w:proofErr w:type="gramStart"/>
      <w:r w:rsidRPr="00CE78A7">
        <w:rPr>
          <w:rFonts w:ascii="Arial" w:hAnsi="Arial" w:cs="Arial"/>
          <w:color w:val="222222"/>
          <w:sz w:val="20"/>
          <w:szCs w:val="20"/>
          <w:shd w:val="clear" w:color="auto" w:fill="FFFFFF"/>
        </w:rPr>
        <w:t>).Acta</w:t>
      </w:r>
      <w:proofErr w:type="gramEnd"/>
      <w:r w:rsidRPr="00CE78A7">
        <w:rPr>
          <w:rFonts w:ascii="Arial" w:hAnsi="Arial" w:cs="Arial"/>
          <w:color w:val="222222"/>
          <w:sz w:val="20"/>
          <w:szCs w:val="20"/>
          <w:shd w:val="clear" w:color="auto" w:fill="FFFFFF"/>
        </w:rPr>
        <w:t xml:space="preserve"> </w:t>
      </w:r>
      <w:proofErr w:type="spellStart"/>
      <w:r w:rsidRPr="00CE78A7">
        <w:rPr>
          <w:rFonts w:ascii="Arial" w:hAnsi="Arial" w:cs="Arial"/>
          <w:color w:val="222222"/>
          <w:sz w:val="20"/>
          <w:szCs w:val="20"/>
          <w:shd w:val="clear" w:color="auto" w:fill="FFFFFF"/>
        </w:rPr>
        <w:t>Sericologica</w:t>
      </w:r>
      <w:proofErr w:type="spellEnd"/>
      <w:r w:rsidRPr="00CE78A7">
        <w:rPr>
          <w:rFonts w:ascii="Arial" w:hAnsi="Arial" w:cs="Arial"/>
          <w:color w:val="222222"/>
          <w:sz w:val="20"/>
          <w:szCs w:val="20"/>
          <w:shd w:val="clear" w:color="auto" w:fill="FFFFFF"/>
        </w:rPr>
        <w:t xml:space="preserve"> </w:t>
      </w:r>
      <w:proofErr w:type="spellStart"/>
      <w:r w:rsidRPr="00CE78A7">
        <w:rPr>
          <w:rFonts w:ascii="Arial" w:hAnsi="Arial" w:cs="Arial"/>
          <w:color w:val="222222"/>
          <w:sz w:val="20"/>
          <w:szCs w:val="20"/>
          <w:shd w:val="clear" w:color="auto" w:fill="FFFFFF"/>
        </w:rPr>
        <w:t>Sinica</w:t>
      </w:r>
      <w:proofErr w:type="spellEnd"/>
      <w:r w:rsidRPr="00CE78A7">
        <w:rPr>
          <w:rFonts w:ascii="Arial" w:hAnsi="Arial" w:cs="Arial"/>
          <w:color w:val="222222"/>
          <w:sz w:val="20"/>
          <w:szCs w:val="20"/>
          <w:shd w:val="clear" w:color="auto" w:fill="FFFFFF"/>
        </w:rPr>
        <w:t xml:space="preserve">, 27(9), 92-95. </w:t>
      </w:r>
    </w:p>
    <w:p w14:paraId="1A916850"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Guo, H., Cheng, T., Chen, Z., Jiang, L., Guo, Y., Liu, J., et al. (2017). Expression map of a complete set of gustatory receptor genes in chemosensory organs of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Insect Biochemistry and Molecular Biology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82</w:t>
      </w:r>
      <w:r w:rsidRPr="00CE78A7">
        <w:rPr>
          <w:rFonts w:ascii="Arial" w:hAnsi="Arial" w:cs="Arial"/>
          <w:color w:val="222222"/>
          <w:sz w:val="20"/>
          <w:szCs w:val="20"/>
          <w:shd w:val="clear" w:color="auto" w:fill="FFFFFF"/>
        </w:rPr>
        <w:t>, 74-82.</w:t>
      </w:r>
      <w:r w:rsidRPr="00CE78A7">
        <w:rPr>
          <w:rFonts w:ascii="Arial" w:hAnsi="Arial" w:cs="Arial"/>
          <w:sz w:val="20"/>
          <w:szCs w:val="20"/>
        </w:rPr>
        <w:t xml:space="preserve"> </w:t>
      </w:r>
      <w:hyperlink r:id="rId53" w:history="1">
        <w:r w:rsidRPr="00CE78A7">
          <w:rPr>
            <w:rStyle w:val="Hyperlink"/>
            <w:rFonts w:ascii="Arial" w:hAnsi="Arial" w:cs="Arial"/>
            <w:sz w:val="20"/>
            <w:szCs w:val="20"/>
            <w:shd w:val="clear" w:color="auto" w:fill="FFFFFF"/>
          </w:rPr>
          <w:t>https://doi.org/10.1016/j.ibmb.2017.02.001</w:t>
        </w:r>
      </w:hyperlink>
    </w:p>
    <w:p w14:paraId="575B8A85"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lastRenderedPageBreak/>
        <w:t>Zhang, H. J., Anderson, A. R., Trowell, S. C., Luo, A. R., Xiang, Z. H., &amp; Xia, Q. Y. (2011). Topological and functional characterization of an insect gustatory receptor</w:t>
      </w:r>
      <w:r w:rsidRPr="00CE78A7">
        <w:rPr>
          <w:rFonts w:ascii="Arial" w:hAnsi="Arial" w:cs="Arial"/>
          <w:i/>
          <w:color w:val="222222"/>
          <w:sz w:val="20"/>
          <w:szCs w:val="20"/>
          <w:shd w:val="clear" w:color="auto" w:fill="FFFFFF"/>
        </w:rPr>
        <w:t>. </w:t>
      </w:r>
      <w:proofErr w:type="spellStart"/>
      <w:r w:rsidRPr="00CE78A7">
        <w:rPr>
          <w:rFonts w:ascii="Arial" w:hAnsi="Arial" w:cs="Arial"/>
          <w:iCs/>
          <w:color w:val="222222"/>
          <w:sz w:val="20"/>
          <w:szCs w:val="20"/>
          <w:shd w:val="clear" w:color="auto" w:fill="FFFFFF"/>
        </w:rPr>
        <w:t>PloS</w:t>
      </w:r>
      <w:proofErr w:type="spellEnd"/>
      <w:r w:rsidRPr="00CE78A7">
        <w:rPr>
          <w:rFonts w:ascii="Arial" w:hAnsi="Arial" w:cs="Arial"/>
          <w:iCs/>
          <w:color w:val="222222"/>
          <w:sz w:val="20"/>
          <w:szCs w:val="20"/>
          <w:shd w:val="clear" w:color="auto" w:fill="FFFFFF"/>
        </w:rPr>
        <w:t xml:space="preserve"> one</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6</w:t>
      </w:r>
      <w:r w:rsidRPr="00CE78A7">
        <w:rPr>
          <w:rFonts w:ascii="Arial" w:hAnsi="Arial" w:cs="Arial"/>
          <w:i/>
          <w:color w:val="222222"/>
          <w:sz w:val="20"/>
          <w:szCs w:val="20"/>
          <w:shd w:val="clear" w:color="auto" w:fill="FFFFFF"/>
        </w:rPr>
        <w:t>(</w:t>
      </w:r>
      <w:r w:rsidRPr="00CE78A7">
        <w:rPr>
          <w:rFonts w:ascii="Arial" w:hAnsi="Arial" w:cs="Arial"/>
          <w:color w:val="222222"/>
          <w:sz w:val="20"/>
          <w:szCs w:val="20"/>
          <w:shd w:val="clear" w:color="auto" w:fill="FFFFFF"/>
        </w:rPr>
        <w:t>8), e24111.</w:t>
      </w:r>
      <w:r w:rsidRPr="00CE78A7">
        <w:rPr>
          <w:rFonts w:ascii="Arial" w:hAnsi="Arial" w:cs="Arial"/>
          <w:sz w:val="20"/>
          <w:szCs w:val="20"/>
        </w:rPr>
        <w:t xml:space="preserve"> </w:t>
      </w:r>
      <w:hyperlink r:id="rId54" w:history="1">
        <w:r w:rsidRPr="00CE78A7">
          <w:rPr>
            <w:rStyle w:val="Hyperlink"/>
            <w:rFonts w:ascii="Arial" w:hAnsi="Arial" w:cs="Arial"/>
            <w:sz w:val="20"/>
            <w:szCs w:val="20"/>
            <w:shd w:val="clear" w:color="auto" w:fill="FFFFFF"/>
          </w:rPr>
          <w:t>https://doi.org/10.1371/journal.pone.0024111</w:t>
        </w:r>
      </w:hyperlink>
    </w:p>
    <w:p w14:paraId="6DDDF8C4"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Mang, D., Shu, M., Endo, H., Yoshizawa, Y., Nagata, S., Kikuta, S., &amp; Sato, R. (2016). Expression of a sugar clade gustatory receptor, BmGr6, in the oral sensory organs, midgut, and central nervous system of larvae of the silkworm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Insect Biochemistry and Molecular Biology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70</w:t>
      </w:r>
      <w:r w:rsidRPr="00CE78A7">
        <w:rPr>
          <w:rFonts w:ascii="Arial" w:hAnsi="Arial" w:cs="Arial"/>
          <w:color w:val="222222"/>
          <w:sz w:val="20"/>
          <w:szCs w:val="20"/>
          <w:shd w:val="clear" w:color="auto" w:fill="FFFFFF"/>
        </w:rPr>
        <w:t>, 85-98.</w:t>
      </w:r>
      <w:r w:rsidRPr="00CE78A7">
        <w:rPr>
          <w:rFonts w:ascii="Arial" w:hAnsi="Arial" w:cs="Arial"/>
          <w:sz w:val="20"/>
          <w:szCs w:val="20"/>
        </w:rPr>
        <w:t xml:space="preserve"> </w:t>
      </w:r>
      <w:hyperlink r:id="rId55" w:history="1">
        <w:r w:rsidRPr="00CE78A7">
          <w:rPr>
            <w:rStyle w:val="Hyperlink"/>
            <w:rFonts w:ascii="Arial" w:hAnsi="Arial" w:cs="Arial"/>
            <w:sz w:val="20"/>
            <w:szCs w:val="20"/>
            <w:shd w:val="clear" w:color="auto" w:fill="FFFFFF"/>
          </w:rPr>
          <w:t>https://doi.org/10.1016/j.ibmb.2015.12.008</w:t>
        </w:r>
      </w:hyperlink>
    </w:p>
    <w:p w14:paraId="779D58FB"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proofErr w:type="spellStart"/>
      <w:r w:rsidRPr="00CE78A7">
        <w:rPr>
          <w:rFonts w:ascii="Arial" w:hAnsi="Arial" w:cs="Arial"/>
          <w:color w:val="222222"/>
          <w:sz w:val="20"/>
          <w:szCs w:val="20"/>
          <w:shd w:val="clear" w:color="auto" w:fill="FFFFFF"/>
        </w:rPr>
        <w:t>Kasubuchi</w:t>
      </w:r>
      <w:proofErr w:type="spellEnd"/>
      <w:r w:rsidRPr="00CE78A7">
        <w:rPr>
          <w:rFonts w:ascii="Arial" w:hAnsi="Arial" w:cs="Arial"/>
          <w:color w:val="222222"/>
          <w:sz w:val="20"/>
          <w:szCs w:val="20"/>
          <w:shd w:val="clear" w:color="auto" w:fill="FFFFFF"/>
        </w:rPr>
        <w:t xml:space="preserve">, M., </w:t>
      </w:r>
      <w:proofErr w:type="spellStart"/>
      <w:r w:rsidRPr="00CE78A7">
        <w:rPr>
          <w:rFonts w:ascii="Arial" w:hAnsi="Arial" w:cs="Arial"/>
          <w:color w:val="222222"/>
          <w:sz w:val="20"/>
          <w:szCs w:val="20"/>
          <w:shd w:val="clear" w:color="auto" w:fill="FFFFFF"/>
        </w:rPr>
        <w:t>Shii</w:t>
      </w:r>
      <w:proofErr w:type="spellEnd"/>
      <w:r w:rsidRPr="00CE78A7">
        <w:rPr>
          <w:rFonts w:ascii="Arial" w:hAnsi="Arial" w:cs="Arial"/>
          <w:color w:val="222222"/>
          <w:sz w:val="20"/>
          <w:szCs w:val="20"/>
          <w:shd w:val="clear" w:color="auto" w:fill="FFFFFF"/>
        </w:rPr>
        <w:t xml:space="preserve">, F., </w:t>
      </w:r>
      <w:proofErr w:type="spellStart"/>
      <w:r w:rsidRPr="00CE78A7">
        <w:rPr>
          <w:rFonts w:ascii="Arial" w:hAnsi="Arial" w:cs="Arial"/>
          <w:color w:val="222222"/>
          <w:sz w:val="20"/>
          <w:szCs w:val="20"/>
          <w:shd w:val="clear" w:color="auto" w:fill="FFFFFF"/>
        </w:rPr>
        <w:t>Tsuneto</w:t>
      </w:r>
      <w:proofErr w:type="spellEnd"/>
      <w:r w:rsidRPr="00CE78A7">
        <w:rPr>
          <w:rFonts w:ascii="Arial" w:hAnsi="Arial" w:cs="Arial"/>
          <w:color w:val="222222"/>
          <w:sz w:val="20"/>
          <w:szCs w:val="20"/>
          <w:shd w:val="clear" w:color="auto" w:fill="FFFFFF"/>
        </w:rPr>
        <w:t xml:space="preserve">, K., Yamagishi, T., </w:t>
      </w:r>
      <w:proofErr w:type="spellStart"/>
      <w:r w:rsidRPr="00CE78A7">
        <w:rPr>
          <w:rFonts w:ascii="Arial" w:hAnsi="Arial" w:cs="Arial"/>
          <w:color w:val="222222"/>
          <w:sz w:val="20"/>
          <w:szCs w:val="20"/>
          <w:shd w:val="clear" w:color="auto" w:fill="FFFFFF"/>
        </w:rPr>
        <w:t>Adegawa</w:t>
      </w:r>
      <w:proofErr w:type="spellEnd"/>
      <w:r w:rsidRPr="00CE78A7">
        <w:rPr>
          <w:rFonts w:ascii="Arial" w:hAnsi="Arial" w:cs="Arial"/>
          <w:color w:val="222222"/>
          <w:sz w:val="20"/>
          <w:szCs w:val="20"/>
          <w:shd w:val="clear" w:color="auto" w:fill="FFFFFF"/>
        </w:rPr>
        <w:t>, S., Endo, H., &amp; Sato, R. (2018). Insect taste receptors relevant to host identification by recognition of secondary metabolite patterns of non-host plants. </w:t>
      </w:r>
      <w:r w:rsidRPr="00CE78A7">
        <w:rPr>
          <w:rFonts w:ascii="Arial" w:hAnsi="Arial" w:cs="Arial"/>
          <w:iCs/>
          <w:color w:val="222222"/>
          <w:sz w:val="20"/>
          <w:szCs w:val="20"/>
          <w:shd w:val="clear" w:color="auto" w:fill="FFFFFF"/>
        </w:rPr>
        <w:t>Biochemical and Biophysical Research Communications</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49</w:t>
      </w:r>
      <w:r w:rsidRPr="00CE78A7">
        <w:rPr>
          <w:rFonts w:ascii="Arial" w:hAnsi="Arial" w:cs="Arial"/>
          <w:i/>
          <w:iCs/>
          <w:color w:val="222222"/>
          <w:sz w:val="20"/>
          <w:szCs w:val="20"/>
          <w:shd w:val="clear" w:color="auto" w:fill="FFFFFF"/>
        </w:rPr>
        <w:t>9</w:t>
      </w:r>
      <w:r w:rsidRPr="00CE78A7">
        <w:rPr>
          <w:rFonts w:ascii="Arial" w:hAnsi="Arial" w:cs="Arial"/>
          <w:color w:val="222222"/>
          <w:sz w:val="20"/>
          <w:szCs w:val="20"/>
          <w:shd w:val="clear" w:color="auto" w:fill="FFFFFF"/>
        </w:rPr>
        <w:t xml:space="preserve">(4), 901-906. </w:t>
      </w:r>
      <w:hyperlink r:id="rId56" w:history="1">
        <w:r w:rsidRPr="00CE78A7">
          <w:rPr>
            <w:rStyle w:val="Hyperlink"/>
            <w:rFonts w:ascii="Arial" w:hAnsi="Arial" w:cs="Arial"/>
            <w:sz w:val="20"/>
            <w:szCs w:val="20"/>
            <w:shd w:val="clear" w:color="auto" w:fill="FFFFFF"/>
          </w:rPr>
          <w:t>https://doi.org/10.1016/j.bbrc.2018.04.014</w:t>
        </w:r>
      </w:hyperlink>
    </w:p>
    <w:p w14:paraId="6A6B9708"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Baci, G. M., Cucu, A. A., Giurgiu, A. I., </w:t>
      </w:r>
      <w:proofErr w:type="spellStart"/>
      <w:r w:rsidRPr="00CE78A7">
        <w:rPr>
          <w:rFonts w:ascii="Arial" w:hAnsi="Arial" w:cs="Arial"/>
          <w:color w:val="222222"/>
          <w:sz w:val="20"/>
          <w:szCs w:val="20"/>
          <w:shd w:val="clear" w:color="auto" w:fill="FFFFFF"/>
        </w:rPr>
        <w:t>Muscă</w:t>
      </w:r>
      <w:proofErr w:type="spellEnd"/>
      <w:r w:rsidRPr="00CE78A7">
        <w:rPr>
          <w:rFonts w:ascii="Arial" w:hAnsi="Arial" w:cs="Arial"/>
          <w:color w:val="222222"/>
          <w:sz w:val="20"/>
          <w:szCs w:val="20"/>
          <w:shd w:val="clear" w:color="auto" w:fill="FFFFFF"/>
        </w:rPr>
        <w:t xml:space="preserve">, A. S., </w:t>
      </w:r>
      <w:proofErr w:type="spellStart"/>
      <w:r w:rsidRPr="00CE78A7">
        <w:rPr>
          <w:rFonts w:ascii="Arial" w:hAnsi="Arial" w:cs="Arial"/>
          <w:color w:val="222222"/>
          <w:sz w:val="20"/>
          <w:szCs w:val="20"/>
          <w:shd w:val="clear" w:color="auto" w:fill="FFFFFF"/>
        </w:rPr>
        <w:t>Bagameri</w:t>
      </w:r>
      <w:proofErr w:type="spellEnd"/>
      <w:r w:rsidRPr="00CE78A7">
        <w:rPr>
          <w:rFonts w:ascii="Arial" w:hAnsi="Arial" w:cs="Arial"/>
          <w:color w:val="222222"/>
          <w:sz w:val="20"/>
          <w:szCs w:val="20"/>
          <w:shd w:val="clear" w:color="auto" w:fill="FFFFFF"/>
        </w:rPr>
        <w:t>, L., Moise, A. R. et al. (2021). Advances in editing silkworms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genome by using the CRISPR-</w:t>
      </w:r>
      <w:proofErr w:type="spellStart"/>
      <w:r w:rsidRPr="00CE78A7">
        <w:rPr>
          <w:rFonts w:ascii="Arial" w:hAnsi="Arial" w:cs="Arial"/>
          <w:color w:val="222222"/>
          <w:sz w:val="20"/>
          <w:szCs w:val="20"/>
          <w:shd w:val="clear" w:color="auto" w:fill="FFFFFF"/>
        </w:rPr>
        <w:t>cas</w:t>
      </w:r>
      <w:proofErr w:type="spellEnd"/>
      <w:r w:rsidRPr="00CE78A7">
        <w:rPr>
          <w:rFonts w:ascii="Arial" w:hAnsi="Arial" w:cs="Arial"/>
          <w:color w:val="222222"/>
          <w:sz w:val="20"/>
          <w:szCs w:val="20"/>
          <w:shd w:val="clear" w:color="auto" w:fill="FFFFFF"/>
        </w:rPr>
        <w:t xml:space="preserve"> system. </w:t>
      </w:r>
      <w:r w:rsidRPr="00CE78A7">
        <w:rPr>
          <w:rFonts w:ascii="Arial" w:hAnsi="Arial" w:cs="Arial"/>
          <w:iCs/>
          <w:color w:val="222222"/>
          <w:sz w:val="20"/>
          <w:szCs w:val="20"/>
          <w:shd w:val="clear" w:color="auto" w:fill="FFFFFF"/>
        </w:rPr>
        <w:t>Insects</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13</w:t>
      </w:r>
      <w:r w:rsidRPr="00CE78A7">
        <w:rPr>
          <w:rFonts w:ascii="Arial" w:hAnsi="Arial" w:cs="Arial"/>
          <w:color w:val="222222"/>
          <w:sz w:val="20"/>
          <w:szCs w:val="20"/>
          <w:shd w:val="clear" w:color="auto" w:fill="FFFFFF"/>
        </w:rPr>
        <w:t>(1), 28.</w:t>
      </w:r>
      <w:r w:rsidRPr="00CE78A7">
        <w:rPr>
          <w:rFonts w:ascii="Arial" w:hAnsi="Arial" w:cs="Arial"/>
          <w:sz w:val="20"/>
          <w:szCs w:val="20"/>
        </w:rPr>
        <w:t xml:space="preserve"> </w:t>
      </w:r>
      <w:hyperlink r:id="rId57" w:history="1">
        <w:r w:rsidRPr="00CE78A7">
          <w:rPr>
            <w:rStyle w:val="Hyperlink"/>
            <w:rFonts w:ascii="Arial" w:hAnsi="Arial" w:cs="Arial"/>
            <w:sz w:val="20"/>
            <w:szCs w:val="20"/>
            <w:shd w:val="clear" w:color="auto" w:fill="FFFFFF"/>
          </w:rPr>
          <w:t>https://doi.org/10.3390/insects13010028</w:t>
        </w:r>
      </w:hyperlink>
    </w:p>
    <w:p w14:paraId="3C8E05DE"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Zhang, Z. J., Zhang, S. S., Niu, B. L., Ji, D. F., Liu, X. J., Li, M. W., et al. (2019). A determining factor for insect feeding preference in the silkworm,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w:t>
      </w:r>
      <w:proofErr w:type="spellStart"/>
      <w:r w:rsidRPr="00CE78A7">
        <w:rPr>
          <w:rFonts w:ascii="Arial" w:hAnsi="Arial" w:cs="Arial"/>
          <w:iCs/>
          <w:color w:val="222222"/>
          <w:sz w:val="20"/>
          <w:szCs w:val="20"/>
          <w:shd w:val="clear" w:color="auto" w:fill="FFFFFF"/>
        </w:rPr>
        <w:t>PLoS</w:t>
      </w:r>
      <w:proofErr w:type="spellEnd"/>
      <w:r w:rsidRPr="00CE78A7">
        <w:rPr>
          <w:rFonts w:ascii="Arial" w:hAnsi="Arial" w:cs="Arial"/>
          <w:iCs/>
          <w:color w:val="222222"/>
          <w:sz w:val="20"/>
          <w:szCs w:val="20"/>
          <w:shd w:val="clear" w:color="auto" w:fill="FFFFFF"/>
        </w:rPr>
        <w:t xml:space="preserve"> Biology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17</w:t>
      </w:r>
      <w:r w:rsidRPr="00CE78A7">
        <w:rPr>
          <w:rFonts w:ascii="Arial" w:hAnsi="Arial" w:cs="Arial"/>
          <w:color w:val="222222"/>
          <w:sz w:val="20"/>
          <w:szCs w:val="20"/>
          <w:shd w:val="clear" w:color="auto" w:fill="FFFFFF"/>
        </w:rPr>
        <w:t>(2), e3000162.</w:t>
      </w:r>
      <w:r w:rsidRPr="00CE78A7">
        <w:rPr>
          <w:rFonts w:ascii="Arial" w:hAnsi="Arial" w:cs="Arial"/>
          <w:sz w:val="20"/>
          <w:szCs w:val="20"/>
        </w:rPr>
        <w:t xml:space="preserve"> </w:t>
      </w:r>
      <w:hyperlink r:id="rId58" w:history="1">
        <w:r w:rsidRPr="00CE78A7">
          <w:rPr>
            <w:rStyle w:val="Hyperlink"/>
            <w:rFonts w:ascii="Arial" w:hAnsi="Arial" w:cs="Arial"/>
            <w:sz w:val="20"/>
            <w:szCs w:val="20"/>
            <w:shd w:val="clear" w:color="auto" w:fill="FFFFFF"/>
          </w:rPr>
          <w:t>https://doi.org/10.1371/journal.pbio.3000162</w:t>
        </w:r>
      </w:hyperlink>
    </w:p>
    <w:p w14:paraId="2F83E812"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Gong, D. P., Zhang, H. J., Zhao, P., Xia, Q. Y., &amp; Xiang, Z. H. (2009). The odorant binding protein gene family from the genome of silkworm,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BMC genomics</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10</w:t>
      </w:r>
      <w:r w:rsidRPr="00CE78A7">
        <w:rPr>
          <w:rFonts w:ascii="Arial" w:hAnsi="Arial" w:cs="Arial"/>
          <w:color w:val="222222"/>
          <w:sz w:val="20"/>
          <w:szCs w:val="20"/>
          <w:shd w:val="clear" w:color="auto" w:fill="FFFFFF"/>
        </w:rPr>
        <w:t>(1), 332.</w:t>
      </w:r>
    </w:p>
    <w:p w14:paraId="726ACCE2"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Tanaka, K., Uda, Y., Ono, Y., Nakagawa, T., </w:t>
      </w:r>
      <w:proofErr w:type="spellStart"/>
      <w:r w:rsidRPr="00CE78A7">
        <w:rPr>
          <w:rFonts w:ascii="Arial" w:hAnsi="Arial" w:cs="Arial"/>
          <w:color w:val="222222"/>
          <w:sz w:val="20"/>
          <w:szCs w:val="20"/>
          <w:shd w:val="clear" w:color="auto" w:fill="FFFFFF"/>
        </w:rPr>
        <w:t>Suwa</w:t>
      </w:r>
      <w:proofErr w:type="spellEnd"/>
      <w:r w:rsidRPr="00CE78A7">
        <w:rPr>
          <w:rFonts w:ascii="Arial" w:hAnsi="Arial" w:cs="Arial"/>
          <w:color w:val="222222"/>
          <w:sz w:val="20"/>
          <w:szCs w:val="20"/>
          <w:shd w:val="clear" w:color="auto" w:fill="FFFFFF"/>
        </w:rPr>
        <w:t xml:space="preserve">, M., Yamaoka, R., &amp; </w:t>
      </w:r>
      <w:proofErr w:type="spellStart"/>
      <w:r w:rsidRPr="00CE78A7">
        <w:rPr>
          <w:rFonts w:ascii="Arial" w:hAnsi="Arial" w:cs="Arial"/>
          <w:color w:val="222222"/>
          <w:sz w:val="20"/>
          <w:szCs w:val="20"/>
          <w:shd w:val="clear" w:color="auto" w:fill="FFFFFF"/>
        </w:rPr>
        <w:t>Touhara</w:t>
      </w:r>
      <w:proofErr w:type="spellEnd"/>
      <w:r w:rsidRPr="00CE78A7">
        <w:rPr>
          <w:rFonts w:ascii="Arial" w:hAnsi="Arial" w:cs="Arial"/>
          <w:color w:val="222222"/>
          <w:sz w:val="20"/>
          <w:szCs w:val="20"/>
          <w:shd w:val="clear" w:color="auto" w:fill="FFFFFF"/>
        </w:rPr>
        <w:t>, K. (2009). Highly selective tuning of a silkworm olfactory receptor to a key mulberry leaf volatile. </w:t>
      </w:r>
      <w:r w:rsidRPr="00CE78A7">
        <w:rPr>
          <w:rFonts w:ascii="Arial" w:hAnsi="Arial" w:cs="Arial"/>
          <w:iCs/>
          <w:color w:val="222222"/>
          <w:sz w:val="20"/>
          <w:szCs w:val="20"/>
          <w:shd w:val="clear" w:color="auto" w:fill="FFFFFF"/>
        </w:rPr>
        <w:t>Current Biology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19</w:t>
      </w:r>
      <w:r w:rsidRPr="00CE78A7">
        <w:rPr>
          <w:rFonts w:ascii="Arial" w:hAnsi="Arial" w:cs="Arial"/>
          <w:color w:val="222222"/>
          <w:sz w:val="20"/>
          <w:szCs w:val="20"/>
          <w:shd w:val="clear" w:color="auto" w:fill="FFFFFF"/>
        </w:rPr>
        <w:t xml:space="preserve">(11), 881-890. </w:t>
      </w:r>
    </w:p>
    <w:p w14:paraId="0642EBD9"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Xin, S., &amp; Zhang, W. (2020). Construction and analysis of the protein–protein interaction network for the olfactory system of the silkworm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Archives of Insect Biochemistry and Physiology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105</w:t>
      </w:r>
      <w:r w:rsidRPr="00CE78A7">
        <w:rPr>
          <w:rFonts w:ascii="Arial" w:hAnsi="Arial" w:cs="Arial"/>
          <w:color w:val="222222"/>
          <w:sz w:val="20"/>
          <w:szCs w:val="20"/>
          <w:shd w:val="clear" w:color="auto" w:fill="FFFFFF"/>
        </w:rPr>
        <w:t>(3), e21737.</w:t>
      </w:r>
      <w:r w:rsidRPr="00CE78A7">
        <w:rPr>
          <w:rFonts w:ascii="Arial" w:hAnsi="Arial" w:cs="Arial"/>
          <w:sz w:val="20"/>
          <w:szCs w:val="20"/>
        </w:rPr>
        <w:t xml:space="preserve"> </w:t>
      </w:r>
      <w:hyperlink r:id="rId59" w:history="1">
        <w:r w:rsidRPr="00CE78A7">
          <w:rPr>
            <w:rStyle w:val="Hyperlink"/>
            <w:rFonts w:ascii="Arial" w:hAnsi="Arial" w:cs="Arial"/>
            <w:sz w:val="20"/>
            <w:szCs w:val="20"/>
            <w:shd w:val="clear" w:color="auto" w:fill="FFFFFF"/>
          </w:rPr>
          <w:t>https://doi.org/10.1002/arch.21737</w:t>
        </w:r>
      </w:hyperlink>
    </w:p>
    <w:p w14:paraId="505E8D1E"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Sun, Y., Tao, S., Zhang, W., Jiang, B., Dai, H. Y., Liu, B. S. et al. (2022). Transcriptome profile analysis reveals the </w:t>
      </w:r>
      <w:proofErr w:type="spellStart"/>
      <w:r w:rsidRPr="00CE78A7">
        <w:rPr>
          <w:rFonts w:ascii="Arial" w:hAnsi="Arial" w:cs="Arial"/>
          <w:color w:val="222222"/>
          <w:sz w:val="20"/>
          <w:szCs w:val="20"/>
          <w:shd w:val="clear" w:color="auto" w:fill="FFFFFF"/>
        </w:rPr>
        <w:t>emamectin</w:t>
      </w:r>
      <w:proofErr w:type="spellEnd"/>
      <w:r w:rsidRPr="00CE78A7">
        <w:rPr>
          <w:rFonts w:ascii="Arial" w:hAnsi="Arial" w:cs="Arial"/>
          <w:color w:val="222222"/>
          <w:sz w:val="20"/>
          <w:szCs w:val="20"/>
          <w:shd w:val="clear" w:color="auto" w:fill="FFFFFF"/>
        </w:rPr>
        <w:t xml:space="preserve"> benzoate-induced genes associated with olfaction and metabolic detoxification in </w:t>
      </w:r>
      <w:proofErr w:type="spellStart"/>
      <w:r w:rsidRPr="00CE78A7">
        <w:rPr>
          <w:rFonts w:ascii="Arial" w:hAnsi="Arial" w:cs="Arial"/>
          <w:i/>
          <w:color w:val="222222"/>
          <w:sz w:val="20"/>
          <w:szCs w:val="20"/>
          <w:shd w:val="clear" w:color="auto" w:fill="FFFFFF"/>
        </w:rPr>
        <w:t>Spodoptera</w:t>
      </w:r>
      <w:proofErr w:type="spellEnd"/>
      <w:r w:rsidRPr="00CE78A7">
        <w:rPr>
          <w:rFonts w:ascii="Arial" w:hAnsi="Arial" w:cs="Arial"/>
          <w:i/>
          <w:color w:val="222222"/>
          <w:sz w:val="20"/>
          <w:szCs w:val="20"/>
          <w:shd w:val="clear" w:color="auto" w:fill="FFFFFF"/>
        </w:rPr>
        <w:t xml:space="preserve"> </w:t>
      </w:r>
      <w:proofErr w:type="spellStart"/>
      <w:r w:rsidRPr="00CE78A7">
        <w:rPr>
          <w:rFonts w:ascii="Arial" w:hAnsi="Arial" w:cs="Arial"/>
          <w:i/>
          <w:color w:val="222222"/>
          <w:sz w:val="20"/>
          <w:szCs w:val="20"/>
          <w:shd w:val="clear" w:color="auto" w:fill="FFFFFF"/>
        </w:rPr>
        <w:t>exigua</w:t>
      </w:r>
      <w:proofErr w:type="spellEnd"/>
      <w:r w:rsidRPr="00CE78A7">
        <w:rPr>
          <w:rFonts w:ascii="Arial" w:hAnsi="Arial" w:cs="Arial"/>
          <w:color w:val="222222"/>
          <w:sz w:val="20"/>
          <w:szCs w:val="20"/>
          <w:shd w:val="clear" w:color="auto" w:fill="FFFFFF"/>
        </w:rPr>
        <w:t xml:space="preserve"> </w:t>
      </w:r>
      <w:proofErr w:type="spellStart"/>
      <w:r w:rsidRPr="00CE78A7">
        <w:rPr>
          <w:rFonts w:ascii="Arial" w:hAnsi="Arial" w:cs="Arial"/>
          <w:color w:val="222222"/>
          <w:sz w:val="20"/>
          <w:szCs w:val="20"/>
          <w:shd w:val="clear" w:color="auto" w:fill="FFFFFF"/>
        </w:rPr>
        <w:t>Hübner</w:t>
      </w:r>
      <w:proofErr w:type="spellEnd"/>
      <w:r w:rsidRPr="00CE78A7">
        <w:rPr>
          <w:rFonts w:ascii="Arial" w:hAnsi="Arial" w:cs="Arial"/>
          <w:color w:val="222222"/>
          <w:sz w:val="20"/>
          <w:szCs w:val="20"/>
          <w:shd w:val="clear" w:color="auto" w:fill="FFFFFF"/>
        </w:rPr>
        <w:t xml:space="preserve"> (Lepidoptera: </w:t>
      </w:r>
      <w:proofErr w:type="spellStart"/>
      <w:r w:rsidRPr="00CE78A7">
        <w:rPr>
          <w:rFonts w:ascii="Arial" w:hAnsi="Arial" w:cs="Arial"/>
          <w:color w:val="222222"/>
          <w:sz w:val="20"/>
          <w:szCs w:val="20"/>
          <w:shd w:val="clear" w:color="auto" w:fill="FFFFFF"/>
        </w:rPr>
        <w:t>noctuidae</w:t>
      </w:r>
      <w:proofErr w:type="spellEnd"/>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All Life</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15</w:t>
      </w:r>
      <w:r w:rsidRPr="00CE78A7">
        <w:rPr>
          <w:rFonts w:ascii="Arial" w:hAnsi="Arial" w:cs="Arial"/>
          <w:color w:val="222222"/>
          <w:sz w:val="20"/>
          <w:szCs w:val="20"/>
          <w:shd w:val="clear" w:color="auto" w:fill="FFFFFF"/>
        </w:rPr>
        <w:t>(1), 340-357.</w:t>
      </w:r>
      <w:r w:rsidRPr="00CE78A7">
        <w:rPr>
          <w:rFonts w:ascii="Arial" w:hAnsi="Arial" w:cs="Arial"/>
          <w:sz w:val="20"/>
          <w:szCs w:val="20"/>
        </w:rPr>
        <w:t xml:space="preserve"> </w:t>
      </w:r>
      <w:hyperlink r:id="rId60" w:history="1">
        <w:r w:rsidRPr="00CE78A7">
          <w:rPr>
            <w:rStyle w:val="Hyperlink"/>
            <w:rFonts w:ascii="Arial" w:hAnsi="Arial" w:cs="Arial"/>
            <w:sz w:val="20"/>
            <w:szCs w:val="20"/>
            <w:shd w:val="clear" w:color="auto" w:fill="FFFFFF"/>
          </w:rPr>
          <w:t>https://doi.org/10.1080/26895293.2022.2052190</w:t>
        </w:r>
      </w:hyperlink>
    </w:p>
    <w:p w14:paraId="565894F5"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Liu, Y., Tian, X., Gui, L., Wang, F., &amp; Zhang, G. (2024). Molecular and functional characterization of an antenna-enriched glutathione S-transferase BminGSTd3 involved in undecanol degradation in the citrus fruit fly, </w:t>
      </w:r>
      <w:proofErr w:type="spellStart"/>
      <w:r w:rsidRPr="00CE78A7">
        <w:rPr>
          <w:rFonts w:ascii="Arial" w:hAnsi="Arial" w:cs="Arial"/>
          <w:i/>
          <w:color w:val="222222"/>
          <w:sz w:val="20"/>
          <w:szCs w:val="20"/>
          <w:shd w:val="clear" w:color="auto" w:fill="FFFFFF"/>
        </w:rPr>
        <w:t>Bactrocera</w:t>
      </w:r>
      <w:proofErr w:type="spellEnd"/>
      <w:r w:rsidRPr="00CE78A7">
        <w:rPr>
          <w:rFonts w:ascii="Arial" w:hAnsi="Arial" w:cs="Arial"/>
          <w:i/>
          <w:color w:val="222222"/>
          <w:sz w:val="20"/>
          <w:szCs w:val="20"/>
          <w:shd w:val="clear" w:color="auto" w:fill="FFFFFF"/>
        </w:rPr>
        <w:t xml:space="preserve"> </w:t>
      </w:r>
      <w:proofErr w:type="spellStart"/>
      <w:r w:rsidRPr="00CE78A7">
        <w:rPr>
          <w:rFonts w:ascii="Arial" w:hAnsi="Arial" w:cs="Arial"/>
          <w:i/>
          <w:color w:val="222222"/>
          <w:sz w:val="20"/>
          <w:szCs w:val="20"/>
          <w:shd w:val="clear" w:color="auto" w:fill="FFFFFF"/>
        </w:rPr>
        <w:t>minax</w:t>
      </w:r>
      <w:proofErr w:type="spellEnd"/>
      <w:r w:rsidRPr="00CE78A7">
        <w:rPr>
          <w:rFonts w:ascii="Arial" w:hAnsi="Arial" w:cs="Arial"/>
          <w:color w:val="222222"/>
          <w:sz w:val="20"/>
          <w:szCs w:val="20"/>
          <w:shd w:val="clear" w:color="auto" w:fill="FFFFFF"/>
        </w:rPr>
        <w:t xml:space="preserve"> (</w:t>
      </w:r>
      <w:proofErr w:type="spellStart"/>
      <w:r w:rsidRPr="00CE78A7">
        <w:rPr>
          <w:rFonts w:ascii="Arial" w:hAnsi="Arial" w:cs="Arial"/>
          <w:color w:val="222222"/>
          <w:sz w:val="20"/>
          <w:szCs w:val="20"/>
          <w:shd w:val="clear" w:color="auto" w:fill="FFFFFF"/>
        </w:rPr>
        <w:t>Enderlein</w:t>
      </w:r>
      <w:proofErr w:type="spellEnd"/>
      <w:proofErr w:type="gramStart"/>
      <w:r w:rsidRPr="00CE78A7">
        <w:rPr>
          <w:rFonts w:ascii="Arial" w:hAnsi="Arial" w:cs="Arial"/>
          <w:color w:val="222222"/>
          <w:sz w:val="20"/>
          <w:szCs w:val="20"/>
          <w:shd w:val="clear" w:color="auto" w:fill="FFFFFF"/>
        </w:rPr>
        <w:t>)(</w:t>
      </w:r>
      <w:proofErr w:type="spellStart"/>
      <w:proofErr w:type="gramEnd"/>
      <w:r w:rsidRPr="00CE78A7">
        <w:rPr>
          <w:rFonts w:ascii="Arial" w:hAnsi="Arial" w:cs="Arial"/>
          <w:color w:val="222222"/>
          <w:sz w:val="20"/>
          <w:szCs w:val="20"/>
          <w:shd w:val="clear" w:color="auto" w:fill="FFFFFF"/>
        </w:rPr>
        <w:t>Diptera</w:t>
      </w:r>
      <w:proofErr w:type="spellEnd"/>
      <w:r w:rsidRPr="00CE78A7">
        <w:rPr>
          <w:rFonts w:ascii="Arial" w:hAnsi="Arial" w:cs="Arial"/>
          <w:color w:val="222222"/>
          <w:sz w:val="20"/>
          <w:szCs w:val="20"/>
          <w:shd w:val="clear" w:color="auto" w:fill="FFFFFF"/>
        </w:rPr>
        <w:t xml:space="preserve"> </w:t>
      </w:r>
      <w:proofErr w:type="spellStart"/>
      <w:r w:rsidRPr="00CE78A7">
        <w:rPr>
          <w:rFonts w:ascii="Arial" w:hAnsi="Arial" w:cs="Arial"/>
          <w:color w:val="222222"/>
          <w:sz w:val="20"/>
          <w:szCs w:val="20"/>
          <w:shd w:val="clear" w:color="auto" w:fill="FFFFFF"/>
        </w:rPr>
        <w:t>Tephritidae</w:t>
      </w:r>
      <w:proofErr w:type="spellEnd"/>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International Journal of Biological Macromolecules</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256</w:t>
      </w:r>
      <w:r w:rsidRPr="00CE78A7">
        <w:rPr>
          <w:rFonts w:ascii="Arial" w:hAnsi="Arial" w:cs="Arial"/>
          <w:color w:val="222222"/>
          <w:sz w:val="20"/>
          <w:szCs w:val="20"/>
          <w:shd w:val="clear" w:color="auto" w:fill="FFFFFF"/>
        </w:rPr>
        <w:t>, 128514</w:t>
      </w:r>
      <w:r w:rsidRPr="00CE78A7">
        <w:rPr>
          <w:rFonts w:ascii="Arial" w:hAnsi="Arial" w:cs="Arial"/>
          <w:sz w:val="20"/>
          <w:szCs w:val="20"/>
        </w:rPr>
        <w:t xml:space="preserve"> </w:t>
      </w:r>
      <w:hyperlink r:id="rId61" w:history="1">
        <w:r w:rsidRPr="00CE78A7">
          <w:rPr>
            <w:rStyle w:val="Hyperlink"/>
            <w:rFonts w:ascii="Arial" w:hAnsi="Arial" w:cs="Arial"/>
            <w:sz w:val="20"/>
            <w:szCs w:val="20"/>
            <w:shd w:val="clear" w:color="auto" w:fill="FFFFFF"/>
          </w:rPr>
          <w:t>https://doi.org/10.1016/j.ijbiomac.2023.128514</w:t>
        </w:r>
      </w:hyperlink>
    </w:p>
    <w:p w14:paraId="1F576BC6"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Wang Dong, W. D., Li Bing, L. B., Lin Chao, L. C., Chen </w:t>
      </w:r>
      <w:proofErr w:type="spellStart"/>
      <w:r w:rsidRPr="00CE78A7">
        <w:rPr>
          <w:rFonts w:ascii="Arial" w:hAnsi="Arial" w:cs="Arial"/>
          <w:color w:val="222222"/>
          <w:sz w:val="20"/>
          <w:szCs w:val="20"/>
          <w:shd w:val="clear" w:color="auto" w:fill="FFFFFF"/>
        </w:rPr>
        <w:t>YuHua</w:t>
      </w:r>
      <w:proofErr w:type="spellEnd"/>
      <w:r w:rsidRPr="00CE78A7">
        <w:rPr>
          <w:rFonts w:ascii="Arial" w:hAnsi="Arial" w:cs="Arial"/>
          <w:color w:val="222222"/>
          <w:sz w:val="20"/>
          <w:szCs w:val="20"/>
          <w:shd w:val="clear" w:color="auto" w:fill="FFFFFF"/>
        </w:rPr>
        <w:t xml:space="preserve">, C. Y., Xu </w:t>
      </w:r>
      <w:proofErr w:type="spellStart"/>
      <w:r w:rsidRPr="00CE78A7">
        <w:rPr>
          <w:rFonts w:ascii="Arial" w:hAnsi="Arial" w:cs="Arial"/>
          <w:color w:val="222222"/>
          <w:sz w:val="20"/>
          <w:szCs w:val="20"/>
          <w:shd w:val="clear" w:color="auto" w:fill="FFFFFF"/>
        </w:rPr>
        <w:t>YaXiang</w:t>
      </w:r>
      <w:proofErr w:type="spellEnd"/>
      <w:r w:rsidRPr="00CE78A7">
        <w:rPr>
          <w:rFonts w:ascii="Arial" w:hAnsi="Arial" w:cs="Arial"/>
          <w:color w:val="222222"/>
          <w:sz w:val="20"/>
          <w:szCs w:val="20"/>
          <w:shd w:val="clear" w:color="auto" w:fill="FFFFFF"/>
        </w:rPr>
        <w:t xml:space="preserve">, X. Y., &amp; Shen </w:t>
      </w:r>
      <w:proofErr w:type="spellStart"/>
      <w:r w:rsidRPr="00CE78A7">
        <w:rPr>
          <w:rFonts w:ascii="Arial" w:hAnsi="Arial" w:cs="Arial"/>
          <w:color w:val="222222"/>
          <w:sz w:val="20"/>
          <w:szCs w:val="20"/>
          <w:shd w:val="clear" w:color="auto" w:fill="FFFFFF"/>
        </w:rPr>
        <w:t>WeiDe</w:t>
      </w:r>
      <w:proofErr w:type="spellEnd"/>
      <w:r w:rsidRPr="00CE78A7">
        <w:rPr>
          <w:rFonts w:ascii="Arial" w:hAnsi="Arial" w:cs="Arial"/>
          <w:color w:val="222222"/>
          <w:sz w:val="20"/>
          <w:szCs w:val="20"/>
          <w:shd w:val="clear" w:color="auto" w:fill="FFFFFF"/>
        </w:rPr>
        <w:t xml:space="preserve">, S. W. (2011). Cloning, expression analysis and subcellular localization of P450 gene CYP6AE21 from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xml:space="preserve">. Acta </w:t>
      </w:r>
      <w:proofErr w:type="spellStart"/>
      <w:r w:rsidRPr="00CE78A7">
        <w:rPr>
          <w:rFonts w:ascii="Arial" w:hAnsi="Arial" w:cs="Arial"/>
          <w:color w:val="222222"/>
          <w:sz w:val="20"/>
          <w:szCs w:val="20"/>
          <w:shd w:val="clear" w:color="auto" w:fill="FFFFFF"/>
        </w:rPr>
        <w:t>Sericologica</w:t>
      </w:r>
      <w:proofErr w:type="spellEnd"/>
      <w:r w:rsidRPr="00CE78A7">
        <w:rPr>
          <w:rFonts w:ascii="Arial" w:hAnsi="Arial" w:cs="Arial"/>
          <w:color w:val="222222"/>
          <w:sz w:val="20"/>
          <w:szCs w:val="20"/>
          <w:shd w:val="clear" w:color="auto" w:fill="FFFFFF"/>
        </w:rPr>
        <w:t xml:space="preserve"> </w:t>
      </w:r>
      <w:proofErr w:type="spellStart"/>
      <w:r w:rsidRPr="00CE78A7">
        <w:rPr>
          <w:rFonts w:ascii="Arial" w:hAnsi="Arial" w:cs="Arial"/>
          <w:color w:val="222222"/>
          <w:sz w:val="20"/>
          <w:szCs w:val="20"/>
          <w:shd w:val="clear" w:color="auto" w:fill="FFFFFF"/>
        </w:rPr>
        <w:t>Sinica</w:t>
      </w:r>
      <w:proofErr w:type="spellEnd"/>
      <w:r w:rsidRPr="00CE78A7">
        <w:rPr>
          <w:rFonts w:ascii="Arial" w:hAnsi="Arial" w:cs="Arial"/>
          <w:color w:val="222222"/>
          <w:sz w:val="20"/>
          <w:szCs w:val="20"/>
          <w:shd w:val="clear" w:color="auto" w:fill="FFFFFF"/>
        </w:rPr>
        <w:t>, 54 (1), 1-8.</w:t>
      </w:r>
    </w:p>
    <w:p w14:paraId="77CE4C90"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Hamamura, Y., &amp; Naito, K. (1961). Food selection by silkworm larvae,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xml:space="preserve">. </w:t>
      </w:r>
      <w:proofErr w:type="spellStart"/>
      <w:r w:rsidRPr="00CE78A7">
        <w:rPr>
          <w:rFonts w:ascii="Arial" w:hAnsi="Arial" w:cs="Arial"/>
          <w:color w:val="222222"/>
          <w:sz w:val="20"/>
          <w:szCs w:val="20"/>
          <w:shd w:val="clear" w:color="auto" w:fill="FFFFFF"/>
        </w:rPr>
        <w:t>Citral</w:t>
      </w:r>
      <w:proofErr w:type="spellEnd"/>
      <w:r w:rsidRPr="00CE78A7">
        <w:rPr>
          <w:rFonts w:ascii="Arial" w:hAnsi="Arial" w:cs="Arial"/>
          <w:color w:val="222222"/>
          <w:sz w:val="20"/>
          <w:szCs w:val="20"/>
          <w:shd w:val="clear" w:color="auto" w:fill="FFFFFF"/>
        </w:rPr>
        <w:t xml:space="preserve">, linalyl acetate, </w:t>
      </w:r>
      <w:proofErr w:type="spellStart"/>
      <w:r w:rsidRPr="00CE78A7">
        <w:rPr>
          <w:rFonts w:ascii="Arial" w:hAnsi="Arial" w:cs="Arial"/>
          <w:color w:val="222222"/>
          <w:sz w:val="20"/>
          <w:szCs w:val="20"/>
          <w:shd w:val="clear" w:color="auto" w:fill="FFFFFF"/>
        </w:rPr>
        <w:t>linalol</w:t>
      </w:r>
      <w:proofErr w:type="spellEnd"/>
      <w:r w:rsidRPr="00CE78A7">
        <w:rPr>
          <w:rFonts w:ascii="Arial" w:hAnsi="Arial" w:cs="Arial"/>
          <w:color w:val="222222"/>
          <w:sz w:val="20"/>
          <w:szCs w:val="20"/>
          <w:shd w:val="clear" w:color="auto" w:fill="FFFFFF"/>
        </w:rPr>
        <w:t xml:space="preserve">, and </w:t>
      </w:r>
      <w:proofErr w:type="spellStart"/>
      <w:r w:rsidRPr="00CE78A7">
        <w:rPr>
          <w:rFonts w:ascii="Arial" w:hAnsi="Arial" w:cs="Arial"/>
          <w:color w:val="222222"/>
          <w:sz w:val="20"/>
          <w:szCs w:val="20"/>
          <w:shd w:val="clear" w:color="auto" w:fill="FFFFFF"/>
        </w:rPr>
        <w:t>terpinyl</w:t>
      </w:r>
      <w:proofErr w:type="spellEnd"/>
      <w:r w:rsidRPr="00CE78A7">
        <w:rPr>
          <w:rFonts w:ascii="Arial" w:hAnsi="Arial" w:cs="Arial"/>
          <w:color w:val="222222"/>
          <w:sz w:val="20"/>
          <w:szCs w:val="20"/>
          <w:shd w:val="clear" w:color="auto" w:fill="FFFFFF"/>
        </w:rPr>
        <w:t xml:space="preserve"> acetate as attractants of larvae. Nature, 190, 879-880.</w:t>
      </w:r>
      <w:r w:rsidRPr="00CE78A7">
        <w:rPr>
          <w:rFonts w:ascii="Arial" w:hAnsi="Arial" w:cs="Arial"/>
          <w:sz w:val="20"/>
          <w:szCs w:val="20"/>
        </w:rPr>
        <w:t xml:space="preserve"> </w:t>
      </w:r>
      <w:hyperlink r:id="rId62" w:history="1">
        <w:r w:rsidRPr="00CE78A7">
          <w:rPr>
            <w:rStyle w:val="Hyperlink"/>
            <w:rFonts w:ascii="Arial" w:hAnsi="Arial" w:cs="Arial"/>
            <w:sz w:val="20"/>
            <w:szCs w:val="20"/>
            <w:shd w:val="clear" w:color="auto" w:fill="FFFFFF"/>
          </w:rPr>
          <w:t>https://doi.org/10.1038/190880a0</w:t>
        </w:r>
      </w:hyperlink>
    </w:p>
    <w:p w14:paraId="405C3503"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TAKEDA, S., &amp; UEDA, S. (1984). Effect of the interaction among n-</w:t>
      </w:r>
      <w:proofErr w:type="spellStart"/>
      <w:r w:rsidRPr="00CE78A7">
        <w:rPr>
          <w:rFonts w:ascii="Arial" w:hAnsi="Arial" w:cs="Arial"/>
          <w:color w:val="222222"/>
          <w:sz w:val="20"/>
          <w:szCs w:val="20"/>
          <w:shd w:val="clear" w:color="auto" w:fill="FFFFFF"/>
        </w:rPr>
        <w:t>hexacosanol</w:t>
      </w:r>
      <w:proofErr w:type="spellEnd"/>
      <w:r w:rsidRPr="00CE78A7">
        <w:rPr>
          <w:rFonts w:ascii="Arial" w:hAnsi="Arial" w:cs="Arial"/>
          <w:color w:val="222222"/>
          <w:sz w:val="20"/>
          <w:szCs w:val="20"/>
          <w:shd w:val="clear" w:color="auto" w:fill="FFFFFF"/>
        </w:rPr>
        <w:t>, morin and β-sitosterol on the larval feeding activity of silkworm, Bombyx mori, reared on an artificial diet without mulberry leaves. </w:t>
      </w:r>
      <w:r w:rsidRPr="00CE78A7">
        <w:rPr>
          <w:rFonts w:ascii="Arial" w:hAnsi="Arial" w:cs="Arial"/>
          <w:i/>
          <w:iCs/>
          <w:color w:val="222222"/>
          <w:sz w:val="20"/>
          <w:szCs w:val="20"/>
          <w:shd w:val="clear" w:color="auto" w:fill="FFFFFF"/>
        </w:rPr>
        <w:t>The Journal of Sericultural Science of Japan</w:t>
      </w:r>
      <w:r w:rsidRPr="00CE78A7">
        <w:rPr>
          <w:rFonts w:ascii="Arial" w:hAnsi="Arial" w:cs="Arial"/>
          <w:color w:val="222222"/>
          <w:sz w:val="20"/>
          <w:szCs w:val="20"/>
          <w:shd w:val="clear" w:color="auto" w:fill="FFFFFF"/>
        </w:rPr>
        <w:t>, </w:t>
      </w:r>
      <w:r w:rsidRPr="00CE78A7">
        <w:rPr>
          <w:rFonts w:ascii="Arial" w:hAnsi="Arial" w:cs="Arial"/>
          <w:i/>
          <w:iCs/>
          <w:color w:val="222222"/>
          <w:sz w:val="20"/>
          <w:szCs w:val="20"/>
          <w:shd w:val="clear" w:color="auto" w:fill="FFFFFF"/>
        </w:rPr>
        <w:t>53</w:t>
      </w:r>
      <w:r w:rsidRPr="00CE78A7">
        <w:rPr>
          <w:rFonts w:ascii="Arial" w:hAnsi="Arial" w:cs="Arial"/>
          <w:color w:val="222222"/>
          <w:sz w:val="20"/>
          <w:szCs w:val="20"/>
          <w:shd w:val="clear" w:color="auto" w:fill="FFFFFF"/>
        </w:rPr>
        <w:t>(5), 373-379.</w:t>
      </w:r>
      <w:r w:rsidRPr="00CE78A7">
        <w:rPr>
          <w:rFonts w:ascii="Arial" w:hAnsi="Arial" w:cs="Arial"/>
          <w:sz w:val="20"/>
          <w:szCs w:val="20"/>
        </w:rPr>
        <w:t xml:space="preserve"> </w:t>
      </w:r>
      <w:hyperlink r:id="rId63" w:history="1">
        <w:r w:rsidRPr="00CE78A7">
          <w:rPr>
            <w:rStyle w:val="Hyperlink"/>
            <w:rFonts w:ascii="Arial" w:hAnsi="Arial" w:cs="Arial"/>
            <w:sz w:val="20"/>
            <w:szCs w:val="20"/>
            <w:shd w:val="clear" w:color="auto" w:fill="FFFFFF"/>
          </w:rPr>
          <w:t>https://doi.org/10.11416/kontyushigen1930.53.373</w:t>
        </w:r>
      </w:hyperlink>
    </w:p>
    <w:p w14:paraId="2C6A81F1"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Nagata, S., </w:t>
      </w:r>
      <w:proofErr w:type="spellStart"/>
      <w:r w:rsidRPr="00CE78A7">
        <w:rPr>
          <w:rFonts w:ascii="Arial" w:hAnsi="Arial" w:cs="Arial"/>
          <w:color w:val="222222"/>
          <w:sz w:val="20"/>
          <w:szCs w:val="20"/>
          <w:shd w:val="clear" w:color="auto" w:fill="FFFFFF"/>
        </w:rPr>
        <w:t>Morooka</w:t>
      </w:r>
      <w:proofErr w:type="spellEnd"/>
      <w:r w:rsidRPr="00CE78A7">
        <w:rPr>
          <w:rFonts w:ascii="Arial" w:hAnsi="Arial" w:cs="Arial"/>
          <w:color w:val="222222"/>
          <w:sz w:val="20"/>
          <w:szCs w:val="20"/>
          <w:shd w:val="clear" w:color="auto" w:fill="FFFFFF"/>
        </w:rPr>
        <w:t xml:space="preserve">, N., Matsumoto, S., Kawai, T., &amp; Nagasawa, H. (2011). Effects of neuropeptides on feeding initiation in larvae of the silkworm,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General and Comparative Endocrinology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172</w:t>
      </w:r>
      <w:r w:rsidRPr="00CE78A7">
        <w:rPr>
          <w:rFonts w:ascii="Arial" w:hAnsi="Arial" w:cs="Arial"/>
          <w:color w:val="222222"/>
          <w:sz w:val="20"/>
          <w:szCs w:val="20"/>
          <w:shd w:val="clear" w:color="auto" w:fill="FFFFFF"/>
        </w:rPr>
        <w:t>(1), 90-95.</w:t>
      </w:r>
      <w:r w:rsidRPr="00CE78A7">
        <w:rPr>
          <w:rFonts w:ascii="Arial" w:hAnsi="Arial" w:cs="Arial"/>
          <w:sz w:val="20"/>
          <w:szCs w:val="20"/>
        </w:rPr>
        <w:t xml:space="preserve"> </w:t>
      </w:r>
      <w:hyperlink r:id="rId64" w:history="1">
        <w:r w:rsidRPr="00CE78A7">
          <w:rPr>
            <w:rStyle w:val="Hyperlink"/>
            <w:rFonts w:ascii="Arial" w:hAnsi="Arial" w:cs="Arial"/>
            <w:sz w:val="20"/>
            <w:szCs w:val="20"/>
            <w:shd w:val="clear" w:color="auto" w:fill="FFFFFF"/>
          </w:rPr>
          <w:t>https://doi.org/10.1016/j.ygcen.2011.03.004</w:t>
        </w:r>
      </w:hyperlink>
    </w:p>
    <w:p w14:paraId="0D07C9D4"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Song, W., Zhu, F., Andoh, V., &amp; Chen, K. (2022). Analysis of genes influencing the feeding of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xml:space="preserve"> by genome resequencing. </w:t>
      </w:r>
      <w:r w:rsidRPr="00CE78A7">
        <w:rPr>
          <w:rFonts w:ascii="Arial" w:hAnsi="Arial" w:cs="Arial"/>
          <w:iCs/>
          <w:color w:val="222222"/>
          <w:sz w:val="20"/>
          <w:szCs w:val="20"/>
          <w:shd w:val="clear" w:color="auto" w:fill="FFFFFF"/>
        </w:rPr>
        <w:t>Invertebrate Survival Journa</w:t>
      </w:r>
      <w:r w:rsidRPr="00CE78A7">
        <w:rPr>
          <w:rFonts w:ascii="Arial" w:hAnsi="Arial" w:cs="Arial"/>
          <w:i/>
          <w:iCs/>
          <w:color w:val="222222"/>
          <w:sz w:val="20"/>
          <w:szCs w:val="20"/>
          <w:shd w:val="clear" w:color="auto" w:fill="FFFFFF"/>
        </w:rPr>
        <w:t>l</w:t>
      </w:r>
      <w:r w:rsidRPr="00CE78A7">
        <w:rPr>
          <w:rFonts w:ascii="Arial" w:hAnsi="Arial" w:cs="Arial"/>
          <w:color w:val="222222"/>
          <w:sz w:val="20"/>
          <w:szCs w:val="20"/>
          <w:shd w:val="clear" w:color="auto" w:fill="FFFFFF"/>
        </w:rPr>
        <w:t>, 136-168.</w:t>
      </w:r>
      <w:r w:rsidRPr="00CE78A7">
        <w:rPr>
          <w:rFonts w:ascii="Arial" w:hAnsi="Arial" w:cs="Arial"/>
          <w:sz w:val="20"/>
          <w:szCs w:val="20"/>
        </w:rPr>
        <w:t xml:space="preserve"> </w:t>
      </w:r>
      <w:hyperlink r:id="rId65" w:history="1">
        <w:r w:rsidRPr="00CE78A7">
          <w:rPr>
            <w:rStyle w:val="Hyperlink"/>
            <w:rFonts w:ascii="Arial" w:hAnsi="Arial" w:cs="Arial"/>
            <w:sz w:val="20"/>
            <w:szCs w:val="20"/>
            <w:shd w:val="clear" w:color="auto" w:fill="FFFFFF"/>
          </w:rPr>
          <w:t>https://doi.org/10.25431/1824-307X/isj.v19i1.136%20-%20168</w:t>
        </w:r>
      </w:hyperlink>
    </w:p>
    <w:p w14:paraId="7ED6843B"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lastRenderedPageBreak/>
        <w:t>Naito, K. (1965). Studies on the Micro Constituent in Mulberry Leaves. Part VI. Isolation of Chlorogenic Acid. Journal of Agricultural and Biological Chemistry, </w:t>
      </w:r>
      <w:r w:rsidRPr="00CE78A7">
        <w:rPr>
          <w:rFonts w:ascii="Arial" w:hAnsi="Arial" w:cs="Arial"/>
          <w:iCs/>
          <w:color w:val="222222"/>
          <w:sz w:val="20"/>
          <w:szCs w:val="20"/>
          <w:shd w:val="clear" w:color="auto" w:fill="FFFFFF"/>
        </w:rPr>
        <w:t>39</w:t>
      </w:r>
      <w:r w:rsidRPr="00CE78A7">
        <w:rPr>
          <w:rFonts w:ascii="Arial" w:hAnsi="Arial" w:cs="Arial"/>
          <w:color w:val="222222"/>
          <w:sz w:val="20"/>
          <w:szCs w:val="20"/>
          <w:shd w:val="clear" w:color="auto" w:fill="FFFFFF"/>
        </w:rPr>
        <w:t>, 237.</w:t>
      </w:r>
    </w:p>
    <w:p w14:paraId="069BD0CF"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KATO, M., &amp; YAMADA, H. (1966). Chlorogenic acid promotes the utilization of oil in the growth of silkworm. </w:t>
      </w:r>
      <w:r w:rsidRPr="00CE78A7">
        <w:rPr>
          <w:rFonts w:ascii="Arial" w:hAnsi="Arial" w:cs="Arial"/>
          <w:iCs/>
          <w:color w:val="222222"/>
          <w:sz w:val="20"/>
          <w:szCs w:val="20"/>
          <w:shd w:val="clear" w:color="auto" w:fill="FFFFFF"/>
        </w:rPr>
        <w:t>Proceedings of the Japan Academy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42</w:t>
      </w:r>
      <w:r w:rsidRPr="00CE78A7">
        <w:rPr>
          <w:rFonts w:ascii="Arial" w:hAnsi="Arial" w:cs="Arial"/>
          <w:color w:val="222222"/>
          <w:sz w:val="20"/>
          <w:szCs w:val="20"/>
          <w:shd w:val="clear" w:color="auto" w:fill="FFFFFF"/>
        </w:rPr>
        <w:t>(10), 1185-1188.</w:t>
      </w:r>
      <w:r w:rsidRPr="00CE78A7">
        <w:rPr>
          <w:rFonts w:ascii="Arial" w:hAnsi="Arial" w:cs="Arial"/>
          <w:sz w:val="20"/>
          <w:szCs w:val="20"/>
        </w:rPr>
        <w:t xml:space="preserve"> </w:t>
      </w:r>
      <w:hyperlink r:id="rId66" w:history="1">
        <w:r w:rsidRPr="00CE78A7">
          <w:rPr>
            <w:rStyle w:val="Hyperlink"/>
            <w:rFonts w:ascii="Arial" w:hAnsi="Arial" w:cs="Arial"/>
            <w:sz w:val="20"/>
            <w:szCs w:val="20"/>
            <w:shd w:val="clear" w:color="auto" w:fill="FFFFFF"/>
          </w:rPr>
          <w:t>https://doi.org/10.2183/pjab1945.42.1185</w:t>
        </w:r>
      </w:hyperlink>
    </w:p>
    <w:p w14:paraId="22A654F7"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Hamamura, Y., Kuwata, K., &amp; MASUDA, H. (1966). Effect of gallic acid on the growth of the silkworm larvae </w:t>
      </w:r>
      <w:r w:rsidRPr="00CE78A7">
        <w:rPr>
          <w:rFonts w:ascii="Arial" w:hAnsi="Arial" w:cs="Arial"/>
          <w:i/>
          <w:color w:val="222222"/>
          <w:sz w:val="20"/>
          <w:szCs w:val="20"/>
          <w:shd w:val="clear" w:color="auto" w:fill="FFFFFF"/>
        </w:rPr>
        <w:t xml:space="preserve">Bombyx mori </w:t>
      </w:r>
      <w:r w:rsidRPr="00CE78A7">
        <w:rPr>
          <w:rFonts w:ascii="Arial" w:hAnsi="Arial" w:cs="Arial"/>
          <w:color w:val="222222"/>
          <w:sz w:val="20"/>
          <w:szCs w:val="20"/>
          <w:shd w:val="clear" w:color="auto" w:fill="FFFFFF"/>
        </w:rPr>
        <w:t>L. </w:t>
      </w:r>
      <w:r w:rsidRPr="00CE78A7">
        <w:rPr>
          <w:rFonts w:ascii="Arial" w:hAnsi="Arial" w:cs="Arial"/>
          <w:iCs/>
          <w:color w:val="222222"/>
          <w:sz w:val="20"/>
          <w:szCs w:val="20"/>
          <w:shd w:val="clear" w:color="auto" w:fill="FFFFFF"/>
        </w:rPr>
        <w:t>Nature</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212</w:t>
      </w:r>
      <w:r w:rsidRPr="00CE78A7">
        <w:rPr>
          <w:rFonts w:ascii="Arial" w:hAnsi="Arial" w:cs="Arial"/>
          <w:color w:val="222222"/>
          <w:sz w:val="20"/>
          <w:szCs w:val="20"/>
          <w:shd w:val="clear" w:color="auto" w:fill="FFFFFF"/>
        </w:rPr>
        <w:t xml:space="preserve">(5068), 1386-1387. </w:t>
      </w:r>
      <w:hyperlink r:id="rId67" w:history="1">
        <w:r w:rsidRPr="00CE78A7">
          <w:rPr>
            <w:rStyle w:val="Hyperlink"/>
            <w:rFonts w:ascii="Arial" w:hAnsi="Arial" w:cs="Arial"/>
            <w:sz w:val="20"/>
            <w:szCs w:val="20"/>
            <w:shd w:val="clear" w:color="auto" w:fill="FFFFFF"/>
          </w:rPr>
          <w:t>https://doi.org/10.1038/2121386a0</w:t>
        </w:r>
      </w:hyperlink>
    </w:p>
    <w:p w14:paraId="6216514F"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proofErr w:type="spellStart"/>
      <w:r w:rsidRPr="00CE78A7">
        <w:rPr>
          <w:rFonts w:ascii="Arial" w:hAnsi="Arial" w:cs="Arial"/>
          <w:color w:val="222222"/>
          <w:sz w:val="20"/>
          <w:szCs w:val="20"/>
          <w:shd w:val="clear" w:color="auto" w:fill="FFFFFF"/>
        </w:rPr>
        <w:t>Hayashiya</w:t>
      </w:r>
      <w:proofErr w:type="spellEnd"/>
      <w:r w:rsidRPr="00CE78A7">
        <w:rPr>
          <w:rFonts w:ascii="Arial" w:hAnsi="Arial" w:cs="Arial"/>
          <w:color w:val="222222"/>
          <w:sz w:val="20"/>
          <w:szCs w:val="20"/>
          <w:shd w:val="clear" w:color="auto" w:fill="FFFFFF"/>
        </w:rPr>
        <w:t>, K., KATO, M., &amp; HAMAMURA, Y. (1965). Acetylcholine as a growth factor in early larval development of the silkworm. </w:t>
      </w:r>
      <w:r w:rsidRPr="00CE78A7">
        <w:rPr>
          <w:rFonts w:ascii="Arial" w:hAnsi="Arial" w:cs="Arial"/>
          <w:iCs/>
          <w:color w:val="222222"/>
          <w:sz w:val="20"/>
          <w:szCs w:val="20"/>
          <w:shd w:val="clear" w:color="auto" w:fill="FFFFFF"/>
        </w:rPr>
        <w:t>Nature</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205</w:t>
      </w:r>
      <w:r w:rsidRPr="00CE78A7">
        <w:rPr>
          <w:rFonts w:ascii="Arial" w:hAnsi="Arial" w:cs="Arial"/>
          <w:color w:val="222222"/>
          <w:sz w:val="20"/>
          <w:szCs w:val="20"/>
          <w:shd w:val="clear" w:color="auto" w:fill="FFFFFF"/>
        </w:rPr>
        <w:t xml:space="preserve">(4971), 620-621. </w:t>
      </w:r>
      <w:hyperlink r:id="rId68" w:history="1">
        <w:r w:rsidRPr="00CE78A7">
          <w:rPr>
            <w:rStyle w:val="Hyperlink"/>
            <w:rFonts w:ascii="Arial" w:hAnsi="Arial" w:cs="Arial"/>
            <w:sz w:val="20"/>
            <w:szCs w:val="20"/>
            <w:shd w:val="clear" w:color="auto" w:fill="FFFFFF"/>
          </w:rPr>
          <w:t>https://doi.org/10.1038/205620a0</w:t>
        </w:r>
      </w:hyperlink>
    </w:p>
    <w:p w14:paraId="0D3A2BC7"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Tsai, Y. M., Wang, H. L., Ho, C. L., &amp; Li, S. C. (1978). Studies on the artificial diet of silkworm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xml:space="preserve"> L.: the effects of dietary </w:t>
      </w:r>
      <w:proofErr w:type="spellStart"/>
      <w:r w:rsidRPr="00CE78A7">
        <w:rPr>
          <w:rFonts w:ascii="Arial" w:hAnsi="Arial" w:cs="Arial"/>
          <w:color w:val="222222"/>
          <w:sz w:val="20"/>
          <w:szCs w:val="20"/>
          <w:shd w:val="clear" w:color="auto" w:fill="FFFFFF"/>
        </w:rPr>
        <w:t>physico</w:t>
      </w:r>
      <w:proofErr w:type="spellEnd"/>
      <w:r w:rsidRPr="00CE78A7">
        <w:rPr>
          <w:rFonts w:ascii="Arial" w:hAnsi="Arial" w:cs="Arial"/>
          <w:color w:val="222222"/>
          <w:sz w:val="20"/>
          <w:szCs w:val="20"/>
          <w:shd w:val="clear" w:color="auto" w:fill="FFFFFF"/>
        </w:rPr>
        <w:t xml:space="preserve">-chemical factors on the feeding and growth of the silkworm. Acta </w:t>
      </w:r>
      <w:proofErr w:type="spellStart"/>
      <w:r w:rsidRPr="00CE78A7">
        <w:rPr>
          <w:rFonts w:ascii="Arial" w:hAnsi="Arial" w:cs="Arial"/>
          <w:color w:val="222222"/>
          <w:sz w:val="20"/>
          <w:szCs w:val="20"/>
          <w:shd w:val="clear" w:color="auto" w:fill="FFFFFF"/>
        </w:rPr>
        <w:t>Entomologica</w:t>
      </w:r>
      <w:proofErr w:type="spellEnd"/>
      <w:r w:rsidRPr="00CE78A7">
        <w:rPr>
          <w:rFonts w:ascii="Arial" w:hAnsi="Arial" w:cs="Arial"/>
          <w:color w:val="222222"/>
          <w:sz w:val="20"/>
          <w:szCs w:val="20"/>
          <w:shd w:val="clear" w:color="auto" w:fill="FFFFFF"/>
        </w:rPr>
        <w:t xml:space="preserve"> </w:t>
      </w:r>
      <w:proofErr w:type="spellStart"/>
      <w:r w:rsidRPr="00CE78A7">
        <w:rPr>
          <w:rFonts w:ascii="Arial" w:hAnsi="Arial" w:cs="Arial"/>
          <w:color w:val="222222"/>
          <w:sz w:val="20"/>
          <w:szCs w:val="20"/>
          <w:shd w:val="clear" w:color="auto" w:fill="FFFFFF"/>
        </w:rPr>
        <w:t>Sinica</w:t>
      </w:r>
      <w:proofErr w:type="spellEnd"/>
      <w:r w:rsidRPr="00CE78A7">
        <w:rPr>
          <w:rFonts w:ascii="Arial" w:hAnsi="Arial" w:cs="Arial"/>
          <w:color w:val="222222"/>
          <w:sz w:val="20"/>
          <w:szCs w:val="20"/>
          <w:shd w:val="clear" w:color="auto" w:fill="FFFFFF"/>
        </w:rPr>
        <w:t xml:space="preserve">, 21 (4), 369-384. </w:t>
      </w:r>
    </w:p>
    <w:p w14:paraId="0BAE303C" w14:textId="77777777" w:rsidR="00CE78A7" w:rsidRPr="00CE78A7" w:rsidRDefault="00CE78A7" w:rsidP="00CE78A7">
      <w:pPr>
        <w:pStyle w:val="ListParagraph"/>
        <w:numPr>
          <w:ilvl w:val="0"/>
          <w:numId w:val="5"/>
        </w:numPr>
        <w:shd w:val="clear" w:color="auto" w:fill="FFFFFF"/>
        <w:spacing w:before="100" w:beforeAutospacing="1" w:after="100" w:afterAutospacing="1" w:line="240" w:lineRule="auto"/>
        <w:jc w:val="both"/>
        <w:outlineLvl w:val="0"/>
        <w:rPr>
          <w:rFonts w:ascii="Arial" w:hAnsi="Arial" w:cs="Arial"/>
          <w:sz w:val="20"/>
          <w:szCs w:val="20"/>
        </w:rPr>
      </w:pPr>
      <w:r w:rsidRPr="00CE78A7">
        <w:rPr>
          <w:rFonts w:ascii="Arial" w:hAnsi="Arial" w:cs="Arial"/>
          <w:sz w:val="20"/>
          <w:szCs w:val="20"/>
        </w:rPr>
        <w:t xml:space="preserve">Zhang, H.J. (2012). An observation on food selection behavior of silkworm larvae to </w:t>
      </w:r>
      <w:proofErr w:type="spellStart"/>
      <w:r w:rsidRPr="00CE78A7">
        <w:rPr>
          <w:rFonts w:ascii="Arial" w:hAnsi="Arial" w:cs="Arial"/>
          <w:sz w:val="20"/>
          <w:szCs w:val="20"/>
        </w:rPr>
        <w:t>nonmoraceae</w:t>
      </w:r>
      <w:proofErr w:type="spellEnd"/>
      <w:r w:rsidRPr="00CE78A7">
        <w:rPr>
          <w:rFonts w:ascii="Arial" w:hAnsi="Arial" w:cs="Arial"/>
          <w:sz w:val="20"/>
          <w:szCs w:val="20"/>
        </w:rPr>
        <w:t xml:space="preserve"> plants with four-arm olfactometer. </w:t>
      </w:r>
      <w:proofErr w:type="gramStart"/>
      <w:r w:rsidRPr="00CE78A7">
        <w:rPr>
          <w:rFonts w:ascii="Arial" w:hAnsi="Arial" w:cs="Arial"/>
          <w:sz w:val="20"/>
          <w:szCs w:val="20"/>
        </w:rPr>
        <w:t>Scientific  Sericulture</w:t>
      </w:r>
      <w:proofErr w:type="gramEnd"/>
      <w:r w:rsidRPr="00CE78A7">
        <w:rPr>
          <w:rFonts w:ascii="Arial" w:hAnsi="Arial" w:cs="Arial"/>
          <w:sz w:val="20"/>
          <w:szCs w:val="20"/>
        </w:rPr>
        <w:t xml:space="preserve">, 38, 74–81. </w:t>
      </w:r>
    </w:p>
    <w:p w14:paraId="347D3774" w14:textId="77777777" w:rsidR="00CE78A7" w:rsidRPr="00CE78A7" w:rsidRDefault="00CE78A7" w:rsidP="00CE78A7">
      <w:pPr>
        <w:pStyle w:val="ListParagraph"/>
        <w:numPr>
          <w:ilvl w:val="0"/>
          <w:numId w:val="5"/>
        </w:numPr>
        <w:shd w:val="clear" w:color="auto" w:fill="FFFFFF"/>
        <w:spacing w:before="100" w:beforeAutospacing="1" w:after="100" w:afterAutospacing="1" w:line="240" w:lineRule="auto"/>
        <w:jc w:val="both"/>
        <w:outlineLvl w:val="0"/>
        <w:rPr>
          <w:rFonts w:ascii="Arial" w:hAnsi="Arial" w:cs="Arial"/>
          <w:sz w:val="20"/>
          <w:szCs w:val="20"/>
        </w:rPr>
      </w:pPr>
      <w:r w:rsidRPr="00CE78A7">
        <w:rPr>
          <w:rFonts w:ascii="Arial" w:hAnsi="Arial" w:cs="Arial"/>
          <w:color w:val="222222"/>
          <w:sz w:val="20"/>
          <w:szCs w:val="20"/>
          <w:shd w:val="clear" w:color="auto" w:fill="FFFFFF"/>
        </w:rPr>
        <w:t xml:space="preserve">Neog, K., Gogoi, S. N., &amp; Chakravorty, R. (2005). Present status and constraints of </w:t>
      </w:r>
      <w:proofErr w:type="spellStart"/>
      <w:r w:rsidRPr="00CE78A7">
        <w:rPr>
          <w:rFonts w:ascii="Arial" w:hAnsi="Arial" w:cs="Arial"/>
          <w:color w:val="222222"/>
          <w:sz w:val="20"/>
          <w:szCs w:val="20"/>
          <w:shd w:val="clear" w:color="auto" w:fill="FFFFFF"/>
        </w:rPr>
        <w:t>muga</w:t>
      </w:r>
      <w:proofErr w:type="spellEnd"/>
      <w:r w:rsidRPr="00CE78A7">
        <w:rPr>
          <w:rFonts w:ascii="Arial" w:hAnsi="Arial" w:cs="Arial"/>
          <w:color w:val="222222"/>
          <w:sz w:val="20"/>
          <w:szCs w:val="20"/>
          <w:shd w:val="clear" w:color="auto" w:fill="FFFFFF"/>
        </w:rPr>
        <w:t xml:space="preserve"> silkworm host plant germplasm conservation. In </w:t>
      </w:r>
      <w:r w:rsidRPr="00CE78A7">
        <w:rPr>
          <w:rFonts w:ascii="Arial" w:hAnsi="Arial" w:cs="Arial"/>
          <w:iCs/>
          <w:color w:val="222222"/>
          <w:sz w:val="20"/>
          <w:szCs w:val="20"/>
          <w:shd w:val="clear" w:color="auto" w:fill="FFFFFF"/>
        </w:rPr>
        <w:t xml:space="preserve">Proceedings of the Workshop on Strategies for Maintenance of Non-Mulberry Silkworm and Host Plant Germplasm Held at Central Muga Eri Research &amp; Training Institute, </w:t>
      </w:r>
      <w:proofErr w:type="spellStart"/>
      <w:r w:rsidRPr="00CE78A7">
        <w:rPr>
          <w:rFonts w:ascii="Arial" w:hAnsi="Arial" w:cs="Arial"/>
          <w:iCs/>
          <w:color w:val="222222"/>
          <w:sz w:val="20"/>
          <w:szCs w:val="20"/>
          <w:shd w:val="clear" w:color="auto" w:fill="FFFFFF"/>
        </w:rPr>
        <w:t>Lahdoigarh</w:t>
      </w:r>
      <w:proofErr w:type="spellEnd"/>
      <w:r w:rsidRPr="00CE78A7">
        <w:rPr>
          <w:rFonts w:ascii="Arial" w:hAnsi="Arial" w:cs="Arial"/>
          <w:iCs/>
          <w:color w:val="222222"/>
          <w:sz w:val="20"/>
          <w:szCs w:val="20"/>
          <w:shd w:val="clear" w:color="auto" w:fill="FFFFFF"/>
        </w:rPr>
        <w:t>, Jorhat, Assam, India on March 10</w:t>
      </w:r>
      <w:r w:rsidRPr="00CE78A7">
        <w:rPr>
          <w:rFonts w:ascii="Arial" w:hAnsi="Arial" w:cs="Arial"/>
          <w:color w:val="222222"/>
          <w:sz w:val="20"/>
          <w:szCs w:val="20"/>
          <w:shd w:val="clear" w:color="auto" w:fill="FFFFFF"/>
        </w:rPr>
        <w:t> (Vol. 11, pp. 1-10).</w:t>
      </w:r>
    </w:p>
    <w:p w14:paraId="42C525D2"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proofErr w:type="spellStart"/>
      <w:r w:rsidRPr="00CE78A7">
        <w:rPr>
          <w:rFonts w:ascii="Arial" w:hAnsi="Arial" w:cs="Arial"/>
          <w:color w:val="222222"/>
          <w:sz w:val="20"/>
          <w:szCs w:val="20"/>
          <w:shd w:val="clear" w:color="auto" w:fill="FFFFFF"/>
        </w:rPr>
        <w:t>Tikader</w:t>
      </w:r>
      <w:proofErr w:type="spellEnd"/>
      <w:r w:rsidRPr="00CE78A7">
        <w:rPr>
          <w:rFonts w:ascii="Arial" w:hAnsi="Arial" w:cs="Arial"/>
          <w:color w:val="222222"/>
          <w:sz w:val="20"/>
          <w:szCs w:val="20"/>
          <w:shd w:val="clear" w:color="auto" w:fill="FFFFFF"/>
        </w:rPr>
        <w:t xml:space="preserve">, A., Vijayan, K., &amp; </w:t>
      </w:r>
      <w:proofErr w:type="spellStart"/>
      <w:r w:rsidRPr="00CE78A7">
        <w:rPr>
          <w:rFonts w:ascii="Arial" w:hAnsi="Arial" w:cs="Arial"/>
          <w:color w:val="222222"/>
          <w:sz w:val="20"/>
          <w:szCs w:val="20"/>
          <w:shd w:val="clear" w:color="auto" w:fill="FFFFFF"/>
        </w:rPr>
        <w:t>Saratchandra</w:t>
      </w:r>
      <w:proofErr w:type="spellEnd"/>
      <w:r w:rsidRPr="00CE78A7">
        <w:rPr>
          <w:rFonts w:ascii="Arial" w:hAnsi="Arial" w:cs="Arial"/>
          <w:color w:val="222222"/>
          <w:sz w:val="20"/>
          <w:szCs w:val="20"/>
          <w:shd w:val="clear" w:color="auto" w:fill="FFFFFF"/>
        </w:rPr>
        <w:t xml:space="preserve">, B. (2013). Improvement of host plants of </w:t>
      </w:r>
      <w:proofErr w:type="spellStart"/>
      <w:r w:rsidRPr="00CE78A7">
        <w:rPr>
          <w:rFonts w:ascii="Arial" w:hAnsi="Arial" w:cs="Arial"/>
          <w:color w:val="222222"/>
          <w:sz w:val="20"/>
          <w:szCs w:val="20"/>
          <w:shd w:val="clear" w:color="auto" w:fill="FFFFFF"/>
        </w:rPr>
        <w:t>Muga</w:t>
      </w:r>
      <w:proofErr w:type="spellEnd"/>
      <w:r w:rsidRPr="00CE78A7">
        <w:rPr>
          <w:rFonts w:ascii="Arial" w:hAnsi="Arial" w:cs="Arial"/>
          <w:color w:val="222222"/>
          <w:sz w:val="20"/>
          <w:szCs w:val="20"/>
          <w:shd w:val="clear" w:color="auto" w:fill="FFFFFF"/>
        </w:rPr>
        <w:t xml:space="preserve"> silkworm (</w:t>
      </w:r>
      <w:proofErr w:type="spellStart"/>
      <w:r w:rsidRPr="00CE78A7">
        <w:rPr>
          <w:rFonts w:ascii="Arial" w:hAnsi="Arial" w:cs="Arial"/>
          <w:i/>
          <w:color w:val="222222"/>
          <w:sz w:val="20"/>
          <w:szCs w:val="20"/>
          <w:shd w:val="clear" w:color="auto" w:fill="FFFFFF"/>
        </w:rPr>
        <w:t>Antheraea</w:t>
      </w:r>
      <w:proofErr w:type="spellEnd"/>
      <w:r w:rsidRPr="00CE78A7">
        <w:rPr>
          <w:rFonts w:ascii="Arial" w:hAnsi="Arial" w:cs="Arial"/>
          <w:i/>
          <w:color w:val="222222"/>
          <w:sz w:val="20"/>
          <w:szCs w:val="20"/>
          <w:shd w:val="clear" w:color="auto" w:fill="FFFFFF"/>
        </w:rPr>
        <w:t xml:space="preserve"> </w:t>
      </w:r>
      <w:proofErr w:type="spellStart"/>
      <w:r w:rsidRPr="00CE78A7">
        <w:rPr>
          <w:rFonts w:ascii="Arial" w:hAnsi="Arial" w:cs="Arial"/>
          <w:i/>
          <w:color w:val="222222"/>
          <w:sz w:val="20"/>
          <w:szCs w:val="20"/>
          <w:shd w:val="clear" w:color="auto" w:fill="FFFFFF"/>
        </w:rPr>
        <w:t>assamensis</w:t>
      </w:r>
      <w:proofErr w:type="spellEnd"/>
      <w:r w:rsidRPr="00CE78A7">
        <w:rPr>
          <w:rFonts w:ascii="Arial" w:hAnsi="Arial" w:cs="Arial"/>
          <w:color w:val="222222"/>
          <w:sz w:val="20"/>
          <w:szCs w:val="20"/>
          <w:shd w:val="clear" w:color="auto" w:fill="FFFFFF"/>
        </w:rPr>
        <w:t>) for higher productivity and better adaptation-A Review. </w:t>
      </w:r>
      <w:r w:rsidRPr="00CE78A7">
        <w:rPr>
          <w:rFonts w:ascii="Arial" w:hAnsi="Arial" w:cs="Arial"/>
          <w:iCs/>
          <w:color w:val="222222"/>
          <w:sz w:val="20"/>
          <w:szCs w:val="20"/>
          <w:shd w:val="clear" w:color="auto" w:fill="FFFFFF"/>
        </w:rPr>
        <w:t>Plant Knowledge Journal</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2</w:t>
      </w:r>
      <w:r w:rsidRPr="00CE78A7">
        <w:rPr>
          <w:rFonts w:ascii="Arial" w:hAnsi="Arial" w:cs="Arial"/>
          <w:color w:val="222222"/>
          <w:sz w:val="20"/>
          <w:szCs w:val="20"/>
          <w:shd w:val="clear" w:color="auto" w:fill="FFFFFF"/>
        </w:rPr>
        <w:t>(2), 83-88.</w:t>
      </w:r>
    </w:p>
    <w:p w14:paraId="2048CA79"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Das, S. K., Sahu, B. K., &amp; Singh, D. (2020). Host plant diversity of non-mulberry silkworms: a review. </w:t>
      </w:r>
      <w:r w:rsidRPr="00CE78A7">
        <w:rPr>
          <w:rFonts w:ascii="Arial" w:hAnsi="Arial" w:cs="Arial"/>
          <w:iCs/>
          <w:color w:val="222222"/>
          <w:sz w:val="20"/>
          <w:szCs w:val="20"/>
          <w:shd w:val="clear" w:color="auto" w:fill="FFFFFF"/>
        </w:rPr>
        <w:t>Journal of Pharmacognosy and Phytochemistry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9</w:t>
      </w:r>
      <w:r w:rsidRPr="00CE78A7">
        <w:rPr>
          <w:rFonts w:ascii="Arial" w:hAnsi="Arial" w:cs="Arial"/>
          <w:color w:val="222222"/>
          <w:sz w:val="20"/>
          <w:szCs w:val="20"/>
          <w:shd w:val="clear" w:color="auto" w:fill="FFFFFF"/>
        </w:rPr>
        <w:t xml:space="preserve">(3), 109-113. </w:t>
      </w:r>
    </w:p>
    <w:p w14:paraId="238C4DFD"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Neog, K., Das, A., Unni, B. G., Ahmed, G. U., &amp; Rajan, R. K. (2011). Studies on secondary metabolites of </w:t>
      </w:r>
      <w:proofErr w:type="spellStart"/>
      <w:r w:rsidRPr="00CE78A7">
        <w:rPr>
          <w:rFonts w:ascii="Arial" w:hAnsi="Arial" w:cs="Arial"/>
          <w:color w:val="222222"/>
          <w:sz w:val="20"/>
          <w:szCs w:val="20"/>
          <w:shd w:val="clear" w:color="auto" w:fill="FFFFFF"/>
        </w:rPr>
        <w:t>som</w:t>
      </w:r>
      <w:proofErr w:type="spellEnd"/>
      <w:r w:rsidRPr="00CE78A7">
        <w:rPr>
          <w:rFonts w:ascii="Arial" w:hAnsi="Arial" w:cs="Arial"/>
          <w:color w:val="222222"/>
          <w:sz w:val="20"/>
          <w:szCs w:val="20"/>
          <w:shd w:val="clear" w:color="auto" w:fill="FFFFFF"/>
        </w:rPr>
        <w:t xml:space="preserve"> (</w:t>
      </w:r>
      <w:proofErr w:type="spellStart"/>
      <w:r w:rsidRPr="00CE78A7">
        <w:rPr>
          <w:rFonts w:ascii="Arial" w:hAnsi="Arial" w:cs="Arial"/>
          <w:i/>
          <w:color w:val="222222"/>
          <w:sz w:val="20"/>
          <w:szCs w:val="20"/>
          <w:shd w:val="clear" w:color="auto" w:fill="FFFFFF"/>
        </w:rPr>
        <w:t>Persea</w:t>
      </w:r>
      <w:proofErr w:type="spellEnd"/>
      <w:r w:rsidRPr="00CE78A7">
        <w:rPr>
          <w:rFonts w:ascii="Arial" w:hAnsi="Arial" w:cs="Arial"/>
          <w:i/>
          <w:color w:val="222222"/>
          <w:sz w:val="20"/>
          <w:szCs w:val="20"/>
          <w:shd w:val="clear" w:color="auto" w:fill="FFFFFF"/>
        </w:rPr>
        <w:t xml:space="preserve"> </w:t>
      </w:r>
      <w:proofErr w:type="spellStart"/>
      <w:r w:rsidRPr="00CE78A7">
        <w:rPr>
          <w:rFonts w:ascii="Arial" w:hAnsi="Arial" w:cs="Arial"/>
          <w:i/>
          <w:color w:val="222222"/>
          <w:sz w:val="20"/>
          <w:szCs w:val="20"/>
          <w:shd w:val="clear" w:color="auto" w:fill="FFFFFF"/>
        </w:rPr>
        <w:t>bombycina</w:t>
      </w:r>
      <w:proofErr w:type="spellEnd"/>
      <w:r w:rsidRPr="00CE78A7">
        <w:rPr>
          <w:rFonts w:ascii="Arial" w:hAnsi="Arial" w:cs="Arial"/>
          <w:color w:val="222222"/>
          <w:sz w:val="20"/>
          <w:szCs w:val="20"/>
          <w:shd w:val="clear" w:color="auto" w:fill="FFFFFF"/>
        </w:rPr>
        <w:t xml:space="preserve"> </w:t>
      </w:r>
      <w:proofErr w:type="spellStart"/>
      <w:r w:rsidRPr="00CE78A7">
        <w:rPr>
          <w:rFonts w:ascii="Arial" w:hAnsi="Arial" w:cs="Arial"/>
          <w:color w:val="222222"/>
          <w:sz w:val="20"/>
          <w:szCs w:val="20"/>
          <w:shd w:val="clear" w:color="auto" w:fill="FFFFFF"/>
        </w:rPr>
        <w:t>Kost</w:t>
      </w:r>
      <w:proofErr w:type="spellEnd"/>
      <w:r w:rsidRPr="00CE78A7">
        <w:rPr>
          <w:rFonts w:ascii="Arial" w:hAnsi="Arial" w:cs="Arial"/>
          <w:color w:val="222222"/>
          <w:sz w:val="20"/>
          <w:szCs w:val="20"/>
          <w:shd w:val="clear" w:color="auto" w:fill="FFFFFF"/>
        </w:rPr>
        <w:t xml:space="preserve">), a primary host plant of </w:t>
      </w:r>
      <w:proofErr w:type="spellStart"/>
      <w:r w:rsidRPr="00CE78A7">
        <w:rPr>
          <w:rFonts w:ascii="Arial" w:hAnsi="Arial" w:cs="Arial"/>
          <w:color w:val="222222"/>
          <w:sz w:val="20"/>
          <w:szCs w:val="20"/>
          <w:shd w:val="clear" w:color="auto" w:fill="FFFFFF"/>
        </w:rPr>
        <w:t>Muga</w:t>
      </w:r>
      <w:proofErr w:type="spellEnd"/>
      <w:r w:rsidRPr="00CE78A7">
        <w:rPr>
          <w:rFonts w:ascii="Arial" w:hAnsi="Arial" w:cs="Arial"/>
          <w:color w:val="222222"/>
          <w:sz w:val="20"/>
          <w:szCs w:val="20"/>
          <w:shd w:val="clear" w:color="auto" w:fill="FFFFFF"/>
        </w:rPr>
        <w:t xml:space="preserve"> silkworm (</w:t>
      </w:r>
      <w:proofErr w:type="spellStart"/>
      <w:r w:rsidRPr="00CE78A7">
        <w:rPr>
          <w:rFonts w:ascii="Arial" w:hAnsi="Arial" w:cs="Arial"/>
          <w:i/>
          <w:color w:val="222222"/>
          <w:sz w:val="20"/>
          <w:szCs w:val="20"/>
          <w:shd w:val="clear" w:color="auto" w:fill="FFFFFF"/>
        </w:rPr>
        <w:t>Antheraea</w:t>
      </w:r>
      <w:proofErr w:type="spellEnd"/>
      <w:r w:rsidRPr="00CE78A7">
        <w:rPr>
          <w:rFonts w:ascii="Arial" w:hAnsi="Arial" w:cs="Arial"/>
          <w:i/>
          <w:color w:val="222222"/>
          <w:sz w:val="20"/>
          <w:szCs w:val="20"/>
          <w:shd w:val="clear" w:color="auto" w:fill="FFFFFF"/>
        </w:rPr>
        <w:t xml:space="preserve"> </w:t>
      </w:r>
      <w:proofErr w:type="spellStart"/>
      <w:r w:rsidRPr="00CE78A7">
        <w:rPr>
          <w:rFonts w:ascii="Arial" w:hAnsi="Arial" w:cs="Arial"/>
          <w:i/>
          <w:color w:val="222222"/>
          <w:sz w:val="20"/>
          <w:szCs w:val="20"/>
          <w:shd w:val="clear" w:color="auto" w:fill="FFFFFF"/>
        </w:rPr>
        <w:t>assamensis</w:t>
      </w:r>
      <w:proofErr w:type="spellEnd"/>
      <w:r w:rsidRPr="00CE78A7">
        <w:rPr>
          <w:rFonts w:ascii="Arial" w:hAnsi="Arial" w:cs="Arial"/>
          <w:i/>
          <w:color w:val="222222"/>
          <w:sz w:val="20"/>
          <w:szCs w:val="20"/>
          <w:shd w:val="clear" w:color="auto" w:fill="FFFFFF"/>
        </w:rPr>
        <w:t xml:space="preserve"> </w:t>
      </w:r>
      <w:r w:rsidRPr="00CE78A7">
        <w:rPr>
          <w:rFonts w:ascii="Arial" w:hAnsi="Arial" w:cs="Arial"/>
          <w:color w:val="222222"/>
          <w:sz w:val="20"/>
          <w:szCs w:val="20"/>
          <w:shd w:val="clear" w:color="auto" w:fill="FFFFFF"/>
        </w:rPr>
        <w:t>Helfer). </w:t>
      </w:r>
      <w:r w:rsidRPr="00CE78A7">
        <w:rPr>
          <w:rFonts w:ascii="Arial" w:hAnsi="Arial" w:cs="Arial"/>
          <w:iCs/>
          <w:color w:val="222222"/>
          <w:sz w:val="20"/>
          <w:szCs w:val="20"/>
          <w:shd w:val="clear" w:color="auto" w:fill="FFFFFF"/>
        </w:rPr>
        <w:t>International J Pharmaceutical Science and Research</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3</w:t>
      </w:r>
      <w:r w:rsidRPr="00CE78A7">
        <w:rPr>
          <w:rFonts w:ascii="Arial" w:hAnsi="Arial" w:cs="Arial"/>
          <w:color w:val="222222"/>
          <w:sz w:val="20"/>
          <w:szCs w:val="20"/>
          <w:shd w:val="clear" w:color="auto" w:fill="FFFFFF"/>
        </w:rPr>
        <w:t>(3), 1441-1447.</w:t>
      </w:r>
    </w:p>
    <w:p w14:paraId="5898A811"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Jiang, T., Li, X. Y., Chen, M. M., Liu, S. T., Li, Y. P., Xia, R. X. et al. (2023). Genome-wide identification and transcriptome-based expression pattern of chemosensory genes in two wild </w:t>
      </w:r>
      <w:proofErr w:type="spellStart"/>
      <w:r w:rsidRPr="00CE78A7">
        <w:rPr>
          <w:rFonts w:ascii="Arial" w:hAnsi="Arial" w:cs="Arial"/>
          <w:color w:val="222222"/>
          <w:sz w:val="20"/>
          <w:szCs w:val="20"/>
          <w:shd w:val="clear" w:color="auto" w:fill="FFFFFF"/>
        </w:rPr>
        <w:t>silkmoths</w:t>
      </w:r>
      <w:proofErr w:type="spellEnd"/>
      <w:r w:rsidRPr="00CE78A7">
        <w:rPr>
          <w:rFonts w:ascii="Arial" w:hAnsi="Arial" w:cs="Arial"/>
          <w:color w:val="222222"/>
          <w:sz w:val="20"/>
          <w:szCs w:val="20"/>
          <w:shd w:val="clear" w:color="auto" w:fill="FFFFFF"/>
        </w:rPr>
        <w:t xml:space="preserve">, </w:t>
      </w:r>
      <w:proofErr w:type="spellStart"/>
      <w:r w:rsidRPr="00CE78A7">
        <w:rPr>
          <w:rFonts w:ascii="Arial" w:hAnsi="Arial" w:cs="Arial"/>
          <w:i/>
          <w:color w:val="222222"/>
          <w:sz w:val="20"/>
          <w:szCs w:val="20"/>
          <w:shd w:val="clear" w:color="auto" w:fill="FFFFFF"/>
        </w:rPr>
        <w:t>Antheraea</w:t>
      </w:r>
      <w:proofErr w:type="spellEnd"/>
      <w:r w:rsidRPr="00CE78A7">
        <w:rPr>
          <w:rFonts w:ascii="Arial" w:hAnsi="Arial" w:cs="Arial"/>
          <w:i/>
          <w:color w:val="222222"/>
          <w:sz w:val="20"/>
          <w:szCs w:val="20"/>
          <w:shd w:val="clear" w:color="auto" w:fill="FFFFFF"/>
        </w:rPr>
        <w:t xml:space="preserve"> </w:t>
      </w:r>
      <w:proofErr w:type="spellStart"/>
      <w:r w:rsidRPr="00CE78A7">
        <w:rPr>
          <w:rFonts w:ascii="Arial" w:hAnsi="Arial" w:cs="Arial"/>
          <w:i/>
          <w:color w:val="222222"/>
          <w:sz w:val="20"/>
          <w:szCs w:val="20"/>
          <w:shd w:val="clear" w:color="auto" w:fill="FFFFFF"/>
        </w:rPr>
        <w:t>pernyi</w:t>
      </w:r>
      <w:proofErr w:type="spellEnd"/>
      <w:r w:rsidRPr="00CE78A7">
        <w:rPr>
          <w:rFonts w:ascii="Arial" w:hAnsi="Arial" w:cs="Arial"/>
          <w:color w:val="222222"/>
          <w:sz w:val="20"/>
          <w:szCs w:val="20"/>
          <w:shd w:val="clear" w:color="auto" w:fill="FFFFFF"/>
        </w:rPr>
        <w:t xml:space="preserve"> and </w:t>
      </w:r>
      <w:proofErr w:type="spellStart"/>
      <w:r w:rsidRPr="00CE78A7">
        <w:rPr>
          <w:rFonts w:ascii="Arial" w:hAnsi="Arial" w:cs="Arial"/>
          <w:i/>
          <w:color w:val="222222"/>
          <w:sz w:val="20"/>
          <w:szCs w:val="20"/>
          <w:shd w:val="clear" w:color="auto" w:fill="FFFFFF"/>
        </w:rPr>
        <w:t>Antheraea</w:t>
      </w:r>
      <w:proofErr w:type="spellEnd"/>
      <w:r w:rsidRPr="00CE78A7">
        <w:rPr>
          <w:rFonts w:ascii="Arial" w:hAnsi="Arial" w:cs="Arial"/>
          <w:i/>
          <w:color w:val="222222"/>
          <w:sz w:val="20"/>
          <w:szCs w:val="20"/>
          <w:shd w:val="clear" w:color="auto" w:fill="FFFFFF"/>
        </w:rPr>
        <w:t xml:space="preserve"> </w:t>
      </w:r>
      <w:proofErr w:type="spellStart"/>
      <w:r w:rsidRPr="00CE78A7">
        <w:rPr>
          <w:rFonts w:ascii="Arial" w:hAnsi="Arial" w:cs="Arial"/>
          <w:i/>
          <w:color w:val="222222"/>
          <w:sz w:val="20"/>
          <w:szCs w:val="20"/>
          <w:shd w:val="clear" w:color="auto" w:fill="FFFFFF"/>
        </w:rPr>
        <w:t>yamamai</w:t>
      </w:r>
      <w:proofErr w:type="spellEnd"/>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Journal of Insects as Food and Feed</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9</w:t>
      </w:r>
      <w:r w:rsidRPr="00CE78A7">
        <w:rPr>
          <w:rFonts w:ascii="Arial" w:hAnsi="Arial" w:cs="Arial"/>
          <w:color w:val="222222"/>
          <w:sz w:val="20"/>
          <w:szCs w:val="20"/>
          <w:shd w:val="clear" w:color="auto" w:fill="FFFFFF"/>
        </w:rPr>
        <w:t>(6), 823-840.</w:t>
      </w:r>
      <w:r w:rsidRPr="00CE78A7">
        <w:rPr>
          <w:rFonts w:ascii="Arial" w:hAnsi="Arial" w:cs="Arial"/>
          <w:sz w:val="20"/>
          <w:szCs w:val="20"/>
        </w:rPr>
        <w:t xml:space="preserve"> </w:t>
      </w:r>
      <w:hyperlink r:id="rId69" w:history="1">
        <w:r w:rsidRPr="00CE78A7">
          <w:rPr>
            <w:rStyle w:val="Hyperlink"/>
            <w:rFonts w:ascii="Arial" w:hAnsi="Arial" w:cs="Arial"/>
            <w:sz w:val="20"/>
            <w:szCs w:val="20"/>
            <w:shd w:val="clear" w:color="auto" w:fill="FFFFFF"/>
          </w:rPr>
          <w:t>http://dx.doi.org/10.3920/JIFF2022.0160</w:t>
        </w:r>
      </w:hyperlink>
    </w:p>
    <w:p w14:paraId="7374871D" w14:textId="77777777"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Li, J., Wang, X., &amp; Zhang, L. (2020). Sex pheromones and olfactory proteins in Antheraea moths: </w:t>
      </w:r>
      <w:r w:rsidRPr="00CE78A7">
        <w:rPr>
          <w:rFonts w:ascii="Arial" w:hAnsi="Arial" w:cs="Arial"/>
          <w:i/>
          <w:color w:val="222222"/>
          <w:sz w:val="20"/>
          <w:szCs w:val="20"/>
          <w:shd w:val="clear" w:color="auto" w:fill="FFFFFF"/>
        </w:rPr>
        <w:t xml:space="preserve">A. </w:t>
      </w:r>
      <w:proofErr w:type="spellStart"/>
      <w:r w:rsidRPr="00CE78A7">
        <w:rPr>
          <w:rFonts w:ascii="Arial" w:hAnsi="Arial" w:cs="Arial"/>
          <w:i/>
          <w:color w:val="222222"/>
          <w:sz w:val="20"/>
          <w:szCs w:val="20"/>
          <w:shd w:val="clear" w:color="auto" w:fill="FFFFFF"/>
        </w:rPr>
        <w:t>pernyi</w:t>
      </w:r>
      <w:proofErr w:type="spellEnd"/>
      <w:r w:rsidRPr="00CE78A7">
        <w:rPr>
          <w:rFonts w:ascii="Arial" w:hAnsi="Arial" w:cs="Arial"/>
          <w:color w:val="222222"/>
          <w:sz w:val="20"/>
          <w:szCs w:val="20"/>
          <w:shd w:val="clear" w:color="auto" w:fill="FFFFFF"/>
        </w:rPr>
        <w:t xml:space="preserve"> and </w:t>
      </w:r>
      <w:r w:rsidRPr="00CE78A7">
        <w:rPr>
          <w:rFonts w:ascii="Arial" w:hAnsi="Arial" w:cs="Arial"/>
          <w:i/>
          <w:color w:val="222222"/>
          <w:sz w:val="20"/>
          <w:szCs w:val="20"/>
          <w:shd w:val="clear" w:color="auto" w:fill="FFFFFF"/>
        </w:rPr>
        <w:t xml:space="preserve">A. </w:t>
      </w:r>
      <w:proofErr w:type="spellStart"/>
      <w:r w:rsidRPr="00CE78A7">
        <w:rPr>
          <w:rFonts w:ascii="Arial" w:hAnsi="Arial" w:cs="Arial"/>
          <w:i/>
          <w:color w:val="222222"/>
          <w:sz w:val="20"/>
          <w:szCs w:val="20"/>
          <w:shd w:val="clear" w:color="auto" w:fill="FFFFFF"/>
        </w:rPr>
        <w:t>polyphemus</w:t>
      </w:r>
      <w:proofErr w:type="spellEnd"/>
      <w:r w:rsidRPr="00CE78A7">
        <w:rPr>
          <w:rFonts w:ascii="Arial" w:hAnsi="Arial" w:cs="Arial"/>
          <w:color w:val="222222"/>
          <w:sz w:val="20"/>
          <w:szCs w:val="20"/>
          <w:shd w:val="clear" w:color="auto" w:fill="FFFFFF"/>
        </w:rPr>
        <w:t xml:space="preserve"> (Lepidoptera: </w:t>
      </w:r>
      <w:proofErr w:type="spellStart"/>
      <w:r w:rsidRPr="00CE78A7">
        <w:rPr>
          <w:rFonts w:ascii="Arial" w:hAnsi="Arial" w:cs="Arial"/>
          <w:color w:val="222222"/>
          <w:sz w:val="20"/>
          <w:szCs w:val="20"/>
          <w:shd w:val="clear" w:color="auto" w:fill="FFFFFF"/>
        </w:rPr>
        <w:t>Saturniidae</w:t>
      </w:r>
      <w:proofErr w:type="spellEnd"/>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Archives of Insect Biochemistry and Physiology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105</w:t>
      </w:r>
      <w:r w:rsidRPr="00CE78A7">
        <w:rPr>
          <w:rFonts w:ascii="Arial" w:hAnsi="Arial" w:cs="Arial"/>
          <w:color w:val="222222"/>
          <w:sz w:val="20"/>
          <w:szCs w:val="20"/>
          <w:shd w:val="clear" w:color="auto" w:fill="FFFFFF"/>
        </w:rPr>
        <w:t>(2), e21729.</w:t>
      </w:r>
      <w:r w:rsidRPr="00CE78A7">
        <w:rPr>
          <w:rFonts w:ascii="Arial" w:hAnsi="Arial" w:cs="Arial"/>
          <w:sz w:val="20"/>
          <w:szCs w:val="20"/>
        </w:rPr>
        <w:t xml:space="preserve"> </w:t>
      </w:r>
      <w:hyperlink r:id="rId70" w:history="1">
        <w:r w:rsidRPr="00CE78A7">
          <w:rPr>
            <w:rStyle w:val="Hyperlink"/>
            <w:rFonts w:ascii="Arial" w:hAnsi="Arial" w:cs="Arial"/>
            <w:sz w:val="20"/>
            <w:szCs w:val="20"/>
            <w:shd w:val="clear" w:color="auto" w:fill="FFFFFF"/>
          </w:rPr>
          <w:t>https://doi.org/10.1002/arch.21729</w:t>
        </w:r>
      </w:hyperlink>
    </w:p>
    <w:p w14:paraId="587055CD" w14:textId="77777777" w:rsidR="00CE78A7" w:rsidRDefault="00CE78A7" w:rsidP="008B2BED">
      <w:pPr>
        <w:pStyle w:val="NormalWeb"/>
        <w:jc w:val="both"/>
        <w:rPr>
          <w:rFonts w:ascii="Arial" w:hAnsi="Arial" w:cs="Arial"/>
          <w:b/>
          <w:sz w:val="22"/>
          <w:szCs w:val="22"/>
        </w:rPr>
      </w:pPr>
    </w:p>
    <w:p w14:paraId="68987376" w14:textId="77777777" w:rsidR="005E2B5C" w:rsidRPr="005E2B5C" w:rsidRDefault="005E2B5C" w:rsidP="008B2BED">
      <w:pPr>
        <w:pStyle w:val="NormalWeb"/>
        <w:jc w:val="both"/>
        <w:rPr>
          <w:rFonts w:ascii="Arial" w:hAnsi="Arial" w:cs="Arial"/>
          <w:b/>
          <w:sz w:val="22"/>
          <w:szCs w:val="22"/>
        </w:rPr>
      </w:pPr>
    </w:p>
    <w:sectPr w:rsidR="005E2B5C" w:rsidRPr="005E2B5C" w:rsidSect="00FB03DF">
      <w:headerReference w:type="even" r:id="rId71"/>
      <w:headerReference w:type="default" r:id="rId72"/>
      <w:footerReference w:type="even" r:id="rId73"/>
      <w:footerReference w:type="default" r:id="rId74"/>
      <w:headerReference w:type="first" r:id="rId75"/>
      <w:footerReference w:type="first" r:id="rId7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D19E81" w14:textId="77777777" w:rsidR="00223AE2" w:rsidRDefault="00223AE2" w:rsidP="007D415B">
      <w:pPr>
        <w:spacing w:after="0" w:line="240" w:lineRule="auto"/>
      </w:pPr>
      <w:r>
        <w:separator/>
      </w:r>
    </w:p>
  </w:endnote>
  <w:endnote w:type="continuationSeparator" w:id="0">
    <w:p w14:paraId="4519F475" w14:textId="77777777" w:rsidR="00223AE2" w:rsidRDefault="00223AE2" w:rsidP="007D41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C3E5F" w14:textId="77777777" w:rsidR="00B91115" w:rsidRDefault="00B911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63A83" w14:textId="77777777" w:rsidR="00B91115" w:rsidRDefault="00B911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62ACE" w14:textId="77777777" w:rsidR="00B91115" w:rsidRDefault="00B911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F712F1" w14:textId="77777777" w:rsidR="00223AE2" w:rsidRDefault="00223AE2" w:rsidP="007D415B">
      <w:pPr>
        <w:spacing w:after="0" w:line="240" w:lineRule="auto"/>
      </w:pPr>
      <w:r>
        <w:separator/>
      </w:r>
    </w:p>
  </w:footnote>
  <w:footnote w:type="continuationSeparator" w:id="0">
    <w:p w14:paraId="1B9D2D97" w14:textId="77777777" w:rsidR="00223AE2" w:rsidRDefault="00223AE2" w:rsidP="007D41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349B5" w14:textId="397AC3CB" w:rsidR="00B91115" w:rsidRDefault="00B91115">
    <w:pPr>
      <w:pStyle w:val="Header"/>
    </w:pPr>
    <w:r>
      <w:rPr>
        <w:noProof/>
      </w:rPr>
      <w:pict w14:anchorId="123940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469076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E8A89" w14:textId="7ACC47B3" w:rsidR="00B91115" w:rsidRDefault="00B91115">
    <w:pPr>
      <w:pStyle w:val="Header"/>
    </w:pPr>
    <w:r>
      <w:rPr>
        <w:noProof/>
      </w:rPr>
      <w:pict w14:anchorId="026BC0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469076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E34C8" w14:textId="72189D9C" w:rsidR="00B91115" w:rsidRDefault="00B91115">
    <w:pPr>
      <w:pStyle w:val="Header"/>
    </w:pPr>
    <w:r>
      <w:rPr>
        <w:noProof/>
      </w:rPr>
      <w:pict w14:anchorId="1EB71E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469076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C45C9"/>
    <w:multiLevelType w:val="hybridMultilevel"/>
    <w:tmpl w:val="69601728"/>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574511"/>
    <w:multiLevelType w:val="multilevel"/>
    <w:tmpl w:val="D25A5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435118"/>
    <w:multiLevelType w:val="hybridMultilevel"/>
    <w:tmpl w:val="D6447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5E719D"/>
    <w:multiLevelType w:val="hybridMultilevel"/>
    <w:tmpl w:val="FFEA6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3C47C52"/>
    <w:multiLevelType w:val="hybridMultilevel"/>
    <w:tmpl w:val="77705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87D55"/>
    <w:rsid w:val="00007CF3"/>
    <w:rsid w:val="00053733"/>
    <w:rsid w:val="00081B2F"/>
    <w:rsid w:val="00095B00"/>
    <w:rsid w:val="000B4C04"/>
    <w:rsid w:val="000C61B6"/>
    <w:rsid w:val="000D5F60"/>
    <w:rsid w:val="00113415"/>
    <w:rsid w:val="001364B1"/>
    <w:rsid w:val="00186D70"/>
    <w:rsid w:val="001963C2"/>
    <w:rsid w:val="001A0C2B"/>
    <w:rsid w:val="001A2F4C"/>
    <w:rsid w:val="001B0C63"/>
    <w:rsid w:val="001B725D"/>
    <w:rsid w:val="001D3960"/>
    <w:rsid w:val="00205602"/>
    <w:rsid w:val="00223AE2"/>
    <w:rsid w:val="00271DF4"/>
    <w:rsid w:val="002822EC"/>
    <w:rsid w:val="00283E94"/>
    <w:rsid w:val="002A5DC7"/>
    <w:rsid w:val="002E2642"/>
    <w:rsid w:val="002E68B7"/>
    <w:rsid w:val="002F0685"/>
    <w:rsid w:val="00351737"/>
    <w:rsid w:val="00373D1B"/>
    <w:rsid w:val="003A7412"/>
    <w:rsid w:val="003C2DC9"/>
    <w:rsid w:val="003C4A1B"/>
    <w:rsid w:val="003E0A8F"/>
    <w:rsid w:val="00475591"/>
    <w:rsid w:val="00485BEC"/>
    <w:rsid w:val="00496E1D"/>
    <w:rsid w:val="004C0667"/>
    <w:rsid w:val="004D3D2C"/>
    <w:rsid w:val="004F4EFE"/>
    <w:rsid w:val="004F4FB1"/>
    <w:rsid w:val="00522207"/>
    <w:rsid w:val="00561C86"/>
    <w:rsid w:val="00580BD8"/>
    <w:rsid w:val="00596D70"/>
    <w:rsid w:val="005A031E"/>
    <w:rsid w:val="005A6495"/>
    <w:rsid w:val="005C34DA"/>
    <w:rsid w:val="005E2B5C"/>
    <w:rsid w:val="005F4286"/>
    <w:rsid w:val="00622967"/>
    <w:rsid w:val="0065364A"/>
    <w:rsid w:val="006738A7"/>
    <w:rsid w:val="006A34B3"/>
    <w:rsid w:val="006B35C6"/>
    <w:rsid w:val="0070410B"/>
    <w:rsid w:val="007335C4"/>
    <w:rsid w:val="0073475B"/>
    <w:rsid w:val="00750C68"/>
    <w:rsid w:val="007942EE"/>
    <w:rsid w:val="00797BF0"/>
    <w:rsid w:val="007A36EF"/>
    <w:rsid w:val="007A3776"/>
    <w:rsid w:val="007D082A"/>
    <w:rsid w:val="007D415B"/>
    <w:rsid w:val="00832C9B"/>
    <w:rsid w:val="00870964"/>
    <w:rsid w:val="00877142"/>
    <w:rsid w:val="008A39C8"/>
    <w:rsid w:val="008B2BED"/>
    <w:rsid w:val="008B78C4"/>
    <w:rsid w:val="008B7A9D"/>
    <w:rsid w:val="008C0B20"/>
    <w:rsid w:val="008D2452"/>
    <w:rsid w:val="00974BAD"/>
    <w:rsid w:val="009E7F79"/>
    <w:rsid w:val="009F7281"/>
    <w:rsid w:val="00A5473B"/>
    <w:rsid w:val="00A700D0"/>
    <w:rsid w:val="00A84707"/>
    <w:rsid w:val="00AC4554"/>
    <w:rsid w:val="00B03DCC"/>
    <w:rsid w:val="00B623D5"/>
    <w:rsid w:val="00B8025E"/>
    <w:rsid w:val="00B91115"/>
    <w:rsid w:val="00B945F2"/>
    <w:rsid w:val="00BB6537"/>
    <w:rsid w:val="00BF06B4"/>
    <w:rsid w:val="00C069EA"/>
    <w:rsid w:val="00C36F7D"/>
    <w:rsid w:val="00C87D55"/>
    <w:rsid w:val="00CE68F4"/>
    <w:rsid w:val="00CE78A7"/>
    <w:rsid w:val="00CF3F99"/>
    <w:rsid w:val="00D04C42"/>
    <w:rsid w:val="00D250E0"/>
    <w:rsid w:val="00D90495"/>
    <w:rsid w:val="00DD7E90"/>
    <w:rsid w:val="00E050B0"/>
    <w:rsid w:val="00EA16A6"/>
    <w:rsid w:val="00EC2209"/>
    <w:rsid w:val="00ED6D5E"/>
    <w:rsid w:val="00F03E52"/>
    <w:rsid w:val="00F64A3F"/>
    <w:rsid w:val="00F9459C"/>
    <w:rsid w:val="00FB03DF"/>
    <w:rsid w:val="00FB13F6"/>
    <w:rsid w:val="00FF64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0E5AEC"/>
  <w15:docId w15:val="{E3EB1E95-461F-4985-B19C-16E2AAF92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7CF3"/>
  </w:style>
  <w:style w:type="paragraph" w:styleId="Heading2">
    <w:name w:val="heading 2"/>
    <w:basedOn w:val="Normal"/>
    <w:link w:val="Heading2Char"/>
    <w:uiPriority w:val="9"/>
    <w:qFormat/>
    <w:rsid w:val="00C87D5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DD7E9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700D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87D55"/>
    <w:rPr>
      <w:rFonts w:ascii="Times New Roman" w:eastAsia="Times New Roman" w:hAnsi="Times New Roman" w:cs="Times New Roman"/>
      <w:b/>
      <w:bCs/>
      <w:sz w:val="36"/>
      <w:szCs w:val="36"/>
    </w:rPr>
  </w:style>
  <w:style w:type="character" w:styleId="Strong">
    <w:name w:val="Strong"/>
    <w:basedOn w:val="DefaultParagraphFont"/>
    <w:uiPriority w:val="22"/>
    <w:qFormat/>
    <w:rsid w:val="00C87D55"/>
    <w:rPr>
      <w:b/>
      <w:bCs/>
    </w:rPr>
  </w:style>
  <w:style w:type="paragraph" w:styleId="NormalWeb">
    <w:name w:val="Normal (Web)"/>
    <w:basedOn w:val="Normal"/>
    <w:uiPriority w:val="99"/>
    <w:unhideWhenUsed/>
    <w:rsid w:val="00C87D5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87D55"/>
    <w:rPr>
      <w:i/>
      <w:iCs/>
    </w:rPr>
  </w:style>
  <w:style w:type="character" w:customStyle="1" w:styleId="Heading3Char">
    <w:name w:val="Heading 3 Char"/>
    <w:basedOn w:val="DefaultParagraphFont"/>
    <w:link w:val="Heading3"/>
    <w:uiPriority w:val="9"/>
    <w:semiHidden/>
    <w:rsid w:val="00DD7E90"/>
    <w:rPr>
      <w:rFonts w:asciiTheme="majorHAnsi" w:eastAsiaTheme="majorEastAsia" w:hAnsiTheme="majorHAnsi" w:cstheme="majorBidi"/>
      <w:b/>
      <w:bCs/>
      <w:color w:val="4F81BD" w:themeColor="accent1"/>
    </w:rPr>
  </w:style>
  <w:style w:type="table" w:styleId="TableGrid">
    <w:name w:val="Table Grid"/>
    <w:basedOn w:val="TableNormal"/>
    <w:uiPriority w:val="59"/>
    <w:rsid w:val="005A03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0537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3733"/>
    <w:rPr>
      <w:rFonts w:ascii="Tahoma" w:hAnsi="Tahoma" w:cs="Tahoma"/>
      <w:sz w:val="16"/>
      <w:szCs w:val="16"/>
    </w:rPr>
  </w:style>
  <w:style w:type="character" w:customStyle="1" w:styleId="Heading4Char">
    <w:name w:val="Heading 4 Char"/>
    <w:basedOn w:val="DefaultParagraphFont"/>
    <w:link w:val="Heading4"/>
    <w:uiPriority w:val="9"/>
    <w:semiHidden/>
    <w:rsid w:val="00A700D0"/>
    <w:rPr>
      <w:rFonts w:asciiTheme="majorHAnsi" w:eastAsiaTheme="majorEastAsia" w:hAnsiTheme="majorHAnsi" w:cstheme="majorBidi"/>
      <w:b/>
      <w:bCs/>
      <w:i/>
      <w:iCs/>
      <w:color w:val="4F81BD" w:themeColor="accent1"/>
    </w:rPr>
  </w:style>
  <w:style w:type="paragraph" w:customStyle="1" w:styleId="Affiliation">
    <w:name w:val="Affiliation"/>
    <w:basedOn w:val="Normal"/>
    <w:rsid w:val="00AC4554"/>
    <w:pPr>
      <w:suppressAutoHyphens/>
      <w:spacing w:before="240" w:after="0" w:line="360" w:lineRule="auto"/>
    </w:pPr>
    <w:rPr>
      <w:rFonts w:ascii="Times New Roman" w:eastAsia="Times New Roman" w:hAnsi="Times New Roman" w:cs="Times New Roman"/>
      <w:i/>
      <w:sz w:val="24"/>
      <w:szCs w:val="24"/>
      <w:lang w:val="en-GB" w:eastAsia="zh-CN"/>
    </w:rPr>
  </w:style>
  <w:style w:type="character" w:styleId="Hyperlink">
    <w:name w:val="Hyperlink"/>
    <w:basedOn w:val="DefaultParagraphFont"/>
    <w:uiPriority w:val="99"/>
    <w:unhideWhenUsed/>
    <w:rsid w:val="005E2B5C"/>
    <w:rPr>
      <w:color w:val="0000FF" w:themeColor="hyperlink"/>
      <w:u w:val="single"/>
    </w:rPr>
  </w:style>
  <w:style w:type="paragraph" w:styleId="ListParagraph">
    <w:name w:val="List Paragraph"/>
    <w:basedOn w:val="Normal"/>
    <w:uiPriority w:val="34"/>
    <w:qFormat/>
    <w:rsid w:val="00CE78A7"/>
    <w:pPr>
      <w:ind w:left="720"/>
      <w:contextualSpacing/>
    </w:pPr>
  </w:style>
  <w:style w:type="paragraph" w:customStyle="1" w:styleId="ReferHead">
    <w:name w:val="Refer Head"/>
    <w:basedOn w:val="Normal"/>
    <w:rsid w:val="00CE78A7"/>
    <w:pPr>
      <w:keepNext/>
      <w:spacing w:after="240" w:line="240" w:lineRule="auto"/>
    </w:pPr>
    <w:rPr>
      <w:rFonts w:ascii="Helvetica" w:eastAsia="Times New Roman" w:hAnsi="Helvetica" w:cs="Times New Roman"/>
      <w:b/>
      <w:caps/>
      <w:szCs w:val="20"/>
    </w:rPr>
  </w:style>
  <w:style w:type="paragraph" w:customStyle="1" w:styleId="AcknHead">
    <w:name w:val="Ackn Head"/>
    <w:basedOn w:val="Normal"/>
    <w:rsid w:val="00CE78A7"/>
    <w:pPr>
      <w:keepNext/>
      <w:spacing w:after="240" w:line="240" w:lineRule="auto"/>
    </w:pPr>
    <w:rPr>
      <w:rFonts w:ascii="Helvetica" w:eastAsia="Times New Roman" w:hAnsi="Helvetica" w:cs="Times New Roman"/>
      <w:b/>
      <w:caps/>
      <w:szCs w:val="20"/>
    </w:rPr>
  </w:style>
  <w:style w:type="character" w:styleId="LineNumber">
    <w:name w:val="line number"/>
    <w:basedOn w:val="DefaultParagraphFont"/>
    <w:uiPriority w:val="99"/>
    <w:semiHidden/>
    <w:unhideWhenUsed/>
    <w:rsid w:val="00CE78A7"/>
  </w:style>
  <w:style w:type="paragraph" w:styleId="Header">
    <w:name w:val="header"/>
    <w:basedOn w:val="Normal"/>
    <w:link w:val="HeaderChar"/>
    <w:uiPriority w:val="99"/>
    <w:unhideWhenUsed/>
    <w:rsid w:val="007D41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415B"/>
  </w:style>
  <w:style w:type="paragraph" w:styleId="Footer">
    <w:name w:val="footer"/>
    <w:basedOn w:val="Normal"/>
    <w:link w:val="FooterChar"/>
    <w:uiPriority w:val="99"/>
    <w:unhideWhenUsed/>
    <w:rsid w:val="007D41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415B"/>
  </w:style>
  <w:style w:type="character" w:styleId="UnresolvedMention">
    <w:name w:val="Unresolved Mention"/>
    <w:basedOn w:val="DefaultParagraphFont"/>
    <w:uiPriority w:val="99"/>
    <w:semiHidden/>
    <w:unhideWhenUsed/>
    <w:rsid w:val="006738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41886">
      <w:bodyDiv w:val="1"/>
      <w:marLeft w:val="0"/>
      <w:marRight w:val="0"/>
      <w:marTop w:val="0"/>
      <w:marBottom w:val="0"/>
      <w:divBdr>
        <w:top w:val="none" w:sz="0" w:space="0" w:color="auto"/>
        <w:left w:val="none" w:sz="0" w:space="0" w:color="auto"/>
        <w:bottom w:val="none" w:sz="0" w:space="0" w:color="auto"/>
        <w:right w:val="none" w:sz="0" w:space="0" w:color="auto"/>
      </w:divBdr>
    </w:div>
    <w:div w:id="124010660">
      <w:bodyDiv w:val="1"/>
      <w:marLeft w:val="0"/>
      <w:marRight w:val="0"/>
      <w:marTop w:val="0"/>
      <w:marBottom w:val="0"/>
      <w:divBdr>
        <w:top w:val="none" w:sz="0" w:space="0" w:color="auto"/>
        <w:left w:val="none" w:sz="0" w:space="0" w:color="auto"/>
        <w:bottom w:val="none" w:sz="0" w:space="0" w:color="auto"/>
        <w:right w:val="none" w:sz="0" w:space="0" w:color="auto"/>
      </w:divBdr>
    </w:div>
    <w:div w:id="135224120">
      <w:bodyDiv w:val="1"/>
      <w:marLeft w:val="0"/>
      <w:marRight w:val="0"/>
      <w:marTop w:val="0"/>
      <w:marBottom w:val="0"/>
      <w:divBdr>
        <w:top w:val="none" w:sz="0" w:space="0" w:color="auto"/>
        <w:left w:val="none" w:sz="0" w:space="0" w:color="auto"/>
        <w:bottom w:val="none" w:sz="0" w:space="0" w:color="auto"/>
        <w:right w:val="none" w:sz="0" w:space="0" w:color="auto"/>
      </w:divBdr>
    </w:div>
    <w:div w:id="178782950">
      <w:bodyDiv w:val="1"/>
      <w:marLeft w:val="0"/>
      <w:marRight w:val="0"/>
      <w:marTop w:val="0"/>
      <w:marBottom w:val="0"/>
      <w:divBdr>
        <w:top w:val="none" w:sz="0" w:space="0" w:color="auto"/>
        <w:left w:val="none" w:sz="0" w:space="0" w:color="auto"/>
        <w:bottom w:val="none" w:sz="0" w:space="0" w:color="auto"/>
        <w:right w:val="none" w:sz="0" w:space="0" w:color="auto"/>
      </w:divBdr>
    </w:div>
    <w:div w:id="199977645">
      <w:bodyDiv w:val="1"/>
      <w:marLeft w:val="0"/>
      <w:marRight w:val="0"/>
      <w:marTop w:val="0"/>
      <w:marBottom w:val="0"/>
      <w:divBdr>
        <w:top w:val="none" w:sz="0" w:space="0" w:color="auto"/>
        <w:left w:val="none" w:sz="0" w:space="0" w:color="auto"/>
        <w:bottom w:val="none" w:sz="0" w:space="0" w:color="auto"/>
        <w:right w:val="none" w:sz="0" w:space="0" w:color="auto"/>
      </w:divBdr>
    </w:div>
    <w:div w:id="325937980">
      <w:bodyDiv w:val="1"/>
      <w:marLeft w:val="0"/>
      <w:marRight w:val="0"/>
      <w:marTop w:val="0"/>
      <w:marBottom w:val="0"/>
      <w:divBdr>
        <w:top w:val="none" w:sz="0" w:space="0" w:color="auto"/>
        <w:left w:val="none" w:sz="0" w:space="0" w:color="auto"/>
        <w:bottom w:val="none" w:sz="0" w:space="0" w:color="auto"/>
        <w:right w:val="none" w:sz="0" w:space="0" w:color="auto"/>
      </w:divBdr>
    </w:div>
    <w:div w:id="337856516">
      <w:bodyDiv w:val="1"/>
      <w:marLeft w:val="0"/>
      <w:marRight w:val="0"/>
      <w:marTop w:val="0"/>
      <w:marBottom w:val="0"/>
      <w:divBdr>
        <w:top w:val="none" w:sz="0" w:space="0" w:color="auto"/>
        <w:left w:val="none" w:sz="0" w:space="0" w:color="auto"/>
        <w:bottom w:val="none" w:sz="0" w:space="0" w:color="auto"/>
        <w:right w:val="none" w:sz="0" w:space="0" w:color="auto"/>
      </w:divBdr>
    </w:div>
    <w:div w:id="357512774">
      <w:bodyDiv w:val="1"/>
      <w:marLeft w:val="0"/>
      <w:marRight w:val="0"/>
      <w:marTop w:val="0"/>
      <w:marBottom w:val="0"/>
      <w:divBdr>
        <w:top w:val="none" w:sz="0" w:space="0" w:color="auto"/>
        <w:left w:val="none" w:sz="0" w:space="0" w:color="auto"/>
        <w:bottom w:val="none" w:sz="0" w:space="0" w:color="auto"/>
        <w:right w:val="none" w:sz="0" w:space="0" w:color="auto"/>
      </w:divBdr>
    </w:div>
    <w:div w:id="374045292">
      <w:bodyDiv w:val="1"/>
      <w:marLeft w:val="0"/>
      <w:marRight w:val="0"/>
      <w:marTop w:val="0"/>
      <w:marBottom w:val="0"/>
      <w:divBdr>
        <w:top w:val="none" w:sz="0" w:space="0" w:color="auto"/>
        <w:left w:val="none" w:sz="0" w:space="0" w:color="auto"/>
        <w:bottom w:val="none" w:sz="0" w:space="0" w:color="auto"/>
        <w:right w:val="none" w:sz="0" w:space="0" w:color="auto"/>
      </w:divBdr>
    </w:div>
    <w:div w:id="443811373">
      <w:bodyDiv w:val="1"/>
      <w:marLeft w:val="0"/>
      <w:marRight w:val="0"/>
      <w:marTop w:val="0"/>
      <w:marBottom w:val="0"/>
      <w:divBdr>
        <w:top w:val="none" w:sz="0" w:space="0" w:color="auto"/>
        <w:left w:val="none" w:sz="0" w:space="0" w:color="auto"/>
        <w:bottom w:val="none" w:sz="0" w:space="0" w:color="auto"/>
        <w:right w:val="none" w:sz="0" w:space="0" w:color="auto"/>
      </w:divBdr>
    </w:div>
    <w:div w:id="586891714">
      <w:bodyDiv w:val="1"/>
      <w:marLeft w:val="0"/>
      <w:marRight w:val="0"/>
      <w:marTop w:val="0"/>
      <w:marBottom w:val="0"/>
      <w:divBdr>
        <w:top w:val="none" w:sz="0" w:space="0" w:color="auto"/>
        <w:left w:val="none" w:sz="0" w:space="0" w:color="auto"/>
        <w:bottom w:val="none" w:sz="0" w:space="0" w:color="auto"/>
        <w:right w:val="none" w:sz="0" w:space="0" w:color="auto"/>
      </w:divBdr>
    </w:div>
    <w:div w:id="842622254">
      <w:bodyDiv w:val="1"/>
      <w:marLeft w:val="0"/>
      <w:marRight w:val="0"/>
      <w:marTop w:val="0"/>
      <w:marBottom w:val="0"/>
      <w:divBdr>
        <w:top w:val="none" w:sz="0" w:space="0" w:color="auto"/>
        <w:left w:val="none" w:sz="0" w:space="0" w:color="auto"/>
        <w:bottom w:val="none" w:sz="0" w:space="0" w:color="auto"/>
        <w:right w:val="none" w:sz="0" w:space="0" w:color="auto"/>
      </w:divBdr>
    </w:div>
    <w:div w:id="864441611">
      <w:bodyDiv w:val="1"/>
      <w:marLeft w:val="0"/>
      <w:marRight w:val="0"/>
      <w:marTop w:val="0"/>
      <w:marBottom w:val="0"/>
      <w:divBdr>
        <w:top w:val="none" w:sz="0" w:space="0" w:color="auto"/>
        <w:left w:val="none" w:sz="0" w:space="0" w:color="auto"/>
        <w:bottom w:val="none" w:sz="0" w:space="0" w:color="auto"/>
        <w:right w:val="none" w:sz="0" w:space="0" w:color="auto"/>
      </w:divBdr>
    </w:div>
    <w:div w:id="865366893">
      <w:bodyDiv w:val="1"/>
      <w:marLeft w:val="0"/>
      <w:marRight w:val="0"/>
      <w:marTop w:val="0"/>
      <w:marBottom w:val="0"/>
      <w:divBdr>
        <w:top w:val="none" w:sz="0" w:space="0" w:color="auto"/>
        <w:left w:val="none" w:sz="0" w:space="0" w:color="auto"/>
        <w:bottom w:val="none" w:sz="0" w:space="0" w:color="auto"/>
        <w:right w:val="none" w:sz="0" w:space="0" w:color="auto"/>
      </w:divBdr>
    </w:div>
    <w:div w:id="910699952">
      <w:bodyDiv w:val="1"/>
      <w:marLeft w:val="0"/>
      <w:marRight w:val="0"/>
      <w:marTop w:val="0"/>
      <w:marBottom w:val="0"/>
      <w:divBdr>
        <w:top w:val="none" w:sz="0" w:space="0" w:color="auto"/>
        <w:left w:val="none" w:sz="0" w:space="0" w:color="auto"/>
        <w:bottom w:val="none" w:sz="0" w:space="0" w:color="auto"/>
        <w:right w:val="none" w:sz="0" w:space="0" w:color="auto"/>
      </w:divBdr>
    </w:div>
    <w:div w:id="941759986">
      <w:bodyDiv w:val="1"/>
      <w:marLeft w:val="0"/>
      <w:marRight w:val="0"/>
      <w:marTop w:val="0"/>
      <w:marBottom w:val="0"/>
      <w:divBdr>
        <w:top w:val="none" w:sz="0" w:space="0" w:color="auto"/>
        <w:left w:val="none" w:sz="0" w:space="0" w:color="auto"/>
        <w:bottom w:val="none" w:sz="0" w:space="0" w:color="auto"/>
        <w:right w:val="none" w:sz="0" w:space="0" w:color="auto"/>
      </w:divBdr>
    </w:div>
    <w:div w:id="1071849401">
      <w:bodyDiv w:val="1"/>
      <w:marLeft w:val="0"/>
      <w:marRight w:val="0"/>
      <w:marTop w:val="0"/>
      <w:marBottom w:val="0"/>
      <w:divBdr>
        <w:top w:val="none" w:sz="0" w:space="0" w:color="auto"/>
        <w:left w:val="none" w:sz="0" w:space="0" w:color="auto"/>
        <w:bottom w:val="none" w:sz="0" w:space="0" w:color="auto"/>
        <w:right w:val="none" w:sz="0" w:space="0" w:color="auto"/>
      </w:divBdr>
    </w:div>
    <w:div w:id="1083603113">
      <w:bodyDiv w:val="1"/>
      <w:marLeft w:val="0"/>
      <w:marRight w:val="0"/>
      <w:marTop w:val="0"/>
      <w:marBottom w:val="0"/>
      <w:divBdr>
        <w:top w:val="none" w:sz="0" w:space="0" w:color="auto"/>
        <w:left w:val="none" w:sz="0" w:space="0" w:color="auto"/>
        <w:bottom w:val="none" w:sz="0" w:space="0" w:color="auto"/>
        <w:right w:val="none" w:sz="0" w:space="0" w:color="auto"/>
      </w:divBdr>
    </w:div>
    <w:div w:id="1183739955">
      <w:bodyDiv w:val="1"/>
      <w:marLeft w:val="0"/>
      <w:marRight w:val="0"/>
      <w:marTop w:val="0"/>
      <w:marBottom w:val="0"/>
      <w:divBdr>
        <w:top w:val="none" w:sz="0" w:space="0" w:color="auto"/>
        <w:left w:val="none" w:sz="0" w:space="0" w:color="auto"/>
        <w:bottom w:val="none" w:sz="0" w:space="0" w:color="auto"/>
        <w:right w:val="none" w:sz="0" w:space="0" w:color="auto"/>
      </w:divBdr>
    </w:div>
    <w:div w:id="1233541754">
      <w:bodyDiv w:val="1"/>
      <w:marLeft w:val="0"/>
      <w:marRight w:val="0"/>
      <w:marTop w:val="0"/>
      <w:marBottom w:val="0"/>
      <w:divBdr>
        <w:top w:val="none" w:sz="0" w:space="0" w:color="auto"/>
        <w:left w:val="none" w:sz="0" w:space="0" w:color="auto"/>
        <w:bottom w:val="none" w:sz="0" w:space="0" w:color="auto"/>
        <w:right w:val="none" w:sz="0" w:space="0" w:color="auto"/>
      </w:divBdr>
    </w:div>
    <w:div w:id="1423909949">
      <w:bodyDiv w:val="1"/>
      <w:marLeft w:val="0"/>
      <w:marRight w:val="0"/>
      <w:marTop w:val="0"/>
      <w:marBottom w:val="0"/>
      <w:divBdr>
        <w:top w:val="none" w:sz="0" w:space="0" w:color="auto"/>
        <w:left w:val="none" w:sz="0" w:space="0" w:color="auto"/>
        <w:bottom w:val="none" w:sz="0" w:space="0" w:color="auto"/>
        <w:right w:val="none" w:sz="0" w:space="0" w:color="auto"/>
      </w:divBdr>
    </w:div>
    <w:div w:id="1477533147">
      <w:bodyDiv w:val="1"/>
      <w:marLeft w:val="0"/>
      <w:marRight w:val="0"/>
      <w:marTop w:val="0"/>
      <w:marBottom w:val="0"/>
      <w:divBdr>
        <w:top w:val="none" w:sz="0" w:space="0" w:color="auto"/>
        <w:left w:val="none" w:sz="0" w:space="0" w:color="auto"/>
        <w:bottom w:val="none" w:sz="0" w:space="0" w:color="auto"/>
        <w:right w:val="none" w:sz="0" w:space="0" w:color="auto"/>
      </w:divBdr>
    </w:div>
    <w:div w:id="1554585726">
      <w:bodyDiv w:val="1"/>
      <w:marLeft w:val="0"/>
      <w:marRight w:val="0"/>
      <w:marTop w:val="0"/>
      <w:marBottom w:val="0"/>
      <w:divBdr>
        <w:top w:val="none" w:sz="0" w:space="0" w:color="auto"/>
        <w:left w:val="none" w:sz="0" w:space="0" w:color="auto"/>
        <w:bottom w:val="none" w:sz="0" w:space="0" w:color="auto"/>
        <w:right w:val="none" w:sz="0" w:space="0" w:color="auto"/>
      </w:divBdr>
    </w:div>
    <w:div w:id="1734816504">
      <w:bodyDiv w:val="1"/>
      <w:marLeft w:val="0"/>
      <w:marRight w:val="0"/>
      <w:marTop w:val="0"/>
      <w:marBottom w:val="0"/>
      <w:divBdr>
        <w:top w:val="none" w:sz="0" w:space="0" w:color="auto"/>
        <w:left w:val="none" w:sz="0" w:space="0" w:color="auto"/>
        <w:bottom w:val="none" w:sz="0" w:space="0" w:color="auto"/>
        <w:right w:val="none" w:sz="0" w:space="0" w:color="auto"/>
      </w:divBdr>
    </w:div>
    <w:div w:id="1918323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11/j.1570-7458.1969.tb02552.x" TargetMode="External"/><Relationship Id="rId21" Type="http://schemas.openxmlformats.org/officeDocument/2006/relationships/hyperlink" Target="https://doi.org/10.1126/science.200.4345.1071" TargetMode="External"/><Relationship Id="rId42" Type="http://schemas.openxmlformats.org/officeDocument/2006/relationships/hyperlink" Target="https://doi.org/10.1007/s10519-011-9461-6" TargetMode="External"/><Relationship Id="rId47" Type="http://schemas.openxmlformats.org/officeDocument/2006/relationships/hyperlink" Target="https://doi.org/10.1371/journal.pbio.3000828" TargetMode="External"/><Relationship Id="rId63" Type="http://schemas.openxmlformats.org/officeDocument/2006/relationships/hyperlink" Target="https://doi.org/10.11416/kontyushigen1930.53.373" TargetMode="External"/><Relationship Id="rId68" Type="http://schemas.openxmlformats.org/officeDocument/2006/relationships/hyperlink" Target="https://doi.org/10.1038/205620a0" TargetMode="External"/><Relationship Id="rId16" Type="http://schemas.openxmlformats.org/officeDocument/2006/relationships/hyperlink" Target="https://doi.org/10.1017/S001675680700372X" TargetMode="External"/><Relationship Id="rId11" Type="http://schemas.openxmlformats.org/officeDocument/2006/relationships/hyperlink" Target="https://doi.org/10.1108/RJTA-18-01-2014-B004" TargetMode="External"/><Relationship Id="rId24" Type="http://schemas.openxmlformats.org/officeDocument/2006/relationships/hyperlink" Target="https://doi.org/10.1038/182325a0" TargetMode="External"/><Relationship Id="rId32" Type="http://schemas.openxmlformats.org/officeDocument/2006/relationships/hyperlink" Target="https://doi.org/10.1093/ee/28.4.628" TargetMode="External"/><Relationship Id="rId37" Type="http://schemas.openxmlformats.org/officeDocument/2006/relationships/hyperlink" Target="https://doi.org/10.1007/BF01946910" TargetMode="External"/><Relationship Id="rId40" Type="http://schemas.openxmlformats.org/officeDocument/2006/relationships/hyperlink" Target="https://doi.org/10.1038/nature05403" TargetMode="External"/><Relationship Id="rId45" Type="http://schemas.openxmlformats.org/officeDocument/2006/relationships/hyperlink" Target="https://doi.org/10.51470/PLANTARCHIVES.2022.v22.splecialissue.018" TargetMode="External"/><Relationship Id="rId53" Type="http://schemas.openxmlformats.org/officeDocument/2006/relationships/hyperlink" Target="https://doi.org/10.1016/j.ibmb.2017.02.001" TargetMode="External"/><Relationship Id="rId58" Type="http://schemas.openxmlformats.org/officeDocument/2006/relationships/hyperlink" Target="https://doi.org/10.1371/journal.pbio.3000162" TargetMode="External"/><Relationship Id="rId66" Type="http://schemas.openxmlformats.org/officeDocument/2006/relationships/hyperlink" Target="https://doi.org/10.2183/pjab1945.42.1185" TargetMode="External"/><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doi.org/10.1016/j.ijbiomac.2023.128514" TargetMode="External"/><Relationship Id="rId19" Type="http://schemas.openxmlformats.org/officeDocument/2006/relationships/hyperlink" Target="https://doi.org/10.1016/j.livsci.2019.06.015" TargetMode="External"/><Relationship Id="rId14" Type="http://schemas.openxmlformats.org/officeDocument/2006/relationships/hyperlink" Target="https://doi.org/10.1016/j.aspen.2021.08.010" TargetMode="External"/><Relationship Id="rId22" Type="http://schemas.openxmlformats.org/officeDocument/2006/relationships/hyperlink" Target="https://doi.org/10.1023/A:1021076404423" TargetMode="External"/><Relationship Id="rId27" Type="http://schemas.openxmlformats.org/officeDocument/2006/relationships/hyperlink" Target="https://doi.org/10.1007/BF00982132" TargetMode="External"/><Relationship Id="rId30" Type="http://schemas.openxmlformats.org/officeDocument/2006/relationships/hyperlink" Target="https://doi.org/10.1673/031.011.13301" TargetMode="External"/><Relationship Id="rId35" Type="http://schemas.openxmlformats.org/officeDocument/2006/relationships/hyperlink" Target="https://doi.org/10.1201/9781351072274" TargetMode="External"/><Relationship Id="rId43" Type="http://schemas.openxmlformats.org/officeDocument/2006/relationships/hyperlink" Target="https://doi.org/10.1007/s00359-004-0580-x" TargetMode="External"/><Relationship Id="rId48" Type="http://schemas.openxmlformats.org/officeDocument/2006/relationships/hyperlink" Target="https://doi.org/10.1111/j.1365-2583.2008.00836.x" TargetMode="External"/><Relationship Id="rId56" Type="http://schemas.openxmlformats.org/officeDocument/2006/relationships/hyperlink" Target="https://doi.org/10.1016/j.bbrc.2018.04.014" TargetMode="External"/><Relationship Id="rId64" Type="http://schemas.openxmlformats.org/officeDocument/2006/relationships/hyperlink" Target="https://doi.org/10.1016/j.ygcen.2011.03.004" TargetMode="External"/><Relationship Id="rId69" Type="http://schemas.openxmlformats.org/officeDocument/2006/relationships/hyperlink" Target="http://dx.doi.org/10.3920/JIFF2022.0160"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dx.doi.org/10.1016/j.jbc.2022.102573" TargetMode="Externa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doi.org/10.3389/fendo.2012.00151" TargetMode="External"/><Relationship Id="rId17" Type="http://schemas.openxmlformats.org/officeDocument/2006/relationships/hyperlink" Target="https://doi.org/10.1126/science.129.3361.1466" TargetMode="External"/><Relationship Id="rId25" Type="http://schemas.openxmlformats.org/officeDocument/2006/relationships/hyperlink" Target="https://doi.org/10.1146/annurev.en.05.010160.001205" TargetMode="External"/><Relationship Id="rId33" Type="http://schemas.openxmlformats.org/officeDocument/2006/relationships/hyperlink" Target="https://doi.org/10.1111/eea.12899" TargetMode="External"/><Relationship Id="rId38" Type="http://schemas.openxmlformats.org/officeDocument/2006/relationships/hyperlink" Target="https://doi.org/10.1007/s00265-010-1094-x" TargetMode="External"/><Relationship Id="rId46" Type="http://schemas.openxmlformats.org/officeDocument/2006/relationships/hyperlink" Target="http://dx.doi.org/10.55446/IJE.2023.962" TargetMode="External"/><Relationship Id="rId59" Type="http://schemas.openxmlformats.org/officeDocument/2006/relationships/hyperlink" Target="https://doi.org/10.1002/arch.21737" TargetMode="External"/><Relationship Id="rId67" Type="http://schemas.openxmlformats.org/officeDocument/2006/relationships/hyperlink" Target="https://doi.org/10.1038/2121386a0" TargetMode="External"/><Relationship Id="rId20" Type="http://schemas.openxmlformats.org/officeDocument/2006/relationships/hyperlink" Target="https://doi.org/10.1007/978-1-4899-3368-3_6" TargetMode="External"/><Relationship Id="rId41" Type="http://schemas.openxmlformats.org/officeDocument/2006/relationships/hyperlink" Target="https://doi.org/10.1016/S0022-1910(01)00079-8" TargetMode="External"/><Relationship Id="rId54" Type="http://schemas.openxmlformats.org/officeDocument/2006/relationships/hyperlink" Target="https://doi.org/10.1371/journal.pone.0024111" TargetMode="External"/><Relationship Id="rId62" Type="http://schemas.openxmlformats.org/officeDocument/2006/relationships/hyperlink" Target="https://doi.org/10.1038/190880a0" TargetMode="External"/><Relationship Id="rId70" Type="http://schemas.openxmlformats.org/officeDocument/2006/relationships/hyperlink" Target="https://doi.org/10.1002/arch.21729"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11/syen.12110" TargetMode="External"/><Relationship Id="rId23" Type="http://schemas.openxmlformats.org/officeDocument/2006/relationships/hyperlink" Target="https://doi.org/10.1007/978-0-585-30455-7_5" TargetMode="External"/><Relationship Id="rId28" Type="http://schemas.openxmlformats.org/officeDocument/2006/relationships/hyperlink" Target="https://doi.org/10.1146/annurev.en.03.010158.000451" TargetMode="External"/><Relationship Id="rId36" Type="http://schemas.openxmlformats.org/officeDocument/2006/relationships/hyperlink" Target="https://doi.org/10.1007/400_2008_10" TargetMode="External"/><Relationship Id="rId49" Type="http://schemas.openxmlformats.org/officeDocument/2006/relationships/hyperlink" Target="https://doi.org/10.1016/j.jinsphys.2024.104628" TargetMode="External"/><Relationship Id="rId57" Type="http://schemas.openxmlformats.org/officeDocument/2006/relationships/hyperlink" Target="https://doi.org/10.3390/insects13010028" TargetMode="External"/><Relationship Id="rId10" Type="http://schemas.openxmlformats.org/officeDocument/2006/relationships/image" Target="media/image3.png"/><Relationship Id="rId31" Type="http://schemas.openxmlformats.org/officeDocument/2006/relationships/hyperlink" Target="https://doi.org/10.1111/j.0030-1299.2005.14074.x" TargetMode="External"/><Relationship Id="rId44" Type="http://schemas.openxmlformats.org/officeDocument/2006/relationships/hyperlink" Target="https://doi.org/10.1046/j.1570-7458.1999.00463.x" TargetMode="External"/><Relationship Id="rId52" Type="http://schemas.openxmlformats.org/officeDocument/2006/relationships/hyperlink" Target="http://dx.doi.org/10.3389/fevo.2023.1338865" TargetMode="External"/><Relationship Id="rId60" Type="http://schemas.openxmlformats.org/officeDocument/2006/relationships/hyperlink" Target="https://doi.org/10.1080/26895293.2022.2052190" TargetMode="External"/><Relationship Id="rId65" Type="http://schemas.openxmlformats.org/officeDocument/2006/relationships/hyperlink" Target="https://doi.org/10.25431/1824-307X/isj.v19i1.136%20-%20168" TargetMode="External"/><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doi.org/10.1146/annurev-ento-112408-085301" TargetMode="External"/><Relationship Id="rId18" Type="http://schemas.openxmlformats.org/officeDocument/2006/relationships/hyperlink" Target="http://dx.doi.org/10.1088/1755-1315/995/1/012055" TargetMode="External"/><Relationship Id="rId39" Type="http://schemas.openxmlformats.org/officeDocument/2006/relationships/hyperlink" Target="https://doi.org/10.1075/pc.17.2.16nis" TargetMode="External"/><Relationship Id="rId34" Type="http://schemas.openxmlformats.org/officeDocument/2006/relationships/hyperlink" Target="https://doi.org/10.1098/rspb.2000.1250" TargetMode="External"/><Relationship Id="rId50" Type="http://schemas.openxmlformats.org/officeDocument/2006/relationships/hyperlink" Target="https://doi.org/10.4039/Ent117343-3" TargetMode="External"/><Relationship Id="rId55" Type="http://schemas.openxmlformats.org/officeDocument/2006/relationships/hyperlink" Target="https://doi.org/10.1016/j.ibmb.2015.12.008" TargetMode="External"/><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s://doi.org/10.1016/0022-1910(62)9006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8F630-9268-4174-8E61-DB20E5B61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TotalTime>
  <Pages>22</Pages>
  <Words>9429</Words>
  <Characters>53751</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1180</cp:lastModifiedBy>
  <cp:revision>45</cp:revision>
  <dcterms:created xsi:type="dcterms:W3CDTF">2025-07-23T19:53:00Z</dcterms:created>
  <dcterms:modified xsi:type="dcterms:W3CDTF">2025-07-29T08:03:00Z</dcterms:modified>
</cp:coreProperties>
</file>