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D21E34" w14:textId="65A00FA4" w:rsidR="00A263CB" w:rsidRPr="007B6DE4" w:rsidRDefault="00A263CB" w:rsidP="005603E4">
      <w:pPr>
        <w:spacing w:line="276" w:lineRule="auto"/>
        <w:rPr>
          <w:rFonts w:ascii="Times New Roman" w:hAnsi="Times New Roman" w:cs="Times New Roman"/>
          <w:b/>
          <w:bCs/>
          <w:sz w:val="24"/>
          <w:szCs w:val="24"/>
        </w:rPr>
      </w:pPr>
      <w:r w:rsidRPr="007B6DE4">
        <w:rPr>
          <w:rFonts w:ascii="Times New Roman" w:hAnsi="Times New Roman" w:cs="Times New Roman"/>
          <w:b/>
          <w:bCs/>
          <w:sz w:val="24"/>
          <w:szCs w:val="24"/>
        </w:rPr>
        <w:t>“Emerging Nutritional and Climate-Resilient Strategies in Mulberry for Enhanced Cocoon Quality in Sericulture”</w:t>
      </w:r>
    </w:p>
    <w:p w14:paraId="16B74BB4" w14:textId="77777777" w:rsidR="00EA1E09" w:rsidRDefault="00EA1E09" w:rsidP="00C67BDA">
      <w:pPr>
        <w:spacing w:after="0"/>
        <w:rPr>
          <w:rFonts w:ascii="Times New Roman" w:hAnsi="Times New Roman" w:cs="Times New Roman"/>
          <w:b/>
          <w:bCs/>
          <w:sz w:val="24"/>
          <w:szCs w:val="24"/>
        </w:rPr>
      </w:pPr>
    </w:p>
    <w:p w14:paraId="784EC1FE" w14:textId="77777777" w:rsidR="00EA1E09" w:rsidRDefault="00EA1E09" w:rsidP="00C67BDA">
      <w:pPr>
        <w:spacing w:after="0"/>
        <w:rPr>
          <w:rFonts w:ascii="Times New Roman" w:hAnsi="Times New Roman" w:cs="Times New Roman"/>
          <w:b/>
          <w:bCs/>
          <w:sz w:val="24"/>
          <w:szCs w:val="24"/>
        </w:rPr>
      </w:pPr>
    </w:p>
    <w:p w14:paraId="514B62D4" w14:textId="10DFE487" w:rsidR="00D76A1C" w:rsidRPr="007B6DE4" w:rsidRDefault="00D76A1C" w:rsidP="00C67BDA">
      <w:pPr>
        <w:spacing w:after="0"/>
        <w:rPr>
          <w:rFonts w:ascii="Times New Roman" w:hAnsi="Times New Roman" w:cs="Times New Roman"/>
          <w:b/>
          <w:bCs/>
          <w:sz w:val="24"/>
          <w:szCs w:val="24"/>
        </w:rPr>
      </w:pPr>
      <w:bookmarkStart w:id="0" w:name="_GoBack"/>
      <w:bookmarkEnd w:id="0"/>
      <w:r w:rsidRPr="007B6DE4">
        <w:rPr>
          <w:rFonts w:ascii="Times New Roman" w:hAnsi="Times New Roman" w:cs="Times New Roman"/>
          <w:b/>
          <w:bCs/>
          <w:sz w:val="24"/>
          <w:szCs w:val="24"/>
        </w:rPr>
        <w:t>Abstract</w:t>
      </w:r>
    </w:p>
    <w:p w14:paraId="123FF14B" w14:textId="7B6367E7" w:rsidR="00554347" w:rsidRPr="007B6DE4" w:rsidRDefault="00554347" w:rsidP="00554347">
      <w:pPr>
        <w:spacing w:line="240" w:lineRule="auto"/>
        <w:rPr>
          <w:rFonts w:ascii="Times New Roman" w:hAnsi="Times New Roman" w:cs="Times New Roman"/>
          <w:sz w:val="24"/>
          <w:szCs w:val="24"/>
        </w:rPr>
      </w:pPr>
      <w:r w:rsidRPr="007B6DE4">
        <w:rPr>
          <w:rFonts w:ascii="Times New Roman" w:hAnsi="Times New Roman" w:cs="Times New Roman"/>
          <w:sz w:val="24"/>
          <w:szCs w:val="24"/>
        </w:rPr>
        <w:t>Sericulture relies fundamentally on the nutritional quality of mulberry (</w:t>
      </w:r>
      <w:r w:rsidRPr="007B6DE4">
        <w:rPr>
          <w:rFonts w:ascii="Times New Roman" w:hAnsi="Times New Roman" w:cs="Times New Roman"/>
          <w:i/>
          <w:iCs/>
          <w:sz w:val="24"/>
          <w:szCs w:val="24"/>
        </w:rPr>
        <w:t>Morus</w:t>
      </w:r>
      <w:r w:rsidRPr="007B6DE4">
        <w:rPr>
          <w:rFonts w:ascii="Times New Roman" w:hAnsi="Times New Roman" w:cs="Times New Roman"/>
          <w:sz w:val="24"/>
          <w:szCs w:val="24"/>
        </w:rPr>
        <w:t xml:space="preserve"> spp.) leaves, which serve as the exclusive feed for the silkworm, </w:t>
      </w:r>
      <w:r w:rsidRPr="007B6DE4">
        <w:rPr>
          <w:rFonts w:ascii="Times New Roman" w:hAnsi="Times New Roman" w:cs="Times New Roman"/>
          <w:i/>
          <w:iCs/>
          <w:sz w:val="24"/>
          <w:szCs w:val="24"/>
        </w:rPr>
        <w:t>Bombyx mori</w:t>
      </w:r>
      <w:r w:rsidRPr="007B6DE4">
        <w:rPr>
          <w:rFonts w:ascii="Times New Roman" w:hAnsi="Times New Roman" w:cs="Times New Roman"/>
          <w:sz w:val="24"/>
          <w:szCs w:val="24"/>
        </w:rPr>
        <w:t xml:space="preserve"> L. In recent years, efforts have intensified to improve cocoon yield and silk quality through strategic nutritional enrichment of mulberry foliage and adoption of climate-resilient cultivation practices. This review outlines how the integration of soil and foliar nutrient supplementation particularly with elements like nitrogen, zinc, and iron alongside organic amendments and microbial inoculants such as plant growth-promoting rhizobacteria (PGPR) and mycorrhizal fungi, can significantly improve leaf quality. Enhanced leaf nutrition, in turn, positively influences important cocoon characteristics, including larval growth, cocoon weight, shell percentage, filament length, and feed utilization efficiency. Additionally, cultivation techniques tailored to mitigate climatic stresses, such as the use of drought-tolerant mulberry genotypes, mulching, and efficient irrigation systems, contribute to maintaining consistent leaf yield and quality. By combining targeted nutrient strategies with climate-smart agronomic practices, sericulture can achieve higher productivity and improved cocoon traits in an environmentally sustainable manner.</w:t>
      </w:r>
    </w:p>
    <w:p w14:paraId="1DBF3D71" w14:textId="6D344E93" w:rsidR="006B1C78" w:rsidRPr="007B6DE4" w:rsidRDefault="00D76A1C" w:rsidP="006B1C78">
      <w:pPr>
        <w:spacing w:line="240" w:lineRule="auto"/>
        <w:rPr>
          <w:rFonts w:ascii="Times New Roman" w:hAnsi="Times New Roman" w:cs="Times New Roman"/>
          <w:sz w:val="24"/>
          <w:szCs w:val="24"/>
        </w:rPr>
      </w:pPr>
      <w:r w:rsidRPr="007B6DE4">
        <w:rPr>
          <w:rFonts w:ascii="Times New Roman" w:hAnsi="Times New Roman" w:cs="Times New Roman"/>
          <w:b/>
          <w:bCs/>
          <w:sz w:val="24"/>
          <w:szCs w:val="24"/>
        </w:rPr>
        <w:t>Keywords</w:t>
      </w:r>
      <w:r w:rsidRPr="007B6DE4">
        <w:rPr>
          <w:rFonts w:ascii="Times New Roman" w:hAnsi="Times New Roman" w:cs="Times New Roman"/>
          <w:sz w:val="24"/>
          <w:szCs w:val="24"/>
        </w:rPr>
        <w:t xml:space="preserve">: </w:t>
      </w:r>
      <w:r w:rsidR="006B1C78" w:rsidRPr="007B6DE4">
        <w:rPr>
          <w:rFonts w:ascii="Times New Roman" w:hAnsi="Times New Roman" w:cs="Times New Roman"/>
          <w:sz w:val="24"/>
          <w:szCs w:val="24"/>
        </w:rPr>
        <w:t xml:space="preserve">Mulberry nutrition; </w:t>
      </w:r>
      <w:r w:rsidR="006B1C78" w:rsidRPr="007B6DE4">
        <w:rPr>
          <w:rFonts w:ascii="Times New Roman" w:hAnsi="Times New Roman" w:cs="Times New Roman"/>
          <w:i/>
          <w:iCs/>
          <w:sz w:val="24"/>
          <w:szCs w:val="24"/>
        </w:rPr>
        <w:t>Bombyx mori</w:t>
      </w:r>
      <w:r w:rsidR="006B1C78" w:rsidRPr="007B6DE4">
        <w:rPr>
          <w:rFonts w:ascii="Times New Roman" w:hAnsi="Times New Roman" w:cs="Times New Roman"/>
          <w:sz w:val="24"/>
          <w:szCs w:val="24"/>
        </w:rPr>
        <w:t>; Cocoon quality; Sustainable sericulture; Climate-resilient agronomy</w:t>
      </w:r>
      <w:r w:rsidR="003921B6" w:rsidRPr="007B6DE4">
        <w:rPr>
          <w:rFonts w:ascii="Times New Roman" w:hAnsi="Times New Roman" w:cs="Times New Roman"/>
          <w:sz w:val="24"/>
          <w:szCs w:val="24"/>
        </w:rPr>
        <w:t xml:space="preserve">, </w:t>
      </w:r>
      <w:r w:rsidR="006B1C78" w:rsidRPr="007B6DE4">
        <w:rPr>
          <w:rFonts w:ascii="Times New Roman" w:hAnsi="Times New Roman" w:cs="Times New Roman"/>
          <w:sz w:val="24"/>
          <w:szCs w:val="24"/>
        </w:rPr>
        <w:t>PGPR</w:t>
      </w:r>
      <w:r w:rsidR="003921B6" w:rsidRPr="007B6DE4">
        <w:rPr>
          <w:rFonts w:ascii="Times New Roman" w:hAnsi="Times New Roman" w:cs="Times New Roman"/>
          <w:sz w:val="24"/>
          <w:szCs w:val="24"/>
        </w:rPr>
        <w:t xml:space="preserve">, </w:t>
      </w:r>
      <w:r w:rsidR="006B1C78" w:rsidRPr="007B6DE4">
        <w:rPr>
          <w:rFonts w:ascii="Times New Roman" w:hAnsi="Times New Roman" w:cs="Times New Roman"/>
          <w:sz w:val="24"/>
          <w:szCs w:val="24"/>
        </w:rPr>
        <w:t>Mycorrhiz</w:t>
      </w:r>
      <w:r w:rsidR="003921B6" w:rsidRPr="007B6DE4">
        <w:rPr>
          <w:rFonts w:ascii="Times New Roman" w:hAnsi="Times New Roman" w:cs="Times New Roman"/>
          <w:sz w:val="24"/>
          <w:szCs w:val="24"/>
        </w:rPr>
        <w:t xml:space="preserve">a, </w:t>
      </w:r>
      <w:r w:rsidR="006B1C78" w:rsidRPr="007B6DE4">
        <w:rPr>
          <w:rFonts w:ascii="Times New Roman" w:hAnsi="Times New Roman" w:cs="Times New Roman"/>
          <w:sz w:val="24"/>
          <w:szCs w:val="24"/>
        </w:rPr>
        <w:t>Micronutrient supplementation</w:t>
      </w:r>
      <w:r w:rsidR="003921B6" w:rsidRPr="007B6DE4">
        <w:rPr>
          <w:rFonts w:ascii="Times New Roman" w:hAnsi="Times New Roman" w:cs="Times New Roman"/>
          <w:sz w:val="24"/>
          <w:szCs w:val="24"/>
        </w:rPr>
        <w:t xml:space="preserve">, </w:t>
      </w:r>
      <w:r w:rsidR="006B1C78" w:rsidRPr="007B6DE4">
        <w:rPr>
          <w:rFonts w:ascii="Times New Roman" w:hAnsi="Times New Roman" w:cs="Times New Roman"/>
          <w:sz w:val="24"/>
          <w:szCs w:val="24"/>
        </w:rPr>
        <w:t>Feed conversion efficiency</w:t>
      </w:r>
      <w:r w:rsidR="003921B6" w:rsidRPr="007B6DE4">
        <w:rPr>
          <w:rFonts w:ascii="Times New Roman" w:hAnsi="Times New Roman" w:cs="Times New Roman"/>
          <w:sz w:val="24"/>
          <w:szCs w:val="24"/>
        </w:rPr>
        <w:t>,</w:t>
      </w:r>
      <w:r w:rsidR="006B1C78" w:rsidRPr="007B6DE4">
        <w:rPr>
          <w:rFonts w:ascii="Times New Roman" w:hAnsi="Times New Roman" w:cs="Times New Roman"/>
          <w:sz w:val="24"/>
          <w:szCs w:val="24"/>
        </w:rPr>
        <w:t xml:space="preserve"> Drought-tolerant mulberry varieties.</w:t>
      </w:r>
    </w:p>
    <w:p w14:paraId="5F887128" w14:textId="4CA4D3EB" w:rsidR="00CB596E" w:rsidRPr="007B6DE4" w:rsidRDefault="00CB596E" w:rsidP="006B1C78">
      <w:pPr>
        <w:rPr>
          <w:rFonts w:ascii="Times New Roman" w:hAnsi="Times New Roman" w:cs="Times New Roman"/>
          <w:b/>
          <w:bCs/>
          <w:sz w:val="24"/>
          <w:szCs w:val="24"/>
        </w:rPr>
      </w:pPr>
      <w:r w:rsidRPr="007B6DE4">
        <w:rPr>
          <w:rFonts w:ascii="Times New Roman" w:hAnsi="Times New Roman" w:cs="Times New Roman"/>
          <w:b/>
          <w:bCs/>
          <w:sz w:val="24"/>
          <w:szCs w:val="24"/>
        </w:rPr>
        <w:t>Introduction</w:t>
      </w:r>
    </w:p>
    <w:p w14:paraId="075CB27A" w14:textId="3BBD7814" w:rsidR="00756869" w:rsidRPr="007B6DE4" w:rsidRDefault="00756869" w:rsidP="00756869">
      <w:pPr>
        <w:spacing w:line="240" w:lineRule="auto"/>
        <w:rPr>
          <w:rFonts w:ascii="Times New Roman" w:hAnsi="Times New Roman" w:cs="Times New Roman"/>
          <w:sz w:val="24"/>
          <w:szCs w:val="24"/>
        </w:rPr>
      </w:pPr>
      <w:r w:rsidRPr="007B6DE4">
        <w:rPr>
          <w:rFonts w:ascii="Times New Roman" w:hAnsi="Times New Roman" w:cs="Times New Roman"/>
          <w:sz w:val="24"/>
          <w:szCs w:val="24"/>
        </w:rPr>
        <w:t>The rearing success of the silkworm (</w:t>
      </w:r>
      <w:r w:rsidRPr="007B6DE4">
        <w:rPr>
          <w:rFonts w:ascii="Times New Roman" w:hAnsi="Times New Roman" w:cs="Times New Roman"/>
          <w:i/>
          <w:iCs/>
          <w:sz w:val="24"/>
          <w:szCs w:val="24"/>
        </w:rPr>
        <w:t>Bombyx mori</w:t>
      </w:r>
      <w:r w:rsidRPr="007B6DE4">
        <w:rPr>
          <w:rFonts w:ascii="Times New Roman" w:hAnsi="Times New Roman" w:cs="Times New Roman"/>
          <w:sz w:val="24"/>
          <w:szCs w:val="24"/>
        </w:rPr>
        <w:t xml:space="preserve"> L.) is fundamentally dependent on the quality of mulberry (</w:t>
      </w:r>
      <w:r w:rsidRPr="007B6DE4">
        <w:rPr>
          <w:rFonts w:ascii="Times New Roman" w:hAnsi="Times New Roman" w:cs="Times New Roman"/>
          <w:i/>
          <w:iCs/>
          <w:sz w:val="24"/>
          <w:szCs w:val="24"/>
        </w:rPr>
        <w:t>Morus</w:t>
      </w:r>
      <w:r w:rsidRPr="007B6DE4">
        <w:rPr>
          <w:rFonts w:ascii="Times New Roman" w:hAnsi="Times New Roman" w:cs="Times New Roman"/>
          <w:sz w:val="24"/>
          <w:szCs w:val="24"/>
        </w:rPr>
        <w:t xml:space="preserve"> spp.) leaves, which serve as the exclusive nutritional source throughout its larval life cycle. The biochemical composition of mulberry foliage especially its protein, carbohydrate, moisture content, and micronutrient levels </w:t>
      </w:r>
      <w:proofErr w:type="gramStart"/>
      <w:r w:rsidRPr="007B6DE4">
        <w:rPr>
          <w:rFonts w:ascii="Times New Roman" w:hAnsi="Times New Roman" w:cs="Times New Roman"/>
          <w:sz w:val="24"/>
          <w:szCs w:val="24"/>
        </w:rPr>
        <w:t>plays</w:t>
      </w:r>
      <w:proofErr w:type="gramEnd"/>
      <w:r w:rsidRPr="007B6DE4">
        <w:rPr>
          <w:rFonts w:ascii="Times New Roman" w:hAnsi="Times New Roman" w:cs="Times New Roman"/>
          <w:sz w:val="24"/>
          <w:szCs w:val="24"/>
        </w:rPr>
        <w:t xml:space="preserve"> a pivotal role in determining larval development, silk gland function, and ultimately cocoon yield and filament quality (Dandin et al., 2003; Sharma &amp; Ananthanarayana, 2012; Datta, 2000; </w:t>
      </w:r>
      <w:proofErr w:type="spellStart"/>
      <w:r w:rsidRPr="007B6DE4">
        <w:rPr>
          <w:rFonts w:ascii="Times New Roman" w:hAnsi="Times New Roman" w:cs="Times New Roman"/>
          <w:sz w:val="24"/>
          <w:szCs w:val="24"/>
        </w:rPr>
        <w:t>Bongale</w:t>
      </w:r>
      <w:proofErr w:type="spellEnd"/>
      <w:r w:rsidRPr="007B6DE4">
        <w:rPr>
          <w:rFonts w:ascii="Times New Roman" w:hAnsi="Times New Roman" w:cs="Times New Roman"/>
          <w:sz w:val="24"/>
          <w:szCs w:val="24"/>
        </w:rPr>
        <w:t xml:space="preserve"> et al., 1997).</w:t>
      </w:r>
    </w:p>
    <w:p w14:paraId="0A379A7C" w14:textId="77777777" w:rsidR="00756869" w:rsidRPr="007B6DE4" w:rsidRDefault="00756869" w:rsidP="00756869">
      <w:pPr>
        <w:spacing w:line="240" w:lineRule="auto"/>
        <w:rPr>
          <w:rFonts w:ascii="Times New Roman" w:hAnsi="Times New Roman" w:cs="Times New Roman"/>
          <w:sz w:val="24"/>
          <w:szCs w:val="24"/>
        </w:rPr>
      </w:pPr>
      <w:r w:rsidRPr="007B6DE4">
        <w:rPr>
          <w:rFonts w:ascii="Times New Roman" w:hAnsi="Times New Roman" w:cs="Times New Roman"/>
          <w:sz w:val="24"/>
          <w:szCs w:val="24"/>
        </w:rPr>
        <w:t>Traditionally, sericulture practices have prioritized maximizing mulberry leaf biomass. However, recent shifts in research and field application emphasize quality over</w:t>
      </w:r>
      <w:r w:rsidRPr="007B6DE4">
        <w:rPr>
          <w:rFonts w:ascii="Times New Roman" w:hAnsi="Times New Roman" w:cs="Times New Roman"/>
          <w:b/>
          <w:bCs/>
          <w:sz w:val="24"/>
          <w:szCs w:val="24"/>
        </w:rPr>
        <w:t xml:space="preserve"> </w:t>
      </w:r>
      <w:r w:rsidRPr="007B6DE4">
        <w:rPr>
          <w:rFonts w:ascii="Times New Roman" w:hAnsi="Times New Roman" w:cs="Times New Roman"/>
          <w:sz w:val="24"/>
          <w:szCs w:val="24"/>
        </w:rPr>
        <w:t xml:space="preserve">quantity, recognizing that nutrient-rich, physiologically balanced foliage is crucial for improving feed conversion efficiency, cocoon weight, and shell percentage. Field-level challenges such as soil nutrient depletion, climatic variability, and unbalanced fertilization have made it increasingly difficult to maintain consistent leaf quality (Ramesh et al., 2011; </w:t>
      </w:r>
      <w:proofErr w:type="spellStart"/>
      <w:r w:rsidRPr="007B6DE4">
        <w:rPr>
          <w:rFonts w:ascii="Times New Roman" w:hAnsi="Times New Roman" w:cs="Times New Roman"/>
          <w:sz w:val="24"/>
          <w:szCs w:val="24"/>
        </w:rPr>
        <w:t>Sannappa</w:t>
      </w:r>
      <w:proofErr w:type="spellEnd"/>
      <w:r w:rsidRPr="007B6DE4">
        <w:rPr>
          <w:rFonts w:ascii="Times New Roman" w:hAnsi="Times New Roman" w:cs="Times New Roman"/>
          <w:sz w:val="24"/>
          <w:szCs w:val="24"/>
        </w:rPr>
        <w:t xml:space="preserve"> &amp; </w:t>
      </w:r>
      <w:proofErr w:type="spellStart"/>
      <w:r w:rsidRPr="007B6DE4">
        <w:rPr>
          <w:rFonts w:ascii="Times New Roman" w:hAnsi="Times New Roman" w:cs="Times New Roman"/>
          <w:sz w:val="24"/>
          <w:szCs w:val="24"/>
        </w:rPr>
        <w:t>Mallikarjuna</w:t>
      </w:r>
      <w:proofErr w:type="spellEnd"/>
      <w:r w:rsidRPr="007B6DE4">
        <w:rPr>
          <w:rFonts w:ascii="Times New Roman" w:hAnsi="Times New Roman" w:cs="Times New Roman"/>
          <w:sz w:val="24"/>
          <w:szCs w:val="24"/>
        </w:rPr>
        <w:t>, 2009).</w:t>
      </w:r>
    </w:p>
    <w:p w14:paraId="122E4850" w14:textId="77777777" w:rsidR="00756869" w:rsidRPr="007B6DE4" w:rsidRDefault="00756869" w:rsidP="00756869">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To address these limitations, innovative approaches focusing on nutritional enhancement and climate-resilient agronomic practices are gaining ground. Nutrient enrichment using both chemical and organic sources, along with microbial consortia like Plant Growth-Promoting Rhizobacteria (PGPR) and arbuscular mycorrhizal fungi (AMF), has been shown to improve mulberry physiology and increase the bioavailability of critical nutrients in the leaves (Rani et al., 2018; </w:t>
      </w:r>
      <w:r w:rsidRPr="007B6DE4">
        <w:rPr>
          <w:rFonts w:ascii="Times New Roman" w:hAnsi="Times New Roman" w:cs="Times New Roman"/>
          <w:sz w:val="24"/>
          <w:szCs w:val="24"/>
        </w:rPr>
        <w:lastRenderedPageBreak/>
        <w:t>Jaiswal et al., 2022). These interventions have demonstrated significant improvements in silkworm health and cocoon traits under both laboratory and field conditions.</w:t>
      </w:r>
    </w:p>
    <w:p w14:paraId="18F5E0B4" w14:textId="54D34602" w:rsidR="00CB596E" w:rsidRPr="007B6DE4" w:rsidRDefault="00756869"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t>Parallelly, climate-adaptive strategies, including the adoption of drought-tolerant mulberry genotypes, mulching, intercropping, and water-conserving irrigation systems, are being explored to stabilize leaf yield and quality in regions facing heat stress, erratic rainfall, and water scarcity (Rahmathulla, 2012; Sharma &amp; Ananthanarayana, 2012). Such techniques not only sustain plant growth under adverse environmental conditions but also support year-round silkworm rearing with minimal ecological impact. Additionally, fortified feeding strategies such as the use of fermented leaves or supplements enriched with amino acids, vitamins, and microbial proteins have been reported to enhance silk gland development and filament synthesis, further contributing to cocoon productivity (Kavitha et al., 2014; Mathur et al., 2003</w:t>
      </w:r>
      <w:proofErr w:type="gramStart"/>
      <w:r w:rsidRPr="007B6DE4">
        <w:rPr>
          <w:rFonts w:ascii="Times New Roman" w:hAnsi="Times New Roman" w:cs="Times New Roman"/>
          <w:sz w:val="24"/>
          <w:szCs w:val="24"/>
        </w:rPr>
        <w:t>).This</w:t>
      </w:r>
      <w:proofErr w:type="gramEnd"/>
      <w:r w:rsidRPr="007B6DE4">
        <w:rPr>
          <w:rFonts w:ascii="Times New Roman" w:hAnsi="Times New Roman" w:cs="Times New Roman"/>
          <w:sz w:val="24"/>
          <w:szCs w:val="24"/>
        </w:rPr>
        <w:t xml:space="preserve"> review synthesizes emerging knowledge on the integration of nutritional and climate-resilient strategies in mulberry cultivation. It highlights their role in enhancing the biological efficiency of </w:t>
      </w:r>
      <w:r w:rsidRPr="007B6DE4">
        <w:rPr>
          <w:rFonts w:ascii="Times New Roman" w:hAnsi="Times New Roman" w:cs="Times New Roman"/>
          <w:i/>
          <w:iCs/>
          <w:sz w:val="24"/>
          <w:szCs w:val="24"/>
        </w:rPr>
        <w:t>Bombyx mori</w:t>
      </w:r>
      <w:r w:rsidRPr="007B6DE4">
        <w:rPr>
          <w:rFonts w:ascii="Times New Roman" w:hAnsi="Times New Roman" w:cs="Times New Roman"/>
          <w:sz w:val="24"/>
          <w:szCs w:val="24"/>
        </w:rPr>
        <w:t>, improving cocoon parameters, and promoting sustainable sericulture. It also outlines practical insights for field-level adoption and future research priorities for eco-friendly cocoon yield enhancement.</w:t>
      </w:r>
    </w:p>
    <w:p w14:paraId="033902EC" w14:textId="0BE42D68" w:rsidR="00CB596E" w:rsidRPr="007B6DE4" w:rsidRDefault="00CB596E" w:rsidP="007B6DE4">
      <w:pPr>
        <w:spacing w:line="240" w:lineRule="auto"/>
        <w:rPr>
          <w:rFonts w:ascii="Times New Roman" w:hAnsi="Times New Roman" w:cs="Times New Roman"/>
          <w:b/>
          <w:bCs/>
          <w:sz w:val="24"/>
          <w:szCs w:val="24"/>
        </w:rPr>
      </w:pPr>
      <w:r w:rsidRPr="007B6DE4">
        <w:rPr>
          <w:rFonts w:ascii="Times New Roman" w:hAnsi="Times New Roman" w:cs="Times New Roman"/>
          <w:sz w:val="24"/>
          <w:szCs w:val="24"/>
        </w:rPr>
        <w:t>2. Nutritional Composition and Quality of Mulberry Leaves</w:t>
      </w:r>
    </w:p>
    <w:p w14:paraId="3D31D5ED" w14:textId="5380C974" w:rsidR="00CB596E" w:rsidRPr="007B6DE4" w:rsidRDefault="00CB596E" w:rsidP="00AD2270">
      <w:pPr>
        <w:spacing w:line="240" w:lineRule="auto"/>
        <w:rPr>
          <w:rFonts w:ascii="Times New Roman" w:hAnsi="Times New Roman" w:cs="Times New Roman"/>
          <w:sz w:val="24"/>
          <w:szCs w:val="24"/>
        </w:rPr>
      </w:pPr>
      <w:r w:rsidRPr="007B6DE4">
        <w:rPr>
          <w:rFonts w:ascii="Times New Roman" w:hAnsi="Times New Roman" w:cs="Times New Roman"/>
          <w:sz w:val="24"/>
          <w:szCs w:val="24"/>
        </w:rPr>
        <w:t>The quality and nutritive value of mulberry (</w:t>
      </w:r>
      <w:r w:rsidRPr="007B6DE4">
        <w:rPr>
          <w:rFonts w:ascii="Times New Roman" w:hAnsi="Times New Roman" w:cs="Times New Roman"/>
          <w:i/>
          <w:iCs/>
          <w:sz w:val="24"/>
          <w:szCs w:val="24"/>
        </w:rPr>
        <w:t>Morus</w:t>
      </w:r>
      <w:r w:rsidRPr="007B6DE4">
        <w:rPr>
          <w:rFonts w:ascii="Times New Roman" w:hAnsi="Times New Roman" w:cs="Times New Roman"/>
          <w:sz w:val="24"/>
          <w:szCs w:val="24"/>
        </w:rPr>
        <w:t xml:space="preserve"> spp.) leaves are fundamental to the success of silkworm rearing. Various physiological, biochemical, and morphological characteristics of mulberry influence the feeding behavior, digestion efficiency, and silk-producing ability of </w:t>
      </w:r>
      <w:r w:rsidRPr="007B6DE4">
        <w:rPr>
          <w:rFonts w:ascii="Times New Roman" w:hAnsi="Times New Roman" w:cs="Times New Roman"/>
          <w:i/>
          <w:iCs/>
          <w:sz w:val="24"/>
          <w:szCs w:val="24"/>
        </w:rPr>
        <w:t>Bombyx mori</w:t>
      </w:r>
      <w:r w:rsidRPr="007B6DE4">
        <w:rPr>
          <w:rFonts w:ascii="Times New Roman" w:hAnsi="Times New Roman" w:cs="Times New Roman"/>
          <w:sz w:val="24"/>
          <w:szCs w:val="24"/>
        </w:rPr>
        <w:t>. The nutritional profile of mulberry is not static</w:t>
      </w:r>
      <w:r w:rsidR="00482172" w:rsidRPr="007B6DE4">
        <w:rPr>
          <w:rFonts w:ascii="Times New Roman" w:hAnsi="Times New Roman" w:cs="Times New Roman"/>
          <w:sz w:val="24"/>
          <w:szCs w:val="24"/>
        </w:rPr>
        <w:t xml:space="preserve">, </w:t>
      </w:r>
      <w:r w:rsidRPr="007B6DE4">
        <w:rPr>
          <w:rFonts w:ascii="Times New Roman" w:hAnsi="Times New Roman" w:cs="Times New Roman"/>
          <w:sz w:val="24"/>
          <w:szCs w:val="24"/>
        </w:rPr>
        <w:t>it varies with cultivar type, plant age, season, agronomic practices, and soil fertility (</w:t>
      </w:r>
      <w:proofErr w:type="spellStart"/>
      <w:r w:rsidRPr="007B6DE4">
        <w:rPr>
          <w:rFonts w:ascii="Times New Roman" w:hAnsi="Times New Roman" w:cs="Times New Roman"/>
          <w:sz w:val="24"/>
          <w:szCs w:val="24"/>
        </w:rPr>
        <w:t>Bongale</w:t>
      </w:r>
      <w:proofErr w:type="spellEnd"/>
      <w:r w:rsidRPr="007B6DE4">
        <w:rPr>
          <w:rFonts w:ascii="Times New Roman" w:hAnsi="Times New Roman" w:cs="Times New Roman"/>
          <w:sz w:val="24"/>
          <w:szCs w:val="24"/>
        </w:rPr>
        <w:t xml:space="preserve"> et al., 1997; Sengupta et al., 1992).</w:t>
      </w:r>
    </w:p>
    <w:p w14:paraId="3BE8B5CC" w14:textId="1AF90247" w:rsidR="00CB596E" w:rsidRPr="007B6DE4" w:rsidRDefault="00CB596E"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t>Mulberry leaves are rich in essential nutrients such as proteins, carbohydrates, minerals, vitamins, and secondary metabolites. These nutrients influence several biological traits in silkworms, including larval weight, cocoon shell percentage, and silk filament length (Ramesh et al., 2011</w:t>
      </w:r>
      <w:r w:rsidR="00482172" w:rsidRPr="007B6DE4">
        <w:rPr>
          <w:rFonts w:ascii="Times New Roman" w:hAnsi="Times New Roman" w:cs="Times New Roman"/>
          <w:sz w:val="24"/>
          <w:szCs w:val="24"/>
        </w:rPr>
        <w:t>;</w:t>
      </w:r>
      <w:r w:rsidR="00463E77" w:rsidRPr="007B6DE4">
        <w:rPr>
          <w:rFonts w:ascii="Times New Roman" w:hAnsi="Times New Roman" w:cs="Times New Roman"/>
          <w:sz w:val="24"/>
          <w:szCs w:val="24"/>
        </w:rPr>
        <w:t xml:space="preserve"> </w:t>
      </w:r>
      <w:r w:rsidR="00482172" w:rsidRPr="007B6DE4">
        <w:rPr>
          <w:rFonts w:ascii="Times New Roman" w:hAnsi="Times New Roman" w:cs="Times New Roman"/>
          <w:sz w:val="24"/>
          <w:szCs w:val="24"/>
        </w:rPr>
        <w:t>Lakshmi &amp; Ramesh, 2016).</w:t>
      </w:r>
      <w:r w:rsidRPr="007B6DE4">
        <w:rPr>
          <w:rFonts w:ascii="Times New Roman" w:hAnsi="Times New Roman" w:cs="Times New Roman"/>
          <w:sz w:val="24"/>
          <w:szCs w:val="24"/>
        </w:rPr>
        <w:t xml:space="preserve">). Among the different mulberry varieties, genotypes such as </w:t>
      </w:r>
      <w:r w:rsidRPr="007B6DE4">
        <w:rPr>
          <w:rFonts w:ascii="Times New Roman" w:hAnsi="Times New Roman" w:cs="Times New Roman"/>
          <w:i/>
          <w:iCs/>
          <w:sz w:val="24"/>
          <w:szCs w:val="24"/>
        </w:rPr>
        <w:t>V1</w:t>
      </w:r>
      <w:r w:rsidRPr="007B6DE4">
        <w:rPr>
          <w:rFonts w:ascii="Times New Roman" w:hAnsi="Times New Roman" w:cs="Times New Roman"/>
          <w:sz w:val="24"/>
          <w:szCs w:val="24"/>
        </w:rPr>
        <w:t xml:space="preserve">, </w:t>
      </w:r>
      <w:r w:rsidRPr="007B6DE4">
        <w:rPr>
          <w:rFonts w:ascii="Times New Roman" w:hAnsi="Times New Roman" w:cs="Times New Roman"/>
          <w:i/>
          <w:iCs/>
          <w:sz w:val="24"/>
          <w:szCs w:val="24"/>
        </w:rPr>
        <w:t>S36</w:t>
      </w:r>
      <w:r w:rsidRPr="007B6DE4">
        <w:rPr>
          <w:rFonts w:ascii="Times New Roman" w:hAnsi="Times New Roman" w:cs="Times New Roman"/>
          <w:sz w:val="24"/>
          <w:szCs w:val="24"/>
        </w:rPr>
        <w:t xml:space="preserve">, </w:t>
      </w:r>
      <w:r w:rsidRPr="007B6DE4">
        <w:rPr>
          <w:rFonts w:ascii="Times New Roman" w:hAnsi="Times New Roman" w:cs="Times New Roman"/>
          <w:i/>
          <w:iCs/>
          <w:sz w:val="24"/>
          <w:szCs w:val="24"/>
        </w:rPr>
        <w:t>Thailand Male</w:t>
      </w:r>
      <w:r w:rsidRPr="007B6DE4">
        <w:rPr>
          <w:rFonts w:ascii="Times New Roman" w:hAnsi="Times New Roman" w:cs="Times New Roman"/>
          <w:sz w:val="24"/>
          <w:szCs w:val="24"/>
        </w:rPr>
        <w:t xml:space="preserve">, and </w:t>
      </w:r>
      <w:r w:rsidRPr="007B6DE4">
        <w:rPr>
          <w:rFonts w:ascii="Times New Roman" w:hAnsi="Times New Roman" w:cs="Times New Roman"/>
          <w:i/>
          <w:iCs/>
          <w:sz w:val="24"/>
          <w:szCs w:val="24"/>
        </w:rPr>
        <w:t>M5</w:t>
      </w:r>
      <w:r w:rsidRPr="007B6DE4">
        <w:rPr>
          <w:rFonts w:ascii="Times New Roman" w:hAnsi="Times New Roman" w:cs="Times New Roman"/>
          <w:sz w:val="24"/>
          <w:szCs w:val="24"/>
        </w:rPr>
        <w:t xml:space="preserve"> are known for their superior nutritional traits, especially in terms of high protein and moisture content (Datta, 2000; </w:t>
      </w:r>
      <w:proofErr w:type="spellStart"/>
      <w:r w:rsidRPr="007B6DE4">
        <w:rPr>
          <w:rFonts w:ascii="Times New Roman" w:hAnsi="Times New Roman" w:cs="Times New Roman"/>
          <w:sz w:val="24"/>
          <w:szCs w:val="24"/>
        </w:rPr>
        <w:t>Bongale</w:t>
      </w:r>
      <w:proofErr w:type="spellEnd"/>
      <w:r w:rsidRPr="007B6DE4">
        <w:rPr>
          <w:rFonts w:ascii="Times New Roman" w:hAnsi="Times New Roman" w:cs="Times New Roman"/>
          <w:sz w:val="24"/>
          <w:szCs w:val="24"/>
        </w:rPr>
        <w:t xml:space="preserve"> et al., 1991).</w:t>
      </w:r>
    </w:p>
    <w:p w14:paraId="699335A3" w14:textId="69F742AE" w:rsidR="00CB596E" w:rsidRPr="007B6DE4" w:rsidRDefault="00CB596E" w:rsidP="008D7707">
      <w:pPr>
        <w:spacing w:line="240" w:lineRule="auto"/>
        <w:rPr>
          <w:rFonts w:ascii="Times New Roman" w:hAnsi="Times New Roman" w:cs="Times New Roman"/>
          <w:b/>
          <w:bCs/>
          <w:sz w:val="24"/>
          <w:szCs w:val="24"/>
        </w:rPr>
      </w:pPr>
      <w:r w:rsidRPr="007B6DE4">
        <w:rPr>
          <w:rFonts w:ascii="Times New Roman" w:hAnsi="Times New Roman" w:cs="Times New Roman"/>
          <w:sz w:val="24"/>
          <w:szCs w:val="24"/>
        </w:rPr>
        <w:t>2.1. Macronutrient Profile: Proteins, Carbohydrates, and Moisture</w:t>
      </w:r>
    </w:p>
    <w:p w14:paraId="4F7DA8F2" w14:textId="77777777" w:rsidR="00CB596E" w:rsidRPr="007B6DE4" w:rsidRDefault="00CB596E"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t>Soluble proteins and reducing sugars are the most critical leaf constituents influencing larval development. High protein content in leaves supports silk gland growth, while sugars provide the metabolic energy required for feeding and spinning (Mathur et al., 2003). The protein-to-carbohydrate ratio plays a crucial role in determining food conversion efficiency and silk output.</w:t>
      </w:r>
    </w:p>
    <w:p w14:paraId="22C739FC" w14:textId="3F70EA89" w:rsidR="00CB596E" w:rsidRPr="007B6DE4" w:rsidRDefault="00CB596E" w:rsidP="008D7707">
      <w:pPr>
        <w:spacing w:line="240" w:lineRule="auto"/>
        <w:rPr>
          <w:rFonts w:ascii="Times New Roman" w:hAnsi="Times New Roman" w:cs="Times New Roman"/>
          <w:b/>
          <w:bCs/>
          <w:sz w:val="24"/>
          <w:szCs w:val="24"/>
        </w:rPr>
      </w:pPr>
      <w:r w:rsidRPr="007B6DE4">
        <w:rPr>
          <w:rFonts w:ascii="Times New Roman" w:hAnsi="Times New Roman" w:cs="Times New Roman"/>
          <w:sz w:val="24"/>
          <w:szCs w:val="24"/>
        </w:rPr>
        <w:t>2.2. Micronutrients and Minerals in Leaf Physiology</w:t>
      </w:r>
    </w:p>
    <w:p w14:paraId="50084BDE" w14:textId="77777777" w:rsidR="00CB596E" w:rsidRPr="007B6DE4" w:rsidRDefault="00CB596E"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t>Moisture content contributes significantly to the palatability and digestibility of leaves. Young and tender leaves generally have higher moisture, making them more suitable for early instar larvae. On the other hand, high crude fiber content in mature or coarse leaves reduces digestibility, affecting cocoon production adversely (Koul and Bhagat, 1994).</w:t>
      </w:r>
    </w:p>
    <w:p w14:paraId="69535CE3" w14:textId="2F3930A5" w:rsidR="00CB596E" w:rsidRPr="007B6DE4" w:rsidRDefault="00CB596E" w:rsidP="008D7707">
      <w:pPr>
        <w:spacing w:line="240" w:lineRule="auto"/>
        <w:rPr>
          <w:rFonts w:ascii="Times New Roman" w:hAnsi="Times New Roman" w:cs="Times New Roman"/>
          <w:b/>
          <w:bCs/>
          <w:sz w:val="24"/>
          <w:szCs w:val="24"/>
        </w:rPr>
      </w:pPr>
      <w:r w:rsidRPr="007B6DE4">
        <w:rPr>
          <w:rFonts w:ascii="Times New Roman" w:hAnsi="Times New Roman" w:cs="Times New Roman"/>
          <w:sz w:val="24"/>
          <w:szCs w:val="24"/>
        </w:rPr>
        <w:t>2.3. Influence of Leaf Maturity and Seasonal Variability</w:t>
      </w:r>
    </w:p>
    <w:p w14:paraId="3E1F571E" w14:textId="77777777" w:rsidR="00CB596E" w:rsidRPr="007B6DE4" w:rsidRDefault="00CB596E"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lastRenderedPageBreak/>
        <w:t>Mulberry leaves supply essential minerals such as calcium (Ca), potassium (K), magnesium (Mg), and trace elements like zinc (Zn) and iron (Fe), which are important for various enzymatic and metabolic activities in silkworms. These nutrients contribute to silk protein synthesis, immune functions, and overall larval vigor (</w:t>
      </w:r>
      <w:proofErr w:type="spellStart"/>
      <w:r w:rsidRPr="007B6DE4">
        <w:rPr>
          <w:rFonts w:ascii="Times New Roman" w:hAnsi="Times New Roman" w:cs="Times New Roman"/>
          <w:sz w:val="24"/>
          <w:szCs w:val="24"/>
        </w:rPr>
        <w:t>Sannappa</w:t>
      </w:r>
      <w:proofErr w:type="spellEnd"/>
      <w:r w:rsidRPr="007B6DE4">
        <w:rPr>
          <w:rFonts w:ascii="Times New Roman" w:hAnsi="Times New Roman" w:cs="Times New Roman"/>
          <w:sz w:val="24"/>
          <w:szCs w:val="24"/>
        </w:rPr>
        <w:t xml:space="preserve"> and </w:t>
      </w:r>
      <w:proofErr w:type="spellStart"/>
      <w:r w:rsidRPr="007B6DE4">
        <w:rPr>
          <w:rFonts w:ascii="Times New Roman" w:hAnsi="Times New Roman" w:cs="Times New Roman"/>
          <w:sz w:val="24"/>
          <w:szCs w:val="24"/>
        </w:rPr>
        <w:t>Mallikarjuna</w:t>
      </w:r>
      <w:proofErr w:type="spellEnd"/>
      <w:r w:rsidRPr="007B6DE4">
        <w:rPr>
          <w:rFonts w:ascii="Times New Roman" w:hAnsi="Times New Roman" w:cs="Times New Roman"/>
          <w:sz w:val="24"/>
          <w:szCs w:val="24"/>
        </w:rPr>
        <w:t>, 2009).</w:t>
      </w:r>
    </w:p>
    <w:p w14:paraId="535DEDE4" w14:textId="24EEE461" w:rsidR="00CB596E" w:rsidRPr="007B6DE4" w:rsidRDefault="00CB596E" w:rsidP="008D7707">
      <w:pPr>
        <w:spacing w:line="240" w:lineRule="auto"/>
        <w:rPr>
          <w:rFonts w:ascii="Times New Roman" w:hAnsi="Times New Roman" w:cs="Times New Roman"/>
          <w:b/>
          <w:bCs/>
          <w:sz w:val="24"/>
          <w:szCs w:val="24"/>
        </w:rPr>
      </w:pPr>
      <w:r w:rsidRPr="007B6DE4">
        <w:rPr>
          <w:rFonts w:ascii="Times New Roman" w:hAnsi="Times New Roman" w:cs="Times New Roman"/>
          <w:sz w:val="24"/>
          <w:szCs w:val="24"/>
        </w:rPr>
        <w:t>2.4. Genotypic Variation in Nutritional Value</w:t>
      </w:r>
    </w:p>
    <w:p w14:paraId="33BB294F" w14:textId="11E2DDEF" w:rsidR="00E53DE2" w:rsidRPr="007B6DE4" w:rsidRDefault="00CB596E"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t>The stage of leaf maturity also affects nutrient content. Generally, medium-matured leaves (5th or 6th leaf from the apex) are nutritionally optimal, containing a balanced level of protein, sugars, and minerals (Narayanan et al., 2006). Over-aged leaves may accumulate more lignin and fiber, which can hinder digestion and reduce cocoon weight.</w:t>
      </w:r>
    </w:p>
    <w:p w14:paraId="191A31CD" w14:textId="1EDD881B" w:rsidR="00CB596E" w:rsidRPr="007B6DE4" w:rsidRDefault="007B1A4D" w:rsidP="008D7707">
      <w:pPr>
        <w:spacing w:line="240" w:lineRule="auto"/>
        <w:rPr>
          <w:rFonts w:ascii="Times New Roman" w:hAnsi="Times New Roman" w:cs="Times New Roman"/>
          <w:b/>
          <w:bCs/>
          <w:sz w:val="24"/>
          <w:szCs w:val="24"/>
        </w:rPr>
      </w:pPr>
      <w:r w:rsidRPr="007B6DE4">
        <w:rPr>
          <w:rFonts w:ascii="Times New Roman" w:hAnsi="Times New Roman" w:cs="Times New Roman"/>
          <w:sz w:val="24"/>
          <w:szCs w:val="24"/>
        </w:rPr>
        <w:t>2.5. Seasonal Influence</w:t>
      </w:r>
    </w:p>
    <w:p w14:paraId="0637B839" w14:textId="3831B83C" w:rsidR="00CB596E" w:rsidRPr="007B6DE4" w:rsidRDefault="00CB596E"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t>Leaf quality is significantly affected by seasonal changes. During the monsoon and cooler months, mulberry tends to produce nutrient-rich foliage due to better soil moisture and lower evapotranspiration. In contrast, summer leaves often show reduced chlorophyll, moisture, and protein content due to heat stress (Rahmathulla, 2012).</w:t>
      </w:r>
    </w:p>
    <w:p w14:paraId="22A30447" w14:textId="77777777" w:rsidR="00CB596E" w:rsidRPr="007B6DE4" w:rsidRDefault="00CB596E"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t>Overall, the nutritional composition of mulberry leaves is a key determinant of silk productivity. Selecting high-yielding and nutritionally rich genotypes, along with appropriate cultivation and harvesting practices, can significantly improve cocoon yield and silk quality.</w:t>
      </w:r>
    </w:p>
    <w:p w14:paraId="43FD37BC" w14:textId="1784F9BA" w:rsidR="007C79FE" w:rsidRPr="007B6DE4" w:rsidRDefault="007C79FE" w:rsidP="007C79FE">
      <w:pPr>
        <w:spacing w:line="240" w:lineRule="auto"/>
        <w:rPr>
          <w:rFonts w:ascii="Times New Roman" w:hAnsi="Times New Roman" w:cs="Times New Roman"/>
          <w:b/>
          <w:bCs/>
          <w:sz w:val="24"/>
          <w:szCs w:val="24"/>
        </w:rPr>
      </w:pPr>
      <w:r w:rsidRPr="007B6DE4">
        <w:rPr>
          <w:rFonts w:ascii="Times New Roman" w:hAnsi="Times New Roman" w:cs="Times New Roman"/>
          <w:sz w:val="24"/>
          <w:szCs w:val="24"/>
        </w:rPr>
        <w:t>3. Nutritional Strategies to Enhance Cocoon Traits in Bombyx mori</w:t>
      </w:r>
    </w:p>
    <w:p w14:paraId="644FF632" w14:textId="77777777" w:rsidR="007C79FE" w:rsidRPr="007B6DE4" w:rsidRDefault="007C79FE" w:rsidP="007C79FE">
      <w:pPr>
        <w:spacing w:after="0" w:line="240" w:lineRule="auto"/>
        <w:rPr>
          <w:rFonts w:ascii="Times New Roman" w:hAnsi="Times New Roman" w:cs="Times New Roman"/>
          <w:sz w:val="24"/>
          <w:szCs w:val="24"/>
        </w:rPr>
      </w:pPr>
      <w:r w:rsidRPr="007B6DE4">
        <w:rPr>
          <w:rFonts w:ascii="Times New Roman" w:hAnsi="Times New Roman" w:cs="Times New Roman"/>
          <w:sz w:val="24"/>
          <w:szCs w:val="24"/>
        </w:rPr>
        <w:t>Improving the nutritional quality of mulberry (Morus spp.) leaves is a critical frontier in sustainable sericulture. Since silkworms (</w:t>
      </w:r>
      <w:r w:rsidRPr="007B6DE4">
        <w:rPr>
          <w:rFonts w:ascii="Times New Roman" w:hAnsi="Times New Roman" w:cs="Times New Roman"/>
          <w:i/>
          <w:iCs/>
          <w:sz w:val="24"/>
          <w:szCs w:val="24"/>
        </w:rPr>
        <w:t>Bombyx mori</w:t>
      </w:r>
      <w:r w:rsidRPr="007B6DE4">
        <w:rPr>
          <w:rFonts w:ascii="Times New Roman" w:hAnsi="Times New Roman" w:cs="Times New Roman"/>
          <w:sz w:val="24"/>
          <w:szCs w:val="24"/>
        </w:rPr>
        <w:t xml:space="preserve"> L.) derive their entire diet from mulberry foliage, the nutritional profile of the leaves directly impacts larval development, cocoon quality, and silk yield. Biofortification refers to the enhancement of the nutritional content of crops via agronomic practices, selective breeding, organic enrichment, or biological interventions such as microbial inoculation. In mulberry, biofortification strategies are increasingly recognized as a sustainable means to improve leaf protein, micronutrient density, and digestibility without relying on synthetic chemical inputs.</w:t>
      </w:r>
    </w:p>
    <w:p w14:paraId="6B69E88B" w14:textId="77777777" w:rsidR="007C79FE" w:rsidRPr="007B6DE4" w:rsidRDefault="007C79FE" w:rsidP="007C79FE">
      <w:pPr>
        <w:spacing w:after="0" w:line="240" w:lineRule="auto"/>
        <w:rPr>
          <w:rFonts w:ascii="Times New Roman" w:hAnsi="Times New Roman" w:cs="Times New Roman"/>
          <w:sz w:val="24"/>
          <w:szCs w:val="24"/>
        </w:rPr>
      </w:pPr>
    </w:p>
    <w:p w14:paraId="6AA4C044" w14:textId="77777777" w:rsidR="007C79FE" w:rsidRPr="007B6DE4" w:rsidRDefault="007C79FE" w:rsidP="007C79FE">
      <w:pPr>
        <w:spacing w:after="0" w:line="240" w:lineRule="auto"/>
        <w:rPr>
          <w:rFonts w:ascii="Times New Roman" w:hAnsi="Times New Roman" w:cs="Times New Roman"/>
          <w:b/>
          <w:bCs/>
          <w:sz w:val="24"/>
          <w:szCs w:val="24"/>
        </w:rPr>
      </w:pPr>
      <w:r w:rsidRPr="007B6DE4">
        <w:rPr>
          <w:rFonts w:ascii="Times New Roman" w:hAnsi="Times New Roman" w:cs="Times New Roman"/>
          <w:b/>
          <w:bCs/>
          <w:sz w:val="24"/>
          <w:szCs w:val="24"/>
        </w:rPr>
        <w:t>3.1. Conventional Breeding for Nutrient-Rich Mulberry Genotypes</w:t>
      </w:r>
    </w:p>
    <w:p w14:paraId="7B3D4BFA" w14:textId="77777777" w:rsidR="007C79FE" w:rsidRPr="007B6DE4" w:rsidRDefault="007C79FE" w:rsidP="007C79FE">
      <w:pPr>
        <w:spacing w:after="0" w:line="240" w:lineRule="auto"/>
        <w:rPr>
          <w:rFonts w:ascii="Times New Roman" w:hAnsi="Times New Roman" w:cs="Times New Roman"/>
          <w:sz w:val="24"/>
          <w:szCs w:val="24"/>
        </w:rPr>
      </w:pPr>
    </w:p>
    <w:p w14:paraId="4D70E451" w14:textId="69A85E7A" w:rsidR="007C79FE" w:rsidRPr="007B6DE4" w:rsidRDefault="007C79FE" w:rsidP="007C79FE">
      <w:pPr>
        <w:spacing w:after="0" w:line="240" w:lineRule="auto"/>
        <w:rPr>
          <w:rFonts w:ascii="Times New Roman" w:hAnsi="Times New Roman" w:cs="Times New Roman"/>
          <w:sz w:val="24"/>
          <w:szCs w:val="24"/>
        </w:rPr>
      </w:pPr>
      <w:r w:rsidRPr="007B6DE4">
        <w:rPr>
          <w:rFonts w:ascii="Times New Roman" w:hAnsi="Times New Roman" w:cs="Times New Roman"/>
          <w:sz w:val="24"/>
          <w:szCs w:val="24"/>
        </w:rPr>
        <w:t xml:space="preserve">Traditional breeding programs have made significant strides in developing nutrient-rich mulberry cultivars. Varieties such as V1, S36, and G4 have consistently demonstrated higher crude protein, moisture content, and soluble sugar levels compared to conventional types like Mysore local or </w:t>
      </w:r>
      <w:proofErr w:type="spellStart"/>
      <w:r w:rsidRPr="007B6DE4">
        <w:rPr>
          <w:rFonts w:ascii="Times New Roman" w:hAnsi="Times New Roman" w:cs="Times New Roman"/>
          <w:sz w:val="24"/>
          <w:szCs w:val="24"/>
        </w:rPr>
        <w:t>Berhampore</w:t>
      </w:r>
      <w:proofErr w:type="spellEnd"/>
      <w:r w:rsidRPr="007B6DE4">
        <w:rPr>
          <w:rFonts w:ascii="Times New Roman" w:hAnsi="Times New Roman" w:cs="Times New Roman"/>
          <w:sz w:val="24"/>
          <w:szCs w:val="24"/>
        </w:rPr>
        <w:t xml:space="preserve"> (Ramesh et al., 2011; </w:t>
      </w:r>
      <w:proofErr w:type="spellStart"/>
      <w:r w:rsidRPr="007B6DE4">
        <w:rPr>
          <w:rFonts w:ascii="Times New Roman" w:hAnsi="Times New Roman" w:cs="Times New Roman"/>
          <w:sz w:val="24"/>
          <w:szCs w:val="24"/>
        </w:rPr>
        <w:t>Bongale</w:t>
      </w:r>
      <w:proofErr w:type="spellEnd"/>
      <w:r w:rsidRPr="007B6DE4">
        <w:rPr>
          <w:rFonts w:ascii="Times New Roman" w:hAnsi="Times New Roman" w:cs="Times New Roman"/>
          <w:sz w:val="24"/>
          <w:szCs w:val="24"/>
        </w:rPr>
        <w:t xml:space="preserve"> et al., 1997). These high-yielding genotypes not only support better larval weight gain and survival but also contribute to an improved cocoon shell ratio and filament length (Dandin et al., 2003). Breeding efforts now increasingly focus on integrating multi-trait selection, including disease resistance, leaf yield, and nutrient bioavailability, to meet the dual goals of sustainability and productivity (Koul &amp; Dhaliwal, 2019).</w:t>
      </w:r>
    </w:p>
    <w:p w14:paraId="17733225" w14:textId="77777777" w:rsidR="007C79FE" w:rsidRPr="007B6DE4" w:rsidRDefault="007C79FE" w:rsidP="007C79FE">
      <w:pPr>
        <w:spacing w:after="0" w:line="240" w:lineRule="auto"/>
        <w:rPr>
          <w:rFonts w:ascii="Times New Roman" w:hAnsi="Times New Roman" w:cs="Times New Roman"/>
          <w:sz w:val="24"/>
          <w:szCs w:val="24"/>
        </w:rPr>
      </w:pPr>
    </w:p>
    <w:p w14:paraId="7EF3DBAD" w14:textId="77777777" w:rsidR="007C79FE" w:rsidRPr="007B6DE4" w:rsidRDefault="007C79FE" w:rsidP="007C79FE">
      <w:pPr>
        <w:spacing w:after="0" w:line="240" w:lineRule="auto"/>
        <w:rPr>
          <w:rFonts w:ascii="Times New Roman" w:hAnsi="Times New Roman" w:cs="Times New Roman"/>
          <w:b/>
          <w:bCs/>
          <w:sz w:val="24"/>
          <w:szCs w:val="24"/>
        </w:rPr>
      </w:pPr>
      <w:r w:rsidRPr="007B6DE4">
        <w:rPr>
          <w:rFonts w:ascii="Times New Roman" w:hAnsi="Times New Roman" w:cs="Times New Roman"/>
          <w:b/>
          <w:bCs/>
          <w:sz w:val="24"/>
          <w:szCs w:val="24"/>
        </w:rPr>
        <w:t>3.2. Micronutrient Supplementation and Fertilizer Management</w:t>
      </w:r>
    </w:p>
    <w:p w14:paraId="62D03C5B" w14:textId="77777777" w:rsidR="007C79FE" w:rsidRPr="007B6DE4" w:rsidRDefault="007C79FE" w:rsidP="007C79FE">
      <w:pPr>
        <w:spacing w:after="0" w:line="240" w:lineRule="auto"/>
        <w:rPr>
          <w:rFonts w:ascii="Times New Roman" w:hAnsi="Times New Roman" w:cs="Times New Roman"/>
          <w:sz w:val="24"/>
          <w:szCs w:val="24"/>
        </w:rPr>
      </w:pPr>
    </w:p>
    <w:p w14:paraId="6C3F7D65" w14:textId="7DC3FD10" w:rsidR="007C79FE" w:rsidRPr="007B6DE4" w:rsidRDefault="007C79FE" w:rsidP="007C79FE">
      <w:pPr>
        <w:spacing w:after="0" w:line="240" w:lineRule="auto"/>
        <w:rPr>
          <w:rFonts w:ascii="Times New Roman" w:hAnsi="Times New Roman" w:cs="Times New Roman"/>
          <w:sz w:val="24"/>
          <w:szCs w:val="24"/>
        </w:rPr>
      </w:pPr>
      <w:r w:rsidRPr="007B6DE4">
        <w:rPr>
          <w:rFonts w:ascii="Times New Roman" w:hAnsi="Times New Roman" w:cs="Times New Roman"/>
          <w:sz w:val="24"/>
          <w:szCs w:val="24"/>
        </w:rPr>
        <w:lastRenderedPageBreak/>
        <w:t>Agronomic biofortification through foliar and soil application of micronutrients—particularly zinc (Zn), iron (Fe), boron (B), and magnesium (Mg)—has proven effective in enhancing mulberry leaf quality. Zinc application, for instance, has been reported to enhance photosynthetic efficiency, protein synthesis, and antioxidative enzyme activities in mulberry (Sarkar et al., 2017). Similarly, iron is essential for chlorophyll formation and energy metabolism, and its supplementation has been linked with increased leaf biomass and nitrogen assimilation (</w:t>
      </w:r>
      <w:proofErr w:type="spellStart"/>
      <w:r w:rsidRPr="007B6DE4">
        <w:rPr>
          <w:rFonts w:ascii="Times New Roman" w:hAnsi="Times New Roman" w:cs="Times New Roman"/>
          <w:sz w:val="24"/>
          <w:szCs w:val="24"/>
        </w:rPr>
        <w:t>Sannappa</w:t>
      </w:r>
      <w:proofErr w:type="spellEnd"/>
      <w:r w:rsidRPr="007B6DE4">
        <w:rPr>
          <w:rFonts w:ascii="Times New Roman" w:hAnsi="Times New Roman" w:cs="Times New Roman"/>
          <w:sz w:val="24"/>
          <w:szCs w:val="24"/>
        </w:rPr>
        <w:t xml:space="preserve"> &amp; </w:t>
      </w:r>
      <w:proofErr w:type="spellStart"/>
      <w:r w:rsidRPr="007B6DE4">
        <w:rPr>
          <w:rFonts w:ascii="Times New Roman" w:hAnsi="Times New Roman" w:cs="Times New Roman"/>
          <w:sz w:val="24"/>
          <w:szCs w:val="24"/>
        </w:rPr>
        <w:t>Mallikarjuna</w:t>
      </w:r>
      <w:proofErr w:type="spellEnd"/>
      <w:r w:rsidRPr="007B6DE4">
        <w:rPr>
          <w:rFonts w:ascii="Times New Roman" w:hAnsi="Times New Roman" w:cs="Times New Roman"/>
          <w:sz w:val="24"/>
          <w:szCs w:val="24"/>
        </w:rPr>
        <w:t>, 2009). The synergistic application of Zn, Fe, and Mn significantly improves silk gland growth in silkworms and enhances cocoon parameters (</w:t>
      </w:r>
      <w:proofErr w:type="spellStart"/>
      <w:r w:rsidRPr="007B6DE4">
        <w:rPr>
          <w:rFonts w:ascii="Times New Roman" w:hAnsi="Times New Roman" w:cs="Times New Roman"/>
          <w:sz w:val="24"/>
          <w:szCs w:val="24"/>
        </w:rPr>
        <w:t>Bindroo</w:t>
      </w:r>
      <w:proofErr w:type="spellEnd"/>
      <w:r w:rsidRPr="007B6DE4">
        <w:rPr>
          <w:rFonts w:ascii="Times New Roman" w:hAnsi="Times New Roman" w:cs="Times New Roman"/>
          <w:sz w:val="24"/>
          <w:szCs w:val="24"/>
        </w:rPr>
        <w:t xml:space="preserve"> &amp; Roy, 2015). Recent studies emphasize that optimal micronutrient application schedules can improve leaf protein, moisture retention, and palatability, ultimately boosting larval development and silk quality (Lakshmi &amp; Ramesh, 2016).</w:t>
      </w:r>
    </w:p>
    <w:p w14:paraId="68B738AC" w14:textId="77777777" w:rsidR="007C79FE" w:rsidRPr="007B6DE4" w:rsidRDefault="007C79FE" w:rsidP="007C79FE">
      <w:pPr>
        <w:spacing w:after="0" w:line="240" w:lineRule="auto"/>
        <w:rPr>
          <w:rFonts w:ascii="Times New Roman" w:hAnsi="Times New Roman" w:cs="Times New Roman"/>
          <w:sz w:val="24"/>
          <w:szCs w:val="24"/>
        </w:rPr>
      </w:pPr>
    </w:p>
    <w:p w14:paraId="5ABA8E24" w14:textId="77777777" w:rsidR="007C79FE" w:rsidRPr="007B6DE4" w:rsidRDefault="007C79FE" w:rsidP="007C79FE">
      <w:pPr>
        <w:spacing w:after="0" w:line="240" w:lineRule="auto"/>
        <w:rPr>
          <w:rFonts w:ascii="Times New Roman" w:hAnsi="Times New Roman" w:cs="Times New Roman"/>
          <w:b/>
          <w:bCs/>
          <w:sz w:val="24"/>
          <w:szCs w:val="24"/>
        </w:rPr>
      </w:pPr>
      <w:r w:rsidRPr="007B6DE4">
        <w:rPr>
          <w:rFonts w:ascii="Times New Roman" w:hAnsi="Times New Roman" w:cs="Times New Roman"/>
          <w:b/>
          <w:bCs/>
          <w:sz w:val="24"/>
          <w:szCs w:val="24"/>
        </w:rPr>
        <w:t>3.3. Organic Amendments and Integrated Nutrient Management (INM)</w:t>
      </w:r>
    </w:p>
    <w:p w14:paraId="1BB805D2" w14:textId="77777777" w:rsidR="007C79FE" w:rsidRPr="007B6DE4" w:rsidRDefault="007C79FE" w:rsidP="007C79FE">
      <w:pPr>
        <w:spacing w:after="0" w:line="240" w:lineRule="auto"/>
        <w:rPr>
          <w:rFonts w:ascii="Times New Roman" w:hAnsi="Times New Roman" w:cs="Times New Roman"/>
          <w:sz w:val="24"/>
          <w:szCs w:val="24"/>
        </w:rPr>
      </w:pPr>
    </w:p>
    <w:p w14:paraId="41EBDE0F" w14:textId="7FDB50CF" w:rsidR="007C79FE" w:rsidRPr="007B6DE4" w:rsidRDefault="007C79FE" w:rsidP="007C79FE">
      <w:pPr>
        <w:spacing w:after="0" w:line="240" w:lineRule="auto"/>
        <w:rPr>
          <w:rFonts w:ascii="Times New Roman" w:hAnsi="Times New Roman" w:cs="Times New Roman"/>
          <w:sz w:val="24"/>
          <w:szCs w:val="24"/>
        </w:rPr>
      </w:pPr>
      <w:r w:rsidRPr="007B6DE4">
        <w:rPr>
          <w:rFonts w:ascii="Times New Roman" w:hAnsi="Times New Roman" w:cs="Times New Roman"/>
          <w:sz w:val="24"/>
          <w:szCs w:val="24"/>
        </w:rPr>
        <w:t>Organic matter amendments such as farmyard manure (FYM), green manure, vermicompost, and enriched composts provide essential macro- and micronutrients, improve soil microbial diversity, and enhance the bioavailability of nutrients in mulberry foliage. Kumar et al. (2015) demonstrated that long-term application of compost improved leaf nitrogen and phosphorus levels while reducing the need for chemical fertilizers. Moreover, organic inputs contribute to improved soil structure, water-holding capacity, and cation exchange, all of which indirectly benefit leaf nutritional quality (Sharma &amp; Ananthanarayana, 2012). Integrated nutrient management (INM) a combination of organic and inorganic fertilizers offers a balanced approach for sustained productivity and nutrient-rich foliage under varying agro-climatic conditions.</w:t>
      </w:r>
    </w:p>
    <w:p w14:paraId="79F46439" w14:textId="77777777" w:rsidR="007C79FE" w:rsidRPr="007B6DE4" w:rsidRDefault="007C79FE" w:rsidP="007C79FE">
      <w:pPr>
        <w:spacing w:after="0" w:line="240" w:lineRule="auto"/>
        <w:rPr>
          <w:rFonts w:ascii="Times New Roman" w:hAnsi="Times New Roman" w:cs="Times New Roman"/>
          <w:sz w:val="24"/>
          <w:szCs w:val="24"/>
        </w:rPr>
      </w:pPr>
    </w:p>
    <w:p w14:paraId="10B2BD45" w14:textId="77777777" w:rsidR="007C79FE" w:rsidRPr="007B6DE4" w:rsidRDefault="007C79FE" w:rsidP="007C79FE">
      <w:pPr>
        <w:spacing w:after="0" w:line="240" w:lineRule="auto"/>
        <w:rPr>
          <w:rFonts w:ascii="Times New Roman" w:hAnsi="Times New Roman" w:cs="Times New Roman"/>
          <w:b/>
          <w:bCs/>
          <w:sz w:val="24"/>
          <w:szCs w:val="24"/>
        </w:rPr>
      </w:pPr>
      <w:r w:rsidRPr="007B6DE4">
        <w:rPr>
          <w:rFonts w:ascii="Times New Roman" w:hAnsi="Times New Roman" w:cs="Times New Roman"/>
          <w:b/>
          <w:bCs/>
          <w:sz w:val="24"/>
          <w:szCs w:val="24"/>
        </w:rPr>
        <w:t>3.4 Plant Growth-Promoting Rhizobacteria (PGPR)</w:t>
      </w:r>
    </w:p>
    <w:p w14:paraId="68EDA4E2" w14:textId="77777777" w:rsidR="007C79FE" w:rsidRPr="007B6DE4" w:rsidRDefault="007C79FE" w:rsidP="007C79FE">
      <w:pPr>
        <w:spacing w:after="0" w:line="240" w:lineRule="auto"/>
        <w:rPr>
          <w:rFonts w:ascii="Times New Roman" w:hAnsi="Times New Roman" w:cs="Times New Roman"/>
          <w:sz w:val="24"/>
          <w:szCs w:val="24"/>
        </w:rPr>
      </w:pPr>
    </w:p>
    <w:p w14:paraId="3413AF0C" w14:textId="039792F6" w:rsidR="007C79FE" w:rsidRPr="007B6DE4" w:rsidRDefault="007C79FE" w:rsidP="007C79FE">
      <w:pPr>
        <w:spacing w:after="0" w:line="240" w:lineRule="auto"/>
        <w:rPr>
          <w:rFonts w:ascii="Times New Roman" w:hAnsi="Times New Roman" w:cs="Times New Roman"/>
          <w:sz w:val="24"/>
          <w:szCs w:val="24"/>
        </w:rPr>
      </w:pPr>
      <w:r w:rsidRPr="007B6DE4">
        <w:rPr>
          <w:rFonts w:ascii="Times New Roman" w:hAnsi="Times New Roman" w:cs="Times New Roman"/>
          <w:sz w:val="24"/>
          <w:szCs w:val="24"/>
        </w:rPr>
        <w:t xml:space="preserve">Biofertilization using beneficial microbes like </w:t>
      </w:r>
      <w:proofErr w:type="spellStart"/>
      <w:r w:rsidRPr="007B6DE4">
        <w:rPr>
          <w:rFonts w:ascii="Times New Roman" w:hAnsi="Times New Roman" w:cs="Times New Roman"/>
          <w:i/>
          <w:iCs/>
          <w:sz w:val="24"/>
          <w:szCs w:val="24"/>
        </w:rPr>
        <w:t>Azospirillum</w:t>
      </w:r>
      <w:proofErr w:type="spellEnd"/>
      <w:r w:rsidRPr="007B6DE4">
        <w:rPr>
          <w:rFonts w:ascii="Times New Roman" w:hAnsi="Times New Roman" w:cs="Times New Roman"/>
          <w:sz w:val="24"/>
          <w:szCs w:val="24"/>
        </w:rPr>
        <w:t xml:space="preserve">, </w:t>
      </w:r>
      <w:proofErr w:type="spellStart"/>
      <w:r w:rsidRPr="007B6DE4">
        <w:rPr>
          <w:rFonts w:ascii="Times New Roman" w:hAnsi="Times New Roman" w:cs="Times New Roman"/>
          <w:i/>
          <w:iCs/>
          <w:sz w:val="24"/>
          <w:szCs w:val="24"/>
        </w:rPr>
        <w:t>Azotobacter</w:t>
      </w:r>
      <w:proofErr w:type="spellEnd"/>
      <w:r w:rsidRPr="007B6DE4">
        <w:rPr>
          <w:rFonts w:ascii="Times New Roman" w:hAnsi="Times New Roman" w:cs="Times New Roman"/>
          <w:sz w:val="24"/>
          <w:szCs w:val="24"/>
        </w:rPr>
        <w:t xml:space="preserve">, </w:t>
      </w:r>
      <w:r w:rsidRPr="007B6DE4">
        <w:rPr>
          <w:rFonts w:ascii="Times New Roman" w:hAnsi="Times New Roman" w:cs="Times New Roman"/>
          <w:i/>
          <w:iCs/>
          <w:sz w:val="24"/>
          <w:szCs w:val="24"/>
        </w:rPr>
        <w:t>Bacillus subtilis</w:t>
      </w:r>
      <w:r w:rsidRPr="007B6DE4">
        <w:rPr>
          <w:rFonts w:ascii="Times New Roman" w:hAnsi="Times New Roman" w:cs="Times New Roman"/>
          <w:sz w:val="24"/>
          <w:szCs w:val="24"/>
        </w:rPr>
        <w:t xml:space="preserve">, and </w:t>
      </w:r>
      <w:r w:rsidRPr="007B6DE4">
        <w:rPr>
          <w:rFonts w:ascii="Times New Roman" w:hAnsi="Times New Roman" w:cs="Times New Roman"/>
          <w:i/>
          <w:iCs/>
          <w:sz w:val="24"/>
          <w:szCs w:val="24"/>
        </w:rPr>
        <w:t>Pseudomonas fluorescens</w:t>
      </w:r>
      <w:r w:rsidRPr="007B6DE4">
        <w:rPr>
          <w:rFonts w:ascii="Times New Roman" w:hAnsi="Times New Roman" w:cs="Times New Roman"/>
          <w:sz w:val="24"/>
          <w:szCs w:val="24"/>
        </w:rPr>
        <w:t xml:space="preserve"> is an emerging trend in mulberry biofortification. PGPR enhances nitrogen fixation, phosphate solubilization, and phytohormone production, thereby increasing plant vigor and leaf nutritional content (Rani et al., 2018). PGPR-treated mulberry plots have shown significant increases in leaf protein and chlorophyll content, leading to better cocoon quality and larval survival rates (Sarkar et al., 2017). Co-inoculation with arbuscular mycorrhizal fungi (AMF) further improves root nutrient uptake, drought resistance, and overall plant health (Manjula et al., 2017). This biological approach is especially effective in low-input farming systems and degraded soils.</w:t>
      </w:r>
    </w:p>
    <w:p w14:paraId="0AEEEF57" w14:textId="77777777" w:rsidR="007C79FE" w:rsidRPr="007B6DE4" w:rsidRDefault="007C79FE" w:rsidP="007C79FE">
      <w:pPr>
        <w:spacing w:after="0" w:line="240" w:lineRule="auto"/>
        <w:rPr>
          <w:rFonts w:ascii="Times New Roman" w:hAnsi="Times New Roman" w:cs="Times New Roman"/>
          <w:sz w:val="24"/>
          <w:szCs w:val="24"/>
        </w:rPr>
      </w:pPr>
    </w:p>
    <w:p w14:paraId="722F34ED" w14:textId="77777777" w:rsidR="007C79FE" w:rsidRPr="007B6DE4" w:rsidRDefault="007C79FE" w:rsidP="007C79FE">
      <w:pPr>
        <w:spacing w:after="0" w:line="240" w:lineRule="auto"/>
        <w:rPr>
          <w:rFonts w:ascii="Times New Roman" w:hAnsi="Times New Roman" w:cs="Times New Roman"/>
          <w:b/>
          <w:bCs/>
          <w:sz w:val="24"/>
          <w:szCs w:val="24"/>
        </w:rPr>
      </w:pPr>
      <w:r w:rsidRPr="007B6DE4">
        <w:rPr>
          <w:rFonts w:ascii="Times New Roman" w:hAnsi="Times New Roman" w:cs="Times New Roman"/>
          <w:b/>
          <w:bCs/>
          <w:sz w:val="24"/>
          <w:szCs w:val="24"/>
        </w:rPr>
        <w:t>3.5 Fermented and Fortified Leaf Supplements</w:t>
      </w:r>
    </w:p>
    <w:p w14:paraId="1CBFC28E" w14:textId="77777777" w:rsidR="007C79FE" w:rsidRPr="007B6DE4" w:rsidRDefault="007C79FE" w:rsidP="007C79FE">
      <w:pPr>
        <w:spacing w:after="0" w:line="240" w:lineRule="auto"/>
        <w:rPr>
          <w:rFonts w:ascii="Times New Roman" w:hAnsi="Times New Roman" w:cs="Times New Roman"/>
          <w:sz w:val="24"/>
          <w:szCs w:val="24"/>
        </w:rPr>
      </w:pPr>
    </w:p>
    <w:p w14:paraId="180E5293" w14:textId="644DEE67" w:rsidR="007C79FE" w:rsidRPr="007B6DE4" w:rsidRDefault="007C79FE" w:rsidP="007C79FE">
      <w:pPr>
        <w:spacing w:after="0" w:line="240" w:lineRule="auto"/>
        <w:rPr>
          <w:rFonts w:ascii="Times New Roman" w:hAnsi="Times New Roman" w:cs="Times New Roman"/>
          <w:sz w:val="24"/>
          <w:szCs w:val="24"/>
        </w:rPr>
      </w:pPr>
      <w:r w:rsidRPr="007B6DE4">
        <w:rPr>
          <w:rFonts w:ascii="Times New Roman" w:hAnsi="Times New Roman" w:cs="Times New Roman"/>
          <w:sz w:val="24"/>
          <w:szCs w:val="24"/>
        </w:rPr>
        <w:t xml:space="preserve">Innovative strategies such as leaf fermentation and post-harvest nutrient fortification are gaining attention for their ability to directly enhance silkworm nutrition. Fermented mulberry leaves using microbial cultures, yeast extracts, or amino acid solutions increase digestibility, improve gut health in larvae, and stimulate silk gland development (Kavitha et al., 2014; </w:t>
      </w:r>
      <w:proofErr w:type="spellStart"/>
      <w:r w:rsidRPr="007B6DE4">
        <w:rPr>
          <w:rFonts w:ascii="Times New Roman" w:hAnsi="Times New Roman" w:cs="Times New Roman"/>
          <w:sz w:val="24"/>
          <w:szCs w:val="24"/>
        </w:rPr>
        <w:t>Boraiah</w:t>
      </w:r>
      <w:proofErr w:type="spellEnd"/>
      <w:r w:rsidRPr="007B6DE4">
        <w:rPr>
          <w:rFonts w:ascii="Times New Roman" w:hAnsi="Times New Roman" w:cs="Times New Roman"/>
          <w:sz w:val="24"/>
          <w:szCs w:val="24"/>
        </w:rPr>
        <w:t xml:space="preserve"> et al., 2015). Studies have shown that Spirulina and Chlorella-based mulberry leaf enrichments enhance larval metabolism and silk protein synthesis, especially during late instar stages (Lakshmi et al., 2018). These approaches offer flexibility for targeted nutritional interventions, particularly in controlled rearing conditions or commercial sericulture units.</w:t>
      </w:r>
    </w:p>
    <w:p w14:paraId="10A9FCA5" w14:textId="77777777" w:rsidR="007C79FE" w:rsidRPr="007B6DE4" w:rsidRDefault="007C79FE" w:rsidP="007C79FE">
      <w:pPr>
        <w:spacing w:after="0" w:line="240" w:lineRule="auto"/>
        <w:rPr>
          <w:rFonts w:ascii="Times New Roman" w:hAnsi="Times New Roman" w:cs="Times New Roman"/>
          <w:sz w:val="24"/>
          <w:szCs w:val="24"/>
        </w:rPr>
      </w:pPr>
    </w:p>
    <w:p w14:paraId="7E324D60" w14:textId="3D2D12DB" w:rsidR="007B1A4D" w:rsidRPr="007B6DE4" w:rsidRDefault="007B1A4D" w:rsidP="008D7707">
      <w:pPr>
        <w:spacing w:after="0" w:line="240" w:lineRule="auto"/>
        <w:rPr>
          <w:rFonts w:ascii="Times New Roman" w:hAnsi="Times New Roman" w:cs="Times New Roman"/>
          <w:b/>
          <w:bCs/>
          <w:sz w:val="24"/>
          <w:szCs w:val="24"/>
        </w:rPr>
      </w:pPr>
      <w:r w:rsidRPr="007B6DE4">
        <w:rPr>
          <w:rFonts w:ascii="Times New Roman" w:hAnsi="Times New Roman" w:cs="Times New Roman"/>
          <w:b/>
          <w:bCs/>
          <w:sz w:val="24"/>
          <w:szCs w:val="24"/>
        </w:rPr>
        <w:lastRenderedPageBreak/>
        <w:t>4. Impact of Biofortified Mulberry on Silkworm Performance</w:t>
      </w:r>
    </w:p>
    <w:p w14:paraId="00D85C68" w14:textId="77777777" w:rsidR="00C67BDA" w:rsidRPr="007B6DE4" w:rsidRDefault="00C67BDA" w:rsidP="008D7707">
      <w:pPr>
        <w:spacing w:line="240" w:lineRule="auto"/>
        <w:rPr>
          <w:rFonts w:ascii="Times New Roman" w:hAnsi="Times New Roman" w:cs="Times New Roman"/>
          <w:noProof/>
          <w:sz w:val="24"/>
          <w:szCs w:val="24"/>
        </w:rPr>
      </w:pPr>
    </w:p>
    <w:p w14:paraId="55DF7009" w14:textId="780F5FBA" w:rsidR="008730BD" w:rsidRPr="007B6DE4" w:rsidRDefault="008730BD" w:rsidP="008D7707">
      <w:pPr>
        <w:spacing w:line="240" w:lineRule="auto"/>
        <w:rPr>
          <w:rFonts w:ascii="Times New Roman" w:hAnsi="Times New Roman" w:cs="Times New Roman"/>
          <w:noProof/>
          <w:sz w:val="24"/>
          <w:szCs w:val="24"/>
        </w:rPr>
      </w:pPr>
      <w:r w:rsidRPr="007B6DE4">
        <w:rPr>
          <w:rFonts w:ascii="Times New Roman" w:hAnsi="Times New Roman" w:cs="Times New Roman"/>
          <w:noProof/>
          <w:sz w:val="24"/>
          <w:szCs w:val="24"/>
        </w:rPr>
        <w:t xml:space="preserve">The nutritional status of mulberry leaves plays a decisive role in shaping the biological efficiency of </w:t>
      </w:r>
      <w:r w:rsidRPr="007B6DE4">
        <w:rPr>
          <w:rFonts w:ascii="Times New Roman" w:hAnsi="Times New Roman" w:cs="Times New Roman"/>
          <w:i/>
          <w:iCs/>
          <w:noProof/>
          <w:sz w:val="24"/>
          <w:szCs w:val="24"/>
        </w:rPr>
        <w:t>Bombyx mori</w:t>
      </w:r>
      <w:r w:rsidRPr="007B6DE4">
        <w:rPr>
          <w:rFonts w:ascii="Times New Roman" w:hAnsi="Times New Roman" w:cs="Times New Roman"/>
          <w:noProof/>
          <w:sz w:val="24"/>
          <w:szCs w:val="24"/>
        </w:rPr>
        <w:t xml:space="preserve"> L. Silkworms are highly responsive to changes in their diet, and even slight improvements in leaf quality can bring about significant enhancements in growth, survival, and silk production. Biofortified mulberry leaves, enriched through agronomic, microbial, or post-harvest methods, have shown promising results in improving several larval and cocoon traits.</w:t>
      </w:r>
    </w:p>
    <w:p w14:paraId="636A32BF" w14:textId="1E9B1FA2" w:rsidR="008730BD" w:rsidRPr="007B6DE4" w:rsidRDefault="008730BD" w:rsidP="008D7707">
      <w:pPr>
        <w:spacing w:line="240" w:lineRule="auto"/>
        <w:rPr>
          <w:rFonts w:ascii="Times New Roman" w:hAnsi="Times New Roman" w:cs="Times New Roman"/>
          <w:noProof/>
          <w:sz w:val="24"/>
          <w:szCs w:val="24"/>
        </w:rPr>
      </w:pPr>
      <w:r w:rsidRPr="007B6DE4">
        <w:rPr>
          <w:rFonts w:ascii="Times New Roman" w:hAnsi="Times New Roman" w:cs="Times New Roman"/>
          <w:noProof/>
          <w:sz w:val="24"/>
          <w:szCs w:val="24"/>
        </w:rPr>
        <w:t xml:space="preserve">The link between leaf nutrition and silkworm physiological response is depicted in </w:t>
      </w:r>
      <w:r w:rsidRPr="007B6DE4">
        <w:rPr>
          <w:rFonts w:ascii="Times New Roman" w:hAnsi="Times New Roman" w:cs="Times New Roman"/>
          <w:b/>
          <w:bCs/>
          <w:noProof/>
          <w:sz w:val="24"/>
          <w:szCs w:val="24"/>
        </w:rPr>
        <w:t>Figure 1</w:t>
      </w:r>
      <w:r w:rsidRPr="007B6DE4">
        <w:rPr>
          <w:rFonts w:ascii="Times New Roman" w:hAnsi="Times New Roman" w:cs="Times New Roman"/>
          <w:noProof/>
          <w:sz w:val="24"/>
          <w:szCs w:val="24"/>
        </w:rPr>
        <w:t>, which summarizes how improved nutrient content supports silk gland development and cocoon formation through enhanced metabolic activity, nutrient absorption, and enzyme regulation.</w:t>
      </w:r>
    </w:p>
    <w:p w14:paraId="0E3D28F2" w14:textId="40194B44" w:rsidR="00DC5BC9" w:rsidRPr="007B6DE4" w:rsidRDefault="00C67BDA" w:rsidP="008D7707">
      <w:pPr>
        <w:spacing w:line="240" w:lineRule="auto"/>
        <w:rPr>
          <w:rFonts w:ascii="Times New Roman" w:hAnsi="Times New Roman" w:cs="Times New Roman"/>
          <w:sz w:val="24"/>
          <w:szCs w:val="24"/>
        </w:rPr>
      </w:pPr>
      <w:r w:rsidRPr="007B6DE4">
        <w:rPr>
          <w:rFonts w:ascii="Times New Roman" w:hAnsi="Times New Roman" w:cs="Times New Roman"/>
          <w:noProof/>
          <w:sz w:val="24"/>
          <w:szCs w:val="24"/>
        </w:rPr>
        <w:drawing>
          <wp:anchor distT="0" distB="0" distL="114300" distR="114300" simplePos="0" relativeHeight="251659264" behindDoc="0" locked="0" layoutInCell="1" allowOverlap="1" wp14:anchorId="2221FE19" wp14:editId="65DDD906">
            <wp:simplePos x="0" y="0"/>
            <wp:positionH relativeFrom="column">
              <wp:posOffset>491490</wp:posOffset>
            </wp:positionH>
            <wp:positionV relativeFrom="paragraph">
              <wp:posOffset>130810</wp:posOffset>
            </wp:positionV>
            <wp:extent cx="5126355" cy="3267710"/>
            <wp:effectExtent l="0" t="0" r="0" b="8890"/>
            <wp:wrapSquare wrapText="bothSides"/>
            <wp:docPr id="890234590"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ner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6355" cy="3267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CA60C" w14:textId="7070B301" w:rsidR="0010258F" w:rsidRPr="007B6DE4" w:rsidRDefault="0010258F" w:rsidP="008D7707">
      <w:pPr>
        <w:spacing w:line="240" w:lineRule="auto"/>
        <w:rPr>
          <w:rFonts w:ascii="Times New Roman" w:hAnsi="Times New Roman" w:cs="Times New Roman"/>
          <w:sz w:val="24"/>
          <w:szCs w:val="24"/>
        </w:rPr>
      </w:pPr>
    </w:p>
    <w:p w14:paraId="1BE2A2DC" w14:textId="4327BB97" w:rsidR="0010258F" w:rsidRPr="007B6DE4" w:rsidRDefault="0010258F" w:rsidP="008D7707">
      <w:pPr>
        <w:spacing w:line="240" w:lineRule="auto"/>
        <w:rPr>
          <w:rFonts w:ascii="Times New Roman" w:hAnsi="Times New Roman" w:cs="Times New Roman"/>
          <w:b/>
          <w:bCs/>
          <w:sz w:val="24"/>
          <w:szCs w:val="24"/>
        </w:rPr>
      </w:pPr>
    </w:p>
    <w:p w14:paraId="55F3F37C" w14:textId="7CF1C5C9" w:rsidR="0010258F" w:rsidRPr="007B6DE4" w:rsidRDefault="0010258F" w:rsidP="008D7707">
      <w:pPr>
        <w:spacing w:line="240" w:lineRule="auto"/>
        <w:rPr>
          <w:rFonts w:ascii="Times New Roman" w:hAnsi="Times New Roman" w:cs="Times New Roman"/>
          <w:b/>
          <w:bCs/>
          <w:sz w:val="24"/>
          <w:szCs w:val="24"/>
        </w:rPr>
      </w:pPr>
    </w:p>
    <w:p w14:paraId="365CA2D3" w14:textId="77777777" w:rsidR="008730BD" w:rsidRPr="007B6DE4" w:rsidRDefault="008730BD" w:rsidP="008D7707">
      <w:pPr>
        <w:spacing w:line="240" w:lineRule="auto"/>
        <w:rPr>
          <w:rFonts w:ascii="Times New Roman" w:hAnsi="Times New Roman" w:cs="Times New Roman"/>
          <w:b/>
          <w:bCs/>
          <w:sz w:val="24"/>
          <w:szCs w:val="24"/>
        </w:rPr>
      </w:pPr>
    </w:p>
    <w:p w14:paraId="50C04D0A" w14:textId="77777777" w:rsidR="008730BD" w:rsidRPr="007B6DE4" w:rsidRDefault="008730BD" w:rsidP="008D7707">
      <w:pPr>
        <w:spacing w:line="240" w:lineRule="auto"/>
        <w:rPr>
          <w:rFonts w:ascii="Times New Roman" w:hAnsi="Times New Roman" w:cs="Times New Roman"/>
          <w:b/>
          <w:bCs/>
          <w:sz w:val="24"/>
          <w:szCs w:val="24"/>
        </w:rPr>
      </w:pPr>
    </w:p>
    <w:p w14:paraId="3304DF5F" w14:textId="77777777" w:rsidR="00C67BDA" w:rsidRPr="007B6DE4" w:rsidRDefault="00C67BDA" w:rsidP="008D7707">
      <w:pPr>
        <w:spacing w:line="240" w:lineRule="auto"/>
        <w:jc w:val="center"/>
        <w:rPr>
          <w:rFonts w:ascii="Times New Roman" w:hAnsi="Times New Roman" w:cs="Times New Roman"/>
          <w:b/>
          <w:bCs/>
          <w:sz w:val="24"/>
          <w:szCs w:val="24"/>
        </w:rPr>
      </w:pPr>
    </w:p>
    <w:p w14:paraId="0164F68A" w14:textId="77777777" w:rsidR="00C67BDA" w:rsidRPr="007B6DE4" w:rsidRDefault="00C67BDA" w:rsidP="008D7707">
      <w:pPr>
        <w:spacing w:line="240" w:lineRule="auto"/>
        <w:jc w:val="center"/>
        <w:rPr>
          <w:rFonts w:ascii="Times New Roman" w:hAnsi="Times New Roman" w:cs="Times New Roman"/>
          <w:b/>
          <w:bCs/>
          <w:sz w:val="24"/>
          <w:szCs w:val="24"/>
        </w:rPr>
      </w:pPr>
    </w:p>
    <w:p w14:paraId="173CED75" w14:textId="77777777" w:rsidR="00C67BDA" w:rsidRPr="007B6DE4" w:rsidRDefault="00C67BDA" w:rsidP="008D7707">
      <w:pPr>
        <w:spacing w:line="240" w:lineRule="auto"/>
        <w:jc w:val="center"/>
        <w:rPr>
          <w:rFonts w:ascii="Times New Roman" w:hAnsi="Times New Roman" w:cs="Times New Roman"/>
          <w:b/>
          <w:bCs/>
          <w:sz w:val="24"/>
          <w:szCs w:val="24"/>
        </w:rPr>
      </w:pPr>
    </w:p>
    <w:p w14:paraId="50C1A77D" w14:textId="77777777" w:rsidR="00C67BDA" w:rsidRPr="007B6DE4" w:rsidRDefault="00C67BDA" w:rsidP="008D7707">
      <w:pPr>
        <w:spacing w:line="240" w:lineRule="auto"/>
        <w:jc w:val="center"/>
        <w:rPr>
          <w:rFonts w:ascii="Times New Roman" w:hAnsi="Times New Roman" w:cs="Times New Roman"/>
          <w:b/>
          <w:bCs/>
          <w:sz w:val="24"/>
          <w:szCs w:val="24"/>
        </w:rPr>
      </w:pPr>
    </w:p>
    <w:p w14:paraId="21F8A6E9" w14:textId="77777777" w:rsidR="00C67BDA" w:rsidRPr="007B6DE4" w:rsidRDefault="00C67BDA" w:rsidP="008D7707">
      <w:pPr>
        <w:spacing w:line="240" w:lineRule="auto"/>
        <w:jc w:val="center"/>
        <w:rPr>
          <w:rFonts w:ascii="Times New Roman" w:hAnsi="Times New Roman" w:cs="Times New Roman"/>
          <w:b/>
          <w:bCs/>
          <w:sz w:val="24"/>
          <w:szCs w:val="24"/>
        </w:rPr>
      </w:pPr>
    </w:p>
    <w:p w14:paraId="3B5C2CA6" w14:textId="77777777" w:rsidR="00C67BDA" w:rsidRPr="007B6DE4" w:rsidRDefault="00C67BDA" w:rsidP="008D7707">
      <w:pPr>
        <w:spacing w:line="240" w:lineRule="auto"/>
        <w:jc w:val="center"/>
        <w:rPr>
          <w:rFonts w:ascii="Times New Roman" w:hAnsi="Times New Roman" w:cs="Times New Roman"/>
          <w:b/>
          <w:bCs/>
          <w:sz w:val="24"/>
          <w:szCs w:val="24"/>
        </w:rPr>
      </w:pPr>
    </w:p>
    <w:p w14:paraId="121E2E25" w14:textId="0D52C4FF" w:rsidR="0010258F" w:rsidRPr="007B6DE4" w:rsidRDefault="008730BD" w:rsidP="008D7707">
      <w:pPr>
        <w:spacing w:line="240" w:lineRule="auto"/>
        <w:jc w:val="center"/>
        <w:rPr>
          <w:rFonts w:ascii="Times New Roman" w:hAnsi="Times New Roman" w:cs="Times New Roman"/>
          <w:b/>
          <w:bCs/>
          <w:sz w:val="24"/>
          <w:szCs w:val="24"/>
        </w:rPr>
      </w:pPr>
      <w:r w:rsidRPr="007B6DE4">
        <w:rPr>
          <w:rFonts w:ascii="Times New Roman" w:hAnsi="Times New Roman" w:cs="Times New Roman"/>
          <w:b/>
          <w:bCs/>
          <w:sz w:val="24"/>
          <w:szCs w:val="24"/>
        </w:rPr>
        <w:t>Fig.1</w:t>
      </w:r>
      <w:r w:rsidRPr="007B6DE4">
        <w:rPr>
          <w:rFonts w:ascii="Times New Roman" w:hAnsi="Times New Roman" w:cs="Times New Roman"/>
          <w:sz w:val="24"/>
          <w:szCs w:val="24"/>
        </w:rPr>
        <w:t xml:space="preserve"> </w:t>
      </w:r>
      <w:r w:rsidR="0010258F" w:rsidRPr="007B6DE4">
        <w:rPr>
          <w:rFonts w:ascii="Times New Roman" w:hAnsi="Times New Roman" w:cs="Times New Roman"/>
          <w:i/>
          <w:iCs/>
          <w:sz w:val="24"/>
          <w:szCs w:val="24"/>
        </w:rPr>
        <w:t>Schematic illustration showing the impact of enhanced nutritional content in biofortified mulberry leaves on silkworm performance and cocoon quality.</w:t>
      </w:r>
    </w:p>
    <w:p w14:paraId="2EDE6AAB" w14:textId="7DA3DB3A" w:rsidR="007B1A4D" w:rsidRPr="007B6DE4" w:rsidRDefault="007B1A4D" w:rsidP="008D770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4.1 Larval Growth and Survival</w:t>
      </w:r>
    </w:p>
    <w:p w14:paraId="0357E6BB" w14:textId="77777777" w:rsidR="00666CB1" w:rsidRPr="00666CB1" w:rsidRDefault="00666CB1" w:rsidP="00666CB1">
      <w:pPr>
        <w:spacing w:line="240" w:lineRule="auto"/>
        <w:rPr>
          <w:rFonts w:ascii="Times New Roman" w:hAnsi="Times New Roman" w:cs="Times New Roman"/>
          <w:sz w:val="24"/>
          <w:szCs w:val="24"/>
        </w:rPr>
      </w:pPr>
      <w:r w:rsidRPr="00666CB1">
        <w:rPr>
          <w:rFonts w:ascii="Times New Roman" w:hAnsi="Times New Roman" w:cs="Times New Roman"/>
          <w:sz w:val="24"/>
          <w:szCs w:val="24"/>
        </w:rPr>
        <w:t xml:space="preserve">Improved nutritional quality of mulberry leaves plays a pivotal role in enhancing larval growth, body weight gain, and developmental uniformity in </w:t>
      </w:r>
      <w:r w:rsidRPr="00666CB1">
        <w:rPr>
          <w:rFonts w:ascii="Times New Roman" w:hAnsi="Times New Roman" w:cs="Times New Roman"/>
          <w:i/>
          <w:iCs/>
          <w:sz w:val="24"/>
          <w:szCs w:val="24"/>
        </w:rPr>
        <w:t>Bombyx mori</w:t>
      </w:r>
      <w:r w:rsidRPr="00666CB1">
        <w:rPr>
          <w:rFonts w:ascii="Times New Roman" w:hAnsi="Times New Roman" w:cs="Times New Roman"/>
          <w:sz w:val="24"/>
          <w:szCs w:val="24"/>
        </w:rPr>
        <w:t xml:space="preserve">. High levels of crude protein, amino acids, and digestible carbohydrates in the foliage facilitate rapid cell division and tissue development, especially in the silk glands during the fourth and fifth instars (Mathur et al., 2003; </w:t>
      </w:r>
      <w:proofErr w:type="spellStart"/>
      <w:r w:rsidRPr="00666CB1">
        <w:rPr>
          <w:rFonts w:ascii="Times New Roman" w:hAnsi="Times New Roman" w:cs="Times New Roman"/>
          <w:sz w:val="24"/>
          <w:szCs w:val="24"/>
        </w:rPr>
        <w:t>Bongale</w:t>
      </w:r>
      <w:proofErr w:type="spellEnd"/>
      <w:r w:rsidRPr="00666CB1">
        <w:rPr>
          <w:rFonts w:ascii="Times New Roman" w:hAnsi="Times New Roman" w:cs="Times New Roman"/>
          <w:sz w:val="24"/>
          <w:szCs w:val="24"/>
        </w:rPr>
        <w:t xml:space="preserve"> et al., 1997). Nutritionally superior leaves result in better feed intake and higher assimilation efficiency, leading to shorter larval durations and increased biomass accumulation (Koul and Bhagat, 1994; Ramesh et al., 2011).</w:t>
      </w:r>
    </w:p>
    <w:p w14:paraId="5E3B478F" w14:textId="77777777" w:rsidR="00666CB1" w:rsidRPr="00666CB1" w:rsidRDefault="00666CB1" w:rsidP="00666CB1">
      <w:pPr>
        <w:spacing w:line="240" w:lineRule="auto"/>
        <w:rPr>
          <w:rFonts w:ascii="Times New Roman" w:hAnsi="Times New Roman" w:cs="Times New Roman"/>
          <w:sz w:val="24"/>
          <w:szCs w:val="24"/>
        </w:rPr>
      </w:pPr>
      <w:r w:rsidRPr="00666CB1">
        <w:rPr>
          <w:rFonts w:ascii="Times New Roman" w:hAnsi="Times New Roman" w:cs="Times New Roman"/>
          <w:sz w:val="24"/>
          <w:szCs w:val="24"/>
        </w:rPr>
        <w:lastRenderedPageBreak/>
        <w:t>Several studies have demonstrated the significant impact of micronutrient supplementation and biological interventions on larval performance. For instance, foliar application of zinc and iron has been shown to enhance protein synthesis and promote overall silkworm vigor (</w:t>
      </w:r>
      <w:proofErr w:type="spellStart"/>
      <w:r w:rsidRPr="00666CB1">
        <w:rPr>
          <w:rFonts w:ascii="Times New Roman" w:hAnsi="Times New Roman" w:cs="Times New Roman"/>
          <w:sz w:val="24"/>
          <w:szCs w:val="24"/>
        </w:rPr>
        <w:t>Sannappa</w:t>
      </w:r>
      <w:proofErr w:type="spellEnd"/>
      <w:r w:rsidRPr="00666CB1">
        <w:rPr>
          <w:rFonts w:ascii="Times New Roman" w:hAnsi="Times New Roman" w:cs="Times New Roman"/>
          <w:sz w:val="24"/>
          <w:szCs w:val="24"/>
        </w:rPr>
        <w:t xml:space="preserve"> &amp; </w:t>
      </w:r>
      <w:proofErr w:type="spellStart"/>
      <w:r w:rsidRPr="00666CB1">
        <w:rPr>
          <w:rFonts w:ascii="Times New Roman" w:hAnsi="Times New Roman" w:cs="Times New Roman"/>
          <w:sz w:val="24"/>
          <w:szCs w:val="24"/>
        </w:rPr>
        <w:t>Mallikarjuna</w:t>
      </w:r>
      <w:proofErr w:type="spellEnd"/>
      <w:r w:rsidRPr="00666CB1">
        <w:rPr>
          <w:rFonts w:ascii="Times New Roman" w:hAnsi="Times New Roman" w:cs="Times New Roman"/>
          <w:sz w:val="24"/>
          <w:szCs w:val="24"/>
        </w:rPr>
        <w:t xml:space="preserve">, 2009; Sarkar et al., 2017). Similarly, inoculation of mulberry roots with plant growth-promoting rhizobacteria (PGPR) such as </w:t>
      </w:r>
      <w:proofErr w:type="spellStart"/>
      <w:r w:rsidRPr="00666CB1">
        <w:rPr>
          <w:rFonts w:ascii="Times New Roman" w:hAnsi="Times New Roman" w:cs="Times New Roman"/>
          <w:i/>
          <w:iCs/>
          <w:sz w:val="24"/>
          <w:szCs w:val="24"/>
        </w:rPr>
        <w:t>Azospirillum</w:t>
      </w:r>
      <w:proofErr w:type="spellEnd"/>
      <w:r w:rsidRPr="00666CB1">
        <w:rPr>
          <w:rFonts w:ascii="Times New Roman" w:hAnsi="Times New Roman" w:cs="Times New Roman"/>
          <w:sz w:val="24"/>
          <w:szCs w:val="24"/>
        </w:rPr>
        <w:t xml:space="preserve"> and </w:t>
      </w:r>
      <w:r w:rsidRPr="00666CB1">
        <w:rPr>
          <w:rFonts w:ascii="Times New Roman" w:hAnsi="Times New Roman" w:cs="Times New Roman"/>
          <w:i/>
          <w:iCs/>
          <w:sz w:val="24"/>
          <w:szCs w:val="24"/>
        </w:rPr>
        <w:t>Pseudomonas fluorescens</w:t>
      </w:r>
      <w:r w:rsidRPr="00666CB1">
        <w:rPr>
          <w:rFonts w:ascii="Times New Roman" w:hAnsi="Times New Roman" w:cs="Times New Roman"/>
          <w:sz w:val="24"/>
          <w:szCs w:val="24"/>
        </w:rPr>
        <w:t xml:space="preserve"> improves nitrogen uptake and phytohormone production, resulting in nutritionally enriched leaves that support up to 25% greater larval weight and higher survival percentages (Rani et al., 2018; Manjula et al., 2017).</w:t>
      </w:r>
    </w:p>
    <w:p w14:paraId="2335188F" w14:textId="77777777" w:rsidR="00666CB1" w:rsidRPr="00666CB1" w:rsidRDefault="00666CB1" w:rsidP="00666CB1">
      <w:pPr>
        <w:spacing w:line="240" w:lineRule="auto"/>
        <w:rPr>
          <w:rFonts w:ascii="Times New Roman" w:hAnsi="Times New Roman" w:cs="Times New Roman"/>
          <w:sz w:val="24"/>
          <w:szCs w:val="24"/>
        </w:rPr>
      </w:pPr>
      <w:r w:rsidRPr="00666CB1">
        <w:rPr>
          <w:rFonts w:ascii="Times New Roman" w:hAnsi="Times New Roman" w:cs="Times New Roman"/>
          <w:sz w:val="24"/>
          <w:szCs w:val="24"/>
        </w:rPr>
        <w:t xml:space="preserve">Additionally, the use of organic soil amendments like vermicompost and enriched FYM has shown to enhance leaf nitrogen and phosphorus content, translating into accelerated larval growth and reduced mortality (Kumar et al., 2015; Sharma &amp; Ananthanarayana, 2012). Under controlled experiments, silkworms reared on fermented or amino acid-fortified mulberry leaves exhibited superior metabolic performance and better synchronization of instars compared to those reared on conventional leaves (Lakshmi et al., 2018; </w:t>
      </w:r>
      <w:proofErr w:type="spellStart"/>
      <w:r w:rsidRPr="00666CB1">
        <w:rPr>
          <w:rFonts w:ascii="Times New Roman" w:hAnsi="Times New Roman" w:cs="Times New Roman"/>
          <w:sz w:val="24"/>
          <w:szCs w:val="24"/>
        </w:rPr>
        <w:t>Boraiah</w:t>
      </w:r>
      <w:proofErr w:type="spellEnd"/>
      <w:r w:rsidRPr="00666CB1">
        <w:rPr>
          <w:rFonts w:ascii="Times New Roman" w:hAnsi="Times New Roman" w:cs="Times New Roman"/>
          <w:sz w:val="24"/>
          <w:szCs w:val="24"/>
        </w:rPr>
        <w:t xml:space="preserve"> et al., 2015).</w:t>
      </w:r>
    </w:p>
    <w:p w14:paraId="46FBF719" w14:textId="77777777" w:rsidR="00666CB1" w:rsidRPr="00666CB1" w:rsidRDefault="00666CB1" w:rsidP="00666CB1">
      <w:pPr>
        <w:spacing w:line="240" w:lineRule="auto"/>
        <w:rPr>
          <w:rFonts w:ascii="Times New Roman" w:hAnsi="Times New Roman" w:cs="Times New Roman"/>
          <w:sz w:val="24"/>
          <w:szCs w:val="24"/>
        </w:rPr>
      </w:pPr>
      <w:r w:rsidRPr="00666CB1">
        <w:rPr>
          <w:rFonts w:ascii="Times New Roman" w:hAnsi="Times New Roman" w:cs="Times New Roman"/>
          <w:sz w:val="24"/>
          <w:szCs w:val="24"/>
        </w:rPr>
        <w:t>Such improvements not only contribute to the uniformity of silkworm development and batch-wise cocoon harvest but also form the basis for standardized cocoon quality parameters essential for commercial silk production. Therefore, optimized mulberry leaf nutrition stands as a critical factor in achieving enhanced silkworm productivity and economic sustainability of sericulture systems.</w:t>
      </w:r>
    </w:p>
    <w:p w14:paraId="1CAB380F" w14:textId="1A218483" w:rsidR="00F30EFE" w:rsidRPr="00F30EFE" w:rsidRDefault="00727E1E" w:rsidP="00F30EFE">
      <w:pPr>
        <w:spacing w:line="240" w:lineRule="auto"/>
        <w:rPr>
          <w:rFonts w:ascii="Times New Roman" w:hAnsi="Times New Roman" w:cs="Times New Roman"/>
          <w:b/>
          <w:bCs/>
          <w:sz w:val="24"/>
          <w:szCs w:val="24"/>
        </w:rPr>
      </w:pPr>
      <w:r w:rsidRPr="00727E1E">
        <w:rPr>
          <w:rFonts w:ascii="Times New Roman" w:hAnsi="Times New Roman" w:cs="Times New Roman"/>
          <w:b/>
          <w:bCs/>
          <w:sz w:val="24"/>
          <w:szCs w:val="24"/>
        </w:rPr>
        <w:t>4.2 Cocoon Weight and Shell Ratio</w:t>
      </w:r>
    </w:p>
    <w:p w14:paraId="6F926AD8" w14:textId="77777777" w:rsidR="00F30EFE" w:rsidRPr="00F30EFE" w:rsidRDefault="00F30EFE" w:rsidP="00F30EFE">
      <w:pPr>
        <w:spacing w:line="240" w:lineRule="auto"/>
        <w:rPr>
          <w:rFonts w:ascii="Times New Roman" w:hAnsi="Times New Roman" w:cs="Times New Roman"/>
          <w:sz w:val="24"/>
          <w:szCs w:val="24"/>
        </w:rPr>
      </w:pPr>
      <w:r w:rsidRPr="00F30EFE">
        <w:rPr>
          <w:rFonts w:ascii="Times New Roman" w:hAnsi="Times New Roman" w:cs="Times New Roman"/>
          <w:sz w:val="24"/>
          <w:szCs w:val="24"/>
        </w:rPr>
        <w:t xml:space="preserve">Cocoon weight and shell ratio are two of the most critical commercial parameters in sericulture as they directly determine silk yield and quality. These traits are highly responsive to the nutritional composition of the mulberry leaves consumed by </w:t>
      </w:r>
      <w:r w:rsidRPr="00F30EFE">
        <w:rPr>
          <w:rFonts w:ascii="Times New Roman" w:hAnsi="Times New Roman" w:cs="Times New Roman"/>
          <w:i/>
          <w:iCs/>
          <w:sz w:val="24"/>
          <w:szCs w:val="24"/>
        </w:rPr>
        <w:t>Bombyx mori</w:t>
      </w:r>
      <w:r w:rsidRPr="00F30EFE">
        <w:rPr>
          <w:rFonts w:ascii="Times New Roman" w:hAnsi="Times New Roman" w:cs="Times New Roman"/>
          <w:sz w:val="24"/>
          <w:szCs w:val="24"/>
        </w:rPr>
        <w:t>. Elevated levels of crude protein, total sugars, and essential micronutrients in the foliage have been shown to significantly improve cocoon formation by enhancing silk gland function and protein synthesis (Mathur et al., 2003; Rahmathulla, 2012).</w:t>
      </w:r>
    </w:p>
    <w:p w14:paraId="5F19C0AD" w14:textId="77777777" w:rsidR="00F30EFE" w:rsidRPr="00F30EFE" w:rsidRDefault="00F30EFE" w:rsidP="00F30EFE">
      <w:pPr>
        <w:spacing w:line="240" w:lineRule="auto"/>
        <w:rPr>
          <w:rFonts w:ascii="Times New Roman" w:hAnsi="Times New Roman" w:cs="Times New Roman"/>
          <w:sz w:val="24"/>
          <w:szCs w:val="24"/>
        </w:rPr>
      </w:pPr>
      <w:r w:rsidRPr="00F30EFE">
        <w:rPr>
          <w:rFonts w:ascii="Times New Roman" w:hAnsi="Times New Roman" w:cs="Times New Roman"/>
          <w:sz w:val="24"/>
          <w:szCs w:val="24"/>
        </w:rPr>
        <w:t xml:space="preserve">Silkworms enter their peak nutritional demand during the fifth instar, during which silk proteins like fibroin and sericin are synthesized in large quantities. Feeding with leaves fortified with zinc, iron, and magnesium—either through foliar application or PGPR-based biofertilizers—has been reported to improve cocoon weight by 10–20% and shell weight by 15% or more compared to untreated controls (Patil et al., 2014; Ramesh et al., 2011; </w:t>
      </w:r>
      <w:proofErr w:type="spellStart"/>
      <w:r w:rsidRPr="00F30EFE">
        <w:rPr>
          <w:rFonts w:ascii="Times New Roman" w:hAnsi="Times New Roman" w:cs="Times New Roman"/>
          <w:sz w:val="24"/>
          <w:szCs w:val="24"/>
        </w:rPr>
        <w:t>Sannappa</w:t>
      </w:r>
      <w:proofErr w:type="spellEnd"/>
      <w:r w:rsidRPr="00F30EFE">
        <w:rPr>
          <w:rFonts w:ascii="Times New Roman" w:hAnsi="Times New Roman" w:cs="Times New Roman"/>
          <w:sz w:val="24"/>
          <w:szCs w:val="24"/>
        </w:rPr>
        <w:t xml:space="preserve"> &amp; </w:t>
      </w:r>
      <w:proofErr w:type="spellStart"/>
      <w:r w:rsidRPr="00F30EFE">
        <w:rPr>
          <w:rFonts w:ascii="Times New Roman" w:hAnsi="Times New Roman" w:cs="Times New Roman"/>
          <w:sz w:val="24"/>
          <w:szCs w:val="24"/>
        </w:rPr>
        <w:t>Mallikarjuna</w:t>
      </w:r>
      <w:proofErr w:type="spellEnd"/>
      <w:r w:rsidRPr="00F30EFE">
        <w:rPr>
          <w:rFonts w:ascii="Times New Roman" w:hAnsi="Times New Roman" w:cs="Times New Roman"/>
          <w:sz w:val="24"/>
          <w:szCs w:val="24"/>
        </w:rPr>
        <w:t>, 2009). These effects are attributed to enhanced enzymatic activities, higher photosynthate availability, and better nitrogen metabolism in the plant, translating into improved nutrient transfer to the silkworm (Sarkar et al., 2017).</w:t>
      </w:r>
    </w:p>
    <w:p w14:paraId="28E6509C" w14:textId="4F4BD09B" w:rsidR="00F30EFE" w:rsidRPr="00F30EFE" w:rsidRDefault="00F30EFE" w:rsidP="00F30EFE">
      <w:pPr>
        <w:spacing w:line="240" w:lineRule="auto"/>
        <w:rPr>
          <w:rFonts w:ascii="Times New Roman" w:hAnsi="Times New Roman" w:cs="Times New Roman"/>
          <w:sz w:val="24"/>
          <w:szCs w:val="24"/>
        </w:rPr>
      </w:pPr>
      <w:r w:rsidRPr="00F30EFE">
        <w:rPr>
          <w:rFonts w:ascii="Times New Roman" w:hAnsi="Times New Roman" w:cs="Times New Roman"/>
          <w:sz w:val="24"/>
          <w:szCs w:val="24"/>
        </w:rPr>
        <w:t xml:space="preserve">Moreover, the cocoon shell ratio—a key indicator of silk recovery potential—is significantly influenced by both macronutrient and micronutrient profiles of the leaves. Nitrogen, particularly in its organic form, supports fibroin synthesis, while adequate moisture improves digestibility and palatability, contributing to better feed conversion (Koul &amp; Bhagat, 1994; </w:t>
      </w:r>
      <w:proofErr w:type="spellStart"/>
      <w:r w:rsidRPr="00F30EFE">
        <w:rPr>
          <w:rFonts w:ascii="Times New Roman" w:hAnsi="Times New Roman" w:cs="Times New Roman"/>
          <w:sz w:val="24"/>
          <w:szCs w:val="24"/>
        </w:rPr>
        <w:t>Bongale</w:t>
      </w:r>
      <w:proofErr w:type="spellEnd"/>
      <w:r w:rsidRPr="00F30EFE">
        <w:rPr>
          <w:rFonts w:ascii="Times New Roman" w:hAnsi="Times New Roman" w:cs="Times New Roman"/>
          <w:sz w:val="24"/>
          <w:szCs w:val="24"/>
        </w:rPr>
        <w:t xml:space="preserve"> et al., 1997). Varieties such as V1 and S36, when cultivated under integrated nutrient management regimes, consistently produce leaves that result in heavier cocoons and superior shell ratios (Datta, 2000; Lakshmi &amp; Ramesh, 2016).</w:t>
      </w:r>
    </w:p>
    <w:p w14:paraId="26AF3888" w14:textId="77777777" w:rsidR="00F30EFE" w:rsidRPr="00F30EFE" w:rsidRDefault="00F30EFE" w:rsidP="00F30EFE">
      <w:pPr>
        <w:spacing w:line="240" w:lineRule="auto"/>
        <w:rPr>
          <w:rFonts w:ascii="Times New Roman" w:hAnsi="Times New Roman" w:cs="Times New Roman"/>
          <w:b/>
          <w:bCs/>
          <w:sz w:val="24"/>
          <w:szCs w:val="24"/>
        </w:rPr>
      </w:pPr>
      <w:r w:rsidRPr="00F30EFE">
        <w:rPr>
          <w:rFonts w:ascii="Times New Roman" w:hAnsi="Times New Roman" w:cs="Times New Roman"/>
          <w:b/>
          <w:bCs/>
          <w:sz w:val="24"/>
          <w:szCs w:val="24"/>
        </w:rPr>
        <w:lastRenderedPageBreak/>
        <w:t>4.3 Silk Filament Length and Quality</w:t>
      </w:r>
    </w:p>
    <w:p w14:paraId="2B18744D" w14:textId="77777777" w:rsidR="00F30EFE" w:rsidRPr="00F30EFE" w:rsidRDefault="00F30EFE" w:rsidP="00F30EFE">
      <w:pPr>
        <w:spacing w:line="240" w:lineRule="auto"/>
        <w:rPr>
          <w:rFonts w:ascii="Times New Roman" w:hAnsi="Times New Roman" w:cs="Times New Roman"/>
          <w:sz w:val="24"/>
          <w:szCs w:val="24"/>
        </w:rPr>
      </w:pPr>
      <w:r w:rsidRPr="00F30EFE">
        <w:rPr>
          <w:rFonts w:ascii="Times New Roman" w:hAnsi="Times New Roman" w:cs="Times New Roman"/>
          <w:sz w:val="24"/>
          <w:szCs w:val="24"/>
        </w:rPr>
        <w:t xml:space="preserve">The length, strength, and fineness of the silk filament are essential characteristics that determine the commercial value of the cocoon. These parameters are influenced not only by genetic factors but also by the nutritional quality of the larval diet. Silkworms fed with mineral-enriched, fermented, or amino acid-fortified mulberry leaves have been found to produce significantly longer and more uniform filaments with superior </w:t>
      </w:r>
      <w:proofErr w:type="spellStart"/>
      <w:r w:rsidRPr="00F30EFE">
        <w:rPr>
          <w:rFonts w:ascii="Times New Roman" w:hAnsi="Times New Roman" w:cs="Times New Roman"/>
          <w:sz w:val="24"/>
          <w:szCs w:val="24"/>
        </w:rPr>
        <w:t>reelability</w:t>
      </w:r>
      <w:proofErr w:type="spellEnd"/>
      <w:r w:rsidRPr="00F30EFE">
        <w:rPr>
          <w:rFonts w:ascii="Times New Roman" w:hAnsi="Times New Roman" w:cs="Times New Roman"/>
          <w:sz w:val="24"/>
          <w:szCs w:val="24"/>
        </w:rPr>
        <w:t xml:space="preserve"> and denier consistency (Kavitha et al., 2014; </w:t>
      </w:r>
      <w:proofErr w:type="spellStart"/>
      <w:r w:rsidRPr="00F30EFE">
        <w:rPr>
          <w:rFonts w:ascii="Times New Roman" w:hAnsi="Times New Roman" w:cs="Times New Roman"/>
          <w:sz w:val="24"/>
          <w:szCs w:val="24"/>
        </w:rPr>
        <w:t>Boraiah</w:t>
      </w:r>
      <w:proofErr w:type="spellEnd"/>
      <w:r w:rsidRPr="00F30EFE">
        <w:rPr>
          <w:rFonts w:ascii="Times New Roman" w:hAnsi="Times New Roman" w:cs="Times New Roman"/>
          <w:sz w:val="24"/>
          <w:szCs w:val="24"/>
        </w:rPr>
        <w:t xml:space="preserve"> et al., 2015).</w:t>
      </w:r>
    </w:p>
    <w:p w14:paraId="64327EF8" w14:textId="77777777" w:rsidR="00F30EFE" w:rsidRPr="00F30EFE" w:rsidRDefault="00F30EFE" w:rsidP="00F30EFE">
      <w:pPr>
        <w:spacing w:line="240" w:lineRule="auto"/>
        <w:rPr>
          <w:rFonts w:ascii="Times New Roman" w:hAnsi="Times New Roman" w:cs="Times New Roman"/>
          <w:sz w:val="24"/>
          <w:szCs w:val="24"/>
        </w:rPr>
      </w:pPr>
      <w:r w:rsidRPr="00F30EFE">
        <w:rPr>
          <w:rFonts w:ascii="Times New Roman" w:hAnsi="Times New Roman" w:cs="Times New Roman"/>
          <w:sz w:val="24"/>
          <w:szCs w:val="24"/>
        </w:rPr>
        <w:t xml:space="preserve">Leaf supplementation with Spirulina, Chlorella, or protein hydrolysates enhances the amino acid composition of the larval hemolymph, thereby facilitating more efficient fibroin and sericin biosynthesis in the silk glands (Lakshmi et al., 2018; Joshi et al., 2002). This leads to silk threads that are finer, stronger, and less prone to breakage. For instance, </w:t>
      </w:r>
      <w:proofErr w:type="spellStart"/>
      <w:r w:rsidRPr="00F30EFE">
        <w:rPr>
          <w:rFonts w:ascii="Times New Roman" w:hAnsi="Times New Roman" w:cs="Times New Roman"/>
          <w:sz w:val="24"/>
          <w:szCs w:val="24"/>
        </w:rPr>
        <w:t>Boraiah</w:t>
      </w:r>
      <w:proofErr w:type="spellEnd"/>
      <w:r w:rsidRPr="00F30EFE">
        <w:rPr>
          <w:rFonts w:ascii="Times New Roman" w:hAnsi="Times New Roman" w:cs="Times New Roman"/>
          <w:sz w:val="24"/>
          <w:szCs w:val="24"/>
        </w:rPr>
        <w:t xml:space="preserve"> et al. (2015) reported up to an 18% increase in filament length and notable improvement in uniformity and tenacity when larvae were reared on yeast-fermented leaves.</w:t>
      </w:r>
    </w:p>
    <w:p w14:paraId="003DD780" w14:textId="77777777" w:rsidR="00F30EFE" w:rsidRPr="00F30EFE" w:rsidRDefault="00F30EFE" w:rsidP="00F30EFE">
      <w:pPr>
        <w:spacing w:line="240" w:lineRule="auto"/>
        <w:rPr>
          <w:rFonts w:ascii="Times New Roman" w:hAnsi="Times New Roman" w:cs="Times New Roman"/>
          <w:sz w:val="24"/>
          <w:szCs w:val="24"/>
        </w:rPr>
      </w:pPr>
      <w:r w:rsidRPr="00F30EFE">
        <w:rPr>
          <w:rFonts w:ascii="Times New Roman" w:hAnsi="Times New Roman" w:cs="Times New Roman"/>
          <w:sz w:val="24"/>
          <w:szCs w:val="24"/>
        </w:rPr>
        <w:t xml:space="preserve">Micronutrients such as zinc, manganese, and iron also play essential roles in enzymatic activation and oxidative metabolism within the silk gland. Their application through foliar sprays or microbial mediation (PGPR/AMF) enhances the physiological condition of the larvae and stimulates the </w:t>
      </w:r>
      <w:proofErr w:type="spellStart"/>
      <w:r w:rsidRPr="00F30EFE">
        <w:rPr>
          <w:rFonts w:ascii="Times New Roman" w:hAnsi="Times New Roman" w:cs="Times New Roman"/>
          <w:sz w:val="24"/>
          <w:szCs w:val="24"/>
        </w:rPr>
        <w:t>sericigenic</w:t>
      </w:r>
      <w:proofErr w:type="spellEnd"/>
      <w:r w:rsidRPr="00F30EFE">
        <w:rPr>
          <w:rFonts w:ascii="Times New Roman" w:hAnsi="Times New Roman" w:cs="Times New Roman"/>
          <w:sz w:val="24"/>
          <w:szCs w:val="24"/>
        </w:rPr>
        <w:t xml:space="preserve"> activity of the posterior silk gland (</w:t>
      </w:r>
      <w:proofErr w:type="spellStart"/>
      <w:r w:rsidRPr="00F30EFE">
        <w:rPr>
          <w:rFonts w:ascii="Times New Roman" w:hAnsi="Times New Roman" w:cs="Times New Roman"/>
          <w:sz w:val="24"/>
          <w:szCs w:val="24"/>
        </w:rPr>
        <w:t>Bindroo</w:t>
      </w:r>
      <w:proofErr w:type="spellEnd"/>
      <w:r w:rsidRPr="00F30EFE">
        <w:rPr>
          <w:rFonts w:ascii="Times New Roman" w:hAnsi="Times New Roman" w:cs="Times New Roman"/>
          <w:sz w:val="24"/>
          <w:szCs w:val="24"/>
        </w:rPr>
        <w:t xml:space="preserve"> &amp; Roy, 2015; Rani et al., 2018). Furthermore, feeding on organically enriched leaves has been shown to yield cocoons with a higher raw silk percentage and reduced waste silk (Ramesh et al., 2011).</w:t>
      </w:r>
    </w:p>
    <w:p w14:paraId="5F80F016" w14:textId="77777777" w:rsidR="00F30EFE" w:rsidRPr="00F30EFE" w:rsidRDefault="00F30EFE" w:rsidP="00F30EFE">
      <w:pPr>
        <w:spacing w:line="240" w:lineRule="auto"/>
        <w:rPr>
          <w:rFonts w:ascii="Times New Roman" w:hAnsi="Times New Roman" w:cs="Times New Roman"/>
          <w:sz w:val="24"/>
          <w:szCs w:val="24"/>
        </w:rPr>
      </w:pPr>
      <w:r w:rsidRPr="00F30EFE">
        <w:rPr>
          <w:rFonts w:ascii="Times New Roman" w:hAnsi="Times New Roman" w:cs="Times New Roman"/>
          <w:sz w:val="24"/>
          <w:szCs w:val="24"/>
        </w:rPr>
        <w:t>Field and lab-based studies support the view that optimizing mulberry leaf nutrient profiles—either through agronomic practices, microbial inoculation, or post-harvest supplementation—can significantly enhance filament characteristics, meeting the needs of both traditional and commercial silk markets.</w:t>
      </w:r>
    </w:p>
    <w:p w14:paraId="0BC0DE8C" w14:textId="77777777" w:rsidR="00727E1E" w:rsidRPr="00727E1E" w:rsidRDefault="00727E1E" w:rsidP="00727E1E">
      <w:pPr>
        <w:spacing w:line="240" w:lineRule="auto"/>
        <w:rPr>
          <w:rFonts w:ascii="Times New Roman" w:hAnsi="Times New Roman" w:cs="Times New Roman"/>
          <w:b/>
          <w:bCs/>
          <w:sz w:val="24"/>
          <w:szCs w:val="24"/>
        </w:rPr>
      </w:pPr>
      <w:r w:rsidRPr="00727E1E">
        <w:rPr>
          <w:rFonts w:ascii="Times New Roman" w:hAnsi="Times New Roman" w:cs="Times New Roman"/>
          <w:b/>
          <w:bCs/>
          <w:sz w:val="24"/>
          <w:szCs w:val="24"/>
        </w:rPr>
        <w:t>4.5 Immunity and Disease Resistance</w:t>
      </w:r>
    </w:p>
    <w:p w14:paraId="0126590F" w14:textId="77777777" w:rsidR="00727E1E" w:rsidRPr="00727E1E" w:rsidRDefault="00727E1E" w:rsidP="00727E1E">
      <w:pPr>
        <w:spacing w:line="240" w:lineRule="auto"/>
        <w:rPr>
          <w:rFonts w:ascii="Times New Roman" w:hAnsi="Times New Roman" w:cs="Times New Roman"/>
          <w:sz w:val="24"/>
          <w:szCs w:val="24"/>
        </w:rPr>
      </w:pPr>
      <w:r w:rsidRPr="00727E1E">
        <w:rPr>
          <w:rFonts w:ascii="Times New Roman" w:hAnsi="Times New Roman" w:cs="Times New Roman"/>
          <w:sz w:val="24"/>
          <w:szCs w:val="24"/>
        </w:rPr>
        <w:t>Nutritional quality of the diet significantly influences the immune competence of silkworms. Leaves enriched with micronutrients like zinc and magnesium support enzymatic and immunomodulatory functions, including antioxidant defense and stress response mechanisms (Manjula et al., 2017). Silkworms fed on such fortified diets demonstrate higher resistance to microbial infections such as flacherie, grasserie, and muscardine.</w:t>
      </w:r>
    </w:p>
    <w:p w14:paraId="373350C4" w14:textId="77777777" w:rsidR="00727E1E" w:rsidRPr="00727E1E" w:rsidRDefault="00727E1E" w:rsidP="00727E1E">
      <w:pPr>
        <w:spacing w:line="240" w:lineRule="auto"/>
        <w:rPr>
          <w:rFonts w:ascii="Times New Roman" w:hAnsi="Times New Roman" w:cs="Times New Roman"/>
          <w:sz w:val="24"/>
          <w:szCs w:val="24"/>
        </w:rPr>
      </w:pPr>
      <w:r w:rsidRPr="00727E1E">
        <w:rPr>
          <w:rFonts w:ascii="Times New Roman" w:hAnsi="Times New Roman" w:cs="Times New Roman"/>
          <w:sz w:val="24"/>
          <w:szCs w:val="24"/>
        </w:rPr>
        <w:t>Antioxidants and secondary metabolites present in organically enriched or fermented mulberry leaves help reduce oxidative stress during critical growth phases (Lakshmi &amp; Ramesh, 2016). Experimental studies have shown that feeding with PGPR-treated leaves can reduce larval mortality by up to 30%, enhance hemocyte activity, and stimulate enzyme systems such as catalase and peroxidase (Rani et al., 2018; Sarkar et al., 2017). These traits are crucial for maintaining the health and biosecurity of silkworm populations under both controlled and open-rearing systems.</w:t>
      </w:r>
    </w:p>
    <w:p w14:paraId="29D5E22E" w14:textId="0AA86453" w:rsidR="00C67BDA" w:rsidRPr="00727E1E" w:rsidRDefault="00727E1E" w:rsidP="007C79FE">
      <w:pPr>
        <w:spacing w:line="240" w:lineRule="auto"/>
        <w:rPr>
          <w:rFonts w:ascii="Times New Roman" w:hAnsi="Times New Roman" w:cs="Times New Roman"/>
          <w:sz w:val="24"/>
          <w:szCs w:val="24"/>
        </w:rPr>
      </w:pPr>
      <w:r w:rsidRPr="00727E1E">
        <w:rPr>
          <w:rFonts w:ascii="Times New Roman" w:hAnsi="Times New Roman" w:cs="Times New Roman"/>
          <w:sz w:val="24"/>
          <w:szCs w:val="24"/>
        </w:rPr>
        <w:t xml:space="preserve">To support the above findings, Table 1 compiles experimental results from various studies evaluating the impact of different mulberry biofortification methods on larval performance and cocoon traits under controlled conditions and Table 2 further illustrates the mode of action of various biofortification approaches and their observed impact on silkworm biology, highlighting the practical relevance of these interventions. </w:t>
      </w:r>
    </w:p>
    <w:p w14:paraId="330E6FA1" w14:textId="791D7EF8" w:rsidR="00727E1E" w:rsidRPr="00727E1E" w:rsidRDefault="007C79FE" w:rsidP="008D7707">
      <w:pPr>
        <w:spacing w:line="240" w:lineRule="auto"/>
        <w:rPr>
          <w:rFonts w:ascii="Times New Roman" w:hAnsi="Times New Roman" w:cs="Times New Roman"/>
          <w:sz w:val="24"/>
          <w:szCs w:val="24"/>
        </w:rPr>
      </w:pPr>
      <w:r w:rsidRPr="007B6DE4">
        <w:rPr>
          <w:rFonts w:ascii="Times New Roman" w:hAnsi="Times New Roman" w:cs="Times New Roman"/>
          <w:b/>
          <w:bCs/>
          <w:sz w:val="24"/>
          <w:szCs w:val="24"/>
        </w:rPr>
        <w:lastRenderedPageBreak/>
        <w:t>Table 1. Compiled results from previous studies on the impact of different biofortification methods in mulberry cultivation on silkworm (</w:t>
      </w:r>
      <w:r w:rsidRPr="007B6DE4">
        <w:rPr>
          <w:rFonts w:ascii="Times New Roman" w:hAnsi="Times New Roman" w:cs="Times New Roman"/>
          <w:b/>
          <w:bCs/>
          <w:i/>
          <w:iCs/>
          <w:sz w:val="24"/>
          <w:szCs w:val="24"/>
        </w:rPr>
        <w:t>Bombyx mori</w:t>
      </w:r>
      <w:r w:rsidRPr="007B6DE4">
        <w:rPr>
          <w:rFonts w:ascii="Times New Roman" w:hAnsi="Times New Roman" w:cs="Times New Roman"/>
          <w:b/>
          <w:bCs/>
          <w:sz w:val="24"/>
          <w:szCs w:val="24"/>
        </w:rPr>
        <w:t>) growth, cocoon quality, and survival under</w:t>
      </w:r>
      <w:r w:rsidRPr="007B6DE4">
        <w:rPr>
          <w:rFonts w:ascii="Times New Roman" w:hAnsi="Times New Roman" w:cs="Times New Roman"/>
          <w:sz w:val="24"/>
          <w:szCs w:val="24"/>
        </w:rPr>
        <w:t xml:space="preserve"> </w:t>
      </w:r>
      <w:r w:rsidRPr="007B6DE4">
        <w:rPr>
          <w:rFonts w:ascii="Times New Roman" w:hAnsi="Times New Roman" w:cs="Times New Roman"/>
          <w:b/>
          <w:bCs/>
          <w:sz w:val="24"/>
          <w:szCs w:val="24"/>
        </w:rPr>
        <w:t>laboratory conditions</w:t>
      </w:r>
      <w:r w:rsidRPr="007B6DE4">
        <w:rPr>
          <w:rFonts w:ascii="Times New Roman" w:hAnsi="Times New Roman" w:cs="Times New Roman"/>
          <w:sz w:val="24"/>
          <w:szCs w:val="24"/>
        </w:rPr>
        <w:t>.</w:t>
      </w:r>
    </w:p>
    <w:p w14:paraId="64F3E701" w14:textId="77777777" w:rsidR="00727E1E" w:rsidRDefault="00727E1E" w:rsidP="008D7707">
      <w:pPr>
        <w:spacing w:line="240" w:lineRule="auto"/>
        <w:rPr>
          <w:rFonts w:ascii="Times New Roman" w:hAnsi="Times New Roman" w:cs="Times New Roman"/>
          <w:b/>
          <w:bCs/>
          <w:sz w:val="24"/>
          <w:szCs w:val="24"/>
        </w:rPr>
      </w:pPr>
    </w:p>
    <w:tbl>
      <w:tblPr>
        <w:tblStyle w:val="TableGrid"/>
        <w:tblpPr w:leftFromText="180" w:rightFromText="180" w:vertAnchor="page" w:horzAnchor="margin" w:tblpY="4021"/>
        <w:tblW w:w="9776" w:type="dxa"/>
        <w:tblLayout w:type="fixed"/>
        <w:tblLook w:val="04A0" w:firstRow="1" w:lastRow="0" w:firstColumn="1" w:lastColumn="0" w:noHBand="0" w:noVBand="1"/>
      </w:tblPr>
      <w:tblGrid>
        <w:gridCol w:w="1962"/>
        <w:gridCol w:w="1155"/>
        <w:gridCol w:w="1414"/>
        <w:gridCol w:w="1276"/>
        <w:gridCol w:w="1134"/>
        <w:gridCol w:w="1276"/>
        <w:gridCol w:w="1559"/>
      </w:tblGrid>
      <w:tr w:rsidR="00727E1E" w:rsidRPr="007B6DE4" w14:paraId="764F26B4" w14:textId="77777777" w:rsidTr="00F30EFE">
        <w:tc>
          <w:tcPr>
            <w:tcW w:w="1962" w:type="dxa"/>
            <w:hideMark/>
          </w:tcPr>
          <w:p w14:paraId="28B3C683" w14:textId="77777777" w:rsidR="00727E1E" w:rsidRPr="007B6DE4" w:rsidRDefault="00727E1E" w:rsidP="00F30EFE">
            <w:pPr>
              <w:spacing w:after="200"/>
              <w:rPr>
                <w:rFonts w:ascii="Times New Roman" w:hAnsi="Times New Roman" w:cs="Times New Roman"/>
                <w:b/>
                <w:bCs/>
                <w:sz w:val="24"/>
                <w:szCs w:val="24"/>
              </w:rPr>
            </w:pPr>
            <w:r w:rsidRPr="007B6DE4">
              <w:rPr>
                <w:rFonts w:ascii="Times New Roman" w:hAnsi="Times New Roman" w:cs="Times New Roman"/>
                <w:b/>
                <w:bCs/>
                <w:sz w:val="24"/>
                <w:szCs w:val="24"/>
              </w:rPr>
              <w:t>Treatment Type</w:t>
            </w:r>
          </w:p>
        </w:tc>
        <w:tc>
          <w:tcPr>
            <w:tcW w:w="1155" w:type="dxa"/>
            <w:hideMark/>
          </w:tcPr>
          <w:p w14:paraId="13D362FD" w14:textId="77777777" w:rsidR="00727E1E" w:rsidRPr="007B6DE4" w:rsidRDefault="00727E1E" w:rsidP="00F30EFE">
            <w:pPr>
              <w:spacing w:after="200"/>
              <w:rPr>
                <w:rFonts w:ascii="Times New Roman" w:hAnsi="Times New Roman" w:cs="Times New Roman"/>
                <w:b/>
                <w:bCs/>
                <w:sz w:val="24"/>
                <w:szCs w:val="24"/>
              </w:rPr>
            </w:pPr>
            <w:r w:rsidRPr="007B6DE4">
              <w:rPr>
                <w:rFonts w:ascii="Times New Roman" w:hAnsi="Times New Roman" w:cs="Times New Roman"/>
                <w:b/>
                <w:bCs/>
                <w:sz w:val="24"/>
                <w:szCs w:val="24"/>
              </w:rPr>
              <w:t>Larval Weight (g)</w:t>
            </w:r>
          </w:p>
        </w:tc>
        <w:tc>
          <w:tcPr>
            <w:tcW w:w="1414" w:type="dxa"/>
            <w:hideMark/>
          </w:tcPr>
          <w:p w14:paraId="2F893DC2" w14:textId="77777777" w:rsidR="00727E1E" w:rsidRPr="007B6DE4" w:rsidRDefault="00727E1E" w:rsidP="00F30EFE">
            <w:pPr>
              <w:spacing w:after="200"/>
              <w:rPr>
                <w:rFonts w:ascii="Times New Roman" w:hAnsi="Times New Roman" w:cs="Times New Roman"/>
                <w:b/>
                <w:bCs/>
                <w:sz w:val="24"/>
                <w:szCs w:val="24"/>
              </w:rPr>
            </w:pPr>
            <w:r w:rsidRPr="007B6DE4">
              <w:rPr>
                <w:rFonts w:ascii="Times New Roman" w:hAnsi="Times New Roman" w:cs="Times New Roman"/>
                <w:b/>
                <w:bCs/>
                <w:sz w:val="24"/>
                <w:szCs w:val="24"/>
              </w:rPr>
              <w:t>Cocoon Weight (g)</w:t>
            </w:r>
          </w:p>
        </w:tc>
        <w:tc>
          <w:tcPr>
            <w:tcW w:w="1276" w:type="dxa"/>
            <w:hideMark/>
          </w:tcPr>
          <w:p w14:paraId="3F12F7A5" w14:textId="77777777" w:rsidR="00727E1E" w:rsidRPr="007B6DE4" w:rsidRDefault="00727E1E" w:rsidP="00F30EFE">
            <w:pPr>
              <w:spacing w:after="200"/>
              <w:rPr>
                <w:rFonts w:ascii="Times New Roman" w:hAnsi="Times New Roman" w:cs="Times New Roman"/>
                <w:b/>
                <w:bCs/>
                <w:sz w:val="24"/>
                <w:szCs w:val="24"/>
              </w:rPr>
            </w:pPr>
            <w:r w:rsidRPr="007B6DE4">
              <w:rPr>
                <w:rFonts w:ascii="Times New Roman" w:hAnsi="Times New Roman" w:cs="Times New Roman"/>
                <w:b/>
                <w:bCs/>
                <w:sz w:val="24"/>
                <w:szCs w:val="24"/>
              </w:rPr>
              <w:t>Shell Ratio (%)</w:t>
            </w:r>
          </w:p>
        </w:tc>
        <w:tc>
          <w:tcPr>
            <w:tcW w:w="1134" w:type="dxa"/>
            <w:hideMark/>
          </w:tcPr>
          <w:p w14:paraId="55B3494F" w14:textId="77777777" w:rsidR="00727E1E" w:rsidRPr="007B6DE4" w:rsidRDefault="00727E1E" w:rsidP="00F30EFE">
            <w:pPr>
              <w:spacing w:after="200"/>
              <w:rPr>
                <w:rFonts w:ascii="Times New Roman" w:hAnsi="Times New Roman" w:cs="Times New Roman"/>
                <w:b/>
                <w:bCs/>
                <w:sz w:val="24"/>
                <w:szCs w:val="24"/>
              </w:rPr>
            </w:pPr>
            <w:r w:rsidRPr="007B6DE4">
              <w:rPr>
                <w:rFonts w:ascii="Times New Roman" w:hAnsi="Times New Roman" w:cs="Times New Roman"/>
                <w:b/>
                <w:bCs/>
                <w:sz w:val="24"/>
                <w:szCs w:val="24"/>
              </w:rPr>
              <w:t>Filament Length (m)</w:t>
            </w:r>
          </w:p>
        </w:tc>
        <w:tc>
          <w:tcPr>
            <w:tcW w:w="1276" w:type="dxa"/>
            <w:hideMark/>
          </w:tcPr>
          <w:p w14:paraId="5A1049C5" w14:textId="77777777" w:rsidR="00727E1E" w:rsidRPr="007B6DE4" w:rsidRDefault="00727E1E" w:rsidP="00F30EFE">
            <w:pPr>
              <w:spacing w:after="200"/>
              <w:rPr>
                <w:rFonts w:ascii="Times New Roman" w:hAnsi="Times New Roman" w:cs="Times New Roman"/>
                <w:b/>
                <w:bCs/>
                <w:sz w:val="24"/>
                <w:szCs w:val="24"/>
              </w:rPr>
            </w:pPr>
            <w:r w:rsidRPr="007B6DE4">
              <w:rPr>
                <w:rFonts w:ascii="Times New Roman" w:hAnsi="Times New Roman" w:cs="Times New Roman"/>
                <w:b/>
                <w:bCs/>
                <w:sz w:val="24"/>
                <w:szCs w:val="24"/>
              </w:rPr>
              <w:t>Survival Rate (%)</w:t>
            </w:r>
          </w:p>
        </w:tc>
        <w:tc>
          <w:tcPr>
            <w:tcW w:w="1559" w:type="dxa"/>
            <w:hideMark/>
          </w:tcPr>
          <w:p w14:paraId="3DEADDE3" w14:textId="77777777" w:rsidR="00727E1E" w:rsidRPr="007B6DE4" w:rsidRDefault="00727E1E" w:rsidP="00F30EFE">
            <w:pPr>
              <w:spacing w:after="200"/>
              <w:rPr>
                <w:rFonts w:ascii="Times New Roman" w:hAnsi="Times New Roman" w:cs="Times New Roman"/>
                <w:b/>
                <w:bCs/>
                <w:sz w:val="24"/>
                <w:szCs w:val="24"/>
              </w:rPr>
            </w:pPr>
            <w:r w:rsidRPr="007B6DE4">
              <w:rPr>
                <w:rFonts w:ascii="Times New Roman" w:hAnsi="Times New Roman" w:cs="Times New Roman"/>
                <w:b/>
                <w:bCs/>
                <w:sz w:val="24"/>
                <w:szCs w:val="24"/>
              </w:rPr>
              <w:t>Reference</w:t>
            </w:r>
          </w:p>
        </w:tc>
      </w:tr>
      <w:tr w:rsidR="00727E1E" w:rsidRPr="007B6DE4" w14:paraId="71A8EE9B" w14:textId="77777777" w:rsidTr="00F30EFE">
        <w:tc>
          <w:tcPr>
            <w:tcW w:w="1962" w:type="dxa"/>
            <w:vAlign w:val="center"/>
            <w:hideMark/>
          </w:tcPr>
          <w:p w14:paraId="558CAE0B"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Control (non-treated leaves)</w:t>
            </w:r>
          </w:p>
        </w:tc>
        <w:tc>
          <w:tcPr>
            <w:tcW w:w="1155" w:type="dxa"/>
            <w:vAlign w:val="center"/>
            <w:hideMark/>
          </w:tcPr>
          <w:p w14:paraId="10FDB025"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3.6 ± 0.1</w:t>
            </w:r>
          </w:p>
        </w:tc>
        <w:tc>
          <w:tcPr>
            <w:tcW w:w="1414" w:type="dxa"/>
            <w:vAlign w:val="center"/>
            <w:hideMark/>
          </w:tcPr>
          <w:p w14:paraId="6F5B2E3D"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1.35 ± 0.04</w:t>
            </w:r>
          </w:p>
        </w:tc>
        <w:tc>
          <w:tcPr>
            <w:tcW w:w="1276" w:type="dxa"/>
            <w:vAlign w:val="center"/>
            <w:hideMark/>
          </w:tcPr>
          <w:p w14:paraId="1809E036"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18.2 ± 0.6</w:t>
            </w:r>
          </w:p>
        </w:tc>
        <w:tc>
          <w:tcPr>
            <w:tcW w:w="1134" w:type="dxa"/>
            <w:vAlign w:val="center"/>
            <w:hideMark/>
          </w:tcPr>
          <w:p w14:paraId="4DEB2972"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850 ± 15</w:t>
            </w:r>
          </w:p>
        </w:tc>
        <w:tc>
          <w:tcPr>
            <w:tcW w:w="1276" w:type="dxa"/>
            <w:vAlign w:val="center"/>
            <w:hideMark/>
          </w:tcPr>
          <w:p w14:paraId="51A1CC3C"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85.4 ± 1.2</w:t>
            </w:r>
          </w:p>
        </w:tc>
        <w:tc>
          <w:tcPr>
            <w:tcW w:w="1559" w:type="dxa"/>
            <w:vAlign w:val="center"/>
            <w:hideMark/>
          </w:tcPr>
          <w:p w14:paraId="4725011F"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Kavitha et al. (2014)</w:t>
            </w:r>
          </w:p>
        </w:tc>
      </w:tr>
      <w:tr w:rsidR="00727E1E" w:rsidRPr="007B6DE4" w14:paraId="5319DBE6" w14:textId="77777777" w:rsidTr="00F30EFE">
        <w:tc>
          <w:tcPr>
            <w:tcW w:w="1962" w:type="dxa"/>
            <w:vAlign w:val="center"/>
            <w:hideMark/>
          </w:tcPr>
          <w:p w14:paraId="78D6A32C" w14:textId="77777777" w:rsidR="00727E1E" w:rsidRPr="007B6DE4" w:rsidRDefault="00727E1E" w:rsidP="00F30EFE">
            <w:pPr>
              <w:spacing w:after="200"/>
              <w:jc w:val="center"/>
              <w:rPr>
                <w:rFonts w:ascii="Times New Roman" w:hAnsi="Times New Roman" w:cs="Times New Roman"/>
                <w:sz w:val="24"/>
                <w:szCs w:val="24"/>
              </w:rPr>
            </w:pPr>
            <w:proofErr w:type="spellStart"/>
            <w:r w:rsidRPr="007B6DE4">
              <w:rPr>
                <w:rFonts w:ascii="Times New Roman" w:hAnsi="Times New Roman" w:cs="Times New Roman"/>
                <w:sz w:val="24"/>
                <w:szCs w:val="24"/>
              </w:rPr>
              <w:t>ZnSO</w:t>
            </w:r>
            <w:proofErr w:type="spellEnd"/>
            <w:r w:rsidRPr="007B6DE4">
              <w:rPr>
                <w:rFonts w:ascii="Times New Roman" w:hAnsi="Times New Roman" w:cs="Times New Roman"/>
                <w:sz w:val="24"/>
                <w:szCs w:val="24"/>
              </w:rPr>
              <w:t>₄ Foliar Spray (0.5%)</w:t>
            </w:r>
          </w:p>
        </w:tc>
        <w:tc>
          <w:tcPr>
            <w:tcW w:w="1155" w:type="dxa"/>
            <w:vAlign w:val="center"/>
            <w:hideMark/>
          </w:tcPr>
          <w:p w14:paraId="5D3EBA5B"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4.2 ± 0.2</w:t>
            </w:r>
          </w:p>
        </w:tc>
        <w:tc>
          <w:tcPr>
            <w:tcW w:w="1414" w:type="dxa"/>
            <w:vAlign w:val="center"/>
            <w:hideMark/>
          </w:tcPr>
          <w:p w14:paraId="4A801A23"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1.52 ± 0.05</w:t>
            </w:r>
          </w:p>
        </w:tc>
        <w:tc>
          <w:tcPr>
            <w:tcW w:w="1276" w:type="dxa"/>
            <w:vAlign w:val="center"/>
            <w:hideMark/>
          </w:tcPr>
          <w:p w14:paraId="2F778BD4"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20.6 ± 0.8</w:t>
            </w:r>
          </w:p>
        </w:tc>
        <w:tc>
          <w:tcPr>
            <w:tcW w:w="1134" w:type="dxa"/>
            <w:vAlign w:val="center"/>
            <w:hideMark/>
          </w:tcPr>
          <w:p w14:paraId="183C1910"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945 ± 20</w:t>
            </w:r>
          </w:p>
        </w:tc>
        <w:tc>
          <w:tcPr>
            <w:tcW w:w="1276" w:type="dxa"/>
            <w:vAlign w:val="center"/>
            <w:hideMark/>
          </w:tcPr>
          <w:p w14:paraId="549A3482"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91.3 ± 1.5</w:t>
            </w:r>
          </w:p>
        </w:tc>
        <w:tc>
          <w:tcPr>
            <w:tcW w:w="1559" w:type="dxa"/>
            <w:vAlign w:val="center"/>
            <w:hideMark/>
          </w:tcPr>
          <w:p w14:paraId="3ADD33D2"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Kumar et al. (2015)</w:t>
            </w:r>
          </w:p>
        </w:tc>
      </w:tr>
      <w:tr w:rsidR="00727E1E" w:rsidRPr="007B6DE4" w14:paraId="016660B4" w14:textId="77777777" w:rsidTr="00F30EFE">
        <w:tc>
          <w:tcPr>
            <w:tcW w:w="1962" w:type="dxa"/>
            <w:vAlign w:val="center"/>
            <w:hideMark/>
          </w:tcPr>
          <w:p w14:paraId="2215F3E1"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Vermicompost Enriched Leaves</w:t>
            </w:r>
          </w:p>
        </w:tc>
        <w:tc>
          <w:tcPr>
            <w:tcW w:w="1155" w:type="dxa"/>
            <w:vAlign w:val="center"/>
            <w:hideMark/>
          </w:tcPr>
          <w:p w14:paraId="3F39B2BD"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4.0 ± 0.1</w:t>
            </w:r>
          </w:p>
        </w:tc>
        <w:tc>
          <w:tcPr>
            <w:tcW w:w="1414" w:type="dxa"/>
            <w:vAlign w:val="center"/>
            <w:hideMark/>
          </w:tcPr>
          <w:p w14:paraId="238AD8C0"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1.48 ± 0.03</w:t>
            </w:r>
          </w:p>
        </w:tc>
        <w:tc>
          <w:tcPr>
            <w:tcW w:w="1276" w:type="dxa"/>
            <w:vAlign w:val="center"/>
            <w:hideMark/>
          </w:tcPr>
          <w:p w14:paraId="20A9FA4B"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20.1 ± 0.7</w:t>
            </w:r>
          </w:p>
        </w:tc>
        <w:tc>
          <w:tcPr>
            <w:tcW w:w="1134" w:type="dxa"/>
            <w:vAlign w:val="center"/>
            <w:hideMark/>
          </w:tcPr>
          <w:p w14:paraId="33F3E018"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920 ± 18</w:t>
            </w:r>
          </w:p>
        </w:tc>
        <w:tc>
          <w:tcPr>
            <w:tcW w:w="1276" w:type="dxa"/>
            <w:vAlign w:val="center"/>
            <w:hideMark/>
          </w:tcPr>
          <w:p w14:paraId="2DE8D22F"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89.5 ± 1.0</w:t>
            </w:r>
          </w:p>
        </w:tc>
        <w:tc>
          <w:tcPr>
            <w:tcW w:w="1559" w:type="dxa"/>
            <w:vAlign w:val="center"/>
            <w:hideMark/>
          </w:tcPr>
          <w:p w14:paraId="57D42A44"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Manjula et al. (2017)</w:t>
            </w:r>
          </w:p>
        </w:tc>
      </w:tr>
      <w:tr w:rsidR="00727E1E" w:rsidRPr="007B6DE4" w14:paraId="7004A424" w14:textId="77777777" w:rsidTr="00F30EFE">
        <w:tc>
          <w:tcPr>
            <w:tcW w:w="1962" w:type="dxa"/>
            <w:vAlign w:val="center"/>
            <w:hideMark/>
          </w:tcPr>
          <w:p w14:paraId="4F987F61"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PGPR Treated Leaves</w:t>
            </w:r>
          </w:p>
        </w:tc>
        <w:tc>
          <w:tcPr>
            <w:tcW w:w="1155" w:type="dxa"/>
            <w:vAlign w:val="center"/>
            <w:hideMark/>
          </w:tcPr>
          <w:p w14:paraId="285B899A"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4.3 ± 0.2</w:t>
            </w:r>
          </w:p>
        </w:tc>
        <w:tc>
          <w:tcPr>
            <w:tcW w:w="1414" w:type="dxa"/>
            <w:vAlign w:val="center"/>
            <w:hideMark/>
          </w:tcPr>
          <w:p w14:paraId="5ABAA452"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1.56 ± 0.05</w:t>
            </w:r>
          </w:p>
        </w:tc>
        <w:tc>
          <w:tcPr>
            <w:tcW w:w="1276" w:type="dxa"/>
            <w:vAlign w:val="center"/>
            <w:hideMark/>
          </w:tcPr>
          <w:p w14:paraId="453ED3A7"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21.0 ± 0.5</w:t>
            </w:r>
          </w:p>
        </w:tc>
        <w:tc>
          <w:tcPr>
            <w:tcW w:w="1134" w:type="dxa"/>
            <w:vAlign w:val="center"/>
            <w:hideMark/>
          </w:tcPr>
          <w:p w14:paraId="164A7CCC"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980 ± 22</w:t>
            </w:r>
          </w:p>
        </w:tc>
        <w:tc>
          <w:tcPr>
            <w:tcW w:w="1276" w:type="dxa"/>
            <w:vAlign w:val="center"/>
            <w:hideMark/>
          </w:tcPr>
          <w:p w14:paraId="42A24A64"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92.1 ± 1.3</w:t>
            </w:r>
          </w:p>
        </w:tc>
        <w:tc>
          <w:tcPr>
            <w:tcW w:w="1559" w:type="dxa"/>
            <w:vAlign w:val="center"/>
            <w:hideMark/>
          </w:tcPr>
          <w:p w14:paraId="670CC594"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Rani et al. (2018)</w:t>
            </w:r>
          </w:p>
        </w:tc>
      </w:tr>
      <w:tr w:rsidR="00727E1E" w:rsidRPr="007B6DE4" w14:paraId="04DD1CAF" w14:textId="77777777" w:rsidTr="00F30EFE">
        <w:tc>
          <w:tcPr>
            <w:tcW w:w="1962" w:type="dxa"/>
            <w:vAlign w:val="center"/>
            <w:hideMark/>
          </w:tcPr>
          <w:p w14:paraId="7D19F010"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Fermented Mulberry Leaf Extract</w:t>
            </w:r>
          </w:p>
        </w:tc>
        <w:tc>
          <w:tcPr>
            <w:tcW w:w="1155" w:type="dxa"/>
            <w:vAlign w:val="center"/>
            <w:hideMark/>
          </w:tcPr>
          <w:p w14:paraId="671B80BC"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4.1 ± 0.1</w:t>
            </w:r>
          </w:p>
        </w:tc>
        <w:tc>
          <w:tcPr>
            <w:tcW w:w="1414" w:type="dxa"/>
            <w:vAlign w:val="center"/>
            <w:hideMark/>
          </w:tcPr>
          <w:p w14:paraId="25268DEE"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1.50 ± 0.04</w:t>
            </w:r>
          </w:p>
        </w:tc>
        <w:tc>
          <w:tcPr>
            <w:tcW w:w="1276" w:type="dxa"/>
            <w:vAlign w:val="center"/>
            <w:hideMark/>
          </w:tcPr>
          <w:p w14:paraId="531FB0F0"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20.4 ± 0.6</w:t>
            </w:r>
          </w:p>
        </w:tc>
        <w:tc>
          <w:tcPr>
            <w:tcW w:w="1134" w:type="dxa"/>
            <w:vAlign w:val="center"/>
            <w:hideMark/>
          </w:tcPr>
          <w:p w14:paraId="01D3B9FD"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930 ± 17</w:t>
            </w:r>
          </w:p>
        </w:tc>
        <w:tc>
          <w:tcPr>
            <w:tcW w:w="1276" w:type="dxa"/>
            <w:vAlign w:val="center"/>
            <w:hideMark/>
          </w:tcPr>
          <w:p w14:paraId="3292C75F"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90.6 ± 1.1</w:t>
            </w:r>
          </w:p>
        </w:tc>
        <w:tc>
          <w:tcPr>
            <w:tcW w:w="1559" w:type="dxa"/>
            <w:vAlign w:val="center"/>
            <w:hideMark/>
          </w:tcPr>
          <w:p w14:paraId="43F764A6" w14:textId="77777777" w:rsidR="00727E1E" w:rsidRPr="007B6DE4" w:rsidRDefault="00727E1E" w:rsidP="00F30EFE">
            <w:pPr>
              <w:spacing w:after="200"/>
              <w:jc w:val="center"/>
              <w:rPr>
                <w:rFonts w:ascii="Times New Roman" w:hAnsi="Times New Roman" w:cs="Times New Roman"/>
                <w:sz w:val="24"/>
                <w:szCs w:val="24"/>
              </w:rPr>
            </w:pPr>
            <w:r w:rsidRPr="007B6DE4">
              <w:rPr>
                <w:rFonts w:ascii="Times New Roman" w:hAnsi="Times New Roman" w:cs="Times New Roman"/>
                <w:sz w:val="24"/>
                <w:szCs w:val="24"/>
              </w:rPr>
              <w:t>Ramesh et al. (2011)</w:t>
            </w:r>
          </w:p>
        </w:tc>
      </w:tr>
    </w:tbl>
    <w:p w14:paraId="57D6730C" w14:textId="77777777" w:rsidR="00F30EFE" w:rsidRDefault="00F30EFE" w:rsidP="008D7707">
      <w:pPr>
        <w:spacing w:line="240" w:lineRule="auto"/>
        <w:rPr>
          <w:rFonts w:ascii="Times New Roman" w:hAnsi="Times New Roman" w:cs="Times New Roman"/>
          <w:b/>
          <w:bCs/>
          <w:sz w:val="24"/>
          <w:szCs w:val="24"/>
        </w:rPr>
      </w:pPr>
    </w:p>
    <w:p w14:paraId="35CD529E" w14:textId="77777777" w:rsidR="00F30EFE" w:rsidRDefault="00F30EFE" w:rsidP="008D7707">
      <w:pPr>
        <w:spacing w:line="240" w:lineRule="auto"/>
        <w:rPr>
          <w:rFonts w:ascii="Times New Roman" w:hAnsi="Times New Roman" w:cs="Times New Roman"/>
          <w:b/>
          <w:bCs/>
          <w:sz w:val="24"/>
          <w:szCs w:val="24"/>
        </w:rPr>
      </w:pPr>
    </w:p>
    <w:p w14:paraId="7CE9CAEF" w14:textId="59087DC2" w:rsidR="00D76A1C" w:rsidRPr="007B6DE4" w:rsidRDefault="00D76A1C" w:rsidP="008D770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 xml:space="preserve">Table 2. Summary of nutrient-based and microbial biofortification techniques in mulberry and their effects on </w:t>
      </w:r>
      <w:r w:rsidRPr="007B6DE4">
        <w:rPr>
          <w:rFonts w:ascii="Times New Roman" w:hAnsi="Times New Roman" w:cs="Times New Roman"/>
          <w:b/>
          <w:bCs/>
          <w:i/>
          <w:iCs/>
          <w:sz w:val="24"/>
          <w:szCs w:val="24"/>
        </w:rPr>
        <w:t>Bombyx mori</w:t>
      </w:r>
      <w:r w:rsidRPr="007B6DE4">
        <w:rPr>
          <w:rFonts w:ascii="Times New Roman" w:hAnsi="Times New Roman" w:cs="Times New Roman"/>
          <w:b/>
          <w:bCs/>
          <w:sz w:val="24"/>
          <w:szCs w:val="24"/>
        </w:rPr>
        <w:t xml:space="preserve"> growth and silk yield</w:t>
      </w:r>
    </w:p>
    <w:tbl>
      <w:tblPr>
        <w:tblStyle w:val="TableGrid"/>
        <w:tblpPr w:leftFromText="180" w:rightFromText="180" w:vertAnchor="page" w:horzAnchor="margin" w:tblpY="313"/>
        <w:tblW w:w="9351" w:type="dxa"/>
        <w:tblLook w:val="04A0" w:firstRow="1" w:lastRow="0" w:firstColumn="1" w:lastColumn="0" w:noHBand="0" w:noVBand="1"/>
      </w:tblPr>
      <w:tblGrid>
        <w:gridCol w:w="2129"/>
        <w:gridCol w:w="2099"/>
        <w:gridCol w:w="1898"/>
        <w:gridCol w:w="3225"/>
      </w:tblGrid>
      <w:tr w:rsidR="00727E1E" w:rsidRPr="007B6DE4" w14:paraId="72C44525" w14:textId="77777777" w:rsidTr="00727E1E">
        <w:trPr>
          <w:trHeight w:val="700"/>
        </w:trPr>
        <w:tc>
          <w:tcPr>
            <w:tcW w:w="0" w:type="auto"/>
            <w:vAlign w:val="center"/>
            <w:hideMark/>
          </w:tcPr>
          <w:p w14:paraId="0FCEBA23" w14:textId="77777777" w:rsidR="00727E1E" w:rsidRPr="007B6DE4" w:rsidRDefault="00727E1E" w:rsidP="00727E1E">
            <w:pPr>
              <w:spacing w:after="200"/>
              <w:jc w:val="center"/>
              <w:rPr>
                <w:rFonts w:ascii="Times New Roman" w:hAnsi="Times New Roman" w:cs="Times New Roman"/>
                <w:b/>
                <w:bCs/>
                <w:sz w:val="24"/>
                <w:szCs w:val="24"/>
              </w:rPr>
            </w:pPr>
            <w:r w:rsidRPr="007B6DE4">
              <w:rPr>
                <w:rFonts w:ascii="Times New Roman" w:hAnsi="Times New Roman" w:cs="Times New Roman"/>
                <w:b/>
                <w:bCs/>
                <w:sz w:val="24"/>
                <w:szCs w:val="24"/>
              </w:rPr>
              <w:lastRenderedPageBreak/>
              <w:t>Nutrient / Fortification</w:t>
            </w:r>
          </w:p>
        </w:tc>
        <w:tc>
          <w:tcPr>
            <w:tcW w:w="0" w:type="auto"/>
            <w:vAlign w:val="center"/>
            <w:hideMark/>
          </w:tcPr>
          <w:p w14:paraId="08C78EC2" w14:textId="77777777" w:rsidR="00727E1E" w:rsidRPr="007B6DE4" w:rsidRDefault="00727E1E" w:rsidP="00727E1E">
            <w:pPr>
              <w:spacing w:after="200"/>
              <w:jc w:val="center"/>
              <w:rPr>
                <w:rFonts w:ascii="Times New Roman" w:hAnsi="Times New Roman" w:cs="Times New Roman"/>
                <w:b/>
                <w:bCs/>
                <w:sz w:val="24"/>
                <w:szCs w:val="24"/>
              </w:rPr>
            </w:pPr>
            <w:r w:rsidRPr="007B6DE4">
              <w:rPr>
                <w:rFonts w:ascii="Times New Roman" w:hAnsi="Times New Roman" w:cs="Times New Roman"/>
                <w:b/>
                <w:bCs/>
                <w:sz w:val="24"/>
                <w:szCs w:val="24"/>
              </w:rPr>
              <w:t>Mode of Action</w:t>
            </w:r>
          </w:p>
        </w:tc>
        <w:tc>
          <w:tcPr>
            <w:tcW w:w="0" w:type="auto"/>
            <w:vAlign w:val="center"/>
            <w:hideMark/>
          </w:tcPr>
          <w:p w14:paraId="6ABC6B3C" w14:textId="77777777" w:rsidR="00727E1E" w:rsidRPr="007B6DE4" w:rsidRDefault="00727E1E" w:rsidP="00727E1E">
            <w:pPr>
              <w:spacing w:after="200"/>
              <w:jc w:val="center"/>
              <w:rPr>
                <w:rFonts w:ascii="Times New Roman" w:hAnsi="Times New Roman" w:cs="Times New Roman"/>
                <w:b/>
                <w:bCs/>
                <w:sz w:val="24"/>
                <w:szCs w:val="24"/>
              </w:rPr>
            </w:pPr>
            <w:r w:rsidRPr="007B6DE4">
              <w:rPr>
                <w:rFonts w:ascii="Times New Roman" w:hAnsi="Times New Roman" w:cs="Times New Roman"/>
                <w:b/>
                <w:bCs/>
                <w:sz w:val="24"/>
                <w:szCs w:val="24"/>
              </w:rPr>
              <w:t>Observed Impact on Silkworm</w:t>
            </w:r>
          </w:p>
        </w:tc>
        <w:tc>
          <w:tcPr>
            <w:tcW w:w="3225" w:type="dxa"/>
            <w:vAlign w:val="center"/>
            <w:hideMark/>
          </w:tcPr>
          <w:p w14:paraId="596AD6EE" w14:textId="77777777" w:rsidR="00727E1E" w:rsidRPr="007B6DE4" w:rsidRDefault="00727E1E" w:rsidP="00727E1E">
            <w:pPr>
              <w:spacing w:after="200"/>
              <w:jc w:val="center"/>
              <w:rPr>
                <w:rFonts w:ascii="Times New Roman" w:hAnsi="Times New Roman" w:cs="Times New Roman"/>
                <w:b/>
                <w:bCs/>
                <w:sz w:val="24"/>
                <w:szCs w:val="24"/>
              </w:rPr>
            </w:pPr>
            <w:r w:rsidRPr="007B6DE4">
              <w:rPr>
                <w:rFonts w:ascii="Times New Roman" w:hAnsi="Times New Roman" w:cs="Times New Roman"/>
                <w:b/>
                <w:bCs/>
                <w:sz w:val="24"/>
                <w:szCs w:val="24"/>
              </w:rPr>
              <w:t>Reference</w:t>
            </w:r>
          </w:p>
        </w:tc>
      </w:tr>
      <w:tr w:rsidR="00727E1E" w:rsidRPr="007B6DE4" w14:paraId="08883AA1" w14:textId="77777777" w:rsidTr="00727E1E">
        <w:trPr>
          <w:trHeight w:val="977"/>
        </w:trPr>
        <w:tc>
          <w:tcPr>
            <w:tcW w:w="0" w:type="auto"/>
            <w:vAlign w:val="center"/>
            <w:hideMark/>
          </w:tcPr>
          <w:p w14:paraId="6E9D90BA"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Zinc (Zn) biofortification</w:t>
            </w:r>
          </w:p>
        </w:tc>
        <w:tc>
          <w:tcPr>
            <w:tcW w:w="0" w:type="auto"/>
            <w:vAlign w:val="center"/>
            <w:hideMark/>
          </w:tcPr>
          <w:p w14:paraId="2DC62C2D"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Enhances silk gland growth and enzyme activity</w:t>
            </w:r>
          </w:p>
        </w:tc>
        <w:tc>
          <w:tcPr>
            <w:tcW w:w="0" w:type="auto"/>
            <w:vAlign w:val="center"/>
            <w:hideMark/>
          </w:tcPr>
          <w:p w14:paraId="269996E3"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Increased cocoon weight and shell ratio</w:t>
            </w:r>
          </w:p>
        </w:tc>
        <w:tc>
          <w:tcPr>
            <w:tcW w:w="3225" w:type="dxa"/>
            <w:vAlign w:val="center"/>
            <w:hideMark/>
          </w:tcPr>
          <w:p w14:paraId="6D3E4274"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Sarkar et al. (2017)</w:t>
            </w:r>
          </w:p>
        </w:tc>
      </w:tr>
      <w:tr w:rsidR="00727E1E" w:rsidRPr="007B6DE4" w14:paraId="461C2DD1" w14:textId="77777777" w:rsidTr="00727E1E">
        <w:trPr>
          <w:trHeight w:val="977"/>
        </w:trPr>
        <w:tc>
          <w:tcPr>
            <w:tcW w:w="0" w:type="auto"/>
            <w:vAlign w:val="center"/>
            <w:hideMark/>
          </w:tcPr>
          <w:p w14:paraId="6D3DE7E9"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Fermented leaf feed (microbial)</w:t>
            </w:r>
          </w:p>
        </w:tc>
        <w:tc>
          <w:tcPr>
            <w:tcW w:w="0" w:type="auto"/>
            <w:vAlign w:val="center"/>
            <w:hideMark/>
          </w:tcPr>
          <w:p w14:paraId="7AF6C309"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Improves digestibility and nutrient availability</w:t>
            </w:r>
          </w:p>
        </w:tc>
        <w:tc>
          <w:tcPr>
            <w:tcW w:w="0" w:type="auto"/>
            <w:vAlign w:val="center"/>
            <w:hideMark/>
          </w:tcPr>
          <w:p w14:paraId="67A537F6"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Better larval weight, survival rate</w:t>
            </w:r>
          </w:p>
        </w:tc>
        <w:tc>
          <w:tcPr>
            <w:tcW w:w="3225" w:type="dxa"/>
            <w:vAlign w:val="center"/>
            <w:hideMark/>
          </w:tcPr>
          <w:p w14:paraId="4860D6C5" w14:textId="77777777" w:rsidR="00727E1E" w:rsidRPr="007B6DE4" w:rsidRDefault="00727E1E" w:rsidP="00727E1E">
            <w:pPr>
              <w:spacing w:after="200"/>
              <w:jc w:val="center"/>
              <w:rPr>
                <w:rFonts w:ascii="Times New Roman" w:hAnsi="Times New Roman" w:cs="Times New Roman"/>
                <w:sz w:val="24"/>
                <w:szCs w:val="24"/>
              </w:rPr>
            </w:pPr>
            <w:proofErr w:type="spellStart"/>
            <w:r w:rsidRPr="007B6DE4">
              <w:rPr>
                <w:rFonts w:ascii="Times New Roman" w:hAnsi="Times New Roman" w:cs="Times New Roman"/>
                <w:sz w:val="24"/>
                <w:szCs w:val="24"/>
              </w:rPr>
              <w:t>Boraiah</w:t>
            </w:r>
            <w:proofErr w:type="spellEnd"/>
            <w:r w:rsidRPr="007B6DE4">
              <w:rPr>
                <w:rFonts w:ascii="Times New Roman" w:hAnsi="Times New Roman" w:cs="Times New Roman"/>
                <w:sz w:val="24"/>
                <w:szCs w:val="24"/>
              </w:rPr>
              <w:t xml:space="preserve"> et al. (2015)</w:t>
            </w:r>
          </w:p>
        </w:tc>
      </w:tr>
      <w:tr w:rsidR="00727E1E" w:rsidRPr="007B6DE4" w14:paraId="3F29AAAB" w14:textId="77777777" w:rsidTr="00727E1E">
        <w:trPr>
          <w:trHeight w:val="977"/>
        </w:trPr>
        <w:tc>
          <w:tcPr>
            <w:tcW w:w="0" w:type="auto"/>
            <w:vAlign w:val="center"/>
            <w:hideMark/>
          </w:tcPr>
          <w:p w14:paraId="42167422"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PGPR and Mycorrhiza inoculation</w:t>
            </w:r>
          </w:p>
        </w:tc>
        <w:tc>
          <w:tcPr>
            <w:tcW w:w="0" w:type="auto"/>
            <w:vAlign w:val="center"/>
            <w:hideMark/>
          </w:tcPr>
          <w:p w14:paraId="72720195"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Enhances root nutrient uptake in mulberry</w:t>
            </w:r>
          </w:p>
        </w:tc>
        <w:tc>
          <w:tcPr>
            <w:tcW w:w="0" w:type="auto"/>
            <w:vAlign w:val="center"/>
            <w:hideMark/>
          </w:tcPr>
          <w:p w14:paraId="1AB3AB0A"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Enriched leaves improve cocoon traits</w:t>
            </w:r>
          </w:p>
        </w:tc>
        <w:tc>
          <w:tcPr>
            <w:tcW w:w="3225" w:type="dxa"/>
            <w:vAlign w:val="center"/>
            <w:hideMark/>
          </w:tcPr>
          <w:p w14:paraId="79B5667C"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Koul &amp; Dhaliwal (2019)</w:t>
            </w:r>
          </w:p>
        </w:tc>
      </w:tr>
      <w:tr w:rsidR="00727E1E" w:rsidRPr="007B6DE4" w14:paraId="2D18A5BB" w14:textId="77777777" w:rsidTr="00727E1E">
        <w:trPr>
          <w:trHeight w:val="977"/>
        </w:trPr>
        <w:tc>
          <w:tcPr>
            <w:tcW w:w="0" w:type="auto"/>
            <w:vAlign w:val="center"/>
            <w:hideMark/>
          </w:tcPr>
          <w:p w14:paraId="3C853345"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Foliar micronutrient spray</w:t>
            </w:r>
          </w:p>
        </w:tc>
        <w:tc>
          <w:tcPr>
            <w:tcW w:w="0" w:type="auto"/>
            <w:vAlign w:val="center"/>
            <w:hideMark/>
          </w:tcPr>
          <w:p w14:paraId="5D0CAD0A"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Boosts leaf protein and sugar content</w:t>
            </w:r>
          </w:p>
        </w:tc>
        <w:tc>
          <w:tcPr>
            <w:tcW w:w="0" w:type="auto"/>
            <w:vAlign w:val="center"/>
            <w:hideMark/>
          </w:tcPr>
          <w:p w14:paraId="4A5743B4"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Improved silk filament length</w:t>
            </w:r>
          </w:p>
        </w:tc>
        <w:tc>
          <w:tcPr>
            <w:tcW w:w="3225" w:type="dxa"/>
            <w:vAlign w:val="center"/>
            <w:hideMark/>
          </w:tcPr>
          <w:p w14:paraId="10CD3FE3" w14:textId="77777777" w:rsidR="00727E1E" w:rsidRPr="007B6DE4" w:rsidRDefault="00727E1E" w:rsidP="00727E1E">
            <w:pPr>
              <w:spacing w:after="200"/>
              <w:jc w:val="center"/>
              <w:rPr>
                <w:rFonts w:ascii="Times New Roman" w:hAnsi="Times New Roman" w:cs="Times New Roman"/>
                <w:sz w:val="24"/>
                <w:szCs w:val="24"/>
              </w:rPr>
            </w:pPr>
            <w:proofErr w:type="spellStart"/>
            <w:r w:rsidRPr="007B6DE4">
              <w:rPr>
                <w:rFonts w:ascii="Times New Roman" w:hAnsi="Times New Roman" w:cs="Times New Roman"/>
                <w:sz w:val="24"/>
                <w:szCs w:val="24"/>
              </w:rPr>
              <w:t>Bindroo</w:t>
            </w:r>
            <w:proofErr w:type="spellEnd"/>
            <w:r w:rsidRPr="007B6DE4">
              <w:rPr>
                <w:rFonts w:ascii="Times New Roman" w:hAnsi="Times New Roman" w:cs="Times New Roman"/>
                <w:sz w:val="24"/>
                <w:szCs w:val="24"/>
              </w:rPr>
              <w:t xml:space="preserve"> &amp; Roy (2015); Lakshmi &amp; Ramesh (2016)</w:t>
            </w:r>
          </w:p>
        </w:tc>
      </w:tr>
      <w:tr w:rsidR="00727E1E" w:rsidRPr="007B6DE4" w14:paraId="694004A5" w14:textId="77777777" w:rsidTr="00727E1E">
        <w:trPr>
          <w:trHeight w:val="700"/>
        </w:trPr>
        <w:tc>
          <w:tcPr>
            <w:tcW w:w="0" w:type="auto"/>
            <w:vAlign w:val="center"/>
            <w:hideMark/>
          </w:tcPr>
          <w:p w14:paraId="259ACE9A"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High-nitrogen mulberry varieties</w:t>
            </w:r>
          </w:p>
        </w:tc>
        <w:tc>
          <w:tcPr>
            <w:tcW w:w="0" w:type="auto"/>
            <w:vAlign w:val="center"/>
            <w:hideMark/>
          </w:tcPr>
          <w:p w14:paraId="3EF4B15A"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Increases crude protein in leaves</w:t>
            </w:r>
          </w:p>
        </w:tc>
        <w:tc>
          <w:tcPr>
            <w:tcW w:w="0" w:type="auto"/>
            <w:vAlign w:val="center"/>
            <w:hideMark/>
          </w:tcPr>
          <w:p w14:paraId="4C44A781"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Accelerated larval growth</w:t>
            </w:r>
          </w:p>
        </w:tc>
        <w:tc>
          <w:tcPr>
            <w:tcW w:w="3225" w:type="dxa"/>
            <w:vAlign w:val="center"/>
            <w:hideMark/>
          </w:tcPr>
          <w:p w14:paraId="00DAE997"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Dandin et al. (2003)</w:t>
            </w:r>
          </w:p>
        </w:tc>
      </w:tr>
      <w:tr w:rsidR="00727E1E" w:rsidRPr="007B6DE4" w14:paraId="02639A99" w14:textId="77777777" w:rsidTr="00727E1E">
        <w:trPr>
          <w:trHeight w:val="977"/>
        </w:trPr>
        <w:tc>
          <w:tcPr>
            <w:tcW w:w="0" w:type="auto"/>
            <w:vAlign w:val="center"/>
            <w:hideMark/>
          </w:tcPr>
          <w:p w14:paraId="57FF1006"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Iron (Fe) supplementation</w:t>
            </w:r>
          </w:p>
        </w:tc>
        <w:tc>
          <w:tcPr>
            <w:tcW w:w="0" w:type="auto"/>
            <w:vAlign w:val="center"/>
            <w:hideMark/>
          </w:tcPr>
          <w:p w14:paraId="6F169290"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Improves leaf quality and hemolymph composition</w:t>
            </w:r>
          </w:p>
        </w:tc>
        <w:tc>
          <w:tcPr>
            <w:tcW w:w="0" w:type="auto"/>
            <w:vAlign w:val="center"/>
            <w:hideMark/>
          </w:tcPr>
          <w:p w14:paraId="50019D17"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Enhanced metabolic activity in larvae</w:t>
            </w:r>
          </w:p>
        </w:tc>
        <w:tc>
          <w:tcPr>
            <w:tcW w:w="3225" w:type="dxa"/>
            <w:vAlign w:val="center"/>
            <w:hideMark/>
          </w:tcPr>
          <w:p w14:paraId="68F46214" w14:textId="77777777" w:rsidR="00727E1E" w:rsidRPr="007B6DE4" w:rsidRDefault="00727E1E" w:rsidP="00727E1E">
            <w:pPr>
              <w:spacing w:after="200"/>
              <w:jc w:val="center"/>
              <w:rPr>
                <w:rFonts w:ascii="Times New Roman" w:hAnsi="Times New Roman" w:cs="Times New Roman"/>
                <w:sz w:val="24"/>
                <w:szCs w:val="24"/>
              </w:rPr>
            </w:pPr>
            <w:proofErr w:type="spellStart"/>
            <w:r w:rsidRPr="007B6DE4">
              <w:rPr>
                <w:rFonts w:ascii="Times New Roman" w:hAnsi="Times New Roman" w:cs="Times New Roman"/>
                <w:sz w:val="24"/>
                <w:szCs w:val="24"/>
              </w:rPr>
              <w:t>Bindroo</w:t>
            </w:r>
            <w:proofErr w:type="spellEnd"/>
            <w:r w:rsidRPr="007B6DE4">
              <w:rPr>
                <w:rFonts w:ascii="Times New Roman" w:hAnsi="Times New Roman" w:cs="Times New Roman"/>
                <w:sz w:val="24"/>
                <w:szCs w:val="24"/>
              </w:rPr>
              <w:t xml:space="preserve"> &amp; Roy (2015)</w:t>
            </w:r>
          </w:p>
        </w:tc>
      </w:tr>
      <w:tr w:rsidR="00727E1E" w:rsidRPr="007B6DE4" w14:paraId="7C441120" w14:textId="77777777" w:rsidTr="00727E1E">
        <w:trPr>
          <w:trHeight w:val="366"/>
        </w:trPr>
        <w:tc>
          <w:tcPr>
            <w:tcW w:w="0" w:type="auto"/>
            <w:vAlign w:val="center"/>
            <w:hideMark/>
          </w:tcPr>
          <w:p w14:paraId="422E8053"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Balanced macronutrient fertilization</w:t>
            </w:r>
          </w:p>
        </w:tc>
        <w:tc>
          <w:tcPr>
            <w:tcW w:w="0" w:type="auto"/>
            <w:vAlign w:val="center"/>
            <w:hideMark/>
          </w:tcPr>
          <w:p w14:paraId="0CFDD875"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Increases carbohydrate and moisture in leaves</w:t>
            </w:r>
          </w:p>
        </w:tc>
        <w:tc>
          <w:tcPr>
            <w:tcW w:w="0" w:type="auto"/>
            <w:vAlign w:val="center"/>
            <w:hideMark/>
          </w:tcPr>
          <w:p w14:paraId="0165C4FE"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Boosts silk gland development</w:t>
            </w:r>
          </w:p>
        </w:tc>
        <w:tc>
          <w:tcPr>
            <w:tcW w:w="3225" w:type="dxa"/>
            <w:vAlign w:val="center"/>
            <w:hideMark/>
          </w:tcPr>
          <w:p w14:paraId="3842F880" w14:textId="77777777" w:rsidR="00727E1E" w:rsidRPr="007B6DE4" w:rsidRDefault="00727E1E" w:rsidP="00727E1E">
            <w:pPr>
              <w:spacing w:after="200"/>
              <w:jc w:val="center"/>
              <w:rPr>
                <w:rFonts w:ascii="Times New Roman" w:hAnsi="Times New Roman" w:cs="Times New Roman"/>
                <w:sz w:val="24"/>
                <w:szCs w:val="24"/>
              </w:rPr>
            </w:pPr>
            <w:r w:rsidRPr="007B6DE4">
              <w:rPr>
                <w:rFonts w:ascii="Times New Roman" w:hAnsi="Times New Roman" w:cs="Times New Roman"/>
                <w:sz w:val="24"/>
                <w:szCs w:val="24"/>
              </w:rPr>
              <w:t>Sharma &amp; Ananthanarayana (2012)</w:t>
            </w:r>
          </w:p>
        </w:tc>
      </w:tr>
    </w:tbl>
    <w:p w14:paraId="4E3B49E8" w14:textId="77777777" w:rsidR="007C79FE" w:rsidRPr="007B6DE4" w:rsidRDefault="007C79FE" w:rsidP="008D7707">
      <w:pPr>
        <w:spacing w:line="240" w:lineRule="auto"/>
        <w:rPr>
          <w:rFonts w:ascii="Times New Roman" w:hAnsi="Times New Roman" w:cs="Times New Roman"/>
          <w:sz w:val="24"/>
          <w:szCs w:val="24"/>
        </w:rPr>
      </w:pPr>
    </w:p>
    <w:p w14:paraId="2E75C5B8" w14:textId="030ABE83" w:rsidR="00E53DE2" w:rsidRPr="007B6DE4" w:rsidRDefault="00E53DE2"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t>The use of biofortified mulberry leaves has a multifaceted impact on silkworm biology. Enhanced leaf nutrition improves larval performance, cocoon productivity, silk quality, and disease resistance. These benefits demonstrate the potential of nutritional enhancement as a low-cost, high-impact intervention in sustainable sericulture practices.</w:t>
      </w:r>
    </w:p>
    <w:p w14:paraId="4B9CD491" w14:textId="77777777" w:rsidR="00AD2270" w:rsidRPr="007B6DE4" w:rsidRDefault="00AD2270" w:rsidP="00AD2270">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5.</w:t>
      </w:r>
      <w:r w:rsidRPr="007B6DE4">
        <w:rPr>
          <w:rFonts w:ascii="Times New Roman" w:hAnsi="Times New Roman" w:cs="Times New Roman"/>
          <w:sz w:val="24"/>
          <w:szCs w:val="24"/>
        </w:rPr>
        <w:t xml:space="preserve"> </w:t>
      </w:r>
      <w:r w:rsidRPr="007B6DE4">
        <w:rPr>
          <w:rFonts w:ascii="Times New Roman" w:hAnsi="Times New Roman" w:cs="Times New Roman"/>
          <w:b/>
          <w:bCs/>
          <w:sz w:val="24"/>
          <w:szCs w:val="24"/>
        </w:rPr>
        <w:t>Sustainability and Future Prospects of Mulberry Biofortification</w:t>
      </w:r>
    </w:p>
    <w:p w14:paraId="06C72B3C" w14:textId="538F2A77" w:rsidR="00AD2270" w:rsidRPr="007B6DE4" w:rsidRDefault="00AD2270" w:rsidP="00AD2270">
      <w:pPr>
        <w:spacing w:line="240" w:lineRule="auto"/>
        <w:rPr>
          <w:rFonts w:ascii="Times New Roman" w:hAnsi="Times New Roman" w:cs="Times New Roman"/>
          <w:sz w:val="24"/>
          <w:szCs w:val="24"/>
        </w:rPr>
      </w:pPr>
      <w:r w:rsidRPr="007B6DE4">
        <w:rPr>
          <w:rFonts w:ascii="Times New Roman" w:hAnsi="Times New Roman" w:cs="Times New Roman"/>
          <w:sz w:val="24"/>
          <w:szCs w:val="24"/>
        </w:rPr>
        <w:t>Incorporating biofortification practices in mulberry cultivation holds significant promise for sustainable sericulture. As global agriculture moves toward eco-friendly and resource-efficient systems, the sericulture sector must align its practices to reduce dependency on chemical inputs while maintaining high productivity. Biofortification especially through biological and agronomic means offers a viable solution to this challenge by enhancing leaf nutritional quality without compromising environmental health.</w:t>
      </w:r>
    </w:p>
    <w:p w14:paraId="24CFFCB8" w14:textId="7CB4E712" w:rsidR="00AD2270" w:rsidRPr="007B6DE4" w:rsidRDefault="00AD2270" w:rsidP="00AD2270">
      <w:pPr>
        <w:spacing w:line="240" w:lineRule="auto"/>
        <w:rPr>
          <w:rFonts w:ascii="Times New Roman" w:hAnsi="Times New Roman" w:cs="Times New Roman"/>
          <w:b/>
          <w:bCs/>
          <w:sz w:val="24"/>
          <w:szCs w:val="24"/>
        </w:rPr>
      </w:pPr>
      <w:r w:rsidRPr="007B6DE4">
        <w:rPr>
          <w:rFonts w:ascii="Times New Roman" w:hAnsi="Times New Roman" w:cs="Times New Roman"/>
          <w:sz w:val="24"/>
          <w:szCs w:val="24"/>
        </w:rPr>
        <w:t>5</w:t>
      </w:r>
      <w:r w:rsidRPr="007B6DE4">
        <w:rPr>
          <w:rFonts w:ascii="Times New Roman" w:hAnsi="Times New Roman" w:cs="Times New Roman"/>
          <w:b/>
          <w:bCs/>
          <w:sz w:val="24"/>
          <w:szCs w:val="24"/>
        </w:rPr>
        <w:t>.1 Environmental Sustainability</w:t>
      </w:r>
    </w:p>
    <w:p w14:paraId="6DCD4A8F" w14:textId="71ED276E" w:rsidR="00AD2270" w:rsidRPr="007B6DE4" w:rsidRDefault="00AD2270" w:rsidP="00AD2270">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Biofortification through microbial inoculants, organic compost, and integrated nutrient management reduces the overuse of synthetic fertilizers and pesticides. These practices contribute to improved soil fertility, enhanced microbial activity, and reduced greenhouse gas emissions </w:t>
      </w:r>
      <w:r w:rsidRPr="007B6DE4">
        <w:rPr>
          <w:rFonts w:ascii="Times New Roman" w:hAnsi="Times New Roman" w:cs="Times New Roman"/>
          <w:sz w:val="24"/>
          <w:szCs w:val="24"/>
        </w:rPr>
        <w:lastRenderedPageBreak/>
        <w:t xml:space="preserve">(Kumar et al., 2015). The application of plant growth-promoting rhizobacteria (PGPR), such as </w:t>
      </w:r>
      <w:proofErr w:type="spellStart"/>
      <w:r w:rsidRPr="007B6DE4">
        <w:rPr>
          <w:rFonts w:ascii="Times New Roman" w:hAnsi="Times New Roman" w:cs="Times New Roman"/>
          <w:i/>
          <w:iCs/>
          <w:sz w:val="24"/>
          <w:szCs w:val="24"/>
        </w:rPr>
        <w:t>Azospirillum</w:t>
      </w:r>
      <w:proofErr w:type="spellEnd"/>
      <w:r w:rsidRPr="007B6DE4">
        <w:rPr>
          <w:rFonts w:ascii="Times New Roman" w:hAnsi="Times New Roman" w:cs="Times New Roman"/>
          <w:sz w:val="24"/>
          <w:szCs w:val="24"/>
        </w:rPr>
        <w:t xml:space="preserve">, </w:t>
      </w:r>
      <w:r w:rsidRPr="007B6DE4">
        <w:rPr>
          <w:rFonts w:ascii="Times New Roman" w:hAnsi="Times New Roman" w:cs="Times New Roman"/>
          <w:i/>
          <w:iCs/>
          <w:sz w:val="24"/>
          <w:szCs w:val="24"/>
        </w:rPr>
        <w:t>Bacillus</w:t>
      </w:r>
      <w:r w:rsidRPr="007B6DE4">
        <w:rPr>
          <w:rFonts w:ascii="Times New Roman" w:hAnsi="Times New Roman" w:cs="Times New Roman"/>
          <w:sz w:val="24"/>
          <w:szCs w:val="24"/>
        </w:rPr>
        <w:t xml:space="preserve">, and </w:t>
      </w:r>
      <w:r w:rsidRPr="007B6DE4">
        <w:rPr>
          <w:rFonts w:ascii="Times New Roman" w:hAnsi="Times New Roman" w:cs="Times New Roman"/>
          <w:i/>
          <w:iCs/>
          <w:sz w:val="24"/>
          <w:szCs w:val="24"/>
        </w:rPr>
        <w:t>Pseudomonas</w:t>
      </w:r>
      <w:r w:rsidRPr="007B6DE4">
        <w:rPr>
          <w:rFonts w:ascii="Times New Roman" w:hAnsi="Times New Roman" w:cs="Times New Roman"/>
          <w:sz w:val="24"/>
          <w:szCs w:val="24"/>
        </w:rPr>
        <w:t xml:space="preserve"> spp., enhances nitrogen fixation, phosphate solubilization, and nutrient uptake efficiency, which collectively reduce nitrate leaching and chemical residue build-up (Rani et al., 2018; </w:t>
      </w:r>
      <w:proofErr w:type="spellStart"/>
      <w:r w:rsidRPr="007B6DE4">
        <w:rPr>
          <w:rFonts w:ascii="Times New Roman" w:hAnsi="Times New Roman" w:cs="Times New Roman"/>
          <w:sz w:val="24"/>
          <w:szCs w:val="24"/>
        </w:rPr>
        <w:t>Sannappa</w:t>
      </w:r>
      <w:proofErr w:type="spellEnd"/>
      <w:r w:rsidRPr="007B6DE4">
        <w:rPr>
          <w:rFonts w:ascii="Times New Roman" w:hAnsi="Times New Roman" w:cs="Times New Roman"/>
          <w:sz w:val="24"/>
          <w:szCs w:val="24"/>
        </w:rPr>
        <w:t xml:space="preserve"> &amp; </w:t>
      </w:r>
      <w:proofErr w:type="spellStart"/>
      <w:r w:rsidRPr="007B6DE4">
        <w:rPr>
          <w:rFonts w:ascii="Times New Roman" w:hAnsi="Times New Roman" w:cs="Times New Roman"/>
          <w:sz w:val="24"/>
          <w:szCs w:val="24"/>
        </w:rPr>
        <w:t>Mallikarjuna</w:t>
      </w:r>
      <w:proofErr w:type="spellEnd"/>
      <w:r w:rsidRPr="007B6DE4">
        <w:rPr>
          <w:rFonts w:ascii="Times New Roman" w:hAnsi="Times New Roman" w:cs="Times New Roman"/>
          <w:sz w:val="24"/>
          <w:szCs w:val="24"/>
        </w:rPr>
        <w:t>, 2009). Additionally, biofortification aids in restoring degraded soils and promotes carbon sequestration through increased root biomass (Narayanan et al., 2006).</w:t>
      </w:r>
    </w:p>
    <w:p w14:paraId="77B24283" w14:textId="77777777" w:rsidR="00AD2270" w:rsidRPr="007B6DE4" w:rsidRDefault="00AD2270" w:rsidP="00AD2270">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5.2 Economic Viability for Farmers</w:t>
      </w:r>
    </w:p>
    <w:p w14:paraId="200EDE58" w14:textId="320EA9F0" w:rsidR="00AD2270" w:rsidRPr="007B6DE4" w:rsidRDefault="00AD2270" w:rsidP="00AD2270">
      <w:pPr>
        <w:spacing w:line="240" w:lineRule="auto"/>
        <w:rPr>
          <w:rFonts w:ascii="Times New Roman" w:hAnsi="Times New Roman" w:cs="Times New Roman"/>
          <w:sz w:val="24"/>
          <w:szCs w:val="24"/>
        </w:rPr>
      </w:pPr>
      <w:r w:rsidRPr="007B6DE4">
        <w:rPr>
          <w:rFonts w:ascii="Times New Roman" w:hAnsi="Times New Roman" w:cs="Times New Roman"/>
          <w:sz w:val="24"/>
          <w:szCs w:val="24"/>
        </w:rPr>
        <w:t>Smallholder farmers, who constitute the majority of the sericulture community, can benefit economically from biofortification techniques. Improved cocoon yield, better-quality silk, and reduced disease incidence translate into higher returns on investment. For example, fortified mulberry leaves have been shown to increase silk filament length and cocoon shell weight, directly improving market value (Kavitha et al., 2014; Sarkar et al., 2017). Since many biofortification strategies utilize locally available resources like compost, farmyard manure (FYM), or indigenous microbial strains, adoption is both cost-effective and scalable (Lakshmi &amp; Ramesh, 2016). Moreover, the reduction in chemical inputs leads to additional cost savings and improves long-term farm sustainability.</w:t>
      </w:r>
    </w:p>
    <w:p w14:paraId="75748937" w14:textId="77777777" w:rsidR="00AD2270" w:rsidRPr="007B6DE4" w:rsidRDefault="00AD2270" w:rsidP="00AD2270">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5.3 Integration with Climate-Resilient Practices</w:t>
      </w:r>
    </w:p>
    <w:p w14:paraId="130863CA" w14:textId="779A2324" w:rsidR="00AD2270" w:rsidRPr="007B6DE4" w:rsidRDefault="00AD2270" w:rsidP="00AD2270">
      <w:pPr>
        <w:spacing w:line="240" w:lineRule="auto"/>
        <w:rPr>
          <w:rFonts w:ascii="Times New Roman" w:hAnsi="Times New Roman" w:cs="Times New Roman"/>
          <w:sz w:val="24"/>
          <w:szCs w:val="24"/>
        </w:rPr>
      </w:pPr>
      <w:r w:rsidRPr="007B6DE4">
        <w:rPr>
          <w:rFonts w:ascii="Times New Roman" w:hAnsi="Times New Roman" w:cs="Times New Roman"/>
          <w:sz w:val="24"/>
          <w:szCs w:val="24"/>
        </w:rPr>
        <w:t>Climate variability and soil degradation are emerging challenges in sericulture regions. Biofortification helps develop more resilient cropping systems by improving plant vigor and resistance to abiotic stressors such as drought, salinity, and heat (Manjula et al., 2017; Jaiswal et al., 2022). Fortified mulberry leaves support sustained leaf biomass production under marginal environmental conditions, ensuring consistent silkworm feeding and cocoon development. PGPRs and mycorrhizal fungi also contribute to better water retention in soil and hormone regulation (like increased indole-acetic acid and cytokinin levels), enhancing drought tolerance in mulberry plants (Islam et al., 2018).</w:t>
      </w:r>
    </w:p>
    <w:p w14:paraId="43E8EA17" w14:textId="77777777" w:rsidR="00AD2270" w:rsidRPr="007B6DE4" w:rsidRDefault="00AD2270" w:rsidP="00AD2270">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5.4 Future Research Directions</w:t>
      </w:r>
    </w:p>
    <w:p w14:paraId="36C47307" w14:textId="6F7D73B3" w:rsidR="00AD2270" w:rsidRPr="007B6DE4" w:rsidRDefault="00AD2270" w:rsidP="00AD2270">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Despite promising results, biofortification in mulberry is still in its early stages compared to food crops. Future research should focus on identifying nutrient-dense mulberry genotypes using omics-based tools, including transcriptomics and metabolomics, to study the expression of nutrient transporters and storage proteins (Ramesh et al., 2011; Sharma &amp; Ananthanarayana, 2012). Moreover, field-scale studies under different agro-climatic conditions are essential to validate lab and pot-level findings. Research into </w:t>
      </w:r>
      <w:proofErr w:type="spellStart"/>
      <w:r w:rsidRPr="007B6DE4">
        <w:rPr>
          <w:rFonts w:ascii="Times New Roman" w:hAnsi="Times New Roman" w:cs="Times New Roman"/>
          <w:sz w:val="24"/>
          <w:szCs w:val="24"/>
        </w:rPr>
        <w:t>nanonutrient</w:t>
      </w:r>
      <w:proofErr w:type="spellEnd"/>
      <w:r w:rsidRPr="007B6DE4">
        <w:rPr>
          <w:rFonts w:ascii="Times New Roman" w:hAnsi="Times New Roman" w:cs="Times New Roman"/>
          <w:sz w:val="24"/>
          <w:szCs w:val="24"/>
        </w:rPr>
        <w:t xml:space="preserve"> delivery systems, such as nano-zinc and nano-iron, also holds potential for targeted and efficient leaf enrichment (Jaiswal et al., 2022). Interdisciplinary collaboration between soil scientists, entomologists, and breeders will be critical to advance this field.</w:t>
      </w:r>
    </w:p>
    <w:p w14:paraId="297DAB49" w14:textId="77777777" w:rsidR="00AD2270" w:rsidRPr="007B6DE4" w:rsidRDefault="00AD2270" w:rsidP="00AD2270">
      <w:pPr>
        <w:spacing w:line="240" w:lineRule="auto"/>
        <w:rPr>
          <w:rFonts w:ascii="Times New Roman" w:hAnsi="Times New Roman" w:cs="Times New Roman"/>
          <w:sz w:val="24"/>
          <w:szCs w:val="24"/>
        </w:rPr>
      </w:pPr>
      <w:r w:rsidRPr="007B6DE4">
        <w:rPr>
          <w:rFonts w:ascii="Times New Roman" w:hAnsi="Times New Roman" w:cs="Times New Roman"/>
          <w:b/>
          <w:bCs/>
          <w:sz w:val="24"/>
          <w:szCs w:val="24"/>
        </w:rPr>
        <w:t>5.5 Policy and Extension Implicatio</w:t>
      </w:r>
      <w:r w:rsidRPr="007B6DE4">
        <w:rPr>
          <w:rFonts w:ascii="Times New Roman" w:hAnsi="Times New Roman" w:cs="Times New Roman"/>
          <w:sz w:val="24"/>
          <w:szCs w:val="24"/>
        </w:rPr>
        <w:t>ns</w:t>
      </w:r>
    </w:p>
    <w:p w14:paraId="5520DDE5" w14:textId="77777777" w:rsidR="00AD2270" w:rsidRPr="007B6DE4" w:rsidRDefault="00AD2270" w:rsidP="00AD2270">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For the widespread adoption of biofortification, policy-level support is crucial. Training programs, subsidies for bio-inputs, and demonstration trials can accelerate the uptake of these techniques among sericulture farmers. Inclusion of biofortification modules in sericulture extension manuals and farmer field schools will bridge the knowledge gap and promote sustainable practices (Mathur et al., 2003; Dandin et al., 2003). Government-led certification programs recognizing biofortified </w:t>
      </w:r>
      <w:r w:rsidRPr="007B6DE4">
        <w:rPr>
          <w:rFonts w:ascii="Times New Roman" w:hAnsi="Times New Roman" w:cs="Times New Roman"/>
          <w:sz w:val="24"/>
          <w:szCs w:val="24"/>
        </w:rPr>
        <w:lastRenderedPageBreak/>
        <w:t>leaf production may also incentivize adoption. Strengthening public-private partnerships and research-extension linkages will be instrumental in transforming</w:t>
      </w:r>
      <w:r w:rsidRPr="007B6DE4">
        <w:rPr>
          <w:rFonts w:ascii="Times New Roman" w:hAnsi="Times New Roman" w:cs="Times New Roman"/>
          <w:b/>
          <w:bCs/>
          <w:sz w:val="24"/>
          <w:szCs w:val="24"/>
        </w:rPr>
        <w:t xml:space="preserve"> </w:t>
      </w:r>
      <w:r w:rsidRPr="007B6DE4">
        <w:rPr>
          <w:rFonts w:ascii="Times New Roman" w:hAnsi="Times New Roman" w:cs="Times New Roman"/>
          <w:sz w:val="24"/>
          <w:szCs w:val="24"/>
        </w:rPr>
        <w:t>mulberry biofortification from a niche innovation to a mainstream practice.</w:t>
      </w:r>
    </w:p>
    <w:p w14:paraId="6D84D0D4" w14:textId="77777777"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6. Emerging Frontiers: Nano-Biofortification and Molecular Insights in Mulberry Nutrition</w:t>
      </w:r>
    </w:p>
    <w:p w14:paraId="1B4C4C14"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Recent advances in agricultural biotechnology have paved the way for more efficient and sustainable approaches to enhance the nutritional profile of mulberry leaves. Among these, nano-biofortification and molecular-based nutritional understanding represent significant innovations in the field of sericulture. These emerging tools not only improve the nutritional quality of mulberry foliage but also provide insights into the biological responses of silkworms to enriched diets.</w:t>
      </w:r>
    </w:p>
    <w:p w14:paraId="590F66DE" w14:textId="77777777"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6.1 Nano-Biofortification for Targeted Nutrient Delivery</w:t>
      </w:r>
    </w:p>
    <w:p w14:paraId="3EEA370E"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Nano-biofortification involves the application of essential micronutrients in nanoscale forms, enhancing their absorption, mobility, and utilization within plant tissues. When applied to mulberry, nano-fertilizers such as nano-zinc (Zn), nano-iron (Fe), and nano-boron (B) have shown enhanced leaf nutrient content, photosynthetic activity, and overall plant vigor (Jaiswal et al., 2022). This improvement in leaf physiology directly translates into better cocoon characteristics in </w:t>
      </w:r>
      <w:r w:rsidRPr="007B6DE4">
        <w:rPr>
          <w:rFonts w:ascii="Times New Roman" w:hAnsi="Times New Roman" w:cs="Times New Roman"/>
          <w:i/>
          <w:iCs/>
          <w:sz w:val="24"/>
          <w:szCs w:val="24"/>
        </w:rPr>
        <w:t>Bombyx mori</w:t>
      </w:r>
      <w:r w:rsidRPr="007B6DE4">
        <w:rPr>
          <w:rFonts w:ascii="Times New Roman" w:hAnsi="Times New Roman" w:cs="Times New Roman"/>
          <w:sz w:val="24"/>
          <w:szCs w:val="24"/>
        </w:rPr>
        <w:t>.</w:t>
      </w:r>
    </w:p>
    <w:p w14:paraId="3A4ED6D9"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For example, foliar spraying of nano-zinc at a concentration of 25 ppm has been shown to improve leaf protein content and larval growth rate, ultimately enhancing cocoon weight and shell percentage (Lakshmi &amp; Ramesh, 2016). The slow-release behavior of nano-fertilizers ensures consistent nutrient availability, thereby reducing nutrient leaching, minimizing environmental degradation, and improving input use efficiency (Sarkar et al., 2017).</w:t>
      </w:r>
    </w:p>
    <w:p w14:paraId="7D951699" w14:textId="77777777"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6.2 Molecular Responses of Silkworms to Enriched Mulberry Diets</w:t>
      </w:r>
    </w:p>
    <w:p w14:paraId="5B90EEA1"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The ingestion of nutrient-rich or biofortified mulberry leaves induces physiological and molecular changes in silkworms. Notably, enriched diets lead to upregulation of genes involved in silk gland development, fibroin and sericin synthesis, and metabolic enzyme regulation (Islam et al., 2018). Enhanced nutrient availability, particularly proteins and micronutrients like Zn and Fe, influences hemolymph composition, antioxidant defense mechanisms, and stress tolerance in larvae.</w:t>
      </w:r>
    </w:p>
    <w:p w14:paraId="621F8ADA"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Gene expression studies have indicated that biofortified diets increase the transcription levels of fibroin heavy chain (Fib-H) and sericin 1 (Ser1) genes, which are crucial for silk filament formation. In addition, improved enzyme activities such as superoxide dismutase (SOD) and catalase (CAT) contribute to better oxidative stress management in larvae fed with fortified diets (Manjula et al., 2017). These molecular responses establish a strong link between mulberry leaf enrichment and enhanced silk biosynthesis.</w:t>
      </w:r>
    </w:p>
    <w:p w14:paraId="6F1EAA67" w14:textId="77777777"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6.3 Integrated Molecular–Agronomic Approaches for Future Sericulture</w:t>
      </w:r>
    </w:p>
    <w:p w14:paraId="067C3020"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Combining molecular biology with agronomic management offers a holistic strategy for enhancing cocoon yield. The integration of transcriptomic, proteomic, and metabolomic data can aid in the identification of nutrient-efficient mulberry varieties and tailor-made feeding regimens. By aligning plant and insect nutrition, it becomes feasible to develop site-specific management practices that improve both productivity and sustainability.</w:t>
      </w:r>
    </w:p>
    <w:p w14:paraId="03ECCDE2" w14:textId="699507C5"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lastRenderedPageBreak/>
        <w:t>Future studies should explore the role of nutrient transporters, stress-responsive genes, and silk-specific regulatory proteins in response to fortified diets. Such insights can guide the development of targeted biofortification strategies, enhancing silk output while maintaining ecological balance (Ramesh et al., 2011; Koul &amp; Dhaliwal, 2019).</w:t>
      </w:r>
    </w:p>
    <w:p w14:paraId="03BB918C" w14:textId="533A7DB8"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7. Climate</w:t>
      </w:r>
      <w:r w:rsidR="00666CB1">
        <w:rPr>
          <w:rFonts w:ascii="Times New Roman" w:hAnsi="Times New Roman" w:cs="Times New Roman"/>
          <w:b/>
          <w:bCs/>
          <w:sz w:val="24"/>
          <w:szCs w:val="24"/>
        </w:rPr>
        <w:t xml:space="preserve"> </w:t>
      </w:r>
      <w:r w:rsidRPr="007B6DE4">
        <w:rPr>
          <w:rFonts w:ascii="Times New Roman" w:hAnsi="Times New Roman" w:cs="Times New Roman"/>
          <w:b/>
          <w:bCs/>
          <w:sz w:val="24"/>
          <w:szCs w:val="24"/>
        </w:rPr>
        <w:t>Resilient Mulberry Cultivation for Sustainable Silk Production</w:t>
      </w:r>
    </w:p>
    <w:p w14:paraId="4DCB4754"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Climate change presents new challenges for sericulture, particularly in terms of maintaining the quality and quantity of mulberry leaf production. Rising temperatures, erratic rainfall, droughts, and soil degradation adversely affect mulberry physiology, leading to reduced biomass and nutrient levels. Consequently, the health and productivity of silkworms also decline. To address these issues, climate-resilient mulberry cultivation practices are gaining importance in sericultural research and practice.</w:t>
      </w:r>
    </w:p>
    <w:p w14:paraId="0A7C4673" w14:textId="77777777"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7.1 Development of Drought- and Heat-Tolerant Mulberry Genotypes</w:t>
      </w:r>
    </w:p>
    <w:p w14:paraId="5CA75097"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Breeding efforts have resulted in the development of mulberry varieties such as RC2, S1635, and VI-1 that exhibit higher tolerance to drought and temperature extremes. These varieties possess traits such as deeper root systems, high leaf moisture retention, better osmolyte accumulation (e.g., proline), and efficient stomatal regulation, which enable them to maintain leaf quality under stress conditions (Rahmathulla, 2012).</w:t>
      </w:r>
    </w:p>
    <w:p w14:paraId="19CB8E25"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Field evaluations have shown that these genotypes maintain relatively stable levels of crude protein and soluble sugars during heat waves, making them suitable for rearing silkworms even in off-seasons. Such climate-adapted varieties are key to sustaining year-round cocoon production.</w:t>
      </w:r>
    </w:p>
    <w:p w14:paraId="3118DA63" w14:textId="77777777"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7.2 Microbial Interventions for Stress Mitigation</w:t>
      </w:r>
    </w:p>
    <w:p w14:paraId="217EE39B"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The application of plant growth-promoting rhizobacteria (PGPR) and arbuscular mycorrhizal fungi (AMF) has been shown to enhance stress tolerance in mulberry plants. These beneficial microbes improve nutrient acquisition, root architecture, and production of stress-alleviating phytohormones such as indole-3-acetic acid (IAA) and abscisic acid (ABA) (Manjula et al., 2017). Additionally, they increase antioxidant enzyme activities in mulberry, mitigating the effects of drought and salinity.</w:t>
      </w:r>
    </w:p>
    <w:p w14:paraId="1BEE6A68" w14:textId="77777777"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Silkworms fed on leaves from PGPR-treated mulberry plants have shown better weight gain, reduced larval mortality, and improved cocoon traits, even under suboptimal environmental conditions (Rani et al., 2018).</w:t>
      </w:r>
    </w:p>
    <w:p w14:paraId="2474DAFE" w14:textId="77777777" w:rsidR="00E75FA7" w:rsidRPr="007B6DE4" w:rsidRDefault="00E75FA7" w:rsidP="00E75FA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7.3 Climate-Smart Agronomic Practices</w:t>
      </w:r>
    </w:p>
    <w:p w14:paraId="1CEE9D77" w14:textId="0962023A" w:rsidR="00E75FA7" w:rsidRPr="007B6DE4" w:rsidRDefault="00E75FA7"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The implementation of climate-smart cultivation practices such as organic mulching, drip irrigation, and intercropping with legumes plays a critical role in enhancing soil moisture conservation and reducing evapotranspiration losses. Organic mulches help regulate soil temperature, enhance microbial activity, and reduce weed competition, all of which contribute to better mulberry growth and leaf quality (Sharma &amp; Ananthanarayana, 2012).</w:t>
      </w:r>
    </w:p>
    <w:p w14:paraId="6683E535" w14:textId="77777777" w:rsidR="0098313A" w:rsidRPr="007B6DE4" w:rsidRDefault="0098313A" w:rsidP="0098313A">
      <w:pPr>
        <w:spacing w:line="240" w:lineRule="auto"/>
        <w:rPr>
          <w:rFonts w:ascii="Times New Roman" w:hAnsi="Times New Roman" w:cs="Times New Roman"/>
          <w:sz w:val="24"/>
          <w:szCs w:val="24"/>
        </w:rPr>
      </w:pPr>
      <w:r w:rsidRPr="007B6DE4">
        <w:rPr>
          <w:rFonts w:ascii="Times New Roman" w:hAnsi="Times New Roman" w:cs="Times New Roman"/>
          <w:sz w:val="24"/>
          <w:szCs w:val="24"/>
        </w:rPr>
        <w:lastRenderedPageBreak/>
        <w:t>Drip irrigation systems, when paired with fertigation techniques, ensure uniform nutrient distribution while minimizing water wastage. These water-saving methods are especially important in drought-prone sericulture regions.</w:t>
      </w:r>
    </w:p>
    <w:p w14:paraId="6CFD0DA0" w14:textId="77777777" w:rsidR="0098313A" w:rsidRPr="007B6DE4" w:rsidRDefault="0098313A" w:rsidP="0098313A">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7.4 Long-Term Prospects</w:t>
      </w:r>
    </w:p>
    <w:p w14:paraId="43631EEE" w14:textId="2BE947F0" w:rsidR="0098313A" w:rsidRPr="007B6DE4" w:rsidRDefault="0098313A" w:rsidP="00E75FA7">
      <w:pPr>
        <w:spacing w:line="240" w:lineRule="auto"/>
        <w:rPr>
          <w:rFonts w:ascii="Times New Roman" w:hAnsi="Times New Roman" w:cs="Times New Roman"/>
          <w:sz w:val="24"/>
          <w:szCs w:val="24"/>
        </w:rPr>
      </w:pPr>
      <w:r w:rsidRPr="007B6DE4">
        <w:rPr>
          <w:rFonts w:ascii="Times New Roman" w:hAnsi="Times New Roman" w:cs="Times New Roman"/>
          <w:sz w:val="24"/>
          <w:szCs w:val="24"/>
        </w:rPr>
        <w:t>Integrating stress-resilient mulberry varieties, microbial inoculants, and adaptive agronomic techniques holds significant promise for climate-resilient sericulture. These approaches will not only help stabilize mulberry productivity under adverse conditions but also improve the sustainability and profitability of silk farming. Future research should aim to develop decision-support tools and weather-adaptive nutrient schedules tailored for different agro-climatic zones.</w:t>
      </w:r>
    </w:p>
    <w:p w14:paraId="6D4ACEF8" w14:textId="600F84C7" w:rsidR="008730BD" w:rsidRPr="007B6DE4" w:rsidRDefault="008730BD" w:rsidP="008D770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6. Conclusion</w:t>
      </w:r>
    </w:p>
    <w:p w14:paraId="23EC0E23" w14:textId="77777777" w:rsidR="00837647" w:rsidRPr="007B6DE4" w:rsidRDefault="00837647" w:rsidP="00837647">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The quality and nutritional composition of mulberry leaves are critical factors that directly influence the physiological performance, growth dynamics, and silk-producing capabilities of the silkworm, </w:t>
      </w:r>
      <w:r w:rsidRPr="007B6DE4">
        <w:rPr>
          <w:rFonts w:ascii="Times New Roman" w:hAnsi="Times New Roman" w:cs="Times New Roman"/>
          <w:i/>
          <w:iCs/>
          <w:sz w:val="24"/>
          <w:szCs w:val="24"/>
        </w:rPr>
        <w:t>Bombyx mori</w:t>
      </w:r>
      <w:r w:rsidRPr="007B6DE4">
        <w:rPr>
          <w:rFonts w:ascii="Times New Roman" w:hAnsi="Times New Roman" w:cs="Times New Roman"/>
          <w:sz w:val="24"/>
          <w:szCs w:val="24"/>
        </w:rPr>
        <w:t>. As the exclusive food source for silkworms, the biochemical makeup of mulberry foliage—particularly its protein, carbohydrate, moisture, and micronutrient content—plays a decisive role in determining larval health, metabolic efficiency, and ultimately, cocoon yield and silk quality. Given the intimate relationship between mulberry nutrition and silkworm development, enhancing the nutritive value of these leaves presents a strategic and sustainable opportunity to improve sericultural outcomes.</w:t>
      </w:r>
    </w:p>
    <w:p w14:paraId="31E71D65" w14:textId="77777777" w:rsidR="00837647" w:rsidRPr="007B6DE4" w:rsidRDefault="00837647" w:rsidP="00837647">
      <w:pPr>
        <w:spacing w:line="240" w:lineRule="auto"/>
        <w:rPr>
          <w:rFonts w:ascii="Times New Roman" w:hAnsi="Times New Roman" w:cs="Times New Roman"/>
          <w:sz w:val="24"/>
          <w:szCs w:val="24"/>
        </w:rPr>
      </w:pPr>
      <w:r w:rsidRPr="007B6DE4">
        <w:rPr>
          <w:rFonts w:ascii="Times New Roman" w:hAnsi="Times New Roman" w:cs="Times New Roman"/>
          <w:sz w:val="24"/>
          <w:szCs w:val="24"/>
        </w:rPr>
        <w:t>Recent advancements have highlighted the potential of various interventions—including agronomic practices, microbial applications, and post-harvest treatments—to significantly boost the nutritional quality of mulberry leaves. Agronomic improvements, such as optimized fertilization, soil management, and cultivar selection, have been shown to enhance leaf biomass and nutrient density. Microbial enrichment, particularly through the application of plant growth-promoting rhizobacteria (PGPR) and beneficial fungi, improves nutrient uptake, plant vigor, and resilience to environmental stressors. Post-harvest fortification techniques, such as nutrient dipping or foliar application of micronutrients, offer further avenues for improving leaf quality just before silkworm feeding.</w:t>
      </w:r>
    </w:p>
    <w:p w14:paraId="0A5F8CE1" w14:textId="77777777" w:rsidR="00837647" w:rsidRPr="007B6DE4" w:rsidRDefault="00837647" w:rsidP="00837647">
      <w:pPr>
        <w:spacing w:line="240" w:lineRule="auto"/>
        <w:rPr>
          <w:rFonts w:ascii="Times New Roman" w:hAnsi="Times New Roman" w:cs="Times New Roman"/>
          <w:sz w:val="24"/>
          <w:szCs w:val="24"/>
        </w:rPr>
      </w:pPr>
      <w:r w:rsidRPr="007B6DE4">
        <w:rPr>
          <w:rFonts w:ascii="Times New Roman" w:hAnsi="Times New Roman" w:cs="Times New Roman"/>
          <w:sz w:val="24"/>
          <w:szCs w:val="24"/>
        </w:rPr>
        <w:t>These strategies have demonstrated tangible benefits in sericulture. Improved leaf quality contributes to faster larval development, higher cocoon weights, better shell ratios (the proportion of cocoon shell to total cocoon weight), longer silk filaments, and increased larval survival. These improvements not only enhance raw silk yield and quality but also contribute to reduced production cycles and more consistent cocoon output.</w:t>
      </w:r>
    </w:p>
    <w:p w14:paraId="0EAC3768" w14:textId="77777777" w:rsidR="00837647" w:rsidRPr="007B6DE4" w:rsidRDefault="00837647" w:rsidP="00837647">
      <w:pPr>
        <w:spacing w:line="240" w:lineRule="auto"/>
        <w:rPr>
          <w:rFonts w:ascii="Times New Roman" w:hAnsi="Times New Roman" w:cs="Times New Roman"/>
          <w:sz w:val="24"/>
          <w:szCs w:val="24"/>
        </w:rPr>
      </w:pPr>
      <w:r w:rsidRPr="007B6DE4">
        <w:rPr>
          <w:rFonts w:ascii="Times New Roman" w:hAnsi="Times New Roman" w:cs="Times New Roman"/>
          <w:sz w:val="24"/>
          <w:szCs w:val="24"/>
        </w:rPr>
        <w:t>As global demand for natural and high-quality silk continues to rise—driven by the textile, medical, and cosmetic industries—modernizing sericulture through optimized mulberry nutrition is becoming increasingly important. A nutrition-centric approach to mulberry cultivation aligns with global goals for sustainable agriculture, as it reduces reliance on chemical inputs, improves land-use efficiency, and supports climate-resilient practices.</w:t>
      </w:r>
    </w:p>
    <w:p w14:paraId="7FD655F0" w14:textId="0B88562D" w:rsidR="00837647" w:rsidRPr="007B6DE4" w:rsidRDefault="00837647" w:rsidP="00837647">
      <w:pPr>
        <w:spacing w:line="240" w:lineRule="auto"/>
        <w:rPr>
          <w:rFonts w:ascii="Times New Roman" w:hAnsi="Times New Roman" w:cs="Times New Roman"/>
          <w:sz w:val="24"/>
          <w:szCs w:val="24"/>
        </w:rPr>
      </w:pPr>
      <w:r w:rsidRPr="007B6DE4">
        <w:rPr>
          <w:rFonts w:ascii="Times New Roman" w:hAnsi="Times New Roman" w:cs="Times New Roman"/>
          <w:sz w:val="24"/>
          <w:szCs w:val="24"/>
        </w:rPr>
        <w:t xml:space="preserve">Looking ahead, future research should focus on developing region-specific biofortification protocols that consider local soil conditions, climate variability, and farmer practices. The identification and integration of effective PGPR strains that enhance nutrient uptake and plant growth under diverse field conditions is another key research priority. Furthermore, the </w:t>
      </w:r>
      <w:r w:rsidRPr="007B6DE4">
        <w:rPr>
          <w:rFonts w:ascii="Times New Roman" w:hAnsi="Times New Roman" w:cs="Times New Roman"/>
          <w:sz w:val="24"/>
          <w:szCs w:val="24"/>
        </w:rPr>
        <w:lastRenderedPageBreak/>
        <w:t>development and dissemination of eco-friendly, affordable field technologies—such as compost-based biofertilizers, nano nutrient solutions, or microbial consortia—can make nutritional interventions accessible to smallholder farmers.</w:t>
      </w:r>
    </w:p>
    <w:p w14:paraId="084BAF11" w14:textId="0A295E7A" w:rsidR="00E53DE2" w:rsidRPr="007B6DE4" w:rsidRDefault="00837647" w:rsidP="008D7707">
      <w:pPr>
        <w:spacing w:line="240" w:lineRule="auto"/>
        <w:rPr>
          <w:rFonts w:ascii="Times New Roman" w:hAnsi="Times New Roman" w:cs="Times New Roman"/>
          <w:sz w:val="24"/>
          <w:szCs w:val="24"/>
        </w:rPr>
      </w:pPr>
      <w:r w:rsidRPr="007B6DE4">
        <w:rPr>
          <w:rFonts w:ascii="Times New Roman" w:hAnsi="Times New Roman" w:cs="Times New Roman"/>
          <w:sz w:val="24"/>
          <w:szCs w:val="24"/>
        </w:rPr>
        <w:t>A systems-level understanding of the nutritional interactions between mulberry plants and silkworms is essential for unlocking the full potential of this sustainable approach. By addressing both plant and insect nutritional needs, such integrated strategies can drive improvements in silk production, enhance farm incomes, and reinforce the socio-economic foundations of sericulture, particularly in developing countries where it serves as a major livelihood source.</w:t>
      </w:r>
    </w:p>
    <w:p w14:paraId="619CF2BC" w14:textId="77777777" w:rsidR="00190154" w:rsidRDefault="00190154" w:rsidP="008D7707">
      <w:pPr>
        <w:spacing w:line="240" w:lineRule="auto"/>
        <w:rPr>
          <w:rFonts w:ascii="Times New Roman" w:hAnsi="Times New Roman" w:cs="Times New Roman"/>
          <w:b/>
          <w:bCs/>
          <w:sz w:val="24"/>
          <w:szCs w:val="24"/>
        </w:rPr>
      </w:pPr>
    </w:p>
    <w:p w14:paraId="3B664742" w14:textId="7C659F4B" w:rsidR="007B6DE4" w:rsidRPr="007B6DE4" w:rsidRDefault="00D13B74" w:rsidP="008D7707">
      <w:pPr>
        <w:spacing w:line="240" w:lineRule="auto"/>
        <w:rPr>
          <w:rFonts w:ascii="Times New Roman" w:hAnsi="Times New Roman" w:cs="Times New Roman"/>
          <w:b/>
          <w:bCs/>
          <w:sz w:val="24"/>
          <w:szCs w:val="24"/>
        </w:rPr>
      </w:pPr>
      <w:r w:rsidRPr="007B6DE4">
        <w:rPr>
          <w:rFonts w:ascii="Times New Roman" w:hAnsi="Times New Roman" w:cs="Times New Roman"/>
          <w:b/>
          <w:bCs/>
          <w:sz w:val="24"/>
          <w:szCs w:val="24"/>
        </w:rPr>
        <w:t xml:space="preserve">7. References </w:t>
      </w:r>
    </w:p>
    <w:p w14:paraId="471BF4F2" w14:textId="77777777" w:rsidR="00045161" w:rsidRPr="007B6DE4" w:rsidRDefault="00045161" w:rsidP="00045161">
      <w:pPr>
        <w:pStyle w:val="ListParagraph"/>
        <w:spacing w:line="240" w:lineRule="auto"/>
        <w:jc w:val="left"/>
        <w:rPr>
          <w:rFonts w:ascii="Times New Roman" w:hAnsi="Times New Roman" w:cs="Times New Roman"/>
          <w:sz w:val="24"/>
          <w:szCs w:val="24"/>
        </w:rPr>
      </w:pPr>
    </w:p>
    <w:p w14:paraId="58873378"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lang w:val="de-DE"/>
        </w:rPr>
        <w:t xml:space="preserve">Bindroo, B. B., &amp; Roy, B. (2015). </w:t>
      </w:r>
      <w:r w:rsidRPr="00190154">
        <w:rPr>
          <w:rFonts w:ascii="Times New Roman" w:hAnsi="Times New Roman" w:cs="Times New Roman"/>
          <w:sz w:val="24"/>
          <w:szCs w:val="24"/>
        </w:rPr>
        <w:t xml:space="preserve">Biofortification of mulberry through micronutrients and its impact on cocoon parameters of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w:t>
      </w:r>
      <w:r w:rsidRPr="00190154">
        <w:rPr>
          <w:rFonts w:ascii="Times New Roman" w:hAnsi="Times New Roman" w:cs="Times New Roman"/>
          <w:i/>
          <w:iCs/>
          <w:sz w:val="24"/>
          <w:szCs w:val="24"/>
        </w:rPr>
        <w:t>International Journal of Scientific Research</w:t>
      </w:r>
      <w:r w:rsidRPr="00190154">
        <w:rPr>
          <w:rFonts w:ascii="Times New Roman" w:hAnsi="Times New Roman" w:cs="Times New Roman"/>
          <w:sz w:val="24"/>
          <w:szCs w:val="24"/>
        </w:rPr>
        <w:t>, 4(6), 281–284.</w:t>
      </w:r>
    </w:p>
    <w:p w14:paraId="71FFDF51"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Bindroo</w:t>
      </w:r>
      <w:proofErr w:type="spellEnd"/>
      <w:r w:rsidRPr="00190154">
        <w:rPr>
          <w:rFonts w:ascii="Times New Roman" w:hAnsi="Times New Roman" w:cs="Times New Roman"/>
          <w:sz w:val="24"/>
          <w:szCs w:val="24"/>
        </w:rPr>
        <w:t xml:space="preserve">, B. B., &amp; Roy, B. (2015). Effect of micronutrient application on biochemical constituents of mulberry (Morus spp.) leaves and silkworm rearing performance. </w:t>
      </w:r>
      <w:r w:rsidRPr="00190154">
        <w:rPr>
          <w:rFonts w:ascii="Times New Roman" w:hAnsi="Times New Roman" w:cs="Times New Roman"/>
          <w:i/>
          <w:iCs/>
          <w:sz w:val="24"/>
          <w:szCs w:val="24"/>
        </w:rPr>
        <w:t>Journal of Entomology and Zoology Studies</w:t>
      </w:r>
      <w:r w:rsidRPr="00190154">
        <w:rPr>
          <w:rFonts w:ascii="Times New Roman" w:hAnsi="Times New Roman" w:cs="Times New Roman"/>
          <w:sz w:val="24"/>
          <w:szCs w:val="24"/>
        </w:rPr>
        <w:t>, 3(5), 368–372.</w:t>
      </w:r>
    </w:p>
    <w:p w14:paraId="0D0CF45D"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Bindroo</w:t>
      </w:r>
      <w:proofErr w:type="spellEnd"/>
      <w:r w:rsidRPr="00190154">
        <w:rPr>
          <w:rFonts w:ascii="Times New Roman" w:hAnsi="Times New Roman" w:cs="Times New Roman"/>
          <w:sz w:val="24"/>
          <w:szCs w:val="24"/>
        </w:rPr>
        <w:t>, B. B., &amp; Roy, S. (2015). Effect of foliar application of micronutrients on biochemical composition of mulberry (</w:t>
      </w:r>
      <w:r w:rsidRPr="00190154">
        <w:rPr>
          <w:rFonts w:ascii="Times New Roman" w:hAnsi="Times New Roman" w:cs="Times New Roman"/>
          <w:i/>
          <w:iCs/>
          <w:sz w:val="24"/>
          <w:szCs w:val="24"/>
        </w:rPr>
        <w:t>Morus alba</w:t>
      </w:r>
      <w:r w:rsidRPr="00190154">
        <w:rPr>
          <w:rFonts w:ascii="Times New Roman" w:hAnsi="Times New Roman" w:cs="Times New Roman"/>
          <w:sz w:val="24"/>
          <w:szCs w:val="24"/>
        </w:rPr>
        <w:t xml:space="preserve"> L.). </w:t>
      </w:r>
      <w:r w:rsidRPr="00190154">
        <w:rPr>
          <w:rFonts w:ascii="Times New Roman" w:hAnsi="Times New Roman" w:cs="Times New Roman"/>
          <w:i/>
          <w:iCs/>
          <w:sz w:val="24"/>
          <w:szCs w:val="24"/>
        </w:rPr>
        <w:t>Journal of Applied and Natural Science, 7</w:t>
      </w:r>
      <w:r w:rsidRPr="00190154">
        <w:rPr>
          <w:rFonts w:ascii="Times New Roman" w:hAnsi="Times New Roman" w:cs="Times New Roman"/>
          <w:sz w:val="24"/>
          <w:szCs w:val="24"/>
        </w:rPr>
        <w:t xml:space="preserve">(1), 385–388. </w:t>
      </w:r>
      <w:hyperlink r:id="rId8" w:tgtFrame="_new" w:history="1">
        <w:r w:rsidRPr="00190154">
          <w:rPr>
            <w:rStyle w:val="Hyperlink"/>
            <w:rFonts w:ascii="Times New Roman" w:hAnsi="Times New Roman" w:cs="Times New Roman"/>
            <w:sz w:val="24"/>
            <w:szCs w:val="24"/>
          </w:rPr>
          <w:t>https://doi.org/10.31018/jans.v7i1.613</w:t>
        </w:r>
      </w:hyperlink>
    </w:p>
    <w:p w14:paraId="52E14CA6"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Bongale</w:t>
      </w:r>
      <w:proofErr w:type="spellEnd"/>
      <w:r w:rsidRPr="00190154">
        <w:rPr>
          <w:rFonts w:ascii="Times New Roman" w:hAnsi="Times New Roman" w:cs="Times New Roman"/>
          <w:sz w:val="24"/>
          <w:szCs w:val="24"/>
        </w:rPr>
        <w:t xml:space="preserve">, U. D., Jayaraj, S., &amp; Narayanaswamy, T. K. (1991). Leaf quality variation in mulberry cultivars. </w:t>
      </w:r>
      <w:r w:rsidRPr="00190154">
        <w:rPr>
          <w:rFonts w:ascii="Times New Roman" w:hAnsi="Times New Roman" w:cs="Times New Roman"/>
          <w:i/>
          <w:iCs/>
          <w:sz w:val="24"/>
          <w:szCs w:val="24"/>
        </w:rPr>
        <w:t>Indian Journal of Sericulture, 30</w:t>
      </w:r>
      <w:r w:rsidRPr="00190154">
        <w:rPr>
          <w:rFonts w:ascii="Times New Roman" w:hAnsi="Times New Roman" w:cs="Times New Roman"/>
          <w:sz w:val="24"/>
          <w:szCs w:val="24"/>
        </w:rPr>
        <w:t>(1), 50–55.</w:t>
      </w:r>
    </w:p>
    <w:p w14:paraId="3A6D80C4"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Bongale</w:t>
      </w:r>
      <w:proofErr w:type="spellEnd"/>
      <w:r w:rsidRPr="00190154">
        <w:rPr>
          <w:rFonts w:ascii="Times New Roman" w:hAnsi="Times New Roman" w:cs="Times New Roman"/>
          <w:sz w:val="24"/>
          <w:szCs w:val="24"/>
        </w:rPr>
        <w:t xml:space="preserve">, U. D., Kulkarni, R. S., Narahari Rao, A., &amp; </w:t>
      </w:r>
      <w:proofErr w:type="spellStart"/>
      <w:r w:rsidRPr="00190154">
        <w:rPr>
          <w:rFonts w:ascii="Times New Roman" w:hAnsi="Times New Roman" w:cs="Times New Roman"/>
          <w:sz w:val="24"/>
          <w:szCs w:val="24"/>
        </w:rPr>
        <w:t>Sulladmath</w:t>
      </w:r>
      <w:proofErr w:type="spellEnd"/>
      <w:r w:rsidRPr="00190154">
        <w:rPr>
          <w:rFonts w:ascii="Times New Roman" w:hAnsi="Times New Roman" w:cs="Times New Roman"/>
          <w:sz w:val="24"/>
          <w:szCs w:val="24"/>
        </w:rPr>
        <w:t xml:space="preserve">, V. V. (1997). Influence of leaf moisture and crude fiber content on feeding and digestion in silkworm. </w:t>
      </w:r>
      <w:r w:rsidRPr="00190154">
        <w:rPr>
          <w:rFonts w:ascii="Times New Roman" w:hAnsi="Times New Roman" w:cs="Times New Roman"/>
          <w:i/>
          <w:iCs/>
          <w:sz w:val="24"/>
          <w:szCs w:val="24"/>
        </w:rPr>
        <w:t>Indian Journal of Sericulture</w:t>
      </w:r>
      <w:r w:rsidRPr="00190154">
        <w:rPr>
          <w:rFonts w:ascii="Times New Roman" w:hAnsi="Times New Roman" w:cs="Times New Roman"/>
          <w:sz w:val="24"/>
          <w:szCs w:val="24"/>
        </w:rPr>
        <w:t>, 36(1), 41–44.</w:t>
      </w:r>
    </w:p>
    <w:p w14:paraId="2B77F8B4"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Bongale</w:t>
      </w:r>
      <w:proofErr w:type="spellEnd"/>
      <w:r w:rsidRPr="00190154">
        <w:rPr>
          <w:rFonts w:ascii="Times New Roman" w:hAnsi="Times New Roman" w:cs="Times New Roman"/>
          <w:sz w:val="24"/>
          <w:szCs w:val="24"/>
        </w:rPr>
        <w:t xml:space="preserve">, U. D., Mallikarjuna, B., &amp; Govindan, R. (1997). Effect of varietal difference on the nutritional quality of mulberry leaves. </w:t>
      </w:r>
      <w:r w:rsidRPr="00190154">
        <w:rPr>
          <w:rFonts w:ascii="Times New Roman" w:hAnsi="Times New Roman" w:cs="Times New Roman"/>
          <w:i/>
          <w:iCs/>
          <w:sz w:val="24"/>
          <w:szCs w:val="24"/>
        </w:rPr>
        <w:t>Indian Journal of Sericulture</w:t>
      </w:r>
      <w:r w:rsidRPr="00190154">
        <w:rPr>
          <w:rFonts w:ascii="Times New Roman" w:hAnsi="Times New Roman" w:cs="Times New Roman"/>
          <w:sz w:val="24"/>
          <w:szCs w:val="24"/>
        </w:rPr>
        <w:t>, 36(1), 1–6.</w:t>
      </w:r>
    </w:p>
    <w:p w14:paraId="48D157C5"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Bongale</w:t>
      </w:r>
      <w:proofErr w:type="spellEnd"/>
      <w:r w:rsidRPr="00190154">
        <w:rPr>
          <w:rFonts w:ascii="Times New Roman" w:hAnsi="Times New Roman" w:cs="Times New Roman"/>
          <w:sz w:val="24"/>
          <w:szCs w:val="24"/>
        </w:rPr>
        <w:t xml:space="preserve">, U. D., Mallikarjuna, N., &amp; Rajanna, L. (1997). Nutritional evaluation of some promising mulberry genotypes. </w:t>
      </w:r>
      <w:proofErr w:type="spellStart"/>
      <w:r w:rsidRPr="00190154">
        <w:rPr>
          <w:rFonts w:ascii="Times New Roman" w:hAnsi="Times New Roman" w:cs="Times New Roman"/>
          <w:i/>
          <w:iCs/>
          <w:sz w:val="24"/>
          <w:szCs w:val="24"/>
        </w:rPr>
        <w:t>Sericologia</w:t>
      </w:r>
      <w:proofErr w:type="spellEnd"/>
      <w:r w:rsidRPr="00190154">
        <w:rPr>
          <w:rFonts w:ascii="Times New Roman" w:hAnsi="Times New Roman" w:cs="Times New Roman"/>
          <w:i/>
          <w:iCs/>
          <w:sz w:val="24"/>
          <w:szCs w:val="24"/>
        </w:rPr>
        <w:t>, 37</w:t>
      </w:r>
      <w:r w:rsidRPr="00190154">
        <w:rPr>
          <w:rFonts w:ascii="Times New Roman" w:hAnsi="Times New Roman" w:cs="Times New Roman"/>
          <w:sz w:val="24"/>
          <w:szCs w:val="24"/>
        </w:rPr>
        <w:t>(1), 127–136.</w:t>
      </w:r>
    </w:p>
    <w:p w14:paraId="666F03BD" w14:textId="6D2BEA88"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Bongale</w:t>
      </w:r>
      <w:proofErr w:type="spellEnd"/>
      <w:r w:rsidRPr="00190154">
        <w:rPr>
          <w:rFonts w:ascii="Times New Roman" w:hAnsi="Times New Roman" w:cs="Times New Roman"/>
          <w:sz w:val="24"/>
          <w:szCs w:val="24"/>
        </w:rPr>
        <w:t xml:space="preserve">, U. D., </w:t>
      </w:r>
      <w:proofErr w:type="spellStart"/>
      <w:r w:rsidRPr="00190154">
        <w:rPr>
          <w:rFonts w:ascii="Times New Roman" w:hAnsi="Times New Roman" w:cs="Times New Roman"/>
          <w:sz w:val="24"/>
          <w:szCs w:val="24"/>
        </w:rPr>
        <w:t>Sannappa</w:t>
      </w:r>
      <w:proofErr w:type="spellEnd"/>
      <w:r w:rsidRPr="00190154">
        <w:rPr>
          <w:rFonts w:ascii="Times New Roman" w:hAnsi="Times New Roman" w:cs="Times New Roman"/>
          <w:sz w:val="24"/>
          <w:szCs w:val="24"/>
        </w:rPr>
        <w:t xml:space="preserve">, B., &amp; </w:t>
      </w:r>
      <w:proofErr w:type="spellStart"/>
      <w:r w:rsidRPr="00190154">
        <w:rPr>
          <w:rFonts w:ascii="Times New Roman" w:hAnsi="Times New Roman" w:cs="Times New Roman"/>
          <w:sz w:val="24"/>
          <w:szCs w:val="24"/>
        </w:rPr>
        <w:t>Channabasavanna</w:t>
      </w:r>
      <w:proofErr w:type="spellEnd"/>
      <w:r w:rsidRPr="00190154">
        <w:rPr>
          <w:rFonts w:ascii="Times New Roman" w:hAnsi="Times New Roman" w:cs="Times New Roman"/>
          <w:sz w:val="24"/>
          <w:szCs w:val="24"/>
        </w:rPr>
        <w:t xml:space="preserve">, G. P. (1997). Evaluation of improved mulberry genotypes for rearing bivoltine silkworm races. </w:t>
      </w:r>
      <w:r w:rsidRPr="00190154">
        <w:rPr>
          <w:rFonts w:ascii="Times New Roman" w:hAnsi="Times New Roman" w:cs="Times New Roman"/>
          <w:i/>
          <w:iCs/>
          <w:sz w:val="24"/>
          <w:szCs w:val="24"/>
        </w:rPr>
        <w:t>Indian Journal of Sericulture</w:t>
      </w:r>
      <w:r w:rsidRPr="00190154">
        <w:rPr>
          <w:rFonts w:ascii="Times New Roman" w:hAnsi="Times New Roman" w:cs="Times New Roman"/>
          <w:sz w:val="24"/>
          <w:szCs w:val="24"/>
        </w:rPr>
        <w:t>, 36(1), 15–18.</w:t>
      </w:r>
    </w:p>
    <w:p w14:paraId="0D4E58FB"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Boraiah</w:t>
      </w:r>
      <w:proofErr w:type="spellEnd"/>
      <w:r w:rsidRPr="00190154">
        <w:rPr>
          <w:rFonts w:ascii="Times New Roman" w:hAnsi="Times New Roman" w:cs="Times New Roman"/>
          <w:sz w:val="24"/>
          <w:szCs w:val="24"/>
        </w:rPr>
        <w:t xml:space="preserve">, K. M., et al. (2015). Fermented mulberry leaf diets and their impact on silkworm growth. </w:t>
      </w:r>
      <w:r w:rsidRPr="00190154">
        <w:rPr>
          <w:rFonts w:ascii="Times New Roman" w:hAnsi="Times New Roman" w:cs="Times New Roman"/>
          <w:i/>
          <w:iCs/>
          <w:sz w:val="24"/>
          <w:szCs w:val="24"/>
        </w:rPr>
        <w:t>Journal of Entomology and Zoology Studies</w:t>
      </w:r>
      <w:r w:rsidRPr="00190154">
        <w:rPr>
          <w:rFonts w:ascii="Times New Roman" w:hAnsi="Times New Roman" w:cs="Times New Roman"/>
          <w:sz w:val="24"/>
          <w:szCs w:val="24"/>
        </w:rPr>
        <w:t>, 3(1), 184–188.</w:t>
      </w:r>
    </w:p>
    <w:p w14:paraId="4EAC1D01"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Boraiah</w:t>
      </w:r>
      <w:proofErr w:type="spellEnd"/>
      <w:r w:rsidRPr="00190154">
        <w:rPr>
          <w:rFonts w:ascii="Times New Roman" w:hAnsi="Times New Roman" w:cs="Times New Roman"/>
          <w:sz w:val="24"/>
          <w:szCs w:val="24"/>
        </w:rPr>
        <w:t xml:space="preserve">, K. M., Goud, T. D., &amp; Venkatesh, H. M. (2015). Effect of enriched mulberry leaves on economic traits of silkworm Bombyx mori L. </w:t>
      </w:r>
      <w:r w:rsidRPr="00190154">
        <w:rPr>
          <w:rFonts w:ascii="Times New Roman" w:hAnsi="Times New Roman" w:cs="Times New Roman"/>
          <w:i/>
          <w:iCs/>
          <w:sz w:val="24"/>
          <w:szCs w:val="24"/>
        </w:rPr>
        <w:t>Journal of Biopesticides</w:t>
      </w:r>
      <w:r w:rsidRPr="00190154">
        <w:rPr>
          <w:rFonts w:ascii="Times New Roman" w:hAnsi="Times New Roman" w:cs="Times New Roman"/>
          <w:sz w:val="24"/>
          <w:szCs w:val="24"/>
        </w:rPr>
        <w:t>, 8(2), 155–160.</w:t>
      </w:r>
    </w:p>
    <w:p w14:paraId="5B79C2F0" w14:textId="62FE3E62"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proofErr w:type="spellStart"/>
      <w:r w:rsidRPr="00190154">
        <w:rPr>
          <w:rStyle w:val="Strong"/>
          <w:rFonts w:ascii="Times New Roman" w:eastAsiaTheme="majorEastAsia" w:hAnsi="Times New Roman" w:cs="Times New Roman"/>
          <w:b w:val="0"/>
          <w:bCs w:val="0"/>
          <w:sz w:val="24"/>
          <w:szCs w:val="24"/>
        </w:rPr>
        <w:lastRenderedPageBreak/>
        <w:t>Boraiah</w:t>
      </w:r>
      <w:proofErr w:type="spellEnd"/>
      <w:r w:rsidRPr="00190154">
        <w:rPr>
          <w:rStyle w:val="Strong"/>
          <w:rFonts w:ascii="Times New Roman" w:eastAsiaTheme="majorEastAsia" w:hAnsi="Times New Roman" w:cs="Times New Roman"/>
          <w:b w:val="0"/>
          <w:bCs w:val="0"/>
          <w:sz w:val="24"/>
          <w:szCs w:val="24"/>
        </w:rPr>
        <w:t>, K. M., Ramesh, M., &amp; Patil, G. M. (2015).</w:t>
      </w:r>
      <w:r w:rsidRPr="00190154">
        <w:rPr>
          <w:rFonts w:ascii="Times New Roman" w:hAnsi="Times New Roman" w:cs="Times New Roman"/>
          <w:b/>
          <w:bCs/>
          <w:sz w:val="24"/>
          <w:szCs w:val="24"/>
        </w:rPr>
        <w:t xml:space="preserve"> </w:t>
      </w:r>
      <w:r w:rsidRPr="00190154">
        <w:rPr>
          <w:rFonts w:ascii="Times New Roman" w:hAnsi="Times New Roman" w:cs="Times New Roman"/>
          <w:sz w:val="24"/>
          <w:szCs w:val="24"/>
        </w:rPr>
        <w:t>Effect of fermented mulberry leaf diets on growth and development of silkworm (</w:t>
      </w:r>
      <w:r w:rsidRPr="00190154">
        <w:rPr>
          <w:rStyle w:val="Emphasis"/>
          <w:rFonts w:ascii="Times New Roman" w:eastAsiaTheme="majorEastAsia" w:hAnsi="Times New Roman" w:cs="Times New Roman"/>
          <w:sz w:val="24"/>
          <w:szCs w:val="24"/>
        </w:rPr>
        <w:t>Bombyx mori</w:t>
      </w:r>
      <w:r w:rsidRPr="00190154">
        <w:rPr>
          <w:rFonts w:ascii="Times New Roman" w:hAnsi="Times New Roman" w:cs="Times New Roman"/>
          <w:sz w:val="24"/>
          <w:szCs w:val="24"/>
        </w:rPr>
        <w:t xml:space="preserve"> L.). </w:t>
      </w:r>
      <w:r w:rsidRPr="00190154">
        <w:rPr>
          <w:rStyle w:val="Emphasis"/>
          <w:rFonts w:ascii="Times New Roman" w:eastAsiaTheme="majorEastAsia" w:hAnsi="Times New Roman" w:cs="Times New Roman"/>
          <w:sz w:val="24"/>
          <w:szCs w:val="24"/>
        </w:rPr>
        <w:t>Journal of Entomology and Zoology Studies</w:t>
      </w:r>
      <w:r w:rsidRPr="00190154">
        <w:rPr>
          <w:rFonts w:ascii="Times New Roman" w:hAnsi="Times New Roman" w:cs="Times New Roman"/>
          <w:sz w:val="24"/>
          <w:szCs w:val="24"/>
        </w:rPr>
        <w:t>, 3(1), 184–188.</w:t>
      </w:r>
    </w:p>
    <w:p w14:paraId="0A6DB412"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Boraiah</w:t>
      </w:r>
      <w:proofErr w:type="spellEnd"/>
      <w:r w:rsidRPr="00190154">
        <w:rPr>
          <w:rFonts w:ascii="Times New Roman" w:hAnsi="Times New Roman" w:cs="Times New Roman"/>
          <w:sz w:val="24"/>
          <w:szCs w:val="24"/>
        </w:rPr>
        <w:t xml:space="preserve">, K. M., </w:t>
      </w:r>
      <w:proofErr w:type="spellStart"/>
      <w:r w:rsidRPr="00190154">
        <w:rPr>
          <w:rFonts w:ascii="Times New Roman" w:hAnsi="Times New Roman" w:cs="Times New Roman"/>
          <w:sz w:val="24"/>
          <w:szCs w:val="24"/>
        </w:rPr>
        <w:t>Sannappa</w:t>
      </w:r>
      <w:proofErr w:type="spellEnd"/>
      <w:r w:rsidRPr="00190154">
        <w:rPr>
          <w:rFonts w:ascii="Times New Roman" w:hAnsi="Times New Roman" w:cs="Times New Roman"/>
          <w:sz w:val="24"/>
          <w:szCs w:val="24"/>
        </w:rPr>
        <w:t xml:space="preserve">, B., &amp; Mallikarjuna, M. G. (2015). Influence of fermented and vitamin-supplemented mulberry leaves on economic traits of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L. </w:t>
      </w:r>
      <w:r w:rsidRPr="00190154">
        <w:rPr>
          <w:rFonts w:ascii="Times New Roman" w:hAnsi="Times New Roman" w:cs="Times New Roman"/>
          <w:i/>
          <w:iCs/>
          <w:sz w:val="24"/>
          <w:szCs w:val="24"/>
        </w:rPr>
        <w:t xml:space="preserve">The </w:t>
      </w:r>
      <w:proofErr w:type="spellStart"/>
      <w:r w:rsidRPr="00190154">
        <w:rPr>
          <w:rFonts w:ascii="Times New Roman" w:hAnsi="Times New Roman" w:cs="Times New Roman"/>
          <w:i/>
          <w:iCs/>
          <w:sz w:val="24"/>
          <w:szCs w:val="24"/>
        </w:rPr>
        <w:t>Ecoscan</w:t>
      </w:r>
      <w:proofErr w:type="spellEnd"/>
      <w:r w:rsidRPr="00190154">
        <w:rPr>
          <w:rFonts w:ascii="Times New Roman" w:hAnsi="Times New Roman" w:cs="Times New Roman"/>
          <w:sz w:val="24"/>
          <w:szCs w:val="24"/>
        </w:rPr>
        <w:t>, 9(1&amp;2), 47–51.</w:t>
      </w:r>
    </w:p>
    <w:p w14:paraId="335D7248" w14:textId="2A5B44DE"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Dandin, S. B., Jayaswal, K. P., &amp; Giridhar, K. (2003). </w:t>
      </w:r>
      <w:r w:rsidRPr="00190154">
        <w:rPr>
          <w:rFonts w:ascii="Times New Roman" w:hAnsi="Times New Roman" w:cs="Times New Roman"/>
          <w:i/>
          <w:iCs/>
          <w:sz w:val="24"/>
          <w:szCs w:val="24"/>
        </w:rPr>
        <w:t>Handbook of sericulture: Technologies and applications</w:t>
      </w:r>
      <w:r w:rsidRPr="00190154">
        <w:rPr>
          <w:rFonts w:ascii="Times New Roman" w:hAnsi="Times New Roman" w:cs="Times New Roman"/>
          <w:sz w:val="24"/>
          <w:szCs w:val="24"/>
        </w:rPr>
        <w:t>. Central Silk Board.</w:t>
      </w:r>
    </w:p>
    <w:p w14:paraId="22F5F412"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Datta, R. K. (2000). Mulberry cultivation and utilization in India. </w:t>
      </w:r>
      <w:r w:rsidRPr="00190154">
        <w:rPr>
          <w:rFonts w:ascii="Times New Roman" w:hAnsi="Times New Roman" w:cs="Times New Roman"/>
          <w:i/>
          <w:iCs/>
          <w:sz w:val="24"/>
          <w:szCs w:val="24"/>
        </w:rPr>
        <w:t>FAO Electronic Conference on Mulberry for Animal Production</w:t>
      </w:r>
      <w:r w:rsidRPr="00190154">
        <w:rPr>
          <w:rFonts w:ascii="Times New Roman" w:hAnsi="Times New Roman" w:cs="Times New Roman"/>
          <w:sz w:val="24"/>
          <w:szCs w:val="24"/>
        </w:rPr>
        <w:t xml:space="preserve">. </w:t>
      </w:r>
      <w:hyperlink r:id="rId9" w:tgtFrame="_new" w:history="1">
        <w:r w:rsidRPr="00190154">
          <w:rPr>
            <w:rStyle w:val="Hyperlink"/>
            <w:rFonts w:ascii="Times New Roman" w:hAnsi="Times New Roman" w:cs="Times New Roman"/>
            <w:sz w:val="24"/>
            <w:szCs w:val="24"/>
          </w:rPr>
          <w:t>http://www.fao.org</w:t>
        </w:r>
      </w:hyperlink>
    </w:p>
    <w:p w14:paraId="5270AEEB"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Islam, M. R., Sarkar, M. J. A., &amp; Ahmed, G. U. (2018). Role of zinc on silk gland development and cocoon production of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L. </w:t>
      </w:r>
      <w:r w:rsidRPr="00190154">
        <w:rPr>
          <w:rFonts w:ascii="Times New Roman" w:hAnsi="Times New Roman" w:cs="Times New Roman"/>
          <w:i/>
          <w:iCs/>
          <w:sz w:val="24"/>
          <w:szCs w:val="24"/>
        </w:rPr>
        <w:t>Journal of Entomology and Zoology Studies</w:t>
      </w:r>
      <w:r w:rsidRPr="00190154">
        <w:rPr>
          <w:rFonts w:ascii="Times New Roman" w:hAnsi="Times New Roman" w:cs="Times New Roman"/>
          <w:sz w:val="24"/>
          <w:szCs w:val="24"/>
        </w:rPr>
        <w:t>, 6(2), 1245–1249.</w:t>
      </w:r>
    </w:p>
    <w:p w14:paraId="47F3536C"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Islam, R., Hasan, M., Ali, M., &amp; Hoque, M. M. (2018). Effects of feeding mulberry leaves supplemented with micronutrients on growth and cocoon parameters of silkworm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L.). </w:t>
      </w:r>
      <w:r w:rsidRPr="00190154">
        <w:rPr>
          <w:rFonts w:ascii="Times New Roman" w:hAnsi="Times New Roman" w:cs="Times New Roman"/>
          <w:i/>
          <w:iCs/>
          <w:sz w:val="24"/>
          <w:szCs w:val="24"/>
        </w:rPr>
        <w:t>International Journal of Entomological Research</w:t>
      </w:r>
      <w:r w:rsidRPr="00190154">
        <w:rPr>
          <w:rFonts w:ascii="Times New Roman" w:hAnsi="Times New Roman" w:cs="Times New Roman"/>
          <w:sz w:val="24"/>
          <w:szCs w:val="24"/>
        </w:rPr>
        <w:t>, 6(2), 15–20.</w:t>
      </w:r>
    </w:p>
    <w:p w14:paraId="5CD43F35" w14:textId="7F2C1F2B"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Jaiswal, S., Sharma, R., &amp; Ghosh, M. K. (2022). Biofortification strategies in mulberry for enhancing cocoon yield. </w:t>
      </w:r>
      <w:r w:rsidRPr="00190154">
        <w:rPr>
          <w:rFonts w:ascii="Times New Roman" w:hAnsi="Times New Roman" w:cs="Times New Roman"/>
          <w:i/>
          <w:iCs/>
          <w:sz w:val="24"/>
          <w:szCs w:val="24"/>
        </w:rPr>
        <w:t>Asian Journal of Biological Sciences, 15</w:t>
      </w:r>
      <w:r w:rsidRPr="00190154">
        <w:rPr>
          <w:rFonts w:ascii="Times New Roman" w:hAnsi="Times New Roman" w:cs="Times New Roman"/>
          <w:sz w:val="24"/>
          <w:szCs w:val="24"/>
        </w:rPr>
        <w:t xml:space="preserve">(3), 122–130. </w:t>
      </w:r>
      <w:hyperlink r:id="rId10" w:tgtFrame="_new" w:history="1">
        <w:r w:rsidRPr="00190154">
          <w:rPr>
            <w:rStyle w:val="Hyperlink"/>
            <w:rFonts w:ascii="Times New Roman" w:hAnsi="Times New Roman" w:cs="Times New Roman"/>
            <w:sz w:val="24"/>
            <w:szCs w:val="24"/>
          </w:rPr>
          <w:t>https://doi.org/10.3923/ajbs.2022.122.130</w:t>
        </w:r>
      </w:hyperlink>
    </w:p>
    <w:p w14:paraId="5589C073"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Joshi, P. K., Ranjitha, K., &amp; Vijayan, K. (2002). Effect of protein-enriched mulberry leaves on the economic traits of silkworm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L.). </w:t>
      </w:r>
      <w:proofErr w:type="spellStart"/>
      <w:r w:rsidRPr="00190154">
        <w:rPr>
          <w:rFonts w:ascii="Times New Roman" w:hAnsi="Times New Roman" w:cs="Times New Roman"/>
          <w:i/>
          <w:iCs/>
          <w:sz w:val="24"/>
          <w:szCs w:val="24"/>
        </w:rPr>
        <w:t>Sericologia</w:t>
      </w:r>
      <w:proofErr w:type="spellEnd"/>
      <w:r w:rsidRPr="00190154">
        <w:rPr>
          <w:rFonts w:ascii="Times New Roman" w:hAnsi="Times New Roman" w:cs="Times New Roman"/>
          <w:sz w:val="24"/>
          <w:szCs w:val="24"/>
        </w:rPr>
        <w:t>, 42(1), 33–38.</w:t>
      </w:r>
    </w:p>
    <w:p w14:paraId="20A8E0B5"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Kavitha, N., Kumar, C. A., &amp; Ramesh, M. (2014). Role of fortified mulberry leaves on larval development and cocoon yield. </w:t>
      </w:r>
      <w:r w:rsidRPr="00190154">
        <w:rPr>
          <w:rFonts w:ascii="Times New Roman" w:hAnsi="Times New Roman" w:cs="Times New Roman"/>
          <w:i/>
          <w:iCs/>
          <w:sz w:val="24"/>
          <w:szCs w:val="24"/>
        </w:rPr>
        <w:t>Journal of Entomology and Zoology Studies, 2</w:t>
      </w:r>
      <w:r w:rsidRPr="00190154">
        <w:rPr>
          <w:rFonts w:ascii="Times New Roman" w:hAnsi="Times New Roman" w:cs="Times New Roman"/>
          <w:sz w:val="24"/>
          <w:szCs w:val="24"/>
        </w:rPr>
        <w:t>(5), 26–30.</w:t>
      </w:r>
    </w:p>
    <w:p w14:paraId="09C14CEF"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Kavitha, R., Ravikumar, R., &amp; Karthikeyan, S. (2014). Biochemical changes in silkworm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L.) fed on fermented mulberry leaves. </w:t>
      </w:r>
      <w:r w:rsidRPr="00190154">
        <w:rPr>
          <w:rFonts w:ascii="Times New Roman" w:hAnsi="Times New Roman" w:cs="Times New Roman"/>
          <w:i/>
          <w:iCs/>
          <w:sz w:val="24"/>
          <w:szCs w:val="24"/>
        </w:rPr>
        <w:t>Journal of Entomology and Zoology Studies</w:t>
      </w:r>
      <w:r w:rsidRPr="00190154">
        <w:rPr>
          <w:rFonts w:ascii="Times New Roman" w:hAnsi="Times New Roman" w:cs="Times New Roman"/>
          <w:sz w:val="24"/>
          <w:szCs w:val="24"/>
        </w:rPr>
        <w:t>, 2(6), 314–319.</w:t>
      </w:r>
    </w:p>
    <w:p w14:paraId="57B123BF"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Koul, O., &amp; Bhagat, B. (1994). Nutritional indices in mulberry silkworm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Effects of crude </w:t>
      </w:r>
      <w:proofErr w:type="spellStart"/>
      <w:r w:rsidRPr="00190154">
        <w:rPr>
          <w:rFonts w:ascii="Times New Roman" w:hAnsi="Times New Roman" w:cs="Times New Roman"/>
          <w:sz w:val="24"/>
          <w:szCs w:val="24"/>
        </w:rPr>
        <w:t>fibre</w:t>
      </w:r>
      <w:proofErr w:type="spellEnd"/>
      <w:r w:rsidRPr="00190154">
        <w:rPr>
          <w:rFonts w:ascii="Times New Roman" w:hAnsi="Times New Roman" w:cs="Times New Roman"/>
          <w:sz w:val="24"/>
          <w:szCs w:val="24"/>
        </w:rPr>
        <w:t xml:space="preserve"> and leaf maturity. </w:t>
      </w:r>
      <w:r w:rsidRPr="00190154">
        <w:rPr>
          <w:rFonts w:ascii="Times New Roman" w:hAnsi="Times New Roman" w:cs="Times New Roman"/>
          <w:i/>
          <w:iCs/>
          <w:sz w:val="24"/>
          <w:szCs w:val="24"/>
        </w:rPr>
        <w:t>Entomon</w:t>
      </w:r>
      <w:r w:rsidRPr="00190154">
        <w:rPr>
          <w:rFonts w:ascii="Times New Roman" w:hAnsi="Times New Roman" w:cs="Times New Roman"/>
          <w:sz w:val="24"/>
          <w:szCs w:val="24"/>
        </w:rPr>
        <w:t>, 19(2), 113–117.</w:t>
      </w:r>
    </w:p>
    <w:p w14:paraId="41B535B2"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Koul, O., &amp; Dhaliwal, G. S. (2019). </w:t>
      </w:r>
      <w:r w:rsidRPr="00190154">
        <w:rPr>
          <w:rFonts w:ascii="Times New Roman" w:hAnsi="Times New Roman" w:cs="Times New Roman"/>
          <w:i/>
          <w:iCs/>
          <w:sz w:val="24"/>
          <w:szCs w:val="24"/>
        </w:rPr>
        <w:t>Sustainable Crop Protection under Protected Cultivation</w:t>
      </w:r>
      <w:r w:rsidRPr="00190154">
        <w:rPr>
          <w:rFonts w:ascii="Times New Roman" w:hAnsi="Times New Roman" w:cs="Times New Roman"/>
          <w:sz w:val="24"/>
          <w:szCs w:val="24"/>
        </w:rPr>
        <w:t>. Academic Press.</w:t>
      </w:r>
    </w:p>
    <w:p w14:paraId="5FD9C94D"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Koul, R., &amp; Bhagat, R. K. (1994). Biochemical constituents of mulberry varieties and their effect on silkworm rearing. </w:t>
      </w:r>
      <w:proofErr w:type="spellStart"/>
      <w:r w:rsidRPr="00190154">
        <w:rPr>
          <w:rFonts w:ascii="Times New Roman" w:hAnsi="Times New Roman" w:cs="Times New Roman"/>
          <w:i/>
          <w:iCs/>
          <w:sz w:val="24"/>
          <w:szCs w:val="24"/>
        </w:rPr>
        <w:t>Sericologia</w:t>
      </w:r>
      <w:proofErr w:type="spellEnd"/>
      <w:r w:rsidRPr="00190154">
        <w:rPr>
          <w:rFonts w:ascii="Times New Roman" w:hAnsi="Times New Roman" w:cs="Times New Roman"/>
          <w:i/>
          <w:iCs/>
          <w:sz w:val="24"/>
          <w:szCs w:val="24"/>
        </w:rPr>
        <w:t>, 34</w:t>
      </w:r>
      <w:r w:rsidRPr="00190154">
        <w:rPr>
          <w:rFonts w:ascii="Times New Roman" w:hAnsi="Times New Roman" w:cs="Times New Roman"/>
          <w:sz w:val="24"/>
          <w:szCs w:val="24"/>
        </w:rPr>
        <w:t>(3), 517–523.</w:t>
      </w:r>
    </w:p>
    <w:p w14:paraId="410C6E6E"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Koul, S. and Bhagat, R. C. (1994). Relationship between chemical composition of mulberry and food utilization by silkworm. </w:t>
      </w:r>
      <w:proofErr w:type="spellStart"/>
      <w:r w:rsidRPr="00190154">
        <w:rPr>
          <w:rFonts w:ascii="Times New Roman" w:hAnsi="Times New Roman" w:cs="Times New Roman"/>
          <w:i/>
          <w:iCs/>
          <w:sz w:val="24"/>
          <w:szCs w:val="24"/>
        </w:rPr>
        <w:t>Sericologia</w:t>
      </w:r>
      <w:proofErr w:type="spellEnd"/>
      <w:r w:rsidRPr="00190154">
        <w:rPr>
          <w:rFonts w:ascii="Times New Roman" w:hAnsi="Times New Roman" w:cs="Times New Roman"/>
          <w:sz w:val="24"/>
          <w:szCs w:val="24"/>
        </w:rPr>
        <w:t>, 34(2), 287–293.</w:t>
      </w:r>
    </w:p>
    <w:p w14:paraId="23C56DFD"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Kumar, M. N., </w:t>
      </w:r>
      <w:proofErr w:type="spellStart"/>
      <w:r w:rsidRPr="00190154">
        <w:rPr>
          <w:rFonts w:ascii="Times New Roman" w:hAnsi="Times New Roman" w:cs="Times New Roman"/>
          <w:sz w:val="24"/>
          <w:szCs w:val="24"/>
        </w:rPr>
        <w:t>Sannappa</w:t>
      </w:r>
      <w:proofErr w:type="spellEnd"/>
      <w:r w:rsidRPr="00190154">
        <w:rPr>
          <w:rFonts w:ascii="Times New Roman" w:hAnsi="Times New Roman" w:cs="Times New Roman"/>
          <w:sz w:val="24"/>
          <w:szCs w:val="24"/>
        </w:rPr>
        <w:t xml:space="preserve">, B., &amp; Thippeswamy, T. (2015). Effect of organic amendments on mulberry and its impact on silkworm performance. </w:t>
      </w:r>
      <w:r w:rsidRPr="00190154">
        <w:rPr>
          <w:rFonts w:ascii="Times New Roman" w:hAnsi="Times New Roman" w:cs="Times New Roman"/>
          <w:i/>
          <w:iCs/>
          <w:sz w:val="24"/>
          <w:szCs w:val="24"/>
        </w:rPr>
        <w:t>Green Farming</w:t>
      </w:r>
      <w:r w:rsidRPr="00190154">
        <w:rPr>
          <w:rFonts w:ascii="Times New Roman" w:hAnsi="Times New Roman" w:cs="Times New Roman"/>
          <w:sz w:val="24"/>
          <w:szCs w:val="24"/>
        </w:rPr>
        <w:t>, 6(5), 1050–1053.</w:t>
      </w:r>
    </w:p>
    <w:p w14:paraId="681946DE"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Kumar, R., </w:t>
      </w:r>
      <w:proofErr w:type="spellStart"/>
      <w:r w:rsidRPr="00190154">
        <w:rPr>
          <w:rFonts w:ascii="Times New Roman" w:hAnsi="Times New Roman" w:cs="Times New Roman"/>
          <w:sz w:val="24"/>
          <w:szCs w:val="24"/>
        </w:rPr>
        <w:t>Sannappa</w:t>
      </w:r>
      <w:proofErr w:type="spellEnd"/>
      <w:r w:rsidRPr="00190154">
        <w:rPr>
          <w:rFonts w:ascii="Times New Roman" w:hAnsi="Times New Roman" w:cs="Times New Roman"/>
          <w:sz w:val="24"/>
          <w:szCs w:val="24"/>
        </w:rPr>
        <w:t xml:space="preserve">, B., &amp; Manjunath, S. (2015). Influence of PGPR on mulberry leaf yield and its impact on silkworm growth. </w:t>
      </w:r>
      <w:r w:rsidRPr="00190154">
        <w:rPr>
          <w:rFonts w:ascii="Times New Roman" w:hAnsi="Times New Roman" w:cs="Times New Roman"/>
          <w:i/>
          <w:iCs/>
          <w:sz w:val="24"/>
          <w:szCs w:val="24"/>
        </w:rPr>
        <w:t>Journal of Biocontrol, 29</w:t>
      </w:r>
      <w:r w:rsidRPr="00190154">
        <w:rPr>
          <w:rFonts w:ascii="Times New Roman" w:hAnsi="Times New Roman" w:cs="Times New Roman"/>
          <w:sz w:val="24"/>
          <w:szCs w:val="24"/>
        </w:rPr>
        <w:t>(2), 107–112.</w:t>
      </w:r>
    </w:p>
    <w:p w14:paraId="7627578C"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b/>
          <w:bCs/>
          <w:sz w:val="24"/>
          <w:szCs w:val="24"/>
        </w:rPr>
        <w:lastRenderedPageBreak/>
        <w:t>Kumar, S., Ramesh, M., &amp; Shree, M. P. (2015).</w:t>
      </w:r>
      <w:r w:rsidRPr="00190154">
        <w:rPr>
          <w:rFonts w:ascii="Times New Roman" w:hAnsi="Times New Roman" w:cs="Times New Roman"/>
          <w:sz w:val="24"/>
          <w:szCs w:val="24"/>
        </w:rPr>
        <w:t xml:space="preserve"> Influence of compost application on soil fertility, mulberry leaf nutrition and cocoon traits of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L. </w:t>
      </w:r>
      <w:r w:rsidRPr="00190154">
        <w:rPr>
          <w:rFonts w:ascii="Times New Roman" w:hAnsi="Times New Roman" w:cs="Times New Roman"/>
          <w:i/>
          <w:iCs/>
          <w:sz w:val="24"/>
          <w:szCs w:val="24"/>
        </w:rPr>
        <w:t>Green Farming</w:t>
      </w:r>
      <w:r w:rsidRPr="00190154">
        <w:rPr>
          <w:rFonts w:ascii="Times New Roman" w:hAnsi="Times New Roman" w:cs="Times New Roman"/>
          <w:sz w:val="24"/>
          <w:szCs w:val="24"/>
        </w:rPr>
        <w:t>, 6(2), 284–287.</w:t>
      </w:r>
    </w:p>
    <w:p w14:paraId="5E569024"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Lakshmi, H. C., &amp; Ramesh, M. (2016). Influence of micronutrients on leaf yield and quality of mulberry (</w:t>
      </w:r>
      <w:r w:rsidRPr="00190154">
        <w:rPr>
          <w:rFonts w:ascii="Times New Roman" w:hAnsi="Times New Roman" w:cs="Times New Roman"/>
          <w:i/>
          <w:iCs/>
          <w:sz w:val="24"/>
          <w:szCs w:val="24"/>
        </w:rPr>
        <w:t>Morus indica</w:t>
      </w:r>
      <w:r w:rsidRPr="00190154">
        <w:rPr>
          <w:rFonts w:ascii="Times New Roman" w:hAnsi="Times New Roman" w:cs="Times New Roman"/>
          <w:sz w:val="24"/>
          <w:szCs w:val="24"/>
        </w:rPr>
        <w:t xml:space="preserve"> L.) under irrigated condition. </w:t>
      </w:r>
      <w:r w:rsidRPr="00190154">
        <w:rPr>
          <w:rFonts w:ascii="Times New Roman" w:hAnsi="Times New Roman" w:cs="Times New Roman"/>
          <w:i/>
          <w:iCs/>
          <w:sz w:val="24"/>
          <w:szCs w:val="24"/>
        </w:rPr>
        <w:t>Green Farming, 7</w:t>
      </w:r>
      <w:r w:rsidRPr="00190154">
        <w:rPr>
          <w:rFonts w:ascii="Times New Roman" w:hAnsi="Times New Roman" w:cs="Times New Roman"/>
          <w:sz w:val="24"/>
          <w:szCs w:val="24"/>
        </w:rPr>
        <w:t>(1), 145–148.</w:t>
      </w:r>
    </w:p>
    <w:p w14:paraId="12CF8214"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Lakshmi, H. N., Ramesh, M., &amp; Sulochana, C. (2018). Effect of chlorella-enriched mulberry diet on economic traits of silkworm (Bombyx mori L.). </w:t>
      </w:r>
      <w:r w:rsidRPr="00190154">
        <w:rPr>
          <w:rFonts w:ascii="Times New Roman" w:hAnsi="Times New Roman" w:cs="Times New Roman"/>
          <w:i/>
          <w:iCs/>
          <w:sz w:val="24"/>
          <w:szCs w:val="24"/>
        </w:rPr>
        <w:t>International Journal of Recent Scientific Research</w:t>
      </w:r>
      <w:r w:rsidRPr="00190154">
        <w:rPr>
          <w:rFonts w:ascii="Times New Roman" w:hAnsi="Times New Roman" w:cs="Times New Roman"/>
          <w:sz w:val="24"/>
          <w:szCs w:val="24"/>
        </w:rPr>
        <w:t>, 9(6), 27353–27356.</w:t>
      </w:r>
    </w:p>
    <w:p w14:paraId="3DBDE9E5"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Lakshmi, H., &amp; Ramesh, M. (2016). Integrated nutrient management in mulberry: Effect on leaf quality and cocoon yield. </w:t>
      </w:r>
      <w:r w:rsidRPr="00190154">
        <w:rPr>
          <w:rFonts w:ascii="Times New Roman" w:hAnsi="Times New Roman" w:cs="Times New Roman"/>
          <w:i/>
          <w:iCs/>
          <w:sz w:val="24"/>
          <w:szCs w:val="24"/>
        </w:rPr>
        <w:t>Journal of Experimental Biology and Agricultural Sciences</w:t>
      </w:r>
      <w:r w:rsidRPr="00190154">
        <w:rPr>
          <w:rFonts w:ascii="Times New Roman" w:hAnsi="Times New Roman" w:cs="Times New Roman"/>
          <w:sz w:val="24"/>
          <w:szCs w:val="24"/>
        </w:rPr>
        <w:t>, 4(5), 489–494.</w:t>
      </w:r>
    </w:p>
    <w:p w14:paraId="0109FC36"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Lakshmi, H., Ramesh, M., &amp; Divya, S. (2018). Effect of Chlorella- and Spirulina-enriched mulberry leaf diets on economic traits of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L. </w:t>
      </w:r>
      <w:r w:rsidRPr="00190154">
        <w:rPr>
          <w:rFonts w:ascii="Times New Roman" w:hAnsi="Times New Roman" w:cs="Times New Roman"/>
          <w:i/>
          <w:iCs/>
          <w:sz w:val="24"/>
          <w:szCs w:val="24"/>
        </w:rPr>
        <w:t>International Journal of Zoology and Research</w:t>
      </w:r>
      <w:r w:rsidRPr="00190154">
        <w:rPr>
          <w:rFonts w:ascii="Times New Roman" w:hAnsi="Times New Roman" w:cs="Times New Roman"/>
          <w:sz w:val="24"/>
          <w:szCs w:val="24"/>
        </w:rPr>
        <w:t>, 8(1), 1–10.</w:t>
      </w:r>
    </w:p>
    <w:p w14:paraId="771D639A"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Manjula, G., Lakshmi, H., &amp; Suresh, H. M. (2017). Effect of micronutrients on biochemical composition of mulberry leaves. </w:t>
      </w:r>
      <w:r w:rsidRPr="00190154">
        <w:rPr>
          <w:rFonts w:ascii="Times New Roman" w:hAnsi="Times New Roman" w:cs="Times New Roman"/>
          <w:i/>
          <w:iCs/>
          <w:sz w:val="24"/>
          <w:szCs w:val="24"/>
        </w:rPr>
        <w:t>Journal of Pharmacognosy and Phytochemistry, 6</w:t>
      </w:r>
      <w:r w:rsidRPr="00190154">
        <w:rPr>
          <w:rFonts w:ascii="Times New Roman" w:hAnsi="Times New Roman" w:cs="Times New Roman"/>
          <w:sz w:val="24"/>
          <w:szCs w:val="24"/>
        </w:rPr>
        <w:t>(3), 216–219.</w:t>
      </w:r>
    </w:p>
    <w:p w14:paraId="3D830FCB"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Manjula, K., Kumari, S. S., &amp; Govindan, R. (2017). Role of arbuscular mycorrhizal fungi in improving drought tolerance in mulberry. </w:t>
      </w:r>
      <w:r w:rsidRPr="00190154">
        <w:rPr>
          <w:rFonts w:ascii="Times New Roman" w:hAnsi="Times New Roman" w:cs="Times New Roman"/>
          <w:i/>
          <w:iCs/>
          <w:sz w:val="24"/>
          <w:szCs w:val="24"/>
        </w:rPr>
        <w:t>Journal of Applied and Natural Science</w:t>
      </w:r>
      <w:r w:rsidRPr="00190154">
        <w:rPr>
          <w:rFonts w:ascii="Times New Roman" w:hAnsi="Times New Roman" w:cs="Times New Roman"/>
          <w:sz w:val="24"/>
          <w:szCs w:val="24"/>
        </w:rPr>
        <w:t>, 9(2), 802–808.</w:t>
      </w:r>
    </w:p>
    <w:p w14:paraId="27188CE3"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Style w:val="Strong"/>
          <w:rFonts w:ascii="Times New Roman" w:eastAsiaTheme="majorEastAsia" w:hAnsi="Times New Roman" w:cs="Times New Roman"/>
          <w:b w:val="0"/>
          <w:bCs w:val="0"/>
          <w:sz w:val="24"/>
          <w:szCs w:val="24"/>
        </w:rPr>
        <w:t>Manjula, R., Reddy, P. N., &amp; Ramesh, M. (2017).</w:t>
      </w:r>
      <w:r w:rsidRPr="00190154">
        <w:rPr>
          <w:rFonts w:ascii="Times New Roman" w:hAnsi="Times New Roman" w:cs="Times New Roman"/>
          <w:sz w:val="24"/>
          <w:szCs w:val="24"/>
        </w:rPr>
        <w:t xml:space="preserve"> Role of microbial consortia in improving drought tolerance in mulberry (</w:t>
      </w:r>
      <w:r w:rsidRPr="00190154">
        <w:rPr>
          <w:rStyle w:val="Emphasis"/>
          <w:rFonts w:ascii="Times New Roman" w:eastAsiaTheme="majorEastAsia" w:hAnsi="Times New Roman" w:cs="Times New Roman"/>
          <w:sz w:val="24"/>
          <w:szCs w:val="24"/>
        </w:rPr>
        <w:t>Morus spp.</w:t>
      </w:r>
      <w:r w:rsidRPr="00190154">
        <w:rPr>
          <w:rFonts w:ascii="Times New Roman" w:hAnsi="Times New Roman" w:cs="Times New Roman"/>
          <w:sz w:val="24"/>
          <w:szCs w:val="24"/>
        </w:rPr>
        <w:t xml:space="preserve">). </w:t>
      </w:r>
      <w:r w:rsidRPr="00190154">
        <w:rPr>
          <w:rStyle w:val="Emphasis"/>
          <w:rFonts w:ascii="Times New Roman" w:eastAsiaTheme="majorEastAsia" w:hAnsi="Times New Roman" w:cs="Times New Roman"/>
          <w:sz w:val="24"/>
          <w:szCs w:val="24"/>
        </w:rPr>
        <w:t>Indian Journal of Sericulture</w:t>
      </w:r>
      <w:r w:rsidRPr="00190154">
        <w:rPr>
          <w:rFonts w:ascii="Times New Roman" w:hAnsi="Times New Roman" w:cs="Times New Roman"/>
          <w:sz w:val="24"/>
          <w:szCs w:val="24"/>
        </w:rPr>
        <w:t>, 56</w:t>
      </w:r>
      <w:r>
        <w:t>(2), 116–122.</w:t>
      </w:r>
    </w:p>
    <w:p w14:paraId="33B56B07"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Mathur, V. B., Kumar, R., &amp; Reddy, R. M. (2003). Effect of leaf quality on larval growth and cocoon traits. </w:t>
      </w:r>
      <w:r w:rsidRPr="00190154">
        <w:rPr>
          <w:rFonts w:ascii="Times New Roman" w:hAnsi="Times New Roman" w:cs="Times New Roman"/>
          <w:i/>
          <w:iCs/>
          <w:sz w:val="24"/>
          <w:szCs w:val="24"/>
        </w:rPr>
        <w:t>Indian Journal of Sericulture, 42</w:t>
      </w:r>
      <w:r w:rsidRPr="00190154">
        <w:rPr>
          <w:rFonts w:ascii="Times New Roman" w:hAnsi="Times New Roman" w:cs="Times New Roman"/>
          <w:sz w:val="24"/>
          <w:szCs w:val="24"/>
        </w:rPr>
        <w:t>(2), 118–121.</w:t>
      </w:r>
    </w:p>
    <w:p w14:paraId="51D7C994"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Mathur, V. B., </w:t>
      </w:r>
      <w:proofErr w:type="spellStart"/>
      <w:r w:rsidRPr="00190154">
        <w:rPr>
          <w:rFonts w:ascii="Times New Roman" w:hAnsi="Times New Roman" w:cs="Times New Roman"/>
          <w:sz w:val="24"/>
          <w:szCs w:val="24"/>
        </w:rPr>
        <w:t>Sitaramaiah</w:t>
      </w:r>
      <w:proofErr w:type="spellEnd"/>
      <w:r w:rsidRPr="00190154">
        <w:rPr>
          <w:rFonts w:ascii="Times New Roman" w:hAnsi="Times New Roman" w:cs="Times New Roman"/>
          <w:sz w:val="24"/>
          <w:szCs w:val="24"/>
        </w:rPr>
        <w:t xml:space="preserve">, K., &amp; </w:t>
      </w:r>
      <w:proofErr w:type="spellStart"/>
      <w:r w:rsidRPr="00190154">
        <w:rPr>
          <w:rFonts w:ascii="Times New Roman" w:hAnsi="Times New Roman" w:cs="Times New Roman"/>
          <w:sz w:val="24"/>
          <w:szCs w:val="24"/>
        </w:rPr>
        <w:t>Tikkoo</w:t>
      </w:r>
      <w:proofErr w:type="spellEnd"/>
      <w:r w:rsidRPr="00190154">
        <w:rPr>
          <w:rFonts w:ascii="Times New Roman" w:hAnsi="Times New Roman" w:cs="Times New Roman"/>
          <w:sz w:val="24"/>
          <w:szCs w:val="24"/>
        </w:rPr>
        <w:t xml:space="preserve">, M. L. (2003). Nutrition and silkworm biology. In R. K. Datta (Ed.), </w:t>
      </w:r>
      <w:r w:rsidRPr="00190154">
        <w:rPr>
          <w:rFonts w:ascii="Times New Roman" w:hAnsi="Times New Roman" w:cs="Times New Roman"/>
          <w:i/>
          <w:iCs/>
          <w:sz w:val="24"/>
          <w:szCs w:val="24"/>
        </w:rPr>
        <w:t>Silkworm Rearing and Diseases</w:t>
      </w:r>
      <w:r w:rsidRPr="00190154">
        <w:rPr>
          <w:rFonts w:ascii="Times New Roman" w:hAnsi="Times New Roman" w:cs="Times New Roman"/>
          <w:sz w:val="24"/>
          <w:szCs w:val="24"/>
        </w:rPr>
        <w:t xml:space="preserve"> (pp. 80–102). CSB Publication.</w:t>
      </w:r>
    </w:p>
    <w:p w14:paraId="5E5D0B08"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Narayanan, K., Govindan, R., &amp; Ramesh, M. (2006). Influence of maturity stage on nutrient status of mulberry. </w:t>
      </w:r>
      <w:r w:rsidRPr="00190154">
        <w:rPr>
          <w:rFonts w:ascii="Times New Roman" w:hAnsi="Times New Roman" w:cs="Times New Roman"/>
          <w:i/>
          <w:iCs/>
          <w:sz w:val="24"/>
          <w:szCs w:val="24"/>
        </w:rPr>
        <w:t>Journal of Sericultural Science of Japan, 75</w:t>
      </w:r>
      <w:r w:rsidRPr="00190154">
        <w:rPr>
          <w:rFonts w:ascii="Times New Roman" w:hAnsi="Times New Roman" w:cs="Times New Roman"/>
          <w:sz w:val="24"/>
          <w:szCs w:val="24"/>
        </w:rPr>
        <w:t>(4), 241–246.</w:t>
      </w:r>
    </w:p>
    <w:p w14:paraId="021031E0"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Patil, G. M., Naik, G. M., &amp; Krishnamurthy, V. (2014</w:t>
      </w:r>
      <w:r w:rsidRPr="00190154">
        <w:rPr>
          <w:rFonts w:ascii="Times New Roman" w:hAnsi="Times New Roman" w:cs="Times New Roman"/>
          <w:b/>
          <w:bCs/>
          <w:sz w:val="24"/>
          <w:szCs w:val="24"/>
        </w:rPr>
        <w:t>).</w:t>
      </w:r>
      <w:r w:rsidRPr="00190154">
        <w:rPr>
          <w:rFonts w:ascii="Times New Roman" w:hAnsi="Times New Roman" w:cs="Times New Roman"/>
          <w:sz w:val="24"/>
          <w:szCs w:val="24"/>
        </w:rPr>
        <w:t xml:space="preserve"> Impact of enriched compost and biofertilizers on yield and quality traits in mulberry (</w:t>
      </w:r>
      <w:r w:rsidRPr="00190154">
        <w:rPr>
          <w:rFonts w:ascii="Times New Roman" w:hAnsi="Times New Roman" w:cs="Times New Roman"/>
          <w:i/>
          <w:iCs/>
          <w:sz w:val="24"/>
          <w:szCs w:val="24"/>
        </w:rPr>
        <w:t>Morus indica</w:t>
      </w:r>
      <w:r w:rsidRPr="00190154">
        <w:rPr>
          <w:rFonts w:ascii="Times New Roman" w:hAnsi="Times New Roman" w:cs="Times New Roman"/>
          <w:sz w:val="24"/>
          <w:szCs w:val="24"/>
        </w:rPr>
        <w:t xml:space="preserve">). </w:t>
      </w:r>
      <w:r w:rsidRPr="00190154">
        <w:rPr>
          <w:rFonts w:ascii="Times New Roman" w:hAnsi="Times New Roman" w:cs="Times New Roman"/>
          <w:i/>
          <w:iCs/>
          <w:sz w:val="24"/>
          <w:szCs w:val="24"/>
        </w:rPr>
        <w:t>Plant Archives</w:t>
      </w:r>
      <w:r w:rsidRPr="00190154">
        <w:rPr>
          <w:rFonts w:ascii="Times New Roman" w:hAnsi="Times New Roman" w:cs="Times New Roman"/>
          <w:sz w:val="24"/>
          <w:szCs w:val="24"/>
        </w:rPr>
        <w:t>, 14(2), 915–919.</w:t>
      </w:r>
    </w:p>
    <w:p w14:paraId="4255FE5F"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Patil, S. S., Patil, S. V., &amp; </w:t>
      </w:r>
      <w:proofErr w:type="spellStart"/>
      <w:r w:rsidRPr="00190154">
        <w:rPr>
          <w:rFonts w:ascii="Times New Roman" w:hAnsi="Times New Roman" w:cs="Times New Roman"/>
          <w:sz w:val="24"/>
          <w:szCs w:val="24"/>
        </w:rPr>
        <w:t>Sannappa</w:t>
      </w:r>
      <w:proofErr w:type="spellEnd"/>
      <w:r w:rsidRPr="00190154">
        <w:rPr>
          <w:rFonts w:ascii="Times New Roman" w:hAnsi="Times New Roman" w:cs="Times New Roman"/>
          <w:sz w:val="24"/>
          <w:szCs w:val="24"/>
        </w:rPr>
        <w:t xml:space="preserve">, B. (2014). Role of micronutrients in mulberry nutrition and silkworm rearing. </w:t>
      </w:r>
      <w:r w:rsidRPr="00190154">
        <w:rPr>
          <w:rFonts w:ascii="Times New Roman" w:hAnsi="Times New Roman" w:cs="Times New Roman"/>
          <w:i/>
          <w:iCs/>
          <w:sz w:val="24"/>
          <w:szCs w:val="24"/>
        </w:rPr>
        <w:t>World Journal of Pharmacy and Pharmaceutical Sciences</w:t>
      </w:r>
      <w:r w:rsidRPr="00190154">
        <w:rPr>
          <w:rFonts w:ascii="Times New Roman" w:hAnsi="Times New Roman" w:cs="Times New Roman"/>
          <w:sz w:val="24"/>
          <w:szCs w:val="24"/>
        </w:rPr>
        <w:t>, 3(3), 452–465.</w:t>
      </w:r>
    </w:p>
    <w:p w14:paraId="780C4B7E"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Rahmathulla, V. K. (2012). Influence of environmental factors on the development and fecundity of silkworm: A review. </w:t>
      </w:r>
      <w:r w:rsidRPr="00190154">
        <w:rPr>
          <w:rFonts w:ascii="Times New Roman" w:hAnsi="Times New Roman" w:cs="Times New Roman"/>
          <w:i/>
          <w:iCs/>
          <w:sz w:val="24"/>
          <w:szCs w:val="24"/>
        </w:rPr>
        <w:t>International Journal of Industrial Entomology</w:t>
      </w:r>
      <w:r w:rsidRPr="00190154">
        <w:rPr>
          <w:rFonts w:ascii="Times New Roman" w:hAnsi="Times New Roman" w:cs="Times New Roman"/>
          <w:sz w:val="24"/>
          <w:szCs w:val="24"/>
        </w:rPr>
        <w:t>, 25(1), 1–10. https://doi.org/10.7852/ijie.2012.25.1.001</w:t>
      </w:r>
    </w:p>
    <w:p w14:paraId="0AB90E79"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Rahmathulla, V. K. (2012). Management of climatic factors for successful silkworm rearing. </w:t>
      </w:r>
      <w:r w:rsidRPr="00190154">
        <w:rPr>
          <w:rFonts w:ascii="Times New Roman" w:hAnsi="Times New Roman" w:cs="Times New Roman"/>
          <w:i/>
          <w:iCs/>
          <w:sz w:val="24"/>
          <w:szCs w:val="24"/>
        </w:rPr>
        <w:t>International Journal of Industrial Entomology, 25</w:t>
      </w:r>
      <w:r w:rsidRPr="00190154">
        <w:rPr>
          <w:rFonts w:ascii="Times New Roman" w:hAnsi="Times New Roman" w:cs="Times New Roman"/>
          <w:sz w:val="24"/>
          <w:szCs w:val="24"/>
        </w:rPr>
        <w:t xml:space="preserve">(1), 15–26. </w:t>
      </w:r>
      <w:hyperlink r:id="rId11" w:tgtFrame="_new" w:history="1">
        <w:r w:rsidRPr="00190154">
          <w:rPr>
            <w:rStyle w:val="Hyperlink"/>
            <w:rFonts w:ascii="Times New Roman" w:hAnsi="Times New Roman" w:cs="Times New Roman"/>
            <w:sz w:val="24"/>
            <w:szCs w:val="24"/>
          </w:rPr>
          <w:t>https://doi.org/10.7852/ijie.2012.25.1.015</w:t>
        </w:r>
      </w:hyperlink>
    </w:p>
    <w:p w14:paraId="051DD82C"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lastRenderedPageBreak/>
        <w:t xml:space="preserve">Ramesh, M., Govindan, R., &amp; Sundaram, S. (2011). Effect of mulberry nutrition on silkworm rearing performance. </w:t>
      </w:r>
      <w:r w:rsidRPr="00190154">
        <w:rPr>
          <w:rFonts w:ascii="Times New Roman" w:hAnsi="Times New Roman" w:cs="Times New Roman"/>
          <w:i/>
          <w:iCs/>
          <w:sz w:val="24"/>
          <w:szCs w:val="24"/>
        </w:rPr>
        <w:t>Indian Journal of Sericulture, 50</w:t>
      </w:r>
      <w:r w:rsidRPr="00190154">
        <w:rPr>
          <w:rFonts w:ascii="Times New Roman" w:hAnsi="Times New Roman" w:cs="Times New Roman"/>
          <w:sz w:val="24"/>
          <w:szCs w:val="24"/>
        </w:rPr>
        <w:t>(1), 62–68.</w:t>
      </w:r>
    </w:p>
    <w:p w14:paraId="64FACE8C"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Ramesh, M., Lakshmi, H., &amp; Shree, M. P. (2011). Role of nutrients in mulberry leaf quality and silkworm development. </w:t>
      </w:r>
      <w:r w:rsidRPr="00190154">
        <w:rPr>
          <w:rFonts w:ascii="Times New Roman" w:hAnsi="Times New Roman" w:cs="Times New Roman"/>
          <w:i/>
          <w:iCs/>
          <w:sz w:val="24"/>
          <w:szCs w:val="24"/>
        </w:rPr>
        <w:t>Karnataka Journal of Agricultural Sciences</w:t>
      </w:r>
      <w:r w:rsidRPr="00190154">
        <w:rPr>
          <w:rFonts w:ascii="Times New Roman" w:hAnsi="Times New Roman" w:cs="Times New Roman"/>
          <w:sz w:val="24"/>
          <w:szCs w:val="24"/>
        </w:rPr>
        <w:t>, 24(5), 672–676.</w:t>
      </w:r>
    </w:p>
    <w:p w14:paraId="04D2C467"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Ramesh, M., </w:t>
      </w:r>
      <w:proofErr w:type="spellStart"/>
      <w:r w:rsidRPr="00190154">
        <w:rPr>
          <w:rFonts w:ascii="Times New Roman" w:hAnsi="Times New Roman" w:cs="Times New Roman"/>
          <w:sz w:val="24"/>
          <w:szCs w:val="24"/>
        </w:rPr>
        <w:t>Sannappa</w:t>
      </w:r>
      <w:proofErr w:type="spellEnd"/>
      <w:r w:rsidRPr="00190154">
        <w:rPr>
          <w:rFonts w:ascii="Times New Roman" w:hAnsi="Times New Roman" w:cs="Times New Roman"/>
          <w:sz w:val="24"/>
          <w:szCs w:val="24"/>
        </w:rPr>
        <w:t xml:space="preserve">, B., &amp; </w:t>
      </w:r>
      <w:proofErr w:type="spellStart"/>
      <w:r w:rsidRPr="00190154">
        <w:rPr>
          <w:rFonts w:ascii="Times New Roman" w:hAnsi="Times New Roman" w:cs="Times New Roman"/>
          <w:sz w:val="24"/>
          <w:szCs w:val="24"/>
        </w:rPr>
        <w:t>Nataraju</w:t>
      </w:r>
      <w:proofErr w:type="spellEnd"/>
      <w:r w:rsidRPr="00190154">
        <w:rPr>
          <w:rFonts w:ascii="Times New Roman" w:hAnsi="Times New Roman" w:cs="Times New Roman"/>
          <w:sz w:val="24"/>
          <w:szCs w:val="24"/>
        </w:rPr>
        <w:t xml:space="preserve">, B. (2011). Screening of mulberry genotypes for higher leaf yield and quality under rainfed conditions. </w:t>
      </w:r>
      <w:r w:rsidRPr="00190154">
        <w:rPr>
          <w:rFonts w:ascii="Times New Roman" w:hAnsi="Times New Roman" w:cs="Times New Roman"/>
          <w:i/>
          <w:iCs/>
          <w:sz w:val="24"/>
          <w:szCs w:val="24"/>
        </w:rPr>
        <w:t>Indian Journal of Sericulture</w:t>
      </w:r>
      <w:r w:rsidRPr="00190154">
        <w:rPr>
          <w:rFonts w:ascii="Times New Roman" w:hAnsi="Times New Roman" w:cs="Times New Roman"/>
          <w:sz w:val="24"/>
          <w:szCs w:val="24"/>
        </w:rPr>
        <w:t>, 50(2), 119–122.</w:t>
      </w:r>
    </w:p>
    <w:p w14:paraId="24C55A58"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Ramesh, M., Suresh, H. M., &amp; Narayanaswamy, T. K. (2011). Role of balanced nutrition in mulberry on cocoon quality of silkworm. </w:t>
      </w:r>
      <w:r w:rsidRPr="00190154">
        <w:rPr>
          <w:rFonts w:ascii="Times New Roman" w:hAnsi="Times New Roman" w:cs="Times New Roman"/>
          <w:i/>
          <w:iCs/>
          <w:sz w:val="24"/>
          <w:szCs w:val="24"/>
        </w:rPr>
        <w:t>The Bioscan</w:t>
      </w:r>
      <w:r w:rsidRPr="00190154">
        <w:rPr>
          <w:rFonts w:ascii="Times New Roman" w:hAnsi="Times New Roman" w:cs="Times New Roman"/>
          <w:sz w:val="24"/>
          <w:szCs w:val="24"/>
        </w:rPr>
        <w:t>, 6(3), 459–462.</w:t>
      </w:r>
    </w:p>
    <w:p w14:paraId="42279AEA"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Rani, H. U., Suresh, G. M., &amp; Prasad, T. N. V. K. V. (2018). Influence of PGPRs on growth and yield of mulberry and its impact on silkworm performance. </w:t>
      </w:r>
      <w:r w:rsidRPr="00190154">
        <w:rPr>
          <w:rFonts w:ascii="Times New Roman" w:hAnsi="Times New Roman" w:cs="Times New Roman"/>
          <w:i/>
          <w:iCs/>
          <w:sz w:val="24"/>
          <w:szCs w:val="24"/>
        </w:rPr>
        <w:t>International Journal of Current Microbiology and Applied Sciences</w:t>
      </w:r>
      <w:r w:rsidRPr="00190154">
        <w:rPr>
          <w:rFonts w:ascii="Times New Roman" w:hAnsi="Times New Roman" w:cs="Times New Roman"/>
          <w:sz w:val="24"/>
          <w:szCs w:val="24"/>
        </w:rPr>
        <w:t xml:space="preserve">, 7(5), 1104–1110. </w:t>
      </w:r>
      <w:hyperlink r:id="rId12" w:history="1">
        <w:r w:rsidRPr="00190154">
          <w:rPr>
            <w:rStyle w:val="Hyperlink"/>
            <w:rFonts w:ascii="Times New Roman" w:hAnsi="Times New Roman" w:cs="Times New Roman"/>
            <w:sz w:val="24"/>
            <w:szCs w:val="24"/>
          </w:rPr>
          <w:t>https://doi.org/10.20546/ijcmas.2018.705.136</w:t>
        </w:r>
      </w:hyperlink>
    </w:p>
    <w:p w14:paraId="046EDEA6"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lang w:val="de-DE"/>
        </w:rPr>
        <w:t xml:space="preserve">Rani, K. S., Kavitha, N., &amp; Mallikarjuna, N. (2018). </w:t>
      </w:r>
      <w:r w:rsidRPr="00190154">
        <w:rPr>
          <w:rFonts w:ascii="Times New Roman" w:hAnsi="Times New Roman" w:cs="Times New Roman"/>
          <w:sz w:val="24"/>
          <w:szCs w:val="24"/>
        </w:rPr>
        <w:t xml:space="preserve">Use of bioinoculants in enhancing mulberry leaf quality. </w:t>
      </w:r>
      <w:r w:rsidRPr="00190154">
        <w:rPr>
          <w:rFonts w:ascii="Times New Roman" w:hAnsi="Times New Roman" w:cs="Times New Roman"/>
          <w:i/>
          <w:iCs/>
          <w:sz w:val="24"/>
          <w:szCs w:val="24"/>
        </w:rPr>
        <w:t>Journal of Applied and Natural Science, 10</w:t>
      </w:r>
      <w:r w:rsidRPr="00190154">
        <w:rPr>
          <w:rFonts w:ascii="Times New Roman" w:hAnsi="Times New Roman" w:cs="Times New Roman"/>
          <w:sz w:val="24"/>
          <w:szCs w:val="24"/>
        </w:rPr>
        <w:t>(1), 31–36.</w:t>
      </w:r>
    </w:p>
    <w:p w14:paraId="036D15A2"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Rani, S. K., Manjula, R., &amp; Ramesh, M. (2018). Effect of PGPR inoculation on mulberry leaf quality and its impact on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L. productivity. </w:t>
      </w:r>
      <w:r w:rsidRPr="00190154">
        <w:rPr>
          <w:rFonts w:ascii="Times New Roman" w:hAnsi="Times New Roman" w:cs="Times New Roman"/>
          <w:i/>
          <w:iCs/>
          <w:sz w:val="24"/>
          <w:szCs w:val="24"/>
        </w:rPr>
        <w:t>Journal of Applied and Natural Science</w:t>
      </w:r>
      <w:r w:rsidRPr="00190154">
        <w:rPr>
          <w:rFonts w:ascii="Times New Roman" w:hAnsi="Times New Roman" w:cs="Times New Roman"/>
          <w:sz w:val="24"/>
          <w:szCs w:val="24"/>
        </w:rPr>
        <w:t>, 10(1), 312–318.</w:t>
      </w:r>
    </w:p>
    <w:p w14:paraId="0AE398B5"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Rani, S., Subramanya, G., &amp; Lakshmanan, S. (2018). Effect of PGPR application on nutrient enrichment in mulberry and its impact on silkworm performance. </w:t>
      </w:r>
      <w:r w:rsidRPr="00190154">
        <w:rPr>
          <w:rFonts w:ascii="Times New Roman" w:hAnsi="Times New Roman" w:cs="Times New Roman"/>
          <w:i/>
          <w:iCs/>
          <w:sz w:val="24"/>
          <w:szCs w:val="24"/>
        </w:rPr>
        <w:t>Journal of Sericultural Science of Japan</w:t>
      </w:r>
      <w:r w:rsidRPr="00190154">
        <w:rPr>
          <w:rFonts w:ascii="Times New Roman" w:hAnsi="Times New Roman" w:cs="Times New Roman"/>
          <w:sz w:val="24"/>
          <w:szCs w:val="24"/>
        </w:rPr>
        <w:t>, 87(4), 160–165.</w:t>
      </w:r>
    </w:p>
    <w:p w14:paraId="58661BB6"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Sannappa</w:t>
      </w:r>
      <w:proofErr w:type="spellEnd"/>
      <w:r w:rsidRPr="00190154">
        <w:rPr>
          <w:rFonts w:ascii="Times New Roman" w:hAnsi="Times New Roman" w:cs="Times New Roman"/>
          <w:sz w:val="24"/>
          <w:szCs w:val="24"/>
        </w:rPr>
        <w:t xml:space="preserve">, B. and Mallikarjuna, N. (2009). Influence of micronutrients on mulberry and silkworm. </w:t>
      </w:r>
      <w:r w:rsidRPr="00190154">
        <w:rPr>
          <w:rFonts w:ascii="Times New Roman" w:hAnsi="Times New Roman" w:cs="Times New Roman"/>
          <w:i/>
          <w:iCs/>
          <w:sz w:val="24"/>
          <w:szCs w:val="24"/>
        </w:rPr>
        <w:t xml:space="preserve">Journal of </w:t>
      </w:r>
      <w:proofErr w:type="spellStart"/>
      <w:r w:rsidRPr="00190154">
        <w:rPr>
          <w:rFonts w:ascii="Times New Roman" w:hAnsi="Times New Roman" w:cs="Times New Roman"/>
          <w:i/>
          <w:iCs/>
          <w:sz w:val="24"/>
          <w:szCs w:val="24"/>
        </w:rPr>
        <w:t>Ecobiotechnology</w:t>
      </w:r>
      <w:proofErr w:type="spellEnd"/>
      <w:r w:rsidRPr="00190154">
        <w:rPr>
          <w:rFonts w:ascii="Times New Roman" w:hAnsi="Times New Roman" w:cs="Times New Roman"/>
          <w:sz w:val="24"/>
          <w:szCs w:val="24"/>
        </w:rPr>
        <w:t>, 1(1), 44–47.</w:t>
      </w:r>
    </w:p>
    <w:p w14:paraId="60420BA7"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lang w:val="de-DE"/>
        </w:rPr>
        <w:t xml:space="preserve">Sannappa, B., &amp; Mallikarjuna, M. G. (2009). </w:t>
      </w:r>
      <w:r w:rsidRPr="00190154">
        <w:rPr>
          <w:rFonts w:ascii="Times New Roman" w:hAnsi="Times New Roman" w:cs="Times New Roman"/>
          <w:sz w:val="24"/>
          <w:szCs w:val="24"/>
        </w:rPr>
        <w:t>Influence of micronutrient-enriched mulberry leaves on biological and commercial traits of silkworm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L.). </w:t>
      </w:r>
      <w:r w:rsidRPr="00190154">
        <w:rPr>
          <w:rFonts w:ascii="Times New Roman" w:hAnsi="Times New Roman" w:cs="Times New Roman"/>
          <w:i/>
          <w:iCs/>
          <w:sz w:val="24"/>
          <w:szCs w:val="24"/>
        </w:rPr>
        <w:t>Karnataka Journal of Agricultural Sciences</w:t>
      </w:r>
      <w:r w:rsidRPr="00190154">
        <w:rPr>
          <w:rFonts w:ascii="Times New Roman" w:hAnsi="Times New Roman" w:cs="Times New Roman"/>
          <w:sz w:val="24"/>
          <w:szCs w:val="24"/>
        </w:rPr>
        <w:t>, 22(3), 634–637.</w:t>
      </w:r>
    </w:p>
    <w:p w14:paraId="60C5ED24"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proofErr w:type="spellStart"/>
      <w:r w:rsidRPr="00190154">
        <w:rPr>
          <w:rFonts w:ascii="Times New Roman" w:hAnsi="Times New Roman" w:cs="Times New Roman"/>
          <w:sz w:val="24"/>
          <w:szCs w:val="24"/>
        </w:rPr>
        <w:t>Sannappa</w:t>
      </w:r>
      <w:proofErr w:type="spellEnd"/>
      <w:r w:rsidRPr="00190154">
        <w:rPr>
          <w:rFonts w:ascii="Times New Roman" w:hAnsi="Times New Roman" w:cs="Times New Roman"/>
          <w:sz w:val="24"/>
          <w:szCs w:val="24"/>
        </w:rPr>
        <w:t xml:space="preserve">, B., &amp; Mallikarjuna, N. (2009). Effect of micronutrient foliar application on mulberry leaf nutrition and silkworm performance. </w:t>
      </w:r>
      <w:r w:rsidRPr="00190154">
        <w:rPr>
          <w:rFonts w:ascii="Times New Roman" w:hAnsi="Times New Roman" w:cs="Times New Roman"/>
          <w:i/>
          <w:iCs/>
          <w:sz w:val="24"/>
          <w:szCs w:val="24"/>
        </w:rPr>
        <w:t>Karnataka Journal of Agricultural Sciences, 22</w:t>
      </w:r>
      <w:r w:rsidRPr="00190154">
        <w:rPr>
          <w:rFonts w:ascii="Times New Roman" w:hAnsi="Times New Roman" w:cs="Times New Roman"/>
          <w:sz w:val="24"/>
          <w:szCs w:val="24"/>
        </w:rPr>
        <w:t>(3), 535–538.</w:t>
      </w:r>
    </w:p>
    <w:p w14:paraId="2427785D"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Sarkar, A., Banerjee, R., &amp; Nath, A. (2017). Zinc nutrition in mulberry and its role in silk production. </w:t>
      </w:r>
      <w:r w:rsidRPr="00190154">
        <w:rPr>
          <w:rFonts w:ascii="Times New Roman" w:hAnsi="Times New Roman" w:cs="Times New Roman"/>
          <w:i/>
          <w:iCs/>
          <w:sz w:val="24"/>
          <w:szCs w:val="24"/>
        </w:rPr>
        <w:t>Journal of Entomology and Zoology Studies</w:t>
      </w:r>
      <w:r w:rsidRPr="00190154">
        <w:rPr>
          <w:rFonts w:ascii="Times New Roman" w:hAnsi="Times New Roman" w:cs="Times New Roman"/>
          <w:sz w:val="24"/>
          <w:szCs w:val="24"/>
        </w:rPr>
        <w:t>, 5(4), 684–688.</w:t>
      </w:r>
    </w:p>
    <w:p w14:paraId="19414C0C"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lang w:val="de-DE"/>
        </w:rPr>
        <w:t>Sarkar, A., Das, N., &amp; Roy, P. (2017)</w:t>
      </w:r>
      <w:r w:rsidRPr="00190154">
        <w:rPr>
          <w:rFonts w:ascii="Times New Roman" w:hAnsi="Times New Roman" w:cs="Times New Roman"/>
          <w:b/>
          <w:bCs/>
          <w:sz w:val="24"/>
          <w:szCs w:val="24"/>
          <w:lang w:val="de-DE"/>
        </w:rPr>
        <w:t>.</w:t>
      </w:r>
      <w:r w:rsidRPr="00190154">
        <w:rPr>
          <w:rFonts w:ascii="Times New Roman" w:hAnsi="Times New Roman" w:cs="Times New Roman"/>
          <w:sz w:val="24"/>
          <w:szCs w:val="24"/>
          <w:lang w:val="de-DE"/>
        </w:rPr>
        <w:t xml:space="preserve"> </w:t>
      </w:r>
      <w:r w:rsidRPr="00190154">
        <w:rPr>
          <w:rFonts w:ascii="Times New Roman" w:hAnsi="Times New Roman" w:cs="Times New Roman"/>
          <w:sz w:val="24"/>
          <w:szCs w:val="24"/>
        </w:rPr>
        <w:t>Impact of micronutrient foliar sprays on mulberry (</w:t>
      </w:r>
      <w:r w:rsidRPr="00190154">
        <w:rPr>
          <w:rFonts w:ascii="Times New Roman" w:hAnsi="Times New Roman" w:cs="Times New Roman"/>
          <w:i/>
          <w:iCs/>
          <w:sz w:val="24"/>
          <w:szCs w:val="24"/>
        </w:rPr>
        <w:t>Morus alba</w:t>
      </w:r>
      <w:r w:rsidRPr="00190154">
        <w:rPr>
          <w:rFonts w:ascii="Times New Roman" w:hAnsi="Times New Roman" w:cs="Times New Roman"/>
          <w:sz w:val="24"/>
          <w:szCs w:val="24"/>
        </w:rPr>
        <w:t xml:space="preserve">) leaf quality and silkworm performance. </w:t>
      </w:r>
      <w:r w:rsidRPr="00190154">
        <w:rPr>
          <w:rFonts w:ascii="Times New Roman" w:hAnsi="Times New Roman" w:cs="Times New Roman"/>
          <w:i/>
          <w:iCs/>
          <w:sz w:val="24"/>
          <w:szCs w:val="24"/>
        </w:rPr>
        <w:t>The Bioscan</w:t>
      </w:r>
      <w:r w:rsidRPr="00190154">
        <w:rPr>
          <w:rFonts w:ascii="Times New Roman" w:hAnsi="Times New Roman" w:cs="Times New Roman"/>
          <w:sz w:val="24"/>
          <w:szCs w:val="24"/>
        </w:rPr>
        <w:t>, 12(3), 1585–1589.</w:t>
      </w:r>
    </w:p>
    <w:p w14:paraId="566632FD"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lang w:val="de-DE"/>
        </w:rPr>
        <w:t xml:space="preserve">Sarkar, A., Raghunandan, K., &amp; Krishnaprasad, B. T. (2017). </w:t>
      </w:r>
      <w:r w:rsidRPr="00190154">
        <w:rPr>
          <w:rFonts w:ascii="Times New Roman" w:hAnsi="Times New Roman" w:cs="Times New Roman"/>
          <w:sz w:val="24"/>
          <w:szCs w:val="24"/>
        </w:rPr>
        <w:t>Influence of zinc-fortified mulberry leaves on growth and cocoon traits of silkworm (</w:t>
      </w:r>
      <w:r w:rsidRPr="00190154">
        <w:rPr>
          <w:rFonts w:ascii="Times New Roman" w:hAnsi="Times New Roman" w:cs="Times New Roman"/>
          <w:i/>
          <w:iCs/>
          <w:sz w:val="24"/>
          <w:szCs w:val="24"/>
        </w:rPr>
        <w:t>Bombyx mori</w:t>
      </w:r>
      <w:r w:rsidRPr="00190154">
        <w:rPr>
          <w:rFonts w:ascii="Times New Roman" w:hAnsi="Times New Roman" w:cs="Times New Roman"/>
          <w:sz w:val="24"/>
          <w:szCs w:val="24"/>
        </w:rPr>
        <w:t xml:space="preserve"> L.). </w:t>
      </w:r>
      <w:r w:rsidRPr="00190154">
        <w:rPr>
          <w:rFonts w:ascii="Times New Roman" w:hAnsi="Times New Roman" w:cs="Times New Roman"/>
          <w:i/>
          <w:iCs/>
          <w:sz w:val="24"/>
          <w:szCs w:val="24"/>
        </w:rPr>
        <w:t>International Journal of Plant &amp; Soil Science</w:t>
      </w:r>
      <w:r w:rsidRPr="00190154">
        <w:rPr>
          <w:rFonts w:ascii="Times New Roman" w:hAnsi="Times New Roman" w:cs="Times New Roman"/>
          <w:sz w:val="24"/>
          <w:szCs w:val="24"/>
        </w:rPr>
        <w:t xml:space="preserve">, 17(4), 1–6. </w:t>
      </w:r>
      <w:hyperlink r:id="rId13" w:tgtFrame="_new" w:history="1">
        <w:r w:rsidRPr="00190154">
          <w:rPr>
            <w:rStyle w:val="Hyperlink"/>
            <w:rFonts w:ascii="Times New Roman" w:hAnsi="Times New Roman" w:cs="Times New Roman"/>
            <w:sz w:val="24"/>
            <w:szCs w:val="24"/>
          </w:rPr>
          <w:t>https://doi.org/10.9734/IJPSS/2017/37943</w:t>
        </w:r>
      </w:hyperlink>
    </w:p>
    <w:p w14:paraId="29BEE968"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lang w:val="de-DE"/>
        </w:rPr>
        <w:t xml:space="preserve">Sengupta, K., Sinha, S. S., &amp; Rahman, S. M. (1992). </w:t>
      </w:r>
      <w:r w:rsidRPr="00190154">
        <w:rPr>
          <w:rFonts w:ascii="Times New Roman" w:hAnsi="Times New Roman" w:cs="Times New Roman"/>
          <w:sz w:val="24"/>
          <w:szCs w:val="24"/>
        </w:rPr>
        <w:t xml:space="preserve">Mulberry nutrition and silkworm productivity. </w:t>
      </w:r>
      <w:r w:rsidRPr="00190154">
        <w:rPr>
          <w:rFonts w:ascii="Times New Roman" w:hAnsi="Times New Roman" w:cs="Times New Roman"/>
          <w:i/>
          <w:iCs/>
          <w:sz w:val="24"/>
          <w:szCs w:val="24"/>
        </w:rPr>
        <w:t>Indian Silk, 31</w:t>
      </w:r>
      <w:r w:rsidRPr="00190154">
        <w:rPr>
          <w:rFonts w:ascii="Times New Roman" w:hAnsi="Times New Roman" w:cs="Times New Roman"/>
          <w:sz w:val="24"/>
          <w:szCs w:val="24"/>
        </w:rPr>
        <w:t>(8), 7–11.</w:t>
      </w:r>
    </w:p>
    <w:p w14:paraId="287ED483" w14:textId="77777777" w:rsidR="00190154"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lastRenderedPageBreak/>
        <w:t xml:space="preserve">Sharma, A., &amp; Ananthanarayana, S. R. (2012). Effect of long-term organic mulching and nutrient management on soil properties and mulberry leaf yield. </w:t>
      </w:r>
      <w:r w:rsidRPr="00190154">
        <w:rPr>
          <w:rFonts w:ascii="Times New Roman" w:hAnsi="Times New Roman" w:cs="Times New Roman"/>
          <w:i/>
          <w:iCs/>
          <w:sz w:val="24"/>
          <w:szCs w:val="24"/>
        </w:rPr>
        <w:t>Indian Journal of Sericulture</w:t>
      </w:r>
      <w:r w:rsidRPr="00190154">
        <w:rPr>
          <w:rFonts w:ascii="Times New Roman" w:hAnsi="Times New Roman" w:cs="Times New Roman"/>
          <w:sz w:val="24"/>
          <w:szCs w:val="24"/>
        </w:rPr>
        <w:t>, 51(1), 39–43.</w:t>
      </w:r>
    </w:p>
    <w:p w14:paraId="069BB498" w14:textId="0A318318"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Sharma, A., &amp; Ananthanarayana, S. R. (2012). Nutritional aspects of mulberry leaves and silkworm rearing: A review. </w:t>
      </w:r>
      <w:r w:rsidRPr="00190154">
        <w:rPr>
          <w:rFonts w:ascii="Times New Roman" w:hAnsi="Times New Roman" w:cs="Times New Roman"/>
          <w:i/>
          <w:iCs/>
          <w:sz w:val="24"/>
          <w:szCs w:val="24"/>
        </w:rPr>
        <w:t>International Journal of Research in Biological Sciences, 2</w:t>
      </w:r>
      <w:r w:rsidRPr="00190154">
        <w:rPr>
          <w:rFonts w:ascii="Times New Roman" w:hAnsi="Times New Roman" w:cs="Times New Roman"/>
          <w:sz w:val="24"/>
          <w:szCs w:val="24"/>
        </w:rPr>
        <w:t>(2), 27–32.</w:t>
      </w:r>
    </w:p>
    <w:p w14:paraId="1E6BDD0C" w14:textId="77777777" w:rsidR="00045161" w:rsidRPr="00190154" w:rsidRDefault="00045161" w:rsidP="00190154">
      <w:pPr>
        <w:pStyle w:val="ListParagraph"/>
        <w:numPr>
          <w:ilvl w:val="0"/>
          <w:numId w:val="13"/>
        </w:numPr>
        <w:spacing w:line="276" w:lineRule="auto"/>
        <w:rPr>
          <w:rFonts w:ascii="Times New Roman" w:hAnsi="Times New Roman" w:cs="Times New Roman"/>
          <w:sz w:val="24"/>
          <w:szCs w:val="24"/>
        </w:rPr>
      </w:pPr>
      <w:r w:rsidRPr="00190154">
        <w:rPr>
          <w:rFonts w:ascii="Times New Roman" w:hAnsi="Times New Roman" w:cs="Times New Roman"/>
          <w:sz w:val="24"/>
          <w:szCs w:val="24"/>
        </w:rPr>
        <w:t xml:space="preserve">Sharma, M. and Ananthanarayana, S. R. (2012). Organic practices for mulberry cultivation. </w:t>
      </w:r>
      <w:r w:rsidRPr="00190154">
        <w:rPr>
          <w:rFonts w:ascii="Times New Roman" w:hAnsi="Times New Roman" w:cs="Times New Roman"/>
          <w:i/>
          <w:iCs/>
          <w:sz w:val="24"/>
          <w:szCs w:val="24"/>
        </w:rPr>
        <w:t>Indian Silk</w:t>
      </w:r>
      <w:r w:rsidRPr="00190154">
        <w:rPr>
          <w:rFonts w:ascii="Times New Roman" w:hAnsi="Times New Roman" w:cs="Times New Roman"/>
          <w:sz w:val="24"/>
          <w:szCs w:val="24"/>
        </w:rPr>
        <w:t>, 51(3), 23–25.</w:t>
      </w:r>
    </w:p>
    <w:sectPr w:rsidR="00045161" w:rsidRPr="00190154">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58AA02" w14:textId="77777777" w:rsidR="00792C59" w:rsidRDefault="00792C59" w:rsidP="007C65DF">
      <w:pPr>
        <w:spacing w:after="0" w:line="240" w:lineRule="auto"/>
      </w:pPr>
      <w:r>
        <w:separator/>
      </w:r>
    </w:p>
  </w:endnote>
  <w:endnote w:type="continuationSeparator" w:id="0">
    <w:p w14:paraId="7B82BB58" w14:textId="77777777" w:rsidR="00792C59" w:rsidRDefault="00792C59" w:rsidP="007C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D760B" w14:textId="77777777" w:rsidR="007C65DF" w:rsidRDefault="007C65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C82FA" w14:textId="77777777" w:rsidR="007C65DF" w:rsidRDefault="007C65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7104A" w14:textId="77777777" w:rsidR="007C65DF" w:rsidRDefault="007C6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EE1D67" w14:textId="77777777" w:rsidR="00792C59" w:rsidRDefault="00792C59" w:rsidP="007C65DF">
      <w:pPr>
        <w:spacing w:after="0" w:line="240" w:lineRule="auto"/>
      </w:pPr>
      <w:r>
        <w:separator/>
      </w:r>
    </w:p>
  </w:footnote>
  <w:footnote w:type="continuationSeparator" w:id="0">
    <w:p w14:paraId="6B896518" w14:textId="77777777" w:rsidR="00792C59" w:rsidRDefault="00792C59" w:rsidP="007C65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21D2A" w14:textId="0E28E9B5" w:rsidR="007C65DF" w:rsidRDefault="007C65DF">
    <w:pPr>
      <w:pStyle w:val="Header"/>
    </w:pPr>
    <w:r>
      <w:rPr>
        <w:noProof/>
      </w:rPr>
      <w:pict w14:anchorId="557540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2797" o:spid="_x0000_s2050"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1D6A1" w14:textId="1C176390" w:rsidR="007C65DF" w:rsidRDefault="007C65DF">
    <w:pPr>
      <w:pStyle w:val="Header"/>
    </w:pPr>
    <w:r>
      <w:rPr>
        <w:noProof/>
      </w:rPr>
      <w:pict w14:anchorId="0DF21B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2798"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11F96" w14:textId="1FF19CEA" w:rsidR="007C65DF" w:rsidRDefault="007C65DF">
    <w:pPr>
      <w:pStyle w:val="Header"/>
    </w:pPr>
    <w:r>
      <w:rPr>
        <w:noProof/>
      </w:rPr>
      <w:pict w14:anchorId="3D0265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2796"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7789B"/>
    <w:multiLevelType w:val="multilevel"/>
    <w:tmpl w:val="667648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53A2A16"/>
    <w:multiLevelType w:val="hybridMultilevel"/>
    <w:tmpl w:val="93CC8A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3A414E7"/>
    <w:multiLevelType w:val="hybridMultilevel"/>
    <w:tmpl w:val="3220639E"/>
    <w:lvl w:ilvl="0" w:tplc="EDF223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6701F7"/>
    <w:multiLevelType w:val="multilevel"/>
    <w:tmpl w:val="32960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E1600A"/>
    <w:multiLevelType w:val="multilevel"/>
    <w:tmpl w:val="650A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3F7844"/>
    <w:multiLevelType w:val="hybridMultilevel"/>
    <w:tmpl w:val="93CC8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202999"/>
    <w:multiLevelType w:val="hybridMultilevel"/>
    <w:tmpl w:val="93CC8A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A1771AB"/>
    <w:multiLevelType w:val="hybridMultilevel"/>
    <w:tmpl w:val="3CF88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1E03C6"/>
    <w:multiLevelType w:val="hybridMultilevel"/>
    <w:tmpl w:val="A8EC1146"/>
    <w:lvl w:ilvl="0" w:tplc="C070FD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1D4583E"/>
    <w:multiLevelType w:val="hybridMultilevel"/>
    <w:tmpl w:val="36BE8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C8017D"/>
    <w:multiLevelType w:val="multilevel"/>
    <w:tmpl w:val="B2D4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DF457D"/>
    <w:multiLevelType w:val="hybridMultilevel"/>
    <w:tmpl w:val="00A077B0"/>
    <w:lvl w:ilvl="0" w:tplc="EDF223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26E47BD4">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D60AC4"/>
    <w:multiLevelType w:val="hybridMultilevel"/>
    <w:tmpl w:val="93CC8A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9"/>
  </w:num>
  <w:num w:numId="2">
    <w:abstractNumId w:val="10"/>
  </w:num>
  <w:num w:numId="3">
    <w:abstractNumId w:val="3"/>
  </w:num>
  <w:num w:numId="4">
    <w:abstractNumId w:val="0"/>
  </w:num>
  <w:num w:numId="5">
    <w:abstractNumId w:val="8"/>
  </w:num>
  <w:num w:numId="6">
    <w:abstractNumId w:val="7"/>
  </w:num>
  <w:num w:numId="7">
    <w:abstractNumId w:val="4"/>
  </w:num>
  <w:num w:numId="8">
    <w:abstractNumId w:val="5"/>
  </w:num>
  <w:num w:numId="9">
    <w:abstractNumId w:val="12"/>
  </w:num>
  <w:num w:numId="10">
    <w:abstractNumId w:val="6"/>
  </w:num>
  <w:num w:numId="11">
    <w:abstractNumId w:val="1"/>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A7C"/>
    <w:rsid w:val="00045161"/>
    <w:rsid w:val="00060B49"/>
    <w:rsid w:val="000917DF"/>
    <w:rsid w:val="000C2A50"/>
    <w:rsid w:val="0010258F"/>
    <w:rsid w:val="00190154"/>
    <w:rsid w:val="001A7AD0"/>
    <w:rsid w:val="003044C7"/>
    <w:rsid w:val="003263E7"/>
    <w:rsid w:val="003921B6"/>
    <w:rsid w:val="003A340B"/>
    <w:rsid w:val="003A53E4"/>
    <w:rsid w:val="0041388C"/>
    <w:rsid w:val="00463E77"/>
    <w:rsid w:val="0048083E"/>
    <w:rsid w:val="00482172"/>
    <w:rsid w:val="00554347"/>
    <w:rsid w:val="005603E4"/>
    <w:rsid w:val="00666CB1"/>
    <w:rsid w:val="006B1C78"/>
    <w:rsid w:val="006D3E18"/>
    <w:rsid w:val="00727E1E"/>
    <w:rsid w:val="00732EDB"/>
    <w:rsid w:val="00750E6A"/>
    <w:rsid w:val="00751A7C"/>
    <w:rsid w:val="00756869"/>
    <w:rsid w:val="00792C59"/>
    <w:rsid w:val="00794E62"/>
    <w:rsid w:val="007B1A4D"/>
    <w:rsid w:val="007B6DE4"/>
    <w:rsid w:val="007C65DF"/>
    <w:rsid w:val="007C79FE"/>
    <w:rsid w:val="007D22D6"/>
    <w:rsid w:val="007F2394"/>
    <w:rsid w:val="00837647"/>
    <w:rsid w:val="008730BD"/>
    <w:rsid w:val="008D7707"/>
    <w:rsid w:val="009153D5"/>
    <w:rsid w:val="00935EBA"/>
    <w:rsid w:val="0094390B"/>
    <w:rsid w:val="0098313A"/>
    <w:rsid w:val="00A263CB"/>
    <w:rsid w:val="00AD2270"/>
    <w:rsid w:val="00BE0A77"/>
    <w:rsid w:val="00C613BD"/>
    <w:rsid w:val="00C67BDA"/>
    <w:rsid w:val="00CB596E"/>
    <w:rsid w:val="00D13B74"/>
    <w:rsid w:val="00D458DB"/>
    <w:rsid w:val="00D76A1C"/>
    <w:rsid w:val="00DC5BC9"/>
    <w:rsid w:val="00E31781"/>
    <w:rsid w:val="00E32B14"/>
    <w:rsid w:val="00E53DE2"/>
    <w:rsid w:val="00E75FA7"/>
    <w:rsid w:val="00E964B5"/>
    <w:rsid w:val="00EA1E09"/>
    <w:rsid w:val="00EA28A3"/>
    <w:rsid w:val="00F07AC4"/>
    <w:rsid w:val="00F10CAB"/>
    <w:rsid w:val="00F30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0C3C3F"/>
  <w15:chartTrackingRefBased/>
  <w15:docId w15:val="{2985DDB3-5356-458B-8E03-2A34ACBA0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1A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51A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51A7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751A7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51A7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51A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1A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1A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1A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1A7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51A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51A7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751A7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51A7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51A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1A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1A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1A7C"/>
    <w:rPr>
      <w:rFonts w:eastAsiaTheme="majorEastAsia" w:cstheme="majorBidi"/>
      <w:color w:val="272727" w:themeColor="text1" w:themeTint="D8"/>
    </w:rPr>
  </w:style>
  <w:style w:type="paragraph" w:styleId="Title">
    <w:name w:val="Title"/>
    <w:basedOn w:val="Normal"/>
    <w:next w:val="Normal"/>
    <w:link w:val="TitleChar"/>
    <w:uiPriority w:val="10"/>
    <w:qFormat/>
    <w:rsid w:val="00751A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1A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1A7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1A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1A7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51A7C"/>
    <w:rPr>
      <w:i/>
      <w:iCs/>
      <w:color w:val="404040" w:themeColor="text1" w:themeTint="BF"/>
    </w:rPr>
  </w:style>
  <w:style w:type="paragraph" w:styleId="ListParagraph">
    <w:name w:val="List Paragraph"/>
    <w:basedOn w:val="Normal"/>
    <w:uiPriority w:val="34"/>
    <w:qFormat/>
    <w:rsid w:val="00751A7C"/>
    <w:pPr>
      <w:ind w:left="720"/>
      <w:contextualSpacing/>
    </w:pPr>
  </w:style>
  <w:style w:type="character" w:styleId="IntenseEmphasis">
    <w:name w:val="Intense Emphasis"/>
    <w:basedOn w:val="DefaultParagraphFont"/>
    <w:uiPriority w:val="21"/>
    <w:qFormat/>
    <w:rsid w:val="00751A7C"/>
    <w:rPr>
      <w:i/>
      <w:iCs/>
      <w:color w:val="2F5496" w:themeColor="accent1" w:themeShade="BF"/>
    </w:rPr>
  </w:style>
  <w:style w:type="paragraph" w:styleId="IntenseQuote">
    <w:name w:val="Intense Quote"/>
    <w:basedOn w:val="Normal"/>
    <w:next w:val="Normal"/>
    <w:link w:val="IntenseQuoteChar"/>
    <w:uiPriority w:val="30"/>
    <w:qFormat/>
    <w:rsid w:val="00751A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51A7C"/>
    <w:rPr>
      <w:i/>
      <w:iCs/>
      <w:color w:val="2F5496" w:themeColor="accent1" w:themeShade="BF"/>
    </w:rPr>
  </w:style>
  <w:style w:type="character" w:styleId="IntenseReference">
    <w:name w:val="Intense Reference"/>
    <w:basedOn w:val="DefaultParagraphFont"/>
    <w:uiPriority w:val="32"/>
    <w:qFormat/>
    <w:rsid w:val="00751A7C"/>
    <w:rPr>
      <w:b/>
      <w:bCs/>
      <w:smallCaps/>
      <w:color w:val="2F5496" w:themeColor="accent1" w:themeShade="BF"/>
      <w:spacing w:val="5"/>
    </w:rPr>
  </w:style>
  <w:style w:type="character" w:styleId="Hyperlink">
    <w:name w:val="Hyperlink"/>
    <w:basedOn w:val="DefaultParagraphFont"/>
    <w:uiPriority w:val="99"/>
    <w:unhideWhenUsed/>
    <w:rsid w:val="007B1A4D"/>
    <w:rPr>
      <w:color w:val="0563C1" w:themeColor="hyperlink"/>
      <w:u w:val="single"/>
    </w:rPr>
  </w:style>
  <w:style w:type="character" w:styleId="UnresolvedMention">
    <w:name w:val="Unresolved Mention"/>
    <w:basedOn w:val="DefaultParagraphFont"/>
    <w:uiPriority w:val="99"/>
    <w:semiHidden/>
    <w:unhideWhenUsed/>
    <w:rsid w:val="007B1A4D"/>
    <w:rPr>
      <w:color w:val="605E5C"/>
      <w:shd w:val="clear" w:color="auto" w:fill="E1DFDD"/>
    </w:rPr>
  </w:style>
  <w:style w:type="paragraph" w:styleId="NormalWeb">
    <w:name w:val="Normal (Web)"/>
    <w:basedOn w:val="Normal"/>
    <w:uiPriority w:val="99"/>
    <w:semiHidden/>
    <w:unhideWhenUsed/>
    <w:rsid w:val="00DC5BC9"/>
    <w:pPr>
      <w:spacing w:before="100" w:beforeAutospacing="1" w:after="100" w:afterAutospacing="1" w:line="240" w:lineRule="auto"/>
      <w:jc w:val="left"/>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DC5BC9"/>
    <w:rPr>
      <w:i/>
      <w:iCs/>
    </w:rPr>
  </w:style>
  <w:style w:type="table" w:styleId="TableGrid">
    <w:name w:val="Table Grid"/>
    <w:basedOn w:val="TableNormal"/>
    <w:uiPriority w:val="39"/>
    <w:rsid w:val="00DC5B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66CB1"/>
    <w:rPr>
      <w:b/>
      <w:bCs/>
    </w:rPr>
  </w:style>
  <w:style w:type="paragraph" w:styleId="Header">
    <w:name w:val="header"/>
    <w:basedOn w:val="Normal"/>
    <w:link w:val="HeaderChar"/>
    <w:uiPriority w:val="99"/>
    <w:unhideWhenUsed/>
    <w:rsid w:val="007C65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65DF"/>
  </w:style>
  <w:style w:type="paragraph" w:styleId="Footer">
    <w:name w:val="footer"/>
    <w:basedOn w:val="Normal"/>
    <w:link w:val="FooterChar"/>
    <w:uiPriority w:val="99"/>
    <w:unhideWhenUsed/>
    <w:rsid w:val="007C65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65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96143">
      <w:bodyDiv w:val="1"/>
      <w:marLeft w:val="0"/>
      <w:marRight w:val="0"/>
      <w:marTop w:val="0"/>
      <w:marBottom w:val="0"/>
      <w:divBdr>
        <w:top w:val="none" w:sz="0" w:space="0" w:color="auto"/>
        <w:left w:val="none" w:sz="0" w:space="0" w:color="auto"/>
        <w:bottom w:val="none" w:sz="0" w:space="0" w:color="auto"/>
        <w:right w:val="none" w:sz="0" w:space="0" w:color="auto"/>
      </w:divBdr>
    </w:div>
    <w:div w:id="72894693">
      <w:bodyDiv w:val="1"/>
      <w:marLeft w:val="0"/>
      <w:marRight w:val="0"/>
      <w:marTop w:val="0"/>
      <w:marBottom w:val="0"/>
      <w:divBdr>
        <w:top w:val="none" w:sz="0" w:space="0" w:color="auto"/>
        <w:left w:val="none" w:sz="0" w:space="0" w:color="auto"/>
        <w:bottom w:val="none" w:sz="0" w:space="0" w:color="auto"/>
        <w:right w:val="none" w:sz="0" w:space="0" w:color="auto"/>
      </w:divBdr>
    </w:div>
    <w:div w:id="84350945">
      <w:bodyDiv w:val="1"/>
      <w:marLeft w:val="0"/>
      <w:marRight w:val="0"/>
      <w:marTop w:val="0"/>
      <w:marBottom w:val="0"/>
      <w:divBdr>
        <w:top w:val="none" w:sz="0" w:space="0" w:color="auto"/>
        <w:left w:val="none" w:sz="0" w:space="0" w:color="auto"/>
        <w:bottom w:val="none" w:sz="0" w:space="0" w:color="auto"/>
        <w:right w:val="none" w:sz="0" w:space="0" w:color="auto"/>
      </w:divBdr>
    </w:div>
    <w:div w:id="124279328">
      <w:bodyDiv w:val="1"/>
      <w:marLeft w:val="0"/>
      <w:marRight w:val="0"/>
      <w:marTop w:val="0"/>
      <w:marBottom w:val="0"/>
      <w:divBdr>
        <w:top w:val="none" w:sz="0" w:space="0" w:color="auto"/>
        <w:left w:val="none" w:sz="0" w:space="0" w:color="auto"/>
        <w:bottom w:val="none" w:sz="0" w:space="0" w:color="auto"/>
        <w:right w:val="none" w:sz="0" w:space="0" w:color="auto"/>
      </w:divBdr>
      <w:divsChild>
        <w:div w:id="1647391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872737">
      <w:bodyDiv w:val="1"/>
      <w:marLeft w:val="0"/>
      <w:marRight w:val="0"/>
      <w:marTop w:val="0"/>
      <w:marBottom w:val="0"/>
      <w:divBdr>
        <w:top w:val="none" w:sz="0" w:space="0" w:color="auto"/>
        <w:left w:val="none" w:sz="0" w:space="0" w:color="auto"/>
        <w:bottom w:val="none" w:sz="0" w:space="0" w:color="auto"/>
        <w:right w:val="none" w:sz="0" w:space="0" w:color="auto"/>
      </w:divBdr>
    </w:div>
    <w:div w:id="180634627">
      <w:bodyDiv w:val="1"/>
      <w:marLeft w:val="0"/>
      <w:marRight w:val="0"/>
      <w:marTop w:val="0"/>
      <w:marBottom w:val="0"/>
      <w:divBdr>
        <w:top w:val="none" w:sz="0" w:space="0" w:color="auto"/>
        <w:left w:val="none" w:sz="0" w:space="0" w:color="auto"/>
        <w:bottom w:val="none" w:sz="0" w:space="0" w:color="auto"/>
        <w:right w:val="none" w:sz="0" w:space="0" w:color="auto"/>
      </w:divBdr>
    </w:div>
    <w:div w:id="187498617">
      <w:bodyDiv w:val="1"/>
      <w:marLeft w:val="0"/>
      <w:marRight w:val="0"/>
      <w:marTop w:val="0"/>
      <w:marBottom w:val="0"/>
      <w:divBdr>
        <w:top w:val="none" w:sz="0" w:space="0" w:color="auto"/>
        <w:left w:val="none" w:sz="0" w:space="0" w:color="auto"/>
        <w:bottom w:val="none" w:sz="0" w:space="0" w:color="auto"/>
        <w:right w:val="none" w:sz="0" w:space="0" w:color="auto"/>
      </w:divBdr>
    </w:div>
    <w:div w:id="190535210">
      <w:bodyDiv w:val="1"/>
      <w:marLeft w:val="0"/>
      <w:marRight w:val="0"/>
      <w:marTop w:val="0"/>
      <w:marBottom w:val="0"/>
      <w:divBdr>
        <w:top w:val="none" w:sz="0" w:space="0" w:color="auto"/>
        <w:left w:val="none" w:sz="0" w:space="0" w:color="auto"/>
        <w:bottom w:val="none" w:sz="0" w:space="0" w:color="auto"/>
        <w:right w:val="none" w:sz="0" w:space="0" w:color="auto"/>
      </w:divBdr>
    </w:div>
    <w:div w:id="251086141">
      <w:bodyDiv w:val="1"/>
      <w:marLeft w:val="0"/>
      <w:marRight w:val="0"/>
      <w:marTop w:val="0"/>
      <w:marBottom w:val="0"/>
      <w:divBdr>
        <w:top w:val="none" w:sz="0" w:space="0" w:color="auto"/>
        <w:left w:val="none" w:sz="0" w:space="0" w:color="auto"/>
        <w:bottom w:val="none" w:sz="0" w:space="0" w:color="auto"/>
        <w:right w:val="none" w:sz="0" w:space="0" w:color="auto"/>
      </w:divBdr>
    </w:div>
    <w:div w:id="253980049">
      <w:bodyDiv w:val="1"/>
      <w:marLeft w:val="0"/>
      <w:marRight w:val="0"/>
      <w:marTop w:val="0"/>
      <w:marBottom w:val="0"/>
      <w:divBdr>
        <w:top w:val="none" w:sz="0" w:space="0" w:color="auto"/>
        <w:left w:val="none" w:sz="0" w:space="0" w:color="auto"/>
        <w:bottom w:val="none" w:sz="0" w:space="0" w:color="auto"/>
        <w:right w:val="none" w:sz="0" w:space="0" w:color="auto"/>
      </w:divBdr>
      <w:divsChild>
        <w:div w:id="8772818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2155133">
      <w:bodyDiv w:val="1"/>
      <w:marLeft w:val="0"/>
      <w:marRight w:val="0"/>
      <w:marTop w:val="0"/>
      <w:marBottom w:val="0"/>
      <w:divBdr>
        <w:top w:val="none" w:sz="0" w:space="0" w:color="auto"/>
        <w:left w:val="none" w:sz="0" w:space="0" w:color="auto"/>
        <w:bottom w:val="none" w:sz="0" w:space="0" w:color="auto"/>
        <w:right w:val="none" w:sz="0" w:space="0" w:color="auto"/>
      </w:divBdr>
    </w:div>
    <w:div w:id="342392365">
      <w:bodyDiv w:val="1"/>
      <w:marLeft w:val="0"/>
      <w:marRight w:val="0"/>
      <w:marTop w:val="0"/>
      <w:marBottom w:val="0"/>
      <w:divBdr>
        <w:top w:val="none" w:sz="0" w:space="0" w:color="auto"/>
        <w:left w:val="none" w:sz="0" w:space="0" w:color="auto"/>
        <w:bottom w:val="none" w:sz="0" w:space="0" w:color="auto"/>
        <w:right w:val="none" w:sz="0" w:space="0" w:color="auto"/>
      </w:divBdr>
    </w:div>
    <w:div w:id="374081233">
      <w:bodyDiv w:val="1"/>
      <w:marLeft w:val="0"/>
      <w:marRight w:val="0"/>
      <w:marTop w:val="0"/>
      <w:marBottom w:val="0"/>
      <w:divBdr>
        <w:top w:val="none" w:sz="0" w:space="0" w:color="auto"/>
        <w:left w:val="none" w:sz="0" w:space="0" w:color="auto"/>
        <w:bottom w:val="none" w:sz="0" w:space="0" w:color="auto"/>
        <w:right w:val="none" w:sz="0" w:space="0" w:color="auto"/>
      </w:divBdr>
    </w:div>
    <w:div w:id="402877696">
      <w:bodyDiv w:val="1"/>
      <w:marLeft w:val="0"/>
      <w:marRight w:val="0"/>
      <w:marTop w:val="0"/>
      <w:marBottom w:val="0"/>
      <w:divBdr>
        <w:top w:val="none" w:sz="0" w:space="0" w:color="auto"/>
        <w:left w:val="none" w:sz="0" w:space="0" w:color="auto"/>
        <w:bottom w:val="none" w:sz="0" w:space="0" w:color="auto"/>
        <w:right w:val="none" w:sz="0" w:space="0" w:color="auto"/>
      </w:divBdr>
    </w:div>
    <w:div w:id="417866659">
      <w:bodyDiv w:val="1"/>
      <w:marLeft w:val="0"/>
      <w:marRight w:val="0"/>
      <w:marTop w:val="0"/>
      <w:marBottom w:val="0"/>
      <w:divBdr>
        <w:top w:val="none" w:sz="0" w:space="0" w:color="auto"/>
        <w:left w:val="none" w:sz="0" w:space="0" w:color="auto"/>
        <w:bottom w:val="none" w:sz="0" w:space="0" w:color="auto"/>
        <w:right w:val="none" w:sz="0" w:space="0" w:color="auto"/>
      </w:divBdr>
    </w:div>
    <w:div w:id="422380124">
      <w:bodyDiv w:val="1"/>
      <w:marLeft w:val="0"/>
      <w:marRight w:val="0"/>
      <w:marTop w:val="0"/>
      <w:marBottom w:val="0"/>
      <w:divBdr>
        <w:top w:val="none" w:sz="0" w:space="0" w:color="auto"/>
        <w:left w:val="none" w:sz="0" w:space="0" w:color="auto"/>
        <w:bottom w:val="none" w:sz="0" w:space="0" w:color="auto"/>
        <w:right w:val="none" w:sz="0" w:space="0" w:color="auto"/>
      </w:divBdr>
    </w:div>
    <w:div w:id="424424205">
      <w:bodyDiv w:val="1"/>
      <w:marLeft w:val="0"/>
      <w:marRight w:val="0"/>
      <w:marTop w:val="0"/>
      <w:marBottom w:val="0"/>
      <w:divBdr>
        <w:top w:val="none" w:sz="0" w:space="0" w:color="auto"/>
        <w:left w:val="none" w:sz="0" w:space="0" w:color="auto"/>
        <w:bottom w:val="none" w:sz="0" w:space="0" w:color="auto"/>
        <w:right w:val="none" w:sz="0" w:space="0" w:color="auto"/>
      </w:divBdr>
    </w:div>
    <w:div w:id="443812888">
      <w:bodyDiv w:val="1"/>
      <w:marLeft w:val="0"/>
      <w:marRight w:val="0"/>
      <w:marTop w:val="0"/>
      <w:marBottom w:val="0"/>
      <w:divBdr>
        <w:top w:val="none" w:sz="0" w:space="0" w:color="auto"/>
        <w:left w:val="none" w:sz="0" w:space="0" w:color="auto"/>
        <w:bottom w:val="none" w:sz="0" w:space="0" w:color="auto"/>
        <w:right w:val="none" w:sz="0" w:space="0" w:color="auto"/>
      </w:divBdr>
    </w:div>
    <w:div w:id="507017550">
      <w:bodyDiv w:val="1"/>
      <w:marLeft w:val="0"/>
      <w:marRight w:val="0"/>
      <w:marTop w:val="0"/>
      <w:marBottom w:val="0"/>
      <w:divBdr>
        <w:top w:val="none" w:sz="0" w:space="0" w:color="auto"/>
        <w:left w:val="none" w:sz="0" w:space="0" w:color="auto"/>
        <w:bottom w:val="none" w:sz="0" w:space="0" w:color="auto"/>
        <w:right w:val="none" w:sz="0" w:space="0" w:color="auto"/>
      </w:divBdr>
    </w:div>
    <w:div w:id="529881773">
      <w:bodyDiv w:val="1"/>
      <w:marLeft w:val="0"/>
      <w:marRight w:val="0"/>
      <w:marTop w:val="0"/>
      <w:marBottom w:val="0"/>
      <w:divBdr>
        <w:top w:val="none" w:sz="0" w:space="0" w:color="auto"/>
        <w:left w:val="none" w:sz="0" w:space="0" w:color="auto"/>
        <w:bottom w:val="none" w:sz="0" w:space="0" w:color="auto"/>
        <w:right w:val="none" w:sz="0" w:space="0" w:color="auto"/>
      </w:divBdr>
    </w:div>
    <w:div w:id="546185861">
      <w:bodyDiv w:val="1"/>
      <w:marLeft w:val="0"/>
      <w:marRight w:val="0"/>
      <w:marTop w:val="0"/>
      <w:marBottom w:val="0"/>
      <w:divBdr>
        <w:top w:val="none" w:sz="0" w:space="0" w:color="auto"/>
        <w:left w:val="none" w:sz="0" w:space="0" w:color="auto"/>
        <w:bottom w:val="none" w:sz="0" w:space="0" w:color="auto"/>
        <w:right w:val="none" w:sz="0" w:space="0" w:color="auto"/>
      </w:divBdr>
    </w:div>
    <w:div w:id="550727399">
      <w:bodyDiv w:val="1"/>
      <w:marLeft w:val="0"/>
      <w:marRight w:val="0"/>
      <w:marTop w:val="0"/>
      <w:marBottom w:val="0"/>
      <w:divBdr>
        <w:top w:val="none" w:sz="0" w:space="0" w:color="auto"/>
        <w:left w:val="none" w:sz="0" w:space="0" w:color="auto"/>
        <w:bottom w:val="none" w:sz="0" w:space="0" w:color="auto"/>
        <w:right w:val="none" w:sz="0" w:space="0" w:color="auto"/>
      </w:divBdr>
    </w:div>
    <w:div w:id="627590311">
      <w:bodyDiv w:val="1"/>
      <w:marLeft w:val="0"/>
      <w:marRight w:val="0"/>
      <w:marTop w:val="0"/>
      <w:marBottom w:val="0"/>
      <w:divBdr>
        <w:top w:val="none" w:sz="0" w:space="0" w:color="auto"/>
        <w:left w:val="none" w:sz="0" w:space="0" w:color="auto"/>
        <w:bottom w:val="none" w:sz="0" w:space="0" w:color="auto"/>
        <w:right w:val="none" w:sz="0" w:space="0" w:color="auto"/>
      </w:divBdr>
    </w:div>
    <w:div w:id="674960245">
      <w:bodyDiv w:val="1"/>
      <w:marLeft w:val="0"/>
      <w:marRight w:val="0"/>
      <w:marTop w:val="0"/>
      <w:marBottom w:val="0"/>
      <w:divBdr>
        <w:top w:val="none" w:sz="0" w:space="0" w:color="auto"/>
        <w:left w:val="none" w:sz="0" w:space="0" w:color="auto"/>
        <w:bottom w:val="none" w:sz="0" w:space="0" w:color="auto"/>
        <w:right w:val="none" w:sz="0" w:space="0" w:color="auto"/>
      </w:divBdr>
    </w:div>
    <w:div w:id="676465680">
      <w:bodyDiv w:val="1"/>
      <w:marLeft w:val="0"/>
      <w:marRight w:val="0"/>
      <w:marTop w:val="0"/>
      <w:marBottom w:val="0"/>
      <w:divBdr>
        <w:top w:val="none" w:sz="0" w:space="0" w:color="auto"/>
        <w:left w:val="none" w:sz="0" w:space="0" w:color="auto"/>
        <w:bottom w:val="none" w:sz="0" w:space="0" w:color="auto"/>
        <w:right w:val="none" w:sz="0" w:space="0" w:color="auto"/>
      </w:divBdr>
    </w:div>
    <w:div w:id="710035672">
      <w:bodyDiv w:val="1"/>
      <w:marLeft w:val="0"/>
      <w:marRight w:val="0"/>
      <w:marTop w:val="0"/>
      <w:marBottom w:val="0"/>
      <w:divBdr>
        <w:top w:val="none" w:sz="0" w:space="0" w:color="auto"/>
        <w:left w:val="none" w:sz="0" w:space="0" w:color="auto"/>
        <w:bottom w:val="none" w:sz="0" w:space="0" w:color="auto"/>
        <w:right w:val="none" w:sz="0" w:space="0" w:color="auto"/>
      </w:divBdr>
    </w:div>
    <w:div w:id="780955930">
      <w:bodyDiv w:val="1"/>
      <w:marLeft w:val="0"/>
      <w:marRight w:val="0"/>
      <w:marTop w:val="0"/>
      <w:marBottom w:val="0"/>
      <w:divBdr>
        <w:top w:val="none" w:sz="0" w:space="0" w:color="auto"/>
        <w:left w:val="none" w:sz="0" w:space="0" w:color="auto"/>
        <w:bottom w:val="none" w:sz="0" w:space="0" w:color="auto"/>
        <w:right w:val="none" w:sz="0" w:space="0" w:color="auto"/>
      </w:divBdr>
    </w:div>
    <w:div w:id="782723522">
      <w:bodyDiv w:val="1"/>
      <w:marLeft w:val="0"/>
      <w:marRight w:val="0"/>
      <w:marTop w:val="0"/>
      <w:marBottom w:val="0"/>
      <w:divBdr>
        <w:top w:val="none" w:sz="0" w:space="0" w:color="auto"/>
        <w:left w:val="none" w:sz="0" w:space="0" w:color="auto"/>
        <w:bottom w:val="none" w:sz="0" w:space="0" w:color="auto"/>
        <w:right w:val="none" w:sz="0" w:space="0" w:color="auto"/>
      </w:divBdr>
    </w:div>
    <w:div w:id="804352986">
      <w:bodyDiv w:val="1"/>
      <w:marLeft w:val="0"/>
      <w:marRight w:val="0"/>
      <w:marTop w:val="0"/>
      <w:marBottom w:val="0"/>
      <w:divBdr>
        <w:top w:val="none" w:sz="0" w:space="0" w:color="auto"/>
        <w:left w:val="none" w:sz="0" w:space="0" w:color="auto"/>
        <w:bottom w:val="none" w:sz="0" w:space="0" w:color="auto"/>
        <w:right w:val="none" w:sz="0" w:space="0" w:color="auto"/>
      </w:divBdr>
    </w:div>
    <w:div w:id="818040116">
      <w:bodyDiv w:val="1"/>
      <w:marLeft w:val="0"/>
      <w:marRight w:val="0"/>
      <w:marTop w:val="0"/>
      <w:marBottom w:val="0"/>
      <w:divBdr>
        <w:top w:val="none" w:sz="0" w:space="0" w:color="auto"/>
        <w:left w:val="none" w:sz="0" w:space="0" w:color="auto"/>
        <w:bottom w:val="none" w:sz="0" w:space="0" w:color="auto"/>
        <w:right w:val="none" w:sz="0" w:space="0" w:color="auto"/>
      </w:divBdr>
    </w:div>
    <w:div w:id="845435877">
      <w:bodyDiv w:val="1"/>
      <w:marLeft w:val="0"/>
      <w:marRight w:val="0"/>
      <w:marTop w:val="0"/>
      <w:marBottom w:val="0"/>
      <w:divBdr>
        <w:top w:val="none" w:sz="0" w:space="0" w:color="auto"/>
        <w:left w:val="none" w:sz="0" w:space="0" w:color="auto"/>
        <w:bottom w:val="none" w:sz="0" w:space="0" w:color="auto"/>
        <w:right w:val="none" w:sz="0" w:space="0" w:color="auto"/>
      </w:divBdr>
    </w:div>
    <w:div w:id="845553218">
      <w:bodyDiv w:val="1"/>
      <w:marLeft w:val="0"/>
      <w:marRight w:val="0"/>
      <w:marTop w:val="0"/>
      <w:marBottom w:val="0"/>
      <w:divBdr>
        <w:top w:val="none" w:sz="0" w:space="0" w:color="auto"/>
        <w:left w:val="none" w:sz="0" w:space="0" w:color="auto"/>
        <w:bottom w:val="none" w:sz="0" w:space="0" w:color="auto"/>
        <w:right w:val="none" w:sz="0" w:space="0" w:color="auto"/>
      </w:divBdr>
    </w:div>
    <w:div w:id="909778029">
      <w:bodyDiv w:val="1"/>
      <w:marLeft w:val="0"/>
      <w:marRight w:val="0"/>
      <w:marTop w:val="0"/>
      <w:marBottom w:val="0"/>
      <w:divBdr>
        <w:top w:val="none" w:sz="0" w:space="0" w:color="auto"/>
        <w:left w:val="none" w:sz="0" w:space="0" w:color="auto"/>
        <w:bottom w:val="none" w:sz="0" w:space="0" w:color="auto"/>
        <w:right w:val="none" w:sz="0" w:space="0" w:color="auto"/>
      </w:divBdr>
    </w:div>
    <w:div w:id="911280832">
      <w:bodyDiv w:val="1"/>
      <w:marLeft w:val="0"/>
      <w:marRight w:val="0"/>
      <w:marTop w:val="0"/>
      <w:marBottom w:val="0"/>
      <w:divBdr>
        <w:top w:val="none" w:sz="0" w:space="0" w:color="auto"/>
        <w:left w:val="none" w:sz="0" w:space="0" w:color="auto"/>
        <w:bottom w:val="none" w:sz="0" w:space="0" w:color="auto"/>
        <w:right w:val="none" w:sz="0" w:space="0" w:color="auto"/>
      </w:divBdr>
    </w:div>
    <w:div w:id="920867554">
      <w:bodyDiv w:val="1"/>
      <w:marLeft w:val="0"/>
      <w:marRight w:val="0"/>
      <w:marTop w:val="0"/>
      <w:marBottom w:val="0"/>
      <w:divBdr>
        <w:top w:val="none" w:sz="0" w:space="0" w:color="auto"/>
        <w:left w:val="none" w:sz="0" w:space="0" w:color="auto"/>
        <w:bottom w:val="none" w:sz="0" w:space="0" w:color="auto"/>
        <w:right w:val="none" w:sz="0" w:space="0" w:color="auto"/>
      </w:divBdr>
    </w:div>
    <w:div w:id="942420368">
      <w:bodyDiv w:val="1"/>
      <w:marLeft w:val="0"/>
      <w:marRight w:val="0"/>
      <w:marTop w:val="0"/>
      <w:marBottom w:val="0"/>
      <w:divBdr>
        <w:top w:val="none" w:sz="0" w:space="0" w:color="auto"/>
        <w:left w:val="none" w:sz="0" w:space="0" w:color="auto"/>
        <w:bottom w:val="none" w:sz="0" w:space="0" w:color="auto"/>
        <w:right w:val="none" w:sz="0" w:space="0" w:color="auto"/>
      </w:divBdr>
    </w:div>
    <w:div w:id="962807352">
      <w:bodyDiv w:val="1"/>
      <w:marLeft w:val="0"/>
      <w:marRight w:val="0"/>
      <w:marTop w:val="0"/>
      <w:marBottom w:val="0"/>
      <w:divBdr>
        <w:top w:val="none" w:sz="0" w:space="0" w:color="auto"/>
        <w:left w:val="none" w:sz="0" w:space="0" w:color="auto"/>
        <w:bottom w:val="none" w:sz="0" w:space="0" w:color="auto"/>
        <w:right w:val="none" w:sz="0" w:space="0" w:color="auto"/>
      </w:divBdr>
    </w:div>
    <w:div w:id="992022607">
      <w:bodyDiv w:val="1"/>
      <w:marLeft w:val="0"/>
      <w:marRight w:val="0"/>
      <w:marTop w:val="0"/>
      <w:marBottom w:val="0"/>
      <w:divBdr>
        <w:top w:val="none" w:sz="0" w:space="0" w:color="auto"/>
        <w:left w:val="none" w:sz="0" w:space="0" w:color="auto"/>
        <w:bottom w:val="none" w:sz="0" w:space="0" w:color="auto"/>
        <w:right w:val="none" w:sz="0" w:space="0" w:color="auto"/>
      </w:divBdr>
    </w:div>
    <w:div w:id="1034384547">
      <w:bodyDiv w:val="1"/>
      <w:marLeft w:val="0"/>
      <w:marRight w:val="0"/>
      <w:marTop w:val="0"/>
      <w:marBottom w:val="0"/>
      <w:divBdr>
        <w:top w:val="none" w:sz="0" w:space="0" w:color="auto"/>
        <w:left w:val="none" w:sz="0" w:space="0" w:color="auto"/>
        <w:bottom w:val="none" w:sz="0" w:space="0" w:color="auto"/>
        <w:right w:val="none" w:sz="0" w:space="0" w:color="auto"/>
      </w:divBdr>
    </w:div>
    <w:div w:id="1052583407">
      <w:bodyDiv w:val="1"/>
      <w:marLeft w:val="0"/>
      <w:marRight w:val="0"/>
      <w:marTop w:val="0"/>
      <w:marBottom w:val="0"/>
      <w:divBdr>
        <w:top w:val="none" w:sz="0" w:space="0" w:color="auto"/>
        <w:left w:val="none" w:sz="0" w:space="0" w:color="auto"/>
        <w:bottom w:val="none" w:sz="0" w:space="0" w:color="auto"/>
        <w:right w:val="none" w:sz="0" w:space="0" w:color="auto"/>
      </w:divBdr>
    </w:div>
    <w:div w:id="1114135970">
      <w:bodyDiv w:val="1"/>
      <w:marLeft w:val="0"/>
      <w:marRight w:val="0"/>
      <w:marTop w:val="0"/>
      <w:marBottom w:val="0"/>
      <w:divBdr>
        <w:top w:val="none" w:sz="0" w:space="0" w:color="auto"/>
        <w:left w:val="none" w:sz="0" w:space="0" w:color="auto"/>
        <w:bottom w:val="none" w:sz="0" w:space="0" w:color="auto"/>
        <w:right w:val="none" w:sz="0" w:space="0" w:color="auto"/>
      </w:divBdr>
    </w:div>
    <w:div w:id="1122991906">
      <w:bodyDiv w:val="1"/>
      <w:marLeft w:val="0"/>
      <w:marRight w:val="0"/>
      <w:marTop w:val="0"/>
      <w:marBottom w:val="0"/>
      <w:divBdr>
        <w:top w:val="none" w:sz="0" w:space="0" w:color="auto"/>
        <w:left w:val="none" w:sz="0" w:space="0" w:color="auto"/>
        <w:bottom w:val="none" w:sz="0" w:space="0" w:color="auto"/>
        <w:right w:val="none" w:sz="0" w:space="0" w:color="auto"/>
      </w:divBdr>
    </w:div>
    <w:div w:id="1163275736">
      <w:bodyDiv w:val="1"/>
      <w:marLeft w:val="0"/>
      <w:marRight w:val="0"/>
      <w:marTop w:val="0"/>
      <w:marBottom w:val="0"/>
      <w:divBdr>
        <w:top w:val="none" w:sz="0" w:space="0" w:color="auto"/>
        <w:left w:val="none" w:sz="0" w:space="0" w:color="auto"/>
        <w:bottom w:val="none" w:sz="0" w:space="0" w:color="auto"/>
        <w:right w:val="none" w:sz="0" w:space="0" w:color="auto"/>
      </w:divBdr>
    </w:div>
    <w:div w:id="1167592805">
      <w:bodyDiv w:val="1"/>
      <w:marLeft w:val="0"/>
      <w:marRight w:val="0"/>
      <w:marTop w:val="0"/>
      <w:marBottom w:val="0"/>
      <w:divBdr>
        <w:top w:val="none" w:sz="0" w:space="0" w:color="auto"/>
        <w:left w:val="none" w:sz="0" w:space="0" w:color="auto"/>
        <w:bottom w:val="none" w:sz="0" w:space="0" w:color="auto"/>
        <w:right w:val="none" w:sz="0" w:space="0" w:color="auto"/>
      </w:divBdr>
    </w:div>
    <w:div w:id="1174884532">
      <w:bodyDiv w:val="1"/>
      <w:marLeft w:val="0"/>
      <w:marRight w:val="0"/>
      <w:marTop w:val="0"/>
      <w:marBottom w:val="0"/>
      <w:divBdr>
        <w:top w:val="none" w:sz="0" w:space="0" w:color="auto"/>
        <w:left w:val="none" w:sz="0" w:space="0" w:color="auto"/>
        <w:bottom w:val="none" w:sz="0" w:space="0" w:color="auto"/>
        <w:right w:val="none" w:sz="0" w:space="0" w:color="auto"/>
      </w:divBdr>
    </w:div>
    <w:div w:id="1206796897">
      <w:bodyDiv w:val="1"/>
      <w:marLeft w:val="0"/>
      <w:marRight w:val="0"/>
      <w:marTop w:val="0"/>
      <w:marBottom w:val="0"/>
      <w:divBdr>
        <w:top w:val="none" w:sz="0" w:space="0" w:color="auto"/>
        <w:left w:val="none" w:sz="0" w:space="0" w:color="auto"/>
        <w:bottom w:val="none" w:sz="0" w:space="0" w:color="auto"/>
        <w:right w:val="none" w:sz="0" w:space="0" w:color="auto"/>
      </w:divBdr>
    </w:div>
    <w:div w:id="1231237115">
      <w:bodyDiv w:val="1"/>
      <w:marLeft w:val="0"/>
      <w:marRight w:val="0"/>
      <w:marTop w:val="0"/>
      <w:marBottom w:val="0"/>
      <w:divBdr>
        <w:top w:val="none" w:sz="0" w:space="0" w:color="auto"/>
        <w:left w:val="none" w:sz="0" w:space="0" w:color="auto"/>
        <w:bottom w:val="none" w:sz="0" w:space="0" w:color="auto"/>
        <w:right w:val="none" w:sz="0" w:space="0" w:color="auto"/>
      </w:divBdr>
    </w:div>
    <w:div w:id="1302422803">
      <w:bodyDiv w:val="1"/>
      <w:marLeft w:val="0"/>
      <w:marRight w:val="0"/>
      <w:marTop w:val="0"/>
      <w:marBottom w:val="0"/>
      <w:divBdr>
        <w:top w:val="none" w:sz="0" w:space="0" w:color="auto"/>
        <w:left w:val="none" w:sz="0" w:space="0" w:color="auto"/>
        <w:bottom w:val="none" w:sz="0" w:space="0" w:color="auto"/>
        <w:right w:val="none" w:sz="0" w:space="0" w:color="auto"/>
      </w:divBdr>
    </w:div>
    <w:div w:id="1315181033">
      <w:bodyDiv w:val="1"/>
      <w:marLeft w:val="0"/>
      <w:marRight w:val="0"/>
      <w:marTop w:val="0"/>
      <w:marBottom w:val="0"/>
      <w:divBdr>
        <w:top w:val="none" w:sz="0" w:space="0" w:color="auto"/>
        <w:left w:val="none" w:sz="0" w:space="0" w:color="auto"/>
        <w:bottom w:val="none" w:sz="0" w:space="0" w:color="auto"/>
        <w:right w:val="none" w:sz="0" w:space="0" w:color="auto"/>
      </w:divBdr>
    </w:div>
    <w:div w:id="1342971212">
      <w:bodyDiv w:val="1"/>
      <w:marLeft w:val="0"/>
      <w:marRight w:val="0"/>
      <w:marTop w:val="0"/>
      <w:marBottom w:val="0"/>
      <w:divBdr>
        <w:top w:val="none" w:sz="0" w:space="0" w:color="auto"/>
        <w:left w:val="none" w:sz="0" w:space="0" w:color="auto"/>
        <w:bottom w:val="none" w:sz="0" w:space="0" w:color="auto"/>
        <w:right w:val="none" w:sz="0" w:space="0" w:color="auto"/>
      </w:divBdr>
    </w:div>
    <w:div w:id="1358116979">
      <w:bodyDiv w:val="1"/>
      <w:marLeft w:val="0"/>
      <w:marRight w:val="0"/>
      <w:marTop w:val="0"/>
      <w:marBottom w:val="0"/>
      <w:divBdr>
        <w:top w:val="none" w:sz="0" w:space="0" w:color="auto"/>
        <w:left w:val="none" w:sz="0" w:space="0" w:color="auto"/>
        <w:bottom w:val="none" w:sz="0" w:space="0" w:color="auto"/>
        <w:right w:val="none" w:sz="0" w:space="0" w:color="auto"/>
      </w:divBdr>
    </w:div>
    <w:div w:id="1380130980">
      <w:bodyDiv w:val="1"/>
      <w:marLeft w:val="0"/>
      <w:marRight w:val="0"/>
      <w:marTop w:val="0"/>
      <w:marBottom w:val="0"/>
      <w:divBdr>
        <w:top w:val="none" w:sz="0" w:space="0" w:color="auto"/>
        <w:left w:val="none" w:sz="0" w:space="0" w:color="auto"/>
        <w:bottom w:val="none" w:sz="0" w:space="0" w:color="auto"/>
        <w:right w:val="none" w:sz="0" w:space="0" w:color="auto"/>
      </w:divBdr>
    </w:div>
    <w:div w:id="1426222356">
      <w:bodyDiv w:val="1"/>
      <w:marLeft w:val="0"/>
      <w:marRight w:val="0"/>
      <w:marTop w:val="0"/>
      <w:marBottom w:val="0"/>
      <w:divBdr>
        <w:top w:val="none" w:sz="0" w:space="0" w:color="auto"/>
        <w:left w:val="none" w:sz="0" w:space="0" w:color="auto"/>
        <w:bottom w:val="none" w:sz="0" w:space="0" w:color="auto"/>
        <w:right w:val="none" w:sz="0" w:space="0" w:color="auto"/>
      </w:divBdr>
    </w:div>
    <w:div w:id="1439831059">
      <w:bodyDiv w:val="1"/>
      <w:marLeft w:val="0"/>
      <w:marRight w:val="0"/>
      <w:marTop w:val="0"/>
      <w:marBottom w:val="0"/>
      <w:divBdr>
        <w:top w:val="none" w:sz="0" w:space="0" w:color="auto"/>
        <w:left w:val="none" w:sz="0" w:space="0" w:color="auto"/>
        <w:bottom w:val="none" w:sz="0" w:space="0" w:color="auto"/>
        <w:right w:val="none" w:sz="0" w:space="0" w:color="auto"/>
      </w:divBdr>
    </w:div>
    <w:div w:id="1457067318">
      <w:bodyDiv w:val="1"/>
      <w:marLeft w:val="0"/>
      <w:marRight w:val="0"/>
      <w:marTop w:val="0"/>
      <w:marBottom w:val="0"/>
      <w:divBdr>
        <w:top w:val="none" w:sz="0" w:space="0" w:color="auto"/>
        <w:left w:val="none" w:sz="0" w:space="0" w:color="auto"/>
        <w:bottom w:val="none" w:sz="0" w:space="0" w:color="auto"/>
        <w:right w:val="none" w:sz="0" w:space="0" w:color="auto"/>
      </w:divBdr>
    </w:div>
    <w:div w:id="1468157331">
      <w:bodyDiv w:val="1"/>
      <w:marLeft w:val="0"/>
      <w:marRight w:val="0"/>
      <w:marTop w:val="0"/>
      <w:marBottom w:val="0"/>
      <w:divBdr>
        <w:top w:val="none" w:sz="0" w:space="0" w:color="auto"/>
        <w:left w:val="none" w:sz="0" w:space="0" w:color="auto"/>
        <w:bottom w:val="none" w:sz="0" w:space="0" w:color="auto"/>
        <w:right w:val="none" w:sz="0" w:space="0" w:color="auto"/>
      </w:divBdr>
    </w:div>
    <w:div w:id="1491486724">
      <w:bodyDiv w:val="1"/>
      <w:marLeft w:val="0"/>
      <w:marRight w:val="0"/>
      <w:marTop w:val="0"/>
      <w:marBottom w:val="0"/>
      <w:divBdr>
        <w:top w:val="none" w:sz="0" w:space="0" w:color="auto"/>
        <w:left w:val="none" w:sz="0" w:space="0" w:color="auto"/>
        <w:bottom w:val="none" w:sz="0" w:space="0" w:color="auto"/>
        <w:right w:val="none" w:sz="0" w:space="0" w:color="auto"/>
      </w:divBdr>
    </w:div>
    <w:div w:id="1511142144">
      <w:bodyDiv w:val="1"/>
      <w:marLeft w:val="0"/>
      <w:marRight w:val="0"/>
      <w:marTop w:val="0"/>
      <w:marBottom w:val="0"/>
      <w:divBdr>
        <w:top w:val="none" w:sz="0" w:space="0" w:color="auto"/>
        <w:left w:val="none" w:sz="0" w:space="0" w:color="auto"/>
        <w:bottom w:val="none" w:sz="0" w:space="0" w:color="auto"/>
        <w:right w:val="none" w:sz="0" w:space="0" w:color="auto"/>
      </w:divBdr>
    </w:div>
    <w:div w:id="1626498546">
      <w:bodyDiv w:val="1"/>
      <w:marLeft w:val="0"/>
      <w:marRight w:val="0"/>
      <w:marTop w:val="0"/>
      <w:marBottom w:val="0"/>
      <w:divBdr>
        <w:top w:val="none" w:sz="0" w:space="0" w:color="auto"/>
        <w:left w:val="none" w:sz="0" w:space="0" w:color="auto"/>
        <w:bottom w:val="none" w:sz="0" w:space="0" w:color="auto"/>
        <w:right w:val="none" w:sz="0" w:space="0" w:color="auto"/>
      </w:divBdr>
    </w:div>
    <w:div w:id="1649822300">
      <w:bodyDiv w:val="1"/>
      <w:marLeft w:val="0"/>
      <w:marRight w:val="0"/>
      <w:marTop w:val="0"/>
      <w:marBottom w:val="0"/>
      <w:divBdr>
        <w:top w:val="none" w:sz="0" w:space="0" w:color="auto"/>
        <w:left w:val="none" w:sz="0" w:space="0" w:color="auto"/>
        <w:bottom w:val="none" w:sz="0" w:space="0" w:color="auto"/>
        <w:right w:val="none" w:sz="0" w:space="0" w:color="auto"/>
      </w:divBdr>
    </w:div>
    <w:div w:id="1654140769">
      <w:bodyDiv w:val="1"/>
      <w:marLeft w:val="0"/>
      <w:marRight w:val="0"/>
      <w:marTop w:val="0"/>
      <w:marBottom w:val="0"/>
      <w:divBdr>
        <w:top w:val="none" w:sz="0" w:space="0" w:color="auto"/>
        <w:left w:val="none" w:sz="0" w:space="0" w:color="auto"/>
        <w:bottom w:val="none" w:sz="0" w:space="0" w:color="auto"/>
        <w:right w:val="none" w:sz="0" w:space="0" w:color="auto"/>
      </w:divBdr>
    </w:div>
    <w:div w:id="1657415602">
      <w:bodyDiv w:val="1"/>
      <w:marLeft w:val="0"/>
      <w:marRight w:val="0"/>
      <w:marTop w:val="0"/>
      <w:marBottom w:val="0"/>
      <w:divBdr>
        <w:top w:val="none" w:sz="0" w:space="0" w:color="auto"/>
        <w:left w:val="none" w:sz="0" w:space="0" w:color="auto"/>
        <w:bottom w:val="none" w:sz="0" w:space="0" w:color="auto"/>
        <w:right w:val="none" w:sz="0" w:space="0" w:color="auto"/>
      </w:divBdr>
    </w:div>
    <w:div w:id="1776485491">
      <w:bodyDiv w:val="1"/>
      <w:marLeft w:val="0"/>
      <w:marRight w:val="0"/>
      <w:marTop w:val="0"/>
      <w:marBottom w:val="0"/>
      <w:divBdr>
        <w:top w:val="none" w:sz="0" w:space="0" w:color="auto"/>
        <w:left w:val="none" w:sz="0" w:space="0" w:color="auto"/>
        <w:bottom w:val="none" w:sz="0" w:space="0" w:color="auto"/>
        <w:right w:val="none" w:sz="0" w:space="0" w:color="auto"/>
      </w:divBdr>
    </w:div>
    <w:div w:id="1784299461">
      <w:bodyDiv w:val="1"/>
      <w:marLeft w:val="0"/>
      <w:marRight w:val="0"/>
      <w:marTop w:val="0"/>
      <w:marBottom w:val="0"/>
      <w:divBdr>
        <w:top w:val="none" w:sz="0" w:space="0" w:color="auto"/>
        <w:left w:val="none" w:sz="0" w:space="0" w:color="auto"/>
        <w:bottom w:val="none" w:sz="0" w:space="0" w:color="auto"/>
        <w:right w:val="none" w:sz="0" w:space="0" w:color="auto"/>
      </w:divBdr>
    </w:div>
    <w:div w:id="1817600851">
      <w:bodyDiv w:val="1"/>
      <w:marLeft w:val="0"/>
      <w:marRight w:val="0"/>
      <w:marTop w:val="0"/>
      <w:marBottom w:val="0"/>
      <w:divBdr>
        <w:top w:val="none" w:sz="0" w:space="0" w:color="auto"/>
        <w:left w:val="none" w:sz="0" w:space="0" w:color="auto"/>
        <w:bottom w:val="none" w:sz="0" w:space="0" w:color="auto"/>
        <w:right w:val="none" w:sz="0" w:space="0" w:color="auto"/>
      </w:divBdr>
    </w:div>
    <w:div w:id="1824547728">
      <w:bodyDiv w:val="1"/>
      <w:marLeft w:val="0"/>
      <w:marRight w:val="0"/>
      <w:marTop w:val="0"/>
      <w:marBottom w:val="0"/>
      <w:divBdr>
        <w:top w:val="none" w:sz="0" w:space="0" w:color="auto"/>
        <w:left w:val="none" w:sz="0" w:space="0" w:color="auto"/>
        <w:bottom w:val="none" w:sz="0" w:space="0" w:color="auto"/>
        <w:right w:val="none" w:sz="0" w:space="0" w:color="auto"/>
      </w:divBdr>
    </w:div>
    <w:div w:id="1846506754">
      <w:bodyDiv w:val="1"/>
      <w:marLeft w:val="0"/>
      <w:marRight w:val="0"/>
      <w:marTop w:val="0"/>
      <w:marBottom w:val="0"/>
      <w:divBdr>
        <w:top w:val="none" w:sz="0" w:space="0" w:color="auto"/>
        <w:left w:val="none" w:sz="0" w:space="0" w:color="auto"/>
        <w:bottom w:val="none" w:sz="0" w:space="0" w:color="auto"/>
        <w:right w:val="none" w:sz="0" w:space="0" w:color="auto"/>
      </w:divBdr>
    </w:div>
    <w:div w:id="1850556363">
      <w:bodyDiv w:val="1"/>
      <w:marLeft w:val="0"/>
      <w:marRight w:val="0"/>
      <w:marTop w:val="0"/>
      <w:marBottom w:val="0"/>
      <w:divBdr>
        <w:top w:val="none" w:sz="0" w:space="0" w:color="auto"/>
        <w:left w:val="none" w:sz="0" w:space="0" w:color="auto"/>
        <w:bottom w:val="none" w:sz="0" w:space="0" w:color="auto"/>
        <w:right w:val="none" w:sz="0" w:space="0" w:color="auto"/>
      </w:divBdr>
    </w:div>
    <w:div w:id="1851483452">
      <w:bodyDiv w:val="1"/>
      <w:marLeft w:val="0"/>
      <w:marRight w:val="0"/>
      <w:marTop w:val="0"/>
      <w:marBottom w:val="0"/>
      <w:divBdr>
        <w:top w:val="none" w:sz="0" w:space="0" w:color="auto"/>
        <w:left w:val="none" w:sz="0" w:space="0" w:color="auto"/>
        <w:bottom w:val="none" w:sz="0" w:space="0" w:color="auto"/>
        <w:right w:val="none" w:sz="0" w:space="0" w:color="auto"/>
      </w:divBdr>
    </w:div>
    <w:div w:id="1870097573">
      <w:bodyDiv w:val="1"/>
      <w:marLeft w:val="0"/>
      <w:marRight w:val="0"/>
      <w:marTop w:val="0"/>
      <w:marBottom w:val="0"/>
      <w:divBdr>
        <w:top w:val="none" w:sz="0" w:space="0" w:color="auto"/>
        <w:left w:val="none" w:sz="0" w:space="0" w:color="auto"/>
        <w:bottom w:val="none" w:sz="0" w:space="0" w:color="auto"/>
        <w:right w:val="none" w:sz="0" w:space="0" w:color="auto"/>
      </w:divBdr>
    </w:div>
    <w:div w:id="1904217632">
      <w:bodyDiv w:val="1"/>
      <w:marLeft w:val="0"/>
      <w:marRight w:val="0"/>
      <w:marTop w:val="0"/>
      <w:marBottom w:val="0"/>
      <w:divBdr>
        <w:top w:val="none" w:sz="0" w:space="0" w:color="auto"/>
        <w:left w:val="none" w:sz="0" w:space="0" w:color="auto"/>
        <w:bottom w:val="none" w:sz="0" w:space="0" w:color="auto"/>
        <w:right w:val="none" w:sz="0" w:space="0" w:color="auto"/>
      </w:divBdr>
    </w:div>
    <w:div w:id="1907909813">
      <w:bodyDiv w:val="1"/>
      <w:marLeft w:val="0"/>
      <w:marRight w:val="0"/>
      <w:marTop w:val="0"/>
      <w:marBottom w:val="0"/>
      <w:divBdr>
        <w:top w:val="none" w:sz="0" w:space="0" w:color="auto"/>
        <w:left w:val="none" w:sz="0" w:space="0" w:color="auto"/>
        <w:bottom w:val="none" w:sz="0" w:space="0" w:color="auto"/>
        <w:right w:val="none" w:sz="0" w:space="0" w:color="auto"/>
      </w:divBdr>
    </w:div>
    <w:div w:id="1914506909">
      <w:bodyDiv w:val="1"/>
      <w:marLeft w:val="0"/>
      <w:marRight w:val="0"/>
      <w:marTop w:val="0"/>
      <w:marBottom w:val="0"/>
      <w:divBdr>
        <w:top w:val="none" w:sz="0" w:space="0" w:color="auto"/>
        <w:left w:val="none" w:sz="0" w:space="0" w:color="auto"/>
        <w:bottom w:val="none" w:sz="0" w:space="0" w:color="auto"/>
        <w:right w:val="none" w:sz="0" w:space="0" w:color="auto"/>
      </w:divBdr>
    </w:div>
    <w:div w:id="1914847871">
      <w:bodyDiv w:val="1"/>
      <w:marLeft w:val="0"/>
      <w:marRight w:val="0"/>
      <w:marTop w:val="0"/>
      <w:marBottom w:val="0"/>
      <w:divBdr>
        <w:top w:val="none" w:sz="0" w:space="0" w:color="auto"/>
        <w:left w:val="none" w:sz="0" w:space="0" w:color="auto"/>
        <w:bottom w:val="none" w:sz="0" w:space="0" w:color="auto"/>
        <w:right w:val="none" w:sz="0" w:space="0" w:color="auto"/>
      </w:divBdr>
    </w:div>
    <w:div w:id="1953320833">
      <w:bodyDiv w:val="1"/>
      <w:marLeft w:val="0"/>
      <w:marRight w:val="0"/>
      <w:marTop w:val="0"/>
      <w:marBottom w:val="0"/>
      <w:divBdr>
        <w:top w:val="none" w:sz="0" w:space="0" w:color="auto"/>
        <w:left w:val="none" w:sz="0" w:space="0" w:color="auto"/>
        <w:bottom w:val="none" w:sz="0" w:space="0" w:color="auto"/>
        <w:right w:val="none" w:sz="0" w:space="0" w:color="auto"/>
      </w:divBdr>
    </w:div>
    <w:div w:id="1971157791">
      <w:bodyDiv w:val="1"/>
      <w:marLeft w:val="0"/>
      <w:marRight w:val="0"/>
      <w:marTop w:val="0"/>
      <w:marBottom w:val="0"/>
      <w:divBdr>
        <w:top w:val="none" w:sz="0" w:space="0" w:color="auto"/>
        <w:left w:val="none" w:sz="0" w:space="0" w:color="auto"/>
        <w:bottom w:val="none" w:sz="0" w:space="0" w:color="auto"/>
        <w:right w:val="none" w:sz="0" w:space="0" w:color="auto"/>
      </w:divBdr>
    </w:div>
    <w:div w:id="1984314131">
      <w:bodyDiv w:val="1"/>
      <w:marLeft w:val="0"/>
      <w:marRight w:val="0"/>
      <w:marTop w:val="0"/>
      <w:marBottom w:val="0"/>
      <w:divBdr>
        <w:top w:val="none" w:sz="0" w:space="0" w:color="auto"/>
        <w:left w:val="none" w:sz="0" w:space="0" w:color="auto"/>
        <w:bottom w:val="none" w:sz="0" w:space="0" w:color="auto"/>
        <w:right w:val="none" w:sz="0" w:space="0" w:color="auto"/>
      </w:divBdr>
    </w:div>
    <w:div w:id="2063216172">
      <w:bodyDiv w:val="1"/>
      <w:marLeft w:val="0"/>
      <w:marRight w:val="0"/>
      <w:marTop w:val="0"/>
      <w:marBottom w:val="0"/>
      <w:divBdr>
        <w:top w:val="none" w:sz="0" w:space="0" w:color="auto"/>
        <w:left w:val="none" w:sz="0" w:space="0" w:color="auto"/>
        <w:bottom w:val="none" w:sz="0" w:space="0" w:color="auto"/>
        <w:right w:val="none" w:sz="0" w:space="0" w:color="auto"/>
      </w:divBdr>
    </w:div>
    <w:div w:id="213787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1018/jans.v7i1.613" TargetMode="External"/><Relationship Id="rId13" Type="http://schemas.openxmlformats.org/officeDocument/2006/relationships/hyperlink" Target="https://doi.org/10.9734/IJPSS/2017/37943"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20546/ijcmas.2018.705.136"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7852/ijie.2012.25.1.015"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doi.org/10.3923/ajbs.2022.122.130"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fao.or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TotalTime>
  <Pages>18</Pages>
  <Words>7461</Words>
  <Characters>42533</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Kruthika M S</dc:creator>
  <cp:keywords/>
  <dc:description/>
  <cp:lastModifiedBy>SDI 1067</cp:lastModifiedBy>
  <cp:revision>26</cp:revision>
  <dcterms:created xsi:type="dcterms:W3CDTF">2025-07-27T04:13:00Z</dcterms:created>
  <dcterms:modified xsi:type="dcterms:W3CDTF">2025-07-30T04:57:00Z</dcterms:modified>
</cp:coreProperties>
</file>