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6"/>
        <w:gridCol w:w="15765"/>
      </w:tblGrid>
      <w:tr w:rsidR="00BE0097" w:rsidRPr="00CA530E" w14:paraId="002FF1C3" w14:textId="77777777">
        <w:trPr>
          <w:trHeight w:val="290"/>
        </w:trPr>
        <w:tc>
          <w:tcPr>
            <w:tcW w:w="2093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B3CA26D" w14:textId="77777777" w:rsidR="00BE0097" w:rsidRPr="00CA530E" w:rsidRDefault="00BE009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E0097" w:rsidRPr="00CA530E" w14:paraId="5399F919" w14:textId="77777777">
        <w:tblPrEx>
          <w:tblCellMar>
            <w:left w:w="108" w:type="dxa"/>
            <w:right w:w="108" w:type="dxa"/>
          </w:tblCellMar>
        </w:tblPrEx>
        <w:trPr>
          <w:trHeight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A5A883A" w14:textId="77777777" w:rsidR="00BE0097" w:rsidRPr="00CA530E" w:rsidRDefault="00BE009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8F05E" w14:textId="77777777" w:rsidR="00BE0097" w:rsidRPr="00CA530E" w:rsidRDefault="00E83C20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BE0097" w:rsidRPr="00CA530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BE0097" w:rsidRPr="00CA530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E0097" w:rsidRPr="00CA530E" w14:paraId="6AFDEA4E" w14:textId="77777777">
        <w:tblPrEx>
          <w:tblCellMar>
            <w:left w:w="108" w:type="dxa"/>
            <w:right w:w="108" w:type="dxa"/>
          </w:tblCellMar>
        </w:tblPrEx>
        <w:trPr>
          <w:trHeight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4F621B3" w14:textId="77777777" w:rsidR="00BE0097" w:rsidRPr="00CA530E" w:rsidRDefault="00BE009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7C645" w14:textId="77777777" w:rsidR="00BE0097" w:rsidRPr="00CA530E" w:rsidRDefault="00BE0097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Ms_IJPSS_140886</w:t>
            </w:r>
          </w:p>
        </w:tc>
      </w:tr>
      <w:tr w:rsidR="00BE0097" w:rsidRPr="00CA530E" w14:paraId="44F7D3E0" w14:textId="77777777">
        <w:tblPrEx>
          <w:tblCellMar>
            <w:left w:w="108" w:type="dxa"/>
            <w:right w:w="108" w:type="dxa"/>
          </w:tblCellMar>
        </w:tblPrEx>
        <w:trPr>
          <w:trHeight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1296BE" w14:textId="77777777" w:rsidR="00BE0097" w:rsidRPr="00CA530E" w:rsidRDefault="00BE009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553" w14:textId="77777777" w:rsidR="00BE0097" w:rsidRPr="00CA530E" w:rsidRDefault="00BE0097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sz w:val="20"/>
                <w:szCs w:val="20"/>
                <w:lang w:val="en-GB"/>
              </w:rPr>
              <w:t>Onion growth, seed yield and seed quality in response to different nitrogen sources in mid hill of Himachal Pradesh</w:t>
            </w:r>
          </w:p>
        </w:tc>
      </w:tr>
      <w:tr w:rsidR="00BE0097" w:rsidRPr="00CA530E" w14:paraId="00232F4D" w14:textId="77777777">
        <w:tblPrEx>
          <w:tblCellMar>
            <w:left w:w="108" w:type="dxa"/>
            <w:right w:w="108" w:type="dxa"/>
          </w:tblCellMar>
        </w:tblPrEx>
        <w:trPr>
          <w:trHeight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88003A" w14:textId="77777777" w:rsidR="00BE0097" w:rsidRPr="00CA530E" w:rsidRDefault="00BE0097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DB8B0" w14:textId="77777777" w:rsidR="00BE0097" w:rsidRPr="00CA530E" w:rsidRDefault="00BE0097">
            <w:pPr>
              <w:pStyle w:val="Normal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0DA5E02" w14:textId="77777777" w:rsidR="007A122C" w:rsidRPr="00CA530E" w:rsidRDefault="007A122C" w:rsidP="007A122C">
      <w:pPr>
        <w:rPr>
          <w:rFonts w:ascii="Arial" w:hAnsi="Arial" w:cs="Arial"/>
          <w:vanish/>
          <w:sz w:val="20"/>
          <w:szCs w:val="20"/>
        </w:rPr>
      </w:pPr>
    </w:p>
    <w:tbl>
      <w:tblPr>
        <w:tblpPr w:leftFromText="180" w:rightFromText="180" w:vertAnchor="text" w:horzAnchor="margin" w:tblpY="120"/>
        <w:tblW w:w="5000" w:type="pct"/>
        <w:tblLayout w:type="fixed"/>
        <w:tblLook w:val="0000" w:firstRow="0" w:lastRow="0" w:firstColumn="0" w:lastColumn="0" w:noHBand="0" w:noVBand="0"/>
      </w:tblPr>
      <w:tblGrid>
        <w:gridCol w:w="5295"/>
        <w:gridCol w:w="9260"/>
        <w:gridCol w:w="6376"/>
      </w:tblGrid>
      <w:tr w:rsidR="00CA530E" w:rsidRPr="00CA530E" w14:paraId="4C85927D" w14:textId="77777777" w:rsidTr="00CA530E">
        <w:tc>
          <w:tcPr>
            <w:tcW w:w="2093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06675F0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</w:rPr>
            </w:pPr>
            <w:bookmarkStart w:id="0" w:name="_Hlk171324449"/>
            <w:bookmarkStart w:id="1" w:name="_Hlk170903434"/>
            <w:r w:rsidRPr="00CA530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A530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5C75E9E" w14:textId="77777777" w:rsidR="00CA530E" w:rsidRPr="00CA530E" w:rsidRDefault="00CA530E" w:rsidP="00CA53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530E" w:rsidRPr="00CA530E" w14:paraId="180110DD" w14:textId="77777777" w:rsidTr="00CA530E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19D00" w14:textId="77777777" w:rsidR="00CA530E" w:rsidRPr="00CA530E" w:rsidRDefault="00CA530E" w:rsidP="00CA530E">
            <w:pPr>
              <w:pStyle w:val="Heading2"/>
              <w:snapToGrid w:val="0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EFCD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</w:rPr>
            </w:pPr>
            <w:r w:rsidRPr="00CA530E">
              <w:rPr>
                <w:rFonts w:ascii="Arial" w:hAnsi="Arial" w:cs="Arial"/>
                <w:lang w:val="en-GB"/>
              </w:rPr>
              <w:t>Reviewer’s comment</w:t>
            </w:r>
          </w:p>
          <w:p w14:paraId="4FFC6D67" w14:textId="77777777" w:rsidR="00CA530E" w:rsidRPr="00CA530E" w:rsidRDefault="00CA530E" w:rsidP="00CA530E">
            <w:pPr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1FDF1C5" w14:textId="77777777" w:rsidR="00CA530E" w:rsidRPr="00CA530E" w:rsidRDefault="00CA530E" w:rsidP="00CA530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0D4E1" w14:textId="77777777" w:rsidR="00CA530E" w:rsidRPr="00CA530E" w:rsidRDefault="00CA530E" w:rsidP="00CA530E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A530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A638C10" w14:textId="77777777" w:rsidR="00CA530E" w:rsidRPr="00CA530E" w:rsidRDefault="00CA530E" w:rsidP="00CA530E">
            <w:pPr>
              <w:pStyle w:val="Heading2"/>
              <w:jc w:val="left"/>
              <w:rPr>
                <w:rFonts w:ascii="Arial" w:eastAsia="Calibri" w:hAnsi="Arial" w:cs="Arial"/>
                <w:b w:val="0"/>
                <w:kern w:val="2"/>
                <w:lang w:val="en-GB"/>
              </w:rPr>
            </w:pPr>
          </w:p>
        </w:tc>
      </w:tr>
      <w:tr w:rsidR="00CA530E" w:rsidRPr="00CA530E" w14:paraId="4DF3F9F9" w14:textId="77777777" w:rsidTr="00CA530E">
        <w:trPr>
          <w:trHeight w:val="1264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0B9F6" w14:textId="77777777" w:rsidR="00CA530E" w:rsidRPr="00CA530E" w:rsidRDefault="00CA530E" w:rsidP="00CA530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D1AFDBD" w14:textId="77777777" w:rsidR="00CA530E" w:rsidRPr="00CA530E" w:rsidRDefault="00CA530E" w:rsidP="00CA530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520BC" w14:textId="77777777" w:rsidR="00CA530E" w:rsidRPr="00CA530E" w:rsidRDefault="00CA530E" w:rsidP="00CA530E">
            <w:pPr>
              <w:pStyle w:val="ListParagraph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topic is relevant, considering that nitrogen fertilization has a complex dynamic, requiring investigations into sources, rates, and application timing to improve crop quality and productivity.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CDC5" w14:textId="77777777" w:rsidR="00CA530E" w:rsidRPr="00CA530E" w:rsidRDefault="00CA530E" w:rsidP="00CA530E">
            <w:pPr>
              <w:pStyle w:val="Heading2"/>
              <w:numPr>
                <w:ilvl w:val="0"/>
                <w:numId w:val="0"/>
              </w:numPr>
              <w:snapToGrid w:val="0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CA530E">
              <w:rPr>
                <w:rFonts w:ascii="Arial" w:hAnsi="Arial" w:cs="Arial"/>
                <w:b w:val="0"/>
              </w:rPr>
              <w:t>Authors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fully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agree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that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an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optimized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fertilization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strategy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must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account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for all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these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interrelated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factors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enhance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crop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quality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and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productivity</w:t>
            </w:r>
            <w:proofErr w:type="spellEnd"/>
            <w:r w:rsidRPr="00CA530E">
              <w:rPr>
                <w:rFonts w:ascii="Arial" w:hAnsi="Arial" w:cs="Arial"/>
                <w:b w:val="0"/>
              </w:rPr>
              <w:t>.</w:t>
            </w:r>
          </w:p>
        </w:tc>
      </w:tr>
      <w:tr w:rsidR="00CA530E" w:rsidRPr="00CA530E" w14:paraId="1ACFEFC0" w14:textId="77777777" w:rsidTr="00CA530E">
        <w:trPr>
          <w:trHeight w:val="1262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9A584" w14:textId="77777777" w:rsidR="00CA530E" w:rsidRPr="00CA530E" w:rsidRDefault="00CA530E" w:rsidP="00CA530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9DF8D8D" w14:textId="77777777" w:rsidR="00CA530E" w:rsidRPr="00CA530E" w:rsidRDefault="00CA530E" w:rsidP="00CA530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461078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2B8E9" w14:textId="77777777" w:rsidR="00CA530E" w:rsidRPr="00CA530E" w:rsidRDefault="00CA530E" w:rsidP="00CA530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source of mineral nitrogen affected onion growth, seed yield and quality.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C35F" w14:textId="77777777" w:rsidR="00CA530E" w:rsidRPr="00CA530E" w:rsidRDefault="00CA530E" w:rsidP="00CA530E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CA530E">
              <w:rPr>
                <w:rFonts w:ascii="Arial" w:hAnsi="Arial" w:cs="Arial"/>
                <w:b w:val="0"/>
              </w:rPr>
              <w:t>We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agree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that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current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title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could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better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reflect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study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design,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treatments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and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outcomes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.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We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have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revised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title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accordingly</w:t>
            </w:r>
            <w:proofErr w:type="spellEnd"/>
            <w:r w:rsidRPr="00CA530E">
              <w:rPr>
                <w:rFonts w:ascii="Arial" w:hAnsi="Arial" w:cs="Arial"/>
                <w:b w:val="0"/>
              </w:rPr>
              <w:t>.</w:t>
            </w:r>
          </w:p>
        </w:tc>
      </w:tr>
      <w:tr w:rsidR="00CA530E" w:rsidRPr="00CA530E" w14:paraId="1C1D2655" w14:textId="77777777" w:rsidTr="00CA530E">
        <w:trPr>
          <w:trHeight w:val="1262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633B" w14:textId="77777777" w:rsidR="00CA530E" w:rsidRPr="00CA530E" w:rsidRDefault="00CA530E" w:rsidP="00CA530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A530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644970B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34DA" w14:textId="77777777" w:rsidR="00CA530E" w:rsidRPr="00CA530E" w:rsidRDefault="00CA530E" w:rsidP="00CA530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Revise the introductory part of the abstract; it is out of context.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36FB" w14:textId="77777777" w:rsidR="00CA530E" w:rsidRPr="00CA530E" w:rsidRDefault="00CA530E" w:rsidP="00CA530E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530E">
              <w:rPr>
                <w:rFonts w:ascii="Arial" w:hAnsi="Arial" w:cs="Arial"/>
                <w:b w:val="0"/>
              </w:rPr>
              <w:t xml:space="preserve">Added an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opening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sentence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that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frames the importance of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optimizing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nitrogen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sources in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onion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cultivation.</w:t>
            </w:r>
          </w:p>
        </w:tc>
      </w:tr>
      <w:tr w:rsidR="00CA530E" w:rsidRPr="00CA530E" w14:paraId="766A38D5" w14:textId="77777777" w:rsidTr="00CA530E">
        <w:trPr>
          <w:trHeight w:val="704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5AFB" w14:textId="77777777" w:rsidR="00CA530E" w:rsidRPr="00CA530E" w:rsidRDefault="00CA530E" w:rsidP="00CA530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A530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0954" w14:textId="77777777" w:rsidR="00CA530E" w:rsidRPr="00CA530E" w:rsidRDefault="00CA530E" w:rsidP="00CA530E">
            <w:pPr>
              <w:pStyle w:val="ListParagraph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The manuscript has serious flaws: data are presented incorrectly, statistical tests and significance levels used for data analysis are not described, and there is a lack of information regarding data collection methods, such as economic analysis. The discussion of the results is very weak—there is practically no discussion at all.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B38F" w14:textId="77777777" w:rsidR="00CA530E" w:rsidRPr="00CA530E" w:rsidRDefault="00CA530E" w:rsidP="00CA530E">
            <w:pPr>
              <w:suppressAutoHyphens w:val="0"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CA530E">
              <w:rPr>
                <w:rFonts w:ascii="Arial" w:hAnsi="Arial" w:cs="Arial"/>
                <w:sz w:val="20"/>
                <w:szCs w:val="20"/>
                <w:lang w:val="en-IN" w:eastAsia="en-IN"/>
              </w:rPr>
              <w:t>We acknowledge the reviewer’s concerns and have revised the manuscript by adding the methodology for benefit–cost ratio calculation and detailed statistical analysis (ANOVA via OPSTAT with CD at p &lt; 0.05). These changes address the issues related to data analysis, economic evaluation and strengthen the overall clarity and discussion.</w:t>
            </w:r>
          </w:p>
        </w:tc>
      </w:tr>
      <w:tr w:rsidR="00CA530E" w:rsidRPr="00CA530E" w14:paraId="1941D264" w14:textId="77777777" w:rsidTr="00CA530E">
        <w:trPr>
          <w:trHeight w:val="703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332F2" w14:textId="77777777" w:rsidR="00CA530E" w:rsidRPr="00CA530E" w:rsidRDefault="00CA530E" w:rsidP="00CA530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5996" w14:textId="77777777" w:rsidR="00CA530E" w:rsidRPr="00CA530E" w:rsidRDefault="00CA530E" w:rsidP="00CA530E">
            <w:pPr>
              <w:pStyle w:val="ListParagraph"/>
              <w:snapToGri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necessary to update the references that provide information on statistical data.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7AA01" w14:textId="77777777" w:rsidR="00CA530E" w:rsidRPr="00CA530E" w:rsidRDefault="00CA530E" w:rsidP="00CA530E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CA530E">
              <w:rPr>
                <w:rFonts w:ascii="Arial" w:hAnsi="Arial" w:cs="Arial"/>
                <w:b w:val="0"/>
              </w:rPr>
              <w:t>Accordingly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we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have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revised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manuscript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to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include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the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most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recent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FAO (2024)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statistics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,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reporting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that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global </w:t>
            </w:r>
            <w:proofErr w:type="spellStart"/>
            <w:r w:rsidRPr="00CA530E">
              <w:rPr>
                <w:rFonts w:ascii="Arial" w:hAnsi="Arial" w:cs="Arial"/>
                <w:b w:val="0"/>
              </w:rPr>
              <w:t>onion</w:t>
            </w:r>
            <w:proofErr w:type="spellEnd"/>
            <w:r w:rsidRPr="00CA530E">
              <w:rPr>
                <w:rFonts w:ascii="Arial" w:hAnsi="Arial" w:cs="Arial"/>
                <w:b w:val="0"/>
              </w:rPr>
              <w:t xml:space="preserve"> production.</w:t>
            </w:r>
          </w:p>
        </w:tc>
      </w:tr>
      <w:tr w:rsidR="00CA530E" w:rsidRPr="00CA530E" w14:paraId="69DA661F" w14:textId="77777777" w:rsidTr="00CA530E">
        <w:trPr>
          <w:trHeight w:val="386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FAA2" w14:textId="77777777" w:rsidR="00CA530E" w:rsidRPr="00CA530E" w:rsidRDefault="00CA530E" w:rsidP="00CA530E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A530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B0BC416" w14:textId="77777777" w:rsidR="00CA530E" w:rsidRPr="00CA530E" w:rsidRDefault="00CA530E" w:rsidP="00CA530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E5269" w14:textId="77777777" w:rsidR="00CA530E" w:rsidRPr="00CA530E" w:rsidRDefault="00CA530E" w:rsidP="00CA530E">
            <w:pPr>
              <w:pStyle w:val="BodyText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The article is understandable, presents appropriate technical vocabulary, and has a coherent structure, but would benefit from:</w:t>
            </w:r>
          </w:p>
          <w:p w14:paraId="0C5C7EDC" w14:textId="77777777" w:rsidR="00CA530E" w:rsidRPr="00CA530E" w:rsidRDefault="00CA530E" w:rsidP="00CA530E">
            <w:pPr>
              <w:pStyle w:val="BodyText"/>
              <w:numPr>
                <w:ilvl w:val="0"/>
                <w:numId w:val="2"/>
              </w:numPr>
              <w:tabs>
                <w:tab w:val="left" w:pos="0"/>
              </w:tabs>
              <w:spacing w:after="283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A thorough spelling and grammatical review;</w:t>
            </w:r>
          </w:p>
          <w:p w14:paraId="537B6303" w14:textId="77777777" w:rsidR="00CA530E" w:rsidRPr="00CA530E" w:rsidRDefault="00CA530E" w:rsidP="00CA530E">
            <w:pPr>
              <w:pStyle w:val="BodyText"/>
              <w:numPr>
                <w:ilvl w:val="0"/>
                <w:numId w:val="2"/>
              </w:numPr>
              <w:tabs>
                <w:tab w:val="left" w:pos="0"/>
              </w:tabs>
              <w:spacing w:after="283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Edits for greater conciseness and elimination of redundancies;</w:t>
            </w:r>
          </w:p>
          <w:p w14:paraId="3F92408F" w14:textId="77777777" w:rsidR="00CA530E" w:rsidRPr="00CA530E" w:rsidRDefault="00CA530E" w:rsidP="00CA530E">
            <w:pPr>
              <w:pStyle w:val="BodyText"/>
              <w:numPr>
                <w:ilvl w:val="0"/>
                <w:numId w:val="2"/>
              </w:numPr>
              <w:tabs>
                <w:tab w:val="left" w:pos="0"/>
              </w:tabs>
              <w:spacing w:after="283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Closer attention to the introduction of acronyms and consistency in verb tense usage.</w:t>
            </w:r>
          </w:p>
          <w:p w14:paraId="68C378F3" w14:textId="77777777" w:rsidR="00CA530E" w:rsidRPr="00CA530E" w:rsidRDefault="00CA530E" w:rsidP="00CA530E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3FBAA" w14:textId="77777777" w:rsidR="00CA530E" w:rsidRPr="00CA530E" w:rsidRDefault="00CA530E" w:rsidP="00CA530E">
            <w:pPr>
              <w:snapToGrid w:val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530E">
              <w:rPr>
                <w:rFonts w:ascii="Arial" w:hAnsi="Arial" w:cs="Arial"/>
                <w:sz w:val="20"/>
                <w:szCs w:val="20"/>
                <w:lang w:val="en-GB"/>
              </w:rPr>
              <w:t>Corrected</w:t>
            </w:r>
          </w:p>
        </w:tc>
      </w:tr>
      <w:tr w:rsidR="00CA530E" w:rsidRPr="00CA530E" w14:paraId="68085D97" w14:textId="77777777" w:rsidTr="00CA530E">
        <w:trPr>
          <w:trHeight w:val="1178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CAA65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</w:rPr>
            </w:pPr>
            <w:r w:rsidRPr="00CA530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A530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A530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171DD8E" w14:textId="77777777" w:rsidR="00CA530E" w:rsidRPr="00CA530E" w:rsidRDefault="00CA530E" w:rsidP="00CA530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439E" w14:textId="77777777" w:rsidR="00CA530E" w:rsidRPr="00CA530E" w:rsidRDefault="00CA530E" w:rsidP="00CA530E">
            <w:pPr>
              <w:pStyle w:val="NormalWeb"/>
              <w:snapToGrid w:val="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CA530E">
              <w:rPr>
                <w:rFonts w:ascii="Arial" w:hAnsi="Arial" w:cs="Arial"/>
                <w:b/>
                <w:sz w:val="20"/>
                <w:szCs w:val="20"/>
                <w:lang w:val="en-GB"/>
              </w:rPr>
              <w:t>Despite the high relevance of the topic, the article contains serious flaws.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AC44" w14:textId="77777777" w:rsidR="00CA530E" w:rsidRPr="00CA530E" w:rsidRDefault="00CA530E" w:rsidP="00CA530E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3ABD2D1" w14:textId="77777777" w:rsidR="00BE0097" w:rsidRPr="00CA530E" w:rsidRDefault="00BE009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C35744" w14:textId="77777777" w:rsidR="00BE0097" w:rsidRPr="00CA530E" w:rsidRDefault="00BE009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F7C682" w14:textId="77777777" w:rsidR="00BE0097" w:rsidRPr="00CA530E" w:rsidRDefault="00BE009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7091"/>
        <w:gridCol w:w="7079"/>
      </w:tblGrid>
      <w:tr w:rsidR="0034629D" w:rsidRPr="00CA530E" w14:paraId="53433463" w14:textId="77777777" w:rsidTr="007A122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8D12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  <w:bookmarkStart w:id="3" w:name="_Hlk156057883"/>
            <w:bookmarkStart w:id="4" w:name="_Hlk156057704"/>
            <w:r w:rsidRPr="00CA530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 w:eastAsia="en-US"/>
              </w:rPr>
              <w:lastRenderedPageBreak/>
              <w:t>PART  2:</w:t>
            </w:r>
            <w:r w:rsidRPr="00CA530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  <w:t xml:space="preserve"> </w:t>
            </w:r>
          </w:p>
          <w:p w14:paraId="285EADED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</w:p>
        </w:tc>
      </w:tr>
      <w:tr w:rsidR="0034629D" w:rsidRPr="00CA530E" w14:paraId="19F21E18" w14:textId="77777777" w:rsidTr="007A122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DAB41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FCF07" w14:textId="77777777" w:rsidR="0034629D" w:rsidRPr="00CA530E" w:rsidRDefault="0034629D" w:rsidP="0034629D">
            <w:pPr>
              <w:keepNext/>
              <w:suppressAutoHyphens w:val="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1162766" w14:textId="77777777" w:rsidR="0034629D" w:rsidRPr="00CA530E" w:rsidRDefault="0034629D" w:rsidP="0034629D">
            <w:pPr>
              <w:keepNext/>
              <w:suppressAutoHyphens w:val="0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</w:pPr>
            <w:r w:rsidRPr="00CA530E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Author’s comment</w:t>
            </w:r>
            <w:r w:rsidRPr="00CA530E"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  <w:t xml:space="preserve"> </w:t>
            </w:r>
            <w:r w:rsidRPr="00CA530E">
              <w:rPr>
                <w:rFonts w:ascii="Arial" w:eastAsia="MS Mincho" w:hAnsi="Arial" w:cs="Arial"/>
                <w:bCs/>
                <w:i/>
                <w:sz w:val="20"/>
                <w:szCs w:val="20"/>
                <w:lang w:val="en-GB"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4629D" w:rsidRPr="00CA530E" w14:paraId="19DECE8A" w14:textId="77777777" w:rsidTr="007A122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92E5F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</w:pPr>
            <w:r w:rsidRPr="00CA530E"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  <w:t xml:space="preserve">Are there ethical issues in this manuscript? </w:t>
            </w:r>
          </w:p>
          <w:p w14:paraId="5BF4E06E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C7C8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</w:pPr>
            <w:r w:rsidRPr="00CA53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(If yes, </w:t>
            </w:r>
            <w:proofErr w:type="gramStart"/>
            <w:r w:rsidRPr="00CA53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>Kindly</w:t>
            </w:r>
            <w:proofErr w:type="gramEnd"/>
            <w:r w:rsidRPr="00CA530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 please write down the ethical issues here in details)</w:t>
            </w:r>
          </w:p>
          <w:p w14:paraId="6EC72C1B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69F3E996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D552158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55ECFE7D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7FEBF339" w14:textId="77777777" w:rsidR="0034629D" w:rsidRPr="00CA530E" w:rsidRDefault="0034629D" w:rsidP="0034629D">
            <w:pPr>
              <w:suppressAutoHyphens w:val="0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</w:tr>
      <w:bookmarkEnd w:id="3"/>
    </w:tbl>
    <w:p w14:paraId="13A64F24" w14:textId="77777777" w:rsidR="0034629D" w:rsidRPr="00CA530E" w:rsidRDefault="0034629D" w:rsidP="0034629D">
      <w:pPr>
        <w:suppressAutoHyphens w:val="0"/>
        <w:rPr>
          <w:rFonts w:ascii="Arial" w:hAnsi="Arial" w:cs="Arial"/>
          <w:sz w:val="20"/>
          <w:szCs w:val="20"/>
          <w:lang w:eastAsia="en-US"/>
        </w:rPr>
      </w:pPr>
    </w:p>
    <w:bookmarkEnd w:id="4"/>
    <w:p w14:paraId="6E36C4BC" w14:textId="77777777" w:rsidR="0034629D" w:rsidRPr="00CA530E" w:rsidRDefault="0034629D" w:rsidP="0034629D">
      <w:pPr>
        <w:suppressAutoHyphens w:val="0"/>
        <w:rPr>
          <w:rFonts w:ascii="Arial" w:hAnsi="Arial" w:cs="Arial"/>
          <w:sz w:val="20"/>
          <w:szCs w:val="20"/>
          <w:lang w:eastAsia="en-US"/>
        </w:rPr>
      </w:pPr>
    </w:p>
    <w:p w14:paraId="46264407" w14:textId="77777777" w:rsidR="004D01FD" w:rsidRPr="00CA530E" w:rsidRDefault="004D01FD" w:rsidP="004D01FD">
      <w:pPr>
        <w:suppressAutoHyphens w:val="0"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</w:rPr>
      </w:pPr>
    </w:p>
    <w:p w14:paraId="450C9164" w14:textId="77777777" w:rsidR="004D01FD" w:rsidRPr="00CA530E" w:rsidRDefault="004D01FD" w:rsidP="004D01FD">
      <w:pPr>
        <w:suppressAutoHyphens w:val="0"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 w:eastAsia="en-US"/>
        </w:rPr>
      </w:pPr>
    </w:p>
    <w:bookmarkEnd w:id="0"/>
    <w:bookmarkEnd w:id="1"/>
    <w:p w14:paraId="0E3282CC" w14:textId="77777777" w:rsidR="00BE0097" w:rsidRPr="00CA530E" w:rsidRDefault="00BE009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E0097" w:rsidRPr="00CA530E">
      <w:headerReference w:type="default" r:id="rId8"/>
      <w:footerReference w:type="default" r:id="rId9"/>
      <w:headerReference w:type="first" r:id="rId10"/>
      <w:footerReference w:type="first" r:id="rId11"/>
      <w:pgSz w:w="23811" w:h="1683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76E14" w14:textId="77777777" w:rsidR="00E83C20" w:rsidRDefault="00E83C20">
      <w:r>
        <w:separator/>
      </w:r>
    </w:p>
  </w:endnote>
  <w:endnote w:type="continuationSeparator" w:id="0">
    <w:p w14:paraId="67D2ABE5" w14:textId="77777777" w:rsidR="00E83C20" w:rsidRDefault="00E8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71CB7" w14:textId="77777777" w:rsidR="00BE0097" w:rsidRDefault="00BE0097">
    <w:pPr>
      <w:pStyle w:val="Footer"/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FD96" w14:textId="77777777" w:rsidR="00BE0097" w:rsidRDefault="00BE00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D633E" w14:textId="77777777" w:rsidR="00E83C20" w:rsidRDefault="00E83C20">
      <w:r>
        <w:separator/>
      </w:r>
    </w:p>
  </w:footnote>
  <w:footnote w:type="continuationSeparator" w:id="0">
    <w:p w14:paraId="6D5863DA" w14:textId="77777777" w:rsidR="00E83C20" w:rsidRDefault="00E8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9B5E2" w14:textId="77777777" w:rsidR="00BE0097" w:rsidRDefault="00BE0097">
    <w:pPr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0D3A004" w14:textId="77777777" w:rsidR="00BE0097" w:rsidRDefault="00BE0097">
    <w:pPr>
      <w:spacing w:before="280" w:after="280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BB73C" w14:textId="77777777" w:rsidR="00BE0097" w:rsidRDefault="00BE00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5D"/>
    <w:rsid w:val="000C265D"/>
    <w:rsid w:val="002E44DD"/>
    <w:rsid w:val="0034629D"/>
    <w:rsid w:val="003E7062"/>
    <w:rsid w:val="00400985"/>
    <w:rsid w:val="004D01FD"/>
    <w:rsid w:val="006136E2"/>
    <w:rsid w:val="006611F4"/>
    <w:rsid w:val="007A122C"/>
    <w:rsid w:val="00895271"/>
    <w:rsid w:val="00A14653"/>
    <w:rsid w:val="00A404B7"/>
    <w:rsid w:val="00B01113"/>
    <w:rsid w:val="00BE0097"/>
    <w:rsid w:val="00CA530E"/>
    <w:rsid w:val="00E16937"/>
    <w:rsid w:val="00E83C20"/>
    <w:rsid w:val="00F0582F"/>
    <w:rsid w:val="00FA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D04732A"/>
  <w15:chartTrackingRefBased/>
  <w15:docId w15:val="{837C0902-74FB-4B4E-9E2A-7D84DDB23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next w:val="BodyText"/>
    <w:qFormat/>
    <w:pPr>
      <w:numPr>
        <w:ilvl w:val="3"/>
        <w:numId w:val="1"/>
      </w:numPr>
      <w:spacing w:before="280" w:after="280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UnresolvedMention">
    <w:name w:val="Unresolved Mention"/>
    <w:rPr>
      <w:color w:val="605E5C"/>
      <w:shd w:val="clear" w:color="auto" w:fill="E1DFDD"/>
    </w:rPr>
  </w:style>
  <w:style w:type="character" w:customStyle="1" w:styleId="Marcadores">
    <w:name w:val="Marcadores"/>
    <w:rPr>
      <w:rFonts w:ascii="OpenSymbol" w:eastAsia="OpenSymbol" w:hAnsi="OpenSymbol" w:cs="OpenSymbol"/>
    </w:rPr>
  </w:style>
  <w:style w:type="character" w:styleId="Strong">
    <w:name w:val="Strong"/>
    <w:qFormat/>
    <w:rPr>
      <w:b/>
      <w:bCs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styleId="NormalWeb">
    <w:name w:val="Normal (Web)"/>
    <w:basedOn w:val="Normal"/>
    <w:uiPriority w:val="99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CabealhoeRodap">
    <w:name w:val="Cabeçalho e Rodapé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Revision">
    <w:name w:val="Revision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customStyle="1" w:styleId="Contedodatabela">
    <w:name w:val="Conteúdo da tabela"/>
    <w:basedOn w:val="Normal"/>
    <w:pPr>
      <w:widowControl w:val="0"/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character" w:customStyle="1" w:styleId="sr-only">
    <w:name w:val="sr-only"/>
    <w:rsid w:val="00A14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2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6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ijpss.com/index.php/IJPS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Links>
    <vt:vector size="18" baseType="variant">
      <vt:variant>
        <vt:i4>7667823</vt:i4>
      </vt:variant>
      <vt:variant>
        <vt:i4>6</vt:i4>
      </vt:variant>
      <vt:variant>
        <vt:i4>0</vt:i4>
      </vt:variant>
      <vt:variant>
        <vt:i4>5</vt:i4>
      </vt:variant>
      <vt:variant>
        <vt:lpwstr>https://doi.org/10.9734/ajahr/2024/v11i2317</vt:lpwstr>
      </vt:variant>
      <vt:variant>
        <vt:lpwstr/>
      </vt:variant>
      <vt:variant>
        <vt:i4>1835092</vt:i4>
      </vt:variant>
      <vt:variant>
        <vt:i4>3</vt:i4>
      </vt:variant>
      <vt:variant>
        <vt:i4>0</vt:i4>
      </vt:variant>
      <vt:variant>
        <vt:i4>5</vt:i4>
      </vt:variant>
      <vt:variant>
        <vt:lpwstr>https://doi.org/10.9734/ajsspn/2024/v10i1236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1186</cp:lastModifiedBy>
  <cp:revision>3</cp:revision>
  <cp:lastPrinted>1899-12-31T18:30:00Z</cp:lastPrinted>
  <dcterms:created xsi:type="dcterms:W3CDTF">2025-07-24T16:02:00Z</dcterms:created>
  <dcterms:modified xsi:type="dcterms:W3CDTF">2025-07-25T07:32:00Z</dcterms:modified>
</cp:coreProperties>
</file>