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4E4" w:rsidRPr="00B57290" w:rsidRDefault="004B54E4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4B54E4" w:rsidRPr="00B57290" w:rsidTr="007932AC">
        <w:trPr>
          <w:trHeight w:val="290"/>
        </w:trPr>
        <w:tc>
          <w:tcPr>
            <w:tcW w:w="5168" w:type="dxa"/>
          </w:tcPr>
          <w:p w:rsidR="004B54E4" w:rsidRPr="00B57290" w:rsidRDefault="004E4F1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Journal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Name</w:t>
            </w:r>
            <w:proofErr w:type="spellEnd"/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:rsidR="004B54E4" w:rsidRPr="00B57290" w:rsidRDefault="00764DF8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proofErr w:type="spellStart"/>
              <w:r w:rsidR="004E4F13" w:rsidRPr="00B5729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AsianJournalofChemical</w:t>
              </w:r>
              <w:r w:rsidR="004E4F13" w:rsidRPr="00B5729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  <w:proofErr w:type="spellEnd"/>
            </w:hyperlink>
          </w:p>
        </w:tc>
      </w:tr>
      <w:tr w:rsidR="004B54E4" w:rsidRPr="00B57290" w:rsidTr="007932AC">
        <w:trPr>
          <w:trHeight w:val="290"/>
        </w:trPr>
        <w:tc>
          <w:tcPr>
            <w:tcW w:w="5168" w:type="dxa"/>
          </w:tcPr>
          <w:p w:rsidR="004B54E4" w:rsidRPr="00B57290" w:rsidRDefault="004E4F1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Manuscript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Number</w:t>
            </w:r>
            <w:proofErr w:type="spellEnd"/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:rsidR="004B54E4" w:rsidRPr="00B57290" w:rsidRDefault="004E4F13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Ms_AJOCS_142108</w:t>
            </w:r>
          </w:p>
        </w:tc>
      </w:tr>
      <w:tr w:rsidR="004B54E4" w:rsidRPr="00B57290" w:rsidTr="007932AC">
        <w:trPr>
          <w:trHeight w:val="650"/>
        </w:trPr>
        <w:tc>
          <w:tcPr>
            <w:tcW w:w="5168" w:type="dxa"/>
          </w:tcPr>
          <w:p w:rsidR="004B54E4" w:rsidRPr="00B57290" w:rsidRDefault="004E4F1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Titleofthe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:rsidR="004B54E4" w:rsidRPr="00B57290" w:rsidRDefault="004E4F13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57290">
              <w:rPr>
                <w:rFonts w:ascii="Arial" w:hAnsi="Arial" w:cs="Arial"/>
                <w:b/>
                <w:sz w:val="20"/>
                <w:szCs w:val="20"/>
              </w:rPr>
              <w:t>TheoreticalinsightonmechanismandkineticsofgasphasereactionofE2CAAwithOHradicalinthe</w:t>
            </w:r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atmosphere</w:t>
            </w:r>
          </w:p>
        </w:tc>
      </w:tr>
      <w:tr w:rsidR="004B54E4" w:rsidRPr="00B57290" w:rsidTr="007932AC">
        <w:trPr>
          <w:trHeight w:val="333"/>
        </w:trPr>
        <w:tc>
          <w:tcPr>
            <w:tcW w:w="5168" w:type="dxa"/>
          </w:tcPr>
          <w:p w:rsidR="004B54E4" w:rsidRPr="00B57290" w:rsidRDefault="004E4F1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Typeofthe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bookmarkStart w:id="0" w:name="_GoBack"/>
            <w:bookmarkEnd w:id="0"/>
            <w:proofErr w:type="spellEnd"/>
          </w:p>
        </w:tc>
        <w:tc>
          <w:tcPr>
            <w:tcW w:w="15770" w:type="dxa"/>
          </w:tcPr>
          <w:p w:rsidR="004B54E4" w:rsidRPr="00B57290" w:rsidRDefault="004E4F13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OriginalResearch</w:t>
            </w:r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  <w:proofErr w:type="spellEnd"/>
          </w:p>
        </w:tc>
      </w:tr>
    </w:tbl>
    <w:tbl>
      <w:tblPr>
        <w:tblpPr w:leftFromText="180" w:rightFromText="180" w:vertAnchor="text" w:horzAnchor="margin" w:tblpY="2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271"/>
      </w:tblGrid>
      <w:tr w:rsidR="007932AC" w:rsidRPr="00B57290" w:rsidTr="00B57290">
        <w:trPr>
          <w:trHeight w:val="450"/>
        </w:trPr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7932AC" w:rsidRPr="00B57290" w:rsidRDefault="007932AC" w:rsidP="00B57290">
            <w:pPr>
              <w:pStyle w:val="TableParagraph"/>
              <w:spacing w:line="221" w:lineRule="exac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572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proofErr w:type="gramStart"/>
            <w:r w:rsidRPr="00B572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5729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  <w:proofErr w:type="gramEnd"/>
          </w:p>
        </w:tc>
      </w:tr>
      <w:tr w:rsidR="007932AC" w:rsidRPr="00B57290" w:rsidTr="00B57290">
        <w:trPr>
          <w:trHeight w:val="964"/>
        </w:trPr>
        <w:tc>
          <w:tcPr>
            <w:tcW w:w="5352" w:type="dxa"/>
          </w:tcPr>
          <w:p w:rsidR="007932AC" w:rsidRPr="00B57290" w:rsidRDefault="007932AC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7932AC" w:rsidRPr="00B57290" w:rsidRDefault="007932AC" w:rsidP="00B5729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  <w:p w:rsidR="007932AC" w:rsidRPr="00B57290" w:rsidRDefault="007932AC" w:rsidP="00B57290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572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ArtificialIntelligence(</w:t>
            </w:r>
            <w:proofErr w:type="gramEnd"/>
            <w:r w:rsidRPr="00B572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AI)generatedorassistedreviewcommentsarestrictlyprohibitedduringpeer</w:t>
            </w:r>
            <w:r w:rsidRPr="00B5729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71" w:type="dxa"/>
          </w:tcPr>
          <w:p w:rsidR="007932AC" w:rsidRPr="00B57290" w:rsidRDefault="007932AC" w:rsidP="00B57290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Author’sFeedback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Itismandatorythatauthorsshouldwritehis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>/her feedback here)</w:t>
            </w:r>
          </w:p>
        </w:tc>
      </w:tr>
      <w:tr w:rsidR="007932AC" w:rsidRPr="00B57290" w:rsidTr="00B57290">
        <w:trPr>
          <w:trHeight w:val="1840"/>
        </w:trPr>
        <w:tc>
          <w:tcPr>
            <w:tcW w:w="5352" w:type="dxa"/>
          </w:tcPr>
          <w:p w:rsidR="007932AC" w:rsidRPr="00B57290" w:rsidRDefault="007932AC" w:rsidP="00B5729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Pleasewriteafewsentencesregardingtheimportance</w:t>
            </w:r>
            <w:proofErr w:type="spellEnd"/>
            <w:r w:rsidRPr="00B57290">
              <w:rPr>
                <w:rFonts w:ascii="Arial" w:hAnsi="Arial" w:cs="Arial"/>
                <w:b/>
                <w:sz w:val="20"/>
                <w:szCs w:val="20"/>
              </w:rPr>
              <w:t xml:space="preserve"> of this manuscript for the scientific community. A minimum of 3-4 sentences may be required for this </w:t>
            </w:r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7932AC" w:rsidRPr="00B57290" w:rsidRDefault="007932AC" w:rsidP="00B57290">
            <w:pPr>
              <w:pStyle w:val="TableParagraph"/>
              <w:ind w:left="108" w:right="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The manuscript delivers critical insights into the atmospheric fate of a halogenated ester-ethyl 2-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chloroacetoacetate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 xml:space="preserve"> that have been largely unexplored to date, thereby filling a significant gap in ourunderstandingofchlorinatedVOCoxidationpathways.Bycombininghigh-levelDFTcalculationswithcanonical transition state theory and Eckart tunneling corrections, the authors provide rigorously derived rate constants and thermochemical parameters that can be directly incorporated into tropospheric reaction mechanisms.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Theseresults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 xml:space="preserve"> will enable more accurate modeling of OVOC lifetimes and secondary pollutant formation, with direct implications for air</w:t>
            </w:r>
            <w:r w:rsidRPr="00B57290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B57290">
              <w:rPr>
                <w:rFonts w:ascii="Arial" w:hAnsi="Arial" w:cs="Arial"/>
                <w:sz w:val="20"/>
                <w:szCs w:val="20"/>
              </w:rPr>
              <w:t>quality forecasting and regulatory assessments.</w:t>
            </w:r>
          </w:p>
        </w:tc>
        <w:tc>
          <w:tcPr>
            <w:tcW w:w="6271" w:type="dxa"/>
          </w:tcPr>
          <w:p w:rsidR="007932AC" w:rsidRPr="00B57290" w:rsidRDefault="00085305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 We are th</w:t>
            </w:r>
            <w:r w:rsidR="00283828" w:rsidRPr="00B57290">
              <w:rPr>
                <w:rFonts w:ascii="Arial" w:hAnsi="Arial" w:cs="Arial"/>
                <w:sz w:val="20"/>
                <w:szCs w:val="20"/>
              </w:rPr>
              <w:t xml:space="preserve">ankful to the learned reviewer </w:t>
            </w:r>
            <w:r w:rsidRPr="00B57290">
              <w:rPr>
                <w:rFonts w:ascii="Arial" w:hAnsi="Arial" w:cs="Arial"/>
                <w:sz w:val="20"/>
                <w:szCs w:val="20"/>
              </w:rPr>
              <w:t>for his/her valuable comments.</w:t>
            </w:r>
          </w:p>
        </w:tc>
      </w:tr>
      <w:tr w:rsidR="007932AC" w:rsidRPr="00B57290" w:rsidTr="00B57290">
        <w:trPr>
          <w:trHeight w:val="921"/>
        </w:trPr>
        <w:tc>
          <w:tcPr>
            <w:tcW w:w="5352" w:type="dxa"/>
          </w:tcPr>
          <w:p w:rsidR="007932AC" w:rsidRPr="00B57290" w:rsidRDefault="007932AC" w:rsidP="00B5729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Isthetitleofthearticle</w:t>
            </w:r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  <w:proofErr w:type="spellEnd"/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?</w:t>
            </w:r>
          </w:p>
          <w:p w:rsidR="007932AC" w:rsidRPr="00B57290" w:rsidRDefault="007932AC" w:rsidP="00B5729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57290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Ifnotpleasesuggestanalternative</w:t>
            </w:r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proofErr w:type="spellEnd"/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9356" w:type="dxa"/>
          </w:tcPr>
          <w:p w:rsidR="007932AC" w:rsidRPr="00B57290" w:rsidRDefault="007932AC" w:rsidP="00B57290">
            <w:pPr>
              <w:pStyle w:val="TableParagraph"/>
              <w:ind w:left="108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The current title accurately reflects the manuscript’s scope and methods, but it is somewhat verbose and could be made more engaging and concise. Suggested alternative title: “Quantum Chemical Investigation of OH-Initiated Oxidation Kinetics of Ethyl 2-Chloroacetoacetate in the Atmosphere”</w:t>
            </w:r>
          </w:p>
        </w:tc>
        <w:tc>
          <w:tcPr>
            <w:tcW w:w="6271" w:type="dxa"/>
          </w:tcPr>
          <w:p w:rsidR="007932AC" w:rsidRPr="00B57290" w:rsidRDefault="00085305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We have modified the title of the manuscript as per reviewer’s suggestion. </w:t>
            </w:r>
          </w:p>
        </w:tc>
      </w:tr>
      <w:tr w:rsidR="007932AC" w:rsidRPr="00B57290" w:rsidTr="00B57290">
        <w:trPr>
          <w:trHeight w:val="3218"/>
        </w:trPr>
        <w:tc>
          <w:tcPr>
            <w:tcW w:w="5352" w:type="dxa"/>
          </w:tcPr>
          <w:p w:rsidR="007932AC" w:rsidRPr="00B57290" w:rsidRDefault="007932AC" w:rsidP="00B5729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57290">
              <w:rPr>
                <w:rFonts w:ascii="Arial" w:hAnsi="Arial" w:cs="Arial"/>
                <w:b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suggesttheaddition</w:t>
            </w:r>
            <w:proofErr w:type="spellEnd"/>
            <w:r w:rsidRPr="00B57290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ordeletion</w:t>
            </w:r>
            <w:proofErr w:type="spellEnd"/>
            <w:r w:rsidRPr="00B57290">
              <w:rPr>
                <w:rFonts w:ascii="Arial" w:hAnsi="Arial" w:cs="Arial"/>
                <w:b/>
                <w:sz w:val="20"/>
                <w:szCs w:val="20"/>
              </w:rPr>
              <w:t>)</w:t>
            </w: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ofsomepointsinthis</w:t>
            </w:r>
            <w:proofErr w:type="spellEnd"/>
            <w:r w:rsidRPr="00B57290">
              <w:rPr>
                <w:rFonts w:ascii="Arial" w:hAnsi="Arial" w:cs="Arial"/>
                <w:b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9356" w:type="dxa"/>
          </w:tcPr>
          <w:p w:rsidR="007932AC" w:rsidRPr="00B57290" w:rsidRDefault="007932AC" w:rsidP="00B57290">
            <w:pPr>
              <w:pStyle w:val="TableParagraph"/>
              <w:ind w:left="108" w:right="10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The Abstract effectively summarizes the study’s objectives, methods, and key findings (rate constant at 298 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K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57290"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 xml:space="preserve"> estimated tropospheric lifetime). However, it omits a few critical details that would improve its standalone clarity and impact.</w:t>
            </w:r>
          </w:p>
          <w:p w:rsidR="007932AC" w:rsidRPr="00B57290" w:rsidRDefault="007932AC" w:rsidP="00B57290">
            <w:pPr>
              <w:pStyle w:val="TableParagraph"/>
              <w:spacing w:before="229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Suggested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Additions: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Include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assumed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global</w:t>
            </w:r>
            <w:r w:rsidRPr="00B57290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B57290">
              <w:rPr>
                <w:rFonts w:ascii="Arial" w:hAnsi="Arial" w:cs="Arial"/>
                <w:sz w:val="20"/>
                <w:szCs w:val="20"/>
              </w:rPr>
              <w:t>average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[OH]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used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to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calculate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lifetime.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Briefly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note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level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of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theory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and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basis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set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to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signal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methodologicalrigor</w:t>
            </w:r>
            <w:proofErr w:type="spellEnd"/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to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computational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chemists.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107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Add one sentence on the industrial or natural sources of E2CAA to underline why its oxidation kinetics are of broader tropospheric interest.</w:t>
            </w:r>
          </w:p>
          <w:p w:rsidR="007932AC" w:rsidRPr="00B57290" w:rsidRDefault="007932AC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7932AC" w:rsidRPr="00B57290" w:rsidRDefault="007932AC" w:rsidP="00B5729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Suggested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Deletions/Streamlining: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mention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of“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pre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-and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post-reaction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complexes”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can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be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shortened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to“reaction</w:t>
            </w:r>
            <w:proofErr w:type="spellEnd"/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complexes”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Omit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explicit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reference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to“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CanTherm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>/Eckart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tunneling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corrections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via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KiSThelP</w:t>
            </w:r>
            <w:proofErr w:type="spellEnd"/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”</w:t>
            </w:r>
          </w:p>
        </w:tc>
        <w:tc>
          <w:tcPr>
            <w:tcW w:w="6271" w:type="dxa"/>
          </w:tcPr>
          <w:p w:rsidR="007932AC" w:rsidRPr="00B57290" w:rsidRDefault="007932AC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83828" w:rsidRPr="00B57290" w:rsidRDefault="00283828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83828" w:rsidRPr="00B57290" w:rsidRDefault="00283828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We have incorporated the necessary corrections in revised manuscript.</w:t>
            </w:r>
          </w:p>
        </w:tc>
      </w:tr>
      <w:tr w:rsidR="007932AC" w:rsidRPr="00B57290" w:rsidTr="00B57290">
        <w:trPr>
          <w:trHeight w:val="705"/>
        </w:trPr>
        <w:tc>
          <w:tcPr>
            <w:tcW w:w="5352" w:type="dxa"/>
          </w:tcPr>
          <w:p w:rsidR="007932AC" w:rsidRPr="00B57290" w:rsidRDefault="007932AC" w:rsidP="00B5729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Isthemanuscriptscientifically,correct</w:t>
            </w:r>
            <w:proofErr w:type="gramEnd"/>
            <w:r w:rsidRPr="00B57290">
              <w:rPr>
                <w:rFonts w:ascii="Arial" w:hAnsi="Arial" w:cs="Arial"/>
                <w:b/>
                <w:sz w:val="20"/>
                <w:szCs w:val="20"/>
              </w:rPr>
              <w:t>?Pleasewrite</w:t>
            </w:r>
            <w:proofErr w:type="spellEnd"/>
            <w:r w:rsidRPr="00B572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7932AC" w:rsidRPr="00B57290" w:rsidRDefault="007932AC" w:rsidP="00B5729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085305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manuscript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is</w:t>
            </w:r>
            <w:r w:rsidR="00085305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scientifically</w:t>
            </w:r>
            <w:r w:rsidR="00085305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sound</w:t>
            </w:r>
            <w:r w:rsidR="00085305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and</w:t>
            </w:r>
            <w:r w:rsidR="00085305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technically</w:t>
            </w:r>
            <w:r w:rsidR="00085305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robust.</w:t>
            </w:r>
          </w:p>
        </w:tc>
        <w:tc>
          <w:tcPr>
            <w:tcW w:w="6271" w:type="dxa"/>
          </w:tcPr>
          <w:p w:rsidR="007932AC" w:rsidRPr="00B57290" w:rsidRDefault="007932AC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2AC" w:rsidRPr="00B57290" w:rsidTr="00B57290">
        <w:trPr>
          <w:trHeight w:val="4658"/>
        </w:trPr>
        <w:tc>
          <w:tcPr>
            <w:tcW w:w="5352" w:type="dxa"/>
          </w:tcPr>
          <w:p w:rsidR="007932AC" w:rsidRPr="00B57290" w:rsidRDefault="007932AC" w:rsidP="00B5729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B57290">
              <w:rPr>
                <w:rFonts w:ascii="Arial" w:hAnsi="Arial" w:cs="Arial"/>
                <w:b/>
                <w:sz w:val="20"/>
                <w:szCs w:val="20"/>
              </w:rPr>
              <w:lastRenderedPageBreak/>
              <w:t>Arethereferencessufficientandrecent?Ifyouhave</w:t>
            </w:r>
            <w:proofErr w:type="spellEnd"/>
            <w:proofErr w:type="gramEnd"/>
            <w:r w:rsidRPr="00B57290">
              <w:rPr>
                <w:rFonts w:ascii="Arial" w:hAnsi="Arial" w:cs="Arial"/>
                <w:b/>
                <w:sz w:val="20"/>
                <w:szCs w:val="20"/>
              </w:rPr>
              <w:t xml:space="preserve"> suggestions of additional references, please mention them in the review form.</w:t>
            </w:r>
          </w:p>
        </w:tc>
        <w:tc>
          <w:tcPr>
            <w:tcW w:w="9356" w:type="dxa"/>
          </w:tcPr>
          <w:p w:rsidR="007932AC" w:rsidRPr="00B57290" w:rsidRDefault="007932AC" w:rsidP="00B57290">
            <w:pPr>
              <w:pStyle w:val="TableParagraph"/>
              <w:ind w:left="108"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The current reference list is broadly adequate. However, several recent and highly relevant publications are missing, and their inclusion would both strengthen the manuscript’s context and demonstrate engagement with state-of-the-art research: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229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Atkinson,R.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;Arey,J.:“Atmospheric</w:t>
            </w:r>
            <w:proofErr w:type="spellEnd"/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Degradation of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VolatileOrganic</w:t>
            </w:r>
            <w:proofErr w:type="spellEnd"/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Compounds,”Chem.Rev.,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2003,</w:t>
            </w:r>
          </w:p>
          <w:p w:rsidR="007932AC" w:rsidRPr="00B57290" w:rsidRDefault="007932AC" w:rsidP="00B57290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103(12),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4605–4638.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Chen,X.</w:t>
            </w:r>
            <w:proofErr w:type="gramEnd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;Li,Y.;Sun,W.;Zhang,R.:“Theoretical</w:t>
            </w:r>
            <w:proofErr w:type="spellEnd"/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Study</w:t>
            </w:r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on</w:t>
            </w:r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OH</w:t>
            </w:r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Abstraction</w:t>
            </w:r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Kinetics</w:t>
            </w:r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of</w:t>
            </w:r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Chloro-</w:t>
            </w:r>
            <w:r w:rsidRPr="00B57290">
              <w:rPr>
                <w:rFonts w:ascii="Arial" w:hAnsi="Arial" w:cs="Arial"/>
                <w:color w:val="FF0000"/>
                <w:spacing w:val="-5"/>
                <w:sz w:val="20"/>
                <w:szCs w:val="20"/>
              </w:rPr>
              <w:t>and</w:t>
            </w:r>
          </w:p>
          <w:p w:rsidR="007932AC" w:rsidRPr="00B57290" w:rsidRDefault="007932AC" w:rsidP="00B57290">
            <w:pPr>
              <w:pStyle w:val="TableParagraph"/>
              <w:spacing w:line="229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Bromoacetoacetates</w:t>
            </w:r>
            <w:proofErr w:type="spellEnd"/>
            <w:proofErr w:type="gramStart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,”</w:t>
            </w:r>
            <w:proofErr w:type="spellStart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J</w:t>
            </w:r>
            <w:proofErr w:type="gramEnd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.Phys.Chem.A</w:t>
            </w:r>
            <w:proofErr w:type="spellEnd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  <w:r w:rsidR="00B1615F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2022,126(5),</w:t>
            </w:r>
            <w:r w:rsidRPr="00B57290">
              <w:rPr>
                <w:rFonts w:ascii="Arial" w:hAnsi="Arial" w:cs="Arial"/>
                <w:color w:val="FF0000"/>
                <w:spacing w:val="-2"/>
                <w:sz w:val="20"/>
                <w:szCs w:val="20"/>
              </w:rPr>
              <w:t>1823–1833.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29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Shu,Y.</w:t>
            </w:r>
            <w:proofErr w:type="gramEnd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;Truhlar,D.G.:“Performance</w:t>
            </w:r>
            <w:proofErr w:type="spellEnd"/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of</w:t>
            </w:r>
            <w:r w:rsidR="00CA6543"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M06-2XandOtherDensityFunctionals</w:t>
            </w:r>
            <w:r w:rsidRPr="00B57290">
              <w:rPr>
                <w:rFonts w:ascii="Arial" w:hAnsi="Arial" w:cs="Arial"/>
                <w:color w:val="FF0000"/>
                <w:spacing w:val="-5"/>
                <w:sz w:val="20"/>
                <w:szCs w:val="20"/>
              </w:rPr>
              <w:t>for</w:t>
            </w:r>
          </w:p>
          <w:p w:rsidR="007932AC" w:rsidRPr="00B57290" w:rsidRDefault="007932AC" w:rsidP="00B57290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Hydrogen</w:t>
            </w:r>
            <w:r w:rsidRPr="00B57290">
              <w:rPr>
                <w:rFonts w:ascii="Cambria Math" w:hAnsi="Cambria Math" w:cs="Cambria Math"/>
                <w:color w:val="FF0000"/>
                <w:sz w:val="20"/>
                <w:szCs w:val="20"/>
              </w:rPr>
              <w:t>‐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AbstractionReactions</w:t>
            </w:r>
            <w:proofErr w:type="gramStart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,”J</w:t>
            </w:r>
            <w:proofErr w:type="gramEnd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.Chem.TheoryComput.,2018,14(3),</w:t>
            </w:r>
            <w:r w:rsidRPr="00B57290">
              <w:rPr>
                <w:rFonts w:ascii="Arial" w:hAnsi="Arial" w:cs="Arial"/>
                <w:color w:val="FF0000"/>
                <w:spacing w:val="-2"/>
                <w:sz w:val="20"/>
                <w:szCs w:val="20"/>
              </w:rPr>
              <w:t>1766–1775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10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Nguyen,H.H.</w:t>
            </w:r>
            <w:proofErr w:type="gramEnd"/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>;Nguyen,T.T.;VanDoren,E.;Truhlar,D.G.:“QuantifyingTunnelingEffectsin Atmospheric Radical Reactions with Eckart Barriers,</w:t>
            </w:r>
            <w:r w:rsidRPr="00B57290">
              <w:rPr>
                <w:rFonts w:ascii="Arial" w:hAnsi="Arial" w:cs="Arial"/>
                <w:sz w:val="20"/>
                <w:szCs w:val="20"/>
              </w:rPr>
              <w:t>”</w:t>
            </w:r>
            <w:r w:rsidRPr="00B57290">
              <w:rPr>
                <w:rFonts w:ascii="Arial" w:hAnsi="Arial" w:cs="Arial"/>
                <w:color w:val="FF0000"/>
                <w:sz w:val="20"/>
                <w:szCs w:val="20"/>
              </w:rPr>
              <w:t xml:space="preserve"> J. Phys. Chem. A, 2020, 124 (12), 2413–2423.</w:t>
            </w:r>
          </w:p>
          <w:p w:rsidR="007932AC" w:rsidRPr="00B57290" w:rsidRDefault="007932AC" w:rsidP="00B57290">
            <w:pPr>
              <w:pStyle w:val="TableParagraph"/>
              <w:spacing w:before="3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37" w:lineRule="auto"/>
              <w:ind w:right="10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In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Introduction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(p.2–3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),cite</w:t>
            </w:r>
            <w:proofErr w:type="gramEnd"/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Atkinson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&amp;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Arey</w:t>
            </w:r>
            <w:proofErr w:type="spellEnd"/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(2003)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to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frame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environmental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importance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of halogenated ester oxidation.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 w:line="245" w:lineRule="exact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In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Methodology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(p.4),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reference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Shu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&amp;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Truhlar</w:t>
            </w:r>
            <w:proofErr w:type="spellEnd"/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(2018)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when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justifying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M06-2X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selection.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103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In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Kinetics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discussion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(p.8),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include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Nguyen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etal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>.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(2020)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alongside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your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tunneling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treatment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to contextualize parameter choices.</w:t>
            </w:r>
          </w:p>
          <w:p w:rsidR="007932AC" w:rsidRPr="00B57290" w:rsidRDefault="007932AC" w:rsidP="00B5729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In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Results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comparison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(p.7),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contrast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your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rate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constants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with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those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from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Chen</w:t>
            </w:r>
            <w:r w:rsidR="000A2215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et</w:t>
            </w:r>
            <w:r w:rsidR="000A2215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al.</w:t>
            </w:r>
            <w:r w:rsidR="00CA6543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(2022).</w:t>
            </w:r>
          </w:p>
        </w:tc>
        <w:tc>
          <w:tcPr>
            <w:tcW w:w="6271" w:type="dxa"/>
          </w:tcPr>
          <w:p w:rsidR="007932AC" w:rsidRPr="00B57290" w:rsidRDefault="00283828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  Necessary corrections are made in revised manuscript.</w:t>
            </w:r>
          </w:p>
          <w:p w:rsidR="00283828" w:rsidRPr="00B57290" w:rsidRDefault="00283828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83828" w:rsidRPr="00B57290" w:rsidRDefault="002B2CDA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 We have added more references to strengthen the manuscript.</w:t>
            </w:r>
          </w:p>
          <w:p w:rsidR="00283828" w:rsidRPr="00B57290" w:rsidRDefault="00283828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83828" w:rsidRPr="00B57290" w:rsidRDefault="00283828" w:rsidP="00B572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However, we could not find the marked references as suggested by learned reviewer. It is better to provide link of the references or DOI of the manuscripts.</w:t>
            </w:r>
          </w:p>
        </w:tc>
      </w:tr>
    </w:tbl>
    <w:p w:rsidR="004B54E4" w:rsidRPr="00B57290" w:rsidRDefault="004B54E4">
      <w:pPr>
        <w:rPr>
          <w:rFonts w:ascii="Arial" w:hAnsi="Arial" w:cs="Arial"/>
          <w:sz w:val="20"/>
          <w:szCs w:val="20"/>
        </w:rPr>
        <w:sectPr w:rsidR="004B54E4" w:rsidRPr="00B57290">
          <w:headerReference w:type="default" r:id="rId8"/>
          <w:footerReference w:type="default" r:id="rId9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:rsidR="004B54E4" w:rsidRPr="00B57290" w:rsidRDefault="004B54E4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  <w:gridCol w:w="5352"/>
        <w:gridCol w:w="1313"/>
        <w:gridCol w:w="7165"/>
        <w:gridCol w:w="878"/>
        <w:gridCol w:w="6274"/>
        <w:gridCol w:w="171"/>
      </w:tblGrid>
      <w:tr w:rsidR="004B54E4" w:rsidRPr="00B57290" w:rsidTr="00B57290">
        <w:trPr>
          <w:gridBefore w:val="1"/>
          <w:wBefore w:w="57" w:type="dxa"/>
          <w:trHeight w:val="2759"/>
        </w:trPr>
        <w:tc>
          <w:tcPr>
            <w:tcW w:w="5352" w:type="dxa"/>
          </w:tcPr>
          <w:p w:rsidR="004B54E4" w:rsidRPr="00B57290" w:rsidRDefault="004E4F1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Isthelanguage</w:t>
            </w:r>
            <w:proofErr w:type="spellEnd"/>
            <w:r w:rsidRPr="00B57290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</w:rPr>
              <w:t>Englishqualityofthearticlesuitable</w:t>
            </w:r>
            <w:proofErr w:type="spellEnd"/>
            <w:r w:rsidRPr="00B57290">
              <w:rPr>
                <w:rFonts w:ascii="Arial" w:hAnsi="Arial" w:cs="Arial"/>
                <w:b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9356" w:type="dxa"/>
            <w:gridSpan w:val="3"/>
          </w:tcPr>
          <w:p w:rsidR="004B54E4" w:rsidRPr="00B57290" w:rsidRDefault="004E4F1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Themanuscript’sEnglishisgenerallyofhighscholarlyquality,withclearandprecisetechnical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terminology</w:t>
            </w:r>
            <w:proofErr w:type="gramEnd"/>
          </w:p>
          <w:p w:rsidR="004B54E4" w:rsidRPr="00B57290" w:rsidRDefault="004E4F1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appropriatefor</w:t>
            </w:r>
            <w:r w:rsidR="0096713E" w:rsidRPr="00B57290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="0096713E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journal.Sentencesarewell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-structured,andthescientificnarrativeflows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logically.</w:t>
            </w:r>
          </w:p>
          <w:p w:rsidR="004B54E4" w:rsidRPr="00B57290" w:rsidRDefault="004B54E4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B54E4" w:rsidRPr="00B57290" w:rsidRDefault="004E4F1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However,afew</w:t>
            </w:r>
            <w:proofErr w:type="spellEnd"/>
            <w:proofErr w:type="gramEnd"/>
            <w:r w:rsidR="00EF627F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minor</w:t>
            </w:r>
            <w:r w:rsidR="00EF627F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issues</w:t>
            </w:r>
            <w:r w:rsidR="00EF627F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should</w:t>
            </w:r>
            <w:r w:rsidR="00EF627F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z w:val="20"/>
                <w:szCs w:val="20"/>
              </w:rPr>
              <w:t>be</w:t>
            </w:r>
            <w:r w:rsidR="00EF627F"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addressed: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righ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Standardizespacingaroundendashes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e.g.,“250–450K”ratherthan“250 –450K”)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andensureuniform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 xml:space="preserve"> use of hyphens in compound adjectives (e.g., “OH-initiated” vs. “OH initiated”).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5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Correct instances such as “reactions follow an indirect process” (p. 1, l. 20) to “the reactions follow an indirect pathway” for improved precision.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Somesentencescouldbetightened.Forexample,compress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“pre-andpost-reactioncomplexes”to “reaction complexes” where context permits.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Reviewinstancesofmissingarticles(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e.g.,“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performedIRCanalysis”→“performedanIRC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analysis”).</w:t>
            </w:r>
          </w:p>
        </w:tc>
        <w:tc>
          <w:tcPr>
            <w:tcW w:w="6445" w:type="dxa"/>
            <w:gridSpan w:val="2"/>
          </w:tcPr>
          <w:p w:rsidR="00EF627F" w:rsidRPr="00B57290" w:rsidRDefault="00EF627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 Necessary corrections are incorporated in the revised manuscript.</w:t>
            </w:r>
          </w:p>
        </w:tc>
      </w:tr>
      <w:tr w:rsidR="004B54E4" w:rsidRPr="00B57290" w:rsidTr="00B57290">
        <w:trPr>
          <w:gridBefore w:val="1"/>
          <w:wBefore w:w="57" w:type="dxa"/>
          <w:trHeight w:val="3041"/>
        </w:trPr>
        <w:tc>
          <w:tcPr>
            <w:tcW w:w="5352" w:type="dxa"/>
          </w:tcPr>
          <w:p w:rsidR="004B54E4" w:rsidRPr="00B57290" w:rsidRDefault="004E4F13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</w:t>
            </w:r>
            <w:proofErr w:type="spellStart"/>
            <w:r w:rsidRPr="00B57290">
              <w:rPr>
                <w:rFonts w:ascii="Arial" w:hAnsi="Arial" w:cs="Arial"/>
                <w:b/>
                <w:sz w:val="20"/>
                <w:szCs w:val="20"/>
                <w:u w:val="single"/>
              </w:rPr>
              <w:t>General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356" w:type="dxa"/>
            <w:gridSpan w:val="3"/>
          </w:tcPr>
          <w:p w:rsidR="004B54E4" w:rsidRPr="00B57290" w:rsidRDefault="004E4F1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Pleaseverifythatallrateconstants,energies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,andlifetimesuseconsistentunitsthroughout(e.g.,</w:t>
            </w:r>
            <w:r w:rsidRPr="00B57290">
              <w:rPr>
                <w:rFonts w:ascii="Arial" w:hAnsi="Arial" w:cs="Arial"/>
                <w:spacing w:val="-5"/>
                <w:sz w:val="20"/>
                <w:szCs w:val="20"/>
              </w:rPr>
              <w:t>cm³</w:t>
            </w:r>
          </w:p>
          <w:p w:rsidR="004B54E4" w:rsidRPr="00B57290" w:rsidRDefault="004E4F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molecule</w:t>
            </w:r>
            <w:r w:rsidRPr="00B57290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B57290">
              <w:rPr>
                <w:rFonts w:ascii="Arial" w:hAnsi="Arial" w:cs="Arial"/>
                <w:sz w:val="20"/>
                <w:szCs w:val="20"/>
              </w:rPr>
              <w:t>¹s</w:t>
            </w:r>
            <w:r w:rsidRPr="00B57290">
              <w:rPr>
                <w:rFonts w:ascii="Cambria Math" w:hAnsi="Cambria Math" w:cs="Cambria Math"/>
                <w:sz w:val="20"/>
                <w:szCs w:val="20"/>
              </w:rPr>
              <w:t>⁻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¹,kJmol</w:t>
            </w:r>
            <w:proofErr w:type="gramEnd"/>
            <w:r w:rsidRPr="00B57290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B57290">
              <w:rPr>
                <w:rFonts w:ascii="Arial" w:hAnsi="Arial" w:cs="Arial"/>
                <w:sz w:val="20"/>
                <w:szCs w:val="20"/>
              </w:rPr>
              <w:t>¹)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anddefineanynon-standardunitsatfirst</w:t>
            </w:r>
            <w:r w:rsidRPr="00B57290">
              <w:rPr>
                <w:rFonts w:ascii="Arial" w:hAnsi="Arial" w:cs="Arial"/>
                <w:spacing w:val="-4"/>
                <w:sz w:val="20"/>
                <w:szCs w:val="20"/>
              </w:rPr>
              <w:t>use</w:t>
            </w:r>
            <w:proofErr w:type="spellEnd"/>
            <w:r w:rsidRPr="00B57290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right="106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Where feasible, estimate uncertainties or error bars for key computed parameters (e.g., rate 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constants)arising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 xml:space="preserve"> from methodological approximations.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right="102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Brieflymentioncomputationalresources(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e.g.,CPUhours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,softwareversions)usedfortheDFTand kinetics calculations to guide future users.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02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If data are available, discuss potential regional variability in OH concentrations (e.g., urban vs. remote troposphere) and its impact on E2CAA lifetime.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06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 xml:space="preserve">Ensure chemical </w:t>
            </w:r>
            <w:proofErr w:type="spellStart"/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namesandabbreviations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 xml:space="preserve">e.g., E2CAA, OVOC) are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definedonce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andused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 xml:space="preserve"> consistently to avoid reader confusion.</w:t>
            </w:r>
          </w:p>
          <w:p w:rsidR="004B54E4" w:rsidRPr="00B57290" w:rsidRDefault="004E4F1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Brieflyoutlinehowthiscomputationalframeworkcouldbeextendedtostudymulti-oxidant</w:t>
            </w:r>
            <w:r w:rsidRPr="00B57290">
              <w:rPr>
                <w:rFonts w:ascii="Arial" w:hAnsi="Arial" w:cs="Arial"/>
                <w:spacing w:val="-2"/>
                <w:sz w:val="20"/>
                <w:szCs w:val="20"/>
              </w:rPr>
              <w:t>scenarios</w:t>
            </w:r>
          </w:p>
          <w:p w:rsidR="004B54E4" w:rsidRPr="00B57290" w:rsidRDefault="004E4F13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B57290">
              <w:rPr>
                <w:rFonts w:ascii="Arial" w:hAnsi="Arial" w:cs="Arial"/>
                <w:sz w:val="20"/>
                <w:szCs w:val="20"/>
              </w:rPr>
              <w:t>e.g.,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Cl</w:t>
            </w:r>
            <w:proofErr w:type="gramEnd"/>
            <w:r w:rsidRPr="00B57290">
              <w:rPr>
                <w:rFonts w:ascii="Arial" w:hAnsi="Arial" w:cs="Arial"/>
                <w:sz w:val="20"/>
                <w:szCs w:val="20"/>
              </w:rPr>
              <w:t>,NO</w:t>
            </w:r>
            <w:r w:rsidRPr="00B57290">
              <w:rPr>
                <w:rFonts w:ascii="Cambria Math" w:hAnsi="Cambria Math" w:cs="Cambria Math"/>
                <w:sz w:val="20"/>
                <w:szCs w:val="20"/>
              </w:rPr>
              <w:t>₃</w:t>
            </w:r>
            <w:r w:rsidRPr="00B57290">
              <w:rPr>
                <w:rFonts w:ascii="Arial" w:hAnsi="Arial" w:cs="Arial"/>
                <w:sz w:val="20"/>
                <w:szCs w:val="20"/>
              </w:rPr>
              <w:t>radicals</w:t>
            </w:r>
            <w:proofErr w:type="spellEnd"/>
            <w:r w:rsidRPr="00B57290">
              <w:rPr>
                <w:rFonts w:ascii="Arial" w:hAnsi="Arial" w:cs="Arial"/>
                <w:sz w:val="20"/>
                <w:szCs w:val="20"/>
              </w:rPr>
              <w:t>)</w:t>
            </w:r>
            <w:proofErr w:type="spellStart"/>
            <w:r w:rsidRPr="00B57290">
              <w:rPr>
                <w:rFonts w:ascii="Arial" w:hAnsi="Arial" w:cs="Arial"/>
                <w:sz w:val="20"/>
                <w:szCs w:val="20"/>
              </w:rPr>
              <w:t>infuture</w:t>
            </w:r>
            <w:proofErr w:type="spellEnd"/>
            <w:r w:rsidRPr="00B57290">
              <w:rPr>
                <w:rFonts w:ascii="Arial" w:hAnsi="Arial" w:cs="Arial"/>
                <w:spacing w:val="-4"/>
                <w:sz w:val="20"/>
                <w:szCs w:val="20"/>
              </w:rPr>
              <w:t xml:space="preserve"> work.</w:t>
            </w:r>
          </w:p>
        </w:tc>
        <w:tc>
          <w:tcPr>
            <w:tcW w:w="6445" w:type="dxa"/>
            <w:gridSpan w:val="2"/>
          </w:tcPr>
          <w:p w:rsidR="004B54E4" w:rsidRPr="00B57290" w:rsidRDefault="00EF627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290">
              <w:rPr>
                <w:rFonts w:ascii="Arial" w:hAnsi="Arial" w:cs="Arial"/>
                <w:sz w:val="20"/>
                <w:szCs w:val="20"/>
              </w:rPr>
              <w:t>Necessary corrections are incorporated in the revised manuscript.</w:t>
            </w:r>
          </w:p>
        </w:tc>
      </w:tr>
      <w:tr w:rsidR="007932AC" w:rsidRPr="00B57290" w:rsidTr="00B5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71" w:type="dxa"/>
        </w:trPr>
        <w:tc>
          <w:tcPr>
            <w:tcW w:w="2103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290" w:rsidRDefault="00B57290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1" w:name="_Hlk156057704"/>
            <w:bookmarkStart w:id="2" w:name="_Hlk156057883"/>
          </w:p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5729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932AC" w:rsidRPr="00B57290" w:rsidTr="00B5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71" w:type="dxa"/>
        </w:trPr>
        <w:tc>
          <w:tcPr>
            <w:tcW w:w="6722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2AC" w:rsidRPr="00B57290" w:rsidRDefault="007932AC" w:rsidP="007932AC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572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152" w:type="dxa"/>
            <w:gridSpan w:val="2"/>
            <w:shd w:val="clear" w:color="auto" w:fill="auto"/>
          </w:tcPr>
          <w:p w:rsidR="007932AC" w:rsidRPr="00B57290" w:rsidRDefault="007932AC" w:rsidP="007932AC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572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B572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B5729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B5729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7932AC" w:rsidRPr="00B57290" w:rsidTr="00B57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71" w:type="dxa"/>
          <w:trHeight w:val="890"/>
        </w:trPr>
        <w:tc>
          <w:tcPr>
            <w:tcW w:w="6722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5729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572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572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572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52" w:type="dxa"/>
            <w:gridSpan w:val="2"/>
            <w:shd w:val="clear" w:color="auto" w:fill="auto"/>
            <w:vAlign w:val="center"/>
          </w:tcPr>
          <w:p w:rsidR="007932AC" w:rsidRPr="00B57290" w:rsidRDefault="00EF627F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5729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ethical issues have been reported in this manuscript.</w:t>
            </w:r>
          </w:p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932AC" w:rsidRPr="00B57290" w:rsidRDefault="007932AC" w:rsidP="007932A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7932AC" w:rsidRPr="00B57290" w:rsidRDefault="007932AC" w:rsidP="007932A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:rsidR="007932AC" w:rsidRPr="00B57290" w:rsidRDefault="007932AC" w:rsidP="007932A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4B54E4" w:rsidRPr="00B57290" w:rsidRDefault="004B54E4">
      <w:pPr>
        <w:spacing w:before="15" w:after="1"/>
        <w:rPr>
          <w:rFonts w:ascii="Arial" w:hAnsi="Arial" w:cs="Arial"/>
          <w:sz w:val="20"/>
          <w:szCs w:val="20"/>
        </w:rPr>
      </w:pPr>
    </w:p>
    <w:sectPr w:rsidR="004B54E4" w:rsidRPr="00B57290" w:rsidSect="00796D24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DF8" w:rsidRDefault="00764DF8">
      <w:r>
        <w:separator/>
      </w:r>
    </w:p>
  </w:endnote>
  <w:endnote w:type="continuationSeparator" w:id="0">
    <w:p w:rsidR="00764DF8" w:rsidRDefault="0076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4E4" w:rsidRDefault="00764DF8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pt;margin-top:796.2pt;width:52.2pt;height:10.95pt;z-index:-159211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<v:textbox inset="0,0,0,0">
            <w:txbxContent>
              <w:p w:rsidR="004B54E4" w:rsidRDefault="004E4F13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Createdby:</w:t>
                </w:r>
                <w:r>
                  <w:rPr>
                    <w:spacing w:val="-5"/>
                    <w:sz w:val="16"/>
                  </w:rPr>
                  <w:t>DR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3" o:spid="_x0000_s2051" type="#_x0000_t202" style="position:absolute;margin-left:207.95pt;margin-top:796.2pt;width:55.7pt;height:10.95pt;z-index:-159206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<v:textbox inset="0,0,0,0">
            <w:txbxContent>
              <w:p w:rsidR="004B54E4" w:rsidRDefault="004E4F13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4" o:spid="_x0000_s2050" type="#_x0000_t202" style="position:absolute;margin-left:347.75pt;margin-top:796.2pt;width:67.8pt;height:10.95pt;z-index:-159201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<v:textbox inset="0,0,0,0">
            <w:txbxContent>
              <w:p w:rsidR="004B54E4" w:rsidRDefault="004E4F13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5" o:spid="_x0000_s2049" type="#_x0000_t202" style="position:absolute;margin-left:539.05pt;margin-top:796.2pt;width:80.45pt;height:10.95pt;z-index:-159196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<v:textbox inset="0,0,0,0">
            <w:txbxContent>
              <w:p w:rsidR="004B54E4" w:rsidRDefault="004E4F13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DF8" w:rsidRDefault="00764DF8">
      <w:r>
        <w:separator/>
      </w:r>
    </w:p>
  </w:footnote>
  <w:footnote w:type="continuationSeparator" w:id="0">
    <w:p w:rsidR="00764DF8" w:rsidRDefault="00764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4E4" w:rsidRDefault="00764DF8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pt;margin-top:63.25pt;width:86.85pt;height:15.45pt;z-index:-159216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<v:textbox inset="0,0,0,0">
            <w:txbxContent>
              <w:p w:rsidR="004B54E4" w:rsidRDefault="004E4F13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proofErr w:type="spellStart"/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proofErr w:type="spellEnd"/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56FA1"/>
    <w:multiLevelType w:val="hybridMultilevel"/>
    <w:tmpl w:val="65026894"/>
    <w:lvl w:ilvl="0" w:tplc="73CAA818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BB2EB9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1A9AF7E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CC58D054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BEA2D852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4316105C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1F48736A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29E49EAA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4DBA3520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0DC0188"/>
    <w:multiLevelType w:val="hybridMultilevel"/>
    <w:tmpl w:val="F7E4A9D4"/>
    <w:lvl w:ilvl="0" w:tplc="D1E48ED2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CA42A7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E9C4A238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C59A5D58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58AE7352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9A42806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90EC12FA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6B38D21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7D021B0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8D05426"/>
    <w:multiLevelType w:val="hybridMultilevel"/>
    <w:tmpl w:val="06A6709E"/>
    <w:lvl w:ilvl="0" w:tplc="FDA677A6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32C0E42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410E3A9A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A99A1C9C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F7E8103C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1CD4403E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DF0A3F30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9A34319E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E87A5830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D146B3B"/>
    <w:multiLevelType w:val="hybridMultilevel"/>
    <w:tmpl w:val="143828DE"/>
    <w:lvl w:ilvl="0" w:tplc="0F18554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52981C64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9C9217A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A5CAE604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C0924E38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40928C0E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63ECAB12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81344B0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58482C7E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F8033C5"/>
    <w:multiLevelType w:val="hybridMultilevel"/>
    <w:tmpl w:val="91DC2D0E"/>
    <w:lvl w:ilvl="0" w:tplc="B9C8E1A8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6DE7666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BF303CDA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DD66296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ABD24400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149C253E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086C503A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11868D02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23A2509A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4E4"/>
    <w:rsid w:val="00085305"/>
    <w:rsid w:val="000868C1"/>
    <w:rsid w:val="000A1304"/>
    <w:rsid w:val="000A2215"/>
    <w:rsid w:val="002705F7"/>
    <w:rsid w:val="00283828"/>
    <w:rsid w:val="002B2CDA"/>
    <w:rsid w:val="00492C69"/>
    <w:rsid w:val="004B54E4"/>
    <w:rsid w:val="004E4F13"/>
    <w:rsid w:val="005761F4"/>
    <w:rsid w:val="005E4481"/>
    <w:rsid w:val="00764DF8"/>
    <w:rsid w:val="007932AC"/>
    <w:rsid w:val="00796D24"/>
    <w:rsid w:val="0096713E"/>
    <w:rsid w:val="00B1615F"/>
    <w:rsid w:val="00B57290"/>
    <w:rsid w:val="00CA6543"/>
    <w:rsid w:val="00DA3C52"/>
    <w:rsid w:val="00DB1672"/>
    <w:rsid w:val="00EF627F"/>
    <w:rsid w:val="00FF1DFE"/>
    <w:rsid w:val="00FF4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50A5B74E"/>
  <w15:docId w15:val="{EDF1BBAB-B9D6-4FB4-BBFB-7B7ACEF9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796D2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96D24"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rsid w:val="00796D24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796D24"/>
  </w:style>
  <w:style w:type="paragraph" w:customStyle="1" w:styleId="TableParagraph">
    <w:name w:val="Table Paragraph"/>
    <w:basedOn w:val="Normal"/>
    <w:uiPriority w:val="1"/>
    <w:qFormat/>
    <w:rsid w:val="00796D24"/>
    <w:pPr>
      <w:ind w:left="82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ocs.com/index.php/AJO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16</cp:revision>
  <dcterms:created xsi:type="dcterms:W3CDTF">2025-08-06T08:43:00Z</dcterms:created>
  <dcterms:modified xsi:type="dcterms:W3CDTF">2025-08-08T07:21:00Z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2025-08-06T00:00:00Z</vt:filetime>
  </property>
  <property fmtid="{D5CDD505-2E9C-101B-9397-08002B2CF9AE}" pid="5" name="Producer">
    <vt:lpwstr>Microsoft® Word for Microsoft 365</vt:lpwstr>
  </property>
</Properties>
</file>