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A7C83" w14:paraId="695FCD7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8A8A8C8" w14:textId="77777777" w:rsidR="00602F7D" w:rsidRPr="008A7C8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A7C83" w14:paraId="148E34CD" w14:textId="77777777" w:rsidTr="002643B3">
        <w:trPr>
          <w:trHeight w:val="290"/>
        </w:trPr>
        <w:tc>
          <w:tcPr>
            <w:tcW w:w="1234" w:type="pct"/>
          </w:tcPr>
          <w:p w14:paraId="1B59E250" w14:textId="77777777" w:rsidR="0000007A" w:rsidRPr="008A7C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BE49D" w14:textId="77777777" w:rsidR="0000007A" w:rsidRPr="008A7C83" w:rsidRDefault="00F1542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8A7C8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8A7C8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A7C83" w14:paraId="6796F3C5" w14:textId="77777777" w:rsidTr="002643B3">
        <w:trPr>
          <w:trHeight w:val="290"/>
        </w:trPr>
        <w:tc>
          <w:tcPr>
            <w:tcW w:w="1234" w:type="pct"/>
          </w:tcPr>
          <w:p w14:paraId="2E8C672D" w14:textId="77777777" w:rsidR="0000007A" w:rsidRPr="008A7C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06DB" w14:textId="77777777" w:rsidR="0000007A" w:rsidRPr="008A7C83" w:rsidRDefault="00E3162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Ms_AJESS_142593</w:t>
            </w:r>
          </w:p>
        </w:tc>
      </w:tr>
      <w:tr w:rsidR="0000007A" w:rsidRPr="008A7C83" w14:paraId="35F771F8" w14:textId="77777777" w:rsidTr="002643B3">
        <w:trPr>
          <w:trHeight w:val="650"/>
        </w:trPr>
        <w:tc>
          <w:tcPr>
            <w:tcW w:w="1234" w:type="pct"/>
          </w:tcPr>
          <w:p w14:paraId="2512C235" w14:textId="77777777" w:rsidR="0000007A" w:rsidRPr="008A7C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12579" w14:textId="77777777" w:rsidR="0000007A" w:rsidRPr="008A7C83" w:rsidRDefault="00F706D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sz w:val="20"/>
                <w:szCs w:val="20"/>
                <w:lang w:val="en-GB"/>
              </w:rPr>
              <w:t>Association Between Teaching Creativity and Student Academic Performance among Secondary Schools in Garissa Township Sub-County, Kenya</w:t>
            </w:r>
          </w:p>
        </w:tc>
      </w:tr>
      <w:tr w:rsidR="00CF0BBB" w:rsidRPr="008A7C83" w14:paraId="50B759B9" w14:textId="77777777" w:rsidTr="002643B3">
        <w:trPr>
          <w:trHeight w:val="332"/>
        </w:trPr>
        <w:tc>
          <w:tcPr>
            <w:tcW w:w="1234" w:type="pct"/>
          </w:tcPr>
          <w:p w14:paraId="70DBF6DB" w14:textId="77777777" w:rsidR="00CF0BBB" w:rsidRPr="008A7C8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A1F80" w14:textId="77777777" w:rsidR="00CF0BBB" w:rsidRPr="008A7C83" w:rsidRDefault="006572B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6165A31" w14:textId="77777777" w:rsidR="00605952" w:rsidRPr="008A7C83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745F2" w:rsidRPr="008A7C83" w14:paraId="42B3318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C4A5892" w14:textId="7914CA0F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8A7C83">
              <w:rPr>
                <w:rFonts w:ascii="Arial" w:hAnsi="Arial" w:cs="Arial"/>
              </w:rPr>
              <w:br w:type="page"/>
            </w:r>
            <w:r w:rsidRPr="008A7C8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A7C8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B34C695" w14:textId="77777777" w:rsidR="00C745F2" w:rsidRPr="008A7C83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8A7C83" w14:paraId="448661F9" w14:textId="77777777">
        <w:tc>
          <w:tcPr>
            <w:tcW w:w="1265" w:type="pct"/>
            <w:noWrap/>
          </w:tcPr>
          <w:p w14:paraId="6F80A584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55ABB1B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A7C83">
              <w:rPr>
                <w:rFonts w:ascii="Arial" w:hAnsi="Arial" w:cs="Arial"/>
                <w:lang w:val="en-GB"/>
              </w:rPr>
              <w:t>Reviewer’s comment</w:t>
            </w:r>
          </w:p>
          <w:p w14:paraId="74C8C1EA" w14:textId="77777777" w:rsidR="009E2DD4" w:rsidRPr="008A7C83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C4164F" w14:textId="77777777" w:rsidR="009E2DD4" w:rsidRPr="008A7C83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198A88C" w14:textId="77777777" w:rsidR="00BE3E0F" w:rsidRPr="008A7C83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A7C8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A7C8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886C026" w14:textId="5FCD82A6" w:rsidR="00C745F2" w:rsidRPr="008A7C83" w:rsidRDefault="003832A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C745F2" w:rsidRPr="008A7C83" w14:paraId="4E6AE5D0" w14:textId="77777777">
        <w:trPr>
          <w:trHeight w:val="1264"/>
        </w:trPr>
        <w:tc>
          <w:tcPr>
            <w:tcW w:w="1265" w:type="pct"/>
            <w:noWrap/>
          </w:tcPr>
          <w:p w14:paraId="72696F89" w14:textId="77777777" w:rsidR="00C745F2" w:rsidRPr="008A7C83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1E8D20E" w14:textId="77777777" w:rsidR="00C745F2" w:rsidRPr="008A7C83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CF4384" w14:textId="77777777" w:rsidR="00C745F2" w:rsidRPr="008A7C83" w:rsidRDefault="00263A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This manuscript addresses a critical issue in education: the relationship between teaching creativity and student academic performance, with a focus on secondary schools in Garissa Township Sub-County, Kenya. It contributes to the growing body of literature linking teacher innovation to improved learning outcomes, offering both quantitative and qualitative evidence. By situating the study in a less-researched context, it provides valuable region-specific insights that can guide policymakers, school administrators, and teacher development programs. The findings underscore the role of creative pedagogy as a driver for academic improvement, aligning with global efforts toward sustainable educational development.</w:t>
            </w:r>
          </w:p>
          <w:p w14:paraId="095E1664" w14:textId="77777777" w:rsidR="006A5571" w:rsidRPr="008A7C83" w:rsidRDefault="006A55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98DC27B" w14:textId="3ED50BBD" w:rsidR="00C745F2" w:rsidRPr="008A7C83" w:rsidRDefault="003832A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C745F2" w:rsidRPr="008A7C83" w14:paraId="2A92D1DC" w14:textId="77777777">
        <w:trPr>
          <w:trHeight w:val="1262"/>
        </w:trPr>
        <w:tc>
          <w:tcPr>
            <w:tcW w:w="1265" w:type="pct"/>
            <w:noWrap/>
          </w:tcPr>
          <w:p w14:paraId="75FF4396" w14:textId="77777777" w:rsidR="00C745F2" w:rsidRPr="008A7C83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CD0C854" w14:textId="77777777" w:rsidR="00C745F2" w:rsidRPr="008A7C83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0A21BA7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60BA70A" w14:textId="77777777" w:rsidR="00C745F2" w:rsidRPr="008A7C83" w:rsidRDefault="00986304" w:rsidP="009863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current title is accurate and descriptive.</w:t>
            </w:r>
          </w:p>
          <w:p w14:paraId="38140E83" w14:textId="77777777" w:rsidR="00986304" w:rsidRPr="008A7C83" w:rsidRDefault="00986304" w:rsidP="009863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47D965F" w14:textId="77777777" w:rsidR="00986304" w:rsidRPr="008A7C83" w:rsidRDefault="00986304" w:rsidP="009863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Suggested alternative title:</w:t>
            </w:r>
          </w:p>
          <w:p w14:paraId="10FEB21A" w14:textId="77777777" w:rsidR="00986304" w:rsidRPr="008A7C83" w:rsidRDefault="00986304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bookmarkStart w:id="2" w:name="_Hlk205992981"/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Teaching Creativity and its Impact on Student Academeic Performance: Evidence from Secondary Schools in Garissa Township, Kenya</w:t>
            </w:r>
            <w:bookmarkEnd w:id="2"/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”.</w:t>
            </w:r>
          </w:p>
          <w:p w14:paraId="16033F07" w14:textId="77777777" w:rsidR="006A5571" w:rsidRPr="008A7C83" w:rsidRDefault="006A5571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95B022" w14:textId="32E060A8" w:rsidR="00C745F2" w:rsidRPr="008A7C83" w:rsidRDefault="003832A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>revised title to “</w:t>
            </w:r>
            <w:r w:rsidRPr="008A7C83">
              <w:rPr>
                <w:rFonts w:ascii="Arial" w:hAnsi="Arial" w:cs="Arial"/>
                <w:lang w:val="en-GB"/>
              </w:rPr>
              <w:t xml:space="preserve">Teaching Creativity and its Impact on Student </w:t>
            </w:r>
            <w:r w:rsidR="00B768FD" w:rsidRPr="008A7C83">
              <w:rPr>
                <w:rFonts w:ascii="Arial" w:hAnsi="Arial" w:cs="Arial"/>
                <w:lang w:val="en-GB"/>
              </w:rPr>
              <w:t>Academic</w:t>
            </w:r>
            <w:r w:rsidRPr="008A7C83">
              <w:rPr>
                <w:rFonts w:ascii="Arial" w:hAnsi="Arial" w:cs="Arial"/>
                <w:lang w:val="en-GB"/>
              </w:rPr>
              <w:t xml:space="preserve"> Performance: Evidence from Secondary Schools in Garissa Township, Kenya</w:t>
            </w:r>
            <w:r w:rsidRPr="008A7C83">
              <w:rPr>
                <w:rFonts w:ascii="Arial" w:hAnsi="Arial" w:cs="Arial"/>
                <w:b w:val="0"/>
                <w:lang w:val="en-GB"/>
              </w:rPr>
              <w:t>”</w:t>
            </w:r>
          </w:p>
        </w:tc>
      </w:tr>
      <w:tr w:rsidR="00C745F2" w:rsidRPr="008A7C83" w14:paraId="55D87E42" w14:textId="77777777">
        <w:trPr>
          <w:trHeight w:val="1262"/>
        </w:trPr>
        <w:tc>
          <w:tcPr>
            <w:tcW w:w="1265" w:type="pct"/>
            <w:noWrap/>
          </w:tcPr>
          <w:p w14:paraId="5D899FAA" w14:textId="77777777" w:rsidR="00C745F2" w:rsidRPr="008A7C83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A7C8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3BF2630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28A25A" w14:textId="77777777" w:rsidR="00C745F2" w:rsidRPr="008A7C83" w:rsidRDefault="00561500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 xml:space="preserve">The abstract is generally comprehensive, covering the purpose, methodology, key findings, and recommendations. However, it contains minor grammatical errors </w:t>
            </w: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(“The purpose f this study….”</w:t>
            </w: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 xml:space="preserve"> Should be </w:t>
            </w: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“The purpose of this study</w:t>
            </w: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) and some redundancy in describing objectives. The keywords are relevant but could include “Self-Determination Theory” to highlight the theoretical framework.</w:t>
            </w:r>
          </w:p>
          <w:p w14:paraId="4CE94943" w14:textId="77777777" w:rsidR="000C2DC3" w:rsidRPr="008A7C83" w:rsidRDefault="000C2DC3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CAC5EC4" w14:textId="77777777" w:rsidR="000C2DC3" w:rsidRPr="008A7C83" w:rsidRDefault="000C2DC3" w:rsidP="009863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Suggested Improvements:</w:t>
            </w:r>
          </w:p>
          <w:p w14:paraId="6BBC4D5B" w14:textId="77777777" w:rsidR="000C2DC3" w:rsidRPr="008A7C83" w:rsidRDefault="000C2DC3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1F09931" w14:textId="77777777" w:rsidR="000C2DC3" w:rsidRPr="008A7C83" w:rsidRDefault="000C2DC3" w:rsidP="000C2DC3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The author may remove repeated phrases about “Garissa Township Sub-County, Kenya.”</w:t>
            </w:r>
          </w:p>
          <w:p w14:paraId="7631AD76" w14:textId="77777777" w:rsidR="000C2DC3" w:rsidRPr="008A7C83" w:rsidRDefault="000C2DC3" w:rsidP="000C2DC3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The author may include the coefficient of correlation (r=.65) directly in the abstract for emphasis.</w:t>
            </w:r>
          </w:p>
          <w:p w14:paraId="6AD87EB4" w14:textId="77777777" w:rsidR="000C2DC3" w:rsidRPr="008A7C83" w:rsidRDefault="000C2DC3" w:rsidP="000C2DC3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They may smoothen flow by combining the purpose and scope into one sentence.</w:t>
            </w:r>
          </w:p>
          <w:p w14:paraId="0E819C88" w14:textId="77777777" w:rsidR="000C2DC3" w:rsidRPr="008A7C83" w:rsidRDefault="000C2DC3" w:rsidP="009863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BBD53F" w14:textId="77777777" w:rsidR="00C745F2" w:rsidRPr="008A7C83" w:rsidRDefault="003832A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>corrected the error</w:t>
            </w:r>
          </w:p>
          <w:p w14:paraId="586C2353" w14:textId="77777777" w:rsidR="003832A9" w:rsidRPr="008A7C83" w:rsidRDefault="003832A9" w:rsidP="003832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included Self-Determination Theory</w:t>
            </w:r>
          </w:p>
          <w:p w14:paraId="1857EF83" w14:textId="77777777" w:rsidR="003832A9" w:rsidRPr="008A7C83" w:rsidRDefault="003832A9" w:rsidP="003832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5EB87E" w14:textId="7C150279" w:rsidR="003832A9" w:rsidRPr="008A7C83" w:rsidRDefault="003832A9" w:rsidP="003832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edited the abstract to removed typos and grammatical errors</w:t>
            </w:r>
          </w:p>
        </w:tc>
      </w:tr>
      <w:tr w:rsidR="00C745F2" w:rsidRPr="008A7C83" w14:paraId="7B216D03" w14:textId="77777777">
        <w:trPr>
          <w:trHeight w:val="704"/>
        </w:trPr>
        <w:tc>
          <w:tcPr>
            <w:tcW w:w="1265" w:type="pct"/>
            <w:noWrap/>
          </w:tcPr>
          <w:p w14:paraId="6D708490" w14:textId="77777777" w:rsidR="00C745F2" w:rsidRPr="008A7C83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A7C8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09A794F" w14:textId="77777777" w:rsidR="00C745F2" w:rsidRPr="008A7C83" w:rsidRDefault="007853B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study is scientifically sound, with a clear theoretical foundation in Self-Determination Theory, appropriate methodology (correlational design, census sampling), and robust data analysis (Pearson </w:t>
            </w:r>
            <w:r w:rsidR="00221504"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correlation</w:t>
            </w: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thematic analysis). The results are interpreted in the light of existing literature, stren</w:t>
            </w:r>
            <w:r w:rsidR="00221504"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gthening credibility. However, there are some overly long sentences that could be simplified for clarity.</w:t>
            </w:r>
          </w:p>
          <w:p w14:paraId="112C7BE2" w14:textId="77777777" w:rsidR="00221504" w:rsidRPr="008A7C83" w:rsidRDefault="0022150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29938B5" w14:textId="4F30237F" w:rsidR="00C745F2" w:rsidRPr="008A7C83" w:rsidRDefault="00B31A0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>revised all the references in APA 7</w:t>
            </w:r>
          </w:p>
        </w:tc>
      </w:tr>
      <w:tr w:rsidR="00C745F2" w:rsidRPr="008A7C83" w14:paraId="6C90EE0D" w14:textId="77777777">
        <w:trPr>
          <w:trHeight w:val="703"/>
        </w:trPr>
        <w:tc>
          <w:tcPr>
            <w:tcW w:w="1265" w:type="pct"/>
            <w:noWrap/>
          </w:tcPr>
          <w:p w14:paraId="4C6016A2" w14:textId="77777777" w:rsidR="00C745F2" w:rsidRPr="008A7C83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D511926" w14:textId="77777777" w:rsidR="00C745F2" w:rsidRPr="008A7C83" w:rsidRDefault="009610A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mostly sufficient and relevant, with both global and local sources. Most are recent, although a few older foundational works are appropriately cited. It may be useful to include additional African studies on creativity and pedagogy to broaden the comparative perspective.</w:t>
            </w:r>
          </w:p>
          <w:p w14:paraId="4B3E878B" w14:textId="77777777" w:rsidR="009610A5" w:rsidRPr="008A7C83" w:rsidRDefault="009610A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8E2B6F0" w14:textId="67482D09" w:rsidR="00C745F2" w:rsidRPr="008A7C83" w:rsidRDefault="00B31A0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A7C83">
              <w:rPr>
                <w:rFonts w:ascii="Arial" w:hAnsi="Arial" w:cs="Arial"/>
                <w:b w:val="0"/>
                <w:lang w:val="en-GB"/>
              </w:rPr>
              <w:t xml:space="preserve">revised all the references in APA 7 </w:t>
            </w:r>
          </w:p>
        </w:tc>
      </w:tr>
      <w:tr w:rsidR="00C745F2" w:rsidRPr="008A7C83" w14:paraId="2FAB149C" w14:textId="77777777">
        <w:trPr>
          <w:trHeight w:val="386"/>
        </w:trPr>
        <w:tc>
          <w:tcPr>
            <w:tcW w:w="1265" w:type="pct"/>
            <w:noWrap/>
          </w:tcPr>
          <w:p w14:paraId="0F0952E6" w14:textId="77777777" w:rsidR="00C745F2" w:rsidRPr="008A7C83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A7C83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73BE03DD" w14:textId="77777777" w:rsidR="00C745F2" w:rsidRPr="008A7C83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BA72BF8" w14:textId="77777777" w:rsidR="00C745F2" w:rsidRPr="008A7C83" w:rsidRDefault="003D70A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The manuscript is understandable but requires minor language editing for scholarly clarity. Issues include:</w:t>
            </w:r>
          </w:p>
          <w:p w14:paraId="374EBE82" w14:textId="77777777" w:rsidR="003D70AD" w:rsidRPr="008A7C83" w:rsidRDefault="003D70AD" w:rsidP="003D70A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Typographical errors (“Moore so” should be “Moreover”; “there exit limited” should be “there exists limited”).</w:t>
            </w:r>
          </w:p>
          <w:p w14:paraId="62EF4CE7" w14:textId="77777777" w:rsidR="003D70AD" w:rsidRPr="008A7C83" w:rsidRDefault="003D70AD" w:rsidP="003D70A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Inconsistent tense use can be avoided.</w:t>
            </w:r>
          </w:p>
          <w:p w14:paraId="1166254B" w14:textId="77777777" w:rsidR="009A67F8" w:rsidRPr="008A7C83" w:rsidRDefault="009A67F8" w:rsidP="009A67F8">
            <w:pPr>
              <w:ind w:left="72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B16CE4" w14:textId="080D07B8" w:rsidR="00C745F2" w:rsidRPr="008A7C83" w:rsidRDefault="006352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edited as advised</w:t>
            </w:r>
          </w:p>
        </w:tc>
      </w:tr>
      <w:tr w:rsidR="00C745F2" w:rsidRPr="008A7C83" w14:paraId="6C7011A5" w14:textId="77777777">
        <w:trPr>
          <w:trHeight w:val="1178"/>
        </w:trPr>
        <w:tc>
          <w:tcPr>
            <w:tcW w:w="1265" w:type="pct"/>
            <w:noWrap/>
          </w:tcPr>
          <w:p w14:paraId="51427DD6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A7C8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A7C8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A7C8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EE25A6C" w14:textId="77777777" w:rsidR="00C745F2" w:rsidRPr="008A7C83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CB3DFB6" w14:textId="77777777" w:rsidR="00C745F2" w:rsidRPr="008A7C83" w:rsidRDefault="007F7B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This is a valuable study with strong methodology and relevant findings for the under-researched context of Garissa Township, Kenya. The link between teacher creativity and student performance is well-supported. Minor improvements are needed in proofreading</w:t>
            </w:r>
            <w:r w:rsidR="00F63A2C"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</w:t>
            </w: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abstract conciseness</w:t>
            </w:r>
            <w:r w:rsidR="00F63A2C"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  <w:r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Streamli</w:t>
            </w:r>
            <w:r w:rsidR="00F76F0B" w:rsidRPr="008A7C83">
              <w:rPr>
                <w:rFonts w:ascii="Arial" w:hAnsi="Arial" w:cs="Arial"/>
                <w:bCs/>
                <w:sz w:val="20"/>
                <w:szCs w:val="20"/>
                <w:lang w:val="en-GB"/>
              </w:rPr>
              <w:t>ning the introduction to avoid repetition will further strengthen the manuscript.</w:t>
            </w:r>
          </w:p>
          <w:p w14:paraId="2B9A3A56" w14:textId="77777777" w:rsidR="003D7BAF" w:rsidRPr="008A7C83" w:rsidRDefault="003D7BA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56BCBA53" w14:textId="77777777" w:rsidR="003D7BAF" w:rsidRPr="008A7C83" w:rsidRDefault="003D7BA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Minor revision is suggested</w:t>
            </w:r>
          </w:p>
        </w:tc>
        <w:tc>
          <w:tcPr>
            <w:tcW w:w="1523" w:type="pct"/>
          </w:tcPr>
          <w:p w14:paraId="2144EE20" w14:textId="31D9D9BF" w:rsidR="00C745F2" w:rsidRPr="008A7C83" w:rsidRDefault="006352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the </w:t>
            </w:r>
            <w:proofErr w:type="spellStart"/>
            <w:r w:rsidRPr="008A7C83">
              <w:rPr>
                <w:rFonts w:ascii="Arial" w:hAnsi="Arial" w:cs="Arial"/>
                <w:sz w:val="20"/>
                <w:szCs w:val="20"/>
                <w:lang w:val="en-GB"/>
              </w:rPr>
              <w:t>inroduction</w:t>
            </w:r>
            <w:proofErr w:type="spellEnd"/>
          </w:p>
        </w:tc>
      </w:tr>
    </w:tbl>
    <w:p w14:paraId="2261E6D9" w14:textId="77777777" w:rsidR="00C745F2" w:rsidRPr="008A7C83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F55D2" w:rsidRPr="008A7C83" w14:paraId="12EFE30E" w14:textId="77777777" w:rsidTr="007F55D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00439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8A7C8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A7C8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0EC6DD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F55D2" w:rsidRPr="008A7C83" w14:paraId="03D5A957" w14:textId="77777777" w:rsidTr="007F55D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6509A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EE67A" w14:textId="77777777" w:rsidR="007F55D2" w:rsidRPr="008A7C83" w:rsidRDefault="007F55D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A7C8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1E9" w14:textId="77777777" w:rsidR="007F55D2" w:rsidRPr="008A7C83" w:rsidRDefault="007F55D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A7C8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A7C8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00390C4" w14:textId="77777777" w:rsidR="007F55D2" w:rsidRPr="008A7C83" w:rsidRDefault="007F55D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F55D2" w:rsidRPr="008A7C83" w14:paraId="548707F3" w14:textId="77777777" w:rsidTr="007F55D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E24EE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A7C8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D6B8C64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58835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A7C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A7C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A7C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37735B8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548CDE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DCE4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A2F22B" w14:textId="77454086" w:rsidR="007F55D2" w:rsidRPr="008A7C83" w:rsidRDefault="006352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A7C8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Noted</w:t>
            </w:r>
          </w:p>
          <w:p w14:paraId="01311F36" w14:textId="77777777" w:rsidR="007F55D2" w:rsidRPr="008A7C83" w:rsidRDefault="007F55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B48CAFF" w14:textId="77777777" w:rsidR="007F55D2" w:rsidRPr="008A7C83" w:rsidRDefault="007F55D2" w:rsidP="007F55D2">
      <w:pPr>
        <w:rPr>
          <w:rFonts w:ascii="Arial" w:hAnsi="Arial" w:cs="Arial"/>
          <w:sz w:val="20"/>
          <w:szCs w:val="20"/>
        </w:rPr>
      </w:pPr>
    </w:p>
    <w:p w14:paraId="12A07626" w14:textId="77777777" w:rsidR="007F55D2" w:rsidRPr="008A7C83" w:rsidRDefault="007F55D2" w:rsidP="007F55D2">
      <w:pPr>
        <w:rPr>
          <w:rFonts w:ascii="Arial" w:hAnsi="Arial" w:cs="Arial"/>
          <w:sz w:val="20"/>
          <w:szCs w:val="20"/>
        </w:rPr>
      </w:pPr>
    </w:p>
    <w:p w14:paraId="30E15DA8" w14:textId="77777777" w:rsidR="007F55D2" w:rsidRPr="008A7C83" w:rsidRDefault="007F55D2" w:rsidP="007F55D2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50D2C54E" w14:textId="77777777" w:rsidR="007F55D2" w:rsidRPr="008A7C83" w:rsidRDefault="007F55D2" w:rsidP="007F55D2">
      <w:pPr>
        <w:rPr>
          <w:rFonts w:ascii="Arial" w:hAnsi="Arial" w:cs="Arial"/>
          <w:sz w:val="20"/>
          <w:szCs w:val="20"/>
        </w:rPr>
      </w:pPr>
    </w:p>
    <w:p w14:paraId="40E821EB" w14:textId="77777777" w:rsidR="00C745F2" w:rsidRPr="008A7C83" w:rsidRDefault="00C745F2" w:rsidP="00C745F2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p w14:paraId="246A1362" w14:textId="77777777" w:rsidR="00C745F2" w:rsidRPr="008A7C83" w:rsidRDefault="00C745F2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1476565E" w14:textId="77777777" w:rsidR="008913D5" w:rsidRPr="008A7C83" w:rsidRDefault="008913D5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5" w:name="_GoBack"/>
      <w:bookmarkEnd w:id="5"/>
    </w:p>
    <w:sectPr w:rsidR="008913D5" w:rsidRPr="008A7C83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FAC61" w14:textId="77777777" w:rsidR="00F15420" w:rsidRPr="0000007A" w:rsidRDefault="00F15420" w:rsidP="0099583E">
      <w:r>
        <w:separator/>
      </w:r>
    </w:p>
  </w:endnote>
  <w:endnote w:type="continuationSeparator" w:id="0">
    <w:p w14:paraId="12DCAC83" w14:textId="77777777" w:rsidR="00F15420" w:rsidRPr="0000007A" w:rsidRDefault="00F1542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2CDE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C752C" w14:textId="77777777" w:rsidR="00F15420" w:rsidRPr="0000007A" w:rsidRDefault="00F15420" w:rsidP="0099583E">
      <w:r>
        <w:separator/>
      </w:r>
    </w:p>
  </w:footnote>
  <w:footnote w:type="continuationSeparator" w:id="0">
    <w:p w14:paraId="01B4468F" w14:textId="77777777" w:rsidR="00F15420" w:rsidRPr="0000007A" w:rsidRDefault="00F1542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9FE3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5EBB3A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22E37"/>
    <w:multiLevelType w:val="hybridMultilevel"/>
    <w:tmpl w:val="943A1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333DD3"/>
    <w:multiLevelType w:val="hybridMultilevel"/>
    <w:tmpl w:val="BE925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tDQ1NjC0MDWyNDIxMjJS0lEKTi0uzszPAykwrAUAtptdHiwAAAA="/>
  </w:docVars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2E5D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2DC3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1F7E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3F8B"/>
    <w:rsid w:val="001F707F"/>
    <w:rsid w:val="002011F3"/>
    <w:rsid w:val="00201B85"/>
    <w:rsid w:val="00202E80"/>
    <w:rsid w:val="002105F7"/>
    <w:rsid w:val="00220111"/>
    <w:rsid w:val="00221504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3A71"/>
    <w:rsid w:val="002643B3"/>
    <w:rsid w:val="00275984"/>
    <w:rsid w:val="00280EC9"/>
    <w:rsid w:val="00291D08"/>
    <w:rsid w:val="00293482"/>
    <w:rsid w:val="002C41D8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32A9"/>
    <w:rsid w:val="003A04E7"/>
    <w:rsid w:val="003A4991"/>
    <w:rsid w:val="003A6E1A"/>
    <w:rsid w:val="003B2172"/>
    <w:rsid w:val="003C7B2B"/>
    <w:rsid w:val="003D70AD"/>
    <w:rsid w:val="003D7BAF"/>
    <w:rsid w:val="003E746A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1500"/>
    <w:rsid w:val="00567DE0"/>
    <w:rsid w:val="005735A5"/>
    <w:rsid w:val="005776DE"/>
    <w:rsid w:val="005A5BE0"/>
    <w:rsid w:val="005B12E0"/>
    <w:rsid w:val="005C25A0"/>
    <w:rsid w:val="005D230D"/>
    <w:rsid w:val="00602F7D"/>
    <w:rsid w:val="00605952"/>
    <w:rsid w:val="00620677"/>
    <w:rsid w:val="00624032"/>
    <w:rsid w:val="0063521D"/>
    <w:rsid w:val="00642BBD"/>
    <w:rsid w:val="00645A56"/>
    <w:rsid w:val="006532DF"/>
    <w:rsid w:val="0065579D"/>
    <w:rsid w:val="006572B8"/>
    <w:rsid w:val="00663792"/>
    <w:rsid w:val="0067046C"/>
    <w:rsid w:val="00676845"/>
    <w:rsid w:val="00680547"/>
    <w:rsid w:val="0068446F"/>
    <w:rsid w:val="0069428E"/>
    <w:rsid w:val="00696CAD"/>
    <w:rsid w:val="006A5571"/>
    <w:rsid w:val="006A5E0B"/>
    <w:rsid w:val="006B414D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53B4"/>
    <w:rsid w:val="007B1099"/>
    <w:rsid w:val="007B6E18"/>
    <w:rsid w:val="007D0246"/>
    <w:rsid w:val="007F55D2"/>
    <w:rsid w:val="007F5873"/>
    <w:rsid w:val="007F7B1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7201B"/>
    <w:rsid w:val="00877F10"/>
    <w:rsid w:val="00882091"/>
    <w:rsid w:val="008913D5"/>
    <w:rsid w:val="00893E75"/>
    <w:rsid w:val="008A7C83"/>
    <w:rsid w:val="008C2778"/>
    <w:rsid w:val="008C2F62"/>
    <w:rsid w:val="008C43B6"/>
    <w:rsid w:val="008D020E"/>
    <w:rsid w:val="008D1117"/>
    <w:rsid w:val="008D15A4"/>
    <w:rsid w:val="008E18C6"/>
    <w:rsid w:val="008F36E4"/>
    <w:rsid w:val="0092723C"/>
    <w:rsid w:val="00930E54"/>
    <w:rsid w:val="00933C8B"/>
    <w:rsid w:val="009553EC"/>
    <w:rsid w:val="009610A5"/>
    <w:rsid w:val="0097330E"/>
    <w:rsid w:val="00974330"/>
    <w:rsid w:val="0097498C"/>
    <w:rsid w:val="00982766"/>
    <w:rsid w:val="009852C4"/>
    <w:rsid w:val="00985F26"/>
    <w:rsid w:val="00986304"/>
    <w:rsid w:val="00991B4D"/>
    <w:rsid w:val="0099583E"/>
    <w:rsid w:val="009A0242"/>
    <w:rsid w:val="009A59ED"/>
    <w:rsid w:val="009A67F8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F3016"/>
    <w:rsid w:val="00B03A45"/>
    <w:rsid w:val="00B21C5C"/>
    <w:rsid w:val="00B2236C"/>
    <w:rsid w:val="00B22FE6"/>
    <w:rsid w:val="00B3033D"/>
    <w:rsid w:val="00B31A06"/>
    <w:rsid w:val="00B356AF"/>
    <w:rsid w:val="00B45C4E"/>
    <w:rsid w:val="00B62087"/>
    <w:rsid w:val="00B62F41"/>
    <w:rsid w:val="00B73785"/>
    <w:rsid w:val="00B760E1"/>
    <w:rsid w:val="00B768FD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05598"/>
    <w:rsid w:val="00C10283"/>
    <w:rsid w:val="00C110CC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1621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F326D"/>
    <w:rsid w:val="00EF53FE"/>
    <w:rsid w:val="00F15420"/>
    <w:rsid w:val="00F163B3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A2C"/>
    <w:rsid w:val="00F706DF"/>
    <w:rsid w:val="00F744F9"/>
    <w:rsid w:val="00F76F0B"/>
    <w:rsid w:val="00F81A80"/>
    <w:rsid w:val="00FA6528"/>
    <w:rsid w:val="00FC2E17"/>
    <w:rsid w:val="00FC6387"/>
    <w:rsid w:val="00FC6802"/>
    <w:rsid w:val="00FD70A7"/>
    <w:rsid w:val="00FE00DB"/>
    <w:rsid w:val="00FF09A0"/>
    <w:rsid w:val="00FF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BD94E3"/>
  <w15:chartTrackingRefBased/>
  <w15:docId w15:val="{7E4D0FFC-EB55-4B54-B501-CBB18848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4482-E866-426C-BE94-7AF6D8F8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5</cp:revision>
  <dcterms:created xsi:type="dcterms:W3CDTF">2025-08-13T12:58:00Z</dcterms:created>
  <dcterms:modified xsi:type="dcterms:W3CDTF">2025-08-14T07:01:00Z</dcterms:modified>
</cp:coreProperties>
</file>