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00C1D" w14:textId="54BEDDA7" w:rsidR="00E6679A" w:rsidRPr="007140DD" w:rsidRDefault="00E6679A" w:rsidP="005F7E71">
      <w:pPr>
        <w:pStyle w:val="Author"/>
        <w:spacing w:line="240" w:lineRule="auto"/>
        <w:rPr>
          <w:rFonts w:ascii="Arial" w:hAnsi="Arial" w:cs="Arial"/>
          <w:bCs/>
          <w:i/>
          <w:iCs/>
          <w:sz w:val="22"/>
          <w:szCs w:val="22"/>
          <w:u w:val="single"/>
        </w:rPr>
      </w:pPr>
      <w:bookmarkStart w:id="0" w:name="_GoBack"/>
      <w:bookmarkEnd w:id="0"/>
      <w:r w:rsidRPr="007140DD">
        <w:rPr>
          <w:rFonts w:ascii="Arial" w:hAnsi="Arial" w:cs="Arial"/>
          <w:bCs/>
          <w:i/>
          <w:iCs/>
          <w:sz w:val="22"/>
          <w:szCs w:val="22"/>
          <w:u w:val="single"/>
        </w:rPr>
        <w:t>Original Research Article</w:t>
      </w:r>
    </w:p>
    <w:p w14:paraId="1B014790" w14:textId="77777777" w:rsidR="00E6679A" w:rsidRPr="007140DD" w:rsidRDefault="00E6679A" w:rsidP="005F7E71">
      <w:pPr>
        <w:pStyle w:val="Author"/>
        <w:spacing w:line="240" w:lineRule="auto"/>
        <w:rPr>
          <w:rFonts w:ascii="Arial" w:hAnsi="Arial" w:cs="Arial"/>
          <w:sz w:val="22"/>
          <w:szCs w:val="22"/>
        </w:rPr>
      </w:pPr>
    </w:p>
    <w:p w14:paraId="57EBA9FE" w14:textId="668B3E87" w:rsidR="00FD3EBA" w:rsidRPr="007140DD" w:rsidRDefault="00AF30C1" w:rsidP="005F7E71">
      <w:pPr>
        <w:pStyle w:val="Author"/>
        <w:spacing w:line="240" w:lineRule="auto"/>
        <w:rPr>
          <w:rFonts w:ascii="Arial" w:hAnsi="Arial" w:cs="Arial"/>
          <w:sz w:val="22"/>
          <w:szCs w:val="22"/>
        </w:rPr>
      </w:pPr>
      <w:r w:rsidRPr="007140DD">
        <w:rPr>
          <w:rFonts w:ascii="Arial" w:hAnsi="Arial" w:cs="Arial"/>
          <w:bCs/>
          <w:sz w:val="22"/>
          <w:szCs w:val="22"/>
        </w:rPr>
        <w:t xml:space="preserve">Effects of </w:t>
      </w:r>
      <w:r w:rsidRPr="007140DD">
        <w:rPr>
          <w:rFonts w:ascii="Arial" w:hAnsi="Arial" w:cs="Arial"/>
          <w:sz w:val="22"/>
          <w:szCs w:val="22"/>
          <w:lang w:val="en-GB"/>
        </w:rPr>
        <w:t xml:space="preserve">Unrefined Oils and Butter </w:t>
      </w:r>
      <w:r w:rsidRPr="007140DD">
        <w:rPr>
          <w:rFonts w:ascii="Arial" w:hAnsi="Arial" w:cs="Arial"/>
          <w:bCs/>
          <w:sz w:val="22"/>
          <w:szCs w:val="22"/>
        </w:rPr>
        <w:t>on the Physicochemical and Nutritional Properties of Fried Doughnuts</w:t>
      </w:r>
    </w:p>
    <w:p w14:paraId="05B21704" w14:textId="77777777" w:rsidR="00790ADA" w:rsidRPr="007140DD" w:rsidRDefault="00790ADA" w:rsidP="00441B6F">
      <w:pPr>
        <w:pStyle w:val="Affiliation"/>
        <w:spacing w:after="0" w:line="240" w:lineRule="auto"/>
        <w:jc w:val="both"/>
        <w:rPr>
          <w:rFonts w:ascii="Arial" w:hAnsi="Arial" w:cs="Arial"/>
        </w:rPr>
      </w:pPr>
    </w:p>
    <w:p w14:paraId="1C299F77" w14:textId="77777777" w:rsidR="002C57D2" w:rsidRPr="007140DD" w:rsidRDefault="002C57D2" w:rsidP="00441B6F">
      <w:pPr>
        <w:pStyle w:val="Affiliation"/>
        <w:spacing w:after="0" w:line="240" w:lineRule="auto"/>
        <w:jc w:val="both"/>
        <w:rPr>
          <w:rFonts w:ascii="Arial" w:hAnsi="Arial" w:cs="Arial"/>
        </w:rPr>
      </w:pPr>
    </w:p>
    <w:p w14:paraId="03D755C0" w14:textId="77777777" w:rsidR="00B01FCD" w:rsidRPr="007140DD" w:rsidRDefault="007F1D4F" w:rsidP="00441B6F">
      <w:pPr>
        <w:pStyle w:val="Copyright"/>
        <w:spacing w:after="0" w:line="240" w:lineRule="auto"/>
        <w:jc w:val="both"/>
        <w:rPr>
          <w:rFonts w:ascii="Arial" w:hAnsi="Arial" w:cs="Arial"/>
        </w:rPr>
      </w:pPr>
      <w:r w:rsidRPr="007140DD">
        <w:rPr>
          <w:rFonts w:ascii="Arial" w:hAnsi="Arial" w:cs="Arial"/>
        </w:rPr>
      </w:r>
      <w:r w:rsidRPr="007140DD">
        <w:rPr>
          <w:rFonts w:ascii="Arial" w:hAnsi="Arial" w:cs="Arial"/>
        </w:rPr>
        <w:pict w14:anchorId="110A8AB3">
          <v:shapetype id="_x0000_t32" coordsize="21600,21600" o:spt="32" o:oned="t" path="m,l21600,21600e" filled="f">
            <v:path arrowok="t" fillok="f" o:connecttype="none"/>
            <o:lock v:ext="edit" shapetype="t"/>
          </v:shapetype>
          <v:shape id="_x0000_s1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7140DD">
        <w:rPr>
          <w:rFonts w:ascii="Arial" w:hAnsi="Arial" w:cs="Arial"/>
        </w:rPr>
        <w:t>.</w:t>
      </w:r>
    </w:p>
    <w:p w14:paraId="77015F18" w14:textId="77777777" w:rsidR="00F53EDC" w:rsidRPr="007140DD" w:rsidRDefault="00F53EDC" w:rsidP="00441B6F">
      <w:pPr>
        <w:pStyle w:val="Copyright"/>
        <w:spacing w:after="0" w:line="240" w:lineRule="auto"/>
        <w:jc w:val="both"/>
        <w:rPr>
          <w:rFonts w:ascii="Arial" w:hAnsi="Arial" w:cs="Arial"/>
        </w:rPr>
        <w:sectPr w:rsidR="00F53EDC" w:rsidRPr="007140DD" w:rsidSect="0053059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AAA0C57" w14:textId="77777777" w:rsidR="00790ADA" w:rsidRPr="007140DD" w:rsidRDefault="00B01FCD" w:rsidP="00441B6F">
      <w:pPr>
        <w:pStyle w:val="AbstHead"/>
        <w:spacing w:after="0"/>
        <w:jc w:val="both"/>
        <w:rPr>
          <w:rFonts w:ascii="Arial" w:hAnsi="Arial" w:cs="Arial"/>
        </w:rPr>
      </w:pPr>
      <w:r w:rsidRPr="007140DD">
        <w:rPr>
          <w:rFonts w:ascii="Arial" w:hAnsi="Arial" w:cs="Arial"/>
        </w:rPr>
        <w:t>ABSTRACT</w:t>
      </w:r>
      <w:r w:rsidR="0066510A" w:rsidRPr="007140DD">
        <w:rPr>
          <w:rFonts w:ascii="Arial" w:hAnsi="Arial" w:cs="Arial"/>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78"/>
      </w:tblGrid>
      <w:tr w:rsidR="007140DD" w:rsidRPr="007140DD" w14:paraId="78DD6BC8" w14:textId="77777777" w:rsidTr="0094116E">
        <w:tc>
          <w:tcPr>
            <w:tcW w:w="9378" w:type="dxa"/>
            <w:shd w:val="clear" w:color="auto" w:fill="F2F2F2"/>
          </w:tcPr>
          <w:p w14:paraId="0D3AF1DB" w14:textId="77777777" w:rsidR="002A3A60" w:rsidRPr="007140DD" w:rsidRDefault="00702376" w:rsidP="005415E7">
            <w:pPr>
              <w:rPr>
                <w:rFonts w:ascii="Arial" w:hAnsi="Arial" w:cs="Arial"/>
              </w:rPr>
            </w:pPr>
            <w:r w:rsidRPr="007140DD">
              <w:rPr>
                <w:rFonts w:ascii="Arial" w:hAnsi="Arial" w:cs="Arial"/>
                <w:b/>
                <w:bCs/>
              </w:rPr>
              <w:t>Aims:</w:t>
            </w:r>
            <w:r w:rsidRPr="007140DD">
              <w:rPr>
                <w:rFonts w:ascii="Arial" w:hAnsi="Arial" w:cs="Arial"/>
              </w:rPr>
              <w:br/>
            </w:r>
            <w:r w:rsidR="002A3A60" w:rsidRPr="007140DD">
              <w:rPr>
                <w:rFonts w:ascii="Arial" w:hAnsi="Arial" w:cs="Arial"/>
              </w:rPr>
              <w:t>This study aimed to investigate the health implications of using unrefined oils and butter in doughnut preparation by analyzing the physicochemical properties, fatty acid profiles, and elemental compositions of extracted frying oils.</w:t>
            </w:r>
          </w:p>
          <w:p w14:paraId="23E28BC9" w14:textId="55975C2F" w:rsidR="00702376" w:rsidRPr="007140DD" w:rsidRDefault="00702376" w:rsidP="005415E7">
            <w:pPr>
              <w:rPr>
                <w:rFonts w:ascii="Arial" w:hAnsi="Arial" w:cs="Arial"/>
              </w:rPr>
            </w:pPr>
            <w:r w:rsidRPr="007140DD">
              <w:rPr>
                <w:rFonts w:ascii="Arial" w:hAnsi="Arial" w:cs="Arial"/>
                <w:b/>
                <w:bCs/>
              </w:rPr>
              <w:t>Study Design:</w:t>
            </w:r>
            <w:r w:rsidRPr="007140DD">
              <w:rPr>
                <w:rFonts w:ascii="Arial" w:hAnsi="Arial" w:cs="Arial"/>
              </w:rPr>
              <w:br/>
            </w:r>
            <w:r w:rsidR="00901E3B" w:rsidRPr="007140DD">
              <w:rPr>
                <w:rFonts w:ascii="Arial" w:hAnsi="Arial" w:cs="Arial"/>
              </w:rPr>
              <w:t>An experimental laboratory-based study was employed to evaluate the impact of preparing fried doughnuts with unrefined oils and butter combinations on oil quality and stability extracted from the doughnuts.</w:t>
            </w:r>
          </w:p>
          <w:p w14:paraId="451966ED" w14:textId="591BB7C9" w:rsidR="00702376" w:rsidRPr="007140DD" w:rsidRDefault="00702376" w:rsidP="005415E7">
            <w:pPr>
              <w:rPr>
                <w:rFonts w:ascii="Arial" w:hAnsi="Arial" w:cs="Arial"/>
              </w:rPr>
            </w:pPr>
            <w:r w:rsidRPr="007140DD">
              <w:rPr>
                <w:rFonts w:ascii="Arial" w:hAnsi="Arial" w:cs="Arial"/>
                <w:b/>
                <w:bCs/>
              </w:rPr>
              <w:t>Place and Duration of Study:</w:t>
            </w:r>
            <w:r w:rsidRPr="007140DD">
              <w:rPr>
                <w:rFonts w:ascii="Arial" w:hAnsi="Arial" w:cs="Arial"/>
              </w:rPr>
              <w:br/>
            </w:r>
            <w:r w:rsidR="00901E3B" w:rsidRPr="007140DD">
              <w:rPr>
                <w:rFonts w:ascii="Arial" w:hAnsi="Arial" w:cs="Arial"/>
              </w:rPr>
              <w:t xml:space="preserve">The study was conducted at the Chemistry Laboratory of </w:t>
            </w:r>
            <w:proofErr w:type="spellStart"/>
            <w:r w:rsidR="00901E3B" w:rsidRPr="007140DD">
              <w:rPr>
                <w:rFonts w:ascii="Arial" w:hAnsi="Arial" w:cs="Arial"/>
              </w:rPr>
              <w:t>Akwa</w:t>
            </w:r>
            <w:proofErr w:type="spellEnd"/>
            <w:r w:rsidR="00901E3B" w:rsidRPr="007140DD">
              <w:rPr>
                <w:rFonts w:ascii="Arial" w:hAnsi="Arial" w:cs="Arial"/>
              </w:rPr>
              <w:t xml:space="preserve"> Ibom State University (AKSU) and CTX-ION Analytics, Ikeja, Lagos, between March and June 2025.</w:t>
            </w:r>
          </w:p>
          <w:p w14:paraId="19993A34" w14:textId="77777777" w:rsidR="007E3461" w:rsidRPr="007140DD" w:rsidRDefault="00702376" w:rsidP="005415E7">
            <w:pPr>
              <w:jc w:val="both"/>
              <w:rPr>
                <w:rFonts w:ascii="Arial" w:hAnsi="Arial" w:cs="Arial"/>
              </w:rPr>
            </w:pPr>
            <w:r w:rsidRPr="007140DD">
              <w:rPr>
                <w:rFonts w:ascii="Arial" w:hAnsi="Arial" w:cs="Arial"/>
                <w:b/>
                <w:bCs/>
              </w:rPr>
              <w:t>Methodology:</w:t>
            </w:r>
            <w:r w:rsidRPr="007140DD">
              <w:rPr>
                <w:rFonts w:ascii="Arial" w:hAnsi="Arial" w:cs="Arial"/>
              </w:rPr>
              <w:br/>
            </w:r>
            <w:r w:rsidR="007E3461" w:rsidRPr="007140DD">
              <w:rPr>
                <w:rFonts w:ascii="Arial" w:hAnsi="Arial" w:cs="Arial"/>
              </w:rPr>
              <w:t xml:space="preserve">Doughnuts were prepared using locally sourced unrefined oil and butter from shops in </w:t>
            </w:r>
            <w:proofErr w:type="spellStart"/>
            <w:r w:rsidR="007E3461" w:rsidRPr="007140DD">
              <w:rPr>
                <w:rFonts w:ascii="Arial" w:hAnsi="Arial" w:cs="Arial"/>
              </w:rPr>
              <w:t>Uyo</w:t>
            </w:r>
            <w:proofErr w:type="spellEnd"/>
            <w:r w:rsidR="007E3461" w:rsidRPr="007140DD">
              <w:rPr>
                <w:rFonts w:ascii="Arial" w:hAnsi="Arial" w:cs="Arial"/>
              </w:rPr>
              <w:t xml:space="preserve">, </w:t>
            </w:r>
            <w:proofErr w:type="spellStart"/>
            <w:r w:rsidR="007E3461" w:rsidRPr="007140DD">
              <w:rPr>
                <w:rFonts w:ascii="Arial" w:hAnsi="Arial" w:cs="Arial"/>
              </w:rPr>
              <w:t>Akwa</w:t>
            </w:r>
            <w:proofErr w:type="spellEnd"/>
            <w:r w:rsidR="007E3461" w:rsidRPr="007140DD">
              <w:rPr>
                <w:rFonts w:ascii="Arial" w:hAnsi="Arial" w:cs="Arial"/>
              </w:rPr>
              <w:t xml:space="preserve"> Ibom State, selected through purposive sampling. Soxhlet extraction using n-hexane was used to recover oils from fried doughnuts. The oils were analyzed for acid value, free fatty acid (FFA), peroxide value, iodine value, and saponification value. Fatty acid methyl esters (FAMEs) were profiled using GC-MSD, and elemental composition (Ca, Fe, K, Mg, Na, P) was determined by ICP-OES.</w:t>
            </w:r>
          </w:p>
          <w:p w14:paraId="434B9952" w14:textId="74BBD033" w:rsidR="00702376" w:rsidRPr="007140DD" w:rsidRDefault="00702376" w:rsidP="005415E7">
            <w:pPr>
              <w:jc w:val="both"/>
              <w:rPr>
                <w:rFonts w:ascii="Arial" w:hAnsi="Arial" w:cs="Arial"/>
              </w:rPr>
            </w:pPr>
            <w:r w:rsidRPr="007140DD">
              <w:rPr>
                <w:rFonts w:ascii="Arial" w:hAnsi="Arial" w:cs="Arial"/>
                <w:b/>
                <w:bCs/>
              </w:rPr>
              <w:t>Results:</w:t>
            </w:r>
            <w:r w:rsidRPr="007140DD">
              <w:rPr>
                <w:rFonts w:ascii="Arial" w:hAnsi="Arial" w:cs="Arial"/>
              </w:rPr>
              <w:br/>
            </w:r>
            <w:r w:rsidR="007E3461" w:rsidRPr="007140DD">
              <w:rPr>
                <w:rFonts w:ascii="Arial" w:hAnsi="Arial" w:cs="Arial"/>
              </w:rPr>
              <w:t xml:space="preserve">The doughnut oil recorded a very high peroxide value (136.30 </w:t>
            </w:r>
            <w:proofErr w:type="spellStart"/>
            <w:r w:rsidR="007E3461" w:rsidRPr="007140DD">
              <w:rPr>
                <w:rFonts w:ascii="Arial" w:hAnsi="Arial" w:cs="Arial"/>
              </w:rPr>
              <w:t>meq</w:t>
            </w:r>
            <w:proofErr w:type="spellEnd"/>
            <w:r w:rsidR="007E3461" w:rsidRPr="007140DD">
              <w:rPr>
                <w:rFonts w:ascii="Arial" w:hAnsi="Arial" w:cs="Arial"/>
              </w:rPr>
              <w:t>/kg), signaling severe oxidative degradation, likely from elevated iron content and high frying temperatures. Iodine and saponification values indicated moderate unsaturation and presence of medium-chain fatty acids. GC-MSD showed retention of both saturated (lauric, myristic) and unsaturated (oleic, linoleic) fatty acids. Elemental analysis revealed high iron and potassium levels, especially in doughnut oil, indicating susceptibility to oxidation and potential health risks. Butter contributed beneficial unsaturated fats but also excessive sodium.</w:t>
            </w:r>
          </w:p>
          <w:p w14:paraId="4645A526" w14:textId="35DB106F" w:rsidR="00505F06" w:rsidRPr="007140DD" w:rsidRDefault="00702376" w:rsidP="005415E7">
            <w:pPr>
              <w:jc w:val="both"/>
              <w:rPr>
                <w:rFonts w:ascii="Arial" w:hAnsi="Arial" w:cs="Arial"/>
                <w:sz w:val="22"/>
                <w:szCs w:val="22"/>
              </w:rPr>
            </w:pPr>
            <w:r w:rsidRPr="007140DD">
              <w:rPr>
                <w:rFonts w:ascii="Arial" w:hAnsi="Arial" w:cs="Arial"/>
                <w:b/>
                <w:bCs/>
              </w:rPr>
              <w:t>Conclusion:</w:t>
            </w:r>
            <w:r w:rsidRPr="007140DD">
              <w:rPr>
                <w:rFonts w:ascii="Arial" w:hAnsi="Arial" w:cs="Arial"/>
              </w:rPr>
              <w:br/>
            </w:r>
            <w:r w:rsidR="0061355A" w:rsidRPr="007140DD">
              <w:rPr>
                <w:rFonts w:ascii="Arial" w:hAnsi="Arial" w:cs="Arial"/>
              </w:rPr>
              <w:t>Frying with unrefined oils and butter significantly compromises oil quality due to oxidative and hydrolytic degradation. The high peroxide value and mineral-induced oxidation highlight potential health hazards. Improved frying practices, use of antioxidants, and optimized fat blends are recommended to enhance nutritional quality and shelf life of fried snacks like doughnuts.</w:t>
            </w:r>
          </w:p>
        </w:tc>
      </w:tr>
    </w:tbl>
    <w:p w14:paraId="617CD4B6" w14:textId="77777777" w:rsidR="00505F06" w:rsidRPr="007140DD" w:rsidRDefault="005F7E71" w:rsidP="002340EA">
      <w:pPr>
        <w:spacing w:before="100" w:beforeAutospacing="1"/>
        <w:jc w:val="both"/>
        <w:rPr>
          <w:rFonts w:ascii="Arial" w:hAnsi="Arial" w:cs="Arial"/>
          <w:i/>
        </w:rPr>
      </w:pPr>
      <w:r w:rsidRPr="007140DD">
        <w:rPr>
          <w:rFonts w:ascii="Arial" w:hAnsi="Arial" w:cs="Arial"/>
          <w:i/>
        </w:rPr>
        <w:t>Keywords: characterization, extraction, fatty acids, health implication, snacks</w:t>
      </w:r>
      <w:r w:rsidR="002340EA" w:rsidRPr="007140DD">
        <w:rPr>
          <w:rFonts w:ascii="Arial" w:hAnsi="Arial" w:cs="Arial"/>
          <w:i/>
        </w:rPr>
        <w:t>.</w:t>
      </w:r>
    </w:p>
    <w:p w14:paraId="7CD5A6CE" w14:textId="77777777" w:rsidR="00D071B2" w:rsidRPr="007140DD" w:rsidRDefault="00D071B2" w:rsidP="00441B6F">
      <w:pPr>
        <w:pStyle w:val="AbstHead"/>
        <w:spacing w:after="0"/>
        <w:jc w:val="both"/>
        <w:rPr>
          <w:rFonts w:ascii="Arial" w:hAnsi="Arial" w:cs="Arial"/>
        </w:rPr>
      </w:pPr>
    </w:p>
    <w:p w14:paraId="0CF92A1B" w14:textId="074BAA6C" w:rsidR="007F7B32" w:rsidRPr="007140DD" w:rsidRDefault="00902823" w:rsidP="00441B6F">
      <w:pPr>
        <w:pStyle w:val="AbstHead"/>
        <w:spacing w:after="0"/>
        <w:jc w:val="both"/>
        <w:rPr>
          <w:rFonts w:ascii="Arial" w:hAnsi="Arial" w:cs="Arial"/>
        </w:rPr>
      </w:pPr>
      <w:r w:rsidRPr="007140DD">
        <w:rPr>
          <w:rFonts w:ascii="Arial" w:hAnsi="Arial" w:cs="Arial"/>
        </w:rPr>
        <w:t xml:space="preserve">1. </w:t>
      </w:r>
      <w:r w:rsidR="00B01FCD" w:rsidRPr="007140DD">
        <w:rPr>
          <w:rFonts w:ascii="Arial" w:hAnsi="Arial" w:cs="Arial"/>
        </w:rPr>
        <w:t>INTRODUCTION</w:t>
      </w:r>
      <w:r w:rsidR="007F7B32" w:rsidRPr="007140DD">
        <w:rPr>
          <w:rFonts w:ascii="Arial" w:hAnsi="Arial" w:cs="Arial"/>
        </w:rPr>
        <w:t xml:space="preserve"> </w:t>
      </w:r>
    </w:p>
    <w:p w14:paraId="4DD0F512" w14:textId="775532A8" w:rsidR="00492CE7" w:rsidRPr="007140DD" w:rsidRDefault="00C8522B" w:rsidP="00492CE7">
      <w:pPr>
        <w:spacing w:before="100" w:beforeAutospacing="1" w:after="100" w:afterAutospacing="1"/>
        <w:jc w:val="both"/>
        <w:rPr>
          <w:rFonts w:ascii="Arial" w:hAnsi="Arial" w:cs="Arial"/>
        </w:rPr>
      </w:pPr>
      <w:r w:rsidRPr="007140DD">
        <w:rPr>
          <w:rFonts w:ascii="Arial" w:hAnsi="Arial" w:cs="Arial"/>
        </w:rPr>
        <w:t xml:space="preserve">There has been a marked </w:t>
      </w:r>
      <w:r w:rsidRPr="007140DD">
        <w:rPr>
          <w:rStyle w:val="Strong"/>
          <w:rFonts w:ascii="Arial" w:hAnsi="Arial" w:cs="Arial"/>
          <w:b w:val="0"/>
        </w:rPr>
        <w:t>global increase</w:t>
      </w:r>
      <w:r w:rsidRPr="007140DD">
        <w:rPr>
          <w:rFonts w:ascii="Arial" w:hAnsi="Arial" w:cs="Arial"/>
        </w:rPr>
        <w:t xml:space="preserve"> in the consumption of snacks, particularly among children, adolescents, and working adults. This trend is driven by urbanization, increased work hours, convenience culture, and aggressive marketing of processed foods (Monteiro et al. 2013). Aggressive marketing, particularly toward children and teenagers, contributes significantly to their snack preferences. Television and social media advertisements heavily promote ultra-processed snacks (Hawkes, 2007). </w:t>
      </w:r>
      <w:r w:rsidR="008C6B9E" w:rsidRPr="007140DD">
        <w:rPr>
          <w:rFonts w:ascii="Arial" w:hAnsi="Arial" w:cs="Arial"/>
        </w:rPr>
        <w:t xml:space="preserve">The rise in snack consumption is closely linked with increased prevalence of overweight, obesity, and non-communicable diseases such as type 2 diabetes, especially when snacks are energy-dense and nutrient-poor </w:t>
      </w:r>
      <w:r w:rsidR="0048663C" w:rsidRPr="007140DD">
        <w:rPr>
          <w:rFonts w:ascii="Arial" w:hAnsi="Arial" w:cs="Arial"/>
        </w:rPr>
        <w:t xml:space="preserve">like doughnuts </w:t>
      </w:r>
      <w:r w:rsidR="008C6B9E" w:rsidRPr="007140DD">
        <w:rPr>
          <w:rFonts w:ascii="Arial" w:hAnsi="Arial" w:cs="Arial"/>
        </w:rPr>
        <w:t xml:space="preserve">(WHO, 2016). </w:t>
      </w:r>
      <w:r w:rsidR="0048663C" w:rsidRPr="007140DD">
        <w:rPr>
          <w:rFonts w:ascii="Arial" w:hAnsi="Arial" w:cs="Arial"/>
        </w:rPr>
        <w:t>Doughnuts are typically deep-fried, resulting in high levels of saturated fats and calories. Consuming foods high in calories, such as doughnuts, in excess can lead to cardiovascular disease, metabolic syndrome, and obesity (</w:t>
      </w:r>
      <w:proofErr w:type="spellStart"/>
      <w:r w:rsidR="0048663C" w:rsidRPr="007140DD">
        <w:rPr>
          <w:rFonts w:ascii="Arial" w:hAnsi="Arial" w:cs="Arial"/>
        </w:rPr>
        <w:t>Astrup</w:t>
      </w:r>
      <w:proofErr w:type="spellEnd"/>
      <w:r w:rsidR="0048663C" w:rsidRPr="007140DD">
        <w:rPr>
          <w:rFonts w:ascii="Arial" w:hAnsi="Arial" w:cs="Arial"/>
        </w:rPr>
        <w:t xml:space="preserve"> et al., 2011).</w:t>
      </w:r>
      <w:r w:rsidR="0048663C" w:rsidRPr="007140DD">
        <w:rPr>
          <w:rFonts w:ascii="Times New Roman" w:hAnsi="Times New Roman"/>
          <w:sz w:val="24"/>
          <w:szCs w:val="24"/>
        </w:rPr>
        <w:t xml:space="preserve"> </w:t>
      </w:r>
      <w:r w:rsidR="00492CE7" w:rsidRPr="007140DD">
        <w:rPr>
          <w:rFonts w:ascii="Arial" w:hAnsi="Arial" w:cs="Arial"/>
        </w:rPr>
        <w:t xml:space="preserve">Edible oils and fats </w:t>
      </w:r>
      <w:r w:rsidR="0048663C" w:rsidRPr="007140DD">
        <w:rPr>
          <w:rFonts w:ascii="Arial" w:hAnsi="Arial" w:cs="Arial"/>
        </w:rPr>
        <w:t xml:space="preserve">used in frying doughnuts </w:t>
      </w:r>
      <w:r w:rsidR="00492CE7" w:rsidRPr="007140DD">
        <w:rPr>
          <w:rFonts w:ascii="Arial" w:hAnsi="Arial" w:cs="Arial"/>
        </w:rPr>
        <w:t xml:space="preserve">play an essential role in human nutrition </w:t>
      </w:r>
      <w:r w:rsidR="00492CE7" w:rsidRPr="007140DD">
        <w:rPr>
          <w:rFonts w:ascii="Arial" w:hAnsi="Arial" w:cs="Arial"/>
        </w:rPr>
        <w:lastRenderedPageBreak/>
        <w:t>and health, serving as significant sources of energy, essential fatty acids, and fat-soluble vitamins. Numerous studies have demonstrated that the consumption of different types of oils influences various physiological processes, including lipid metabolism, disease development, and overall well-being (</w:t>
      </w:r>
      <w:r w:rsidR="00492CE7" w:rsidRPr="007140DD">
        <w:rPr>
          <w:rFonts w:ascii="Arial" w:hAnsi="Arial" w:cs="Arial"/>
          <w:bCs/>
        </w:rPr>
        <w:t>Amri et al., 2017)</w:t>
      </w:r>
      <w:r w:rsidR="00492CE7" w:rsidRPr="007140DD">
        <w:rPr>
          <w:rFonts w:ascii="Arial" w:hAnsi="Arial" w:cs="Arial"/>
        </w:rPr>
        <w:t>. In addition to their dietary functions, oils are widely utilized in pharmaceutical, cosmetic, and industrial applications due to their functional and bioactive components (</w:t>
      </w:r>
      <w:r w:rsidR="00492CE7" w:rsidRPr="007140DD">
        <w:rPr>
          <w:rFonts w:ascii="Arial" w:hAnsi="Arial" w:cs="Arial"/>
          <w:bCs/>
        </w:rPr>
        <w:t>Asuquo et al., 2012</w:t>
      </w:r>
      <w:r w:rsidR="00492CE7" w:rsidRPr="007140DD">
        <w:rPr>
          <w:rFonts w:ascii="Arial" w:hAnsi="Arial" w:cs="Arial"/>
        </w:rPr>
        <w:t>).</w:t>
      </w:r>
      <w:r w:rsidR="006D204D" w:rsidRPr="007140DD">
        <w:rPr>
          <w:rFonts w:ascii="Arial" w:hAnsi="Arial" w:cs="Arial"/>
        </w:rPr>
        <w:t xml:space="preserve"> </w:t>
      </w:r>
      <w:r w:rsidR="00492CE7" w:rsidRPr="007140DD">
        <w:rPr>
          <w:rFonts w:ascii="Arial" w:hAnsi="Arial" w:cs="Arial"/>
        </w:rPr>
        <w:t>Fats and oils are commonly incorporated into food both directly and indirectly: added to salads, cooked meals, or used as frying media (</w:t>
      </w:r>
      <w:r w:rsidR="00492CE7" w:rsidRPr="007140DD">
        <w:rPr>
          <w:rFonts w:ascii="Arial" w:hAnsi="Arial" w:cs="Arial"/>
          <w:bCs/>
        </w:rPr>
        <w:t>Arif et al., 2010)</w:t>
      </w:r>
      <w:r w:rsidR="00492CE7" w:rsidRPr="007140DD">
        <w:rPr>
          <w:rFonts w:ascii="Arial" w:hAnsi="Arial" w:cs="Arial"/>
        </w:rPr>
        <w:t>. Beyond their nutritional contributions, they provide desirable sensory attributes such as flavor, texture, and mouthfeel. However, during extraction, processing, and culinary use; especially involving heat treatments like frying, oils undergo various physicochemical changes. These include oxidation, hydrolysis, and polymerization, which can degrade the oil's quality and produce potentially harmful compounds (</w:t>
      </w:r>
      <w:r w:rsidR="00492CE7" w:rsidRPr="007140DD">
        <w:rPr>
          <w:rFonts w:ascii="Arial" w:hAnsi="Arial" w:cs="Arial"/>
          <w:bCs/>
        </w:rPr>
        <w:t>Arif et al., 2010</w:t>
      </w:r>
      <w:r w:rsidR="00492CE7" w:rsidRPr="007140DD">
        <w:rPr>
          <w:rFonts w:ascii="Arial" w:hAnsi="Arial" w:cs="Arial"/>
        </w:rPr>
        <w:t xml:space="preserve">; </w:t>
      </w:r>
      <w:proofErr w:type="spellStart"/>
      <w:r w:rsidR="00492CE7" w:rsidRPr="007140DD">
        <w:rPr>
          <w:rFonts w:ascii="Arial" w:hAnsi="Arial" w:cs="Arial"/>
        </w:rPr>
        <w:t>Anyasa</w:t>
      </w:r>
      <w:proofErr w:type="spellEnd"/>
      <w:r w:rsidR="00492CE7" w:rsidRPr="007140DD">
        <w:rPr>
          <w:rFonts w:ascii="Arial" w:hAnsi="Arial" w:cs="Arial"/>
        </w:rPr>
        <w:t xml:space="preserve"> et al., 2009; </w:t>
      </w:r>
      <w:proofErr w:type="spellStart"/>
      <w:r w:rsidR="00492CE7" w:rsidRPr="007140DD">
        <w:rPr>
          <w:rFonts w:ascii="Arial" w:hAnsi="Arial" w:cs="Arial"/>
        </w:rPr>
        <w:t>Lendle</w:t>
      </w:r>
      <w:proofErr w:type="spellEnd"/>
      <w:r w:rsidR="00492CE7" w:rsidRPr="007140DD">
        <w:rPr>
          <w:rFonts w:ascii="Arial" w:hAnsi="Arial" w:cs="Arial"/>
        </w:rPr>
        <w:t xml:space="preserve"> et al., 2005). Vegetable oils are particularly valued for their high content of unsaturated fatty acids, which contribute to cell regeneration, tissue repair, and cardiovascular health (</w:t>
      </w:r>
      <w:r w:rsidR="00492CE7" w:rsidRPr="007140DD">
        <w:rPr>
          <w:rFonts w:ascii="Arial" w:hAnsi="Arial" w:cs="Arial"/>
          <w:bCs/>
        </w:rPr>
        <w:t>Arif et al., 2010)</w:t>
      </w:r>
      <w:r w:rsidR="00492CE7" w:rsidRPr="007140DD">
        <w:rPr>
          <w:rFonts w:ascii="Arial" w:hAnsi="Arial" w:cs="Arial"/>
        </w:rPr>
        <w:t>. These oils primarily contain lipids in the form of triacylglycerols, composed of saturated and unsaturated fatty acids. Their quality and stability are routinely assessed through key physicochemical parameters such as iodine value (IV), saponification value (SV), peroxide value (PV), viscosity, and density (Ceriani et al., 2008; Mousavi et al., 2012). Several studies have explored the effects of thermal processing on the stability of edible oils. Parameters such as PV, IV, and viscosity are particularly sensitive to temperature-induced degradation (</w:t>
      </w:r>
      <w:proofErr w:type="spellStart"/>
      <w:r w:rsidR="00492CE7" w:rsidRPr="007140DD">
        <w:rPr>
          <w:rFonts w:ascii="Arial" w:hAnsi="Arial" w:cs="Arial"/>
        </w:rPr>
        <w:t>Farhoosh</w:t>
      </w:r>
      <w:proofErr w:type="spellEnd"/>
      <w:r w:rsidR="00492CE7" w:rsidRPr="007140DD">
        <w:rPr>
          <w:rFonts w:ascii="Arial" w:hAnsi="Arial" w:cs="Arial"/>
        </w:rPr>
        <w:t xml:space="preserve"> et al., 2008; Li et al., 2010; Jinfeng et al., 2011). Oxidation, in particular, significantly alters the structural and functional integrity of oils. During this process, unsaturated fatty acids react with oxygen and light, generating free radicals, which subsequently form hydroperoxides, aldehydes, and ketones. If unchecked, these reactions culminate in polymerization, further diminishing oil quality and digestibility, and leading to the destruction of fat-soluble vitamins (</w:t>
      </w:r>
      <w:r w:rsidR="00492CE7" w:rsidRPr="007140DD">
        <w:rPr>
          <w:rFonts w:ascii="Arial" w:hAnsi="Arial" w:cs="Arial"/>
          <w:bCs/>
        </w:rPr>
        <w:t>Arif et al., 2010</w:t>
      </w:r>
      <w:r w:rsidR="00492CE7" w:rsidRPr="007140DD">
        <w:rPr>
          <w:rFonts w:ascii="Arial" w:hAnsi="Arial" w:cs="Arial"/>
        </w:rPr>
        <w:t xml:space="preserve">; </w:t>
      </w:r>
      <w:proofErr w:type="spellStart"/>
      <w:r w:rsidR="00492CE7" w:rsidRPr="007140DD">
        <w:rPr>
          <w:rFonts w:ascii="Arial" w:hAnsi="Arial" w:cs="Arial"/>
        </w:rPr>
        <w:t>Anyasa</w:t>
      </w:r>
      <w:proofErr w:type="spellEnd"/>
      <w:r w:rsidR="00492CE7" w:rsidRPr="007140DD">
        <w:rPr>
          <w:rFonts w:ascii="Arial" w:hAnsi="Arial" w:cs="Arial"/>
        </w:rPr>
        <w:t xml:space="preserve"> et al., 2009). Deep frying is a widespread cooking method that subjects oils to high temperatures over prolonged periods. Repeated use of frying oil accelerates oxidative and thermal degradation, altering both its nutritional and sensory characteristics (Che Man &amp; Jasvir, 2000). Factors such as initial oil quality, replenishment frequency, frying conditions, and oxygen exposure significantly influence the rate of degradation (Choe &amp; Min, 2007). Oxidized oils not only reduce the sensory appeal of foods but also pose potential health risks due to the accumulation of toxic degradation products (Bhattacharya et al., 2008). Given these concerns, monitoring the quality of oils used in food preparation is imperative. It ensures consumer safety, preserves the sensory quality of fried products, and minimizes economic losses associated with premature oil disposal (Zahir et al., 2017). This study aims to evaluate the quality of doughnuts prepared using locally processed vegetable oil</w:t>
      </w:r>
      <w:r w:rsidR="00647D8B" w:rsidRPr="007140DD">
        <w:rPr>
          <w:rFonts w:ascii="Arial" w:hAnsi="Arial" w:cs="Arial"/>
        </w:rPr>
        <w:t>s</w:t>
      </w:r>
      <w:r w:rsidR="00492CE7" w:rsidRPr="007140DD">
        <w:rPr>
          <w:rFonts w:ascii="Arial" w:hAnsi="Arial" w:cs="Arial"/>
        </w:rPr>
        <w:t xml:space="preserve"> and butter. Specifically, the research investigates the physicochemical properties, fatty acid composition, and elemental metal profile of oils extracted from the doughnuts. The findings are expected to provide insights into how </w:t>
      </w:r>
      <w:r w:rsidR="00696E24" w:rsidRPr="007140DD">
        <w:rPr>
          <w:rFonts w:ascii="Arial" w:hAnsi="Arial" w:cs="Arial"/>
        </w:rPr>
        <w:t>unrefined</w:t>
      </w:r>
      <w:r w:rsidR="00492CE7" w:rsidRPr="007140DD">
        <w:rPr>
          <w:rFonts w:ascii="Arial" w:hAnsi="Arial" w:cs="Arial"/>
        </w:rPr>
        <w:t xml:space="preserve"> fat </w:t>
      </w:r>
      <w:r w:rsidR="00696E24" w:rsidRPr="007140DD">
        <w:rPr>
          <w:rFonts w:ascii="Arial" w:hAnsi="Arial" w:cs="Arial"/>
        </w:rPr>
        <w:t xml:space="preserve">and oils </w:t>
      </w:r>
      <w:r w:rsidR="00492CE7" w:rsidRPr="007140DD">
        <w:rPr>
          <w:rFonts w:ascii="Arial" w:hAnsi="Arial" w:cs="Arial"/>
        </w:rPr>
        <w:t>blend influence the nutritional, sensory, and functional quality of fried snack products.</w:t>
      </w:r>
    </w:p>
    <w:p w14:paraId="64569445" w14:textId="77777777" w:rsidR="00790ADA" w:rsidRPr="007140DD" w:rsidRDefault="00902823" w:rsidP="00441B6F">
      <w:pPr>
        <w:pStyle w:val="AbstHead"/>
        <w:spacing w:after="0"/>
        <w:jc w:val="both"/>
        <w:rPr>
          <w:rFonts w:ascii="Arial" w:hAnsi="Arial" w:cs="Arial"/>
        </w:rPr>
      </w:pPr>
      <w:r w:rsidRPr="007140DD">
        <w:rPr>
          <w:rFonts w:ascii="Arial" w:hAnsi="Arial" w:cs="Arial"/>
        </w:rPr>
        <w:t>2. material and method</w:t>
      </w:r>
      <w:r w:rsidR="00000F8F" w:rsidRPr="007140DD">
        <w:rPr>
          <w:rFonts w:ascii="Arial" w:hAnsi="Arial" w:cs="Arial"/>
        </w:rPr>
        <w:t xml:space="preserve">s </w:t>
      </w:r>
    </w:p>
    <w:p w14:paraId="68830803" w14:textId="77777777" w:rsidR="00372CA1" w:rsidRPr="007140DD" w:rsidRDefault="00372CA1" w:rsidP="00441B6F">
      <w:pPr>
        <w:pStyle w:val="AbstHead"/>
        <w:spacing w:after="0"/>
        <w:jc w:val="both"/>
        <w:rPr>
          <w:rFonts w:ascii="Arial" w:hAnsi="Arial" w:cs="Arial"/>
        </w:rPr>
      </w:pPr>
    </w:p>
    <w:p w14:paraId="05D738FB" w14:textId="77777777" w:rsidR="00492CE7" w:rsidRPr="007140DD" w:rsidRDefault="00492CE7" w:rsidP="00492CE7">
      <w:pPr>
        <w:jc w:val="both"/>
        <w:rPr>
          <w:rFonts w:ascii="Arial" w:hAnsi="Arial" w:cs="Arial"/>
          <w:b/>
          <w:sz w:val="22"/>
          <w:szCs w:val="22"/>
        </w:rPr>
      </w:pPr>
      <w:r w:rsidRPr="007140DD">
        <w:rPr>
          <w:rFonts w:ascii="Arial" w:hAnsi="Arial" w:cs="Arial"/>
          <w:b/>
          <w:sz w:val="22"/>
          <w:szCs w:val="22"/>
        </w:rPr>
        <w:t>2.1 Materials and reagents</w:t>
      </w:r>
    </w:p>
    <w:p w14:paraId="2CB19927" w14:textId="52D3D6FF" w:rsidR="00492CE7" w:rsidRPr="007140DD" w:rsidRDefault="00492CE7" w:rsidP="00492CE7">
      <w:pPr>
        <w:jc w:val="both"/>
        <w:rPr>
          <w:rFonts w:ascii="Arial" w:eastAsia="Calibri" w:hAnsi="Arial" w:cs="Arial"/>
        </w:rPr>
      </w:pPr>
      <w:r w:rsidRPr="007140DD">
        <w:rPr>
          <w:rFonts w:ascii="Arial" w:eastAsia="Calibri" w:hAnsi="Arial" w:cs="Arial"/>
        </w:rPr>
        <w:t xml:space="preserve">Soxhlet </w:t>
      </w:r>
      <w:r w:rsidR="00B849F7" w:rsidRPr="007140DD">
        <w:rPr>
          <w:rFonts w:ascii="Arial" w:eastAsia="Calibri" w:hAnsi="Arial" w:cs="Arial"/>
        </w:rPr>
        <w:t>Extractor</w:t>
      </w:r>
      <w:commentRangeStart w:id="1"/>
      <w:commentRangeStart w:id="2"/>
      <w:commentRangeEnd w:id="1"/>
      <w:commentRangeEnd w:id="2"/>
      <w:r w:rsidR="00B849F7" w:rsidRPr="007140DD">
        <w:rPr>
          <w:rFonts w:ascii="Arial" w:eastAsia="Calibri" w:hAnsi="Arial" w:cs="Arial"/>
        </w:rPr>
        <w:t xml:space="preserve">, Condenser, Round Bottom Flak, Heating Mantle (with stirring function): 98-11-B, Retort Stand, </w:t>
      </w:r>
      <w:r w:rsidR="00123480" w:rsidRPr="007140DD">
        <w:rPr>
          <w:rFonts w:ascii="Arial" w:eastAsia="Calibri" w:hAnsi="Arial" w:cs="Arial"/>
        </w:rPr>
        <w:t>Analytical</w:t>
      </w:r>
      <w:r w:rsidRPr="007140DD">
        <w:rPr>
          <w:rFonts w:ascii="Arial" w:eastAsia="Calibri" w:hAnsi="Arial" w:cs="Arial"/>
        </w:rPr>
        <w:t xml:space="preserve"> </w:t>
      </w:r>
      <w:r w:rsidR="00123480" w:rsidRPr="007140DD">
        <w:rPr>
          <w:rFonts w:ascii="Arial" w:eastAsia="Calibri" w:hAnsi="Arial" w:cs="Arial"/>
        </w:rPr>
        <w:t>B</w:t>
      </w:r>
      <w:r w:rsidRPr="007140DD">
        <w:rPr>
          <w:rFonts w:ascii="Arial" w:eastAsia="Calibri" w:hAnsi="Arial" w:cs="Arial"/>
        </w:rPr>
        <w:t>alance</w:t>
      </w:r>
      <w:r w:rsidR="00B849F7" w:rsidRPr="007140DD">
        <w:rPr>
          <w:rFonts w:ascii="Arial" w:eastAsia="Calibri" w:hAnsi="Arial" w:cs="Arial"/>
        </w:rPr>
        <w:t xml:space="preserve">: </w:t>
      </w:r>
      <w:r w:rsidR="00123480" w:rsidRPr="007140DD">
        <w:rPr>
          <w:rFonts w:ascii="Arial" w:eastAsia="Calibri" w:hAnsi="Arial" w:cs="Arial"/>
        </w:rPr>
        <w:t xml:space="preserve">JA </w:t>
      </w:r>
      <w:r w:rsidR="00B849F7" w:rsidRPr="007140DD">
        <w:rPr>
          <w:rFonts w:ascii="Arial" w:eastAsia="Calibri" w:hAnsi="Arial" w:cs="Arial"/>
        </w:rPr>
        <w:t xml:space="preserve">11003 , Conical Flask, Beaker, Electrical Water Bath: HH-S , Desiccator, Burette Boiling Tube, Cotton Wool/Filtered Paper, Thermostat Oven: DHG-9023A, Measuring Cylinder, Burette, Pipette, </w:t>
      </w:r>
      <w:r w:rsidRPr="007140DD">
        <w:rPr>
          <w:rFonts w:ascii="Arial" w:eastAsia="Calibri" w:hAnsi="Arial" w:cs="Arial"/>
        </w:rPr>
        <w:t>N</w:t>
      </w:r>
      <w:r w:rsidR="00B849F7" w:rsidRPr="007140DD">
        <w:rPr>
          <w:rFonts w:ascii="Arial" w:eastAsia="Calibri" w:hAnsi="Arial" w:cs="Arial"/>
        </w:rPr>
        <w:t xml:space="preserve">-Hexane, Potassium Iodide, Solvent Mixture Of Glacial Acetic Acid And Chloroform, </w:t>
      </w:r>
      <w:proofErr w:type="spellStart"/>
      <w:r w:rsidRPr="007140DD">
        <w:rPr>
          <w:rFonts w:ascii="Arial" w:eastAsia="Calibri" w:hAnsi="Arial" w:cs="Arial"/>
        </w:rPr>
        <w:t>Wij’s</w:t>
      </w:r>
      <w:proofErr w:type="spellEnd"/>
      <w:r w:rsidRPr="007140DD">
        <w:rPr>
          <w:rFonts w:ascii="Arial" w:eastAsia="Calibri" w:hAnsi="Arial" w:cs="Arial"/>
        </w:rPr>
        <w:t xml:space="preserve"> </w:t>
      </w:r>
      <w:r w:rsidR="00B849F7" w:rsidRPr="007140DD">
        <w:rPr>
          <w:rFonts w:ascii="Arial" w:eastAsia="Calibri" w:hAnsi="Arial" w:cs="Arial"/>
        </w:rPr>
        <w:t>Solution, Distilled Water, Starch Indicator, Powdered Potassium Iodide, Sodium Thiosulfate Solution, Sodium Hydroxide, Hydrochloric Acid, Locally Processed Oil, Locally Processed Butter, Flour</w:t>
      </w:r>
      <w:r w:rsidRPr="007140DD">
        <w:rPr>
          <w:rFonts w:ascii="Arial" w:eastAsia="Calibri" w:hAnsi="Arial" w:cs="Arial"/>
        </w:rPr>
        <w:t xml:space="preserve">, Analytical Balance: ADAM AAA250LE Weighing Balance (UK), Vortex Mixer: </w:t>
      </w:r>
      <w:proofErr w:type="spellStart"/>
      <w:r w:rsidRPr="007140DD">
        <w:rPr>
          <w:rFonts w:ascii="Arial" w:eastAsia="Calibri" w:hAnsi="Arial" w:cs="Arial"/>
        </w:rPr>
        <w:t>Heidolph</w:t>
      </w:r>
      <w:proofErr w:type="spellEnd"/>
      <w:r w:rsidRPr="007140DD">
        <w:rPr>
          <w:rFonts w:ascii="Arial" w:eastAsia="Calibri" w:hAnsi="Arial" w:cs="Arial"/>
        </w:rPr>
        <w:t xml:space="preserve"> REAX 2000 (Germany), Dichloromethane: GC </w:t>
      </w:r>
      <w:proofErr w:type="spellStart"/>
      <w:r w:rsidRPr="007140DD">
        <w:rPr>
          <w:rFonts w:ascii="Arial" w:eastAsia="Calibri" w:hAnsi="Arial" w:cs="Arial"/>
        </w:rPr>
        <w:t>Ultratrace</w:t>
      </w:r>
      <w:proofErr w:type="spellEnd"/>
      <w:r w:rsidRPr="007140DD">
        <w:rPr>
          <w:rFonts w:ascii="Arial" w:eastAsia="Calibri" w:hAnsi="Arial" w:cs="Arial"/>
        </w:rPr>
        <w:t xml:space="preserve">, </w:t>
      </w:r>
      <w:proofErr w:type="spellStart"/>
      <w:r w:rsidRPr="007140DD">
        <w:rPr>
          <w:rFonts w:ascii="Arial" w:eastAsia="Calibri" w:hAnsi="Arial" w:cs="Arial"/>
        </w:rPr>
        <w:t>Scharlau</w:t>
      </w:r>
      <w:proofErr w:type="spellEnd"/>
      <w:r w:rsidRPr="007140DD">
        <w:rPr>
          <w:rFonts w:ascii="Arial" w:eastAsia="Calibri" w:hAnsi="Arial" w:cs="Arial"/>
        </w:rPr>
        <w:t xml:space="preserve"> (Spain), n-Hexane: GC </w:t>
      </w:r>
      <w:proofErr w:type="spellStart"/>
      <w:r w:rsidRPr="007140DD">
        <w:rPr>
          <w:rFonts w:ascii="Arial" w:eastAsia="Calibri" w:hAnsi="Arial" w:cs="Arial"/>
        </w:rPr>
        <w:t>Ultratrace</w:t>
      </w:r>
      <w:proofErr w:type="spellEnd"/>
      <w:r w:rsidRPr="007140DD">
        <w:rPr>
          <w:rFonts w:ascii="Arial" w:eastAsia="Calibri" w:hAnsi="Arial" w:cs="Arial"/>
        </w:rPr>
        <w:t xml:space="preserve">, </w:t>
      </w:r>
      <w:proofErr w:type="spellStart"/>
      <w:r w:rsidRPr="007140DD">
        <w:rPr>
          <w:rFonts w:ascii="Arial" w:eastAsia="Calibri" w:hAnsi="Arial" w:cs="Arial"/>
        </w:rPr>
        <w:t>Scharlau</w:t>
      </w:r>
      <w:proofErr w:type="spellEnd"/>
      <w:r w:rsidRPr="007140DD">
        <w:rPr>
          <w:rFonts w:ascii="Arial" w:eastAsia="Calibri" w:hAnsi="Arial" w:cs="Arial"/>
        </w:rPr>
        <w:t xml:space="preserve"> (Spain), Methanol: HPLC Grade ACS, Scharlau (Spain), Potassium Hydroxide: </w:t>
      </w:r>
      <w:proofErr w:type="spellStart"/>
      <w:r w:rsidRPr="007140DD">
        <w:rPr>
          <w:rFonts w:ascii="Arial" w:eastAsia="Calibri" w:hAnsi="Arial" w:cs="Arial"/>
        </w:rPr>
        <w:t>Mollychem</w:t>
      </w:r>
      <w:proofErr w:type="spellEnd"/>
      <w:r w:rsidRPr="007140DD">
        <w:rPr>
          <w:rFonts w:ascii="Arial" w:eastAsia="Calibri" w:hAnsi="Arial" w:cs="Arial"/>
        </w:rPr>
        <w:t>, India etc.</w:t>
      </w:r>
    </w:p>
    <w:p w14:paraId="344D27D6" w14:textId="77777777" w:rsidR="00372CA1" w:rsidRPr="007140DD" w:rsidRDefault="00372CA1" w:rsidP="00492CE7">
      <w:pPr>
        <w:jc w:val="both"/>
        <w:rPr>
          <w:rFonts w:ascii="Arial" w:eastAsia="Calibri" w:hAnsi="Arial" w:cs="Arial"/>
        </w:rPr>
      </w:pPr>
    </w:p>
    <w:p w14:paraId="0EFE1F34" w14:textId="77777777" w:rsidR="00492CE7" w:rsidRPr="007140DD" w:rsidRDefault="00492CE7" w:rsidP="00492CE7">
      <w:pPr>
        <w:jc w:val="both"/>
        <w:rPr>
          <w:rFonts w:ascii="Arial" w:eastAsia="Calibri" w:hAnsi="Arial" w:cs="Arial"/>
          <w:b/>
          <w:sz w:val="22"/>
          <w:szCs w:val="22"/>
        </w:rPr>
      </w:pPr>
      <w:r w:rsidRPr="007140DD">
        <w:rPr>
          <w:rFonts w:ascii="Arial" w:eastAsia="Calibri" w:hAnsi="Arial" w:cs="Arial"/>
          <w:b/>
          <w:sz w:val="22"/>
          <w:szCs w:val="22"/>
        </w:rPr>
        <w:t xml:space="preserve">2.2 Sample collection </w:t>
      </w:r>
    </w:p>
    <w:p w14:paraId="45FFB4EE" w14:textId="358335B4" w:rsidR="00492CE7" w:rsidRPr="007140DD" w:rsidRDefault="00492CE7" w:rsidP="00DE28D6">
      <w:pPr>
        <w:jc w:val="both"/>
        <w:rPr>
          <w:rFonts w:ascii="Arial" w:eastAsia="Calibri" w:hAnsi="Arial" w:cs="Arial"/>
          <w:sz w:val="24"/>
          <w:szCs w:val="24"/>
        </w:rPr>
      </w:pPr>
      <w:r w:rsidRPr="007140DD">
        <w:rPr>
          <w:rFonts w:ascii="Arial" w:eastAsia="Calibri" w:hAnsi="Arial" w:cs="Arial"/>
        </w:rPr>
        <w:t xml:space="preserve">Oils, butters, and flour used in preparing the doughnut were bought from different shops at </w:t>
      </w:r>
      <w:proofErr w:type="spellStart"/>
      <w:r w:rsidRPr="007140DD">
        <w:rPr>
          <w:rFonts w:ascii="Arial" w:eastAsia="Calibri" w:hAnsi="Arial" w:cs="Arial"/>
        </w:rPr>
        <w:t>Uyo</w:t>
      </w:r>
      <w:proofErr w:type="spellEnd"/>
      <w:r w:rsidRPr="007140DD">
        <w:rPr>
          <w:rFonts w:ascii="Arial" w:eastAsia="Calibri" w:hAnsi="Arial" w:cs="Arial"/>
        </w:rPr>
        <w:t>,</w:t>
      </w:r>
      <w:r w:rsidR="005523EB" w:rsidRPr="007140DD">
        <w:rPr>
          <w:rFonts w:ascii="Arial" w:eastAsia="Calibri" w:hAnsi="Arial" w:cs="Arial"/>
        </w:rPr>
        <w:t xml:space="preserve"> </w:t>
      </w:r>
      <w:proofErr w:type="spellStart"/>
      <w:r w:rsidRPr="007140DD">
        <w:rPr>
          <w:rFonts w:ascii="Arial" w:eastAsia="Calibri" w:hAnsi="Arial" w:cs="Arial"/>
        </w:rPr>
        <w:t>Akwa</w:t>
      </w:r>
      <w:proofErr w:type="spellEnd"/>
      <w:r w:rsidRPr="007140DD">
        <w:rPr>
          <w:rFonts w:ascii="Arial" w:eastAsia="Calibri" w:hAnsi="Arial" w:cs="Arial"/>
        </w:rPr>
        <w:t xml:space="preserve"> Ibom State, Nigeria.</w:t>
      </w:r>
      <w:r w:rsidR="00815FE5" w:rsidRPr="007140DD">
        <w:rPr>
          <w:rFonts w:ascii="Arial" w:eastAsia="Calibri" w:hAnsi="Arial" w:cs="Arial"/>
        </w:rPr>
        <w:t xml:space="preserve"> </w:t>
      </w:r>
      <w:r w:rsidR="00815FE5" w:rsidRPr="007140DD">
        <w:rPr>
          <w:rStyle w:val="Emphasis"/>
          <w:rFonts w:ascii="Arial" w:hAnsi="Arial" w:cs="Arial"/>
          <w:i w:val="0"/>
        </w:rPr>
        <w:t xml:space="preserve">A purposive sampling technique was employed to select various shops in </w:t>
      </w:r>
      <w:proofErr w:type="spellStart"/>
      <w:r w:rsidR="00815FE5" w:rsidRPr="007140DD">
        <w:rPr>
          <w:rStyle w:val="Emphasis"/>
          <w:rFonts w:ascii="Arial" w:hAnsi="Arial" w:cs="Arial"/>
          <w:i w:val="0"/>
        </w:rPr>
        <w:t>Uyo</w:t>
      </w:r>
      <w:proofErr w:type="spellEnd"/>
      <w:r w:rsidR="00815FE5" w:rsidRPr="007140DD">
        <w:rPr>
          <w:rStyle w:val="Emphasis"/>
          <w:rFonts w:ascii="Arial" w:hAnsi="Arial" w:cs="Arial"/>
          <w:i w:val="0"/>
        </w:rPr>
        <w:t>, where commonly patronized brands of oils, butters, and flour were purchased. This was adopted to ensure the inclusion of products that are widely used by local consumers for doughnut preparation.</w:t>
      </w:r>
      <w:r w:rsidRPr="007140DD">
        <w:rPr>
          <w:rFonts w:ascii="Arial" w:eastAsia="Calibri" w:hAnsi="Arial" w:cs="Arial"/>
        </w:rPr>
        <w:t xml:space="preserve"> The doughnuts were prepared using locally processed</w:t>
      </w:r>
      <w:r w:rsidR="00815FE5" w:rsidRPr="007140DD">
        <w:rPr>
          <w:rFonts w:ascii="Arial" w:eastAsia="Calibri" w:hAnsi="Arial" w:cs="Arial"/>
        </w:rPr>
        <w:t xml:space="preserve"> (unrefined)</w:t>
      </w:r>
      <w:r w:rsidRPr="007140DD">
        <w:rPr>
          <w:rFonts w:ascii="Arial" w:eastAsia="Calibri" w:hAnsi="Arial" w:cs="Arial"/>
        </w:rPr>
        <w:t xml:space="preserve"> oil and locally processed </w:t>
      </w:r>
      <w:r w:rsidR="00815FE5" w:rsidRPr="007140DD">
        <w:rPr>
          <w:rFonts w:ascii="Arial" w:eastAsia="Calibri" w:hAnsi="Arial" w:cs="Arial"/>
        </w:rPr>
        <w:t xml:space="preserve">(unrefined) </w:t>
      </w:r>
      <w:r w:rsidRPr="007140DD">
        <w:rPr>
          <w:rFonts w:ascii="Arial" w:eastAsia="Calibri" w:hAnsi="Arial" w:cs="Arial"/>
        </w:rPr>
        <w:t>butter</w:t>
      </w:r>
      <w:r w:rsidRPr="007140DD">
        <w:rPr>
          <w:rFonts w:ascii="Arial" w:eastAsia="Calibri" w:hAnsi="Arial" w:cs="Arial"/>
          <w:sz w:val="24"/>
          <w:szCs w:val="24"/>
        </w:rPr>
        <w:t>.</w:t>
      </w:r>
    </w:p>
    <w:p w14:paraId="7DCCDA49" w14:textId="77777777" w:rsidR="00372CA1" w:rsidRPr="007140DD" w:rsidRDefault="00372CA1" w:rsidP="00492CE7">
      <w:pPr>
        <w:jc w:val="both"/>
        <w:rPr>
          <w:rFonts w:ascii="Arial" w:eastAsia="Calibri" w:hAnsi="Arial" w:cs="Arial"/>
          <w:sz w:val="24"/>
          <w:szCs w:val="24"/>
        </w:rPr>
      </w:pPr>
    </w:p>
    <w:p w14:paraId="36DF1BD4" w14:textId="77777777" w:rsidR="00492CE7" w:rsidRPr="007140DD" w:rsidRDefault="00492CE7" w:rsidP="00492CE7">
      <w:pPr>
        <w:jc w:val="both"/>
        <w:rPr>
          <w:rFonts w:ascii="Arial" w:eastAsia="Calibri" w:hAnsi="Arial" w:cs="Arial"/>
          <w:sz w:val="22"/>
          <w:szCs w:val="22"/>
        </w:rPr>
      </w:pPr>
      <w:r w:rsidRPr="007140DD">
        <w:rPr>
          <w:rFonts w:ascii="Arial" w:eastAsia="Calibri" w:hAnsi="Arial" w:cs="Arial"/>
          <w:b/>
          <w:bCs/>
          <w:sz w:val="22"/>
          <w:szCs w:val="22"/>
        </w:rPr>
        <w:t>2.3 Doughnut Preparation</w:t>
      </w:r>
    </w:p>
    <w:p w14:paraId="283B70DB" w14:textId="77777777" w:rsidR="00492CE7" w:rsidRPr="007140DD" w:rsidRDefault="00492CE7" w:rsidP="00492CE7">
      <w:pPr>
        <w:jc w:val="both"/>
        <w:rPr>
          <w:rFonts w:ascii="Arial" w:hAnsi="Arial" w:cs="Arial"/>
        </w:rPr>
      </w:pPr>
      <w:r w:rsidRPr="007140DD">
        <w:rPr>
          <w:rFonts w:ascii="Arial" w:hAnsi="Arial" w:cs="Arial"/>
        </w:rPr>
        <w:t>Active dry yeast (</w:t>
      </w:r>
      <w:r w:rsidR="007337BE" w:rsidRPr="007140DD">
        <w:rPr>
          <w:rFonts w:ascii="Arial" w:hAnsi="Arial" w:cs="Arial"/>
        </w:rPr>
        <w:t>10 g</w:t>
      </w:r>
      <w:r w:rsidRPr="007140DD">
        <w:rPr>
          <w:rFonts w:ascii="Arial" w:hAnsi="Arial" w:cs="Arial"/>
        </w:rPr>
        <w:t>) was combined with warm water in a bowl and set aside to activate. In a large bowl, the dry ingredients, all-purpose flour (250 g), sugar (50 g), salt (</w:t>
      </w:r>
      <w:r w:rsidR="00F30170" w:rsidRPr="007140DD">
        <w:rPr>
          <w:rFonts w:ascii="Arial" w:hAnsi="Arial" w:cs="Arial"/>
        </w:rPr>
        <w:t>2.5 g</w:t>
      </w:r>
      <w:r w:rsidRPr="007140DD">
        <w:rPr>
          <w:rFonts w:ascii="Arial" w:hAnsi="Arial" w:cs="Arial"/>
        </w:rPr>
        <w:t xml:space="preserve">), and flavors were thoroughly mixed together. Butter (50 g) was incorporated into the dry mixture and blended well. A well was made in the center of the dry mixture, and the activated yeast was poured in. The mixture was kneaded until a smooth dough formed. The dough was placed in a greased bowl, covered with cling film, and left to rise for 1 hour, or until it doubled in size. The risen dough was rolled out to about ½ inch thick and cut into doughnut shapes using a doughnut cutter. The shaped doughnuts were arranged on a </w:t>
      </w:r>
      <w:r w:rsidRPr="007140DD">
        <w:rPr>
          <w:rFonts w:ascii="Arial" w:hAnsi="Arial" w:cs="Arial"/>
        </w:rPr>
        <w:lastRenderedPageBreak/>
        <w:t>tray, covered, and allowed to rise again for 30 minutes. The doughnuts were carefully placed in hot oil, a few at a time, and fried for about 2 minutes on each side until golden brown. They were then removed and drained on paper towels.</w:t>
      </w:r>
    </w:p>
    <w:p w14:paraId="0B653710" w14:textId="77777777" w:rsidR="00392378" w:rsidRPr="007140DD" w:rsidRDefault="00392378" w:rsidP="00492CE7">
      <w:pPr>
        <w:jc w:val="both"/>
        <w:rPr>
          <w:rFonts w:ascii="Arial" w:hAnsi="Arial" w:cs="Arial"/>
        </w:rPr>
      </w:pPr>
    </w:p>
    <w:p w14:paraId="56E1F102" w14:textId="77777777" w:rsidR="00492CE7" w:rsidRPr="007140DD" w:rsidRDefault="00492CE7" w:rsidP="00492CE7">
      <w:pPr>
        <w:spacing w:line="480" w:lineRule="auto"/>
        <w:jc w:val="both"/>
        <w:rPr>
          <w:rFonts w:ascii="Arial" w:eastAsia="Calibri" w:hAnsi="Arial" w:cs="Arial"/>
          <w:b/>
          <w:sz w:val="24"/>
          <w:szCs w:val="24"/>
        </w:rPr>
      </w:pPr>
    </w:p>
    <w:p w14:paraId="34E7B8D0" w14:textId="77777777" w:rsidR="00492CE7" w:rsidRPr="007140DD" w:rsidRDefault="00392378" w:rsidP="00492CE7">
      <w:pPr>
        <w:spacing w:line="480" w:lineRule="auto"/>
        <w:jc w:val="both"/>
        <w:rPr>
          <w:rFonts w:ascii="Arial" w:eastAsia="Calibri" w:hAnsi="Arial" w:cs="Arial"/>
          <w:b/>
          <w:sz w:val="24"/>
          <w:szCs w:val="24"/>
        </w:rPr>
      </w:pPr>
      <w:r w:rsidRPr="007140DD">
        <w:rPr>
          <w:rFonts w:ascii="Arial" w:hAnsi="Arial" w:cs="Arial"/>
          <w:noProof/>
          <w:sz w:val="24"/>
          <w:szCs w:val="24"/>
          <w:lang w:val="pt-PT" w:eastAsia="pt-PT"/>
        </w:rPr>
        <w:drawing>
          <wp:anchor distT="0" distB="0" distL="114300" distR="114300" simplePos="0" relativeHeight="251658240" behindDoc="0" locked="0" layoutInCell="1" allowOverlap="1" wp14:anchorId="5C77BE4E" wp14:editId="78CCA8E6">
            <wp:simplePos x="0" y="0"/>
            <wp:positionH relativeFrom="margin">
              <wp:posOffset>428625</wp:posOffset>
            </wp:positionH>
            <wp:positionV relativeFrom="paragraph">
              <wp:posOffset>6349</wp:posOffset>
            </wp:positionV>
            <wp:extent cx="3000375" cy="1704975"/>
            <wp:effectExtent l="0" t="0" r="0" b="0"/>
            <wp:wrapNone/>
            <wp:docPr id="1" name="Picture 1" descr="C:\Users\Itohowo Okon Akpan\Desktop\GRANT RESEARCHES\IMG_20221220_103433_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ohowo Okon Akpan\Desktop\GRANT RESEARCHES\IMG_20221220_103433_5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03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9CA4C" w14:textId="77777777" w:rsidR="00492CE7" w:rsidRPr="007140DD" w:rsidRDefault="00492CE7" w:rsidP="00492CE7">
      <w:pPr>
        <w:rPr>
          <w:rFonts w:ascii="Arial" w:eastAsia="Calibri" w:hAnsi="Arial" w:cs="Arial"/>
          <w:b/>
          <w:sz w:val="24"/>
          <w:szCs w:val="24"/>
        </w:rPr>
      </w:pPr>
    </w:p>
    <w:p w14:paraId="64C28B11" w14:textId="77777777" w:rsidR="00492CE7" w:rsidRPr="007140DD" w:rsidRDefault="00492CE7" w:rsidP="00492CE7">
      <w:pPr>
        <w:rPr>
          <w:rFonts w:ascii="Arial" w:hAnsi="Arial" w:cs="Arial"/>
          <w:b/>
          <w:sz w:val="24"/>
          <w:szCs w:val="24"/>
        </w:rPr>
      </w:pPr>
      <w:r w:rsidRPr="007140DD">
        <w:rPr>
          <w:rFonts w:ascii="Arial" w:hAnsi="Arial" w:cs="Arial"/>
          <w:b/>
          <w:sz w:val="24"/>
          <w:szCs w:val="24"/>
        </w:rPr>
        <w:t xml:space="preserve">           </w:t>
      </w:r>
    </w:p>
    <w:p w14:paraId="165DF3A1" w14:textId="77777777" w:rsidR="00492CE7" w:rsidRPr="007140DD" w:rsidRDefault="00492CE7" w:rsidP="00492CE7">
      <w:pPr>
        <w:rPr>
          <w:rFonts w:ascii="Arial" w:hAnsi="Arial" w:cs="Arial"/>
          <w:b/>
          <w:sz w:val="24"/>
          <w:szCs w:val="24"/>
        </w:rPr>
      </w:pPr>
    </w:p>
    <w:p w14:paraId="2D5822E8" w14:textId="77777777" w:rsidR="00492CE7" w:rsidRPr="007140DD" w:rsidRDefault="00492CE7" w:rsidP="00492CE7">
      <w:pPr>
        <w:rPr>
          <w:rFonts w:ascii="Arial" w:hAnsi="Arial" w:cs="Arial"/>
          <w:b/>
          <w:sz w:val="24"/>
          <w:szCs w:val="24"/>
        </w:rPr>
      </w:pPr>
    </w:p>
    <w:p w14:paraId="293FF9B2" w14:textId="77777777" w:rsidR="00392378" w:rsidRPr="007140DD" w:rsidRDefault="00492CE7" w:rsidP="00492CE7">
      <w:pPr>
        <w:rPr>
          <w:rFonts w:ascii="Arial" w:hAnsi="Arial" w:cs="Arial"/>
          <w:b/>
        </w:rPr>
      </w:pPr>
      <w:r w:rsidRPr="007140DD">
        <w:rPr>
          <w:rFonts w:ascii="Arial" w:hAnsi="Arial" w:cs="Arial"/>
          <w:b/>
        </w:rPr>
        <w:t xml:space="preserve"> </w:t>
      </w:r>
    </w:p>
    <w:p w14:paraId="165AEC38" w14:textId="77777777" w:rsidR="00392378" w:rsidRPr="007140DD" w:rsidRDefault="00392378" w:rsidP="00492CE7">
      <w:pPr>
        <w:rPr>
          <w:rFonts w:ascii="Arial" w:hAnsi="Arial" w:cs="Arial"/>
          <w:b/>
        </w:rPr>
      </w:pPr>
    </w:p>
    <w:p w14:paraId="3924EFEB" w14:textId="77777777" w:rsidR="00392378" w:rsidRPr="007140DD" w:rsidRDefault="00392378" w:rsidP="00492CE7">
      <w:pPr>
        <w:rPr>
          <w:rFonts w:ascii="Arial" w:hAnsi="Arial" w:cs="Arial"/>
          <w:b/>
        </w:rPr>
      </w:pPr>
    </w:p>
    <w:p w14:paraId="5914E076" w14:textId="77777777" w:rsidR="00392378" w:rsidRPr="007140DD" w:rsidRDefault="00392378" w:rsidP="00492CE7">
      <w:pPr>
        <w:rPr>
          <w:rFonts w:ascii="Arial" w:hAnsi="Arial" w:cs="Arial"/>
          <w:b/>
        </w:rPr>
      </w:pPr>
    </w:p>
    <w:p w14:paraId="10F403C2" w14:textId="77777777" w:rsidR="00392378" w:rsidRPr="007140DD" w:rsidRDefault="00392378" w:rsidP="00492CE7">
      <w:pPr>
        <w:rPr>
          <w:rFonts w:ascii="Arial" w:hAnsi="Arial" w:cs="Arial"/>
          <w:b/>
        </w:rPr>
      </w:pPr>
    </w:p>
    <w:p w14:paraId="7C40EABC" w14:textId="77777777" w:rsidR="00492CE7" w:rsidRPr="007140DD" w:rsidRDefault="00492CE7" w:rsidP="00492CE7">
      <w:pPr>
        <w:rPr>
          <w:rFonts w:ascii="Arial" w:hAnsi="Arial" w:cs="Arial"/>
          <w:b/>
        </w:rPr>
      </w:pPr>
      <w:r w:rsidRPr="007140DD">
        <w:rPr>
          <w:rFonts w:ascii="Arial" w:hAnsi="Arial" w:cs="Arial"/>
          <w:b/>
        </w:rPr>
        <w:t>Plate 1: Doughnut prepared from a locally processed oil and butter</w:t>
      </w:r>
    </w:p>
    <w:p w14:paraId="617A3684" w14:textId="77777777" w:rsidR="00231A41" w:rsidRPr="007140DD" w:rsidRDefault="00231A41" w:rsidP="00492CE7">
      <w:pPr>
        <w:spacing w:line="480" w:lineRule="auto"/>
        <w:jc w:val="both"/>
        <w:rPr>
          <w:rFonts w:ascii="Arial" w:eastAsia="Calibri" w:hAnsi="Arial" w:cs="Arial"/>
          <w:b/>
          <w:sz w:val="24"/>
          <w:szCs w:val="24"/>
        </w:rPr>
      </w:pPr>
    </w:p>
    <w:p w14:paraId="288A487C" w14:textId="77777777" w:rsidR="00492CE7" w:rsidRPr="007140DD" w:rsidRDefault="00231A41" w:rsidP="00492CE7">
      <w:pPr>
        <w:spacing w:line="480" w:lineRule="auto"/>
        <w:jc w:val="both"/>
        <w:rPr>
          <w:rFonts w:ascii="Arial" w:eastAsia="Calibri" w:hAnsi="Arial" w:cs="Arial"/>
          <w:sz w:val="22"/>
          <w:szCs w:val="22"/>
        </w:rPr>
      </w:pPr>
      <w:r w:rsidRPr="007140DD">
        <w:rPr>
          <w:rFonts w:ascii="Arial" w:eastAsia="Calibri" w:hAnsi="Arial" w:cs="Arial"/>
          <w:b/>
          <w:sz w:val="22"/>
          <w:szCs w:val="22"/>
        </w:rPr>
        <w:t xml:space="preserve">2.4 </w:t>
      </w:r>
      <w:r w:rsidR="00492CE7" w:rsidRPr="007140DD">
        <w:rPr>
          <w:rFonts w:ascii="Arial" w:eastAsia="Calibri" w:hAnsi="Arial" w:cs="Arial"/>
          <w:b/>
          <w:sz w:val="22"/>
          <w:szCs w:val="22"/>
        </w:rPr>
        <w:t>Extraction of snack (doughnut</w:t>
      </w:r>
      <w:r w:rsidR="00492CE7" w:rsidRPr="007140DD">
        <w:rPr>
          <w:rFonts w:ascii="Arial" w:eastAsia="Calibri" w:hAnsi="Arial" w:cs="Arial"/>
          <w:sz w:val="22"/>
          <w:szCs w:val="22"/>
        </w:rPr>
        <w:t>)</w:t>
      </w:r>
    </w:p>
    <w:p w14:paraId="5C0B916A" w14:textId="23EA550B" w:rsidR="00492CE7" w:rsidRPr="007140DD" w:rsidRDefault="00492CE7" w:rsidP="00492CE7">
      <w:pPr>
        <w:jc w:val="both"/>
        <w:rPr>
          <w:rFonts w:ascii="Arial" w:eastAsia="Calibri" w:hAnsi="Arial" w:cs="Arial"/>
        </w:rPr>
      </w:pPr>
      <w:r w:rsidRPr="007140DD">
        <w:rPr>
          <w:rFonts w:ascii="Arial" w:eastAsia="Calibri" w:hAnsi="Arial" w:cs="Arial"/>
        </w:rPr>
        <w:t xml:space="preserve">Extraction of oil from </w:t>
      </w:r>
      <w:r w:rsidR="00D91628" w:rsidRPr="007140DD">
        <w:rPr>
          <w:rFonts w:ascii="Arial" w:eastAsia="Calibri" w:hAnsi="Arial" w:cs="Arial"/>
        </w:rPr>
        <w:t xml:space="preserve">the </w:t>
      </w:r>
      <w:r w:rsidRPr="007140DD">
        <w:rPr>
          <w:rFonts w:ascii="Arial" w:eastAsia="Calibri" w:hAnsi="Arial" w:cs="Arial"/>
        </w:rPr>
        <w:t xml:space="preserve">doughnut was carried out by </w:t>
      </w:r>
      <w:proofErr w:type="spellStart"/>
      <w:r w:rsidRPr="007140DD">
        <w:rPr>
          <w:rFonts w:ascii="Arial" w:eastAsia="Calibri" w:hAnsi="Arial" w:cs="Arial"/>
        </w:rPr>
        <w:t>soxhlet</w:t>
      </w:r>
      <w:proofErr w:type="spellEnd"/>
      <w:r w:rsidRPr="007140DD">
        <w:rPr>
          <w:rFonts w:ascii="Arial" w:eastAsia="Calibri" w:hAnsi="Arial" w:cs="Arial"/>
        </w:rPr>
        <w:t xml:space="preserve"> extraction. About 50 g </w:t>
      </w:r>
      <w:r w:rsidR="00267C1B" w:rsidRPr="007140DD">
        <w:rPr>
          <w:rFonts w:ascii="Arial" w:eastAsia="Calibri" w:hAnsi="Arial" w:cs="Arial"/>
        </w:rPr>
        <w:t xml:space="preserve">of finely chopped doughnuts </w:t>
      </w:r>
      <w:r w:rsidRPr="007140DD">
        <w:rPr>
          <w:rFonts w:ascii="Arial" w:eastAsia="Calibri" w:hAnsi="Arial" w:cs="Arial"/>
        </w:rPr>
        <w:t>was weighed in batches with a filtered paper on a weighing balance, wrapped and stapled</w:t>
      </w:r>
      <w:r w:rsidR="007B6584" w:rsidRPr="007140DD">
        <w:rPr>
          <w:rFonts w:ascii="Arial" w:eastAsia="Calibri" w:hAnsi="Arial" w:cs="Arial"/>
        </w:rPr>
        <w:t>,</w:t>
      </w:r>
      <w:r w:rsidRPr="007140DD">
        <w:rPr>
          <w:rFonts w:ascii="Arial" w:eastAsia="Calibri" w:hAnsi="Arial" w:cs="Arial"/>
        </w:rPr>
        <w:t xml:space="preserve"> then put in already set up </w:t>
      </w:r>
      <w:proofErr w:type="spellStart"/>
      <w:r w:rsidRPr="007140DD">
        <w:rPr>
          <w:rFonts w:ascii="Arial" w:eastAsia="Calibri" w:hAnsi="Arial" w:cs="Arial"/>
        </w:rPr>
        <w:t>soxhlet</w:t>
      </w:r>
      <w:proofErr w:type="spellEnd"/>
      <w:r w:rsidRPr="007140DD">
        <w:rPr>
          <w:rFonts w:ascii="Arial" w:eastAsia="Calibri" w:hAnsi="Arial" w:cs="Arial"/>
        </w:rPr>
        <w:t xml:space="preserve"> apparatus and n-hexane was added and extracted for an hour at a temperature of about 60</w:t>
      </w:r>
      <w:r w:rsidRPr="007140DD">
        <w:rPr>
          <w:rFonts w:ascii="Arial" w:eastAsia="Calibri" w:hAnsi="Arial" w:cs="Arial"/>
          <w:vertAlign w:val="superscript"/>
        </w:rPr>
        <w:t>o</w:t>
      </w:r>
      <w:r w:rsidRPr="007140DD">
        <w:rPr>
          <w:rFonts w:ascii="Arial" w:eastAsia="Calibri" w:hAnsi="Arial" w:cs="Arial"/>
        </w:rPr>
        <w:t>C.</w:t>
      </w:r>
      <w:r w:rsidR="005F2703" w:rsidRPr="007140DD">
        <w:rPr>
          <w:rFonts w:ascii="Arial" w:eastAsia="Calibri" w:hAnsi="Arial" w:cs="Arial"/>
        </w:rPr>
        <w:t xml:space="preserve"> </w:t>
      </w:r>
      <w:r w:rsidR="00675C83" w:rsidRPr="007140DD">
        <w:rPr>
          <w:rFonts w:ascii="Arial" w:eastAsia="Calibri" w:hAnsi="Arial" w:cs="Arial"/>
        </w:rPr>
        <w:t xml:space="preserve">The solvent (n-hexane) was removed from the extracted oil with rotary evaporator. The oil </w:t>
      </w:r>
      <w:r w:rsidR="00D91628" w:rsidRPr="007140DD">
        <w:rPr>
          <w:rFonts w:ascii="Arial" w:eastAsia="Calibri" w:hAnsi="Arial" w:cs="Arial"/>
        </w:rPr>
        <w:t xml:space="preserve">extracted from the doughnut alongside unrefined oil and </w:t>
      </w:r>
      <w:r w:rsidR="00114004" w:rsidRPr="007140DD">
        <w:rPr>
          <w:rFonts w:ascii="Arial" w:eastAsia="Calibri" w:hAnsi="Arial" w:cs="Arial"/>
        </w:rPr>
        <w:t>butter were</w:t>
      </w:r>
      <w:r w:rsidR="00D91628" w:rsidRPr="007140DD">
        <w:rPr>
          <w:rFonts w:ascii="Arial" w:eastAsia="Calibri" w:hAnsi="Arial" w:cs="Arial"/>
        </w:rPr>
        <w:t xml:space="preserve"> each</w:t>
      </w:r>
      <w:r w:rsidR="00675C83" w:rsidRPr="007140DD">
        <w:rPr>
          <w:rFonts w:ascii="Arial" w:eastAsia="Calibri" w:hAnsi="Arial" w:cs="Arial"/>
        </w:rPr>
        <w:t xml:space="preserve"> analyzed for physicochemical properties, fatty acids and elemental compositions</w:t>
      </w:r>
      <w:r w:rsidR="00D91628" w:rsidRPr="007140DD">
        <w:rPr>
          <w:rFonts w:ascii="Arial" w:eastAsia="Calibri" w:hAnsi="Arial" w:cs="Arial"/>
        </w:rPr>
        <w:t>.</w:t>
      </w:r>
    </w:p>
    <w:p w14:paraId="42D67D94" w14:textId="77777777" w:rsidR="00372CA1" w:rsidRPr="007140DD" w:rsidRDefault="00372CA1" w:rsidP="00492CE7">
      <w:pPr>
        <w:jc w:val="both"/>
        <w:rPr>
          <w:rFonts w:ascii="Arial" w:eastAsia="Calibri" w:hAnsi="Arial" w:cs="Arial"/>
        </w:rPr>
      </w:pPr>
    </w:p>
    <w:p w14:paraId="399C6A16" w14:textId="77777777" w:rsidR="00231A41" w:rsidRPr="007140DD" w:rsidRDefault="00231A41" w:rsidP="00492CE7">
      <w:pPr>
        <w:jc w:val="both"/>
        <w:rPr>
          <w:rFonts w:ascii="Arial" w:hAnsi="Arial" w:cs="Arial"/>
          <w:b/>
          <w:bCs/>
          <w:sz w:val="22"/>
          <w:szCs w:val="22"/>
        </w:rPr>
      </w:pPr>
      <w:r w:rsidRPr="007140DD">
        <w:rPr>
          <w:rFonts w:ascii="Arial" w:hAnsi="Arial" w:cs="Arial"/>
          <w:b/>
          <w:bCs/>
          <w:sz w:val="22"/>
          <w:szCs w:val="22"/>
        </w:rPr>
        <w:t>2.5 Physiochemical characterization of oils</w:t>
      </w:r>
    </w:p>
    <w:p w14:paraId="409EA73B" w14:textId="77777777" w:rsidR="00372CA1" w:rsidRPr="007140DD" w:rsidRDefault="00372CA1" w:rsidP="00492CE7">
      <w:pPr>
        <w:jc w:val="both"/>
        <w:rPr>
          <w:rFonts w:ascii="Arial" w:eastAsia="Calibri" w:hAnsi="Arial" w:cs="Arial"/>
          <w:sz w:val="22"/>
          <w:szCs w:val="22"/>
        </w:rPr>
      </w:pPr>
    </w:p>
    <w:p w14:paraId="21826916" w14:textId="1ED7CA85" w:rsidR="00492CE7" w:rsidRPr="007140DD" w:rsidRDefault="00231A41" w:rsidP="00492CE7">
      <w:pPr>
        <w:jc w:val="both"/>
        <w:rPr>
          <w:rFonts w:ascii="Arial" w:eastAsia="Calibri" w:hAnsi="Arial" w:cs="Arial"/>
          <w:b/>
        </w:rPr>
      </w:pPr>
      <w:r w:rsidRPr="007140DD">
        <w:rPr>
          <w:rFonts w:ascii="Arial" w:eastAsia="Calibri" w:hAnsi="Arial" w:cs="Arial"/>
          <w:b/>
          <w:sz w:val="22"/>
          <w:szCs w:val="22"/>
        </w:rPr>
        <w:t xml:space="preserve">2.5.1 </w:t>
      </w:r>
      <w:r w:rsidR="00492CE7" w:rsidRPr="007140DD">
        <w:rPr>
          <w:rFonts w:ascii="Arial" w:eastAsia="Calibri" w:hAnsi="Arial" w:cs="Arial"/>
          <w:b/>
        </w:rPr>
        <w:t>Determination</w:t>
      </w:r>
      <w:r w:rsidR="00492CE7" w:rsidRPr="007140DD">
        <w:rPr>
          <w:rFonts w:ascii="Arial" w:eastAsia="Calibri" w:hAnsi="Arial" w:cs="Arial"/>
          <w:b/>
          <w:bCs/>
        </w:rPr>
        <w:t xml:space="preserve"> of Iodine Value </w:t>
      </w:r>
    </w:p>
    <w:p w14:paraId="230644FD" w14:textId="3276CCCE" w:rsidR="00492CE7" w:rsidRPr="007140DD" w:rsidRDefault="00C87825" w:rsidP="00492CE7">
      <w:pPr>
        <w:jc w:val="both"/>
        <w:rPr>
          <w:rFonts w:ascii="Arial" w:eastAsia="Calibri" w:hAnsi="Arial" w:cs="Arial"/>
        </w:rPr>
      </w:pPr>
      <w:r w:rsidRPr="007140DD">
        <w:rPr>
          <w:rFonts w:ascii="Arial" w:eastAsia="Calibri" w:hAnsi="Arial" w:cs="Arial"/>
        </w:rPr>
        <w:t>C</w:t>
      </w:r>
      <w:r w:rsidR="00492CE7" w:rsidRPr="007140DD">
        <w:rPr>
          <w:rFonts w:ascii="Arial" w:eastAsia="Calibri" w:hAnsi="Arial" w:cs="Arial"/>
        </w:rPr>
        <w:t>arbon tetrachloride</w:t>
      </w:r>
      <w:r w:rsidRPr="007140DD">
        <w:rPr>
          <w:rFonts w:ascii="Arial" w:eastAsia="Calibri" w:hAnsi="Arial" w:cs="Arial"/>
        </w:rPr>
        <w:t xml:space="preserve"> (10 mL)</w:t>
      </w:r>
      <w:r w:rsidR="00492CE7" w:rsidRPr="007140DD">
        <w:rPr>
          <w:rFonts w:ascii="Arial" w:eastAsia="Calibri" w:hAnsi="Arial" w:cs="Arial"/>
        </w:rPr>
        <w:t xml:space="preserve"> was added to 1.0 g of oil and dissolved. </w:t>
      </w:r>
      <w:proofErr w:type="spellStart"/>
      <w:r w:rsidR="00492CE7" w:rsidRPr="007140DD">
        <w:rPr>
          <w:rFonts w:ascii="Arial" w:eastAsia="Calibri" w:hAnsi="Arial" w:cs="Arial"/>
        </w:rPr>
        <w:t>Wijis</w:t>
      </w:r>
      <w:proofErr w:type="spellEnd"/>
      <w:r w:rsidR="00492CE7" w:rsidRPr="007140DD">
        <w:rPr>
          <w:rFonts w:ascii="Arial" w:eastAsia="Calibri" w:hAnsi="Arial" w:cs="Arial"/>
        </w:rPr>
        <w:t xml:space="preserve"> solution</w:t>
      </w:r>
      <w:r w:rsidR="00EB6ECE" w:rsidRPr="007140DD">
        <w:rPr>
          <w:rFonts w:ascii="Arial" w:eastAsia="Calibri" w:hAnsi="Arial" w:cs="Arial"/>
        </w:rPr>
        <w:t xml:space="preserve"> (20 mL)</w:t>
      </w:r>
      <w:r w:rsidR="00492CE7" w:rsidRPr="007140DD">
        <w:rPr>
          <w:rFonts w:ascii="Arial" w:eastAsia="Calibri" w:hAnsi="Arial" w:cs="Arial"/>
        </w:rPr>
        <w:t xml:space="preserve"> was added and then the stopper</w:t>
      </w:r>
      <w:r w:rsidR="004268F6" w:rsidRPr="007140DD">
        <w:rPr>
          <w:rFonts w:ascii="Arial" w:eastAsia="Calibri" w:hAnsi="Arial" w:cs="Arial"/>
        </w:rPr>
        <w:t xml:space="preserve"> (previously moistened with potassium iodine solution)</w:t>
      </w:r>
      <w:r w:rsidR="00492CE7" w:rsidRPr="007140DD">
        <w:rPr>
          <w:rFonts w:ascii="Arial" w:eastAsia="Calibri" w:hAnsi="Arial" w:cs="Arial"/>
        </w:rPr>
        <w:t xml:space="preserve"> </w:t>
      </w:r>
      <w:r w:rsidR="00FB4655" w:rsidRPr="007140DD">
        <w:rPr>
          <w:rFonts w:ascii="Arial" w:eastAsia="Calibri" w:hAnsi="Arial" w:cs="Arial"/>
        </w:rPr>
        <w:t>inserted and</w:t>
      </w:r>
      <w:r w:rsidR="00492CE7" w:rsidRPr="007140DD">
        <w:rPr>
          <w:rFonts w:ascii="Arial" w:eastAsia="Calibri" w:hAnsi="Arial" w:cs="Arial"/>
        </w:rPr>
        <w:t xml:space="preserve"> allowed to stand in the dark for 30 minutes. About 15 m</w:t>
      </w:r>
      <w:r w:rsidR="009809CA" w:rsidRPr="007140DD">
        <w:rPr>
          <w:rFonts w:ascii="Arial" w:eastAsia="Calibri" w:hAnsi="Arial" w:cs="Arial"/>
        </w:rPr>
        <w:t>L</w:t>
      </w:r>
      <w:r w:rsidR="00492CE7" w:rsidRPr="007140DD">
        <w:rPr>
          <w:rFonts w:ascii="Arial" w:eastAsia="Calibri" w:hAnsi="Arial" w:cs="Arial"/>
        </w:rPr>
        <w:t xml:space="preserve"> of potassium iodide solution (10%) was added and made up to 100 m</w:t>
      </w:r>
      <w:r w:rsidR="009809CA" w:rsidRPr="007140DD">
        <w:rPr>
          <w:rFonts w:ascii="Arial" w:eastAsia="Calibri" w:hAnsi="Arial" w:cs="Arial"/>
        </w:rPr>
        <w:t>L</w:t>
      </w:r>
      <w:r w:rsidR="00492CE7" w:rsidRPr="007140DD">
        <w:rPr>
          <w:rFonts w:ascii="Arial" w:eastAsia="Calibri" w:hAnsi="Arial" w:cs="Arial"/>
        </w:rPr>
        <w:t xml:space="preserve"> with distilled water and swirled for the solution to mix. The mixture containing the oil was then titrated against 0.1 M thiosulphate (Na</w:t>
      </w:r>
      <w:r w:rsidR="00492CE7" w:rsidRPr="007140DD">
        <w:rPr>
          <w:rFonts w:ascii="Arial" w:eastAsia="Calibri" w:hAnsi="Arial" w:cs="Arial"/>
          <w:vertAlign w:val="subscript"/>
        </w:rPr>
        <w:t>2</w:t>
      </w:r>
      <w:r w:rsidR="00492CE7" w:rsidRPr="007140DD">
        <w:rPr>
          <w:rFonts w:ascii="Arial" w:eastAsia="Calibri" w:hAnsi="Arial" w:cs="Arial"/>
        </w:rPr>
        <w:t>S</w:t>
      </w:r>
      <w:r w:rsidR="00492CE7" w:rsidRPr="007140DD">
        <w:rPr>
          <w:rFonts w:ascii="Arial" w:eastAsia="Calibri" w:hAnsi="Arial" w:cs="Arial"/>
          <w:vertAlign w:val="subscript"/>
        </w:rPr>
        <w:t>2</w:t>
      </w:r>
      <w:r w:rsidR="00492CE7" w:rsidRPr="007140DD">
        <w:rPr>
          <w:rFonts w:ascii="Arial" w:eastAsia="Calibri" w:hAnsi="Arial" w:cs="Arial"/>
        </w:rPr>
        <w:t>O</w:t>
      </w:r>
      <w:r w:rsidR="00492CE7" w:rsidRPr="007140DD">
        <w:rPr>
          <w:rFonts w:ascii="Arial" w:eastAsia="Calibri" w:hAnsi="Arial" w:cs="Arial"/>
          <w:vertAlign w:val="subscript"/>
        </w:rPr>
        <w:t>3</w:t>
      </w:r>
      <w:r w:rsidR="00492CE7" w:rsidRPr="007140DD">
        <w:rPr>
          <w:rFonts w:ascii="Arial" w:eastAsia="Calibri" w:hAnsi="Arial" w:cs="Arial"/>
        </w:rPr>
        <w:t>) solution with constant swirling using 2 m</w:t>
      </w:r>
      <w:r w:rsidR="009809CA" w:rsidRPr="007140DD">
        <w:rPr>
          <w:rFonts w:ascii="Arial" w:eastAsia="Calibri" w:hAnsi="Arial" w:cs="Arial"/>
        </w:rPr>
        <w:t>L</w:t>
      </w:r>
      <w:r w:rsidR="00492CE7" w:rsidRPr="007140DD">
        <w:rPr>
          <w:rFonts w:ascii="Arial" w:eastAsia="Calibri" w:hAnsi="Arial" w:cs="Arial"/>
        </w:rPr>
        <w:t xml:space="preserve"> of 1% starch solution as an indicator just before the end point (i.e., when the blue </w:t>
      </w:r>
      <w:proofErr w:type="spellStart"/>
      <w:r w:rsidR="00492CE7" w:rsidRPr="007140DD">
        <w:rPr>
          <w:rFonts w:ascii="Arial" w:eastAsia="Calibri" w:hAnsi="Arial" w:cs="Arial"/>
        </w:rPr>
        <w:t>colour</w:t>
      </w:r>
      <w:proofErr w:type="spellEnd"/>
      <w:r w:rsidR="00492CE7" w:rsidRPr="007140DD">
        <w:rPr>
          <w:rFonts w:ascii="Arial" w:eastAsia="Calibri" w:hAnsi="Arial" w:cs="Arial"/>
        </w:rPr>
        <w:t xml:space="preserve"> disappears). A blank titration was conducted following the same procedure and the iodine value calculated using the expression</w:t>
      </w:r>
      <m:oMath>
        <m:r>
          <w:rPr>
            <w:rFonts w:ascii="Cambria Math" w:eastAsia="Calibri" w:hAnsi="Cambria Math" w:cs="Arial"/>
          </w:rPr>
          <m:t xml:space="preserve">        </m:t>
        </m:r>
      </m:oMath>
    </w:p>
    <w:p w14:paraId="42916923" w14:textId="77777777" w:rsidR="00492CE7" w:rsidRPr="007140DD" w:rsidRDefault="00492CE7" w:rsidP="00492CE7">
      <w:pPr>
        <w:jc w:val="both"/>
        <w:rPr>
          <w:rFonts w:ascii="Arial" w:eastAsia="Calibri" w:hAnsi="Arial" w:cs="Arial"/>
        </w:rPr>
      </w:pPr>
      <m:oMathPara>
        <m:oMath>
          <m:r>
            <w:rPr>
              <w:rFonts w:ascii="Cambria Math" w:eastAsia="Calibri" w:hAnsi="Cambria Math" w:cs="Arial"/>
            </w:rPr>
            <m:t xml:space="preserve">  Iodine value=</m:t>
          </m:r>
          <m:f>
            <m:fPr>
              <m:ctrlPr>
                <w:rPr>
                  <w:rFonts w:ascii="Cambria Math" w:eastAsia="Calibri" w:hAnsi="Cambria Math" w:cs="Arial"/>
                  <w:i/>
                </w:rPr>
              </m:ctrlPr>
            </m:fPr>
            <m:num>
              <m:d>
                <m:dPr>
                  <m:ctrlPr>
                    <w:rPr>
                      <w:rFonts w:ascii="Cambria Math" w:eastAsia="Calibri" w:hAnsi="Cambria Math" w:cs="Arial"/>
                      <w:i/>
                    </w:rPr>
                  </m:ctrlPr>
                </m:dPr>
                <m:e>
                  <m:r>
                    <w:rPr>
                      <w:rFonts w:ascii="Cambria Math" w:eastAsia="Calibri" w:hAnsi="Cambria Math" w:cs="Arial"/>
                    </w:rPr>
                    <m:t>b-a</m:t>
                  </m:r>
                </m:e>
              </m:d>
              <m:r>
                <w:rPr>
                  <w:rFonts w:ascii="Cambria Math" w:eastAsia="Calibri" w:hAnsi="Cambria Math" w:cs="Arial"/>
                </w:rPr>
                <m:t xml:space="preserve"> x 12.69 x N</m:t>
              </m:r>
            </m:num>
            <m:den>
              <m:r>
                <w:rPr>
                  <w:rFonts w:ascii="Cambria Math" w:eastAsia="Calibri" w:hAnsi="Cambria Math" w:cs="Arial"/>
                </w:rPr>
                <m:t>Weight of sample (g)</m:t>
              </m:r>
            </m:den>
          </m:f>
        </m:oMath>
      </m:oMathPara>
    </w:p>
    <w:p w14:paraId="5F7B4BA4" w14:textId="77777777" w:rsidR="00492CE7" w:rsidRPr="007140DD" w:rsidRDefault="00492CE7" w:rsidP="00492CE7">
      <w:pPr>
        <w:jc w:val="both"/>
        <w:rPr>
          <w:rFonts w:ascii="Arial" w:eastAsia="Calibri" w:hAnsi="Arial" w:cs="Arial"/>
        </w:rPr>
      </w:pPr>
      <w:r w:rsidRPr="007140DD">
        <w:rPr>
          <w:rFonts w:ascii="Arial" w:eastAsia="Calibri" w:hAnsi="Arial" w:cs="Arial"/>
        </w:rPr>
        <w:t xml:space="preserve">Where: b = </w:t>
      </w:r>
      <w:proofErr w:type="spellStart"/>
      <w:r w:rsidRPr="007140DD">
        <w:rPr>
          <w:rFonts w:ascii="Arial" w:eastAsia="Calibri" w:hAnsi="Arial" w:cs="Arial"/>
        </w:rPr>
        <w:t>titre</w:t>
      </w:r>
      <w:proofErr w:type="spellEnd"/>
      <w:r w:rsidRPr="007140DD">
        <w:rPr>
          <w:rFonts w:ascii="Arial" w:eastAsia="Calibri" w:hAnsi="Arial" w:cs="Arial"/>
        </w:rPr>
        <w:t xml:space="preserve"> value of blank</w:t>
      </w:r>
    </w:p>
    <w:p w14:paraId="1811A9F3" w14:textId="77777777" w:rsidR="00492CE7" w:rsidRPr="007140DD" w:rsidRDefault="00492CE7" w:rsidP="00492CE7">
      <w:pPr>
        <w:jc w:val="both"/>
        <w:rPr>
          <w:rFonts w:ascii="Arial" w:eastAsia="Calibri" w:hAnsi="Arial" w:cs="Arial"/>
        </w:rPr>
      </w:pPr>
      <w:r w:rsidRPr="007140DD">
        <w:rPr>
          <w:rFonts w:ascii="Arial" w:eastAsia="Calibri" w:hAnsi="Arial" w:cs="Arial"/>
        </w:rPr>
        <w:t xml:space="preserve">             a = </w:t>
      </w:r>
      <w:proofErr w:type="spellStart"/>
      <w:r w:rsidRPr="007140DD">
        <w:rPr>
          <w:rFonts w:ascii="Arial" w:eastAsia="Calibri" w:hAnsi="Arial" w:cs="Arial"/>
        </w:rPr>
        <w:t>titre</w:t>
      </w:r>
      <w:proofErr w:type="spellEnd"/>
      <w:r w:rsidRPr="007140DD">
        <w:rPr>
          <w:rFonts w:ascii="Arial" w:eastAsia="Calibri" w:hAnsi="Arial" w:cs="Arial"/>
        </w:rPr>
        <w:t xml:space="preserve"> value of sample</w:t>
      </w:r>
    </w:p>
    <w:p w14:paraId="78B17ACF" w14:textId="0F60C78C" w:rsidR="00492CE7" w:rsidRPr="007140DD" w:rsidRDefault="00492CE7" w:rsidP="00492CE7">
      <w:pPr>
        <w:autoSpaceDE w:val="0"/>
        <w:autoSpaceDN w:val="0"/>
        <w:adjustRightInd w:val="0"/>
        <w:jc w:val="both"/>
        <w:rPr>
          <w:rFonts w:ascii="Arial" w:eastAsia="Calibri" w:hAnsi="Arial" w:cs="Arial"/>
        </w:rPr>
      </w:pPr>
      <w:r w:rsidRPr="007140DD">
        <w:rPr>
          <w:rFonts w:ascii="Arial" w:eastAsia="Calibri" w:hAnsi="Arial" w:cs="Arial"/>
        </w:rPr>
        <w:t xml:space="preserve">             N = normality of Na</w:t>
      </w:r>
      <w:r w:rsidRPr="007140DD">
        <w:rPr>
          <w:rFonts w:ascii="Arial" w:eastAsia="Calibri" w:hAnsi="Arial" w:cs="Arial"/>
          <w:vertAlign w:val="subscript"/>
        </w:rPr>
        <w:t>2</w:t>
      </w:r>
      <w:r w:rsidRPr="007140DD">
        <w:rPr>
          <w:rFonts w:ascii="Arial" w:eastAsia="Calibri" w:hAnsi="Arial" w:cs="Arial"/>
        </w:rPr>
        <w:t>S</w:t>
      </w:r>
      <w:r w:rsidRPr="007140DD">
        <w:rPr>
          <w:rFonts w:ascii="Arial" w:eastAsia="Calibri" w:hAnsi="Arial" w:cs="Arial"/>
          <w:vertAlign w:val="subscript"/>
        </w:rPr>
        <w:t>2</w:t>
      </w:r>
      <w:r w:rsidRPr="007140DD">
        <w:rPr>
          <w:rFonts w:ascii="Arial" w:eastAsia="Calibri" w:hAnsi="Arial" w:cs="Arial"/>
        </w:rPr>
        <w:t>O</w:t>
      </w:r>
      <w:r w:rsidRPr="007140DD">
        <w:rPr>
          <w:rFonts w:ascii="Arial" w:eastAsia="Calibri" w:hAnsi="Arial" w:cs="Arial"/>
          <w:vertAlign w:val="subscript"/>
        </w:rPr>
        <w:t>3</w:t>
      </w:r>
      <w:r w:rsidR="00845BCA" w:rsidRPr="007140DD">
        <w:rPr>
          <w:rFonts w:ascii="Arial" w:eastAsia="Calibri" w:hAnsi="Arial" w:cs="Arial"/>
          <w:vertAlign w:val="subscript"/>
        </w:rPr>
        <w:t xml:space="preserve"> </w:t>
      </w:r>
    </w:p>
    <w:p w14:paraId="736A9CEC" w14:textId="2EF594BE" w:rsidR="00845BCA" w:rsidRPr="007140DD" w:rsidRDefault="00845BCA" w:rsidP="00845BCA">
      <w:pPr>
        <w:jc w:val="both"/>
        <w:rPr>
          <w:rFonts w:ascii="Arial" w:eastAsia="Calibri" w:hAnsi="Arial" w:cs="Arial"/>
          <w:b/>
        </w:rPr>
      </w:pPr>
      <w:r w:rsidRPr="007140DD">
        <w:rPr>
          <w:rFonts w:ascii="Arial" w:eastAsia="Calibri" w:hAnsi="Arial" w:cs="Arial"/>
          <w:b/>
          <w:bCs/>
        </w:rPr>
        <w:t>(</w:t>
      </w:r>
      <w:r w:rsidR="007A0A6F" w:rsidRPr="007140DD">
        <w:rPr>
          <w:rFonts w:ascii="Arial" w:hAnsi="Arial" w:cs="Arial"/>
        </w:rPr>
        <w:t>Codex Alimentarius Commission, 20</w:t>
      </w:r>
      <w:r w:rsidR="00014824" w:rsidRPr="007140DD">
        <w:rPr>
          <w:rFonts w:ascii="Arial" w:hAnsi="Arial" w:cs="Arial"/>
        </w:rPr>
        <w:t>2</w:t>
      </w:r>
      <w:r w:rsidR="007A0A6F" w:rsidRPr="007140DD">
        <w:rPr>
          <w:rFonts w:ascii="Arial" w:hAnsi="Arial" w:cs="Arial"/>
        </w:rPr>
        <w:t xml:space="preserve">1; </w:t>
      </w:r>
      <w:proofErr w:type="spellStart"/>
      <w:r w:rsidRPr="007140DD">
        <w:rPr>
          <w:rFonts w:ascii="Arial" w:hAnsi="Arial" w:cs="Arial"/>
          <w:bCs/>
        </w:rPr>
        <w:t>Dressman</w:t>
      </w:r>
      <w:proofErr w:type="spellEnd"/>
      <w:r w:rsidRPr="007140DD">
        <w:rPr>
          <w:rFonts w:ascii="Arial" w:hAnsi="Arial" w:cs="Arial"/>
          <w:bCs/>
        </w:rPr>
        <w:t xml:space="preserve"> et al., 2024</w:t>
      </w:r>
      <w:r w:rsidRPr="007140DD">
        <w:rPr>
          <w:rFonts w:ascii="Arial" w:eastAsia="Calibri" w:hAnsi="Arial" w:cs="Arial"/>
          <w:b/>
          <w:bCs/>
        </w:rPr>
        <w:t>)</w:t>
      </w:r>
    </w:p>
    <w:p w14:paraId="0ED3EE53" w14:textId="77777777" w:rsidR="00845BCA" w:rsidRPr="007140DD" w:rsidRDefault="00845BCA" w:rsidP="00492CE7">
      <w:pPr>
        <w:autoSpaceDE w:val="0"/>
        <w:autoSpaceDN w:val="0"/>
        <w:adjustRightInd w:val="0"/>
        <w:jc w:val="both"/>
        <w:rPr>
          <w:rFonts w:ascii="Arial" w:eastAsia="Calibri" w:hAnsi="Arial" w:cs="Arial"/>
        </w:rPr>
      </w:pPr>
    </w:p>
    <w:p w14:paraId="4BC1457E" w14:textId="77777777" w:rsidR="00492CE7" w:rsidRPr="007140DD" w:rsidRDefault="00492CE7" w:rsidP="00492CE7">
      <w:pPr>
        <w:autoSpaceDE w:val="0"/>
        <w:autoSpaceDN w:val="0"/>
        <w:adjustRightInd w:val="0"/>
        <w:jc w:val="both"/>
        <w:rPr>
          <w:rFonts w:ascii="Arial" w:eastAsia="Calibri" w:hAnsi="Arial" w:cs="Arial"/>
          <w:sz w:val="24"/>
          <w:szCs w:val="24"/>
        </w:rPr>
      </w:pPr>
    </w:p>
    <w:p w14:paraId="5093DAFF" w14:textId="2901E714" w:rsidR="00492CE7" w:rsidRPr="007140DD" w:rsidRDefault="00231A41" w:rsidP="00492CE7">
      <w:pPr>
        <w:jc w:val="both"/>
        <w:rPr>
          <w:rFonts w:ascii="Arial" w:eastAsia="Calibri" w:hAnsi="Arial" w:cs="Arial"/>
          <w:b/>
          <w:bCs/>
        </w:rPr>
      </w:pPr>
      <w:r w:rsidRPr="007140DD">
        <w:rPr>
          <w:rFonts w:ascii="Arial" w:eastAsia="Calibri" w:hAnsi="Arial" w:cs="Arial"/>
          <w:b/>
          <w:bCs/>
        </w:rPr>
        <w:t xml:space="preserve">2.5.2 </w:t>
      </w:r>
      <w:r w:rsidR="00492CE7" w:rsidRPr="007140DD">
        <w:rPr>
          <w:rFonts w:ascii="Arial" w:eastAsia="Calibri" w:hAnsi="Arial" w:cs="Arial"/>
          <w:b/>
          <w:bCs/>
        </w:rPr>
        <w:t xml:space="preserve">Determination of Peroxide Value </w:t>
      </w:r>
    </w:p>
    <w:p w14:paraId="53455BE0" w14:textId="0EB1B166" w:rsidR="00492CE7" w:rsidRPr="007140DD" w:rsidRDefault="00492CE7" w:rsidP="00492CE7">
      <w:pPr>
        <w:jc w:val="both"/>
        <w:rPr>
          <w:rFonts w:ascii="Arial" w:hAnsi="Arial" w:cs="Arial"/>
        </w:rPr>
      </w:pPr>
      <w:r w:rsidRPr="007140DD">
        <w:rPr>
          <w:rFonts w:ascii="Arial" w:hAnsi="Arial" w:cs="Arial"/>
        </w:rPr>
        <w:t>Approximately 1.0 g of oil was weighed into a clean dry flask and dissolved in 20 m</w:t>
      </w:r>
      <w:r w:rsidR="00487186" w:rsidRPr="007140DD">
        <w:rPr>
          <w:rFonts w:ascii="Arial" w:hAnsi="Arial" w:cs="Arial"/>
        </w:rPr>
        <w:t>L</w:t>
      </w:r>
      <w:r w:rsidRPr="007140DD">
        <w:rPr>
          <w:rFonts w:ascii="Arial" w:hAnsi="Arial" w:cs="Arial"/>
        </w:rPr>
        <w:t xml:space="preserve"> acetic acid/chloroform (3:2) solution and swirled in clockwise and anticlockwise direction for 60 s to dissolve the oil in the chemical mixture. 0.5 m</w:t>
      </w:r>
      <w:r w:rsidR="00487186" w:rsidRPr="007140DD">
        <w:rPr>
          <w:rFonts w:ascii="Arial" w:hAnsi="Arial" w:cs="Arial"/>
        </w:rPr>
        <w:t>L</w:t>
      </w:r>
      <w:r w:rsidRPr="007140DD">
        <w:rPr>
          <w:rFonts w:ascii="Arial" w:hAnsi="Arial" w:cs="Arial"/>
        </w:rPr>
        <w:t xml:space="preserve"> saturated potassium iodide solution was added followed by 25 m</w:t>
      </w:r>
      <w:r w:rsidR="00487186" w:rsidRPr="007140DD">
        <w:rPr>
          <w:rFonts w:ascii="Arial" w:hAnsi="Arial" w:cs="Arial"/>
        </w:rPr>
        <w:t>L</w:t>
      </w:r>
      <w:r w:rsidRPr="007140DD">
        <w:rPr>
          <w:rFonts w:ascii="Arial" w:hAnsi="Arial" w:cs="Arial"/>
        </w:rPr>
        <w:t xml:space="preserve"> of distilled water and swirled again for another 60 s to obtain homogenous mixture. The resultant mixture was then titrated with 0.01 M sodium thiosulphate (Na</w:t>
      </w:r>
      <w:r w:rsidRPr="007140DD">
        <w:rPr>
          <w:rFonts w:ascii="Arial" w:hAnsi="Arial" w:cs="Arial"/>
          <w:vertAlign w:val="subscript"/>
        </w:rPr>
        <w:t>2</w:t>
      </w:r>
      <w:r w:rsidRPr="007140DD">
        <w:rPr>
          <w:rFonts w:ascii="Arial" w:hAnsi="Arial" w:cs="Arial"/>
        </w:rPr>
        <w:t>S</w:t>
      </w:r>
      <w:r w:rsidRPr="007140DD">
        <w:rPr>
          <w:rFonts w:ascii="Arial" w:hAnsi="Arial" w:cs="Arial"/>
          <w:vertAlign w:val="subscript"/>
        </w:rPr>
        <w:t>2</w:t>
      </w:r>
      <w:r w:rsidRPr="007140DD">
        <w:rPr>
          <w:rFonts w:ascii="Arial" w:hAnsi="Arial" w:cs="Arial"/>
        </w:rPr>
        <w:t>O</w:t>
      </w:r>
      <w:r w:rsidRPr="007140DD">
        <w:rPr>
          <w:rFonts w:ascii="Arial" w:hAnsi="Arial" w:cs="Arial"/>
          <w:vertAlign w:val="subscript"/>
        </w:rPr>
        <w:t>3</w:t>
      </w:r>
      <w:r w:rsidRPr="007140DD">
        <w:rPr>
          <w:rFonts w:ascii="Arial" w:hAnsi="Arial" w:cs="Arial"/>
        </w:rPr>
        <w:t xml:space="preserve">) solution with constant and vigorous swirling until the yellow </w:t>
      </w:r>
      <w:proofErr w:type="spellStart"/>
      <w:r w:rsidRPr="007140DD">
        <w:rPr>
          <w:rFonts w:ascii="Arial" w:hAnsi="Arial" w:cs="Arial"/>
        </w:rPr>
        <w:t>colour</w:t>
      </w:r>
      <w:proofErr w:type="spellEnd"/>
      <w:r w:rsidRPr="007140DD">
        <w:rPr>
          <w:rFonts w:ascii="Arial" w:hAnsi="Arial" w:cs="Arial"/>
        </w:rPr>
        <w:t xml:space="preserve"> disappears. 0.5 m</w:t>
      </w:r>
      <w:r w:rsidR="00487186" w:rsidRPr="007140DD">
        <w:rPr>
          <w:rFonts w:ascii="Arial" w:hAnsi="Arial" w:cs="Arial"/>
        </w:rPr>
        <w:t>L</w:t>
      </w:r>
      <w:r w:rsidRPr="007140DD">
        <w:rPr>
          <w:rFonts w:ascii="Arial" w:hAnsi="Arial" w:cs="Arial"/>
        </w:rPr>
        <w:t xml:space="preserve"> of 1% starch solution was then added which turned the mixture blue. The titration continued until the blue </w:t>
      </w:r>
      <w:proofErr w:type="spellStart"/>
      <w:r w:rsidRPr="007140DD">
        <w:rPr>
          <w:rFonts w:ascii="Arial" w:hAnsi="Arial" w:cs="Arial"/>
        </w:rPr>
        <w:t>colour</w:t>
      </w:r>
      <w:proofErr w:type="spellEnd"/>
      <w:r w:rsidRPr="007140DD">
        <w:rPr>
          <w:rFonts w:ascii="Arial" w:hAnsi="Arial" w:cs="Arial"/>
        </w:rPr>
        <w:t xml:space="preserve"> disappeared at the end point and the peroxide value calculated as shown below.</w:t>
      </w:r>
    </w:p>
    <w:p w14:paraId="26E28827" w14:textId="677A5F65" w:rsidR="00492CE7" w:rsidRPr="007140DD" w:rsidRDefault="00492CE7" w:rsidP="00492CE7">
      <w:pPr>
        <w:jc w:val="both"/>
        <w:rPr>
          <w:rFonts w:ascii="Arial" w:hAnsi="Arial" w:cs="Arial"/>
        </w:rPr>
      </w:pPr>
      <m:oMath>
        <m:r>
          <w:rPr>
            <w:rFonts w:ascii="Cambria Math" w:hAnsi="Cambria Math" w:cs="Arial"/>
          </w:rPr>
          <m:t xml:space="preserve">Peroxide Value(meq/1000g) = </m:t>
        </m:r>
        <m:f>
          <m:fPr>
            <m:ctrlPr>
              <w:rPr>
                <w:rFonts w:ascii="Cambria Math" w:hAnsi="Cambria Math" w:cs="Arial"/>
                <w:i/>
              </w:rPr>
            </m:ctrlPr>
          </m:fPr>
          <m:num>
            <m:r>
              <w:rPr>
                <w:rFonts w:ascii="Cambria Math" w:hAnsi="Cambria Math" w:cs="Arial"/>
              </w:rPr>
              <m:t xml:space="preserve">Titre </m:t>
            </m:r>
            <m:d>
              <m:dPr>
                <m:ctrlPr>
                  <w:rPr>
                    <w:rFonts w:ascii="Cambria Math" w:hAnsi="Cambria Math" w:cs="Arial"/>
                    <w:i/>
                  </w:rPr>
                </m:ctrlPr>
              </m:dPr>
              <m:e>
                <m:r>
                  <w:rPr>
                    <w:rFonts w:ascii="Cambria Math" w:hAnsi="Cambria Math" w:cs="Arial"/>
                  </w:rPr>
                  <m:t>ml</m:t>
                </m:r>
              </m:e>
            </m:d>
            <m:r>
              <w:rPr>
                <w:rFonts w:ascii="Cambria Math" w:hAnsi="Cambria Math" w:cs="Arial"/>
              </w:rPr>
              <m:t xml:space="preserve"> × N × 1000</m:t>
            </m:r>
          </m:num>
          <m:den>
            <m:r>
              <w:rPr>
                <w:rFonts w:ascii="Cambria Math" w:hAnsi="Cambria Math" w:cs="Arial"/>
              </w:rPr>
              <m:t>Weight of oil</m:t>
            </m:r>
          </m:den>
        </m:f>
      </m:oMath>
      <w:r w:rsidRPr="007140DD">
        <w:rPr>
          <w:rFonts w:ascii="Arial" w:eastAsiaTheme="minorEastAsia" w:hAnsi="Arial" w:cs="Arial"/>
        </w:rPr>
        <w:t xml:space="preserve">, N = Normality of </w:t>
      </w:r>
      <w:r w:rsidRPr="007140DD">
        <w:rPr>
          <w:rFonts w:ascii="Arial" w:hAnsi="Arial" w:cs="Arial"/>
        </w:rPr>
        <w:t>Na</w:t>
      </w:r>
      <w:r w:rsidRPr="007140DD">
        <w:rPr>
          <w:rFonts w:ascii="Arial" w:hAnsi="Arial" w:cs="Arial"/>
          <w:vertAlign w:val="subscript"/>
        </w:rPr>
        <w:t>2</w:t>
      </w:r>
      <w:r w:rsidRPr="007140DD">
        <w:rPr>
          <w:rFonts w:ascii="Arial" w:hAnsi="Arial" w:cs="Arial"/>
        </w:rPr>
        <w:t>S</w:t>
      </w:r>
      <w:r w:rsidRPr="007140DD">
        <w:rPr>
          <w:rFonts w:ascii="Arial" w:hAnsi="Arial" w:cs="Arial"/>
          <w:vertAlign w:val="subscript"/>
        </w:rPr>
        <w:t>2</w:t>
      </w:r>
      <w:r w:rsidRPr="007140DD">
        <w:rPr>
          <w:rFonts w:ascii="Arial" w:hAnsi="Arial" w:cs="Arial"/>
        </w:rPr>
        <w:t>O</w:t>
      </w:r>
      <w:r w:rsidRPr="007140DD">
        <w:rPr>
          <w:rFonts w:ascii="Arial" w:hAnsi="Arial" w:cs="Arial"/>
          <w:vertAlign w:val="subscript"/>
        </w:rPr>
        <w:t>3</w:t>
      </w:r>
      <w:r w:rsidRPr="007140DD">
        <w:rPr>
          <w:rFonts w:ascii="Arial" w:hAnsi="Arial" w:cs="Arial"/>
        </w:rPr>
        <w:t>.</w:t>
      </w:r>
      <w:r w:rsidR="00FF0C0B" w:rsidRPr="007140DD">
        <w:rPr>
          <w:rFonts w:ascii="Arial" w:hAnsi="Arial" w:cs="Arial"/>
        </w:rPr>
        <w:t xml:space="preserve"> </w:t>
      </w:r>
      <w:r w:rsidR="00FF0C0B" w:rsidRPr="007140DD">
        <w:rPr>
          <w:rFonts w:ascii="Arial" w:eastAsia="Calibri" w:hAnsi="Arial" w:cs="Arial"/>
          <w:b/>
          <w:bCs/>
        </w:rPr>
        <w:t>(</w:t>
      </w:r>
      <w:r w:rsidR="007A0A6F" w:rsidRPr="007140DD">
        <w:rPr>
          <w:rFonts w:ascii="Arial" w:hAnsi="Arial" w:cs="Arial"/>
        </w:rPr>
        <w:t xml:space="preserve">AOAC </w:t>
      </w:r>
      <w:r w:rsidR="00BB2145" w:rsidRPr="007140DD">
        <w:rPr>
          <w:rFonts w:ascii="Arial" w:hAnsi="Arial" w:cs="Arial"/>
        </w:rPr>
        <w:t xml:space="preserve">2000; </w:t>
      </w:r>
      <w:proofErr w:type="spellStart"/>
      <w:r w:rsidR="00BB2145" w:rsidRPr="007140DD">
        <w:rPr>
          <w:rFonts w:ascii="Arial" w:hAnsi="Arial" w:cs="Arial"/>
        </w:rPr>
        <w:t>Dressman</w:t>
      </w:r>
      <w:proofErr w:type="spellEnd"/>
      <w:r w:rsidR="00FF0C0B" w:rsidRPr="007140DD">
        <w:rPr>
          <w:rFonts w:ascii="Arial" w:hAnsi="Arial" w:cs="Arial"/>
          <w:bCs/>
        </w:rPr>
        <w:t xml:space="preserve"> et al., 2024</w:t>
      </w:r>
      <w:r w:rsidR="00FF0C0B" w:rsidRPr="007140DD">
        <w:rPr>
          <w:rFonts w:ascii="Arial" w:eastAsia="Calibri" w:hAnsi="Arial" w:cs="Arial"/>
          <w:b/>
          <w:bCs/>
        </w:rPr>
        <w:t>)</w:t>
      </w:r>
    </w:p>
    <w:p w14:paraId="5B8E0999" w14:textId="77777777" w:rsidR="00231A41" w:rsidRPr="007140DD" w:rsidRDefault="00231A41" w:rsidP="00492CE7">
      <w:pPr>
        <w:jc w:val="both"/>
        <w:rPr>
          <w:rFonts w:ascii="Arial" w:hAnsi="Arial" w:cs="Arial"/>
        </w:rPr>
      </w:pPr>
    </w:p>
    <w:p w14:paraId="73130CB8" w14:textId="4765C2C0" w:rsidR="00492CE7" w:rsidRPr="007140DD" w:rsidRDefault="00231A41" w:rsidP="00492CE7">
      <w:pPr>
        <w:jc w:val="both"/>
        <w:rPr>
          <w:rFonts w:ascii="Arial" w:eastAsia="Calibri" w:hAnsi="Arial" w:cs="Arial"/>
        </w:rPr>
      </w:pPr>
      <w:r w:rsidRPr="007140DD">
        <w:rPr>
          <w:rFonts w:ascii="Arial" w:eastAsia="Calibri" w:hAnsi="Arial" w:cs="Arial"/>
          <w:b/>
          <w:bCs/>
        </w:rPr>
        <w:t xml:space="preserve">2.5.3 </w:t>
      </w:r>
      <w:r w:rsidR="00492CE7" w:rsidRPr="007140DD">
        <w:rPr>
          <w:rFonts w:ascii="Arial" w:eastAsia="Calibri" w:hAnsi="Arial" w:cs="Arial"/>
          <w:b/>
          <w:bCs/>
        </w:rPr>
        <w:t xml:space="preserve">Determination of Free Fatty Acid and Acid Value </w:t>
      </w:r>
    </w:p>
    <w:p w14:paraId="3CDBDC64" w14:textId="5926B620" w:rsidR="00492CE7" w:rsidRPr="007140DD" w:rsidRDefault="00487186" w:rsidP="00492CE7">
      <w:pPr>
        <w:jc w:val="both"/>
        <w:rPr>
          <w:rFonts w:ascii="Arial" w:eastAsia="Calibri" w:hAnsi="Arial" w:cs="Arial"/>
        </w:rPr>
      </w:pPr>
      <w:r w:rsidRPr="007140DD">
        <w:rPr>
          <w:rFonts w:ascii="Arial" w:eastAsia="Calibri" w:hAnsi="Arial" w:cs="Arial"/>
        </w:rPr>
        <w:lastRenderedPageBreak/>
        <w:t>D</w:t>
      </w:r>
      <w:r w:rsidR="00492CE7" w:rsidRPr="007140DD">
        <w:rPr>
          <w:rFonts w:ascii="Arial" w:eastAsia="Calibri" w:hAnsi="Arial" w:cs="Arial"/>
        </w:rPr>
        <w:t>iethyl ether</w:t>
      </w:r>
      <w:r w:rsidRPr="007140DD">
        <w:rPr>
          <w:rFonts w:ascii="Arial" w:eastAsia="Calibri" w:hAnsi="Arial" w:cs="Arial"/>
        </w:rPr>
        <w:t xml:space="preserve"> (25 mL)</w:t>
      </w:r>
      <w:r w:rsidR="00492CE7" w:rsidRPr="007140DD">
        <w:rPr>
          <w:rFonts w:ascii="Arial" w:eastAsia="Calibri" w:hAnsi="Arial" w:cs="Arial"/>
        </w:rPr>
        <w:t xml:space="preserve"> was mixed with 25</w:t>
      </w:r>
      <w:r w:rsidRPr="007140DD">
        <w:rPr>
          <w:rFonts w:ascii="Arial" w:eastAsia="Calibri" w:hAnsi="Arial" w:cs="Arial"/>
        </w:rPr>
        <w:t xml:space="preserve"> </w:t>
      </w:r>
      <w:r w:rsidR="00492CE7" w:rsidRPr="007140DD">
        <w:rPr>
          <w:rFonts w:ascii="Arial" w:eastAsia="Calibri" w:hAnsi="Arial" w:cs="Arial"/>
        </w:rPr>
        <w:t>m</w:t>
      </w:r>
      <w:r w:rsidRPr="007140DD">
        <w:rPr>
          <w:rFonts w:ascii="Arial" w:eastAsia="Calibri" w:hAnsi="Arial" w:cs="Arial"/>
        </w:rPr>
        <w:t>L</w:t>
      </w:r>
      <w:r w:rsidR="00492CE7" w:rsidRPr="007140DD">
        <w:rPr>
          <w:rFonts w:ascii="Arial" w:eastAsia="Calibri" w:hAnsi="Arial" w:cs="Arial"/>
        </w:rPr>
        <w:t xml:space="preserve"> of alcohol and 1</w:t>
      </w:r>
      <w:r w:rsidRPr="007140DD">
        <w:rPr>
          <w:rFonts w:ascii="Arial" w:eastAsia="Calibri" w:hAnsi="Arial" w:cs="Arial"/>
        </w:rPr>
        <w:t xml:space="preserve"> </w:t>
      </w:r>
      <w:r w:rsidR="00492CE7" w:rsidRPr="007140DD">
        <w:rPr>
          <w:rFonts w:ascii="Arial" w:eastAsia="Calibri" w:hAnsi="Arial" w:cs="Arial"/>
        </w:rPr>
        <w:t>m</w:t>
      </w:r>
      <w:r w:rsidRPr="007140DD">
        <w:rPr>
          <w:rFonts w:ascii="Arial" w:eastAsia="Calibri" w:hAnsi="Arial" w:cs="Arial"/>
        </w:rPr>
        <w:t>L</w:t>
      </w:r>
      <w:r w:rsidR="00492CE7" w:rsidRPr="007140DD">
        <w:rPr>
          <w:rFonts w:ascii="Arial" w:eastAsia="Calibri" w:hAnsi="Arial" w:cs="Arial"/>
        </w:rPr>
        <w:t xml:space="preserve"> of phenolphthalein solution (1%). It was then carefully neutralized with 0.1 M NaOH. About 1.0 g of the oil was dissolved in the mixed neutral solvent and titrated with aqueous 0.1 M NaOH with constant shaking until a pink color which persisted for 15 seconds was obtained. </w:t>
      </w:r>
      <w:r w:rsidR="00CF096B" w:rsidRPr="007140DD">
        <w:rPr>
          <w:rFonts w:ascii="Arial" w:eastAsia="Calibri" w:hAnsi="Arial" w:cs="Arial"/>
        </w:rPr>
        <w:t>A</w:t>
      </w:r>
      <w:r w:rsidR="00492CE7" w:rsidRPr="007140DD">
        <w:rPr>
          <w:rFonts w:ascii="Arial" w:eastAsia="Calibri" w:hAnsi="Arial" w:cs="Arial"/>
        </w:rPr>
        <w:t xml:space="preserve">cid </w:t>
      </w:r>
      <w:r w:rsidR="00CF096B" w:rsidRPr="007140DD">
        <w:rPr>
          <w:rFonts w:ascii="Arial" w:eastAsia="Calibri" w:hAnsi="Arial" w:cs="Arial"/>
        </w:rPr>
        <w:t xml:space="preserve">value </w:t>
      </w:r>
      <w:r w:rsidR="00492CE7" w:rsidRPr="007140DD">
        <w:rPr>
          <w:rFonts w:ascii="Arial" w:eastAsia="Calibri" w:hAnsi="Arial" w:cs="Arial"/>
        </w:rPr>
        <w:t xml:space="preserve">was calculated as follows. </w:t>
      </w:r>
    </w:p>
    <w:p w14:paraId="59A2B162" w14:textId="77777777" w:rsidR="00492CE7" w:rsidRPr="007140DD" w:rsidRDefault="00492CE7" w:rsidP="00492CE7">
      <w:pPr>
        <w:jc w:val="both"/>
        <w:rPr>
          <w:rFonts w:ascii="Arial" w:eastAsia="Calibri" w:hAnsi="Arial" w:cs="Arial"/>
        </w:rPr>
      </w:pPr>
      <w:r w:rsidRPr="007140DD">
        <w:rPr>
          <w:rFonts w:ascii="Arial" w:eastAsia="Calibri" w:hAnsi="Arial" w:cs="Arial"/>
        </w:rPr>
        <w:t xml:space="preserve">Acid value =  </w:t>
      </w:r>
      <m:oMath>
        <m:r>
          <w:rPr>
            <w:rFonts w:ascii="Cambria Math" w:eastAsia="Calibri" w:hAnsi="Cambria Math" w:cs="Arial"/>
          </w:rPr>
          <m:t xml:space="preserve"> </m:t>
        </m:r>
        <m:f>
          <m:fPr>
            <m:ctrlPr>
              <w:rPr>
                <w:rFonts w:ascii="Cambria Math" w:eastAsia="Calibri" w:hAnsi="Cambria Math" w:cs="Arial"/>
                <w:i/>
              </w:rPr>
            </m:ctrlPr>
          </m:fPr>
          <m:num>
            <m:r>
              <w:rPr>
                <w:rFonts w:ascii="Cambria Math" w:eastAsia="Calibri" w:hAnsi="Cambria Math" w:cs="Arial"/>
              </w:rPr>
              <m:t>Titre(ml)×56.1×N</m:t>
            </m:r>
          </m:num>
          <m:den>
            <m:r>
              <w:rPr>
                <w:rFonts w:ascii="Cambria Math" w:eastAsia="Calibri" w:hAnsi="Cambria Math" w:cs="Arial"/>
              </w:rPr>
              <m:t>Weight of oil</m:t>
            </m:r>
          </m:den>
        </m:f>
      </m:oMath>
      <w:r w:rsidRPr="007140DD">
        <w:rPr>
          <w:rFonts w:ascii="Arial" w:eastAsia="Calibri" w:hAnsi="Arial" w:cs="Arial"/>
        </w:rPr>
        <w:t xml:space="preserve"> </w:t>
      </w:r>
    </w:p>
    <w:p w14:paraId="517BDA43" w14:textId="148B9D1C" w:rsidR="00492CE7" w:rsidRPr="007140DD" w:rsidRDefault="00492CE7" w:rsidP="00492CE7">
      <w:pPr>
        <w:jc w:val="both"/>
        <w:rPr>
          <w:rFonts w:ascii="Arial" w:eastAsia="Calibri" w:hAnsi="Arial" w:cs="Arial"/>
        </w:rPr>
      </w:pPr>
      <w:r w:rsidRPr="007140DD">
        <w:rPr>
          <w:rFonts w:ascii="Arial" w:eastAsia="Calibri" w:hAnsi="Arial" w:cs="Arial"/>
        </w:rPr>
        <w:t>N = Normality of the potassium hydroxide or sodium hydroxide. The Free Fatty Acid figure is usually calculated as oleic acid (1 ml 0.1 M). Sodium hydroxide = 0.0282 g oleic acid), in which case the acid value = 2 x free fatty acid. For most oils, acidity is noticeable to the palate when free fatty calculated as oleic acid is about 0.5 – 1.5 %.</w:t>
      </w:r>
      <w:r w:rsidR="00FF0C0B" w:rsidRPr="007140DD">
        <w:rPr>
          <w:rFonts w:ascii="Arial" w:eastAsia="Calibri" w:hAnsi="Arial" w:cs="Arial"/>
        </w:rPr>
        <w:t xml:space="preserve"> </w:t>
      </w:r>
      <w:r w:rsidR="00FF0C0B" w:rsidRPr="007140DD">
        <w:rPr>
          <w:rFonts w:ascii="Arial" w:eastAsia="Calibri" w:hAnsi="Arial" w:cs="Arial"/>
          <w:b/>
          <w:bCs/>
        </w:rPr>
        <w:t>(</w:t>
      </w:r>
      <w:r w:rsidR="00874A17" w:rsidRPr="007140DD">
        <w:rPr>
          <w:rFonts w:ascii="Arial" w:hAnsi="Arial" w:cs="Arial"/>
        </w:rPr>
        <w:t xml:space="preserve">AOAC 2000; </w:t>
      </w:r>
      <w:r w:rsidR="009048C5" w:rsidRPr="007140DD">
        <w:rPr>
          <w:rFonts w:ascii="Arial" w:hAnsi="Arial" w:cs="Arial"/>
        </w:rPr>
        <w:t xml:space="preserve">AOCS 1998; </w:t>
      </w:r>
      <w:proofErr w:type="spellStart"/>
      <w:r w:rsidR="00FF0C0B" w:rsidRPr="007140DD">
        <w:rPr>
          <w:rFonts w:ascii="Arial" w:hAnsi="Arial" w:cs="Arial"/>
          <w:bCs/>
        </w:rPr>
        <w:t>Dressman</w:t>
      </w:r>
      <w:proofErr w:type="spellEnd"/>
      <w:r w:rsidR="00FF0C0B" w:rsidRPr="007140DD">
        <w:rPr>
          <w:rFonts w:ascii="Arial" w:hAnsi="Arial" w:cs="Arial"/>
          <w:bCs/>
        </w:rPr>
        <w:t xml:space="preserve"> et al., 2024</w:t>
      </w:r>
      <w:r w:rsidR="00FF0C0B" w:rsidRPr="007140DD">
        <w:rPr>
          <w:rFonts w:ascii="Arial" w:eastAsia="Calibri" w:hAnsi="Arial" w:cs="Arial"/>
          <w:b/>
          <w:bCs/>
        </w:rPr>
        <w:t>).</w:t>
      </w:r>
    </w:p>
    <w:p w14:paraId="17711821" w14:textId="77777777" w:rsidR="00231A41" w:rsidRPr="007140DD" w:rsidRDefault="00231A41" w:rsidP="00492CE7">
      <w:pPr>
        <w:autoSpaceDE w:val="0"/>
        <w:autoSpaceDN w:val="0"/>
        <w:adjustRightInd w:val="0"/>
        <w:jc w:val="both"/>
        <w:rPr>
          <w:rFonts w:ascii="Arial" w:eastAsia="Calibri" w:hAnsi="Arial" w:cs="Arial"/>
          <w:b/>
          <w:bCs/>
        </w:rPr>
      </w:pPr>
    </w:p>
    <w:p w14:paraId="68B77105" w14:textId="0578ECB8" w:rsidR="00492CE7" w:rsidRPr="007140DD" w:rsidRDefault="00231A41" w:rsidP="00492CE7">
      <w:pPr>
        <w:autoSpaceDE w:val="0"/>
        <w:autoSpaceDN w:val="0"/>
        <w:adjustRightInd w:val="0"/>
        <w:jc w:val="both"/>
        <w:rPr>
          <w:rFonts w:ascii="Arial" w:eastAsia="Calibri" w:hAnsi="Arial" w:cs="Arial"/>
          <w:b/>
          <w:bCs/>
        </w:rPr>
      </w:pPr>
      <w:r w:rsidRPr="007140DD">
        <w:rPr>
          <w:rFonts w:ascii="Arial" w:eastAsia="Calibri" w:hAnsi="Arial" w:cs="Arial"/>
          <w:b/>
          <w:bCs/>
        </w:rPr>
        <w:t xml:space="preserve">2.5.4 </w:t>
      </w:r>
      <w:r w:rsidR="00492CE7" w:rsidRPr="007140DD">
        <w:rPr>
          <w:rFonts w:ascii="Arial" w:eastAsia="Calibri" w:hAnsi="Arial" w:cs="Arial"/>
          <w:b/>
          <w:bCs/>
        </w:rPr>
        <w:t xml:space="preserve">Determination of Saponification Value </w:t>
      </w:r>
    </w:p>
    <w:p w14:paraId="6077AE26" w14:textId="00ED7ADD" w:rsidR="00492CE7" w:rsidRPr="007140DD" w:rsidRDefault="00492CE7" w:rsidP="00492CE7">
      <w:pPr>
        <w:autoSpaceDE w:val="0"/>
        <w:autoSpaceDN w:val="0"/>
        <w:adjustRightInd w:val="0"/>
        <w:jc w:val="both"/>
        <w:rPr>
          <w:rFonts w:ascii="Arial" w:eastAsia="AdvTimes" w:hAnsi="Arial" w:cs="Arial"/>
        </w:rPr>
      </w:pPr>
      <w:r w:rsidRPr="007140DD">
        <w:rPr>
          <w:rFonts w:ascii="Arial" w:eastAsia="AdvTimes" w:hAnsi="Arial" w:cs="Arial"/>
        </w:rPr>
        <w:t xml:space="preserve">The saponification value is determined by taking 1.0 g of oil sample in a conical flask </w:t>
      </w:r>
      <w:r w:rsidRPr="007140DD">
        <w:rPr>
          <w:rFonts w:ascii="Arial" w:eastAsia="Calibri" w:hAnsi="Arial" w:cs="Arial"/>
        </w:rPr>
        <w:t>and exactly 25 m</w:t>
      </w:r>
      <w:r w:rsidR="00AD2BA6" w:rsidRPr="007140DD">
        <w:rPr>
          <w:rFonts w:ascii="Arial" w:eastAsia="Calibri" w:hAnsi="Arial" w:cs="Arial"/>
        </w:rPr>
        <w:t>L</w:t>
      </w:r>
      <w:r w:rsidRPr="007140DD">
        <w:rPr>
          <w:rFonts w:ascii="Arial" w:eastAsia="Calibri" w:hAnsi="Arial" w:cs="Arial"/>
        </w:rPr>
        <w:t xml:space="preserve"> of the alcoholic potassium hydroxide solution was added. A reflux condenser was attached and flask heated in boiling water with frequent shaking until a clear solution (indicating complete saponification of the oil) is obtained. 1</w:t>
      </w:r>
      <w:r w:rsidR="00132715" w:rsidRPr="007140DD">
        <w:rPr>
          <w:rFonts w:ascii="Arial" w:eastAsia="Calibri" w:hAnsi="Arial" w:cs="Arial"/>
        </w:rPr>
        <w:t xml:space="preserve"> </w:t>
      </w:r>
      <w:r w:rsidRPr="007140DD">
        <w:rPr>
          <w:rFonts w:ascii="Arial" w:eastAsia="Calibri" w:hAnsi="Arial" w:cs="Arial"/>
        </w:rPr>
        <w:t>m</w:t>
      </w:r>
      <w:r w:rsidR="00792DE0" w:rsidRPr="007140DD">
        <w:rPr>
          <w:rFonts w:ascii="Arial" w:eastAsia="Calibri" w:hAnsi="Arial" w:cs="Arial"/>
        </w:rPr>
        <w:t>L</w:t>
      </w:r>
      <w:r w:rsidRPr="007140DD">
        <w:rPr>
          <w:rFonts w:ascii="Arial" w:eastAsia="Calibri" w:hAnsi="Arial" w:cs="Arial"/>
        </w:rPr>
        <w:t xml:space="preserve"> of phenolphthalein (1%) solution was added and the hot excess alkali solution was allowed to cool and later titrated against 0.5</w:t>
      </w:r>
      <w:r w:rsidR="00AD2BA6" w:rsidRPr="007140DD">
        <w:rPr>
          <w:rFonts w:ascii="Arial" w:eastAsia="Calibri" w:hAnsi="Arial" w:cs="Arial"/>
        </w:rPr>
        <w:t xml:space="preserve"> </w:t>
      </w:r>
      <w:r w:rsidRPr="007140DD">
        <w:rPr>
          <w:rFonts w:ascii="Arial" w:eastAsia="Calibri" w:hAnsi="Arial" w:cs="Arial"/>
        </w:rPr>
        <w:t>M hydrochloric acid. The volume of the acid used was recorded.  A blank titration was carried out using the same procedure and saponification value calculated using the expression:</w:t>
      </w:r>
    </w:p>
    <w:p w14:paraId="6A60BFC5" w14:textId="77777777" w:rsidR="00492CE7" w:rsidRPr="007140DD" w:rsidRDefault="00492CE7" w:rsidP="00492CE7">
      <w:pPr>
        <w:jc w:val="both"/>
        <w:rPr>
          <w:rFonts w:ascii="Arial" w:eastAsia="Calibri" w:hAnsi="Arial" w:cs="Arial"/>
        </w:rPr>
      </w:pPr>
      <w:r w:rsidRPr="007140DD">
        <w:rPr>
          <w:rFonts w:ascii="Arial" w:eastAsia="Calibri" w:hAnsi="Arial" w:cs="Arial"/>
          <w:i/>
        </w:rPr>
        <w:t>Saponification value</w:t>
      </w:r>
      <w:r w:rsidRPr="007140DD">
        <w:rPr>
          <w:rFonts w:ascii="Arial" w:eastAsia="Calibri" w:hAnsi="Arial" w:cs="Arial"/>
        </w:rPr>
        <w:t xml:space="preserve"> = </w:t>
      </w:r>
      <m:oMath>
        <m:f>
          <m:fPr>
            <m:ctrlPr>
              <w:rPr>
                <w:rFonts w:ascii="Cambria Math" w:eastAsia="Calibri" w:hAnsi="Cambria Math" w:cs="Arial"/>
                <w:i/>
              </w:rPr>
            </m:ctrlPr>
          </m:fPr>
          <m:num>
            <m:r>
              <w:rPr>
                <w:rFonts w:ascii="Cambria Math" w:eastAsia="Calibri" w:hAnsi="Cambria Math" w:cs="Arial"/>
              </w:rPr>
              <m:t>(b-a)×56.19×N</m:t>
            </m:r>
          </m:num>
          <m:den>
            <m:r>
              <w:rPr>
                <w:rFonts w:ascii="Cambria Math" w:eastAsia="Calibri" w:hAnsi="Cambria Math" w:cs="Arial"/>
              </w:rPr>
              <m:t>Weight of oil(g)</m:t>
            </m:r>
          </m:den>
        </m:f>
      </m:oMath>
      <w:r w:rsidRPr="007140DD">
        <w:rPr>
          <w:rFonts w:ascii="Arial" w:eastAsia="Calibri" w:hAnsi="Arial" w:cs="Arial"/>
        </w:rPr>
        <w:t xml:space="preserve"> </w:t>
      </w:r>
    </w:p>
    <w:p w14:paraId="1CA9CBD9" w14:textId="77777777" w:rsidR="00492CE7" w:rsidRPr="007140DD" w:rsidRDefault="00492CE7" w:rsidP="00492CE7">
      <w:pPr>
        <w:jc w:val="both"/>
        <w:rPr>
          <w:rFonts w:ascii="Arial" w:eastAsia="Calibri" w:hAnsi="Arial" w:cs="Arial"/>
        </w:rPr>
      </w:pPr>
      <w:r w:rsidRPr="007140DD">
        <w:rPr>
          <w:rFonts w:ascii="Arial" w:eastAsia="Calibri" w:hAnsi="Arial" w:cs="Arial"/>
        </w:rPr>
        <w:t>N = Normality of Hydrochloric acid</w:t>
      </w:r>
    </w:p>
    <w:p w14:paraId="38FE1129" w14:textId="77777777" w:rsidR="00492CE7" w:rsidRPr="007140DD" w:rsidRDefault="00492CE7" w:rsidP="00492CE7">
      <w:pPr>
        <w:jc w:val="both"/>
        <w:rPr>
          <w:rFonts w:ascii="Arial" w:eastAsia="Calibri" w:hAnsi="Arial" w:cs="Arial"/>
        </w:rPr>
      </w:pPr>
      <w:r w:rsidRPr="007140DD">
        <w:rPr>
          <w:rFonts w:ascii="Arial" w:eastAsia="Calibri" w:hAnsi="Arial" w:cs="Arial"/>
        </w:rPr>
        <w:t>b = Volume of HCl used in the blank</w:t>
      </w:r>
    </w:p>
    <w:p w14:paraId="05E516C2" w14:textId="747133CB" w:rsidR="00492CE7" w:rsidRPr="007140DD" w:rsidRDefault="00492CE7" w:rsidP="00492CE7">
      <w:pPr>
        <w:autoSpaceDE w:val="0"/>
        <w:autoSpaceDN w:val="0"/>
        <w:adjustRightInd w:val="0"/>
        <w:jc w:val="both"/>
        <w:rPr>
          <w:rFonts w:ascii="Arial" w:eastAsia="Calibri" w:hAnsi="Arial" w:cs="Arial"/>
        </w:rPr>
      </w:pPr>
      <w:r w:rsidRPr="007140DD">
        <w:rPr>
          <w:rFonts w:ascii="Arial" w:eastAsia="Calibri" w:hAnsi="Arial" w:cs="Arial"/>
        </w:rPr>
        <w:t>a = Volume of HCl used in the sample</w:t>
      </w:r>
      <w:r w:rsidR="00FF0C0B" w:rsidRPr="007140DD">
        <w:rPr>
          <w:rFonts w:ascii="Arial" w:eastAsia="Calibri" w:hAnsi="Arial" w:cs="Arial"/>
        </w:rPr>
        <w:t xml:space="preserve"> </w:t>
      </w:r>
      <w:r w:rsidR="00FF0C0B" w:rsidRPr="007140DD">
        <w:rPr>
          <w:rFonts w:ascii="Arial" w:eastAsia="Calibri" w:hAnsi="Arial" w:cs="Arial"/>
          <w:b/>
          <w:bCs/>
        </w:rPr>
        <w:t>(</w:t>
      </w:r>
      <w:r w:rsidR="00C26739" w:rsidRPr="007140DD">
        <w:rPr>
          <w:rFonts w:ascii="Arial" w:hAnsi="Arial" w:cs="Arial"/>
        </w:rPr>
        <w:t xml:space="preserve">AOCS 1998; </w:t>
      </w:r>
      <w:proofErr w:type="spellStart"/>
      <w:r w:rsidR="00FF0C0B" w:rsidRPr="007140DD">
        <w:rPr>
          <w:rFonts w:ascii="Arial" w:hAnsi="Arial" w:cs="Arial"/>
          <w:bCs/>
        </w:rPr>
        <w:t>Dressman</w:t>
      </w:r>
      <w:proofErr w:type="spellEnd"/>
      <w:r w:rsidR="00FF0C0B" w:rsidRPr="007140DD">
        <w:rPr>
          <w:rFonts w:ascii="Arial" w:hAnsi="Arial" w:cs="Arial"/>
          <w:bCs/>
        </w:rPr>
        <w:t xml:space="preserve"> et al., 2024</w:t>
      </w:r>
      <w:r w:rsidR="00FF0C0B" w:rsidRPr="007140DD">
        <w:rPr>
          <w:rFonts w:ascii="Arial" w:eastAsia="Calibri" w:hAnsi="Arial" w:cs="Arial"/>
          <w:b/>
          <w:bCs/>
        </w:rPr>
        <w:t>)</w:t>
      </w:r>
    </w:p>
    <w:p w14:paraId="40A6C12E" w14:textId="77777777" w:rsidR="00492CE7" w:rsidRPr="007140DD" w:rsidRDefault="00492CE7" w:rsidP="00492CE7">
      <w:pPr>
        <w:rPr>
          <w:rFonts w:ascii="Arial" w:hAnsi="Arial" w:cs="Arial"/>
          <w:sz w:val="24"/>
          <w:szCs w:val="24"/>
        </w:rPr>
      </w:pPr>
    </w:p>
    <w:p w14:paraId="584DDE19" w14:textId="4F529454" w:rsidR="00492CE7" w:rsidRPr="007140DD" w:rsidRDefault="00231A41" w:rsidP="00492CE7">
      <w:pPr>
        <w:pStyle w:val="ContactInfo"/>
        <w:tabs>
          <w:tab w:val="center" w:pos="4320"/>
          <w:tab w:val="left" w:pos="6060"/>
        </w:tabs>
        <w:spacing w:line="240" w:lineRule="auto"/>
        <w:jc w:val="left"/>
        <w:rPr>
          <w:rFonts w:ascii="Arial" w:hAnsi="Arial" w:cs="Arial"/>
          <w:b/>
          <w:color w:val="auto"/>
        </w:rPr>
      </w:pPr>
      <w:bookmarkStart w:id="3" w:name="_Hlk168132376"/>
      <w:bookmarkStart w:id="4" w:name="_Hlk168132377"/>
      <w:r w:rsidRPr="007140DD">
        <w:rPr>
          <w:rFonts w:ascii="Arial" w:hAnsi="Arial" w:cs="Arial"/>
          <w:b/>
          <w:color w:val="auto"/>
        </w:rPr>
        <w:t xml:space="preserve">2.6 </w:t>
      </w:r>
      <w:r w:rsidR="00492CE7" w:rsidRPr="007140DD">
        <w:rPr>
          <w:rFonts w:ascii="Arial" w:hAnsi="Arial" w:cs="Arial"/>
          <w:b/>
          <w:color w:val="auto"/>
        </w:rPr>
        <w:t xml:space="preserve">Analysis of Fatty Acid Methyl Esters by </w:t>
      </w:r>
      <w:r w:rsidR="00F43DB6" w:rsidRPr="007140DD">
        <w:rPr>
          <w:rFonts w:ascii="Arial" w:hAnsi="Arial" w:cs="Arial"/>
          <w:b/>
          <w:color w:val="auto"/>
        </w:rPr>
        <w:t>Gas Chromatography–Mass Spectrometry Detector (</w:t>
      </w:r>
      <w:r w:rsidR="00492CE7" w:rsidRPr="007140DD">
        <w:rPr>
          <w:rFonts w:ascii="Arial" w:hAnsi="Arial" w:cs="Arial"/>
          <w:b/>
          <w:color w:val="auto"/>
        </w:rPr>
        <w:t>GC-MSD</w:t>
      </w:r>
      <w:bookmarkEnd w:id="3"/>
      <w:bookmarkEnd w:id="4"/>
      <w:r w:rsidR="00F43DB6" w:rsidRPr="007140DD">
        <w:rPr>
          <w:rFonts w:ascii="Arial" w:hAnsi="Arial" w:cs="Arial"/>
          <w:b/>
          <w:color w:val="auto"/>
        </w:rPr>
        <w:t>)</w:t>
      </w:r>
    </w:p>
    <w:p w14:paraId="3E4E3D7F" w14:textId="77777777" w:rsidR="00492CE7" w:rsidRPr="007140DD" w:rsidRDefault="00492CE7" w:rsidP="00492CE7">
      <w:pPr>
        <w:pStyle w:val="ContactInfo"/>
        <w:tabs>
          <w:tab w:val="center" w:pos="4320"/>
          <w:tab w:val="left" w:pos="6060"/>
        </w:tabs>
        <w:spacing w:line="240" w:lineRule="auto"/>
        <w:jc w:val="left"/>
        <w:rPr>
          <w:rFonts w:ascii="Arial" w:hAnsi="Arial" w:cs="Arial"/>
          <w:b/>
          <w:color w:val="auto"/>
          <w:sz w:val="24"/>
          <w:szCs w:val="24"/>
        </w:rPr>
      </w:pPr>
    </w:p>
    <w:p w14:paraId="5A9A17DD" w14:textId="77777777" w:rsidR="00492CE7" w:rsidRPr="007140DD" w:rsidRDefault="00231A41" w:rsidP="00492CE7">
      <w:pPr>
        <w:pStyle w:val="Photo"/>
        <w:jc w:val="left"/>
        <w:rPr>
          <w:rFonts w:ascii="Arial" w:hAnsi="Arial" w:cs="Arial"/>
          <w:b/>
          <w:bCs/>
          <w:color w:val="auto"/>
          <w:sz w:val="20"/>
          <w:szCs w:val="20"/>
        </w:rPr>
      </w:pPr>
      <w:r w:rsidRPr="007140DD">
        <w:rPr>
          <w:rFonts w:ascii="Arial" w:hAnsi="Arial" w:cs="Arial"/>
          <w:b/>
          <w:bCs/>
          <w:color w:val="auto"/>
          <w:sz w:val="20"/>
          <w:szCs w:val="20"/>
        </w:rPr>
        <w:t xml:space="preserve">2.6.1 </w:t>
      </w:r>
      <w:r w:rsidR="00492CE7" w:rsidRPr="007140DD">
        <w:rPr>
          <w:rFonts w:ascii="Arial" w:hAnsi="Arial" w:cs="Arial"/>
          <w:b/>
          <w:bCs/>
          <w:color w:val="auto"/>
          <w:sz w:val="20"/>
          <w:szCs w:val="20"/>
        </w:rPr>
        <w:t>Instrument Description</w:t>
      </w:r>
    </w:p>
    <w:p w14:paraId="6492543F" w14:textId="77777777" w:rsidR="00492CE7" w:rsidRPr="007140DD" w:rsidRDefault="00492CE7" w:rsidP="00492CE7">
      <w:pPr>
        <w:pStyle w:val="ContactInfo"/>
        <w:tabs>
          <w:tab w:val="center" w:pos="4320"/>
          <w:tab w:val="left" w:pos="6060"/>
        </w:tabs>
        <w:spacing w:line="240" w:lineRule="auto"/>
        <w:jc w:val="both"/>
        <w:rPr>
          <w:rFonts w:ascii="Arial" w:hAnsi="Arial" w:cs="Arial"/>
          <w:color w:val="auto"/>
          <w:sz w:val="20"/>
          <w:szCs w:val="20"/>
        </w:rPr>
      </w:pPr>
      <w:r w:rsidRPr="007140DD">
        <w:rPr>
          <w:rFonts w:ascii="Arial" w:hAnsi="Arial" w:cs="Arial"/>
          <w:color w:val="auto"/>
          <w:sz w:val="20"/>
          <w:szCs w:val="20"/>
        </w:rPr>
        <w:t>An Agilent 7890B GC with an Agilent 5977B MSD System equipped with a split/</w:t>
      </w:r>
      <w:proofErr w:type="spellStart"/>
      <w:r w:rsidRPr="007140DD">
        <w:rPr>
          <w:rFonts w:ascii="Arial" w:hAnsi="Arial" w:cs="Arial"/>
          <w:color w:val="auto"/>
          <w:sz w:val="20"/>
          <w:szCs w:val="20"/>
        </w:rPr>
        <w:t>splitless</w:t>
      </w:r>
      <w:proofErr w:type="spellEnd"/>
      <w:r w:rsidRPr="007140DD">
        <w:rPr>
          <w:rFonts w:ascii="Arial" w:hAnsi="Arial" w:cs="Arial"/>
          <w:color w:val="auto"/>
          <w:sz w:val="20"/>
          <w:szCs w:val="20"/>
        </w:rPr>
        <w:t xml:space="preserve"> inlet and an Agilent 7693 Automatic Liquid Sampler was used for this analysis. The table below shows the instrumental conditions used in the data acquisition.</w:t>
      </w:r>
    </w:p>
    <w:p w14:paraId="5CB6E25B" w14:textId="77777777" w:rsidR="00492CE7" w:rsidRPr="007140DD" w:rsidRDefault="00492CE7" w:rsidP="00492CE7">
      <w:pPr>
        <w:pStyle w:val="ContactInfo"/>
        <w:tabs>
          <w:tab w:val="center" w:pos="4320"/>
          <w:tab w:val="left" w:pos="6060"/>
        </w:tabs>
        <w:spacing w:line="240" w:lineRule="auto"/>
        <w:jc w:val="both"/>
        <w:rPr>
          <w:rFonts w:ascii="Arial" w:hAnsi="Arial" w:cs="Arial"/>
          <w:color w:val="auto"/>
          <w:sz w:val="24"/>
          <w:szCs w:val="24"/>
        </w:rPr>
      </w:pPr>
    </w:p>
    <w:p w14:paraId="6F16A55B" w14:textId="77777777" w:rsidR="00492CE7" w:rsidRPr="007140DD" w:rsidRDefault="00492CE7" w:rsidP="00492CE7">
      <w:pPr>
        <w:pStyle w:val="ContactInfo"/>
        <w:tabs>
          <w:tab w:val="center" w:pos="4320"/>
          <w:tab w:val="left" w:pos="6060"/>
        </w:tabs>
        <w:spacing w:line="240" w:lineRule="auto"/>
        <w:jc w:val="both"/>
        <w:rPr>
          <w:rFonts w:ascii="Arial" w:hAnsi="Arial" w:cs="Arial"/>
          <w:b/>
          <w:color w:val="auto"/>
          <w:sz w:val="20"/>
          <w:szCs w:val="20"/>
        </w:rPr>
      </w:pPr>
      <w:r w:rsidRPr="007140DD">
        <w:rPr>
          <w:rFonts w:ascii="Arial" w:hAnsi="Arial" w:cs="Arial"/>
          <w:b/>
          <w:color w:val="auto"/>
          <w:sz w:val="20"/>
          <w:szCs w:val="20"/>
        </w:rPr>
        <w:t>Table 1: Chromatographic Conditions</w:t>
      </w:r>
    </w:p>
    <w:tbl>
      <w:tblPr>
        <w:tblStyle w:val="ListTable6Colorful"/>
        <w:tblW w:w="9355" w:type="dxa"/>
        <w:tblLook w:val="04A0" w:firstRow="1" w:lastRow="0" w:firstColumn="1" w:lastColumn="0" w:noHBand="0" w:noVBand="1"/>
      </w:tblPr>
      <w:tblGrid>
        <w:gridCol w:w="2358"/>
        <w:gridCol w:w="6997"/>
      </w:tblGrid>
      <w:tr w:rsidR="007140DD" w:rsidRPr="007140DD" w14:paraId="4B9F3519" w14:textId="77777777" w:rsidTr="000924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52D28E44" w14:textId="77777777" w:rsidR="00492CE7" w:rsidRPr="007140DD"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7140DD">
              <w:rPr>
                <w:rFonts w:ascii="Arial" w:hAnsi="Arial" w:cs="Arial"/>
                <w:bCs w:val="0"/>
                <w:caps/>
                <w:color w:val="auto"/>
                <w:sz w:val="20"/>
                <w:szCs w:val="20"/>
              </w:rPr>
              <w:t>GC</w:t>
            </w:r>
          </w:p>
        </w:tc>
        <w:tc>
          <w:tcPr>
            <w:tcW w:w="6997" w:type="dxa"/>
            <w:shd w:val="clear" w:color="auto" w:fill="auto"/>
          </w:tcPr>
          <w:p w14:paraId="72A8AA6E" w14:textId="77777777" w:rsidR="00492CE7" w:rsidRPr="007140DD" w:rsidRDefault="00492CE7" w:rsidP="005A0DE9">
            <w:pPr>
              <w:pStyle w:val="ContactInfo"/>
              <w:tabs>
                <w:tab w:val="center" w:pos="4320"/>
                <w:tab w:val="left" w:pos="6060"/>
              </w:tabs>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140DD">
              <w:rPr>
                <w:rFonts w:ascii="Arial" w:hAnsi="Arial" w:cs="Arial"/>
                <w:color w:val="auto"/>
                <w:sz w:val="20"/>
                <w:szCs w:val="20"/>
              </w:rPr>
              <w:t>Agilent 7890A coupled with 5977B Mass selective Detector</w:t>
            </w:r>
          </w:p>
        </w:tc>
      </w:tr>
      <w:tr w:rsidR="007140DD" w:rsidRPr="007140DD" w14:paraId="3AF32DAB" w14:textId="77777777" w:rsidTr="000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35C4D2BB" w14:textId="77777777" w:rsidR="00492CE7" w:rsidRPr="007140DD"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7140DD">
              <w:rPr>
                <w:rFonts w:ascii="Arial" w:hAnsi="Arial" w:cs="Arial"/>
                <w:bCs w:val="0"/>
                <w:caps/>
                <w:color w:val="auto"/>
                <w:sz w:val="20"/>
                <w:szCs w:val="20"/>
              </w:rPr>
              <w:t>Sampler</w:t>
            </w:r>
          </w:p>
        </w:tc>
        <w:tc>
          <w:tcPr>
            <w:tcW w:w="6997" w:type="dxa"/>
            <w:shd w:val="clear" w:color="auto" w:fill="auto"/>
          </w:tcPr>
          <w:p w14:paraId="5AD510D2" w14:textId="1F4D7815" w:rsidR="00492CE7" w:rsidRPr="007140DD" w:rsidRDefault="00492CE7" w:rsidP="005A0DE9">
            <w:pPr>
              <w:pStyle w:val="ContactInfo"/>
              <w:tabs>
                <w:tab w:val="center" w:pos="4320"/>
                <w:tab w:val="left" w:pos="6060"/>
              </w:tabs>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140DD">
              <w:rPr>
                <w:rFonts w:ascii="Arial" w:hAnsi="Arial" w:cs="Arial"/>
                <w:color w:val="auto"/>
                <w:sz w:val="20"/>
                <w:szCs w:val="20"/>
              </w:rPr>
              <w:t>Agilent 7693 Injector tower with 10</w:t>
            </w:r>
            <w:r w:rsidR="00AD2BA6" w:rsidRPr="007140DD">
              <w:rPr>
                <w:rFonts w:ascii="Arial" w:hAnsi="Arial" w:cs="Arial"/>
                <w:color w:val="auto"/>
                <w:sz w:val="20"/>
                <w:szCs w:val="20"/>
              </w:rPr>
              <w:t xml:space="preserve"> </w:t>
            </w:r>
            <w:r w:rsidRPr="007140DD">
              <w:rPr>
                <w:rFonts w:ascii="Arial" w:hAnsi="Arial" w:cs="Arial"/>
                <w:color w:val="auto"/>
                <w:sz w:val="20"/>
                <w:szCs w:val="20"/>
              </w:rPr>
              <w:t>µL syringe</w:t>
            </w:r>
          </w:p>
        </w:tc>
      </w:tr>
      <w:tr w:rsidR="007140DD" w:rsidRPr="007140DD" w14:paraId="18B1ED79" w14:textId="77777777" w:rsidTr="00092481">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1E2BC9BF" w14:textId="77777777" w:rsidR="00492CE7" w:rsidRPr="007140DD"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7140DD">
              <w:rPr>
                <w:rFonts w:ascii="Arial" w:hAnsi="Arial" w:cs="Arial"/>
                <w:bCs w:val="0"/>
                <w:caps/>
                <w:color w:val="auto"/>
                <w:sz w:val="20"/>
                <w:szCs w:val="20"/>
              </w:rPr>
              <w:t>Carrier</w:t>
            </w:r>
          </w:p>
        </w:tc>
        <w:tc>
          <w:tcPr>
            <w:tcW w:w="6997" w:type="dxa"/>
            <w:shd w:val="clear" w:color="auto" w:fill="auto"/>
          </w:tcPr>
          <w:p w14:paraId="10E768F3" w14:textId="7A0479CB" w:rsidR="00492CE7" w:rsidRPr="007140DD" w:rsidRDefault="00492CE7" w:rsidP="005A0DE9">
            <w:pPr>
              <w:pStyle w:val="ContactInfo"/>
              <w:tabs>
                <w:tab w:val="center" w:pos="4320"/>
                <w:tab w:val="left" w:pos="6060"/>
              </w:tabs>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140DD">
              <w:rPr>
                <w:rFonts w:ascii="Arial" w:hAnsi="Arial" w:cs="Arial"/>
                <w:color w:val="auto"/>
                <w:sz w:val="20"/>
                <w:szCs w:val="20"/>
              </w:rPr>
              <w:t>Helium [flow; 1.3</w:t>
            </w:r>
            <w:r w:rsidR="00AD2BA6" w:rsidRPr="007140DD">
              <w:rPr>
                <w:rFonts w:ascii="Arial" w:hAnsi="Arial" w:cs="Arial"/>
                <w:color w:val="auto"/>
                <w:sz w:val="20"/>
                <w:szCs w:val="20"/>
              </w:rPr>
              <w:t xml:space="preserve"> </w:t>
            </w:r>
            <w:r w:rsidRPr="007140DD">
              <w:rPr>
                <w:rFonts w:ascii="Arial" w:hAnsi="Arial" w:cs="Arial"/>
                <w:color w:val="auto"/>
                <w:sz w:val="20"/>
                <w:szCs w:val="20"/>
              </w:rPr>
              <w:t>mL/min]</w:t>
            </w:r>
          </w:p>
        </w:tc>
      </w:tr>
      <w:tr w:rsidR="007140DD" w:rsidRPr="007140DD" w14:paraId="0AECC542" w14:textId="77777777" w:rsidTr="000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7CF00176" w14:textId="77777777" w:rsidR="00492CE7" w:rsidRPr="007140DD"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7140DD">
              <w:rPr>
                <w:rFonts w:ascii="Arial" w:hAnsi="Arial" w:cs="Arial"/>
                <w:bCs w:val="0"/>
                <w:caps/>
                <w:color w:val="auto"/>
                <w:sz w:val="20"/>
                <w:szCs w:val="20"/>
              </w:rPr>
              <w:t xml:space="preserve">Injection </w:t>
            </w:r>
          </w:p>
        </w:tc>
        <w:tc>
          <w:tcPr>
            <w:tcW w:w="6997" w:type="dxa"/>
            <w:shd w:val="clear" w:color="auto" w:fill="auto"/>
          </w:tcPr>
          <w:p w14:paraId="1E750926" w14:textId="77777777" w:rsidR="00492CE7" w:rsidRPr="007140DD" w:rsidRDefault="00492CE7" w:rsidP="005A0DE9">
            <w:pPr>
              <w:pStyle w:val="ContactInfo"/>
              <w:tabs>
                <w:tab w:val="center" w:pos="4320"/>
                <w:tab w:val="left" w:pos="6060"/>
              </w:tabs>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140DD">
              <w:rPr>
                <w:rFonts w:ascii="Arial" w:hAnsi="Arial" w:cs="Arial"/>
                <w:color w:val="auto"/>
                <w:sz w:val="20"/>
                <w:szCs w:val="20"/>
              </w:rPr>
              <w:t>1µL Splitless, 250 °C</w:t>
            </w:r>
          </w:p>
        </w:tc>
      </w:tr>
      <w:tr w:rsidR="007140DD" w:rsidRPr="007140DD" w14:paraId="4E7D9800" w14:textId="77777777" w:rsidTr="00092481">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38582F46" w14:textId="77777777" w:rsidR="00492CE7" w:rsidRPr="007140DD"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7140DD">
              <w:rPr>
                <w:rFonts w:ascii="Arial" w:hAnsi="Arial" w:cs="Arial"/>
                <w:bCs w:val="0"/>
                <w:caps/>
                <w:color w:val="auto"/>
                <w:sz w:val="20"/>
                <w:szCs w:val="20"/>
              </w:rPr>
              <w:t>Column</w:t>
            </w:r>
          </w:p>
        </w:tc>
        <w:tc>
          <w:tcPr>
            <w:tcW w:w="6997" w:type="dxa"/>
            <w:shd w:val="clear" w:color="auto" w:fill="auto"/>
          </w:tcPr>
          <w:p w14:paraId="2A1A500C" w14:textId="77777777" w:rsidR="00492CE7" w:rsidRPr="007140DD" w:rsidRDefault="00492CE7" w:rsidP="005A0DE9">
            <w:pPr>
              <w:pStyle w:val="ContactInfo"/>
              <w:tabs>
                <w:tab w:val="center" w:pos="4320"/>
                <w:tab w:val="left" w:pos="6060"/>
              </w:tabs>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140DD">
              <w:rPr>
                <w:rFonts w:ascii="Arial" w:hAnsi="Arial" w:cs="Arial"/>
                <w:color w:val="auto"/>
                <w:sz w:val="20"/>
                <w:szCs w:val="20"/>
              </w:rPr>
              <w:t xml:space="preserve">Rtx-1ms 15 m, 0.25 mm ID, 0.25 </w:t>
            </w:r>
            <w:proofErr w:type="spellStart"/>
            <w:r w:rsidRPr="007140DD">
              <w:rPr>
                <w:rFonts w:ascii="Arial" w:hAnsi="Arial" w:cs="Arial"/>
                <w:color w:val="auto"/>
                <w:sz w:val="20"/>
                <w:szCs w:val="20"/>
              </w:rPr>
              <w:t>μm</w:t>
            </w:r>
            <w:proofErr w:type="spellEnd"/>
            <w:r w:rsidRPr="007140DD">
              <w:rPr>
                <w:rFonts w:ascii="Arial" w:hAnsi="Arial" w:cs="Arial"/>
                <w:color w:val="auto"/>
                <w:sz w:val="20"/>
                <w:szCs w:val="20"/>
              </w:rPr>
              <w:t xml:space="preserve"> </w:t>
            </w:r>
          </w:p>
        </w:tc>
      </w:tr>
      <w:tr w:rsidR="007140DD" w:rsidRPr="007140DD" w14:paraId="73E060E1" w14:textId="77777777" w:rsidTr="00092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433D2851" w14:textId="77777777" w:rsidR="00492CE7" w:rsidRPr="007140DD"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7140DD">
              <w:rPr>
                <w:rFonts w:ascii="Arial" w:hAnsi="Arial" w:cs="Arial"/>
                <w:bCs w:val="0"/>
                <w:caps/>
                <w:color w:val="auto"/>
                <w:sz w:val="20"/>
                <w:szCs w:val="20"/>
              </w:rPr>
              <w:t>Oven</w:t>
            </w:r>
          </w:p>
        </w:tc>
        <w:tc>
          <w:tcPr>
            <w:tcW w:w="6997" w:type="dxa"/>
            <w:shd w:val="clear" w:color="auto" w:fill="auto"/>
          </w:tcPr>
          <w:p w14:paraId="1C408FFB" w14:textId="77777777" w:rsidR="00492CE7" w:rsidRPr="007140DD" w:rsidRDefault="00492CE7" w:rsidP="005A0DE9">
            <w:pPr>
              <w:pStyle w:val="ContactInfo"/>
              <w:tabs>
                <w:tab w:val="center" w:pos="4320"/>
                <w:tab w:val="left" w:pos="6060"/>
              </w:tabs>
              <w:spacing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7140DD">
              <w:rPr>
                <w:rFonts w:ascii="Arial" w:hAnsi="Arial" w:cs="Arial"/>
                <w:color w:val="auto"/>
                <w:sz w:val="20"/>
                <w:szCs w:val="20"/>
              </w:rPr>
              <w:t>60 °C (hold 0 min) to 300 °C at 15 °C/min (hold 0 min)</w:t>
            </w:r>
          </w:p>
        </w:tc>
      </w:tr>
      <w:tr w:rsidR="007140DD" w:rsidRPr="007140DD" w14:paraId="04F7C4FC" w14:textId="77777777" w:rsidTr="00092481">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01F189A2" w14:textId="77777777" w:rsidR="00492CE7" w:rsidRPr="007140DD" w:rsidRDefault="00492CE7" w:rsidP="005A0DE9">
            <w:pPr>
              <w:pStyle w:val="ContactInfo"/>
              <w:tabs>
                <w:tab w:val="center" w:pos="4320"/>
                <w:tab w:val="left" w:pos="6060"/>
              </w:tabs>
              <w:spacing w:line="240" w:lineRule="auto"/>
              <w:jc w:val="both"/>
              <w:rPr>
                <w:rFonts w:ascii="Arial" w:hAnsi="Arial" w:cs="Arial"/>
                <w:bCs w:val="0"/>
                <w:color w:val="auto"/>
                <w:sz w:val="20"/>
                <w:szCs w:val="20"/>
              </w:rPr>
            </w:pPr>
            <w:r w:rsidRPr="007140DD">
              <w:rPr>
                <w:rFonts w:ascii="Arial" w:hAnsi="Arial" w:cs="Arial"/>
                <w:bCs w:val="0"/>
                <w:caps/>
                <w:color w:val="auto"/>
                <w:sz w:val="20"/>
                <w:szCs w:val="20"/>
              </w:rPr>
              <w:t>MSD</w:t>
            </w:r>
          </w:p>
        </w:tc>
        <w:tc>
          <w:tcPr>
            <w:tcW w:w="6997" w:type="dxa"/>
            <w:shd w:val="clear" w:color="auto" w:fill="auto"/>
          </w:tcPr>
          <w:p w14:paraId="2A39C2ED" w14:textId="77777777" w:rsidR="00492CE7" w:rsidRPr="007140DD" w:rsidRDefault="00492CE7" w:rsidP="005A0DE9">
            <w:pPr>
              <w:pStyle w:val="ContactInfo"/>
              <w:tabs>
                <w:tab w:val="center" w:pos="4320"/>
                <w:tab w:val="left" w:pos="6060"/>
              </w:tabs>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7140DD">
              <w:rPr>
                <w:rFonts w:ascii="Arial" w:hAnsi="Arial" w:cs="Arial"/>
                <w:color w:val="auto"/>
                <w:sz w:val="20"/>
                <w:szCs w:val="20"/>
              </w:rPr>
              <w:t>Transfer line temp [280] Quadrupole temp [150 °C] Ion source temp [230 °C]</w:t>
            </w:r>
          </w:p>
        </w:tc>
      </w:tr>
    </w:tbl>
    <w:p w14:paraId="304CBB95" w14:textId="77777777" w:rsidR="00492CE7" w:rsidRPr="007140DD" w:rsidRDefault="00492CE7" w:rsidP="00492CE7">
      <w:pPr>
        <w:pStyle w:val="ContactInfo"/>
        <w:tabs>
          <w:tab w:val="center" w:pos="4320"/>
          <w:tab w:val="left" w:pos="6060"/>
        </w:tabs>
        <w:spacing w:line="240" w:lineRule="auto"/>
        <w:jc w:val="both"/>
        <w:rPr>
          <w:rFonts w:ascii="Arial" w:hAnsi="Arial" w:cs="Arial"/>
          <w:color w:val="auto"/>
          <w:sz w:val="24"/>
          <w:szCs w:val="24"/>
        </w:rPr>
      </w:pPr>
    </w:p>
    <w:p w14:paraId="0AC51A46" w14:textId="77777777" w:rsidR="00492CE7" w:rsidRPr="007140DD" w:rsidRDefault="00231A41" w:rsidP="00492CE7">
      <w:pPr>
        <w:rPr>
          <w:rFonts w:ascii="Arial" w:hAnsi="Arial" w:cs="Arial"/>
          <w:b/>
          <w:bCs/>
        </w:rPr>
      </w:pPr>
      <w:r w:rsidRPr="007140DD">
        <w:rPr>
          <w:rFonts w:ascii="Arial" w:hAnsi="Arial" w:cs="Arial"/>
          <w:b/>
          <w:bCs/>
        </w:rPr>
        <w:t xml:space="preserve">2.6.2 </w:t>
      </w:r>
      <w:r w:rsidR="00492CE7" w:rsidRPr="007140DD">
        <w:rPr>
          <w:rFonts w:ascii="Arial" w:hAnsi="Arial" w:cs="Arial"/>
          <w:b/>
          <w:bCs/>
        </w:rPr>
        <w:t>Calibration</w:t>
      </w:r>
    </w:p>
    <w:p w14:paraId="468DAC6C" w14:textId="77777777" w:rsidR="00492CE7" w:rsidRPr="007140DD" w:rsidRDefault="00492CE7" w:rsidP="00492CE7">
      <w:pPr>
        <w:jc w:val="both"/>
        <w:rPr>
          <w:rFonts w:ascii="Arial" w:hAnsi="Arial" w:cs="Arial"/>
        </w:rPr>
      </w:pPr>
      <w:r w:rsidRPr="007140DD">
        <w:rPr>
          <w:rFonts w:ascii="Arial" w:hAnsi="Arial" w:cs="Arial"/>
        </w:rPr>
        <w:t>FAMES standard Mix (Catalog Number: FAMQ 005) containing 37 FAMES components was purchased from Accu</w:t>
      </w:r>
      <w:r w:rsidR="00870F56" w:rsidRPr="007140DD">
        <w:rPr>
          <w:rFonts w:ascii="Arial" w:hAnsi="Arial" w:cs="Arial"/>
        </w:rPr>
        <w:t xml:space="preserve"> </w:t>
      </w:r>
      <w:r w:rsidRPr="007140DD">
        <w:rPr>
          <w:rFonts w:ascii="Arial" w:hAnsi="Arial" w:cs="Arial"/>
        </w:rPr>
        <w:t>Standard. Five (5) point serial dilution calibration standards (10,20,40,60,80PPM) was prepared from the stock and used to calibrate the GC-MS.</w:t>
      </w:r>
    </w:p>
    <w:p w14:paraId="441C7F87" w14:textId="77777777" w:rsidR="00231A41" w:rsidRPr="007140DD" w:rsidRDefault="00231A41" w:rsidP="00492CE7">
      <w:pPr>
        <w:jc w:val="both"/>
        <w:rPr>
          <w:rFonts w:ascii="Arial" w:hAnsi="Arial" w:cs="Arial"/>
        </w:rPr>
      </w:pPr>
    </w:p>
    <w:p w14:paraId="14554526" w14:textId="77777777" w:rsidR="00492CE7" w:rsidRPr="007140DD" w:rsidRDefault="00231A41" w:rsidP="00492CE7">
      <w:pPr>
        <w:rPr>
          <w:rFonts w:ascii="Arial" w:eastAsia="Calibri" w:hAnsi="Arial" w:cs="Arial"/>
          <w:b/>
          <w:bCs/>
        </w:rPr>
      </w:pPr>
      <w:r w:rsidRPr="007140DD">
        <w:rPr>
          <w:rFonts w:ascii="Arial" w:eastAsia="Calibri" w:hAnsi="Arial" w:cs="Arial"/>
          <w:b/>
          <w:bCs/>
        </w:rPr>
        <w:t xml:space="preserve">2.6.3 </w:t>
      </w:r>
      <w:r w:rsidR="00492CE7" w:rsidRPr="007140DD">
        <w:rPr>
          <w:rFonts w:ascii="Arial" w:eastAsia="Calibri" w:hAnsi="Arial" w:cs="Arial"/>
          <w:b/>
          <w:bCs/>
        </w:rPr>
        <w:t>Extraction Procedure</w:t>
      </w:r>
    </w:p>
    <w:p w14:paraId="264A73E2" w14:textId="4BD7C489" w:rsidR="00492CE7" w:rsidRPr="007140DD" w:rsidRDefault="00492CE7" w:rsidP="00492CE7">
      <w:pPr>
        <w:pStyle w:val="ContactInfo"/>
        <w:tabs>
          <w:tab w:val="center" w:pos="4320"/>
          <w:tab w:val="left" w:pos="6060"/>
        </w:tabs>
        <w:spacing w:line="240" w:lineRule="auto"/>
        <w:jc w:val="both"/>
        <w:rPr>
          <w:rFonts w:ascii="Arial" w:hAnsi="Arial" w:cs="Arial"/>
          <w:color w:val="auto"/>
          <w:sz w:val="20"/>
          <w:szCs w:val="20"/>
        </w:rPr>
      </w:pPr>
      <w:r w:rsidRPr="007140DD">
        <w:rPr>
          <w:rFonts w:ascii="Arial" w:eastAsia="Calibri" w:hAnsi="Arial" w:cs="Arial"/>
          <w:color w:val="auto"/>
          <w:sz w:val="20"/>
          <w:szCs w:val="20"/>
        </w:rPr>
        <w:t>The oil extract (1 g) was dissolved with 10 m</w:t>
      </w:r>
      <w:r w:rsidR="00AD2BA6" w:rsidRPr="007140DD">
        <w:rPr>
          <w:rFonts w:ascii="Arial" w:eastAsia="Calibri" w:hAnsi="Arial" w:cs="Arial"/>
          <w:color w:val="auto"/>
          <w:sz w:val="20"/>
          <w:szCs w:val="20"/>
        </w:rPr>
        <w:t>L</w:t>
      </w:r>
      <w:r w:rsidRPr="007140DD">
        <w:rPr>
          <w:rFonts w:ascii="Arial" w:eastAsia="Calibri" w:hAnsi="Arial" w:cs="Arial"/>
          <w:color w:val="auto"/>
          <w:sz w:val="20"/>
          <w:szCs w:val="20"/>
        </w:rPr>
        <w:t xml:space="preserve"> of n-Hexane and 1 m</w:t>
      </w:r>
      <w:r w:rsidR="00AD2BA6" w:rsidRPr="007140DD">
        <w:rPr>
          <w:rFonts w:ascii="Arial" w:eastAsia="Calibri" w:hAnsi="Arial" w:cs="Arial"/>
          <w:color w:val="auto"/>
          <w:sz w:val="20"/>
          <w:szCs w:val="20"/>
        </w:rPr>
        <w:t>L</w:t>
      </w:r>
      <w:r w:rsidRPr="007140DD">
        <w:rPr>
          <w:rFonts w:ascii="Arial" w:eastAsia="Calibri" w:hAnsi="Arial" w:cs="Arial"/>
          <w:color w:val="auto"/>
          <w:sz w:val="20"/>
          <w:szCs w:val="20"/>
        </w:rPr>
        <w:t xml:space="preserve"> of 2 N methanolic KOH was added and the mixture was shaken thoroughly for 30 seconds.  The mixture was then centrifuged, and the supernatant obtained. The supernatant was transferred into 2 m</w:t>
      </w:r>
      <w:r w:rsidR="00AD2BA6" w:rsidRPr="007140DD">
        <w:rPr>
          <w:rFonts w:ascii="Arial" w:eastAsia="Calibri" w:hAnsi="Arial" w:cs="Arial"/>
          <w:color w:val="auto"/>
          <w:sz w:val="20"/>
          <w:szCs w:val="20"/>
        </w:rPr>
        <w:t>L</w:t>
      </w:r>
      <w:r w:rsidRPr="007140DD">
        <w:rPr>
          <w:rFonts w:ascii="Arial" w:eastAsia="Calibri" w:hAnsi="Arial" w:cs="Arial"/>
          <w:color w:val="auto"/>
          <w:sz w:val="20"/>
          <w:szCs w:val="20"/>
        </w:rPr>
        <w:t xml:space="preserve"> vials and injected into the GC-MS. </w:t>
      </w:r>
      <w:r w:rsidRPr="007140DD">
        <w:rPr>
          <w:rFonts w:ascii="Arial" w:hAnsi="Arial" w:cs="Arial"/>
          <w:color w:val="auto"/>
          <w:sz w:val="20"/>
          <w:szCs w:val="20"/>
        </w:rPr>
        <w:t xml:space="preserve">The analysis was carried out in scan mode. </w:t>
      </w:r>
    </w:p>
    <w:p w14:paraId="114C7DF8" w14:textId="77777777" w:rsidR="00492CE7" w:rsidRPr="007140DD" w:rsidRDefault="00492CE7" w:rsidP="00492CE7">
      <w:pPr>
        <w:rPr>
          <w:rFonts w:ascii="Arial" w:eastAsia="Calibri" w:hAnsi="Arial" w:cs="Arial"/>
          <w:sz w:val="24"/>
          <w:szCs w:val="24"/>
        </w:rPr>
      </w:pPr>
    </w:p>
    <w:p w14:paraId="3E8956E7" w14:textId="07F33963" w:rsidR="00492CE7" w:rsidRPr="007140DD" w:rsidRDefault="00231A41" w:rsidP="00492CE7">
      <w:pPr>
        <w:rPr>
          <w:rFonts w:ascii="Arial" w:hAnsi="Arial" w:cs="Arial"/>
          <w:b/>
          <w:sz w:val="22"/>
          <w:szCs w:val="22"/>
        </w:rPr>
      </w:pPr>
      <w:r w:rsidRPr="007140DD">
        <w:rPr>
          <w:rFonts w:ascii="Arial" w:hAnsi="Arial" w:cs="Arial"/>
          <w:b/>
          <w:sz w:val="22"/>
          <w:szCs w:val="22"/>
        </w:rPr>
        <w:t xml:space="preserve">2.7 </w:t>
      </w:r>
      <w:r w:rsidR="00492CE7" w:rsidRPr="007140DD">
        <w:rPr>
          <w:rFonts w:ascii="Arial" w:hAnsi="Arial" w:cs="Arial"/>
          <w:b/>
          <w:sz w:val="22"/>
          <w:szCs w:val="22"/>
        </w:rPr>
        <w:t xml:space="preserve">Elemental Analysis by </w:t>
      </w:r>
      <w:r w:rsidR="00677728" w:rsidRPr="007140DD">
        <w:rPr>
          <w:rFonts w:ascii="Arial" w:hAnsi="Arial" w:cs="Arial"/>
          <w:b/>
          <w:sz w:val="22"/>
          <w:szCs w:val="22"/>
        </w:rPr>
        <w:t>Inductively Coupled Plasma–Optical Emission Spectroscopy</w:t>
      </w:r>
      <w:r w:rsidR="00677728" w:rsidRPr="007140DD">
        <w:rPr>
          <w:rFonts w:ascii="Arial" w:hAnsi="Arial" w:cs="Arial"/>
        </w:rPr>
        <w:t xml:space="preserve"> </w:t>
      </w:r>
      <w:r w:rsidR="00677728" w:rsidRPr="007140DD">
        <w:rPr>
          <w:rFonts w:ascii="Arial" w:hAnsi="Arial" w:cs="Arial"/>
          <w:b/>
          <w:sz w:val="22"/>
          <w:szCs w:val="22"/>
        </w:rPr>
        <w:t>(</w:t>
      </w:r>
      <w:r w:rsidR="00492CE7" w:rsidRPr="007140DD">
        <w:rPr>
          <w:rFonts w:ascii="Arial" w:hAnsi="Arial" w:cs="Arial"/>
          <w:b/>
          <w:sz w:val="22"/>
          <w:szCs w:val="22"/>
        </w:rPr>
        <w:t>ICP-OES</w:t>
      </w:r>
      <w:r w:rsidR="00677728" w:rsidRPr="007140DD">
        <w:rPr>
          <w:rFonts w:ascii="Arial" w:hAnsi="Arial" w:cs="Arial"/>
          <w:b/>
          <w:sz w:val="22"/>
          <w:szCs w:val="22"/>
        </w:rPr>
        <w:t>)</w:t>
      </w:r>
    </w:p>
    <w:p w14:paraId="35D7C485" w14:textId="1AAF709C" w:rsidR="00492CE7" w:rsidRPr="007140DD" w:rsidRDefault="00231A41" w:rsidP="00492CE7">
      <w:pPr>
        <w:jc w:val="both"/>
        <w:rPr>
          <w:rFonts w:ascii="Arial" w:hAnsi="Arial" w:cs="Arial"/>
          <w:b/>
        </w:rPr>
      </w:pPr>
      <w:r w:rsidRPr="007140DD">
        <w:rPr>
          <w:rFonts w:ascii="Arial" w:hAnsi="Arial" w:cs="Arial"/>
          <w:b/>
        </w:rPr>
        <w:t>2.7.1</w:t>
      </w:r>
      <w:r w:rsidR="00701ED9" w:rsidRPr="007140DD">
        <w:rPr>
          <w:rFonts w:ascii="Arial" w:hAnsi="Arial" w:cs="Arial"/>
          <w:b/>
        </w:rPr>
        <w:t xml:space="preserve"> </w:t>
      </w:r>
      <w:r w:rsidR="00492CE7" w:rsidRPr="007140DD">
        <w:rPr>
          <w:rFonts w:ascii="Arial" w:hAnsi="Arial" w:cs="Arial"/>
          <w:b/>
        </w:rPr>
        <w:t>Analysis Procedure</w:t>
      </w:r>
    </w:p>
    <w:p w14:paraId="319AEBAC" w14:textId="77777777" w:rsidR="00492CE7" w:rsidRPr="007140DD" w:rsidRDefault="00492CE7" w:rsidP="00492CE7">
      <w:pPr>
        <w:jc w:val="both"/>
        <w:rPr>
          <w:rFonts w:ascii="Arial" w:hAnsi="Arial" w:cs="Arial"/>
        </w:rPr>
      </w:pPr>
      <w:r w:rsidRPr="007140DD">
        <w:rPr>
          <w:rFonts w:ascii="Arial" w:hAnsi="Arial" w:cs="Arial"/>
        </w:rPr>
        <w:t xml:space="preserve">The Agilent 720-ES with megapixel CCD detector was used which provided simultaneous measurement while the Agilent SPS3 autosampler was used for sample introduction. </w:t>
      </w:r>
      <w:bookmarkStart w:id="5" w:name="_Hlk194463431"/>
      <w:r w:rsidRPr="007140DD">
        <w:rPr>
          <w:rFonts w:ascii="Arial" w:hAnsi="Arial" w:cs="Arial"/>
        </w:rPr>
        <w:t>Agilent Expert II Software was used to control the instrument and acquire data.</w:t>
      </w:r>
      <w:bookmarkStart w:id="6" w:name="_Hlk194465817"/>
      <w:bookmarkEnd w:id="5"/>
      <w:r w:rsidRPr="007140DD">
        <w:rPr>
          <w:rFonts w:ascii="Arial" w:hAnsi="Arial" w:cs="Arial"/>
        </w:rPr>
        <w:t xml:space="preserve"> Calibration and Quality Control (QC) solutions were prepared from the following reference material: </w:t>
      </w:r>
      <w:proofErr w:type="spellStart"/>
      <w:r w:rsidRPr="007140DD">
        <w:rPr>
          <w:rFonts w:ascii="Arial" w:hAnsi="Arial" w:cs="Arial"/>
        </w:rPr>
        <w:t>Accustandard</w:t>
      </w:r>
      <w:proofErr w:type="spellEnd"/>
      <w:r w:rsidRPr="007140DD">
        <w:rPr>
          <w:rFonts w:ascii="Arial" w:hAnsi="Arial" w:cs="Arial"/>
        </w:rPr>
        <w:t xml:space="preserve"> QCSTD-27 Quality Control Standard and Deionized water from Elga B114 Wall Mounted Deionizer System. Appropriate concentrations range of working standards from the multi-elements stock standard were prepared through serial dilution method. A new worksheet was created from the ICP-OES Expert software into which was programmed the </w:t>
      </w:r>
      <w:r w:rsidRPr="007140DD">
        <w:rPr>
          <w:rFonts w:ascii="Arial" w:hAnsi="Arial" w:cs="Arial"/>
        </w:rPr>
        <w:lastRenderedPageBreak/>
        <w:t>individual sample codes as well as the method. After the instrument was programmed, the calibration curves were then obtained by running the standards and then the samples were also analyzed according to the sequence specified in the sequence parameters of the newly created worksheet</w:t>
      </w:r>
      <w:bookmarkEnd w:id="6"/>
      <w:r w:rsidRPr="007140DD">
        <w:rPr>
          <w:rFonts w:ascii="Arial" w:hAnsi="Arial" w:cs="Arial"/>
        </w:rPr>
        <w:t>.</w:t>
      </w:r>
    </w:p>
    <w:p w14:paraId="39FE99AE" w14:textId="77777777" w:rsidR="00A03B96" w:rsidRPr="007140DD" w:rsidRDefault="00A03B96" w:rsidP="00441B6F">
      <w:pPr>
        <w:pStyle w:val="Body"/>
        <w:spacing w:after="0"/>
        <w:rPr>
          <w:rFonts w:ascii="Arial" w:hAnsi="Arial" w:cs="Arial"/>
        </w:rPr>
      </w:pPr>
    </w:p>
    <w:p w14:paraId="775A7DED" w14:textId="77777777" w:rsidR="00790ADA" w:rsidRPr="007140DD" w:rsidRDefault="00790ADA" w:rsidP="00441B6F">
      <w:pPr>
        <w:pStyle w:val="Body"/>
        <w:spacing w:after="0"/>
        <w:rPr>
          <w:rFonts w:ascii="Arial" w:hAnsi="Arial" w:cs="Arial"/>
        </w:rPr>
      </w:pPr>
    </w:p>
    <w:p w14:paraId="659DE581" w14:textId="11B50E8F" w:rsidR="00902823" w:rsidRPr="007140DD" w:rsidRDefault="00000F8F" w:rsidP="00441B6F">
      <w:pPr>
        <w:pStyle w:val="Head1"/>
        <w:spacing w:after="0"/>
        <w:jc w:val="both"/>
        <w:rPr>
          <w:rFonts w:ascii="Arial" w:hAnsi="Arial" w:cs="Arial"/>
          <w:szCs w:val="22"/>
        </w:rPr>
      </w:pPr>
      <w:r w:rsidRPr="007140DD">
        <w:rPr>
          <w:rFonts w:ascii="Arial" w:hAnsi="Arial" w:cs="Arial"/>
          <w:szCs w:val="22"/>
        </w:rPr>
        <w:t>3</w:t>
      </w:r>
      <w:r w:rsidR="00902823" w:rsidRPr="007140DD">
        <w:rPr>
          <w:rFonts w:ascii="Arial" w:hAnsi="Arial" w:cs="Arial"/>
          <w:szCs w:val="22"/>
        </w:rPr>
        <w:t xml:space="preserve">. </w:t>
      </w:r>
      <w:r w:rsidRPr="007140DD">
        <w:rPr>
          <w:rFonts w:ascii="Arial" w:hAnsi="Arial" w:cs="Arial"/>
          <w:szCs w:val="22"/>
        </w:rPr>
        <w:t>results and discussion</w:t>
      </w:r>
    </w:p>
    <w:p w14:paraId="757A822B" w14:textId="378F67F5" w:rsidR="005629EB" w:rsidRPr="007140DD" w:rsidRDefault="0004319C" w:rsidP="00BB282F">
      <w:pPr>
        <w:spacing w:before="100" w:beforeAutospacing="1" w:after="100" w:afterAutospacing="1"/>
        <w:jc w:val="both"/>
        <w:rPr>
          <w:rFonts w:ascii="Arial" w:hAnsi="Arial" w:cs="Arial"/>
          <w:b/>
          <w:bCs/>
          <w:sz w:val="22"/>
          <w:szCs w:val="22"/>
        </w:rPr>
      </w:pPr>
      <w:r w:rsidRPr="007140DD">
        <w:rPr>
          <w:rFonts w:ascii="Arial" w:hAnsi="Arial" w:cs="Arial"/>
          <w:b/>
          <w:sz w:val="22"/>
          <w:szCs w:val="22"/>
        </w:rPr>
        <w:t>3.1</w:t>
      </w:r>
      <w:r w:rsidRPr="007140DD">
        <w:rPr>
          <w:rFonts w:ascii="Arial" w:hAnsi="Arial" w:cs="Arial"/>
          <w:sz w:val="22"/>
          <w:szCs w:val="22"/>
        </w:rPr>
        <w:t xml:space="preserve"> </w:t>
      </w:r>
      <w:r w:rsidRPr="007140DD">
        <w:rPr>
          <w:rFonts w:ascii="Arial" w:hAnsi="Arial" w:cs="Arial"/>
          <w:b/>
          <w:bCs/>
          <w:sz w:val="22"/>
          <w:szCs w:val="22"/>
        </w:rPr>
        <w:t xml:space="preserve">Physiochemical </w:t>
      </w:r>
      <w:r w:rsidR="00337679" w:rsidRPr="007140DD">
        <w:rPr>
          <w:rFonts w:ascii="Arial" w:hAnsi="Arial" w:cs="Arial"/>
          <w:b/>
          <w:bCs/>
          <w:sz w:val="22"/>
          <w:szCs w:val="22"/>
        </w:rPr>
        <w:t>P</w:t>
      </w:r>
      <w:r w:rsidRPr="007140DD">
        <w:rPr>
          <w:rFonts w:ascii="Arial" w:hAnsi="Arial" w:cs="Arial"/>
          <w:b/>
          <w:bCs/>
          <w:sz w:val="22"/>
          <w:szCs w:val="22"/>
        </w:rPr>
        <w:t xml:space="preserve">roperties of </w:t>
      </w:r>
      <w:r w:rsidR="00337679" w:rsidRPr="007140DD">
        <w:rPr>
          <w:rFonts w:ascii="Arial" w:hAnsi="Arial" w:cs="Arial"/>
          <w:b/>
          <w:sz w:val="22"/>
          <w:szCs w:val="22"/>
        </w:rPr>
        <w:t>Butter and Oils</w:t>
      </w:r>
    </w:p>
    <w:p w14:paraId="790E0521" w14:textId="29E7AFB6" w:rsidR="00BB282F" w:rsidRPr="007140DD" w:rsidRDefault="00BB282F" w:rsidP="00BB282F">
      <w:pPr>
        <w:spacing w:before="100" w:beforeAutospacing="1" w:after="100" w:afterAutospacing="1"/>
        <w:jc w:val="both"/>
        <w:rPr>
          <w:rFonts w:ascii="Arial" w:hAnsi="Arial" w:cs="Arial"/>
          <w:b/>
          <w:bCs/>
        </w:rPr>
      </w:pPr>
      <w:r w:rsidRPr="007140DD">
        <w:rPr>
          <w:rFonts w:ascii="Arial" w:hAnsi="Arial" w:cs="Arial"/>
        </w:rPr>
        <w:t>The data provided in table 2 compares the physicochemical properties of a locally processed oil (K</w:t>
      </w:r>
      <w:r w:rsidRPr="007140DD">
        <w:rPr>
          <w:rFonts w:ascii="Arial" w:hAnsi="Arial" w:cs="Arial"/>
          <w:vertAlign w:val="subscript"/>
        </w:rPr>
        <w:t>1</w:t>
      </w:r>
      <w:r w:rsidRPr="007140DD">
        <w:rPr>
          <w:rFonts w:ascii="Arial" w:hAnsi="Arial" w:cs="Arial"/>
        </w:rPr>
        <w:t>), a locally processed butter (O), and an oil extracted from doughnuts prepared using a combination of these two (C). The physicochemical properties of oils, such as acid value, free fatty acids, peroxide value, iodine value, and saponification value, are crucial indicators of oil quality, stability, and suitability for consumption and industrial applications (Codex Alimentarius Commission, 2021). The acid value and free fatty acid (FFA) content are measures of hydrolytic rancidity, indicating the</w:t>
      </w:r>
    </w:p>
    <w:p w14:paraId="77E09292" w14:textId="358D0CD4" w:rsidR="005629EB" w:rsidRPr="007140DD" w:rsidRDefault="005629EB" w:rsidP="005629EB">
      <w:pPr>
        <w:rPr>
          <w:rFonts w:ascii="Arial" w:hAnsi="Arial" w:cs="Arial"/>
          <w:b/>
          <w:bCs/>
        </w:rPr>
      </w:pPr>
      <w:r w:rsidRPr="007140DD">
        <w:rPr>
          <w:rFonts w:ascii="Arial" w:hAnsi="Arial" w:cs="Arial"/>
          <w:b/>
          <w:bCs/>
        </w:rPr>
        <w:t xml:space="preserve">Table 2: Physiochemical properties of oils extracted from doughnuts prepared using </w:t>
      </w:r>
      <w:r w:rsidR="002763C3" w:rsidRPr="007140DD">
        <w:rPr>
          <w:rFonts w:ascii="Arial" w:hAnsi="Arial" w:cs="Arial"/>
          <w:b/>
          <w:bCs/>
        </w:rPr>
        <w:t>unrefined</w:t>
      </w:r>
      <w:r w:rsidRPr="007140DD">
        <w:rPr>
          <w:rFonts w:ascii="Arial" w:hAnsi="Arial" w:cs="Arial"/>
          <w:b/>
          <w:bCs/>
        </w:rPr>
        <w:t xml:space="preserve"> oil and butter</w:t>
      </w:r>
    </w:p>
    <w:tbl>
      <w:tblPr>
        <w:tblStyle w:val="ListTable6Colorful"/>
        <w:tblW w:w="8185" w:type="dxa"/>
        <w:tblLook w:val="04A0" w:firstRow="1" w:lastRow="0" w:firstColumn="1" w:lastColumn="0" w:noHBand="0" w:noVBand="1"/>
      </w:tblPr>
      <w:tblGrid>
        <w:gridCol w:w="3955"/>
        <w:gridCol w:w="1620"/>
        <w:gridCol w:w="1437"/>
        <w:gridCol w:w="1173"/>
      </w:tblGrid>
      <w:tr w:rsidR="007140DD" w:rsidRPr="007140DD" w14:paraId="632D3093" w14:textId="77777777" w:rsidTr="00870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D63DB0E" w14:textId="77777777" w:rsidR="005629EB" w:rsidRPr="007140DD" w:rsidRDefault="005629EB" w:rsidP="005A0DE9">
            <w:pPr>
              <w:spacing w:line="480" w:lineRule="auto"/>
              <w:jc w:val="both"/>
              <w:rPr>
                <w:rFonts w:ascii="Arial" w:hAnsi="Arial" w:cs="Arial"/>
                <w:b w:val="0"/>
                <w:bCs w:val="0"/>
                <w:color w:val="auto"/>
              </w:rPr>
            </w:pPr>
            <w:r w:rsidRPr="007140DD">
              <w:rPr>
                <w:rFonts w:ascii="Arial" w:hAnsi="Arial" w:cs="Arial"/>
                <w:color w:val="auto"/>
              </w:rPr>
              <w:t>Parameters/sample</w:t>
            </w:r>
          </w:p>
        </w:tc>
        <w:tc>
          <w:tcPr>
            <w:tcW w:w="1620" w:type="dxa"/>
            <w:shd w:val="clear" w:color="auto" w:fill="auto"/>
          </w:tcPr>
          <w:p w14:paraId="7AD79734" w14:textId="77777777" w:rsidR="005629EB" w:rsidRPr="007140DD" w:rsidRDefault="005629EB" w:rsidP="005A0DE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7140DD">
              <w:rPr>
                <w:rFonts w:ascii="Arial" w:hAnsi="Arial" w:cs="Arial"/>
                <w:color w:val="auto"/>
              </w:rPr>
              <w:t>K</w:t>
            </w:r>
            <w:r w:rsidRPr="007140DD">
              <w:rPr>
                <w:rFonts w:ascii="Arial" w:hAnsi="Arial" w:cs="Arial"/>
                <w:color w:val="auto"/>
                <w:vertAlign w:val="subscript"/>
              </w:rPr>
              <w:t>1</w:t>
            </w:r>
          </w:p>
        </w:tc>
        <w:tc>
          <w:tcPr>
            <w:tcW w:w="1437" w:type="dxa"/>
            <w:shd w:val="clear" w:color="auto" w:fill="auto"/>
          </w:tcPr>
          <w:p w14:paraId="3BD08E1E" w14:textId="77777777" w:rsidR="005629EB" w:rsidRPr="007140DD" w:rsidRDefault="005629EB" w:rsidP="005A0DE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7140DD">
              <w:rPr>
                <w:rFonts w:ascii="Arial" w:hAnsi="Arial" w:cs="Arial"/>
                <w:color w:val="auto"/>
              </w:rPr>
              <w:t>O</w:t>
            </w:r>
          </w:p>
        </w:tc>
        <w:tc>
          <w:tcPr>
            <w:tcW w:w="1173" w:type="dxa"/>
            <w:shd w:val="clear" w:color="auto" w:fill="auto"/>
          </w:tcPr>
          <w:p w14:paraId="4AE8E1D9" w14:textId="77777777" w:rsidR="005629EB" w:rsidRPr="007140DD" w:rsidRDefault="005629EB" w:rsidP="005A0DE9">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7140DD">
              <w:rPr>
                <w:rFonts w:ascii="Arial" w:hAnsi="Arial" w:cs="Arial"/>
                <w:color w:val="auto"/>
              </w:rPr>
              <w:t>C</w:t>
            </w:r>
          </w:p>
        </w:tc>
      </w:tr>
      <w:tr w:rsidR="007140DD" w:rsidRPr="007140DD" w14:paraId="30CBCE49" w14:textId="77777777" w:rsidTr="0087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57AD6313" w14:textId="77777777" w:rsidR="005629EB" w:rsidRPr="007140DD" w:rsidRDefault="005629EB" w:rsidP="005A0DE9">
            <w:pPr>
              <w:spacing w:line="480" w:lineRule="auto"/>
              <w:jc w:val="both"/>
              <w:rPr>
                <w:rFonts w:ascii="Arial" w:hAnsi="Arial" w:cs="Arial"/>
                <w:b w:val="0"/>
                <w:bCs w:val="0"/>
                <w:color w:val="auto"/>
              </w:rPr>
            </w:pPr>
            <w:r w:rsidRPr="007140DD">
              <w:rPr>
                <w:rFonts w:ascii="Arial" w:hAnsi="Arial" w:cs="Arial"/>
                <w:color w:val="auto"/>
              </w:rPr>
              <w:t>Acid values (</w:t>
            </w:r>
            <w:proofErr w:type="spellStart"/>
            <w:r w:rsidRPr="007140DD">
              <w:rPr>
                <w:rFonts w:ascii="Arial" w:hAnsi="Arial" w:cs="Arial"/>
                <w:color w:val="auto"/>
              </w:rPr>
              <w:t>mgKOH</w:t>
            </w:r>
            <w:proofErr w:type="spellEnd"/>
            <w:r w:rsidRPr="007140DD">
              <w:rPr>
                <w:rFonts w:ascii="Arial" w:hAnsi="Arial" w:cs="Arial"/>
                <w:color w:val="auto"/>
              </w:rPr>
              <w:t>/g)</w:t>
            </w:r>
          </w:p>
        </w:tc>
        <w:tc>
          <w:tcPr>
            <w:tcW w:w="1620" w:type="dxa"/>
            <w:shd w:val="clear" w:color="auto" w:fill="auto"/>
          </w:tcPr>
          <w:p w14:paraId="31BEAA6B" w14:textId="77777777" w:rsidR="005629EB" w:rsidRPr="007140DD"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7.01</w:t>
            </w:r>
          </w:p>
        </w:tc>
        <w:tc>
          <w:tcPr>
            <w:tcW w:w="1437" w:type="dxa"/>
            <w:shd w:val="clear" w:color="auto" w:fill="auto"/>
          </w:tcPr>
          <w:p w14:paraId="7A9C8E87" w14:textId="77777777" w:rsidR="005629EB" w:rsidRPr="007140DD"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1.07</w:t>
            </w:r>
          </w:p>
        </w:tc>
        <w:tc>
          <w:tcPr>
            <w:tcW w:w="1173" w:type="dxa"/>
            <w:shd w:val="clear" w:color="auto" w:fill="auto"/>
          </w:tcPr>
          <w:p w14:paraId="6314D211" w14:textId="77777777" w:rsidR="005629EB" w:rsidRPr="007140DD"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3.93</w:t>
            </w:r>
          </w:p>
        </w:tc>
      </w:tr>
      <w:tr w:rsidR="007140DD" w:rsidRPr="007140DD" w14:paraId="074A6EEA" w14:textId="77777777" w:rsidTr="00870F56">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15B5A6E1" w14:textId="77777777" w:rsidR="005629EB" w:rsidRPr="007140DD" w:rsidRDefault="005629EB" w:rsidP="005A0DE9">
            <w:pPr>
              <w:spacing w:line="480" w:lineRule="auto"/>
              <w:jc w:val="both"/>
              <w:rPr>
                <w:rFonts w:ascii="Arial" w:hAnsi="Arial" w:cs="Arial"/>
                <w:b w:val="0"/>
                <w:bCs w:val="0"/>
                <w:color w:val="auto"/>
              </w:rPr>
            </w:pPr>
            <w:r w:rsidRPr="007140DD">
              <w:rPr>
                <w:rFonts w:ascii="Arial" w:hAnsi="Arial" w:cs="Arial"/>
                <w:color w:val="auto"/>
              </w:rPr>
              <w:t>%Free fatty acids</w:t>
            </w:r>
          </w:p>
        </w:tc>
        <w:tc>
          <w:tcPr>
            <w:tcW w:w="1620" w:type="dxa"/>
            <w:shd w:val="clear" w:color="auto" w:fill="auto"/>
          </w:tcPr>
          <w:p w14:paraId="74CFCFD7" w14:textId="77777777" w:rsidR="005629EB" w:rsidRPr="007140DD"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3.51</w:t>
            </w:r>
          </w:p>
        </w:tc>
        <w:tc>
          <w:tcPr>
            <w:tcW w:w="1437" w:type="dxa"/>
            <w:shd w:val="clear" w:color="auto" w:fill="auto"/>
          </w:tcPr>
          <w:p w14:paraId="63655D98" w14:textId="77777777" w:rsidR="005629EB" w:rsidRPr="007140DD"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0.54</w:t>
            </w:r>
          </w:p>
        </w:tc>
        <w:tc>
          <w:tcPr>
            <w:tcW w:w="1173" w:type="dxa"/>
            <w:shd w:val="clear" w:color="auto" w:fill="auto"/>
          </w:tcPr>
          <w:p w14:paraId="42C47F0A" w14:textId="77777777" w:rsidR="005629EB" w:rsidRPr="007140DD"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1.97</w:t>
            </w:r>
          </w:p>
        </w:tc>
      </w:tr>
      <w:tr w:rsidR="007140DD" w:rsidRPr="007140DD" w14:paraId="73AABEF5" w14:textId="77777777" w:rsidTr="0087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4D8DB709" w14:textId="77777777" w:rsidR="005629EB" w:rsidRPr="007140DD" w:rsidRDefault="005629EB" w:rsidP="005A0DE9">
            <w:pPr>
              <w:spacing w:line="480" w:lineRule="auto"/>
              <w:jc w:val="both"/>
              <w:rPr>
                <w:rFonts w:ascii="Arial" w:hAnsi="Arial" w:cs="Arial"/>
                <w:b w:val="0"/>
                <w:bCs w:val="0"/>
                <w:color w:val="auto"/>
              </w:rPr>
            </w:pPr>
            <w:r w:rsidRPr="007140DD">
              <w:rPr>
                <w:rFonts w:ascii="Arial" w:hAnsi="Arial" w:cs="Arial"/>
                <w:color w:val="auto"/>
              </w:rPr>
              <w:t>Peroxide value (</w:t>
            </w:r>
            <w:proofErr w:type="spellStart"/>
            <w:r w:rsidRPr="007140DD">
              <w:rPr>
                <w:rFonts w:ascii="Arial" w:hAnsi="Arial" w:cs="Arial"/>
                <w:color w:val="auto"/>
              </w:rPr>
              <w:t>mequiv</w:t>
            </w:r>
            <w:proofErr w:type="spellEnd"/>
            <w:r w:rsidRPr="007140DD">
              <w:rPr>
                <w:rFonts w:ascii="Arial" w:hAnsi="Arial" w:cs="Arial"/>
                <w:color w:val="auto"/>
              </w:rPr>
              <w:t>/kg)</w:t>
            </w:r>
          </w:p>
        </w:tc>
        <w:tc>
          <w:tcPr>
            <w:tcW w:w="1620" w:type="dxa"/>
            <w:shd w:val="clear" w:color="auto" w:fill="auto"/>
          </w:tcPr>
          <w:p w14:paraId="50B3BEAB" w14:textId="77777777" w:rsidR="005629EB" w:rsidRPr="007140DD"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48.30</w:t>
            </w:r>
          </w:p>
        </w:tc>
        <w:tc>
          <w:tcPr>
            <w:tcW w:w="1437" w:type="dxa"/>
            <w:shd w:val="clear" w:color="auto" w:fill="auto"/>
          </w:tcPr>
          <w:p w14:paraId="1AA67D44" w14:textId="77777777" w:rsidR="005629EB" w:rsidRPr="007140DD"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32.50</w:t>
            </w:r>
          </w:p>
        </w:tc>
        <w:tc>
          <w:tcPr>
            <w:tcW w:w="1173" w:type="dxa"/>
            <w:shd w:val="clear" w:color="auto" w:fill="auto"/>
          </w:tcPr>
          <w:p w14:paraId="002056B3" w14:textId="77777777" w:rsidR="005629EB" w:rsidRPr="007140DD"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136.30</w:t>
            </w:r>
          </w:p>
        </w:tc>
      </w:tr>
      <w:tr w:rsidR="007140DD" w:rsidRPr="007140DD" w14:paraId="2566B60C" w14:textId="77777777" w:rsidTr="00870F56">
        <w:trPr>
          <w:trHeight w:val="368"/>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86CA41B" w14:textId="77777777" w:rsidR="005629EB" w:rsidRPr="007140DD" w:rsidRDefault="005629EB" w:rsidP="005A0DE9">
            <w:pPr>
              <w:spacing w:line="480" w:lineRule="auto"/>
              <w:jc w:val="both"/>
              <w:rPr>
                <w:rFonts w:ascii="Arial" w:hAnsi="Arial" w:cs="Arial"/>
                <w:b w:val="0"/>
                <w:bCs w:val="0"/>
                <w:color w:val="auto"/>
              </w:rPr>
            </w:pPr>
            <w:r w:rsidRPr="007140DD">
              <w:rPr>
                <w:rFonts w:ascii="Arial" w:hAnsi="Arial" w:cs="Arial"/>
                <w:color w:val="auto"/>
              </w:rPr>
              <w:t>Iodine value (</w:t>
            </w:r>
            <w:proofErr w:type="spellStart"/>
            <w:r w:rsidRPr="007140DD">
              <w:rPr>
                <w:rFonts w:ascii="Arial" w:hAnsi="Arial" w:cs="Arial"/>
                <w:color w:val="auto"/>
              </w:rPr>
              <w:t>gI</w:t>
            </w:r>
            <w:proofErr w:type="spellEnd"/>
            <w:r w:rsidRPr="007140DD">
              <w:rPr>
                <w:rFonts w:ascii="Arial" w:hAnsi="Arial" w:cs="Arial"/>
                <w:color w:val="auto"/>
                <w:position w:val="-8"/>
                <w:vertAlign w:val="subscript"/>
              </w:rPr>
              <w:t>2</w:t>
            </w:r>
            <w:r w:rsidRPr="007140DD">
              <w:rPr>
                <w:rFonts w:ascii="Arial" w:hAnsi="Arial" w:cs="Arial"/>
                <w:color w:val="auto"/>
              </w:rPr>
              <w:t xml:space="preserve">/100g) </w:t>
            </w:r>
          </w:p>
        </w:tc>
        <w:tc>
          <w:tcPr>
            <w:tcW w:w="1620" w:type="dxa"/>
            <w:shd w:val="clear" w:color="auto" w:fill="auto"/>
          </w:tcPr>
          <w:p w14:paraId="7AE085A2" w14:textId="77777777" w:rsidR="005629EB" w:rsidRPr="007140DD"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11.63</w:t>
            </w:r>
          </w:p>
        </w:tc>
        <w:tc>
          <w:tcPr>
            <w:tcW w:w="1437" w:type="dxa"/>
            <w:shd w:val="clear" w:color="auto" w:fill="auto"/>
          </w:tcPr>
          <w:p w14:paraId="1273925D" w14:textId="77777777" w:rsidR="005629EB" w:rsidRPr="007140DD"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31.84</w:t>
            </w:r>
          </w:p>
        </w:tc>
        <w:tc>
          <w:tcPr>
            <w:tcW w:w="1173" w:type="dxa"/>
            <w:shd w:val="clear" w:color="auto" w:fill="auto"/>
          </w:tcPr>
          <w:p w14:paraId="76C2ACA9" w14:textId="77777777" w:rsidR="005629EB" w:rsidRPr="007140DD" w:rsidRDefault="005629EB" w:rsidP="005A0DE9">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27.34</w:t>
            </w:r>
          </w:p>
        </w:tc>
      </w:tr>
      <w:tr w:rsidR="007140DD" w:rsidRPr="007140DD" w14:paraId="6A93E512" w14:textId="77777777" w:rsidTr="00870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auto"/>
          </w:tcPr>
          <w:p w14:paraId="7062BE80" w14:textId="77777777" w:rsidR="005629EB" w:rsidRPr="007140DD" w:rsidRDefault="005629EB" w:rsidP="005A0DE9">
            <w:pPr>
              <w:spacing w:line="480" w:lineRule="auto"/>
              <w:jc w:val="both"/>
              <w:rPr>
                <w:rFonts w:ascii="Arial" w:hAnsi="Arial" w:cs="Arial"/>
                <w:b w:val="0"/>
                <w:bCs w:val="0"/>
                <w:color w:val="auto"/>
              </w:rPr>
            </w:pPr>
            <w:r w:rsidRPr="007140DD">
              <w:rPr>
                <w:rFonts w:ascii="Arial" w:hAnsi="Arial" w:cs="Arial"/>
                <w:color w:val="auto"/>
              </w:rPr>
              <w:t>Saponification values (mg KOH/g)</w:t>
            </w:r>
          </w:p>
        </w:tc>
        <w:tc>
          <w:tcPr>
            <w:tcW w:w="1620" w:type="dxa"/>
            <w:shd w:val="clear" w:color="auto" w:fill="auto"/>
          </w:tcPr>
          <w:p w14:paraId="17333408" w14:textId="77777777" w:rsidR="005629EB" w:rsidRPr="007140DD"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428.44</w:t>
            </w:r>
          </w:p>
        </w:tc>
        <w:tc>
          <w:tcPr>
            <w:tcW w:w="1437" w:type="dxa"/>
            <w:shd w:val="clear" w:color="auto" w:fill="auto"/>
          </w:tcPr>
          <w:p w14:paraId="225FD061" w14:textId="77777777" w:rsidR="005629EB" w:rsidRPr="007140DD"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348.75</w:t>
            </w:r>
          </w:p>
        </w:tc>
        <w:tc>
          <w:tcPr>
            <w:tcW w:w="1173" w:type="dxa"/>
            <w:shd w:val="clear" w:color="auto" w:fill="auto"/>
          </w:tcPr>
          <w:p w14:paraId="50C9D8ED" w14:textId="77777777" w:rsidR="005629EB" w:rsidRPr="007140DD" w:rsidRDefault="005629EB" w:rsidP="005A0DE9">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412.29</w:t>
            </w:r>
          </w:p>
        </w:tc>
      </w:tr>
    </w:tbl>
    <w:p w14:paraId="46C7CFBC" w14:textId="40717CFB" w:rsidR="005629EB" w:rsidRPr="007140DD" w:rsidRDefault="00807493" w:rsidP="005629EB">
      <w:pPr>
        <w:jc w:val="both"/>
        <w:rPr>
          <w:rFonts w:ascii="Arial" w:hAnsi="Arial" w:cs="Arial"/>
          <w:i/>
          <w:sz w:val="18"/>
          <w:szCs w:val="18"/>
        </w:rPr>
      </w:pPr>
      <w:r w:rsidRPr="007140DD">
        <w:rPr>
          <w:rFonts w:ascii="Arial" w:hAnsi="Arial" w:cs="Arial"/>
          <w:i/>
          <w:sz w:val="18"/>
          <w:szCs w:val="18"/>
        </w:rPr>
        <w:t>*</w:t>
      </w:r>
      <w:r w:rsidR="00FF0C0B" w:rsidRPr="007140DD">
        <w:rPr>
          <w:rFonts w:ascii="Arial" w:hAnsi="Arial" w:cs="Arial"/>
          <w:i/>
          <w:sz w:val="18"/>
          <w:szCs w:val="18"/>
        </w:rPr>
        <w:t xml:space="preserve">The data are means of the duplicate results obtained for each parameter. </w:t>
      </w:r>
      <w:r w:rsidR="005629EB" w:rsidRPr="007140DD">
        <w:rPr>
          <w:rFonts w:ascii="Arial" w:hAnsi="Arial" w:cs="Arial"/>
          <w:i/>
          <w:sz w:val="18"/>
          <w:szCs w:val="18"/>
        </w:rPr>
        <w:t>K</w:t>
      </w:r>
      <w:r w:rsidR="005629EB" w:rsidRPr="007140DD">
        <w:rPr>
          <w:rFonts w:ascii="Arial" w:hAnsi="Arial" w:cs="Arial"/>
          <w:i/>
          <w:sz w:val="18"/>
          <w:szCs w:val="18"/>
          <w:vertAlign w:val="subscript"/>
        </w:rPr>
        <w:t>1</w:t>
      </w:r>
      <w:r w:rsidR="005629EB" w:rsidRPr="007140DD">
        <w:rPr>
          <w:rFonts w:ascii="Arial" w:hAnsi="Arial" w:cs="Arial"/>
          <w:i/>
          <w:sz w:val="18"/>
          <w:szCs w:val="18"/>
        </w:rPr>
        <w:t xml:space="preserve"> = locally processed (unrefined) oil; O = locally processed (unrefined) butter; C = Oil from doughnut prepared using locally processed oil and locally processed butter</w:t>
      </w:r>
    </w:p>
    <w:p w14:paraId="7A794439" w14:textId="37EE5B18" w:rsidR="005629EB" w:rsidRPr="007140DD" w:rsidRDefault="005629EB" w:rsidP="005629EB">
      <w:pPr>
        <w:spacing w:before="100" w:beforeAutospacing="1" w:after="100" w:afterAutospacing="1"/>
        <w:jc w:val="both"/>
        <w:rPr>
          <w:rFonts w:ascii="Arial" w:hAnsi="Arial" w:cs="Arial"/>
        </w:rPr>
      </w:pPr>
      <w:r w:rsidRPr="007140DD">
        <w:rPr>
          <w:rFonts w:ascii="Arial" w:hAnsi="Arial" w:cs="Arial"/>
        </w:rPr>
        <w:t>extent to which triglycerides have broken down into glycerol and free fatty acids. Locally processed oil (K</w:t>
      </w:r>
      <w:r w:rsidRPr="007140DD">
        <w:rPr>
          <w:rFonts w:ascii="Arial" w:hAnsi="Arial" w:cs="Arial"/>
          <w:vertAlign w:val="subscript"/>
        </w:rPr>
        <w:t>1</w:t>
      </w:r>
      <w:r w:rsidRPr="007140DD">
        <w:rPr>
          <w:rFonts w:ascii="Arial" w:hAnsi="Arial" w:cs="Arial"/>
        </w:rPr>
        <w:t>) ha</w:t>
      </w:r>
      <w:r w:rsidR="009509EF" w:rsidRPr="007140DD">
        <w:rPr>
          <w:rFonts w:ascii="Arial" w:hAnsi="Arial" w:cs="Arial"/>
        </w:rPr>
        <w:t>d</w:t>
      </w:r>
      <w:r w:rsidRPr="007140DD">
        <w:rPr>
          <w:rFonts w:ascii="Arial" w:hAnsi="Arial" w:cs="Arial"/>
        </w:rPr>
        <w:t xml:space="preserve"> the highest acid value (7.01 </w:t>
      </w:r>
      <w:proofErr w:type="spellStart"/>
      <w:r w:rsidRPr="007140DD">
        <w:rPr>
          <w:rFonts w:ascii="Arial" w:hAnsi="Arial" w:cs="Arial"/>
        </w:rPr>
        <w:t>mgKOH</w:t>
      </w:r>
      <w:proofErr w:type="spellEnd"/>
      <w:r w:rsidRPr="007140DD">
        <w:rPr>
          <w:rFonts w:ascii="Arial" w:hAnsi="Arial" w:cs="Arial"/>
        </w:rPr>
        <w:t xml:space="preserve">/g) and % FFA (3.51%). This suggests that the oil has undergone some hydrolytic degradation or was not optimally processed or stored. High free fatty acid content can negatively impact the flavor and smoke point of an oil (O'Brien, 2009). Conversely, the lowest values in butter (O) indicate a more stable lipid profile. Interestingly, the oil from doughnuts (C) had intermediate values, implying that while the butter may have buffered some degradation, the frying process accelerated hydrolysis, especially due to heat and moisture interactions (Choe &amp; Min, 2007). The </w:t>
      </w:r>
      <w:r w:rsidRPr="007140DD">
        <w:rPr>
          <w:rFonts w:ascii="Arial" w:hAnsi="Arial" w:cs="Arial"/>
          <w:bCs/>
        </w:rPr>
        <w:t>peroxide value (PV)</w:t>
      </w:r>
      <w:r w:rsidRPr="007140DD">
        <w:rPr>
          <w:rFonts w:ascii="Arial" w:hAnsi="Arial" w:cs="Arial"/>
        </w:rPr>
        <w:t xml:space="preserve">, a primary indicator of oxidative rancidity, was notably highest in oil extracted from doughnuts (136.30 </w:t>
      </w:r>
      <w:proofErr w:type="spellStart"/>
      <w:r w:rsidRPr="007140DD">
        <w:rPr>
          <w:rFonts w:ascii="Arial" w:hAnsi="Arial" w:cs="Arial"/>
        </w:rPr>
        <w:t>meq</w:t>
      </w:r>
      <w:proofErr w:type="spellEnd"/>
      <w:r w:rsidRPr="007140DD">
        <w:rPr>
          <w:rFonts w:ascii="Arial" w:hAnsi="Arial" w:cs="Arial"/>
        </w:rPr>
        <w:t xml:space="preserve">/kg), a value far exceeding acceptable limits (typically &lt;10 </w:t>
      </w:r>
      <w:proofErr w:type="spellStart"/>
      <w:r w:rsidRPr="007140DD">
        <w:rPr>
          <w:rFonts w:ascii="Arial" w:hAnsi="Arial" w:cs="Arial"/>
        </w:rPr>
        <w:t>meq</w:t>
      </w:r>
      <w:proofErr w:type="spellEnd"/>
      <w:r w:rsidRPr="007140DD">
        <w:rPr>
          <w:rFonts w:ascii="Arial" w:hAnsi="Arial" w:cs="Arial"/>
        </w:rPr>
        <w:t>/kg for fresh edible oils per FAO/WHO standards). This suggests severe oxidative stress during frying,</w:t>
      </w:r>
      <w:r w:rsidR="00C02314" w:rsidRPr="007140DD">
        <w:rPr>
          <w:rFonts w:ascii="Arial" w:hAnsi="Arial" w:cs="Arial"/>
        </w:rPr>
        <w:t xml:space="preserve"> which involves high temperatures and oxygen exposure that lead to rapid formation of hydroperoxides and secondary oxidation products (</w:t>
      </w:r>
      <w:proofErr w:type="spellStart"/>
      <w:r w:rsidR="00C02314" w:rsidRPr="007140DD">
        <w:rPr>
          <w:rFonts w:ascii="Arial" w:hAnsi="Arial" w:cs="Arial"/>
        </w:rPr>
        <w:t>Guillén</w:t>
      </w:r>
      <w:proofErr w:type="spellEnd"/>
      <w:r w:rsidR="00C02314" w:rsidRPr="007140DD">
        <w:rPr>
          <w:rFonts w:ascii="Arial" w:hAnsi="Arial" w:cs="Arial"/>
        </w:rPr>
        <w:t xml:space="preserve"> &amp; Cabo, 2002; </w:t>
      </w:r>
      <w:proofErr w:type="spellStart"/>
      <w:r w:rsidR="00C02314" w:rsidRPr="007140DD">
        <w:rPr>
          <w:rFonts w:ascii="Arial" w:hAnsi="Arial" w:cs="Arial"/>
        </w:rPr>
        <w:t>Munekata</w:t>
      </w:r>
      <w:proofErr w:type="spellEnd"/>
      <w:r w:rsidR="00C02314" w:rsidRPr="007140DD">
        <w:rPr>
          <w:rFonts w:ascii="Arial" w:hAnsi="Arial" w:cs="Arial"/>
        </w:rPr>
        <w:t xml:space="preserve"> et al., 2017; </w:t>
      </w:r>
      <w:proofErr w:type="spellStart"/>
      <w:r w:rsidR="00C02314" w:rsidRPr="007140DD">
        <w:rPr>
          <w:rFonts w:ascii="Arial" w:hAnsi="Arial" w:cs="Arial"/>
          <w:bCs/>
        </w:rPr>
        <w:t>Dressman</w:t>
      </w:r>
      <w:proofErr w:type="spellEnd"/>
      <w:r w:rsidR="00C02314" w:rsidRPr="007140DD">
        <w:rPr>
          <w:rFonts w:ascii="Arial" w:hAnsi="Arial" w:cs="Arial"/>
          <w:bCs/>
        </w:rPr>
        <w:t xml:space="preserve"> et al., 2024</w:t>
      </w:r>
      <w:r w:rsidR="00C02314" w:rsidRPr="007140DD">
        <w:rPr>
          <w:rFonts w:ascii="Arial" w:hAnsi="Arial" w:cs="Arial"/>
        </w:rPr>
        <w:t xml:space="preserve">). The </w:t>
      </w:r>
      <w:r w:rsidR="00C02314" w:rsidRPr="007140DD">
        <w:rPr>
          <w:rFonts w:ascii="Arial" w:hAnsi="Arial" w:cs="Arial"/>
          <w:bCs/>
        </w:rPr>
        <w:t>iodine value</w:t>
      </w:r>
      <w:r w:rsidR="00C02314" w:rsidRPr="007140DD">
        <w:rPr>
          <w:rFonts w:ascii="Arial" w:hAnsi="Arial" w:cs="Arial"/>
        </w:rPr>
        <w:t xml:space="preserve">, reflective of unsaturation level, was lowest in locally processed oil (11.63 </w:t>
      </w:r>
      <w:proofErr w:type="spellStart"/>
      <w:r w:rsidR="00C02314" w:rsidRPr="007140DD">
        <w:rPr>
          <w:rFonts w:ascii="Arial" w:hAnsi="Arial" w:cs="Arial"/>
        </w:rPr>
        <w:t>gI</w:t>
      </w:r>
      <w:proofErr w:type="spellEnd"/>
      <w:r w:rsidR="00C02314" w:rsidRPr="007140DD">
        <w:rPr>
          <w:rFonts w:ascii="Cambria Math" w:hAnsi="Cambria Math" w:cs="Cambria Math"/>
        </w:rPr>
        <w:t>₂</w:t>
      </w:r>
      <w:r w:rsidR="00C02314" w:rsidRPr="007140DD">
        <w:rPr>
          <w:rFonts w:ascii="Arial" w:hAnsi="Arial" w:cs="Arial"/>
        </w:rPr>
        <w:t xml:space="preserve">/100g), pointing to high saturation, while butter (O) had the highest (31.84 </w:t>
      </w:r>
      <w:proofErr w:type="spellStart"/>
      <w:r w:rsidR="00C02314" w:rsidRPr="007140DD">
        <w:rPr>
          <w:rFonts w:ascii="Arial" w:hAnsi="Arial" w:cs="Arial"/>
        </w:rPr>
        <w:t>gI</w:t>
      </w:r>
      <w:proofErr w:type="spellEnd"/>
      <w:r w:rsidR="00C02314" w:rsidRPr="007140DD">
        <w:rPr>
          <w:rFonts w:ascii="Cambria Math" w:hAnsi="Cambria Math" w:cs="Cambria Math"/>
        </w:rPr>
        <w:t>₂</w:t>
      </w:r>
      <w:r w:rsidR="00C02314" w:rsidRPr="007140DD">
        <w:rPr>
          <w:rFonts w:ascii="Arial" w:hAnsi="Arial" w:cs="Arial"/>
        </w:rPr>
        <w:t xml:space="preserve">/100g). The doughnut oil's iodine value (27.34 </w:t>
      </w:r>
      <w:proofErr w:type="spellStart"/>
      <w:r w:rsidR="00C02314" w:rsidRPr="007140DD">
        <w:rPr>
          <w:rFonts w:ascii="Arial" w:hAnsi="Arial" w:cs="Arial"/>
        </w:rPr>
        <w:t>gI</w:t>
      </w:r>
      <w:proofErr w:type="spellEnd"/>
      <w:r w:rsidR="00C02314" w:rsidRPr="007140DD">
        <w:rPr>
          <w:rFonts w:ascii="Cambria Math" w:hAnsi="Cambria Math" w:cs="Cambria Math"/>
        </w:rPr>
        <w:t>₂</w:t>
      </w:r>
      <w:r w:rsidR="00C02314" w:rsidRPr="007140DD">
        <w:rPr>
          <w:rFonts w:ascii="Arial" w:hAnsi="Arial" w:cs="Arial"/>
        </w:rPr>
        <w:t xml:space="preserve">/100g) aligns more with the butter, indicating the butter's higher unsaturated fatty acid content influenced the final blend. However, thermal degradation of double bonds during frying may explain the slight reduction from butter to doughnut oil (Warner, 2007). The </w:t>
      </w:r>
      <w:r w:rsidR="00C02314" w:rsidRPr="007140DD">
        <w:rPr>
          <w:rFonts w:ascii="Arial" w:hAnsi="Arial" w:cs="Arial"/>
          <w:b/>
          <w:bCs/>
        </w:rPr>
        <w:t>s</w:t>
      </w:r>
      <w:r w:rsidR="00C02314" w:rsidRPr="007140DD">
        <w:rPr>
          <w:rFonts w:ascii="Arial" w:hAnsi="Arial" w:cs="Arial"/>
          <w:bCs/>
        </w:rPr>
        <w:t>aponification value</w:t>
      </w:r>
      <w:r w:rsidR="00C02314" w:rsidRPr="007140DD">
        <w:rPr>
          <w:rFonts w:ascii="Arial" w:hAnsi="Arial" w:cs="Arial"/>
        </w:rPr>
        <w:t xml:space="preserve">, inversely related to fatty acid chain length, was highest in the locally processed oil (428.44 </w:t>
      </w:r>
      <w:proofErr w:type="spellStart"/>
      <w:r w:rsidR="00C02314" w:rsidRPr="007140DD">
        <w:rPr>
          <w:rFonts w:ascii="Arial" w:hAnsi="Arial" w:cs="Arial"/>
        </w:rPr>
        <w:t>mgKOH</w:t>
      </w:r>
      <w:proofErr w:type="spellEnd"/>
      <w:r w:rsidR="00C02314" w:rsidRPr="007140DD">
        <w:rPr>
          <w:rFonts w:ascii="Arial" w:hAnsi="Arial" w:cs="Arial"/>
        </w:rPr>
        <w:t xml:space="preserve">/g), suggesting more short-chain fatty acids (figure 1). The doughnut oil had a value (412.29 </w:t>
      </w:r>
      <w:proofErr w:type="spellStart"/>
      <w:r w:rsidR="00C02314" w:rsidRPr="007140DD">
        <w:rPr>
          <w:rFonts w:ascii="Arial" w:hAnsi="Arial" w:cs="Arial"/>
        </w:rPr>
        <w:t>mgKOH</w:t>
      </w:r>
      <w:proofErr w:type="spellEnd"/>
      <w:r w:rsidR="00C02314" w:rsidRPr="007140DD">
        <w:rPr>
          <w:rFonts w:ascii="Arial" w:hAnsi="Arial" w:cs="Arial"/>
        </w:rPr>
        <w:t>/g) closer to this, indicating that the locally processed oil predominantly shaped the average molecular weight profile of the doughnut oil, despite the butter component. This study underscores the need for improved processing and storage of local oils and the importance of controlling frying conditions to limit degradation. The application of natural antioxidants or oil stabilization techniques could mitigate rancidity and extend the shelf life of products like doughnuts.</w:t>
      </w:r>
      <w:r w:rsidRPr="007140DD">
        <w:rPr>
          <w:rFonts w:ascii="Arial" w:hAnsi="Arial" w:cs="Arial"/>
        </w:rPr>
        <w:t xml:space="preserve"> </w:t>
      </w:r>
    </w:p>
    <w:p w14:paraId="4D936BFC" w14:textId="366A7C96" w:rsidR="00C02314" w:rsidRPr="007140DD" w:rsidRDefault="00C02314" w:rsidP="005629EB">
      <w:pPr>
        <w:spacing w:before="100" w:beforeAutospacing="1" w:after="100" w:afterAutospacing="1"/>
        <w:jc w:val="both"/>
        <w:rPr>
          <w:rFonts w:ascii="Arial" w:hAnsi="Arial" w:cs="Arial"/>
          <w:b/>
          <w:sz w:val="22"/>
          <w:szCs w:val="22"/>
        </w:rPr>
      </w:pPr>
      <w:r w:rsidRPr="007140DD">
        <w:rPr>
          <w:rFonts w:ascii="Arial" w:hAnsi="Arial" w:cs="Arial"/>
          <w:b/>
          <w:sz w:val="22"/>
          <w:szCs w:val="22"/>
        </w:rPr>
        <w:t xml:space="preserve">3.2: Fatty </w:t>
      </w:r>
      <w:r w:rsidR="004B1B4D" w:rsidRPr="007140DD">
        <w:rPr>
          <w:rFonts w:ascii="Arial" w:hAnsi="Arial" w:cs="Arial"/>
          <w:b/>
          <w:sz w:val="22"/>
          <w:szCs w:val="22"/>
        </w:rPr>
        <w:t>A</w:t>
      </w:r>
      <w:r w:rsidR="009B721C" w:rsidRPr="007140DD">
        <w:rPr>
          <w:rFonts w:ascii="Arial" w:hAnsi="Arial" w:cs="Arial"/>
          <w:b/>
          <w:sz w:val="22"/>
          <w:szCs w:val="22"/>
        </w:rPr>
        <w:t xml:space="preserve">cids </w:t>
      </w:r>
      <w:r w:rsidR="004B1B4D" w:rsidRPr="007140DD">
        <w:rPr>
          <w:rFonts w:ascii="Arial" w:hAnsi="Arial" w:cs="Arial"/>
          <w:b/>
          <w:sz w:val="22"/>
          <w:szCs w:val="22"/>
        </w:rPr>
        <w:t>P</w:t>
      </w:r>
      <w:r w:rsidR="009B721C" w:rsidRPr="007140DD">
        <w:rPr>
          <w:rFonts w:ascii="Arial" w:hAnsi="Arial" w:cs="Arial"/>
          <w:b/>
          <w:sz w:val="22"/>
          <w:szCs w:val="22"/>
        </w:rPr>
        <w:t xml:space="preserve">rofiling of </w:t>
      </w:r>
      <w:r w:rsidR="004B1B4D" w:rsidRPr="007140DD">
        <w:rPr>
          <w:rFonts w:ascii="Arial" w:hAnsi="Arial" w:cs="Arial"/>
          <w:b/>
          <w:sz w:val="22"/>
          <w:szCs w:val="22"/>
        </w:rPr>
        <w:t>B</w:t>
      </w:r>
      <w:r w:rsidR="009B721C" w:rsidRPr="007140DD">
        <w:rPr>
          <w:rFonts w:ascii="Arial" w:hAnsi="Arial" w:cs="Arial"/>
          <w:b/>
          <w:sz w:val="22"/>
          <w:szCs w:val="22"/>
        </w:rPr>
        <w:t xml:space="preserve">utter and </w:t>
      </w:r>
      <w:r w:rsidR="004B1B4D" w:rsidRPr="007140DD">
        <w:rPr>
          <w:rFonts w:ascii="Arial" w:hAnsi="Arial" w:cs="Arial"/>
          <w:b/>
          <w:sz w:val="22"/>
          <w:szCs w:val="22"/>
        </w:rPr>
        <w:t>O</w:t>
      </w:r>
      <w:r w:rsidR="009B721C" w:rsidRPr="007140DD">
        <w:rPr>
          <w:rFonts w:ascii="Arial" w:hAnsi="Arial" w:cs="Arial"/>
          <w:b/>
          <w:sz w:val="22"/>
          <w:szCs w:val="22"/>
        </w:rPr>
        <w:t>ils</w:t>
      </w:r>
    </w:p>
    <w:p w14:paraId="28872834" w14:textId="309D2E29" w:rsidR="004A7A3C" w:rsidRPr="007140DD" w:rsidRDefault="004A7A3C" w:rsidP="005629EB">
      <w:pPr>
        <w:spacing w:before="100" w:beforeAutospacing="1" w:after="100" w:afterAutospacing="1"/>
        <w:jc w:val="both"/>
        <w:rPr>
          <w:rFonts w:ascii="Arial" w:hAnsi="Arial" w:cs="Arial"/>
          <w:b/>
        </w:rPr>
      </w:pPr>
      <w:r w:rsidRPr="007140DD">
        <w:rPr>
          <w:rFonts w:ascii="Arial" w:hAnsi="Arial" w:cs="Arial"/>
        </w:rPr>
        <w:t>The GC-MS</w:t>
      </w:r>
      <w:r w:rsidR="00792DE0" w:rsidRPr="007140DD">
        <w:rPr>
          <w:rFonts w:ascii="Arial" w:hAnsi="Arial" w:cs="Arial"/>
        </w:rPr>
        <w:t>D</w:t>
      </w:r>
      <w:r w:rsidRPr="007140DD">
        <w:rPr>
          <w:rFonts w:ascii="Arial" w:hAnsi="Arial" w:cs="Arial"/>
        </w:rPr>
        <w:t xml:space="preserve"> analysis of the oil</w:t>
      </w:r>
      <w:r w:rsidR="00210208" w:rsidRPr="007140DD">
        <w:rPr>
          <w:rFonts w:ascii="Arial" w:hAnsi="Arial" w:cs="Arial"/>
        </w:rPr>
        <w:t>s</w:t>
      </w:r>
      <w:r w:rsidRPr="007140DD">
        <w:rPr>
          <w:rFonts w:ascii="Arial" w:hAnsi="Arial" w:cs="Arial"/>
        </w:rPr>
        <w:t xml:space="preserve"> and butter samples </w:t>
      </w:r>
      <w:r w:rsidR="00210208" w:rsidRPr="007140DD">
        <w:rPr>
          <w:rFonts w:ascii="Arial" w:hAnsi="Arial" w:cs="Arial"/>
        </w:rPr>
        <w:t>(</w:t>
      </w:r>
      <w:r w:rsidR="001473EF" w:rsidRPr="007140DD">
        <w:rPr>
          <w:rFonts w:ascii="Arial" w:hAnsi="Arial" w:cs="Arial"/>
        </w:rPr>
        <w:t xml:space="preserve">carried </w:t>
      </w:r>
      <w:r w:rsidR="00210208" w:rsidRPr="007140DD">
        <w:rPr>
          <w:rFonts w:ascii="Arial" w:hAnsi="Arial" w:cs="Arial"/>
        </w:rPr>
        <w:t xml:space="preserve">out </w:t>
      </w:r>
      <w:r w:rsidR="001473EF" w:rsidRPr="007140DD">
        <w:rPr>
          <w:rFonts w:ascii="Arial" w:hAnsi="Arial" w:cs="Arial"/>
        </w:rPr>
        <w:t>under the experimental conditions provided in table 1</w:t>
      </w:r>
      <w:r w:rsidR="00210208" w:rsidRPr="007140DD">
        <w:rPr>
          <w:rFonts w:ascii="Arial" w:hAnsi="Arial" w:cs="Arial"/>
        </w:rPr>
        <w:t>)</w:t>
      </w:r>
      <w:r w:rsidR="001473EF" w:rsidRPr="007140DD">
        <w:rPr>
          <w:rFonts w:ascii="Arial" w:hAnsi="Arial" w:cs="Arial"/>
        </w:rPr>
        <w:t xml:space="preserve"> </w:t>
      </w:r>
      <w:r w:rsidRPr="007140DD">
        <w:rPr>
          <w:rFonts w:ascii="Arial" w:hAnsi="Arial" w:cs="Arial"/>
        </w:rPr>
        <w:t xml:space="preserve">revealed significant variations in the types and quantities of fatty acids present, which closely reflect and explain their respective physicochemical properties as reported in Table </w:t>
      </w:r>
      <w:r w:rsidR="0006113E" w:rsidRPr="007140DD">
        <w:rPr>
          <w:rFonts w:ascii="Arial" w:hAnsi="Arial" w:cs="Arial"/>
        </w:rPr>
        <w:t>2</w:t>
      </w:r>
      <w:r w:rsidRPr="007140DD">
        <w:rPr>
          <w:rFonts w:ascii="Arial" w:hAnsi="Arial" w:cs="Arial"/>
        </w:rPr>
        <w:t xml:space="preserve">. By correlating the data, a clearer understanding emerges of </w:t>
      </w:r>
      <w:r w:rsidRPr="007140DD">
        <w:rPr>
          <w:rFonts w:ascii="Arial" w:hAnsi="Arial" w:cs="Arial"/>
        </w:rPr>
        <w:lastRenderedPageBreak/>
        <w:t xml:space="preserve">how the chemical composition of these lipids influences their functional quality and potential health outcomes. Sample </w:t>
      </w:r>
      <w:r w:rsidRPr="007140DD">
        <w:rPr>
          <w:rFonts w:ascii="Arial" w:hAnsi="Arial" w:cs="Arial"/>
          <w:bCs/>
        </w:rPr>
        <w:t>K</w:t>
      </w:r>
      <w:r w:rsidRPr="007140DD">
        <w:rPr>
          <w:rFonts w:ascii="Arial" w:hAnsi="Arial" w:cs="Arial"/>
          <w:bCs/>
          <w:vertAlign w:val="subscript"/>
        </w:rPr>
        <w:t>1</w:t>
      </w:r>
      <w:r w:rsidRPr="007140DD">
        <w:rPr>
          <w:rFonts w:ascii="Arial" w:hAnsi="Arial" w:cs="Arial"/>
        </w:rPr>
        <w:t xml:space="preserve"> (locally processed oil) exhibited the highest concentrations of medium-chain fatty acids (MCFAs), particularly </w:t>
      </w:r>
      <w:r w:rsidRPr="007140DD">
        <w:rPr>
          <w:rFonts w:ascii="Arial" w:hAnsi="Arial" w:cs="Arial"/>
          <w:bCs/>
        </w:rPr>
        <w:t>lauric acid</w:t>
      </w:r>
      <w:r w:rsidRPr="007140DD">
        <w:rPr>
          <w:rFonts w:ascii="Arial" w:hAnsi="Arial" w:cs="Arial"/>
        </w:rPr>
        <w:t xml:space="preserve"> (255.138 mg/L), </w:t>
      </w:r>
      <w:proofErr w:type="spellStart"/>
      <w:r w:rsidRPr="007140DD">
        <w:rPr>
          <w:rFonts w:ascii="Arial" w:hAnsi="Arial" w:cs="Arial"/>
          <w:bCs/>
        </w:rPr>
        <w:t>myristoleic</w:t>
      </w:r>
      <w:proofErr w:type="spellEnd"/>
      <w:r w:rsidRPr="007140DD">
        <w:rPr>
          <w:rFonts w:ascii="Arial" w:hAnsi="Arial" w:cs="Arial"/>
          <w:bCs/>
        </w:rPr>
        <w:t xml:space="preserve"> acid</w:t>
      </w:r>
      <w:r w:rsidRPr="007140DD">
        <w:rPr>
          <w:rFonts w:ascii="Arial" w:hAnsi="Arial" w:cs="Arial"/>
        </w:rPr>
        <w:t xml:space="preserve"> (254.826 mg/L), and </w:t>
      </w:r>
      <w:r w:rsidRPr="007140DD">
        <w:rPr>
          <w:rFonts w:ascii="Arial" w:hAnsi="Arial" w:cs="Arial"/>
          <w:bCs/>
        </w:rPr>
        <w:t>myristic acid</w:t>
      </w:r>
      <w:r w:rsidRPr="007140DD">
        <w:rPr>
          <w:rFonts w:ascii="Arial" w:hAnsi="Arial" w:cs="Arial"/>
        </w:rPr>
        <w:t xml:space="preserve"> (130.727 mg/L). These shorter-chain saturated fatty acids are known for having </w:t>
      </w:r>
      <w:r w:rsidRPr="007140DD">
        <w:rPr>
          <w:rFonts w:ascii="Arial" w:hAnsi="Arial" w:cs="Arial"/>
          <w:bCs/>
        </w:rPr>
        <w:t>high saponification values</w:t>
      </w:r>
      <w:r w:rsidRPr="007140DD">
        <w:rPr>
          <w:rFonts w:ascii="Arial" w:hAnsi="Arial" w:cs="Arial"/>
        </w:rPr>
        <w:t xml:space="preserve"> due to their lower molecular weights </w:t>
      </w:r>
      <w:bookmarkStart w:id="7" w:name="_Hlk203509338"/>
      <w:r w:rsidRPr="007140DD">
        <w:rPr>
          <w:rFonts w:ascii="Arial" w:hAnsi="Arial" w:cs="Arial"/>
        </w:rPr>
        <w:t>(Choe &amp; Min, 2006)</w:t>
      </w:r>
      <w:bookmarkEnd w:id="7"/>
      <w:r w:rsidRPr="007140DD">
        <w:rPr>
          <w:rFonts w:ascii="Arial" w:hAnsi="Arial" w:cs="Arial"/>
        </w:rPr>
        <w:t xml:space="preserve">. This aligns with the saponification value of </w:t>
      </w:r>
      <w:r w:rsidRPr="007140DD">
        <w:rPr>
          <w:rFonts w:ascii="Arial" w:hAnsi="Arial" w:cs="Arial"/>
          <w:bCs/>
        </w:rPr>
        <w:t xml:space="preserve">428.44 </w:t>
      </w:r>
      <w:proofErr w:type="spellStart"/>
      <w:r w:rsidRPr="007140DD">
        <w:rPr>
          <w:rFonts w:ascii="Arial" w:hAnsi="Arial" w:cs="Arial"/>
          <w:bCs/>
        </w:rPr>
        <w:t>mgKOH</w:t>
      </w:r>
      <w:proofErr w:type="spellEnd"/>
      <w:r w:rsidRPr="007140DD">
        <w:rPr>
          <w:rFonts w:ascii="Arial" w:hAnsi="Arial" w:cs="Arial"/>
          <w:bCs/>
        </w:rPr>
        <w:t>/g</w:t>
      </w:r>
      <w:r w:rsidRPr="007140DD">
        <w:rPr>
          <w:rFonts w:ascii="Arial" w:hAnsi="Arial" w:cs="Arial"/>
        </w:rPr>
        <w:t xml:space="preserve"> recorded for sample </w:t>
      </w:r>
      <w:r w:rsidRPr="007140DD">
        <w:rPr>
          <w:rFonts w:ascii="Arial" w:hAnsi="Arial" w:cs="Arial"/>
          <w:bCs/>
        </w:rPr>
        <w:t>K</w:t>
      </w:r>
      <w:r w:rsidRPr="007140DD">
        <w:rPr>
          <w:rFonts w:ascii="Arial" w:hAnsi="Arial" w:cs="Arial"/>
          <w:bCs/>
          <w:vertAlign w:val="subscript"/>
        </w:rPr>
        <w:t>1</w:t>
      </w:r>
      <w:r w:rsidRPr="007140DD">
        <w:rPr>
          <w:rFonts w:ascii="Arial" w:hAnsi="Arial" w:cs="Arial"/>
        </w:rPr>
        <w:t xml:space="preserve"> (the highest among the three samples) indicating a predominance of lower-molecular-weight fatty acids ideal for soap production and faster digestion (</w:t>
      </w:r>
      <w:proofErr w:type="spellStart"/>
      <w:r w:rsidRPr="007140DD">
        <w:rPr>
          <w:rFonts w:ascii="Arial" w:hAnsi="Arial" w:cs="Arial"/>
        </w:rPr>
        <w:t>Dayrit</w:t>
      </w:r>
      <w:proofErr w:type="spellEnd"/>
      <w:r w:rsidRPr="007140DD">
        <w:rPr>
          <w:rFonts w:ascii="Arial" w:hAnsi="Arial" w:cs="Arial"/>
        </w:rPr>
        <w:t xml:space="preserve">, 2015). However, sample </w:t>
      </w:r>
      <w:r w:rsidRPr="007140DD">
        <w:rPr>
          <w:rFonts w:ascii="Arial" w:hAnsi="Arial" w:cs="Arial"/>
          <w:bCs/>
        </w:rPr>
        <w:t>K</w:t>
      </w:r>
      <w:r w:rsidRPr="007140DD">
        <w:rPr>
          <w:rFonts w:ascii="Arial" w:hAnsi="Arial" w:cs="Arial"/>
          <w:bCs/>
          <w:vertAlign w:val="subscript"/>
        </w:rPr>
        <w:t>1</w:t>
      </w:r>
      <w:r w:rsidRPr="007140DD">
        <w:rPr>
          <w:rFonts w:ascii="Arial" w:hAnsi="Arial" w:cs="Arial"/>
        </w:rPr>
        <w:t xml:space="preserve"> also recorded the </w:t>
      </w:r>
      <w:r w:rsidRPr="007140DD">
        <w:rPr>
          <w:rFonts w:ascii="Arial" w:hAnsi="Arial" w:cs="Arial"/>
          <w:bCs/>
        </w:rPr>
        <w:t xml:space="preserve">highest acid value (7.01 </w:t>
      </w:r>
      <w:proofErr w:type="spellStart"/>
      <w:r w:rsidRPr="007140DD">
        <w:rPr>
          <w:rFonts w:ascii="Arial" w:hAnsi="Arial" w:cs="Arial"/>
          <w:bCs/>
        </w:rPr>
        <w:t>mgKOH</w:t>
      </w:r>
      <w:proofErr w:type="spellEnd"/>
      <w:r w:rsidRPr="007140DD">
        <w:rPr>
          <w:rFonts w:ascii="Arial" w:hAnsi="Arial" w:cs="Arial"/>
          <w:bCs/>
        </w:rPr>
        <w:t>/g)</w:t>
      </w:r>
      <w:r w:rsidRPr="007140DD">
        <w:rPr>
          <w:rFonts w:ascii="Arial" w:hAnsi="Arial" w:cs="Arial"/>
        </w:rPr>
        <w:t xml:space="preserve"> and </w:t>
      </w:r>
      <w:r w:rsidRPr="007140DD">
        <w:rPr>
          <w:rFonts w:ascii="Arial" w:hAnsi="Arial" w:cs="Arial"/>
          <w:bCs/>
        </w:rPr>
        <w:t>free fatty acid (FFA) content (3.51%)</w:t>
      </w:r>
      <w:r w:rsidRPr="007140DD">
        <w:rPr>
          <w:rFonts w:ascii="Arial" w:hAnsi="Arial" w:cs="Arial"/>
        </w:rPr>
        <w:t>, suggesting a significant degree of hydrolysis. This could be due to the unrefined nature of the oil, which may retain moisture and endogenous enzymes that accelerate triglyceride breakdown. The abundant presence of saturated MCFAs, particularly myristic and lauric acids, which are more prone to hydrolysis, further supports this interpretation (</w:t>
      </w:r>
      <w:proofErr w:type="spellStart"/>
      <w:r w:rsidRPr="007140DD">
        <w:rPr>
          <w:rFonts w:ascii="Arial" w:hAnsi="Arial" w:cs="Arial"/>
        </w:rPr>
        <w:t>Mensink</w:t>
      </w:r>
      <w:proofErr w:type="spellEnd"/>
      <w:r w:rsidRPr="007140DD">
        <w:rPr>
          <w:rFonts w:ascii="Arial" w:hAnsi="Arial" w:cs="Arial"/>
        </w:rPr>
        <w:t xml:space="preserve"> et al., 2003). Interestingly, despite its richness in saturated fats, sample </w:t>
      </w:r>
      <w:r w:rsidRPr="007140DD">
        <w:rPr>
          <w:rFonts w:ascii="Arial" w:hAnsi="Arial" w:cs="Arial"/>
          <w:bCs/>
        </w:rPr>
        <w:t>K</w:t>
      </w:r>
      <w:r w:rsidRPr="007140DD">
        <w:rPr>
          <w:rFonts w:ascii="Arial" w:hAnsi="Arial" w:cs="Arial"/>
          <w:bCs/>
          <w:vertAlign w:val="subscript"/>
        </w:rPr>
        <w:t>1</w:t>
      </w:r>
      <w:r w:rsidRPr="007140DD">
        <w:rPr>
          <w:rFonts w:ascii="Arial" w:hAnsi="Arial" w:cs="Arial"/>
        </w:rPr>
        <w:t xml:space="preserve"> had a </w:t>
      </w:r>
      <w:r w:rsidRPr="007140DD">
        <w:rPr>
          <w:rFonts w:ascii="Arial" w:hAnsi="Arial" w:cs="Arial"/>
          <w:bCs/>
        </w:rPr>
        <w:t xml:space="preserve">low iodine value (11.63 </w:t>
      </w:r>
      <w:proofErr w:type="spellStart"/>
      <w:r w:rsidRPr="007140DD">
        <w:rPr>
          <w:rFonts w:ascii="Arial" w:hAnsi="Arial" w:cs="Arial"/>
          <w:bCs/>
        </w:rPr>
        <w:t>gI</w:t>
      </w:r>
      <w:proofErr w:type="spellEnd"/>
      <w:r w:rsidRPr="007140DD">
        <w:rPr>
          <w:rFonts w:ascii="Cambria Math" w:hAnsi="Cambria Math" w:cs="Cambria Math"/>
          <w:bCs/>
        </w:rPr>
        <w:t>₂</w:t>
      </w:r>
      <w:r w:rsidRPr="007140DD">
        <w:rPr>
          <w:rFonts w:ascii="Arial" w:hAnsi="Arial" w:cs="Arial"/>
          <w:bCs/>
        </w:rPr>
        <w:t>/100g)</w:t>
      </w:r>
      <w:r w:rsidRPr="007140DD">
        <w:rPr>
          <w:rFonts w:ascii="Arial" w:hAnsi="Arial" w:cs="Arial"/>
        </w:rPr>
        <w:t xml:space="preserve">, consistent with its fatty acid profile that is dominated by saturated components and contains fewer unsaturated double bonds. Saturated fatty acids, being chemically stable, contribute less to iodine absorption, resulting in low iodine values: a known indicator of poor unsaturation levels in oils (Codex Alimentarius, 2019). In contrast, sample </w:t>
      </w:r>
      <w:r w:rsidRPr="007140DD">
        <w:rPr>
          <w:rFonts w:ascii="Arial" w:hAnsi="Arial" w:cs="Arial"/>
          <w:bCs/>
        </w:rPr>
        <w:t>O</w:t>
      </w:r>
      <w:r w:rsidRPr="007140DD">
        <w:rPr>
          <w:rFonts w:ascii="Arial" w:hAnsi="Arial" w:cs="Arial"/>
        </w:rPr>
        <w:t xml:space="preserve"> (locally processed butter) presented a very different fatty acid and physicochemical profile. Although the total quantity of fatty acids was generally lower than in </w:t>
      </w:r>
      <w:r w:rsidRPr="007140DD">
        <w:rPr>
          <w:rFonts w:ascii="Arial" w:hAnsi="Arial" w:cs="Arial"/>
          <w:bCs/>
        </w:rPr>
        <w:t>K</w:t>
      </w:r>
      <w:r w:rsidRPr="007140DD">
        <w:rPr>
          <w:rFonts w:ascii="Arial" w:hAnsi="Arial" w:cs="Arial"/>
          <w:bCs/>
          <w:vertAlign w:val="subscript"/>
        </w:rPr>
        <w:t>1</w:t>
      </w:r>
      <w:r w:rsidRPr="007140DD">
        <w:rPr>
          <w:rFonts w:ascii="Arial" w:hAnsi="Arial" w:cs="Arial"/>
        </w:rPr>
        <w:t xml:space="preserve">, sample O was relatively richer in </w:t>
      </w:r>
      <w:r w:rsidRPr="007140DD">
        <w:rPr>
          <w:rFonts w:ascii="Arial" w:hAnsi="Arial" w:cs="Arial"/>
          <w:bCs/>
        </w:rPr>
        <w:t>palmitic acid</w:t>
      </w:r>
      <w:r w:rsidRPr="007140DD">
        <w:rPr>
          <w:rFonts w:ascii="Arial" w:hAnsi="Arial" w:cs="Arial"/>
        </w:rPr>
        <w:t xml:space="preserve"> (84.568 mg/L), </w:t>
      </w:r>
      <w:r w:rsidRPr="007140DD">
        <w:rPr>
          <w:rFonts w:ascii="Arial" w:hAnsi="Arial" w:cs="Arial"/>
          <w:bCs/>
        </w:rPr>
        <w:t>oleic/linoleic acids</w:t>
      </w:r>
      <w:r w:rsidRPr="007140DD">
        <w:rPr>
          <w:rFonts w:ascii="Arial" w:hAnsi="Arial" w:cs="Arial"/>
        </w:rPr>
        <w:t xml:space="preserve"> (118.472 mg/L), and a modest amount of </w:t>
      </w:r>
      <w:r w:rsidRPr="007140DD">
        <w:rPr>
          <w:rFonts w:ascii="Arial" w:hAnsi="Arial" w:cs="Arial"/>
          <w:bCs/>
        </w:rPr>
        <w:t>polyunsaturated fatty acids (PUFAs)</w:t>
      </w:r>
      <w:r w:rsidRPr="007140DD">
        <w:rPr>
          <w:rFonts w:ascii="Arial" w:hAnsi="Arial" w:cs="Arial"/>
        </w:rPr>
        <w:t xml:space="preserve">. These unsaturated components contributed to its </w:t>
      </w:r>
      <w:r w:rsidRPr="007140DD">
        <w:rPr>
          <w:rFonts w:ascii="Arial" w:hAnsi="Arial" w:cs="Arial"/>
          <w:bCs/>
        </w:rPr>
        <w:t xml:space="preserve">higher iodine value (31.84 </w:t>
      </w:r>
      <w:proofErr w:type="spellStart"/>
      <w:r w:rsidRPr="007140DD">
        <w:rPr>
          <w:rFonts w:ascii="Arial" w:hAnsi="Arial" w:cs="Arial"/>
          <w:bCs/>
        </w:rPr>
        <w:t>gI</w:t>
      </w:r>
      <w:proofErr w:type="spellEnd"/>
      <w:r w:rsidRPr="007140DD">
        <w:rPr>
          <w:rFonts w:ascii="Cambria Math" w:hAnsi="Cambria Math" w:cs="Cambria Math"/>
          <w:bCs/>
        </w:rPr>
        <w:t>₂</w:t>
      </w:r>
      <w:r w:rsidRPr="007140DD">
        <w:rPr>
          <w:rFonts w:ascii="Arial" w:hAnsi="Arial" w:cs="Arial"/>
          <w:bCs/>
        </w:rPr>
        <w:t>/100g)</w:t>
      </w:r>
      <w:r w:rsidRPr="007140DD">
        <w:rPr>
          <w:rFonts w:ascii="Arial" w:hAnsi="Arial" w:cs="Arial"/>
        </w:rPr>
        <w:t xml:space="preserve">, indicating a greater degree of unsaturation compared to </w:t>
      </w:r>
      <w:r w:rsidRPr="007140DD">
        <w:rPr>
          <w:rFonts w:ascii="Arial" w:hAnsi="Arial" w:cs="Arial"/>
          <w:bCs/>
        </w:rPr>
        <w:t>K</w:t>
      </w:r>
      <w:r w:rsidRPr="007140DD">
        <w:rPr>
          <w:rFonts w:ascii="Arial" w:hAnsi="Arial" w:cs="Arial"/>
          <w:bCs/>
          <w:vertAlign w:val="subscript"/>
        </w:rPr>
        <w:t>1</w:t>
      </w:r>
      <w:r w:rsidRPr="007140DD">
        <w:rPr>
          <w:rFonts w:ascii="Arial" w:hAnsi="Arial" w:cs="Arial"/>
        </w:rPr>
        <w:t>. Oleic and linoleic acids, in particular, are monounsaturated and polyunsaturated fatty acids, respectively, that increase the iodine value due to their multiple carbon-carbon double bonds (</w:t>
      </w:r>
      <w:proofErr w:type="spellStart"/>
      <w:r w:rsidRPr="007140DD">
        <w:rPr>
          <w:rFonts w:ascii="Arial" w:hAnsi="Arial" w:cs="Arial"/>
        </w:rPr>
        <w:t>Schwingshackl</w:t>
      </w:r>
      <w:proofErr w:type="spellEnd"/>
      <w:r w:rsidRPr="007140DD">
        <w:rPr>
          <w:rFonts w:ascii="Arial" w:hAnsi="Arial" w:cs="Arial"/>
        </w:rPr>
        <w:t xml:space="preserve"> &amp; Hoffmann, 2014). Sample O also exhibited the </w:t>
      </w:r>
      <w:r w:rsidRPr="007140DD">
        <w:rPr>
          <w:rFonts w:ascii="Arial" w:hAnsi="Arial" w:cs="Arial"/>
          <w:bCs/>
        </w:rPr>
        <w:t xml:space="preserve">lowest acid value (1.07 </w:t>
      </w:r>
      <w:proofErr w:type="spellStart"/>
      <w:r w:rsidRPr="007140DD">
        <w:rPr>
          <w:rFonts w:ascii="Arial" w:hAnsi="Arial" w:cs="Arial"/>
          <w:bCs/>
        </w:rPr>
        <w:t>mgKOH</w:t>
      </w:r>
      <w:proofErr w:type="spellEnd"/>
      <w:r w:rsidRPr="007140DD">
        <w:rPr>
          <w:rFonts w:ascii="Arial" w:hAnsi="Arial" w:cs="Arial"/>
          <w:bCs/>
        </w:rPr>
        <w:t>/g)</w:t>
      </w:r>
      <w:r w:rsidRPr="007140DD">
        <w:rPr>
          <w:rFonts w:ascii="Arial" w:hAnsi="Arial" w:cs="Arial"/>
        </w:rPr>
        <w:t xml:space="preserve"> and </w:t>
      </w:r>
      <w:r w:rsidRPr="007140DD">
        <w:rPr>
          <w:rFonts w:ascii="Arial" w:hAnsi="Arial" w:cs="Arial"/>
          <w:bCs/>
        </w:rPr>
        <w:t>FFA (0.54%)</w:t>
      </w:r>
      <w:r w:rsidRPr="007140DD">
        <w:rPr>
          <w:rFonts w:ascii="Arial" w:hAnsi="Arial" w:cs="Arial"/>
        </w:rPr>
        <w:t>, reflecting a more stable and refined fat matrix with lower hydrolysis. This aligns with the relatively low concentration of hydrolysis-prone</w:t>
      </w:r>
    </w:p>
    <w:p w14:paraId="193B3240" w14:textId="398AEB86" w:rsidR="005629EB" w:rsidRPr="007140DD" w:rsidRDefault="005629EB" w:rsidP="005629EB">
      <w:pPr>
        <w:rPr>
          <w:rFonts w:ascii="Arial" w:hAnsi="Arial" w:cs="Arial"/>
          <w:b/>
        </w:rPr>
      </w:pPr>
      <w:r w:rsidRPr="007140DD">
        <w:rPr>
          <w:rFonts w:ascii="Arial" w:hAnsi="Arial" w:cs="Arial"/>
          <w:b/>
        </w:rPr>
        <w:t xml:space="preserve">Table 3: </w:t>
      </w:r>
      <w:proofErr w:type="spellStart"/>
      <w:r w:rsidRPr="007140DD">
        <w:rPr>
          <w:rFonts w:ascii="Arial" w:hAnsi="Arial" w:cs="Arial"/>
          <w:b/>
        </w:rPr>
        <w:t>Gc-Ms</w:t>
      </w:r>
      <w:proofErr w:type="spellEnd"/>
      <w:r w:rsidRPr="007140DD">
        <w:rPr>
          <w:rFonts w:ascii="Arial" w:hAnsi="Arial" w:cs="Arial"/>
          <w:b/>
        </w:rPr>
        <w:t xml:space="preserve"> Results of </w:t>
      </w:r>
      <w:r w:rsidR="00C02314" w:rsidRPr="007140DD">
        <w:rPr>
          <w:rFonts w:ascii="Arial" w:hAnsi="Arial" w:cs="Arial"/>
          <w:b/>
        </w:rPr>
        <w:t xml:space="preserve">fatty </w:t>
      </w:r>
      <w:r w:rsidR="009B721C" w:rsidRPr="007140DD">
        <w:rPr>
          <w:rFonts w:ascii="Arial" w:hAnsi="Arial" w:cs="Arial"/>
          <w:b/>
        </w:rPr>
        <w:t>a</w:t>
      </w:r>
      <w:r w:rsidR="00C02314" w:rsidRPr="007140DD">
        <w:rPr>
          <w:rFonts w:ascii="Arial" w:hAnsi="Arial" w:cs="Arial"/>
          <w:b/>
        </w:rPr>
        <w:t xml:space="preserve">cids </w:t>
      </w:r>
      <w:r w:rsidR="009B721C" w:rsidRPr="007140DD">
        <w:rPr>
          <w:rFonts w:ascii="Arial" w:hAnsi="Arial" w:cs="Arial"/>
          <w:b/>
        </w:rPr>
        <w:t>b</w:t>
      </w:r>
      <w:r w:rsidR="00C02314" w:rsidRPr="007140DD">
        <w:rPr>
          <w:rFonts w:ascii="Arial" w:hAnsi="Arial" w:cs="Arial"/>
          <w:b/>
        </w:rPr>
        <w:t xml:space="preserve">utter and </w:t>
      </w:r>
      <w:r w:rsidR="009B721C" w:rsidRPr="007140DD">
        <w:rPr>
          <w:rFonts w:ascii="Arial" w:hAnsi="Arial" w:cs="Arial"/>
          <w:b/>
        </w:rPr>
        <w:t>o</w:t>
      </w:r>
      <w:r w:rsidRPr="007140DD">
        <w:rPr>
          <w:rFonts w:ascii="Arial" w:hAnsi="Arial" w:cs="Arial"/>
          <w:b/>
        </w:rPr>
        <w:t>ils</w:t>
      </w:r>
    </w:p>
    <w:tbl>
      <w:tblPr>
        <w:tblStyle w:val="ListTable6Colorful"/>
        <w:tblpPr w:leftFromText="180" w:rightFromText="180" w:vertAnchor="text" w:horzAnchor="margin" w:tblpXSpec="center" w:tblpY="351"/>
        <w:tblW w:w="10075" w:type="dxa"/>
        <w:tblLook w:val="04A0" w:firstRow="1" w:lastRow="0" w:firstColumn="1" w:lastColumn="0" w:noHBand="0" w:noVBand="1"/>
      </w:tblPr>
      <w:tblGrid>
        <w:gridCol w:w="630"/>
        <w:gridCol w:w="5395"/>
        <w:gridCol w:w="1273"/>
        <w:gridCol w:w="1350"/>
        <w:gridCol w:w="1440"/>
      </w:tblGrid>
      <w:tr w:rsidR="007140DD" w:rsidRPr="007140DD" w14:paraId="75CC1390" w14:textId="77777777" w:rsidTr="00870F56">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tcPr>
          <w:p w14:paraId="0F037853" w14:textId="77777777" w:rsidR="005629EB" w:rsidRPr="007140DD" w:rsidRDefault="005629EB" w:rsidP="005A0DE9">
            <w:pPr>
              <w:rPr>
                <w:rFonts w:ascii="Arial" w:hAnsi="Arial" w:cs="Arial"/>
                <w:color w:val="auto"/>
              </w:rPr>
            </w:pPr>
            <w:r w:rsidRPr="007140DD">
              <w:rPr>
                <w:rFonts w:ascii="Arial" w:hAnsi="Arial" w:cs="Arial"/>
                <w:color w:val="auto"/>
              </w:rPr>
              <w:t>S/N</w:t>
            </w:r>
          </w:p>
        </w:tc>
        <w:tc>
          <w:tcPr>
            <w:tcW w:w="5395" w:type="dxa"/>
            <w:shd w:val="clear" w:color="auto" w:fill="auto"/>
            <w:noWrap/>
          </w:tcPr>
          <w:p w14:paraId="132BCF0A" w14:textId="77777777" w:rsidR="005629EB" w:rsidRPr="007140DD"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b w:val="0"/>
                <w:color w:val="auto"/>
              </w:rPr>
              <w:t>Compound Name</w:t>
            </w:r>
          </w:p>
        </w:tc>
        <w:tc>
          <w:tcPr>
            <w:tcW w:w="1260" w:type="dxa"/>
            <w:shd w:val="clear" w:color="auto" w:fill="auto"/>
            <w:noWrap/>
          </w:tcPr>
          <w:p w14:paraId="12B25FAB" w14:textId="77777777" w:rsidR="005629EB" w:rsidRPr="007140DD"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7140DD">
              <w:rPr>
                <w:rFonts w:ascii="Arial" w:hAnsi="Arial" w:cs="Arial"/>
                <w:color w:val="auto"/>
              </w:rPr>
              <w:t>Sample K</w:t>
            </w:r>
            <w:r w:rsidRPr="007140DD">
              <w:rPr>
                <w:rFonts w:ascii="Arial" w:hAnsi="Arial" w:cs="Arial"/>
                <w:color w:val="auto"/>
                <w:vertAlign w:val="subscript"/>
              </w:rPr>
              <w:t>1</w:t>
            </w:r>
          </w:p>
          <w:p w14:paraId="600CDCF7" w14:textId="77777777" w:rsidR="005629EB" w:rsidRPr="007140DD"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(mg/L)</w:t>
            </w:r>
          </w:p>
        </w:tc>
        <w:tc>
          <w:tcPr>
            <w:tcW w:w="1350" w:type="dxa"/>
            <w:shd w:val="clear" w:color="auto" w:fill="auto"/>
            <w:noWrap/>
          </w:tcPr>
          <w:p w14:paraId="6885D242" w14:textId="77777777" w:rsidR="005629EB" w:rsidRPr="007140DD"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7140DD">
              <w:rPr>
                <w:rFonts w:ascii="Arial" w:hAnsi="Arial" w:cs="Arial"/>
                <w:color w:val="auto"/>
              </w:rPr>
              <w:t>Sample O</w:t>
            </w:r>
          </w:p>
          <w:p w14:paraId="70E028B5" w14:textId="77777777" w:rsidR="005629EB" w:rsidRPr="007140DD"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(mg/L)</w:t>
            </w:r>
          </w:p>
        </w:tc>
        <w:tc>
          <w:tcPr>
            <w:tcW w:w="1440" w:type="dxa"/>
            <w:shd w:val="clear" w:color="auto" w:fill="auto"/>
            <w:noWrap/>
          </w:tcPr>
          <w:p w14:paraId="628695D2" w14:textId="77777777" w:rsidR="005629EB" w:rsidRPr="007140DD"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rPr>
            </w:pPr>
            <w:r w:rsidRPr="007140DD">
              <w:rPr>
                <w:rFonts w:ascii="Arial" w:hAnsi="Arial" w:cs="Arial"/>
                <w:color w:val="auto"/>
              </w:rPr>
              <w:t>Sample C</w:t>
            </w:r>
          </w:p>
          <w:p w14:paraId="602E930C" w14:textId="77777777" w:rsidR="005629EB" w:rsidRPr="007140DD" w:rsidRDefault="005629EB" w:rsidP="005A0DE9">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(mg/L)</w:t>
            </w:r>
          </w:p>
        </w:tc>
      </w:tr>
      <w:tr w:rsidR="007140DD" w:rsidRPr="007140DD" w14:paraId="380D1A60"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1178435" w14:textId="77777777" w:rsidR="005629EB" w:rsidRPr="007140DD" w:rsidRDefault="005629EB" w:rsidP="005A0DE9">
            <w:pPr>
              <w:rPr>
                <w:rFonts w:ascii="Arial" w:hAnsi="Arial" w:cs="Arial"/>
                <w:b w:val="0"/>
                <w:color w:val="auto"/>
              </w:rPr>
            </w:pPr>
            <w:r w:rsidRPr="007140DD">
              <w:rPr>
                <w:rFonts w:ascii="Arial" w:hAnsi="Arial" w:cs="Arial"/>
                <w:b w:val="0"/>
                <w:color w:val="auto"/>
              </w:rPr>
              <w:t>1</w:t>
            </w:r>
          </w:p>
        </w:tc>
        <w:tc>
          <w:tcPr>
            <w:tcW w:w="5395" w:type="dxa"/>
            <w:shd w:val="clear" w:color="auto" w:fill="auto"/>
            <w:noWrap/>
            <w:hideMark/>
          </w:tcPr>
          <w:p w14:paraId="6E37B9B2"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Capric acid, methyl ester</w:t>
            </w:r>
          </w:p>
        </w:tc>
        <w:tc>
          <w:tcPr>
            <w:tcW w:w="1260" w:type="dxa"/>
            <w:shd w:val="clear" w:color="auto" w:fill="auto"/>
            <w:noWrap/>
          </w:tcPr>
          <w:p w14:paraId="6ADBD6B3" w14:textId="1FA51E23"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63.1027</w:t>
            </w:r>
            <w:r w:rsidR="00336B17" w:rsidRPr="007140DD">
              <w:rPr>
                <w:rFonts w:ascii="Arial" w:hAnsi="Arial" w:cs="Arial"/>
                <w:color w:val="auto"/>
              </w:rPr>
              <w:t>00</w:t>
            </w:r>
          </w:p>
        </w:tc>
        <w:tc>
          <w:tcPr>
            <w:tcW w:w="1350" w:type="dxa"/>
            <w:shd w:val="clear" w:color="auto" w:fill="auto"/>
            <w:noWrap/>
          </w:tcPr>
          <w:p w14:paraId="0EC886BE"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0.367236</w:t>
            </w:r>
          </w:p>
        </w:tc>
        <w:tc>
          <w:tcPr>
            <w:tcW w:w="1440" w:type="dxa"/>
            <w:shd w:val="clear" w:color="auto" w:fill="auto"/>
            <w:noWrap/>
          </w:tcPr>
          <w:p w14:paraId="3DE5E849" w14:textId="23620C46"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40.1666</w:t>
            </w:r>
            <w:r w:rsidR="00E8731F" w:rsidRPr="007140DD">
              <w:rPr>
                <w:rFonts w:ascii="Arial" w:hAnsi="Arial" w:cs="Arial"/>
                <w:color w:val="auto"/>
              </w:rPr>
              <w:t>00</w:t>
            </w:r>
          </w:p>
        </w:tc>
      </w:tr>
      <w:tr w:rsidR="007140DD" w:rsidRPr="007140DD" w14:paraId="0F82A380"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9B9B741" w14:textId="77777777" w:rsidR="005629EB" w:rsidRPr="007140DD" w:rsidRDefault="005629EB" w:rsidP="005A0DE9">
            <w:pPr>
              <w:rPr>
                <w:rFonts w:ascii="Arial" w:hAnsi="Arial" w:cs="Arial"/>
                <w:b w:val="0"/>
                <w:color w:val="auto"/>
              </w:rPr>
            </w:pPr>
            <w:r w:rsidRPr="007140DD">
              <w:rPr>
                <w:rFonts w:ascii="Arial" w:hAnsi="Arial" w:cs="Arial"/>
                <w:b w:val="0"/>
                <w:color w:val="auto"/>
              </w:rPr>
              <w:t>2</w:t>
            </w:r>
          </w:p>
        </w:tc>
        <w:tc>
          <w:tcPr>
            <w:tcW w:w="5395" w:type="dxa"/>
            <w:shd w:val="clear" w:color="auto" w:fill="auto"/>
            <w:noWrap/>
            <w:hideMark/>
          </w:tcPr>
          <w:p w14:paraId="14B8256A"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Undecanoic acid, methyl ester</w:t>
            </w:r>
          </w:p>
        </w:tc>
        <w:tc>
          <w:tcPr>
            <w:tcW w:w="1260" w:type="dxa"/>
            <w:shd w:val="clear" w:color="auto" w:fill="auto"/>
            <w:noWrap/>
          </w:tcPr>
          <w:p w14:paraId="777FFD17" w14:textId="78A2FBDC"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1.459</w:t>
            </w:r>
            <w:r w:rsidR="00336B17" w:rsidRPr="007140DD">
              <w:rPr>
                <w:rFonts w:ascii="Arial" w:hAnsi="Arial" w:cs="Arial"/>
                <w:color w:val="auto"/>
              </w:rPr>
              <w:t>000</w:t>
            </w:r>
          </w:p>
        </w:tc>
        <w:tc>
          <w:tcPr>
            <w:tcW w:w="1350" w:type="dxa"/>
            <w:shd w:val="clear" w:color="auto" w:fill="auto"/>
            <w:noWrap/>
          </w:tcPr>
          <w:p w14:paraId="041D544B"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0.020912</w:t>
            </w:r>
          </w:p>
        </w:tc>
        <w:tc>
          <w:tcPr>
            <w:tcW w:w="1440" w:type="dxa"/>
            <w:shd w:val="clear" w:color="auto" w:fill="auto"/>
            <w:noWrap/>
          </w:tcPr>
          <w:p w14:paraId="74377B50" w14:textId="037DB0CD"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0.82979</w:t>
            </w:r>
            <w:r w:rsidR="00E8731F" w:rsidRPr="007140DD">
              <w:rPr>
                <w:rFonts w:ascii="Arial" w:hAnsi="Arial" w:cs="Arial"/>
                <w:color w:val="auto"/>
              </w:rPr>
              <w:t>0</w:t>
            </w:r>
          </w:p>
        </w:tc>
      </w:tr>
      <w:tr w:rsidR="007140DD" w:rsidRPr="007140DD" w14:paraId="49783885"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1C72DA8" w14:textId="77777777" w:rsidR="005629EB" w:rsidRPr="007140DD" w:rsidRDefault="005629EB" w:rsidP="005A0DE9">
            <w:pPr>
              <w:rPr>
                <w:rFonts w:ascii="Arial" w:hAnsi="Arial" w:cs="Arial"/>
                <w:b w:val="0"/>
                <w:color w:val="auto"/>
              </w:rPr>
            </w:pPr>
            <w:r w:rsidRPr="007140DD">
              <w:rPr>
                <w:rFonts w:ascii="Arial" w:hAnsi="Arial" w:cs="Arial"/>
                <w:b w:val="0"/>
                <w:color w:val="auto"/>
              </w:rPr>
              <w:t>3</w:t>
            </w:r>
          </w:p>
        </w:tc>
        <w:tc>
          <w:tcPr>
            <w:tcW w:w="5395" w:type="dxa"/>
            <w:shd w:val="clear" w:color="auto" w:fill="auto"/>
            <w:noWrap/>
            <w:hideMark/>
          </w:tcPr>
          <w:p w14:paraId="712F5CCC"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Lauric acid, methyl ester</w:t>
            </w:r>
          </w:p>
        </w:tc>
        <w:tc>
          <w:tcPr>
            <w:tcW w:w="1260" w:type="dxa"/>
            <w:shd w:val="clear" w:color="auto" w:fill="auto"/>
            <w:noWrap/>
          </w:tcPr>
          <w:p w14:paraId="4107E4FC" w14:textId="2CB84D42"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255.138</w:t>
            </w:r>
            <w:r w:rsidR="00E8731F" w:rsidRPr="007140DD">
              <w:rPr>
                <w:rFonts w:ascii="Arial" w:hAnsi="Arial" w:cs="Arial"/>
                <w:color w:val="auto"/>
              </w:rPr>
              <w:t>000</w:t>
            </w:r>
          </w:p>
        </w:tc>
        <w:tc>
          <w:tcPr>
            <w:tcW w:w="1350" w:type="dxa"/>
            <w:shd w:val="clear" w:color="auto" w:fill="auto"/>
            <w:noWrap/>
          </w:tcPr>
          <w:p w14:paraId="66E88085" w14:textId="06A331F0"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8.13353</w:t>
            </w:r>
            <w:r w:rsidR="00E8731F" w:rsidRPr="007140DD">
              <w:rPr>
                <w:rFonts w:ascii="Arial" w:hAnsi="Arial" w:cs="Arial"/>
                <w:color w:val="auto"/>
              </w:rPr>
              <w:t>0</w:t>
            </w:r>
          </w:p>
        </w:tc>
        <w:tc>
          <w:tcPr>
            <w:tcW w:w="1440" w:type="dxa"/>
            <w:shd w:val="clear" w:color="auto" w:fill="auto"/>
            <w:noWrap/>
          </w:tcPr>
          <w:p w14:paraId="00975A84" w14:textId="50317B3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179.368</w:t>
            </w:r>
            <w:r w:rsidR="00E93892" w:rsidRPr="007140DD">
              <w:rPr>
                <w:rFonts w:ascii="Arial" w:hAnsi="Arial" w:cs="Arial"/>
                <w:color w:val="auto"/>
              </w:rPr>
              <w:t>000</w:t>
            </w:r>
          </w:p>
        </w:tc>
      </w:tr>
      <w:tr w:rsidR="007140DD" w:rsidRPr="007140DD" w14:paraId="5DBEA64D"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41D137F" w14:textId="77777777" w:rsidR="005629EB" w:rsidRPr="007140DD" w:rsidRDefault="005629EB" w:rsidP="005A0DE9">
            <w:pPr>
              <w:rPr>
                <w:rFonts w:ascii="Arial" w:hAnsi="Arial" w:cs="Arial"/>
                <w:b w:val="0"/>
                <w:color w:val="auto"/>
              </w:rPr>
            </w:pPr>
            <w:r w:rsidRPr="007140DD">
              <w:rPr>
                <w:rFonts w:ascii="Arial" w:hAnsi="Arial" w:cs="Arial"/>
                <w:b w:val="0"/>
                <w:color w:val="auto"/>
              </w:rPr>
              <w:t>4</w:t>
            </w:r>
          </w:p>
        </w:tc>
        <w:tc>
          <w:tcPr>
            <w:tcW w:w="5395" w:type="dxa"/>
            <w:shd w:val="clear" w:color="auto" w:fill="auto"/>
            <w:noWrap/>
            <w:hideMark/>
          </w:tcPr>
          <w:p w14:paraId="0A81B187"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Tridecanoic acid, methyl ester</w:t>
            </w:r>
          </w:p>
        </w:tc>
        <w:tc>
          <w:tcPr>
            <w:tcW w:w="1260" w:type="dxa"/>
            <w:shd w:val="clear" w:color="auto" w:fill="auto"/>
            <w:noWrap/>
          </w:tcPr>
          <w:p w14:paraId="2C8438F9" w14:textId="3578A9DB"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1.84318</w:t>
            </w:r>
            <w:r w:rsidR="00E8731F" w:rsidRPr="007140DD">
              <w:rPr>
                <w:rFonts w:ascii="Arial" w:hAnsi="Arial" w:cs="Arial"/>
                <w:color w:val="auto"/>
              </w:rPr>
              <w:t>0</w:t>
            </w:r>
          </w:p>
        </w:tc>
        <w:tc>
          <w:tcPr>
            <w:tcW w:w="1350" w:type="dxa"/>
            <w:shd w:val="clear" w:color="auto" w:fill="auto"/>
            <w:noWrap/>
          </w:tcPr>
          <w:p w14:paraId="678A7362"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0.031816</w:t>
            </w:r>
          </w:p>
        </w:tc>
        <w:tc>
          <w:tcPr>
            <w:tcW w:w="1440" w:type="dxa"/>
            <w:shd w:val="clear" w:color="auto" w:fill="auto"/>
            <w:noWrap/>
          </w:tcPr>
          <w:p w14:paraId="45796904" w14:textId="1550CE04"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0.89893</w:t>
            </w:r>
            <w:r w:rsidR="00E93892" w:rsidRPr="007140DD">
              <w:rPr>
                <w:rFonts w:ascii="Arial" w:hAnsi="Arial" w:cs="Arial"/>
                <w:color w:val="auto"/>
              </w:rPr>
              <w:t>0</w:t>
            </w:r>
          </w:p>
        </w:tc>
      </w:tr>
      <w:tr w:rsidR="007140DD" w:rsidRPr="007140DD" w14:paraId="7A4C3473"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75FECEBB" w14:textId="77777777" w:rsidR="005629EB" w:rsidRPr="007140DD" w:rsidRDefault="005629EB" w:rsidP="005A0DE9">
            <w:pPr>
              <w:rPr>
                <w:rFonts w:ascii="Arial" w:hAnsi="Arial" w:cs="Arial"/>
                <w:b w:val="0"/>
                <w:color w:val="auto"/>
              </w:rPr>
            </w:pPr>
            <w:r w:rsidRPr="007140DD">
              <w:rPr>
                <w:rFonts w:ascii="Arial" w:hAnsi="Arial" w:cs="Arial"/>
                <w:b w:val="0"/>
                <w:color w:val="auto"/>
              </w:rPr>
              <w:t>5</w:t>
            </w:r>
          </w:p>
        </w:tc>
        <w:tc>
          <w:tcPr>
            <w:tcW w:w="5395" w:type="dxa"/>
            <w:shd w:val="clear" w:color="auto" w:fill="auto"/>
            <w:noWrap/>
            <w:hideMark/>
          </w:tcPr>
          <w:p w14:paraId="4B4DD850"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roofErr w:type="spellStart"/>
            <w:r w:rsidRPr="007140DD">
              <w:rPr>
                <w:rFonts w:ascii="Arial" w:hAnsi="Arial" w:cs="Arial"/>
                <w:color w:val="auto"/>
              </w:rPr>
              <w:t>Myristoleic</w:t>
            </w:r>
            <w:proofErr w:type="spellEnd"/>
            <w:r w:rsidRPr="007140DD">
              <w:rPr>
                <w:rFonts w:ascii="Arial" w:hAnsi="Arial" w:cs="Arial"/>
                <w:color w:val="auto"/>
              </w:rPr>
              <w:t xml:space="preserve"> acid, methyl ester</w:t>
            </w:r>
          </w:p>
        </w:tc>
        <w:tc>
          <w:tcPr>
            <w:tcW w:w="1260" w:type="dxa"/>
            <w:shd w:val="clear" w:color="auto" w:fill="auto"/>
            <w:noWrap/>
          </w:tcPr>
          <w:p w14:paraId="047062FC" w14:textId="700CE29A"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254.826</w:t>
            </w:r>
            <w:r w:rsidR="00E8731F" w:rsidRPr="007140DD">
              <w:rPr>
                <w:rFonts w:ascii="Arial" w:hAnsi="Arial" w:cs="Arial"/>
                <w:color w:val="auto"/>
              </w:rPr>
              <w:t>000</w:t>
            </w:r>
          </w:p>
        </w:tc>
        <w:tc>
          <w:tcPr>
            <w:tcW w:w="1350" w:type="dxa"/>
            <w:shd w:val="clear" w:color="auto" w:fill="auto"/>
            <w:noWrap/>
          </w:tcPr>
          <w:p w14:paraId="669222EE" w14:textId="3DBF822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2.44357</w:t>
            </w:r>
            <w:r w:rsidR="00E8731F" w:rsidRPr="007140DD">
              <w:rPr>
                <w:rFonts w:ascii="Arial" w:hAnsi="Arial" w:cs="Arial"/>
                <w:color w:val="auto"/>
              </w:rPr>
              <w:t>0</w:t>
            </w:r>
          </w:p>
        </w:tc>
        <w:tc>
          <w:tcPr>
            <w:tcW w:w="1440" w:type="dxa"/>
            <w:shd w:val="clear" w:color="auto" w:fill="auto"/>
            <w:noWrap/>
          </w:tcPr>
          <w:p w14:paraId="0F52E5F2" w14:textId="4FC9412B"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167.206</w:t>
            </w:r>
            <w:r w:rsidR="00E93892" w:rsidRPr="007140DD">
              <w:rPr>
                <w:rFonts w:ascii="Arial" w:hAnsi="Arial" w:cs="Arial"/>
                <w:color w:val="auto"/>
              </w:rPr>
              <w:t>000</w:t>
            </w:r>
          </w:p>
        </w:tc>
      </w:tr>
      <w:tr w:rsidR="007140DD" w:rsidRPr="007140DD" w14:paraId="18B5EA40"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885212D" w14:textId="77777777" w:rsidR="005629EB" w:rsidRPr="007140DD" w:rsidRDefault="005629EB" w:rsidP="005A0DE9">
            <w:pPr>
              <w:rPr>
                <w:rFonts w:ascii="Arial" w:hAnsi="Arial" w:cs="Arial"/>
                <w:b w:val="0"/>
                <w:color w:val="auto"/>
              </w:rPr>
            </w:pPr>
            <w:r w:rsidRPr="007140DD">
              <w:rPr>
                <w:rFonts w:ascii="Arial" w:hAnsi="Arial" w:cs="Arial"/>
                <w:b w:val="0"/>
                <w:color w:val="auto"/>
              </w:rPr>
              <w:t>6</w:t>
            </w:r>
          </w:p>
        </w:tc>
        <w:tc>
          <w:tcPr>
            <w:tcW w:w="5395" w:type="dxa"/>
            <w:shd w:val="clear" w:color="auto" w:fill="auto"/>
            <w:noWrap/>
            <w:hideMark/>
          </w:tcPr>
          <w:p w14:paraId="0656AFDD"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Myristic acid, methyl ester</w:t>
            </w:r>
          </w:p>
        </w:tc>
        <w:tc>
          <w:tcPr>
            <w:tcW w:w="1260" w:type="dxa"/>
            <w:shd w:val="clear" w:color="auto" w:fill="auto"/>
            <w:noWrap/>
          </w:tcPr>
          <w:p w14:paraId="46A57612" w14:textId="52BB97AD"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130.727</w:t>
            </w:r>
            <w:r w:rsidR="00E8731F" w:rsidRPr="007140DD">
              <w:rPr>
                <w:rFonts w:ascii="Arial" w:hAnsi="Arial" w:cs="Arial"/>
                <w:color w:val="auto"/>
              </w:rPr>
              <w:t>000</w:t>
            </w:r>
          </w:p>
        </w:tc>
        <w:tc>
          <w:tcPr>
            <w:tcW w:w="1350" w:type="dxa"/>
            <w:shd w:val="clear" w:color="auto" w:fill="auto"/>
            <w:noWrap/>
          </w:tcPr>
          <w:p w14:paraId="54AF60A3" w14:textId="76F0F452"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9.11539</w:t>
            </w:r>
            <w:r w:rsidR="00E8731F" w:rsidRPr="007140DD">
              <w:rPr>
                <w:rFonts w:ascii="Arial" w:hAnsi="Arial" w:cs="Arial"/>
                <w:color w:val="auto"/>
              </w:rPr>
              <w:t>0</w:t>
            </w:r>
          </w:p>
        </w:tc>
        <w:tc>
          <w:tcPr>
            <w:tcW w:w="1440" w:type="dxa"/>
            <w:shd w:val="clear" w:color="auto" w:fill="auto"/>
            <w:noWrap/>
          </w:tcPr>
          <w:p w14:paraId="671B2DB8" w14:textId="063B62D4"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94.1124</w:t>
            </w:r>
            <w:r w:rsidR="00E93892" w:rsidRPr="007140DD">
              <w:rPr>
                <w:rFonts w:ascii="Arial" w:hAnsi="Arial" w:cs="Arial"/>
                <w:color w:val="auto"/>
              </w:rPr>
              <w:t>00</w:t>
            </w:r>
          </w:p>
        </w:tc>
      </w:tr>
      <w:tr w:rsidR="007140DD" w:rsidRPr="007140DD" w14:paraId="0DAAD1B7"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5E85D23" w14:textId="77777777" w:rsidR="005629EB" w:rsidRPr="007140DD" w:rsidRDefault="005629EB" w:rsidP="005A0DE9">
            <w:pPr>
              <w:rPr>
                <w:rFonts w:ascii="Arial" w:hAnsi="Arial" w:cs="Arial"/>
                <w:b w:val="0"/>
                <w:color w:val="auto"/>
              </w:rPr>
            </w:pPr>
            <w:r w:rsidRPr="007140DD">
              <w:rPr>
                <w:rFonts w:ascii="Arial" w:hAnsi="Arial" w:cs="Arial"/>
                <w:b w:val="0"/>
                <w:color w:val="auto"/>
              </w:rPr>
              <w:t>7</w:t>
            </w:r>
          </w:p>
        </w:tc>
        <w:tc>
          <w:tcPr>
            <w:tcW w:w="5395" w:type="dxa"/>
            <w:shd w:val="clear" w:color="auto" w:fill="auto"/>
            <w:noWrap/>
            <w:hideMark/>
          </w:tcPr>
          <w:p w14:paraId="0E49D0EC"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cis-10-pentadecanoic acid, methyl ester</w:t>
            </w:r>
          </w:p>
        </w:tc>
        <w:tc>
          <w:tcPr>
            <w:tcW w:w="1260" w:type="dxa"/>
            <w:shd w:val="clear" w:color="auto" w:fill="auto"/>
            <w:noWrap/>
          </w:tcPr>
          <w:p w14:paraId="40E0B2F8"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0.037167</w:t>
            </w:r>
          </w:p>
        </w:tc>
        <w:tc>
          <w:tcPr>
            <w:tcW w:w="1350" w:type="dxa"/>
            <w:shd w:val="clear" w:color="auto" w:fill="auto"/>
            <w:noWrap/>
          </w:tcPr>
          <w:p w14:paraId="073EA7A5"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0.083101</w:t>
            </w:r>
          </w:p>
        </w:tc>
        <w:tc>
          <w:tcPr>
            <w:tcW w:w="1440" w:type="dxa"/>
            <w:shd w:val="clear" w:color="auto" w:fill="auto"/>
            <w:noWrap/>
          </w:tcPr>
          <w:p w14:paraId="09B2065D"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0.134697</w:t>
            </w:r>
          </w:p>
        </w:tc>
      </w:tr>
      <w:tr w:rsidR="007140DD" w:rsidRPr="007140DD" w14:paraId="4D1FB8EB"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D3C083C" w14:textId="77777777" w:rsidR="005629EB" w:rsidRPr="007140DD" w:rsidRDefault="005629EB" w:rsidP="005A0DE9">
            <w:pPr>
              <w:rPr>
                <w:rFonts w:ascii="Arial" w:hAnsi="Arial" w:cs="Arial"/>
                <w:b w:val="0"/>
                <w:color w:val="auto"/>
              </w:rPr>
            </w:pPr>
            <w:r w:rsidRPr="007140DD">
              <w:rPr>
                <w:rFonts w:ascii="Arial" w:hAnsi="Arial" w:cs="Arial"/>
                <w:b w:val="0"/>
                <w:color w:val="auto"/>
              </w:rPr>
              <w:t>8</w:t>
            </w:r>
          </w:p>
        </w:tc>
        <w:tc>
          <w:tcPr>
            <w:tcW w:w="5395" w:type="dxa"/>
            <w:shd w:val="clear" w:color="auto" w:fill="auto"/>
            <w:noWrap/>
            <w:hideMark/>
          </w:tcPr>
          <w:p w14:paraId="3314CCD3"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Pentadecanoic acid, methyl ester</w:t>
            </w:r>
          </w:p>
        </w:tc>
        <w:tc>
          <w:tcPr>
            <w:tcW w:w="1260" w:type="dxa"/>
            <w:shd w:val="clear" w:color="auto" w:fill="auto"/>
            <w:noWrap/>
          </w:tcPr>
          <w:p w14:paraId="40028B33"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0.356094</w:t>
            </w:r>
          </w:p>
        </w:tc>
        <w:tc>
          <w:tcPr>
            <w:tcW w:w="1350" w:type="dxa"/>
            <w:shd w:val="clear" w:color="auto" w:fill="auto"/>
            <w:noWrap/>
          </w:tcPr>
          <w:p w14:paraId="3CA3077B"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0.687789</w:t>
            </w:r>
          </w:p>
        </w:tc>
        <w:tc>
          <w:tcPr>
            <w:tcW w:w="1440" w:type="dxa"/>
            <w:shd w:val="clear" w:color="auto" w:fill="auto"/>
            <w:noWrap/>
          </w:tcPr>
          <w:p w14:paraId="5562DF5C"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0.777868</w:t>
            </w:r>
          </w:p>
        </w:tc>
      </w:tr>
      <w:tr w:rsidR="007140DD" w:rsidRPr="007140DD" w14:paraId="66FE9B52"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505E9CF" w14:textId="77777777" w:rsidR="005629EB" w:rsidRPr="007140DD" w:rsidRDefault="005629EB" w:rsidP="005A0DE9">
            <w:pPr>
              <w:rPr>
                <w:rFonts w:ascii="Arial" w:hAnsi="Arial" w:cs="Arial"/>
                <w:b w:val="0"/>
                <w:color w:val="auto"/>
              </w:rPr>
            </w:pPr>
            <w:r w:rsidRPr="007140DD">
              <w:rPr>
                <w:rFonts w:ascii="Arial" w:hAnsi="Arial" w:cs="Arial"/>
                <w:b w:val="0"/>
                <w:color w:val="auto"/>
              </w:rPr>
              <w:t>9</w:t>
            </w:r>
          </w:p>
        </w:tc>
        <w:tc>
          <w:tcPr>
            <w:tcW w:w="5395" w:type="dxa"/>
            <w:shd w:val="clear" w:color="auto" w:fill="auto"/>
            <w:noWrap/>
            <w:hideMark/>
          </w:tcPr>
          <w:p w14:paraId="5EE78D41"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Palmitic acid, methyl ester</w:t>
            </w:r>
          </w:p>
        </w:tc>
        <w:tc>
          <w:tcPr>
            <w:tcW w:w="1260" w:type="dxa"/>
            <w:shd w:val="clear" w:color="auto" w:fill="auto"/>
            <w:noWrap/>
          </w:tcPr>
          <w:p w14:paraId="7422D565" w14:textId="56B06B3F"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54.9887</w:t>
            </w:r>
            <w:r w:rsidR="00E8731F" w:rsidRPr="007140DD">
              <w:rPr>
                <w:rFonts w:ascii="Arial" w:hAnsi="Arial" w:cs="Arial"/>
                <w:color w:val="auto"/>
              </w:rPr>
              <w:t>00</w:t>
            </w:r>
          </w:p>
        </w:tc>
        <w:tc>
          <w:tcPr>
            <w:tcW w:w="1350" w:type="dxa"/>
            <w:shd w:val="clear" w:color="auto" w:fill="auto"/>
            <w:noWrap/>
          </w:tcPr>
          <w:p w14:paraId="77617B46" w14:textId="6D030E04"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84.568</w:t>
            </w:r>
            <w:r w:rsidR="00E8731F" w:rsidRPr="007140DD">
              <w:rPr>
                <w:rFonts w:ascii="Arial" w:hAnsi="Arial" w:cs="Arial"/>
                <w:color w:val="auto"/>
              </w:rPr>
              <w:t>000</w:t>
            </w:r>
          </w:p>
        </w:tc>
        <w:tc>
          <w:tcPr>
            <w:tcW w:w="1440" w:type="dxa"/>
            <w:shd w:val="clear" w:color="auto" w:fill="auto"/>
            <w:noWrap/>
          </w:tcPr>
          <w:p w14:paraId="71C328BC" w14:textId="033A25CD"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95.642</w:t>
            </w:r>
            <w:r w:rsidR="00E93892" w:rsidRPr="007140DD">
              <w:rPr>
                <w:rFonts w:ascii="Arial" w:hAnsi="Arial" w:cs="Arial"/>
                <w:color w:val="auto"/>
              </w:rPr>
              <w:t>000</w:t>
            </w:r>
          </w:p>
        </w:tc>
      </w:tr>
      <w:tr w:rsidR="007140DD" w:rsidRPr="007140DD" w14:paraId="3104B7C1"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0998FB3" w14:textId="77777777" w:rsidR="005629EB" w:rsidRPr="007140DD" w:rsidRDefault="005629EB" w:rsidP="005A0DE9">
            <w:pPr>
              <w:rPr>
                <w:rFonts w:ascii="Arial" w:hAnsi="Arial" w:cs="Arial"/>
                <w:b w:val="0"/>
                <w:color w:val="auto"/>
              </w:rPr>
            </w:pPr>
            <w:r w:rsidRPr="007140DD">
              <w:rPr>
                <w:rFonts w:ascii="Arial" w:hAnsi="Arial" w:cs="Arial"/>
                <w:b w:val="0"/>
                <w:color w:val="auto"/>
              </w:rPr>
              <w:t>10</w:t>
            </w:r>
          </w:p>
        </w:tc>
        <w:tc>
          <w:tcPr>
            <w:tcW w:w="5395" w:type="dxa"/>
            <w:shd w:val="clear" w:color="auto" w:fill="auto"/>
            <w:noWrap/>
            <w:hideMark/>
          </w:tcPr>
          <w:p w14:paraId="2E2AA9FC"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Linoleic/Oleic acid, methyl ester</w:t>
            </w:r>
          </w:p>
        </w:tc>
        <w:tc>
          <w:tcPr>
            <w:tcW w:w="1260" w:type="dxa"/>
            <w:shd w:val="clear" w:color="auto" w:fill="auto"/>
            <w:noWrap/>
          </w:tcPr>
          <w:p w14:paraId="35C7E7DD" w14:textId="3F44774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121.726</w:t>
            </w:r>
            <w:r w:rsidR="00E8731F" w:rsidRPr="007140DD">
              <w:rPr>
                <w:rFonts w:ascii="Arial" w:hAnsi="Arial" w:cs="Arial"/>
                <w:color w:val="auto"/>
              </w:rPr>
              <w:t>000</w:t>
            </w:r>
          </w:p>
        </w:tc>
        <w:tc>
          <w:tcPr>
            <w:tcW w:w="1350" w:type="dxa"/>
            <w:shd w:val="clear" w:color="auto" w:fill="auto"/>
            <w:noWrap/>
          </w:tcPr>
          <w:p w14:paraId="5116CF6B" w14:textId="22C8BCD4"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118.472</w:t>
            </w:r>
            <w:r w:rsidR="00E8731F" w:rsidRPr="007140DD">
              <w:rPr>
                <w:rFonts w:ascii="Arial" w:hAnsi="Arial" w:cs="Arial"/>
                <w:color w:val="auto"/>
              </w:rPr>
              <w:t>000</w:t>
            </w:r>
          </w:p>
        </w:tc>
        <w:tc>
          <w:tcPr>
            <w:tcW w:w="1440" w:type="dxa"/>
            <w:shd w:val="clear" w:color="auto" w:fill="auto"/>
            <w:noWrap/>
          </w:tcPr>
          <w:p w14:paraId="7320164F" w14:textId="1239A88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168.045</w:t>
            </w:r>
            <w:r w:rsidR="00E93892" w:rsidRPr="007140DD">
              <w:rPr>
                <w:rFonts w:ascii="Arial" w:hAnsi="Arial" w:cs="Arial"/>
                <w:color w:val="auto"/>
              </w:rPr>
              <w:t>000</w:t>
            </w:r>
          </w:p>
        </w:tc>
      </w:tr>
      <w:tr w:rsidR="007140DD" w:rsidRPr="007140DD" w14:paraId="1C8F0C89"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D0A460D" w14:textId="77777777" w:rsidR="005629EB" w:rsidRPr="007140DD" w:rsidRDefault="005629EB" w:rsidP="005A0DE9">
            <w:pPr>
              <w:rPr>
                <w:rFonts w:ascii="Arial" w:hAnsi="Arial" w:cs="Arial"/>
                <w:b w:val="0"/>
                <w:color w:val="auto"/>
              </w:rPr>
            </w:pPr>
            <w:r w:rsidRPr="007140DD">
              <w:rPr>
                <w:rFonts w:ascii="Arial" w:hAnsi="Arial" w:cs="Arial"/>
                <w:b w:val="0"/>
                <w:color w:val="auto"/>
              </w:rPr>
              <w:t>11</w:t>
            </w:r>
          </w:p>
        </w:tc>
        <w:tc>
          <w:tcPr>
            <w:tcW w:w="5395" w:type="dxa"/>
            <w:shd w:val="clear" w:color="auto" w:fill="auto"/>
            <w:noWrap/>
            <w:hideMark/>
          </w:tcPr>
          <w:p w14:paraId="2E2E1985"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Stearic acid, methyl ester</w:t>
            </w:r>
          </w:p>
        </w:tc>
        <w:tc>
          <w:tcPr>
            <w:tcW w:w="1260" w:type="dxa"/>
            <w:shd w:val="clear" w:color="auto" w:fill="auto"/>
            <w:noWrap/>
          </w:tcPr>
          <w:p w14:paraId="3995D105" w14:textId="6F1784B2"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39.0374</w:t>
            </w:r>
            <w:r w:rsidR="00E8731F" w:rsidRPr="007140DD">
              <w:rPr>
                <w:rFonts w:ascii="Arial" w:hAnsi="Arial" w:cs="Arial"/>
                <w:color w:val="auto"/>
              </w:rPr>
              <w:t>00</w:t>
            </w:r>
          </w:p>
        </w:tc>
        <w:tc>
          <w:tcPr>
            <w:tcW w:w="1350" w:type="dxa"/>
            <w:shd w:val="clear" w:color="auto" w:fill="auto"/>
            <w:noWrap/>
          </w:tcPr>
          <w:p w14:paraId="43806E27" w14:textId="5C0B9599"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31.3202</w:t>
            </w:r>
            <w:r w:rsidR="00E8731F" w:rsidRPr="007140DD">
              <w:rPr>
                <w:rFonts w:ascii="Arial" w:hAnsi="Arial" w:cs="Arial"/>
                <w:color w:val="auto"/>
              </w:rPr>
              <w:t>00</w:t>
            </w:r>
          </w:p>
        </w:tc>
        <w:tc>
          <w:tcPr>
            <w:tcW w:w="1440" w:type="dxa"/>
            <w:shd w:val="clear" w:color="auto" w:fill="auto"/>
            <w:noWrap/>
          </w:tcPr>
          <w:p w14:paraId="310EB6FE" w14:textId="100EB122"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49.8682</w:t>
            </w:r>
            <w:r w:rsidR="00E93892" w:rsidRPr="007140DD">
              <w:rPr>
                <w:rFonts w:ascii="Arial" w:hAnsi="Arial" w:cs="Arial"/>
                <w:color w:val="auto"/>
              </w:rPr>
              <w:t>00</w:t>
            </w:r>
          </w:p>
        </w:tc>
      </w:tr>
      <w:tr w:rsidR="007140DD" w:rsidRPr="007140DD" w14:paraId="5D416BEE"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6E0AA94" w14:textId="77777777" w:rsidR="005629EB" w:rsidRPr="007140DD" w:rsidRDefault="005629EB" w:rsidP="005A0DE9">
            <w:pPr>
              <w:rPr>
                <w:rFonts w:ascii="Arial" w:hAnsi="Arial" w:cs="Arial"/>
                <w:b w:val="0"/>
                <w:color w:val="auto"/>
              </w:rPr>
            </w:pPr>
            <w:r w:rsidRPr="007140DD">
              <w:rPr>
                <w:rFonts w:ascii="Arial" w:hAnsi="Arial" w:cs="Arial"/>
                <w:b w:val="0"/>
                <w:color w:val="auto"/>
              </w:rPr>
              <w:t>12</w:t>
            </w:r>
          </w:p>
        </w:tc>
        <w:tc>
          <w:tcPr>
            <w:tcW w:w="5395" w:type="dxa"/>
            <w:shd w:val="clear" w:color="auto" w:fill="auto"/>
            <w:noWrap/>
            <w:hideMark/>
          </w:tcPr>
          <w:p w14:paraId="63FCBC31"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 xml:space="preserve">cis-5,8,11,14-Eicosapentaenoic acid, methyl </w:t>
            </w:r>
            <w:proofErr w:type="spellStart"/>
            <w:r w:rsidRPr="007140DD">
              <w:rPr>
                <w:rFonts w:ascii="Arial" w:hAnsi="Arial" w:cs="Arial"/>
                <w:color w:val="auto"/>
              </w:rPr>
              <w:t>estes</w:t>
            </w:r>
            <w:proofErr w:type="spellEnd"/>
          </w:p>
        </w:tc>
        <w:tc>
          <w:tcPr>
            <w:tcW w:w="1260" w:type="dxa"/>
            <w:shd w:val="clear" w:color="auto" w:fill="auto"/>
            <w:noWrap/>
          </w:tcPr>
          <w:p w14:paraId="71CC8821"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0.290441</w:t>
            </w:r>
          </w:p>
        </w:tc>
        <w:tc>
          <w:tcPr>
            <w:tcW w:w="1350" w:type="dxa"/>
            <w:shd w:val="clear" w:color="auto" w:fill="auto"/>
            <w:noWrap/>
          </w:tcPr>
          <w:p w14:paraId="4E8F3C25"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0.057248</w:t>
            </w:r>
          </w:p>
        </w:tc>
        <w:tc>
          <w:tcPr>
            <w:tcW w:w="1440" w:type="dxa"/>
            <w:shd w:val="clear" w:color="auto" w:fill="auto"/>
            <w:noWrap/>
          </w:tcPr>
          <w:p w14:paraId="68032F7B"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0.601366</w:t>
            </w:r>
          </w:p>
        </w:tc>
      </w:tr>
      <w:tr w:rsidR="007140DD" w:rsidRPr="007140DD" w14:paraId="00F03A3D"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1D67908" w14:textId="77777777" w:rsidR="005629EB" w:rsidRPr="007140DD" w:rsidRDefault="005629EB" w:rsidP="005A0DE9">
            <w:pPr>
              <w:rPr>
                <w:rFonts w:ascii="Arial" w:hAnsi="Arial" w:cs="Arial"/>
                <w:b w:val="0"/>
                <w:color w:val="auto"/>
              </w:rPr>
            </w:pPr>
            <w:r w:rsidRPr="007140DD">
              <w:rPr>
                <w:rFonts w:ascii="Arial" w:hAnsi="Arial" w:cs="Arial"/>
                <w:b w:val="0"/>
                <w:color w:val="auto"/>
              </w:rPr>
              <w:t>13</w:t>
            </w:r>
          </w:p>
        </w:tc>
        <w:tc>
          <w:tcPr>
            <w:tcW w:w="5395" w:type="dxa"/>
            <w:shd w:val="clear" w:color="auto" w:fill="auto"/>
            <w:noWrap/>
            <w:hideMark/>
          </w:tcPr>
          <w:p w14:paraId="0BEDED25"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8,11,14-Eicosatrienoic acid, methyl ester</w:t>
            </w:r>
          </w:p>
        </w:tc>
        <w:tc>
          <w:tcPr>
            <w:tcW w:w="1260" w:type="dxa"/>
            <w:shd w:val="clear" w:color="auto" w:fill="auto"/>
            <w:noWrap/>
          </w:tcPr>
          <w:p w14:paraId="41AF51A0" w14:textId="744A971F"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3.01715</w:t>
            </w:r>
            <w:r w:rsidR="00E8731F" w:rsidRPr="007140DD">
              <w:rPr>
                <w:rFonts w:ascii="Arial" w:hAnsi="Arial" w:cs="Arial"/>
                <w:color w:val="auto"/>
              </w:rPr>
              <w:t>0</w:t>
            </w:r>
          </w:p>
        </w:tc>
        <w:tc>
          <w:tcPr>
            <w:tcW w:w="1350" w:type="dxa"/>
            <w:shd w:val="clear" w:color="auto" w:fill="auto"/>
            <w:noWrap/>
          </w:tcPr>
          <w:p w14:paraId="7DDB2EE7"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0.376508</w:t>
            </w:r>
          </w:p>
        </w:tc>
        <w:tc>
          <w:tcPr>
            <w:tcW w:w="1440" w:type="dxa"/>
            <w:shd w:val="clear" w:color="auto" w:fill="auto"/>
            <w:noWrap/>
          </w:tcPr>
          <w:p w14:paraId="5CA35492" w14:textId="1EAE147C"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5.34533</w:t>
            </w:r>
            <w:r w:rsidR="00E93892" w:rsidRPr="007140DD">
              <w:rPr>
                <w:rFonts w:ascii="Arial" w:hAnsi="Arial" w:cs="Arial"/>
                <w:color w:val="auto"/>
              </w:rPr>
              <w:t>0</w:t>
            </w:r>
          </w:p>
        </w:tc>
      </w:tr>
      <w:tr w:rsidR="007140DD" w:rsidRPr="007140DD" w14:paraId="588089BA"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AF6D76E" w14:textId="77777777" w:rsidR="005629EB" w:rsidRPr="007140DD" w:rsidRDefault="005629EB" w:rsidP="005A0DE9">
            <w:pPr>
              <w:rPr>
                <w:rFonts w:ascii="Arial" w:hAnsi="Arial" w:cs="Arial"/>
                <w:b w:val="0"/>
                <w:color w:val="auto"/>
              </w:rPr>
            </w:pPr>
            <w:r w:rsidRPr="007140DD">
              <w:rPr>
                <w:rFonts w:ascii="Arial" w:hAnsi="Arial" w:cs="Arial"/>
                <w:b w:val="0"/>
                <w:color w:val="auto"/>
              </w:rPr>
              <w:t>14</w:t>
            </w:r>
          </w:p>
        </w:tc>
        <w:tc>
          <w:tcPr>
            <w:tcW w:w="5395" w:type="dxa"/>
            <w:shd w:val="clear" w:color="auto" w:fill="auto"/>
            <w:noWrap/>
            <w:hideMark/>
          </w:tcPr>
          <w:p w14:paraId="0AB36351"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cis-11,14-Eicosadienoic acid, methyl ester</w:t>
            </w:r>
          </w:p>
        </w:tc>
        <w:tc>
          <w:tcPr>
            <w:tcW w:w="1260" w:type="dxa"/>
            <w:shd w:val="clear" w:color="auto" w:fill="auto"/>
            <w:noWrap/>
          </w:tcPr>
          <w:p w14:paraId="1EF5DCED"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0.896968</w:t>
            </w:r>
          </w:p>
        </w:tc>
        <w:tc>
          <w:tcPr>
            <w:tcW w:w="1350" w:type="dxa"/>
            <w:shd w:val="clear" w:color="auto" w:fill="auto"/>
            <w:noWrap/>
          </w:tcPr>
          <w:p w14:paraId="59293EA9" w14:textId="4376EEB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0.10823</w:t>
            </w:r>
            <w:r w:rsidR="00E8731F" w:rsidRPr="007140DD">
              <w:rPr>
                <w:rFonts w:ascii="Arial" w:hAnsi="Arial" w:cs="Arial"/>
                <w:color w:val="auto"/>
              </w:rPr>
              <w:t>0</w:t>
            </w:r>
          </w:p>
        </w:tc>
        <w:tc>
          <w:tcPr>
            <w:tcW w:w="1440" w:type="dxa"/>
            <w:shd w:val="clear" w:color="auto" w:fill="auto"/>
            <w:noWrap/>
          </w:tcPr>
          <w:p w14:paraId="1E55B153" w14:textId="17549631"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2.56009</w:t>
            </w:r>
            <w:r w:rsidR="00E93892" w:rsidRPr="007140DD">
              <w:rPr>
                <w:rFonts w:ascii="Arial" w:hAnsi="Arial" w:cs="Arial"/>
                <w:color w:val="auto"/>
              </w:rPr>
              <w:t>0</w:t>
            </w:r>
          </w:p>
        </w:tc>
      </w:tr>
      <w:tr w:rsidR="007140DD" w:rsidRPr="007140DD" w14:paraId="0BAD4BB7"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63096D6" w14:textId="77777777" w:rsidR="005629EB" w:rsidRPr="007140DD" w:rsidRDefault="005629EB" w:rsidP="005A0DE9">
            <w:pPr>
              <w:rPr>
                <w:rFonts w:ascii="Arial" w:hAnsi="Arial" w:cs="Arial"/>
                <w:b w:val="0"/>
                <w:color w:val="auto"/>
              </w:rPr>
            </w:pPr>
            <w:r w:rsidRPr="007140DD">
              <w:rPr>
                <w:rFonts w:ascii="Arial" w:hAnsi="Arial" w:cs="Arial"/>
                <w:b w:val="0"/>
                <w:color w:val="auto"/>
              </w:rPr>
              <w:t>15</w:t>
            </w:r>
          </w:p>
        </w:tc>
        <w:tc>
          <w:tcPr>
            <w:tcW w:w="5395" w:type="dxa"/>
            <w:shd w:val="clear" w:color="auto" w:fill="auto"/>
            <w:noWrap/>
            <w:hideMark/>
          </w:tcPr>
          <w:p w14:paraId="211769A9"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cis-11-14-17-Eicosatrienoic acid, methyl ester</w:t>
            </w:r>
          </w:p>
        </w:tc>
        <w:tc>
          <w:tcPr>
            <w:tcW w:w="1260" w:type="dxa"/>
            <w:shd w:val="clear" w:color="auto" w:fill="auto"/>
            <w:noWrap/>
          </w:tcPr>
          <w:p w14:paraId="1A3D2AAD" w14:textId="6C948735"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2.21578</w:t>
            </w:r>
            <w:r w:rsidR="00E8731F" w:rsidRPr="007140DD">
              <w:rPr>
                <w:rFonts w:ascii="Arial" w:hAnsi="Arial" w:cs="Arial"/>
                <w:color w:val="auto"/>
              </w:rPr>
              <w:t>0</w:t>
            </w:r>
          </w:p>
        </w:tc>
        <w:tc>
          <w:tcPr>
            <w:tcW w:w="1350" w:type="dxa"/>
            <w:shd w:val="clear" w:color="auto" w:fill="auto"/>
            <w:noWrap/>
          </w:tcPr>
          <w:p w14:paraId="379ADDC1" w14:textId="44B0BE0B"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1.04173</w:t>
            </w:r>
            <w:r w:rsidR="00E8731F" w:rsidRPr="007140DD">
              <w:rPr>
                <w:rFonts w:ascii="Arial" w:hAnsi="Arial" w:cs="Arial"/>
                <w:color w:val="auto"/>
              </w:rPr>
              <w:t>0</w:t>
            </w:r>
          </w:p>
        </w:tc>
        <w:tc>
          <w:tcPr>
            <w:tcW w:w="1440" w:type="dxa"/>
            <w:shd w:val="clear" w:color="auto" w:fill="auto"/>
            <w:noWrap/>
          </w:tcPr>
          <w:p w14:paraId="4B3A03B6" w14:textId="231291AC"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3.10326</w:t>
            </w:r>
            <w:r w:rsidR="00E93892" w:rsidRPr="007140DD">
              <w:rPr>
                <w:rFonts w:ascii="Arial" w:hAnsi="Arial" w:cs="Arial"/>
                <w:color w:val="auto"/>
              </w:rPr>
              <w:t>0</w:t>
            </w:r>
          </w:p>
        </w:tc>
      </w:tr>
      <w:tr w:rsidR="007140DD" w:rsidRPr="007140DD" w14:paraId="7167CAD8"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123E62DB" w14:textId="77777777" w:rsidR="005629EB" w:rsidRPr="007140DD" w:rsidRDefault="005629EB" w:rsidP="005A0DE9">
            <w:pPr>
              <w:rPr>
                <w:rFonts w:ascii="Arial" w:hAnsi="Arial" w:cs="Arial"/>
                <w:b w:val="0"/>
                <w:color w:val="auto"/>
              </w:rPr>
            </w:pPr>
            <w:r w:rsidRPr="007140DD">
              <w:rPr>
                <w:rFonts w:ascii="Arial" w:hAnsi="Arial" w:cs="Arial"/>
                <w:b w:val="0"/>
                <w:color w:val="auto"/>
              </w:rPr>
              <w:t>16</w:t>
            </w:r>
          </w:p>
        </w:tc>
        <w:tc>
          <w:tcPr>
            <w:tcW w:w="5395" w:type="dxa"/>
            <w:shd w:val="clear" w:color="auto" w:fill="auto"/>
            <w:noWrap/>
            <w:hideMark/>
          </w:tcPr>
          <w:p w14:paraId="7E6327F3"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roofErr w:type="spellStart"/>
            <w:r w:rsidRPr="007140DD">
              <w:rPr>
                <w:rFonts w:ascii="Arial" w:hAnsi="Arial" w:cs="Arial"/>
                <w:color w:val="auto"/>
              </w:rPr>
              <w:t>Eicosanoic</w:t>
            </w:r>
            <w:proofErr w:type="spellEnd"/>
            <w:r w:rsidRPr="007140DD">
              <w:rPr>
                <w:rFonts w:ascii="Arial" w:hAnsi="Arial" w:cs="Arial"/>
                <w:color w:val="auto"/>
              </w:rPr>
              <w:t xml:space="preserve"> acid, methyl ester</w:t>
            </w:r>
          </w:p>
        </w:tc>
        <w:tc>
          <w:tcPr>
            <w:tcW w:w="1260" w:type="dxa"/>
            <w:shd w:val="clear" w:color="auto" w:fill="auto"/>
            <w:noWrap/>
          </w:tcPr>
          <w:p w14:paraId="3D007E8D" w14:textId="1913DB5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1.62619</w:t>
            </w:r>
            <w:r w:rsidR="00E8731F" w:rsidRPr="007140DD">
              <w:rPr>
                <w:rFonts w:ascii="Arial" w:hAnsi="Arial" w:cs="Arial"/>
                <w:color w:val="auto"/>
              </w:rPr>
              <w:t>0</w:t>
            </w:r>
          </w:p>
        </w:tc>
        <w:tc>
          <w:tcPr>
            <w:tcW w:w="1350" w:type="dxa"/>
            <w:shd w:val="clear" w:color="auto" w:fill="auto"/>
            <w:noWrap/>
          </w:tcPr>
          <w:p w14:paraId="5703C901" w14:textId="4B77847C"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1.61359</w:t>
            </w:r>
            <w:r w:rsidR="00E8731F" w:rsidRPr="007140DD">
              <w:rPr>
                <w:rFonts w:ascii="Arial" w:hAnsi="Arial" w:cs="Arial"/>
                <w:color w:val="auto"/>
              </w:rPr>
              <w:t>0</w:t>
            </w:r>
          </w:p>
        </w:tc>
        <w:tc>
          <w:tcPr>
            <w:tcW w:w="1440" w:type="dxa"/>
            <w:shd w:val="clear" w:color="auto" w:fill="auto"/>
            <w:noWrap/>
          </w:tcPr>
          <w:p w14:paraId="474306C7" w14:textId="1A6B2BFC"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3.35813</w:t>
            </w:r>
            <w:r w:rsidR="00E93892" w:rsidRPr="007140DD">
              <w:rPr>
                <w:rFonts w:ascii="Arial" w:hAnsi="Arial" w:cs="Arial"/>
                <w:color w:val="auto"/>
              </w:rPr>
              <w:t>0</w:t>
            </w:r>
          </w:p>
        </w:tc>
      </w:tr>
      <w:tr w:rsidR="007140DD" w:rsidRPr="007140DD" w14:paraId="049864AB"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35DDB668" w14:textId="77777777" w:rsidR="005629EB" w:rsidRPr="007140DD" w:rsidRDefault="005629EB" w:rsidP="005A0DE9">
            <w:pPr>
              <w:rPr>
                <w:rFonts w:ascii="Arial" w:hAnsi="Arial" w:cs="Arial"/>
                <w:b w:val="0"/>
                <w:color w:val="auto"/>
              </w:rPr>
            </w:pPr>
            <w:r w:rsidRPr="007140DD">
              <w:rPr>
                <w:rFonts w:ascii="Arial" w:hAnsi="Arial" w:cs="Arial"/>
                <w:b w:val="0"/>
                <w:color w:val="auto"/>
              </w:rPr>
              <w:t>17</w:t>
            </w:r>
          </w:p>
        </w:tc>
        <w:tc>
          <w:tcPr>
            <w:tcW w:w="5395" w:type="dxa"/>
            <w:shd w:val="clear" w:color="auto" w:fill="auto"/>
            <w:noWrap/>
            <w:hideMark/>
          </w:tcPr>
          <w:p w14:paraId="15AB8A07"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roofErr w:type="spellStart"/>
            <w:r w:rsidRPr="007140DD">
              <w:rPr>
                <w:rFonts w:ascii="Arial" w:hAnsi="Arial" w:cs="Arial"/>
                <w:color w:val="auto"/>
              </w:rPr>
              <w:t>Heneicosanoic</w:t>
            </w:r>
            <w:proofErr w:type="spellEnd"/>
            <w:r w:rsidRPr="007140DD">
              <w:rPr>
                <w:rFonts w:ascii="Arial" w:hAnsi="Arial" w:cs="Arial"/>
                <w:color w:val="auto"/>
              </w:rPr>
              <w:t xml:space="preserve"> acid, methyl ester</w:t>
            </w:r>
          </w:p>
        </w:tc>
        <w:tc>
          <w:tcPr>
            <w:tcW w:w="1260" w:type="dxa"/>
            <w:shd w:val="clear" w:color="auto" w:fill="auto"/>
            <w:noWrap/>
          </w:tcPr>
          <w:p w14:paraId="70DAE4A3"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0.076963</w:t>
            </w:r>
          </w:p>
        </w:tc>
        <w:tc>
          <w:tcPr>
            <w:tcW w:w="1350" w:type="dxa"/>
            <w:shd w:val="clear" w:color="auto" w:fill="auto"/>
            <w:noWrap/>
          </w:tcPr>
          <w:p w14:paraId="188246F7"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0.038976</w:t>
            </w:r>
          </w:p>
        </w:tc>
        <w:tc>
          <w:tcPr>
            <w:tcW w:w="1440" w:type="dxa"/>
            <w:shd w:val="clear" w:color="auto" w:fill="auto"/>
            <w:noWrap/>
          </w:tcPr>
          <w:p w14:paraId="58E92E0C"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0.066248</w:t>
            </w:r>
          </w:p>
        </w:tc>
      </w:tr>
      <w:tr w:rsidR="007140DD" w:rsidRPr="007140DD" w14:paraId="48454AAF"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655AB395" w14:textId="77777777" w:rsidR="005629EB" w:rsidRPr="007140DD" w:rsidRDefault="005629EB" w:rsidP="005A0DE9">
            <w:pPr>
              <w:rPr>
                <w:rFonts w:ascii="Arial" w:hAnsi="Arial" w:cs="Arial"/>
                <w:b w:val="0"/>
                <w:color w:val="auto"/>
              </w:rPr>
            </w:pPr>
            <w:r w:rsidRPr="007140DD">
              <w:rPr>
                <w:rFonts w:ascii="Arial" w:hAnsi="Arial" w:cs="Arial"/>
                <w:b w:val="0"/>
                <w:color w:val="auto"/>
              </w:rPr>
              <w:t>18</w:t>
            </w:r>
          </w:p>
        </w:tc>
        <w:tc>
          <w:tcPr>
            <w:tcW w:w="5395" w:type="dxa"/>
            <w:shd w:val="clear" w:color="auto" w:fill="auto"/>
            <w:noWrap/>
            <w:hideMark/>
          </w:tcPr>
          <w:p w14:paraId="63A8558F"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cis-13,16-Docasadienoic acid, methyl ester</w:t>
            </w:r>
          </w:p>
        </w:tc>
        <w:tc>
          <w:tcPr>
            <w:tcW w:w="1260" w:type="dxa"/>
            <w:shd w:val="clear" w:color="auto" w:fill="auto"/>
            <w:noWrap/>
          </w:tcPr>
          <w:p w14:paraId="4BE74782"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0.049436</w:t>
            </w:r>
          </w:p>
        </w:tc>
        <w:tc>
          <w:tcPr>
            <w:tcW w:w="1350" w:type="dxa"/>
            <w:shd w:val="clear" w:color="auto" w:fill="auto"/>
            <w:noWrap/>
          </w:tcPr>
          <w:p w14:paraId="02AF2A09"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0.123327</w:t>
            </w:r>
          </w:p>
        </w:tc>
        <w:tc>
          <w:tcPr>
            <w:tcW w:w="1440" w:type="dxa"/>
            <w:shd w:val="clear" w:color="auto" w:fill="auto"/>
            <w:noWrap/>
          </w:tcPr>
          <w:p w14:paraId="14EC4CA6"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0.103079</w:t>
            </w:r>
          </w:p>
        </w:tc>
      </w:tr>
      <w:tr w:rsidR="007140DD" w:rsidRPr="007140DD" w14:paraId="110DC661"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54EE5E8" w14:textId="77777777" w:rsidR="005629EB" w:rsidRPr="007140DD" w:rsidRDefault="005629EB" w:rsidP="005A0DE9">
            <w:pPr>
              <w:rPr>
                <w:rFonts w:ascii="Arial" w:hAnsi="Arial" w:cs="Arial"/>
                <w:b w:val="0"/>
                <w:color w:val="auto"/>
              </w:rPr>
            </w:pPr>
            <w:r w:rsidRPr="007140DD">
              <w:rPr>
                <w:rFonts w:ascii="Arial" w:hAnsi="Arial" w:cs="Arial"/>
                <w:b w:val="0"/>
                <w:color w:val="auto"/>
              </w:rPr>
              <w:t>19</w:t>
            </w:r>
          </w:p>
        </w:tc>
        <w:tc>
          <w:tcPr>
            <w:tcW w:w="5395" w:type="dxa"/>
            <w:shd w:val="clear" w:color="auto" w:fill="auto"/>
            <w:noWrap/>
            <w:hideMark/>
          </w:tcPr>
          <w:p w14:paraId="5ED6AFF3"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Erucic acid, methyl ester</w:t>
            </w:r>
          </w:p>
        </w:tc>
        <w:tc>
          <w:tcPr>
            <w:tcW w:w="1260" w:type="dxa"/>
            <w:shd w:val="clear" w:color="auto" w:fill="auto"/>
            <w:noWrap/>
          </w:tcPr>
          <w:p w14:paraId="6D28DFBB"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0.040072</w:t>
            </w:r>
          </w:p>
        </w:tc>
        <w:tc>
          <w:tcPr>
            <w:tcW w:w="1350" w:type="dxa"/>
            <w:shd w:val="clear" w:color="auto" w:fill="auto"/>
            <w:noWrap/>
          </w:tcPr>
          <w:p w14:paraId="541BFCB2"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0.163866</w:t>
            </w:r>
          </w:p>
        </w:tc>
        <w:tc>
          <w:tcPr>
            <w:tcW w:w="1440" w:type="dxa"/>
            <w:shd w:val="clear" w:color="auto" w:fill="auto"/>
            <w:noWrap/>
          </w:tcPr>
          <w:p w14:paraId="50BA2AEE"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0.091892</w:t>
            </w:r>
          </w:p>
        </w:tc>
      </w:tr>
      <w:tr w:rsidR="007140DD" w:rsidRPr="007140DD" w14:paraId="645FB5EB"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58802984" w14:textId="77777777" w:rsidR="005629EB" w:rsidRPr="007140DD" w:rsidRDefault="005629EB" w:rsidP="005A0DE9">
            <w:pPr>
              <w:rPr>
                <w:rFonts w:ascii="Arial" w:hAnsi="Arial" w:cs="Arial"/>
                <w:b w:val="0"/>
                <w:color w:val="auto"/>
              </w:rPr>
            </w:pPr>
            <w:r w:rsidRPr="007140DD">
              <w:rPr>
                <w:rFonts w:ascii="Arial" w:hAnsi="Arial" w:cs="Arial"/>
                <w:b w:val="0"/>
                <w:color w:val="auto"/>
              </w:rPr>
              <w:t>20</w:t>
            </w:r>
          </w:p>
        </w:tc>
        <w:tc>
          <w:tcPr>
            <w:tcW w:w="5395" w:type="dxa"/>
            <w:shd w:val="clear" w:color="auto" w:fill="auto"/>
            <w:noWrap/>
            <w:hideMark/>
          </w:tcPr>
          <w:p w14:paraId="47C58239"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Behenic acid, methyl ester</w:t>
            </w:r>
          </w:p>
        </w:tc>
        <w:tc>
          <w:tcPr>
            <w:tcW w:w="1260" w:type="dxa"/>
            <w:shd w:val="clear" w:color="auto" w:fill="auto"/>
            <w:noWrap/>
          </w:tcPr>
          <w:p w14:paraId="7F21934E"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0.290146</w:t>
            </w:r>
          </w:p>
        </w:tc>
        <w:tc>
          <w:tcPr>
            <w:tcW w:w="1350" w:type="dxa"/>
            <w:shd w:val="clear" w:color="auto" w:fill="auto"/>
            <w:noWrap/>
          </w:tcPr>
          <w:p w14:paraId="461D05EE"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0.260346</w:t>
            </w:r>
          </w:p>
        </w:tc>
        <w:tc>
          <w:tcPr>
            <w:tcW w:w="1440" w:type="dxa"/>
            <w:shd w:val="clear" w:color="auto" w:fill="auto"/>
            <w:noWrap/>
          </w:tcPr>
          <w:p w14:paraId="62795932"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0.501898</w:t>
            </w:r>
          </w:p>
        </w:tc>
      </w:tr>
      <w:tr w:rsidR="007140DD" w:rsidRPr="007140DD" w14:paraId="19E60FBA"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46D2E1A5" w14:textId="77777777" w:rsidR="005629EB" w:rsidRPr="007140DD" w:rsidRDefault="005629EB" w:rsidP="005A0DE9">
            <w:pPr>
              <w:rPr>
                <w:rFonts w:ascii="Arial" w:hAnsi="Arial" w:cs="Arial"/>
                <w:b w:val="0"/>
                <w:color w:val="auto"/>
              </w:rPr>
            </w:pPr>
            <w:r w:rsidRPr="007140DD">
              <w:rPr>
                <w:rFonts w:ascii="Arial" w:hAnsi="Arial" w:cs="Arial"/>
                <w:b w:val="0"/>
                <w:color w:val="auto"/>
              </w:rPr>
              <w:t>21</w:t>
            </w:r>
          </w:p>
        </w:tc>
        <w:tc>
          <w:tcPr>
            <w:tcW w:w="5395" w:type="dxa"/>
            <w:shd w:val="clear" w:color="auto" w:fill="auto"/>
            <w:noWrap/>
            <w:hideMark/>
          </w:tcPr>
          <w:p w14:paraId="232758A6"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roofErr w:type="spellStart"/>
            <w:r w:rsidRPr="007140DD">
              <w:rPr>
                <w:rFonts w:ascii="Arial" w:hAnsi="Arial" w:cs="Arial"/>
                <w:color w:val="auto"/>
              </w:rPr>
              <w:t>Tricosanoic</w:t>
            </w:r>
            <w:proofErr w:type="spellEnd"/>
            <w:r w:rsidRPr="007140DD">
              <w:rPr>
                <w:rFonts w:ascii="Arial" w:hAnsi="Arial" w:cs="Arial"/>
                <w:color w:val="auto"/>
              </w:rPr>
              <w:t xml:space="preserve"> acid, methyl ester</w:t>
            </w:r>
          </w:p>
        </w:tc>
        <w:tc>
          <w:tcPr>
            <w:tcW w:w="1260" w:type="dxa"/>
            <w:shd w:val="clear" w:color="auto" w:fill="auto"/>
            <w:noWrap/>
          </w:tcPr>
          <w:p w14:paraId="3780ACC0"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0.269004</w:t>
            </w:r>
          </w:p>
        </w:tc>
        <w:tc>
          <w:tcPr>
            <w:tcW w:w="1350" w:type="dxa"/>
            <w:shd w:val="clear" w:color="auto" w:fill="auto"/>
            <w:noWrap/>
          </w:tcPr>
          <w:p w14:paraId="5E70106C"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0.068751</w:t>
            </w:r>
          </w:p>
        </w:tc>
        <w:tc>
          <w:tcPr>
            <w:tcW w:w="1440" w:type="dxa"/>
            <w:shd w:val="clear" w:color="auto" w:fill="auto"/>
            <w:noWrap/>
          </w:tcPr>
          <w:p w14:paraId="0C32F4CD"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0.250441</w:t>
            </w:r>
          </w:p>
        </w:tc>
      </w:tr>
      <w:tr w:rsidR="007140DD" w:rsidRPr="007140DD" w14:paraId="1C40C684" w14:textId="77777777" w:rsidTr="00870F56">
        <w:trPr>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29F60F57" w14:textId="77777777" w:rsidR="005629EB" w:rsidRPr="007140DD" w:rsidRDefault="005629EB" w:rsidP="005A0DE9">
            <w:pPr>
              <w:rPr>
                <w:rFonts w:ascii="Arial" w:hAnsi="Arial" w:cs="Arial"/>
                <w:b w:val="0"/>
                <w:color w:val="auto"/>
              </w:rPr>
            </w:pPr>
            <w:r w:rsidRPr="007140DD">
              <w:rPr>
                <w:rFonts w:ascii="Arial" w:hAnsi="Arial" w:cs="Arial"/>
                <w:b w:val="0"/>
                <w:color w:val="auto"/>
              </w:rPr>
              <w:t>22</w:t>
            </w:r>
          </w:p>
        </w:tc>
        <w:tc>
          <w:tcPr>
            <w:tcW w:w="5395" w:type="dxa"/>
            <w:shd w:val="clear" w:color="auto" w:fill="auto"/>
            <w:noWrap/>
            <w:hideMark/>
          </w:tcPr>
          <w:p w14:paraId="5FB73BFE"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Nervonic acid, methyl ester</w:t>
            </w:r>
          </w:p>
        </w:tc>
        <w:tc>
          <w:tcPr>
            <w:tcW w:w="1260" w:type="dxa"/>
            <w:shd w:val="clear" w:color="auto" w:fill="auto"/>
            <w:noWrap/>
          </w:tcPr>
          <w:p w14:paraId="138572BE" w14:textId="29D25F6A"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0.15058</w:t>
            </w:r>
            <w:r w:rsidR="00E8731F" w:rsidRPr="007140DD">
              <w:rPr>
                <w:rFonts w:ascii="Arial" w:hAnsi="Arial" w:cs="Arial"/>
                <w:color w:val="auto"/>
              </w:rPr>
              <w:t>0</w:t>
            </w:r>
          </w:p>
        </w:tc>
        <w:tc>
          <w:tcPr>
            <w:tcW w:w="1350" w:type="dxa"/>
            <w:shd w:val="clear" w:color="auto" w:fill="auto"/>
            <w:noWrap/>
          </w:tcPr>
          <w:p w14:paraId="018F92FB"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0.136681</w:t>
            </w:r>
          </w:p>
        </w:tc>
        <w:tc>
          <w:tcPr>
            <w:tcW w:w="1440" w:type="dxa"/>
            <w:shd w:val="clear" w:color="auto" w:fill="auto"/>
            <w:noWrap/>
          </w:tcPr>
          <w:p w14:paraId="7C06643F" w14:textId="77777777" w:rsidR="005629EB" w:rsidRPr="007140DD" w:rsidRDefault="005629EB" w:rsidP="005A0D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0.051819</w:t>
            </w:r>
          </w:p>
        </w:tc>
      </w:tr>
      <w:tr w:rsidR="007140DD" w:rsidRPr="007140DD" w14:paraId="7DE31A6C" w14:textId="77777777" w:rsidTr="00870F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0" w:type="dxa"/>
            <w:shd w:val="clear" w:color="auto" w:fill="auto"/>
            <w:noWrap/>
            <w:hideMark/>
          </w:tcPr>
          <w:p w14:paraId="7C0C7E1B" w14:textId="77777777" w:rsidR="005629EB" w:rsidRPr="007140DD" w:rsidRDefault="005629EB" w:rsidP="005A0DE9">
            <w:pPr>
              <w:rPr>
                <w:rFonts w:ascii="Arial" w:hAnsi="Arial" w:cs="Arial"/>
                <w:b w:val="0"/>
                <w:color w:val="auto"/>
              </w:rPr>
            </w:pPr>
            <w:r w:rsidRPr="007140DD">
              <w:rPr>
                <w:rFonts w:ascii="Arial" w:hAnsi="Arial" w:cs="Arial"/>
                <w:b w:val="0"/>
                <w:color w:val="auto"/>
              </w:rPr>
              <w:t>23</w:t>
            </w:r>
          </w:p>
        </w:tc>
        <w:tc>
          <w:tcPr>
            <w:tcW w:w="5395" w:type="dxa"/>
            <w:shd w:val="clear" w:color="auto" w:fill="auto"/>
            <w:noWrap/>
            <w:hideMark/>
          </w:tcPr>
          <w:p w14:paraId="064ECEF1"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Lignoceric acid, methyl ester</w:t>
            </w:r>
          </w:p>
        </w:tc>
        <w:tc>
          <w:tcPr>
            <w:tcW w:w="1260" w:type="dxa"/>
            <w:shd w:val="clear" w:color="auto" w:fill="auto"/>
            <w:noWrap/>
          </w:tcPr>
          <w:p w14:paraId="1865B437"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0.526263</w:t>
            </w:r>
          </w:p>
        </w:tc>
        <w:tc>
          <w:tcPr>
            <w:tcW w:w="1350" w:type="dxa"/>
            <w:shd w:val="clear" w:color="auto" w:fill="auto"/>
            <w:noWrap/>
          </w:tcPr>
          <w:p w14:paraId="10BF7275" w14:textId="432276BE"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0.21497</w:t>
            </w:r>
            <w:r w:rsidR="00E8731F" w:rsidRPr="007140DD">
              <w:rPr>
                <w:rFonts w:ascii="Arial" w:hAnsi="Arial" w:cs="Arial"/>
                <w:color w:val="auto"/>
              </w:rPr>
              <w:t>0</w:t>
            </w:r>
          </w:p>
        </w:tc>
        <w:tc>
          <w:tcPr>
            <w:tcW w:w="1440" w:type="dxa"/>
            <w:shd w:val="clear" w:color="auto" w:fill="auto"/>
            <w:noWrap/>
          </w:tcPr>
          <w:p w14:paraId="1B96A921" w14:textId="77777777" w:rsidR="005629EB" w:rsidRPr="007140DD" w:rsidRDefault="005629EB" w:rsidP="005A0D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0.556829</w:t>
            </w:r>
          </w:p>
        </w:tc>
      </w:tr>
    </w:tbl>
    <w:p w14:paraId="0C798D5C" w14:textId="77777777" w:rsidR="005629EB" w:rsidRPr="007140DD" w:rsidRDefault="005629EB" w:rsidP="005629EB">
      <w:pPr>
        <w:jc w:val="center"/>
        <w:rPr>
          <w:rFonts w:ascii="Arial" w:hAnsi="Arial" w:cs="Arial"/>
        </w:rPr>
      </w:pPr>
    </w:p>
    <w:p w14:paraId="2E30BA18" w14:textId="77777777" w:rsidR="005629EB" w:rsidRPr="007140DD" w:rsidRDefault="005629EB" w:rsidP="005629EB">
      <w:pPr>
        <w:rPr>
          <w:rFonts w:ascii="Arial" w:hAnsi="Arial" w:cs="Arial"/>
        </w:rPr>
      </w:pPr>
    </w:p>
    <w:p w14:paraId="1E6002FD" w14:textId="77777777" w:rsidR="005629EB" w:rsidRPr="007140DD" w:rsidRDefault="007F1D4F" w:rsidP="005629EB">
      <w:pPr>
        <w:rPr>
          <w:rFonts w:ascii="Arial" w:hAnsi="Arial" w:cs="Arial"/>
        </w:rPr>
      </w:pPr>
      <w:r w:rsidRPr="007140DD">
        <w:rPr>
          <w:rFonts w:ascii="Arial" w:hAnsi="Arial" w:cs="Arial"/>
          <w:noProof/>
        </w:rPr>
        <w:object w:dxaOrig="1440" w:dyaOrig="1440" w14:anchorId="5E787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2.75pt;margin-top:7.1pt;width:146.25pt;height:27.75pt;z-index:251663360;mso-position-horizontal-relative:text;mso-position-vertical-relative:text;mso-width-relative:page;mso-height-relative:page">
            <v:imagedata r:id="rId15" o:title=""/>
          </v:shape>
          <o:OLEObject Type="Embed" ProgID="ACD.ChemSketch.20" ShapeID="_x0000_s1042" DrawAspect="Content" ObjectID="_1814700263" r:id="rId16">
            <o:FieldCodes>\s</o:FieldCodes>
          </o:OLEObject>
        </w:object>
      </w:r>
      <w:r w:rsidRPr="007140DD">
        <w:rPr>
          <w:rFonts w:ascii="Arial" w:hAnsi="Arial" w:cs="Arial"/>
          <w:noProof/>
        </w:rPr>
        <w:object w:dxaOrig="1440" w:dyaOrig="1440" w14:anchorId="4E3A7920">
          <v:shape id="_x0000_s1043" type="#_x0000_t75" style="position:absolute;margin-left:180.45pt;margin-top:.8pt;width:147pt;height:41.55pt;z-index:251664384;mso-position-horizontal-relative:text;mso-position-vertical-relative:text;mso-width-relative:page;mso-height-relative:page">
            <v:imagedata r:id="rId17" o:title=""/>
          </v:shape>
          <o:OLEObject Type="Embed" ProgID="ACD.ChemSketch.20" ShapeID="_x0000_s1043" DrawAspect="Content" ObjectID="_1814700264" r:id="rId18">
            <o:FieldCodes>\s</o:FieldCodes>
          </o:OLEObject>
        </w:object>
      </w:r>
    </w:p>
    <w:p w14:paraId="645F5656" w14:textId="77777777" w:rsidR="005629EB" w:rsidRPr="007140DD" w:rsidRDefault="005629EB" w:rsidP="005629EB">
      <w:pPr>
        <w:rPr>
          <w:rFonts w:ascii="Arial" w:hAnsi="Arial" w:cs="Arial"/>
        </w:rPr>
      </w:pPr>
    </w:p>
    <w:p w14:paraId="38800473" w14:textId="77777777" w:rsidR="005629EB" w:rsidRPr="007140DD" w:rsidRDefault="007F1D4F" w:rsidP="005629EB">
      <w:pPr>
        <w:rPr>
          <w:rFonts w:ascii="Arial" w:hAnsi="Arial" w:cs="Arial"/>
        </w:rPr>
      </w:pPr>
      <w:r w:rsidRPr="007140DD">
        <w:rPr>
          <w:rFonts w:ascii="Arial" w:hAnsi="Arial" w:cs="Arial"/>
          <w:noProof/>
        </w:rPr>
        <w:object w:dxaOrig="1440" w:dyaOrig="1440" w14:anchorId="34459765">
          <v:shape id="_x0000_s1045" type="#_x0000_t75" style="position:absolute;margin-left:319.5pt;margin-top:6.35pt;width:131.6pt;height:60pt;z-index:251666432;mso-position-horizontal-relative:text;mso-position-vertical-relative:text;mso-width-relative:page;mso-height-relative:page">
            <v:imagedata r:id="rId19" o:title=""/>
          </v:shape>
          <o:OLEObject Type="Embed" ProgID="ACD.ChemSketch.20" ShapeID="_x0000_s1045" DrawAspect="Content" ObjectID="_1814700265" r:id="rId20">
            <o:FieldCodes>\s</o:FieldCodes>
          </o:OLEObject>
        </w:object>
      </w:r>
    </w:p>
    <w:p w14:paraId="22377623" w14:textId="77777777" w:rsidR="005629EB" w:rsidRPr="007140DD" w:rsidRDefault="005629EB" w:rsidP="005629EB">
      <w:pPr>
        <w:rPr>
          <w:rFonts w:ascii="Arial" w:hAnsi="Arial" w:cs="Arial"/>
        </w:rPr>
      </w:pPr>
    </w:p>
    <w:p w14:paraId="44BBE5B2" w14:textId="77777777" w:rsidR="005629EB" w:rsidRPr="007140DD" w:rsidRDefault="007F1D4F" w:rsidP="005629EB">
      <w:pPr>
        <w:rPr>
          <w:rFonts w:ascii="Arial" w:hAnsi="Arial" w:cs="Arial"/>
        </w:rPr>
      </w:pPr>
      <w:r w:rsidRPr="007140DD">
        <w:rPr>
          <w:rFonts w:ascii="Arial" w:hAnsi="Arial" w:cs="Arial"/>
          <w:noProof/>
        </w:rPr>
        <w:object w:dxaOrig="1440" w:dyaOrig="1440" w14:anchorId="6CCDBE34">
          <v:shape id="_x0000_s1039" type="#_x0000_t75" style="position:absolute;margin-left:9.75pt;margin-top:7.5pt;width:114.75pt;height:38.4pt;z-index:251660288;mso-position-horizontal-relative:text;mso-position-vertical-relative:text;mso-width-relative:page;mso-height-relative:page">
            <v:imagedata r:id="rId21" o:title=""/>
          </v:shape>
          <o:OLEObject Type="Embed" ProgID="ACD.ChemSketch.20" ShapeID="_x0000_s1039" DrawAspect="Content" ObjectID="_1814700266" r:id="rId22">
            <o:FieldCodes>\s</o:FieldCodes>
          </o:OLEObject>
        </w:object>
      </w:r>
    </w:p>
    <w:p w14:paraId="7767B45A" w14:textId="77777777" w:rsidR="005629EB" w:rsidRPr="007140DD" w:rsidRDefault="007F1D4F" w:rsidP="005629EB">
      <w:pPr>
        <w:spacing w:before="100" w:beforeAutospacing="1" w:after="100" w:afterAutospacing="1"/>
        <w:jc w:val="both"/>
        <w:rPr>
          <w:rFonts w:ascii="Arial" w:hAnsi="Arial" w:cs="Arial"/>
        </w:rPr>
      </w:pPr>
      <w:r w:rsidRPr="007140DD">
        <w:rPr>
          <w:rFonts w:ascii="Arial" w:hAnsi="Arial" w:cs="Arial"/>
          <w:noProof/>
        </w:rPr>
        <w:lastRenderedPageBreak/>
        <w:object w:dxaOrig="1440" w:dyaOrig="1440" w14:anchorId="2C06B9CB">
          <v:shape id="_x0000_s1040" type="#_x0000_t75" style="position:absolute;left:0;text-align:left;margin-left:153.75pt;margin-top:7.25pt;width:129.45pt;height:40.6pt;z-index:251661312;mso-position-horizontal-relative:text;mso-position-vertical-relative:text;mso-width-relative:page;mso-height-relative:page">
            <v:imagedata r:id="rId23" o:title=""/>
          </v:shape>
          <o:OLEObject Type="Embed" ProgID="ACD.ChemSketch.20" ShapeID="_x0000_s1040" DrawAspect="Content" ObjectID="_1814700267" r:id="rId24">
            <o:FieldCodes>\s</o:FieldCodes>
          </o:OLEObject>
        </w:object>
      </w:r>
      <w:r w:rsidR="005629EB" w:rsidRPr="007140DD">
        <w:rPr>
          <w:rFonts w:ascii="Arial" w:hAnsi="Arial" w:cs="Arial"/>
        </w:rPr>
        <w:t xml:space="preserve">                                                                                                    </w:t>
      </w:r>
    </w:p>
    <w:p w14:paraId="607EE6F7" w14:textId="77777777" w:rsidR="005629EB" w:rsidRPr="007140DD" w:rsidRDefault="007F1D4F" w:rsidP="005629EB">
      <w:pPr>
        <w:spacing w:before="100" w:beforeAutospacing="1" w:after="100" w:afterAutospacing="1"/>
        <w:jc w:val="both"/>
        <w:rPr>
          <w:rFonts w:ascii="Arial" w:hAnsi="Arial" w:cs="Arial"/>
        </w:rPr>
      </w:pPr>
      <w:r w:rsidRPr="007140DD">
        <w:rPr>
          <w:rFonts w:ascii="Arial" w:hAnsi="Arial" w:cs="Arial"/>
          <w:noProof/>
        </w:rPr>
        <w:object w:dxaOrig="1440" w:dyaOrig="1440" w14:anchorId="19125F9D">
          <v:shape id="_x0000_s1041" type="#_x0000_t75" style="position:absolute;left:0;text-align:left;margin-left:241.95pt;margin-top:6pt;width:132.3pt;height:72.75pt;z-index:251662336;mso-position-horizontal-relative:text;mso-position-vertical-relative:text;mso-width-relative:page;mso-height-relative:page">
            <v:imagedata r:id="rId25" o:title=""/>
          </v:shape>
          <o:OLEObject Type="Embed" ProgID="ACD.ChemSketch.20" ShapeID="_x0000_s1041" DrawAspect="Content" ObjectID="_1814700268" r:id="rId26">
            <o:FieldCodes>\s</o:FieldCodes>
          </o:OLEObject>
        </w:object>
      </w:r>
      <w:r w:rsidRPr="007140DD">
        <w:rPr>
          <w:rFonts w:ascii="Arial" w:hAnsi="Arial" w:cs="Arial"/>
          <w:noProof/>
        </w:rPr>
        <w:object w:dxaOrig="1440" w:dyaOrig="1440" w14:anchorId="70EACCB8">
          <v:shape id="_x0000_s1044" type="#_x0000_t75" style="position:absolute;left:0;text-align:left;margin-left:14.25pt;margin-top:6.15pt;width:139.5pt;height:59.25pt;z-index:251665408;mso-position-horizontal-relative:text;mso-position-vertical-relative:text;mso-width-relative:page;mso-height-relative:page">
            <v:imagedata r:id="rId27" o:title=""/>
          </v:shape>
          <o:OLEObject Type="Embed" ProgID="ACD.ChemSketch.20" ShapeID="_x0000_s1044" DrawAspect="Content" ObjectID="_1814700269" r:id="rId28">
            <o:FieldCodes>\s</o:FieldCodes>
          </o:OLEObject>
        </w:object>
      </w:r>
    </w:p>
    <w:p w14:paraId="7F6F7EBF" w14:textId="77777777" w:rsidR="005629EB" w:rsidRPr="007140DD" w:rsidRDefault="005629EB" w:rsidP="005629EB">
      <w:pPr>
        <w:spacing w:before="100" w:beforeAutospacing="1" w:after="100" w:afterAutospacing="1"/>
        <w:jc w:val="both"/>
        <w:rPr>
          <w:rFonts w:ascii="Arial" w:hAnsi="Arial" w:cs="Arial"/>
        </w:rPr>
      </w:pPr>
      <w:r w:rsidRPr="007140DD">
        <w:rPr>
          <w:rFonts w:ascii="Arial" w:hAnsi="Arial" w:cs="Arial"/>
        </w:rPr>
        <w:t xml:space="preserve">                                                                                  </w:t>
      </w:r>
    </w:p>
    <w:p w14:paraId="649AB4B0" w14:textId="6FC46BDC" w:rsidR="007E1CDC" w:rsidRPr="007140DD" w:rsidRDefault="005629EB" w:rsidP="005629EB">
      <w:pPr>
        <w:spacing w:before="100" w:beforeAutospacing="1" w:after="100" w:afterAutospacing="1"/>
        <w:jc w:val="both"/>
        <w:rPr>
          <w:rFonts w:ascii="Arial" w:hAnsi="Arial" w:cs="Arial"/>
        </w:rPr>
      </w:pPr>
      <w:r w:rsidRPr="007140DD">
        <w:rPr>
          <w:rFonts w:ascii="Arial" w:hAnsi="Arial" w:cs="Arial"/>
        </w:rPr>
        <w:t xml:space="preserve">                                                                                      </w:t>
      </w:r>
    </w:p>
    <w:p w14:paraId="0912B0AC" w14:textId="6026D788" w:rsidR="005629EB" w:rsidRPr="007140DD" w:rsidRDefault="007F1D4F" w:rsidP="005629EB">
      <w:pPr>
        <w:spacing w:before="100" w:beforeAutospacing="1" w:after="100" w:afterAutospacing="1"/>
        <w:jc w:val="both"/>
        <w:rPr>
          <w:rFonts w:ascii="Arial" w:hAnsi="Arial" w:cs="Arial"/>
        </w:rPr>
      </w:pPr>
      <w:r w:rsidRPr="007140DD">
        <w:rPr>
          <w:rFonts w:ascii="Arial" w:eastAsiaTheme="minorHAnsi" w:hAnsi="Arial" w:cs="Arial"/>
          <w:noProof/>
        </w:rPr>
        <w:object w:dxaOrig="1440" w:dyaOrig="1440" w14:anchorId="31A0079C">
          <v:shape id="_x0000_s1046" type="#_x0000_t75" style="position:absolute;left:0;text-align:left;margin-left:8.25pt;margin-top:6.75pt;width:177.45pt;height:33.75pt;z-index:251667456;mso-position-horizontal-relative:text;mso-position-vertical-relative:text;mso-width-relative:page;mso-height-relative:page">
            <v:imagedata r:id="rId29" o:title=""/>
          </v:shape>
          <o:OLEObject Type="Embed" ProgID="ACD.ChemSketch.20" ShapeID="_x0000_s1046" DrawAspect="Content" ObjectID="_1814700270" r:id="rId30">
            <o:FieldCodes>\s</o:FieldCodes>
          </o:OLEObject>
        </w:object>
      </w:r>
      <w:r w:rsidRPr="007140DD">
        <w:rPr>
          <w:rFonts w:ascii="Arial" w:eastAsiaTheme="minorHAnsi" w:hAnsi="Arial" w:cs="Arial"/>
          <w:noProof/>
        </w:rPr>
        <w:object w:dxaOrig="1440" w:dyaOrig="1440" w14:anchorId="7ABCA201">
          <v:shape id="_x0000_s1047" type="#_x0000_t75" style="position:absolute;left:0;text-align:left;margin-left:228.75pt;margin-top:15.75pt;width:178.2pt;height:48.75pt;z-index:251668480;mso-position-horizontal-relative:text;mso-position-vertical-relative:text;mso-width-relative:page;mso-height-relative:page">
            <v:imagedata r:id="rId31" o:title=""/>
          </v:shape>
          <o:OLEObject Type="Embed" ProgID="ACD.ChemSketch.20" ShapeID="_x0000_s1047" DrawAspect="Content" ObjectID="_1814700271" r:id="rId32">
            <o:FieldCodes>\s</o:FieldCodes>
          </o:OLEObject>
        </w:object>
      </w:r>
    </w:p>
    <w:p w14:paraId="2D10592D" w14:textId="77777777" w:rsidR="005629EB" w:rsidRPr="007140DD" w:rsidRDefault="007F1D4F" w:rsidP="005629EB">
      <w:pPr>
        <w:spacing w:before="100" w:beforeAutospacing="1" w:after="100" w:afterAutospacing="1"/>
        <w:jc w:val="both"/>
        <w:rPr>
          <w:rFonts w:ascii="Arial" w:hAnsi="Arial" w:cs="Arial"/>
        </w:rPr>
      </w:pPr>
      <w:r w:rsidRPr="007140DD">
        <w:rPr>
          <w:rFonts w:ascii="Arial" w:eastAsiaTheme="minorHAnsi" w:hAnsi="Arial" w:cs="Arial"/>
          <w:noProof/>
        </w:rPr>
        <w:object w:dxaOrig="1440" w:dyaOrig="1440" w14:anchorId="6350C044">
          <v:shape id="_x0000_s1048" type="#_x0000_t75" style="position:absolute;left:0;text-align:left;margin-left:12pt;margin-top:15.75pt;width:190.5pt;height:74.2pt;z-index:251669504;mso-position-horizontal-relative:text;mso-position-vertical-relative:text;mso-width-relative:page;mso-height-relative:page">
            <v:imagedata r:id="rId33" o:title=""/>
          </v:shape>
          <o:OLEObject Type="Embed" ProgID="ACD.ChemSketch.20" ShapeID="_x0000_s1048" DrawAspect="Content" ObjectID="_1814700272" r:id="rId34">
            <o:FieldCodes>\s</o:FieldCodes>
          </o:OLEObject>
        </w:object>
      </w:r>
    </w:p>
    <w:p w14:paraId="6739F102" w14:textId="77777777" w:rsidR="005629EB" w:rsidRPr="007140DD" w:rsidRDefault="007F1D4F" w:rsidP="005629EB">
      <w:pPr>
        <w:spacing w:before="100" w:beforeAutospacing="1" w:after="100" w:afterAutospacing="1"/>
        <w:jc w:val="both"/>
        <w:rPr>
          <w:rFonts w:ascii="Arial" w:hAnsi="Arial" w:cs="Arial"/>
        </w:rPr>
      </w:pPr>
      <w:r w:rsidRPr="007140DD">
        <w:rPr>
          <w:rFonts w:ascii="Arial" w:eastAsiaTheme="minorHAnsi" w:hAnsi="Arial" w:cs="Arial"/>
          <w:noProof/>
        </w:rPr>
        <w:object w:dxaOrig="1440" w:dyaOrig="1440" w14:anchorId="2BECCD51">
          <v:shape id="_x0000_s1049" type="#_x0000_t75" style="position:absolute;left:0;text-align:left;margin-left:228.75pt;margin-top:18pt;width:200.25pt;height:71.2pt;z-index:251670528;mso-position-horizontal-relative:text;mso-position-vertical-relative:text;mso-width-relative:page;mso-height-relative:page">
            <v:imagedata r:id="rId35" o:title=""/>
          </v:shape>
          <o:OLEObject Type="Embed" ProgID="ACD.ChemSketch.20" ShapeID="_x0000_s1049" DrawAspect="Content" ObjectID="_1814700273" r:id="rId36">
            <o:FieldCodes>\s</o:FieldCodes>
          </o:OLEObject>
        </w:object>
      </w:r>
    </w:p>
    <w:p w14:paraId="2C735E9F" w14:textId="40306C3A" w:rsidR="007E1CDC" w:rsidRPr="007140DD" w:rsidRDefault="005629EB" w:rsidP="005629EB">
      <w:pPr>
        <w:spacing w:before="100" w:beforeAutospacing="1" w:after="100" w:afterAutospacing="1"/>
        <w:jc w:val="both"/>
        <w:rPr>
          <w:rFonts w:ascii="Arial" w:hAnsi="Arial" w:cs="Arial"/>
        </w:rPr>
      </w:pPr>
      <w:r w:rsidRPr="007140DD">
        <w:rPr>
          <w:rFonts w:ascii="Arial" w:hAnsi="Arial" w:cs="Arial"/>
        </w:rPr>
        <w:t xml:space="preserve">                                                                                       </w:t>
      </w:r>
    </w:p>
    <w:p w14:paraId="1CB4D021" w14:textId="77777777" w:rsidR="007E1CDC" w:rsidRPr="007140DD" w:rsidRDefault="007E1CDC" w:rsidP="005629EB">
      <w:pPr>
        <w:spacing w:before="100" w:beforeAutospacing="1" w:after="100" w:afterAutospacing="1"/>
        <w:jc w:val="both"/>
        <w:rPr>
          <w:rFonts w:ascii="Arial" w:hAnsi="Arial" w:cs="Arial"/>
        </w:rPr>
      </w:pPr>
    </w:p>
    <w:p w14:paraId="026057E2" w14:textId="77777777" w:rsidR="005629EB" w:rsidRPr="007140DD" w:rsidRDefault="005629EB" w:rsidP="005629EB">
      <w:pPr>
        <w:spacing w:before="100" w:beforeAutospacing="1" w:after="100" w:afterAutospacing="1"/>
        <w:jc w:val="both"/>
        <w:rPr>
          <w:rFonts w:ascii="Arial" w:hAnsi="Arial" w:cs="Arial"/>
        </w:rPr>
      </w:pPr>
    </w:p>
    <w:p w14:paraId="45182AB4" w14:textId="77777777" w:rsidR="005629EB" w:rsidRPr="007140DD" w:rsidRDefault="007F1D4F" w:rsidP="005629EB">
      <w:pPr>
        <w:spacing w:before="100" w:beforeAutospacing="1" w:after="100" w:afterAutospacing="1"/>
        <w:jc w:val="both"/>
        <w:rPr>
          <w:rFonts w:ascii="Arial" w:hAnsi="Arial" w:cs="Arial"/>
        </w:rPr>
      </w:pPr>
      <w:r w:rsidRPr="007140DD">
        <w:rPr>
          <w:rFonts w:ascii="Arial" w:eastAsiaTheme="minorHAnsi" w:hAnsi="Arial" w:cs="Arial"/>
          <w:noProof/>
        </w:rPr>
        <w:object w:dxaOrig="1440" w:dyaOrig="1440" w14:anchorId="368D6362">
          <v:shape id="_x0000_s1050" type="#_x0000_t75" style="position:absolute;left:0;text-align:left;margin-left:0;margin-top:-.3pt;width:261pt;height:33pt;z-index:251671552;mso-position-horizontal:absolute;mso-position-horizontal-relative:text;mso-position-vertical:absolute;mso-position-vertical-relative:text;mso-width-relative:page;mso-height-relative:page">
            <v:imagedata r:id="rId37" o:title=""/>
          </v:shape>
          <o:OLEObject Type="Embed" ProgID="ACD.ChemSketch.20" ShapeID="_x0000_s1050" DrawAspect="Content" ObjectID="_1814700274" r:id="rId38">
            <o:FieldCodes>\s</o:FieldCodes>
          </o:OLEObject>
        </w:object>
      </w:r>
    </w:p>
    <w:p w14:paraId="4B2B1EAC" w14:textId="77777777" w:rsidR="005629EB" w:rsidRPr="007140DD" w:rsidRDefault="005629EB" w:rsidP="005629EB">
      <w:pPr>
        <w:spacing w:before="100" w:beforeAutospacing="1" w:after="100" w:afterAutospacing="1"/>
        <w:jc w:val="both"/>
        <w:rPr>
          <w:rFonts w:ascii="Arial" w:hAnsi="Arial" w:cs="Arial"/>
        </w:rPr>
      </w:pPr>
    </w:p>
    <w:p w14:paraId="58998FAF" w14:textId="775F22C6" w:rsidR="00870F56" w:rsidRPr="007140DD" w:rsidRDefault="005629EB" w:rsidP="00C02314">
      <w:pPr>
        <w:rPr>
          <w:rFonts w:ascii="Arial" w:hAnsi="Arial" w:cs="Arial"/>
          <w:b/>
        </w:rPr>
      </w:pPr>
      <w:r w:rsidRPr="007140DD">
        <w:rPr>
          <w:rFonts w:ascii="Arial" w:hAnsi="Arial" w:cs="Arial"/>
          <w:b/>
        </w:rPr>
        <w:t>Figure 1:</w:t>
      </w:r>
      <w:r w:rsidRPr="007140DD">
        <w:rPr>
          <w:rFonts w:ascii="Arial" w:hAnsi="Arial" w:cs="Arial"/>
        </w:rPr>
        <w:t xml:space="preserve"> </w:t>
      </w:r>
      <w:r w:rsidRPr="007140DD">
        <w:rPr>
          <w:rFonts w:ascii="Arial" w:hAnsi="Arial" w:cs="Arial"/>
          <w:b/>
        </w:rPr>
        <w:t xml:space="preserve">Structures of </w:t>
      </w:r>
      <w:r w:rsidR="00263D23" w:rsidRPr="007140DD">
        <w:rPr>
          <w:rFonts w:ascii="Arial" w:hAnsi="Arial" w:cs="Arial"/>
          <w:b/>
        </w:rPr>
        <w:t xml:space="preserve">the </w:t>
      </w:r>
      <w:r w:rsidRPr="007140DD">
        <w:rPr>
          <w:rFonts w:ascii="Arial" w:hAnsi="Arial" w:cs="Arial"/>
          <w:b/>
        </w:rPr>
        <w:t>major fatty acids identified</w:t>
      </w:r>
    </w:p>
    <w:p w14:paraId="24D9EC4F" w14:textId="77777777" w:rsidR="007E1CDC" w:rsidRPr="007140DD" w:rsidRDefault="007E1CDC" w:rsidP="00C02314">
      <w:pPr>
        <w:rPr>
          <w:rFonts w:ascii="Arial" w:hAnsi="Arial" w:cs="Arial"/>
          <w:b/>
        </w:rPr>
      </w:pPr>
    </w:p>
    <w:p w14:paraId="1920C08E" w14:textId="44B400B9" w:rsidR="005A0DE9" w:rsidRPr="007140DD" w:rsidRDefault="00711B35" w:rsidP="00BC71A5">
      <w:pPr>
        <w:spacing w:before="100" w:beforeAutospacing="1" w:after="100" w:afterAutospacing="1"/>
        <w:jc w:val="both"/>
        <w:rPr>
          <w:rFonts w:ascii="Arial" w:hAnsi="Arial" w:cs="Arial"/>
        </w:rPr>
      </w:pPr>
      <w:r w:rsidRPr="007140DD">
        <w:rPr>
          <w:rFonts w:ascii="Arial" w:hAnsi="Arial" w:cs="Arial"/>
        </w:rPr>
        <w:t xml:space="preserve">MCFAs and suggests a more stable lipid profile suitable for storage and consumption. Additionally, its </w:t>
      </w:r>
      <w:r w:rsidRPr="007140DD">
        <w:rPr>
          <w:rFonts w:ascii="Arial" w:hAnsi="Arial" w:cs="Arial"/>
          <w:bCs/>
        </w:rPr>
        <w:t xml:space="preserve">saponification value (348.75 </w:t>
      </w:r>
      <w:proofErr w:type="spellStart"/>
      <w:r w:rsidRPr="007140DD">
        <w:rPr>
          <w:rFonts w:ascii="Arial" w:hAnsi="Arial" w:cs="Arial"/>
          <w:bCs/>
        </w:rPr>
        <w:t>mgKOH</w:t>
      </w:r>
      <w:proofErr w:type="spellEnd"/>
      <w:r w:rsidRPr="007140DD">
        <w:rPr>
          <w:rFonts w:ascii="Arial" w:hAnsi="Arial" w:cs="Arial"/>
          <w:bCs/>
        </w:rPr>
        <w:t>/g)</w:t>
      </w:r>
      <w:r w:rsidRPr="007140DD">
        <w:rPr>
          <w:rFonts w:ascii="Arial" w:hAnsi="Arial" w:cs="Arial"/>
        </w:rPr>
        <w:t xml:space="preserve"> was the lowest, consistent with the presence of longer-chain fatty acids and a lower content of short-chain saturates. Sample </w:t>
      </w:r>
      <w:r w:rsidRPr="007140DD">
        <w:rPr>
          <w:rFonts w:ascii="Arial" w:hAnsi="Arial" w:cs="Arial"/>
          <w:b/>
          <w:bCs/>
        </w:rPr>
        <w:t>C</w:t>
      </w:r>
      <w:r w:rsidRPr="007140DD">
        <w:rPr>
          <w:rFonts w:ascii="Arial" w:hAnsi="Arial" w:cs="Arial"/>
        </w:rPr>
        <w:t>, representing the oil extracted from doughnuts fried in a mixture of the two fat sources, displayed a composite fatty acid profile and intermediate physicochemical properties. It retained a significant portion of the MCFAs from sample K</w:t>
      </w:r>
      <w:r w:rsidRPr="007140DD">
        <w:rPr>
          <w:rFonts w:ascii="Arial" w:hAnsi="Arial" w:cs="Arial"/>
          <w:vertAlign w:val="subscript"/>
        </w:rPr>
        <w:t>1</w:t>
      </w:r>
      <w:r w:rsidRPr="007140DD">
        <w:rPr>
          <w:rFonts w:ascii="Arial" w:hAnsi="Arial" w:cs="Arial"/>
        </w:rPr>
        <w:t xml:space="preserve"> (e.g., lauric acid: 179.368 mg/L, myristic acid: 94.112 mg/L) while also containing higher levels of </w:t>
      </w:r>
      <w:r w:rsidRPr="007140DD">
        <w:rPr>
          <w:rFonts w:ascii="Arial" w:hAnsi="Arial" w:cs="Arial"/>
          <w:bCs/>
        </w:rPr>
        <w:t>oleic/linoleic acid (168.045 mg/L)</w:t>
      </w:r>
      <w:r w:rsidRPr="007140DD">
        <w:rPr>
          <w:rFonts w:ascii="Arial" w:hAnsi="Arial" w:cs="Arial"/>
        </w:rPr>
        <w:t xml:space="preserve"> and PUFAs such as </w:t>
      </w:r>
      <w:r w:rsidRPr="007140DD">
        <w:rPr>
          <w:rFonts w:ascii="Arial" w:hAnsi="Arial" w:cs="Arial"/>
          <w:bCs/>
        </w:rPr>
        <w:t>EPA (0.601</w:t>
      </w:r>
      <w:r w:rsidRPr="007140DD">
        <w:rPr>
          <w:rFonts w:ascii="Arial" w:hAnsi="Arial" w:cs="Arial"/>
          <w:b/>
          <w:bCs/>
        </w:rPr>
        <w:t xml:space="preserve"> </w:t>
      </w:r>
      <w:r w:rsidRPr="007140DD">
        <w:rPr>
          <w:rFonts w:ascii="Arial" w:hAnsi="Arial" w:cs="Arial"/>
          <w:bCs/>
        </w:rPr>
        <w:t>mg/L)</w:t>
      </w:r>
      <w:r w:rsidRPr="007140DD">
        <w:rPr>
          <w:rFonts w:ascii="Arial" w:hAnsi="Arial" w:cs="Arial"/>
        </w:rPr>
        <w:t xml:space="preserve"> and </w:t>
      </w:r>
      <w:proofErr w:type="spellStart"/>
      <w:r w:rsidRPr="007140DD">
        <w:rPr>
          <w:rFonts w:ascii="Arial" w:hAnsi="Arial" w:cs="Arial"/>
          <w:bCs/>
        </w:rPr>
        <w:t>eicosadienoic</w:t>
      </w:r>
      <w:proofErr w:type="spellEnd"/>
      <w:r w:rsidRPr="007140DD">
        <w:rPr>
          <w:rFonts w:ascii="Arial" w:hAnsi="Arial" w:cs="Arial"/>
          <w:bCs/>
        </w:rPr>
        <w:t xml:space="preserve"> acid (2.560 mg/L)</w:t>
      </w:r>
      <w:r w:rsidRPr="007140DD">
        <w:rPr>
          <w:rFonts w:ascii="Arial" w:hAnsi="Arial" w:cs="Arial"/>
        </w:rPr>
        <w:t xml:space="preserve">. These unsaturated compounds likely contributed to its </w:t>
      </w:r>
      <w:r w:rsidRPr="007140DD">
        <w:rPr>
          <w:rFonts w:ascii="Arial" w:hAnsi="Arial" w:cs="Arial"/>
          <w:bCs/>
        </w:rPr>
        <w:t xml:space="preserve">moderate iodine value (27.34 </w:t>
      </w:r>
      <w:proofErr w:type="spellStart"/>
      <w:r w:rsidRPr="007140DD">
        <w:rPr>
          <w:rFonts w:ascii="Arial" w:hAnsi="Arial" w:cs="Arial"/>
          <w:bCs/>
        </w:rPr>
        <w:t>gI</w:t>
      </w:r>
      <w:proofErr w:type="spellEnd"/>
      <w:r w:rsidRPr="007140DD">
        <w:rPr>
          <w:rFonts w:ascii="Cambria Math" w:hAnsi="Cambria Math" w:cs="Cambria Math"/>
          <w:bCs/>
        </w:rPr>
        <w:t>₂</w:t>
      </w:r>
      <w:r w:rsidRPr="007140DD">
        <w:rPr>
          <w:rFonts w:ascii="Arial" w:hAnsi="Arial" w:cs="Arial"/>
          <w:bCs/>
        </w:rPr>
        <w:t>/100g)</w:t>
      </w:r>
      <w:r w:rsidRPr="007140DD">
        <w:rPr>
          <w:rFonts w:ascii="Arial" w:hAnsi="Arial" w:cs="Arial"/>
        </w:rPr>
        <w:t xml:space="preserve"> (lower than O but higher than K</w:t>
      </w:r>
      <w:r w:rsidRPr="007140DD">
        <w:rPr>
          <w:rFonts w:ascii="Arial" w:hAnsi="Arial" w:cs="Arial"/>
          <w:vertAlign w:val="subscript"/>
        </w:rPr>
        <w:t>1</w:t>
      </w:r>
      <w:r w:rsidRPr="007140DD">
        <w:rPr>
          <w:rFonts w:ascii="Arial" w:hAnsi="Arial" w:cs="Arial"/>
        </w:rPr>
        <w:t xml:space="preserve">) indicating a better balance between saturation and unsaturation. Notably, sample C recorded a </w:t>
      </w:r>
      <w:r w:rsidRPr="007140DD">
        <w:rPr>
          <w:rFonts w:ascii="Arial" w:hAnsi="Arial" w:cs="Arial"/>
          <w:bCs/>
        </w:rPr>
        <w:t xml:space="preserve">very high peroxide value (136.30 </w:t>
      </w:r>
      <w:proofErr w:type="spellStart"/>
      <w:r w:rsidRPr="007140DD">
        <w:rPr>
          <w:rFonts w:ascii="Arial" w:hAnsi="Arial" w:cs="Arial"/>
          <w:bCs/>
        </w:rPr>
        <w:t>meq</w:t>
      </w:r>
      <w:proofErr w:type="spellEnd"/>
      <w:r w:rsidRPr="007140DD">
        <w:rPr>
          <w:rFonts w:ascii="Arial" w:hAnsi="Arial" w:cs="Arial"/>
          <w:bCs/>
        </w:rPr>
        <w:t>/kg)</w:t>
      </w:r>
      <w:r w:rsidRPr="007140DD">
        <w:rPr>
          <w:rFonts w:ascii="Arial" w:hAnsi="Arial" w:cs="Arial"/>
        </w:rPr>
        <w:t xml:space="preserve">, substantially exceeding the acceptable limit for edible oils (typically ≤10–20 </w:t>
      </w:r>
      <w:proofErr w:type="spellStart"/>
      <w:r w:rsidRPr="007140DD">
        <w:rPr>
          <w:rFonts w:ascii="Arial" w:hAnsi="Arial" w:cs="Arial"/>
        </w:rPr>
        <w:t>meq</w:t>
      </w:r>
      <w:proofErr w:type="spellEnd"/>
      <w:r w:rsidRPr="007140DD">
        <w:rPr>
          <w:rFonts w:ascii="Arial" w:hAnsi="Arial" w:cs="Arial"/>
        </w:rPr>
        <w:t xml:space="preserve">/kg per FAO/WHO standards). This suggests extensive lipid peroxidation, likely exacerbated by the high frying temperatures and the presence of PUFAs, which are susceptible to oxidative degradation (Choe &amp; Min, 2006). The exposure to heat and oxygen during frying facilitates free radical formation, particularly in oils rich in unsaturated fats like EPA and linoleic acid. The acid value of C (3.93 </w:t>
      </w:r>
      <w:proofErr w:type="spellStart"/>
      <w:r w:rsidRPr="007140DD">
        <w:rPr>
          <w:rFonts w:ascii="Arial" w:hAnsi="Arial" w:cs="Arial"/>
        </w:rPr>
        <w:t>mgKOH</w:t>
      </w:r>
      <w:proofErr w:type="spellEnd"/>
      <w:r w:rsidRPr="007140DD">
        <w:rPr>
          <w:rFonts w:ascii="Arial" w:hAnsi="Arial" w:cs="Arial"/>
        </w:rPr>
        <w:t>/g) and FFA content (1.97%) were moderate (higher than O but lower than K</w:t>
      </w:r>
      <w:r w:rsidRPr="007140DD">
        <w:rPr>
          <w:rFonts w:ascii="Arial" w:hAnsi="Arial" w:cs="Arial"/>
          <w:vertAlign w:val="subscript"/>
        </w:rPr>
        <w:t>1</w:t>
      </w:r>
      <w:r w:rsidRPr="007140DD">
        <w:rPr>
          <w:rFonts w:ascii="Arial" w:hAnsi="Arial" w:cs="Arial"/>
        </w:rPr>
        <w:t xml:space="preserve">) reflecting some degree of hydrolysis during frying but also a dilution effect from the butter’s more stable profile. Similarly, its </w:t>
      </w:r>
      <w:r w:rsidRPr="007140DD">
        <w:rPr>
          <w:rFonts w:ascii="Arial" w:hAnsi="Arial" w:cs="Arial"/>
          <w:bCs/>
        </w:rPr>
        <w:t xml:space="preserve">saponification value (412.29 </w:t>
      </w:r>
      <w:proofErr w:type="spellStart"/>
      <w:r w:rsidRPr="007140DD">
        <w:rPr>
          <w:rFonts w:ascii="Arial" w:hAnsi="Arial" w:cs="Arial"/>
          <w:bCs/>
        </w:rPr>
        <w:t>mgKOH</w:t>
      </w:r>
      <w:proofErr w:type="spellEnd"/>
      <w:r w:rsidRPr="007140DD">
        <w:rPr>
          <w:rFonts w:ascii="Arial" w:hAnsi="Arial" w:cs="Arial"/>
          <w:bCs/>
        </w:rPr>
        <w:t>/g)</w:t>
      </w:r>
      <w:r w:rsidRPr="007140DD">
        <w:rPr>
          <w:rFonts w:ascii="Arial" w:hAnsi="Arial" w:cs="Arial"/>
        </w:rPr>
        <w:t xml:space="preserve"> was intermediate, consistent with its blend of medium- and long-chain fatty acids. Overall, this integrative analysis illustrates that the </w:t>
      </w:r>
      <w:r w:rsidRPr="007140DD">
        <w:rPr>
          <w:rFonts w:ascii="Arial" w:hAnsi="Arial" w:cs="Arial"/>
          <w:bCs/>
        </w:rPr>
        <w:t xml:space="preserve">chemical nature of fatty acids </w:t>
      </w:r>
      <w:r w:rsidRPr="007140DD">
        <w:rPr>
          <w:rFonts w:ascii="Arial" w:hAnsi="Arial" w:cs="Arial"/>
        </w:rPr>
        <w:t xml:space="preserve">(specifically chain length and degree of unsaturation) has a direct impact on the </w:t>
      </w:r>
      <w:r w:rsidRPr="007140DD">
        <w:rPr>
          <w:rFonts w:ascii="Arial" w:hAnsi="Arial" w:cs="Arial"/>
          <w:bCs/>
        </w:rPr>
        <w:t>functional characteristics</w:t>
      </w:r>
      <w:r w:rsidRPr="007140DD">
        <w:rPr>
          <w:rFonts w:ascii="Arial" w:hAnsi="Arial" w:cs="Arial"/>
        </w:rPr>
        <w:t xml:space="preserve"> of fats, such as oxidative stability (peroxide value), chemical reactivity (iodine value), and digestibility (saponification value). The unrefined oil (K</w:t>
      </w:r>
      <w:r w:rsidRPr="007140DD">
        <w:rPr>
          <w:rFonts w:ascii="Arial" w:hAnsi="Arial" w:cs="Arial"/>
          <w:vertAlign w:val="subscript"/>
        </w:rPr>
        <w:t>1</w:t>
      </w:r>
      <w:r w:rsidRPr="007140DD">
        <w:rPr>
          <w:rFonts w:ascii="Arial" w:hAnsi="Arial" w:cs="Arial"/>
        </w:rPr>
        <w:t>) offers a high-energy, MCFA-rich profile but is prone to degradation and rancidity. The butter (O) is chemically more stable and richer in unsaturated fatty acids, but has lower saponification potential. The fried doughnut oil (C) combines both profiles but shows significant oxidative damage, emphasizing the need for careful thermal processing to preserve nutritional quality.</w:t>
      </w:r>
    </w:p>
    <w:p w14:paraId="488C8DA7" w14:textId="2D22C412" w:rsidR="004A7A3C" w:rsidRPr="007140DD" w:rsidRDefault="004A7A3C" w:rsidP="00BC71A5">
      <w:pPr>
        <w:spacing w:before="100" w:beforeAutospacing="1" w:after="100" w:afterAutospacing="1"/>
        <w:jc w:val="both"/>
        <w:rPr>
          <w:rFonts w:ascii="Arial" w:hAnsi="Arial" w:cs="Arial"/>
          <w:b/>
          <w:sz w:val="22"/>
          <w:szCs w:val="22"/>
        </w:rPr>
      </w:pPr>
      <w:r w:rsidRPr="007140DD">
        <w:rPr>
          <w:rFonts w:ascii="Arial" w:hAnsi="Arial" w:cs="Arial"/>
          <w:b/>
          <w:sz w:val="22"/>
          <w:szCs w:val="22"/>
        </w:rPr>
        <w:t xml:space="preserve">3.3 Elemental </w:t>
      </w:r>
      <w:r w:rsidR="0095129F" w:rsidRPr="007140DD">
        <w:rPr>
          <w:rFonts w:ascii="Arial" w:hAnsi="Arial" w:cs="Arial"/>
          <w:b/>
          <w:sz w:val="22"/>
          <w:szCs w:val="22"/>
        </w:rPr>
        <w:t>A</w:t>
      </w:r>
      <w:r w:rsidRPr="007140DD">
        <w:rPr>
          <w:rFonts w:ascii="Arial" w:hAnsi="Arial" w:cs="Arial"/>
          <w:b/>
          <w:sz w:val="22"/>
          <w:szCs w:val="22"/>
        </w:rPr>
        <w:t xml:space="preserve">nalysis of </w:t>
      </w:r>
      <w:r w:rsidR="0095129F" w:rsidRPr="007140DD">
        <w:rPr>
          <w:rFonts w:ascii="Arial" w:hAnsi="Arial" w:cs="Arial"/>
          <w:b/>
          <w:sz w:val="22"/>
          <w:szCs w:val="22"/>
        </w:rPr>
        <w:t>Butter and Oils</w:t>
      </w:r>
    </w:p>
    <w:p w14:paraId="26141907" w14:textId="2C761A5C" w:rsidR="004A7A3C" w:rsidRPr="007140DD" w:rsidRDefault="004A7A3C" w:rsidP="00BC71A5">
      <w:pPr>
        <w:spacing w:before="100" w:beforeAutospacing="1" w:after="100" w:afterAutospacing="1"/>
        <w:jc w:val="both"/>
        <w:rPr>
          <w:rFonts w:ascii="Arial" w:hAnsi="Arial" w:cs="Arial"/>
          <w:b/>
        </w:rPr>
      </w:pPr>
      <w:r w:rsidRPr="007140DD">
        <w:rPr>
          <w:rFonts w:ascii="Arial" w:hAnsi="Arial" w:cs="Arial"/>
          <w:bdr w:val="none" w:sz="0" w:space="0" w:color="auto" w:frame="1"/>
        </w:rPr>
        <w:t xml:space="preserve">Table 4 reveals the elemental analysis results of oil samples </w:t>
      </w:r>
      <w:r w:rsidR="008A583B" w:rsidRPr="007140DD">
        <w:rPr>
          <w:rFonts w:ascii="Arial" w:hAnsi="Arial" w:cs="Arial"/>
        </w:rPr>
        <w:t>K</w:t>
      </w:r>
      <w:r w:rsidR="008A583B" w:rsidRPr="007140DD">
        <w:rPr>
          <w:rFonts w:ascii="Arial" w:hAnsi="Arial" w:cs="Arial"/>
          <w:vertAlign w:val="subscript"/>
        </w:rPr>
        <w:t>1</w:t>
      </w:r>
      <w:r w:rsidR="008A583B" w:rsidRPr="007140DD">
        <w:rPr>
          <w:rFonts w:ascii="Arial" w:hAnsi="Arial" w:cs="Arial"/>
          <w:bdr w:val="none" w:sz="0" w:space="0" w:color="auto" w:frame="1"/>
        </w:rPr>
        <w:t>,</w:t>
      </w:r>
      <w:r w:rsidRPr="007140DD">
        <w:rPr>
          <w:rFonts w:ascii="Arial" w:hAnsi="Arial" w:cs="Arial"/>
          <w:bdr w:val="none" w:sz="0" w:space="0" w:color="auto" w:frame="1"/>
        </w:rPr>
        <w:t xml:space="preserve"> O and C. </w:t>
      </w:r>
      <w:r w:rsidRPr="007140DD">
        <w:rPr>
          <w:rFonts w:ascii="Arial" w:hAnsi="Arial" w:cs="Arial"/>
        </w:rPr>
        <w:t>Locally processed oil (K</w:t>
      </w:r>
      <w:r w:rsidRPr="007140DD">
        <w:rPr>
          <w:rFonts w:ascii="Arial" w:hAnsi="Arial" w:cs="Arial"/>
          <w:vertAlign w:val="subscript"/>
        </w:rPr>
        <w:t>1</w:t>
      </w:r>
      <w:r w:rsidRPr="007140DD">
        <w:rPr>
          <w:rFonts w:ascii="Arial" w:hAnsi="Arial" w:cs="Arial"/>
        </w:rPr>
        <w:t>) had an exceptionally high potassium content (156106 ppm). Butter (O) had no detectable potassium (0 ppm). The doughnut oil (C) showed a significant amount of potassium (49006.8 ppm), indicating a substantial contribution from the locally processed oil to the final product's mineral content. Butter (O) had the highest sodium content (684.933 ppm), while K</w:t>
      </w:r>
      <w:r w:rsidRPr="007140DD">
        <w:rPr>
          <w:rFonts w:ascii="Arial" w:hAnsi="Arial" w:cs="Arial"/>
          <w:vertAlign w:val="subscript"/>
        </w:rPr>
        <w:t>1</w:t>
      </w:r>
      <w:r w:rsidRPr="007140DD">
        <w:rPr>
          <w:rFonts w:ascii="Arial" w:hAnsi="Arial" w:cs="Arial"/>
        </w:rPr>
        <w:t xml:space="preserve"> and C had much lower levels (18.192 ppm and 10.908 ppm, respectively). This suggests that the butter is a major source of sodium in the blend. Both locally processed oil (K</w:t>
      </w:r>
      <w:r w:rsidRPr="007140DD">
        <w:rPr>
          <w:rFonts w:ascii="Arial" w:hAnsi="Arial" w:cs="Arial"/>
          <w:vertAlign w:val="subscript"/>
        </w:rPr>
        <w:t>1</w:t>
      </w:r>
      <w:r w:rsidRPr="007140DD">
        <w:rPr>
          <w:rFonts w:ascii="Arial" w:hAnsi="Arial" w:cs="Arial"/>
        </w:rPr>
        <w:t xml:space="preserve">) and doughnut oil (C) had comparable and relatively high iron levels (85.4563 ppm and </w:t>
      </w:r>
      <w:r w:rsidRPr="007140DD">
        <w:rPr>
          <w:rFonts w:ascii="Arial" w:hAnsi="Arial" w:cs="Arial"/>
        </w:rPr>
        <w:lastRenderedPageBreak/>
        <w:t>84.7579 ppm, respectively), while butter (O) had a lower amount (62.1791 ppm). Iron can act as a pro-oxidant, potentially accelerating oxidative rancidity, especially at frying temperatures. The high iron content in the locally processed oil and subsequently in the doughnut oil could contribute to the observed high peroxide values. Calcium, magnesium, and phosphorus were present in all samples, with varying concentrations. The levels in the doughnut oil (C) generally fell between those of the locally processed oil (K</w:t>
      </w:r>
      <w:r w:rsidRPr="007140DD">
        <w:rPr>
          <w:rFonts w:ascii="Arial" w:hAnsi="Arial" w:cs="Arial"/>
          <w:vertAlign w:val="subscript"/>
        </w:rPr>
        <w:t>1</w:t>
      </w:r>
      <w:r w:rsidRPr="007140DD">
        <w:rPr>
          <w:rFonts w:ascii="Arial" w:hAnsi="Arial" w:cs="Arial"/>
        </w:rPr>
        <w:t>) and butter (O), reflecting the combined nature of the blend. For instance, C had 219.823 ppm Ca, 26.026 ppm Mg, and 11.4335 ppm P. The comprehensive analysis of physicochemical properties, fatty acid composition, and elemental content provides a thorough understanding of the locally processed oil, locally processed butter, and the oil extracted from doughnuts. The locally processed oil (K</w:t>
      </w:r>
      <w:r w:rsidRPr="007140DD">
        <w:rPr>
          <w:rFonts w:ascii="Arial" w:hAnsi="Arial" w:cs="Arial"/>
          <w:vertAlign w:val="subscript"/>
        </w:rPr>
        <w:t>1</w:t>
      </w:r>
      <w:r w:rsidRPr="007140DD">
        <w:rPr>
          <w:rFonts w:ascii="Arial" w:hAnsi="Arial" w:cs="Arial"/>
        </w:rPr>
        <w:t>) is characterized by high hydrolytic</w:t>
      </w:r>
    </w:p>
    <w:p w14:paraId="226C4562" w14:textId="77777777" w:rsidR="004A7A3C" w:rsidRPr="007140DD" w:rsidRDefault="004A7A3C" w:rsidP="004A7A3C">
      <w:pPr>
        <w:rPr>
          <w:rFonts w:ascii="Arial" w:hAnsi="Arial" w:cs="Arial"/>
        </w:rPr>
      </w:pPr>
      <w:r w:rsidRPr="007140DD">
        <w:rPr>
          <w:rFonts w:ascii="Arial" w:hAnsi="Arial" w:cs="Arial"/>
          <w:b/>
          <w:bCs/>
        </w:rPr>
        <w:t>Table 4: Results of elemental analysis of butter and oils</w:t>
      </w:r>
    </w:p>
    <w:tbl>
      <w:tblPr>
        <w:tblStyle w:val="ListTable6Colorful"/>
        <w:tblW w:w="8179" w:type="dxa"/>
        <w:tblLook w:val="04A0" w:firstRow="1" w:lastRow="0" w:firstColumn="1" w:lastColumn="0" w:noHBand="0" w:noVBand="1"/>
      </w:tblPr>
      <w:tblGrid>
        <w:gridCol w:w="1188"/>
        <w:gridCol w:w="1170"/>
        <w:gridCol w:w="90"/>
        <w:gridCol w:w="1080"/>
        <w:gridCol w:w="1384"/>
        <w:gridCol w:w="1260"/>
        <w:gridCol w:w="1350"/>
        <w:gridCol w:w="1051"/>
      </w:tblGrid>
      <w:tr w:rsidR="007140DD" w:rsidRPr="007140DD" w14:paraId="4D45AC94" w14:textId="77777777" w:rsidTr="00503AD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hideMark/>
          </w:tcPr>
          <w:p w14:paraId="2EAE8D41" w14:textId="77777777" w:rsidR="004A7A3C" w:rsidRPr="007140DD" w:rsidRDefault="004A7A3C" w:rsidP="00503AD0">
            <w:pPr>
              <w:rPr>
                <w:rFonts w:ascii="Arial" w:hAnsi="Arial" w:cs="Arial"/>
                <w:color w:val="auto"/>
              </w:rPr>
            </w:pPr>
            <w:r w:rsidRPr="007140DD">
              <w:rPr>
                <w:rFonts w:ascii="Arial" w:hAnsi="Arial" w:cs="Arial"/>
                <w:color w:val="auto"/>
              </w:rPr>
              <w:t>Sample ID</w:t>
            </w:r>
          </w:p>
        </w:tc>
        <w:tc>
          <w:tcPr>
            <w:tcW w:w="1260" w:type="dxa"/>
            <w:gridSpan w:val="2"/>
            <w:shd w:val="clear" w:color="auto" w:fill="auto"/>
            <w:noWrap/>
            <w:hideMark/>
          </w:tcPr>
          <w:p w14:paraId="796DC97B" w14:textId="77777777" w:rsidR="004A7A3C" w:rsidRPr="007140DD" w:rsidRDefault="004A7A3C" w:rsidP="00503AD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Ca (ppm)</w:t>
            </w:r>
          </w:p>
        </w:tc>
        <w:tc>
          <w:tcPr>
            <w:tcW w:w="1080" w:type="dxa"/>
            <w:shd w:val="clear" w:color="auto" w:fill="auto"/>
            <w:noWrap/>
            <w:hideMark/>
          </w:tcPr>
          <w:p w14:paraId="03D76FD8" w14:textId="77777777" w:rsidR="004A7A3C" w:rsidRPr="007140DD" w:rsidRDefault="004A7A3C" w:rsidP="00503AD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 xml:space="preserve">Fe (ppm)  </w:t>
            </w:r>
          </w:p>
        </w:tc>
        <w:tc>
          <w:tcPr>
            <w:tcW w:w="990" w:type="dxa"/>
            <w:shd w:val="clear" w:color="auto" w:fill="auto"/>
            <w:noWrap/>
            <w:hideMark/>
          </w:tcPr>
          <w:p w14:paraId="7AEA6431" w14:textId="77777777" w:rsidR="004A7A3C" w:rsidRPr="007140DD" w:rsidRDefault="004A7A3C" w:rsidP="00503AD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K (ppm)</w:t>
            </w:r>
          </w:p>
        </w:tc>
        <w:tc>
          <w:tcPr>
            <w:tcW w:w="1260" w:type="dxa"/>
            <w:shd w:val="clear" w:color="auto" w:fill="auto"/>
            <w:noWrap/>
            <w:hideMark/>
          </w:tcPr>
          <w:p w14:paraId="0D12AAE2" w14:textId="77777777" w:rsidR="004A7A3C" w:rsidRPr="007140DD" w:rsidRDefault="004A7A3C" w:rsidP="00503AD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Mg (ppm)</w:t>
            </w:r>
          </w:p>
        </w:tc>
        <w:tc>
          <w:tcPr>
            <w:tcW w:w="1350" w:type="dxa"/>
            <w:shd w:val="clear" w:color="auto" w:fill="auto"/>
            <w:noWrap/>
            <w:hideMark/>
          </w:tcPr>
          <w:p w14:paraId="203255FA" w14:textId="77777777" w:rsidR="004A7A3C" w:rsidRPr="007140DD" w:rsidRDefault="004A7A3C" w:rsidP="00503AD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Na (ppm)</w:t>
            </w:r>
          </w:p>
        </w:tc>
        <w:tc>
          <w:tcPr>
            <w:tcW w:w="1051" w:type="dxa"/>
            <w:shd w:val="clear" w:color="auto" w:fill="auto"/>
            <w:noWrap/>
            <w:hideMark/>
          </w:tcPr>
          <w:p w14:paraId="4619224D" w14:textId="77777777" w:rsidR="004A7A3C" w:rsidRPr="007140DD" w:rsidRDefault="004A7A3C" w:rsidP="00503AD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P (ppm)</w:t>
            </w:r>
          </w:p>
        </w:tc>
      </w:tr>
      <w:tr w:rsidR="007140DD" w:rsidRPr="007140DD" w14:paraId="28E82EBD" w14:textId="77777777" w:rsidTr="00503A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tcPr>
          <w:p w14:paraId="04FA83FC" w14:textId="77777777" w:rsidR="004A7A3C" w:rsidRPr="007140DD" w:rsidRDefault="004A7A3C" w:rsidP="00503AD0">
            <w:pPr>
              <w:rPr>
                <w:rFonts w:ascii="Arial" w:hAnsi="Arial" w:cs="Arial"/>
                <w:b w:val="0"/>
                <w:color w:val="auto"/>
              </w:rPr>
            </w:pPr>
            <w:r w:rsidRPr="007140DD">
              <w:rPr>
                <w:rFonts w:ascii="Arial" w:hAnsi="Arial" w:cs="Arial"/>
                <w:b w:val="0"/>
                <w:color w:val="auto"/>
              </w:rPr>
              <w:t>K</w:t>
            </w:r>
            <w:r w:rsidRPr="007140DD">
              <w:rPr>
                <w:rFonts w:ascii="Arial" w:hAnsi="Arial" w:cs="Arial"/>
                <w:b w:val="0"/>
                <w:color w:val="auto"/>
                <w:vertAlign w:val="subscript"/>
              </w:rPr>
              <w:t>1</w:t>
            </w:r>
          </w:p>
        </w:tc>
        <w:tc>
          <w:tcPr>
            <w:tcW w:w="1170" w:type="dxa"/>
            <w:shd w:val="clear" w:color="auto" w:fill="auto"/>
            <w:noWrap/>
          </w:tcPr>
          <w:p w14:paraId="19A60256" w14:textId="78A86838"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244.958</w:t>
            </w:r>
            <w:r w:rsidR="009F0377" w:rsidRPr="007140DD">
              <w:rPr>
                <w:rFonts w:ascii="Arial" w:hAnsi="Arial" w:cs="Arial"/>
                <w:color w:val="auto"/>
              </w:rPr>
              <w:t>0</w:t>
            </w:r>
          </w:p>
        </w:tc>
        <w:tc>
          <w:tcPr>
            <w:tcW w:w="1170" w:type="dxa"/>
            <w:gridSpan w:val="2"/>
            <w:shd w:val="clear" w:color="auto" w:fill="auto"/>
            <w:noWrap/>
          </w:tcPr>
          <w:p w14:paraId="10B46208" w14:textId="77777777"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85.4563</w:t>
            </w:r>
          </w:p>
        </w:tc>
        <w:tc>
          <w:tcPr>
            <w:tcW w:w="990" w:type="dxa"/>
            <w:shd w:val="clear" w:color="auto" w:fill="auto"/>
            <w:noWrap/>
          </w:tcPr>
          <w:p w14:paraId="732176A3" w14:textId="4A3F6FFB"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156106</w:t>
            </w:r>
            <w:r w:rsidR="00AF555F" w:rsidRPr="007140DD">
              <w:rPr>
                <w:rFonts w:ascii="Arial" w:hAnsi="Arial" w:cs="Arial"/>
                <w:color w:val="auto"/>
              </w:rPr>
              <w:t>.0</w:t>
            </w:r>
            <w:r w:rsidR="009F0377" w:rsidRPr="007140DD">
              <w:rPr>
                <w:rFonts w:ascii="Arial" w:hAnsi="Arial" w:cs="Arial"/>
                <w:color w:val="auto"/>
              </w:rPr>
              <w:t>000</w:t>
            </w:r>
          </w:p>
        </w:tc>
        <w:tc>
          <w:tcPr>
            <w:tcW w:w="1260" w:type="dxa"/>
            <w:shd w:val="clear" w:color="auto" w:fill="auto"/>
            <w:noWrap/>
          </w:tcPr>
          <w:p w14:paraId="65D15215" w14:textId="77777777"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 xml:space="preserve">  30.3084</w:t>
            </w:r>
          </w:p>
        </w:tc>
        <w:tc>
          <w:tcPr>
            <w:tcW w:w="1350" w:type="dxa"/>
            <w:shd w:val="clear" w:color="auto" w:fill="auto"/>
            <w:noWrap/>
          </w:tcPr>
          <w:p w14:paraId="2A46EE09" w14:textId="49ACEF99"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 xml:space="preserve">  18.192</w:t>
            </w:r>
            <w:r w:rsidR="009F0377" w:rsidRPr="007140DD">
              <w:rPr>
                <w:rFonts w:ascii="Arial" w:hAnsi="Arial" w:cs="Arial"/>
                <w:color w:val="auto"/>
              </w:rPr>
              <w:t>0</w:t>
            </w:r>
          </w:p>
        </w:tc>
        <w:tc>
          <w:tcPr>
            <w:tcW w:w="1051" w:type="dxa"/>
            <w:shd w:val="clear" w:color="auto" w:fill="auto"/>
            <w:noWrap/>
          </w:tcPr>
          <w:p w14:paraId="7E269327" w14:textId="77777777" w:rsidR="004A7A3C" w:rsidRPr="007140DD" w:rsidRDefault="004A7A3C" w:rsidP="00503A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9.73751</w:t>
            </w:r>
          </w:p>
        </w:tc>
      </w:tr>
      <w:tr w:rsidR="007140DD" w:rsidRPr="007140DD" w14:paraId="57BB0458" w14:textId="77777777" w:rsidTr="00503AD0">
        <w:trPr>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tcPr>
          <w:p w14:paraId="6E55CDF7" w14:textId="77777777" w:rsidR="004A7A3C" w:rsidRPr="007140DD" w:rsidRDefault="004A7A3C" w:rsidP="00503AD0">
            <w:pPr>
              <w:rPr>
                <w:rFonts w:ascii="Arial" w:hAnsi="Arial" w:cs="Arial"/>
                <w:b w:val="0"/>
                <w:color w:val="auto"/>
              </w:rPr>
            </w:pPr>
            <w:r w:rsidRPr="007140DD">
              <w:rPr>
                <w:rFonts w:ascii="Arial" w:hAnsi="Arial" w:cs="Arial"/>
                <w:b w:val="0"/>
                <w:color w:val="auto"/>
              </w:rPr>
              <w:t>O</w:t>
            </w:r>
          </w:p>
        </w:tc>
        <w:tc>
          <w:tcPr>
            <w:tcW w:w="1170" w:type="dxa"/>
            <w:shd w:val="clear" w:color="auto" w:fill="auto"/>
            <w:noWrap/>
          </w:tcPr>
          <w:p w14:paraId="6CCB7D9B" w14:textId="6FB328A6" w:rsidR="004A7A3C" w:rsidRPr="007140DD" w:rsidRDefault="004A7A3C" w:rsidP="00503AD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178.293</w:t>
            </w:r>
            <w:r w:rsidR="009F0377" w:rsidRPr="007140DD">
              <w:rPr>
                <w:rFonts w:ascii="Arial" w:hAnsi="Arial" w:cs="Arial"/>
                <w:color w:val="auto"/>
              </w:rPr>
              <w:t>0</w:t>
            </w:r>
          </w:p>
        </w:tc>
        <w:tc>
          <w:tcPr>
            <w:tcW w:w="1170" w:type="dxa"/>
            <w:gridSpan w:val="2"/>
            <w:shd w:val="clear" w:color="auto" w:fill="auto"/>
            <w:noWrap/>
          </w:tcPr>
          <w:p w14:paraId="559E8D55" w14:textId="77777777" w:rsidR="004A7A3C" w:rsidRPr="007140DD" w:rsidRDefault="004A7A3C" w:rsidP="00503AD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62.1791</w:t>
            </w:r>
          </w:p>
        </w:tc>
        <w:tc>
          <w:tcPr>
            <w:tcW w:w="990" w:type="dxa"/>
            <w:shd w:val="clear" w:color="auto" w:fill="auto"/>
            <w:noWrap/>
          </w:tcPr>
          <w:p w14:paraId="3EA0D09E" w14:textId="540E78DC" w:rsidR="004A7A3C" w:rsidRPr="007140DD" w:rsidRDefault="004A7A3C" w:rsidP="00503AD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0.0</w:t>
            </w:r>
            <w:r w:rsidR="009F0377" w:rsidRPr="007140DD">
              <w:rPr>
                <w:rFonts w:ascii="Arial" w:hAnsi="Arial" w:cs="Arial"/>
                <w:color w:val="auto"/>
              </w:rPr>
              <w:t>000</w:t>
            </w:r>
          </w:p>
        </w:tc>
        <w:tc>
          <w:tcPr>
            <w:tcW w:w="1260" w:type="dxa"/>
            <w:shd w:val="clear" w:color="auto" w:fill="auto"/>
            <w:noWrap/>
          </w:tcPr>
          <w:p w14:paraId="3A7015F7" w14:textId="77777777" w:rsidR="004A7A3C" w:rsidRPr="007140DD" w:rsidRDefault="004A7A3C" w:rsidP="00503AD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 xml:space="preserve">  21.8344</w:t>
            </w:r>
          </w:p>
        </w:tc>
        <w:tc>
          <w:tcPr>
            <w:tcW w:w="1350" w:type="dxa"/>
            <w:shd w:val="clear" w:color="auto" w:fill="auto"/>
            <w:noWrap/>
          </w:tcPr>
          <w:p w14:paraId="79077307" w14:textId="0A70A3A4" w:rsidR="004A7A3C" w:rsidRPr="007140DD" w:rsidRDefault="004A7A3C" w:rsidP="00503AD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684.933</w:t>
            </w:r>
            <w:r w:rsidR="009F0377" w:rsidRPr="007140DD">
              <w:rPr>
                <w:rFonts w:ascii="Arial" w:hAnsi="Arial" w:cs="Arial"/>
                <w:color w:val="auto"/>
              </w:rPr>
              <w:t>0</w:t>
            </w:r>
          </w:p>
        </w:tc>
        <w:tc>
          <w:tcPr>
            <w:tcW w:w="1051" w:type="dxa"/>
            <w:shd w:val="clear" w:color="auto" w:fill="auto"/>
            <w:noWrap/>
          </w:tcPr>
          <w:p w14:paraId="2DD4CCA1" w14:textId="77777777" w:rsidR="004A7A3C" w:rsidRPr="007140DD" w:rsidRDefault="004A7A3C" w:rsidP="00503A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29.31480</w:t>
            </w:r>
          </w:p>
        </w:tc>
      </w:tr>
      <w:tr w:rsidR="007140DD" w:rsidRPr="007140DD" w14:paraId="10F38FFB" w14:textId="77777777" w:rsidTr="00503AD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8" w:type="dxa"/>
            <w:shd w:val="clear" w:color="auto" w:fill="auto"/>
            <w:noWrap/>
          </w:tcPr>
          <w:p w14:paraId="3CA2853A" w14:textId="77777777" w:rsidR="004A7A3C" w:rsidRPr="007140DD" w:rsidRDefault="004A7A3C" w:rsidP="00503AD0">
            <w:pPr>
              <w:rPr>
                <w:rFonts w:ascii="Arial" w:hAnsi="Arial" w:cs="Arial"/>
                <w:b w:val="0"/>
                <w:color w:val="auto"/>
              </w:rPr>
            </w:pPr>
            <w:r w:rsidRPr="007140DD">
              <w:rPr>
                <w:rFonts w:ascii="Arial" w:hAnsi="Arial" w:cs="Arial"/>
                <w:b w:val="0"/>
                <w:color w:val="auto"/>
              </w:rPr>
              <w:t>C</w:t>
            </w:r>
          </w:p>
        </w:tc>
        <w:tc>
          <w:tcPr>
            <w:tcW w:w="1170" w:type="dxa"/>
            <w:shd w:val="clear" w:color="auto" w:fill="auto"/>
            <w:noWrap/>
          </w:tcPr>
          <w:p w14:paraId="41DDD311" w14:textId="472B4F55"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219.823</w:t>
            </w:r>
            <w:r w:rsidR="009F0377" w:rsidRPr="007140DD">
              <w:rPr>
                <w:rFonts w:ascii="Arial" w:hAnsi="Arial" w:cs="Arial"/>
                <w:color w:val="auto"/>
              </w:rPr>
              <w:t>0</w:t>
            </w:r>
          </w:p>
        </w:tc>
        <w:tc>
          <w:tcPr>
            <w:tcW w:w="1170" w:type="dxa"/>
            <w:gridSpan w:val="2"/>
            <w:shd w:val="clear" w:color="auto" w:fill="auto"/>
            <w:noWrap/>
          </w:tcPr>
          <w:p w14:paraId="75F71A93" w14:textId="77777777"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84.7579</w:t>
            </w:r>
          </w:p>
        </w:tc>
        <w:tc>
          <w:tcPr>
            <w:tcW w:w="990" w:type="dxa"/>
            <w:shd w:val="clear" w:color="auto" w:fill="auto"/>
            <w:noWrap/>
          </w:tcPr>
          <w:p w14:paraId="23C36CB8" w14:textId="3581A53D"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49006.8</w:t>
            </w:r>
            <w:r w:rsidR="009F0377" w:rsidRPr="007140DD">
              <w:rPr>
                <w:rFonts w:ascii="Arial" w:hAnsi="Arial" w:cs="Arial"/>
                <w:color w:val="auto"/>
              </w:rPr>
              <w:t>000</w:t>
            </w:r>
          </w:p>
        </w:tc>
        <w:tc>
          <w:tcPr>
            <w:tcW w:w="1260" w:type="dxa"/>
            <w:shd w:val="clear" w:color="auto" w:fill="auto"/>
            <w:noWrap/>
          </w:tcPr>
          <w:p w14:paraId="1B2E974D" w14:textId="77777777"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 xml:space="preserve">  26.0260</w:t>
            </w:r>
          </w:p>
        </w:tc>
        <w:tc>
          <w:tcPr>
            <w:tcW w:w="1350" w:type="dxa"/>
            <w:shd w:val="clear" w:color="auto" w:fill="auto"/>
            <w:noWrap/>
          </w:tcPr>
          <w:p w14:paraId="656F313F" w14:textId="1E428300" w:rsidR="004A7A3C" w:rsidRPr="007140DD" w:rsidRDefault="004A7A3C" w:rsidP="00503AD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 xml:space="preserve">  10.908</w:t>
            </w:r>
            <w:r w:rsidR="009F0377" w:rsidRPr="007140DD">
              <w:rPr>
                <w:rFonts w:ascii="Arial" w:hAnsi="Arial" w:cs="Arial"/>
                <w:color w:val="auto"/>
              </w:rPr>
              <w:t>0</w:t>
            </w:r>
          </w:p>
        </w:tc>
        <w:tc>
          <w:tcPr>
            <w:tcW w:w="1051" w:type="dxa"/>
            <w:shd w:val="clear" w:color="auto" w:fill="auto"/>
            <w:noWrap/>
          </w:tcPr>
          <w:p w14:paraId="75C13AA4" w14:textId="77777777" w:rsidR="004A7A3C" w:rsidRPr="007140DD" w:rsidRDefault="004A7A3C" w:rsidP="00503A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11.43350</w:t>
            </w:r>
          </w:p>
        </w:tc>
      </w:tr>
    </w:tbl>
    <w:p w14:paraId="1887B9F1" w14:textId="4C15194A" w:rsidR="0082599D" w:rsidRPr="007140DD" w:rsidRDefault="005A0DE9" w:rsidP="0082599D">
      <w:pPr>
        <w:spacing w:before="100" w:beforeAutospacing="1" w:after="240"/>
        <w:jc w:val="both"/>
        <w:rPr>
          <w:rFonts w:ascii="Arial" w:hAnsi="Arial" w:cs="Arial"/>
        </w:rPr>
      </w:pPr>
      <w:r w:rsidRPr="007140DD">
        <w:rPr>
          <w:rFonts w:ascii="Arial" w:hAnsi="Arial" w:cs="Arial"/>
        </w:rPr>
        <w:t>rancidity, a high degree of saturation, and very high potassium and iron content. The locally processed butter (O) shows better initial oxidative and hydrolytic stability, a more unsaturated fatty acid profile, and is a significant source of sodium. Crucially, the doughnut preparation process significantly impacts the oil's quality. The oil extracted from the doughnuts (C) exhibits a dramatic increase in oxidative rancidity, evidenced by its very high peroxide value. This is likely accelerated by the combination of high frying temperatures and the presence of pro-oxidant minerals like iron from the locally processed oil (Che Man &amp; Jas</w:t>
      </w:r>
      <w:r w:rsidR="008B1BDA" w:rsidRPr="007140DD">
        <w:rPr>
          <w:rFonts w:ascii="Arial" w:hAnsi="Arial" w:cs="Arial"/>
        </w:rPr>
        <w:t>v</w:t>
      </w:r>
      <w:r w:rsidRPr="007140DD">
        <w:rPr>
          <w:rFonts w:ascii="Arial" w:hAnsi="Arial" w:cs="Arial"/>
        </w:rPr>
        <w:t xml:space="preserve">ir, 2000; Choe &amp; Min, 2007; </w:t>
      </w:r>
      <w:proofErr w:type="spellStart"/>
      <w:r w:rsidRPr="007140DD">
        <w:rPr>
          <w:rFonts w:ascii="Arial" w:hAnsi="Arial" w:cs="Arial"/>
        </w:rPr>
        <w:t>Munekata</w:t>
      </w:r>
      <w:proofErr w:type="spellEnd"/>
      <w:r w:rsidRPr="007140DD">
        <w:rPr>
          <w:rFonts w:ascii="Arial" w:hAnsi="Arial" w:cs="Arial"/>
        </w:rPr>
        <w:t xml:space="preserve"> et al., 2017). While the butter contributes beneficial unsaturated fatty acids to the blend, these become susceptible to oxidation during frying. The elemental profile of the doughnut oil reflects the combined contributions of the raw oil and butter. In conclusion, while the locally sourced ingredients offer unique profiles, the method of preparation (deep-fat frying) introduces significant challenges, particularly regarding oxidative stability. The substantial increase in oxidation products in the doughnut oil highlights the need for strategies to mitigate rancidity, such as optimizing frying conditions, incorporating antioxidants, or re-evaluating the blend proportions to enhance the quality and shelf-life of products made with these locally processed oils and butter. Furthermore, the presence of various minerals, particularly iron, warrants attention for its potential role in accelerating degradation.</w:t>
      </w:r>
    </w:p>
    <w:p w14:paraId="6078142E" w14:textId="528C6587" w:rsidR="0084657D" w:rsidRPr="007140DD" w:rsidRDefault="0084657D" w:rsidP="0082599D">
      <w:pPr>
        <w:spacing w:before="100" w:beforeAutospacing="1" w:after="240"/>
        <w:jc w:val="both"/>
        <w:rPr>
          <w:rFonts w:ascii="Arial" w:hAnsi="Arial" w:cs="Arial"/>
          <w:sz w:val="22"/>
          <w:szCs w:val="22"/>
        </w:rPr>
      </w:pPr>
      <w:r w:rsidRPr="007140DD">
        <w:rPr>
          <w:rFonts w:ascii="Arial" w:hAnsi="Arial" w:cs="Arial"/>
          <w:b/>
          <w:sz w:val="22"/>
          <w:szCs w:val="22"/>
        </w:rPr>
        <w:t>3.4.</w:t>
      </w:r>
      <w:r w:rsidRPr="007140DD">
        <w:rPr>
          <w:rFonts w:ascii="Arial" w:hAnsi="Arial" w:cs="Arial"/>
          <w:sz w:val="22"/>
          <w:szCs w:val="22"/>
        </w:rPr>
        <w:t xml:space="preserve"> </w:t>
      </w:r>
      <w:r w:rsidRPr="007140DD">
        <w:rPr>
          <w:rFonts w:ascii="Arial" w:hAnsi="Arial" w:cs="Arial"/>
          <w:b/>
          <w:sz w:val="22"/>
          <w:szCs w:val="22"/>
        </w:rPr>
        <w:t>Health Implications</w:t>
      </w:r>
    </w:p>
    <w:p w14:paraId="29F5086D" w14:textId="2F4010FF" w:rsidR="005A0DE9" w:rsidRPr="007140DD" w:rsidRDefault="005A0DE9" w:rsidP="0082599D">
      <w:pPr>
        <w:spacing w:before="100" w:beforeAutospacing="1" w:after="240"/>
        <w:jc w:val="both"/>
        <w:rPr>
          <w:rFonts w:ascii="Arial" w:hAnsi="Arial" w:cs="Arial"/>
        </w:rPr>
      </w:pPr>
      <w:r w:rsidRPr="007140DD">
        <w:rPr>
          <w:rFonts w:ascii="Arial" w:hAnsi="Arial" w:cs="Arial"/>
        </w:rPr>
        <w:t>High acid value and FFA levels, as observed in the locally processed oil (K</w:t>
      </w:r>
      <w:r w:rsidRPr="007140DD">
        <w:rPr>
          <w:rFonts w:ascii="Arial" w:hAnsi="Arial" w:cs="Arial"/>
          <w:vertAlign w:val="subscript"/>
        </w:rPr>
        <w:t>1</w:t>
      </w:r>
      <w:r w:rsidRPr="007140DD">
        <w:rPr>
          <w:rFonts w:ascii="Arial" w:hAnsi="Arial" w:cs="Arial"/>
        </w:rPr>
        <w:t>) and the doughnut oil (C), are indicators of lipid hydrolysis and early-stage rancidity. Consumption of oils with elevated FFAs has been linked to gastrointestinal irritation and may impair nutrient absorption (Naz et al., 2005). Chronic intake of degraded fats can contribute to metabolic disorders and increase the risk of cardiovascular disease due to inflammatory responses (</w:t>
      </w:r>
      <w:proofErr w:type="spellStart"/>
      <w:r w:rsidRPr="007140DD">
        <w:rPr>
          <w:rFonts w:ascii="Arial" w:hAnsi="Arial" w:cs="Arial"/>
        </w:rPr>
        <w:t>Farhoosh</w:t>
      </w:r>
      <w:proofErr w:type="spellEnd"/>
      <w:r w:rsidRPr="007140DD">
        <w:rPr>
          <w:rFonts w:ascii="Arial" w:hAnsi="Arial" w:cs="Arial"/>
        </w:rPr>
        <w:t xml:space="preserve"> et al., 2009). While butter (O) had the lowest FFA, the doughnut oil (C) presented moderate levels, suggesting that frying exacerbates lipid breakdown, raising health concerns over repeated or long-term consumption of such products. The peroxide value of the doughnut oil (C) was extremely high (136.30 </w:t>
      </w:r>
      <w:proofErr w:type="spellStart"/>
      <w:r w:rsidRPr="007140DD">
        <w:rPr>
          <w:rFonts w:ascii="Arial" w:hAnsi="Arial" w:cs="Arial"/>
        </w:rPr>
        <w:t>meq</w:t>
      </w:r>
      <w:proofErr w:type="spellEnd"/>
      <w:r w:rsidRPr="007140DD">
        <w:rPr>
          <w:rFonts w:ascii="Arial" w:hAnsi="Arial" w:cs="Arial"/>
        </w:rPr>
        <w:t xml:space="preserve">/kg), far exceeding acceptable safety limits (&lt;10 </w:t>
      </w:r>
      <w:proofErr w:type="spellStart"/>
      <w:r w:rsidRPr="007140DD">
        <w:rPr>
          <w:rFonts w:ascii="Arial" w:hAnsi="Arial" w:cs="Arial"/>
        </w:rPr>
        <w:t>meq</w:t>
      </w:r>
      <w:proofErr w:type="spellEnd"/>
      <w:r w:rsidRPr="007140DD">
        <w:rPr>
          <w:rFonts w:ascii="Arial" w:hAnsi="Arial" w:cs="Arial"/>
        </w:rPr>
        <w:t xml:space="preserve">/kg for edible oils) set by food safety guidelines (Codex Alimentarius Commission, 2021). This suggests extensive lipid oxidation during frying—a process that produces </w:t>
      </w:r>
      <w:r w:rsidRPr="007140DD">
        <w:rPr>
          <w:rStyle w:val="Strong"/>
          <w:rFonts w:ascii="Arial" w:hAnsi="Arial" w:cs="Arial"/>
          <w:b w:val="0"/>
        </w:rPr>
        <w:t>lipid</w:t>
      </w:r>
      <w:r w:rsidRPr="007140DD">
        <w:rPr>
          <w:rStyle w:val="Strong"/>
          <w:rFonts w:ascii="Arial" w:hAnsi="Arial" w:cs="Arial"/>
        </w:rPr>
        <w:t xml:space="preserve"> </w:t>
      </w:r>
      <w:r w:rsidRPr="007140DD">
        <w:rPr>
          <w:rStyle w:val="Strong"/>
          <w:rFonts w:ascii="Arial" w:hAnsi="Arial" w:cs="Arial"/>
          <w:b w:val="0"/>
        </w:rPr>
        <w:t>hydroperoxides</w:t>
      </w:r>
      <w:r w:rsidRPr="007140DD">
        <w:rPr>
          <w:rFonts w:ascii="Arial" w:hAnsi="Arial" w:cs="Arial"/>
          <w:b/>
        </w:rPr>
        <w:t xml:space="preserve">, </w:t>
      </w:r>
      <w:r w:rsidRPr="007140DD">
        <w:rPr>
          <w:rStyle w:val="Strong"/>
          <w:rFonts w:ascii="Arial" w:hAnsi="Arial" w:cs="Arial"/>
          <w:b w:val="0"/>
        </w:rPr>
        <w:t>aldehydes</w:t>
      </w:r>
      <w:r w:rsidRPr="007140DD">
        <w:rPr>
          <w:rFonts w:ascii="Arial" w:hAnsi="Arial" w:cs="Arial"/>
        </w:rPr>
        <w:t xml:space="preserve">, and </w:t>
      </w:r>
      <w:r w:rsidRPr="007140DD">
        <w:rPr>
          <w:rStyle w:val="Strong"/>
          <w:rFonts w:ascii="Arial" w:hAnsi="Arial" w:cs="Arial"/>
          <w:b w:val="0"/>
        </w:rPr>
        <w:t>ketones</w:t>
      </w:r>
      <w:r w:rsidRPr="007140DD">
        <w:rPr>
          <w:rFonts w:ascii="Arial" w:hAnsi="Arial" w:cs="Arial"/>
        </w:rPr>
        <w:t xml:space="preserve">, which have been linked to DNA damage, inflammation, and increased risk of chronic diseases such as </w:t>
      </w:r>
      <w:r w:rsidRPr="007140DD">
        <w:rPr>
          <w:rStyle w:val="Strong"/>
          <w:rFonts w:ascii="Arial" w:hAnsi="Arial" w:cs="Arial"/>
          <w:b w:val="0"/>
        </w:rPr>
        <w:t>cancer</w:t>
      </w:r>
      <w:r w:rsidRPr="007140DD">
        <w:rPr>
          <w:rFonts w:ascii="Arial" w:hAnsi="Arial" w:cs="Arial"/>
          <w:b/>
        </w:rPr>
        <w:t xml:space="preserve">, </w:t>
      </w:r>
      <w:r w:rsidRPr="007140DD">
        <w:rPr>
          <w:rStyle w:val="Strong"/>
          <w:rFonts w:ascii="Arial" w:hAnsi="Arial" w:cs="Arial"/>
          <w:b w:val="0"/>
        </w:rPr>
        <w:t>atherosclerosis</w:t>
      </w:r>
      <w:r w:rsidRPr="007140DD">
        <w:rPr>
          <w:rFonts w:ascii="Arial" w:hAnsi="Arial" w:cs="Arial"/>
        </w:rPr>
        <w:t xml:space="preserve">, and </w:t>
      </w:r>
      <w:r w:rsidRPr="007140DD">
        <w:rPr>
          <w:rStyle w:val="Strong"/>
          <w:rFonts w:ascii="Arial" w:hAnsi="Arial" w:cs="Arial"/>
          <w:b w:val="0"/>
        </w:rPr>
        <w:t>neurodegenerative disorders</w:t>
      </w:r>
      <w:r w:rsidRPr="007140DD">
        <w:rPr>
          <w:rFonts w:ascii="Arial" w:hAnsi="Arial" w:cs="Arial"/>
        </w:rPr>
        <w:t xml:space="preserve"> (</w:t>
      </w:r>
      <w:proofErr w:type="spellStart"/>
      <w:r w:rsidRPr="007140DD">
        <w:rPr>
          <w:rFonts w:ascii="Arial" w:hAnsi="Arial" w:cs="Arial"/>
        </w:rPr>
        <w:t>Esterbauer</w:t>
      </w:r>
      <w:proofErr w:type="spellEnd"/>
      <w:r w:rsidRPr="007140DD">
        <w:rPr>
          <w:rFonts w:ascii="Arial" w:hAnsi="Arial" w:cs="Arial"/>
        </w:rPr>
        <w:t xml:space="preserve"> et al., 1991; Gutteridge &amp; Halliwell, 2010). The locally processed oil (K</w:t>
      </w:r>
      <w:r w:rsidRPr="007140DD">
        <w:rPr>
          <w:rFonts w:ascii="Arial" w:hAnsi="Arial" w:cs="Arial"/>
          <w:vertAlign w:val="subscript"/>
        </w:rPr>
        <w:t>1</w:t>
      </w:r>
      <w:r w:rsidRPr="007140DD">
        <w:rPr>
          <w:rFonts w:ascii="Arial" w:hAnsi="Arial" w:cs="Arial"/>
        </w:rPr>
        <w:t xml:space="preserve">) contains high levels of </w:t>
      </w:r>
      <w:r w:rsidRPr="007140DD">
        <w:rPr>
          <w:rStyle w:val="Strong"/>
          <w:rFonts w:ascii="Arial" w:hAnsi="Arial" w:cs="Arial"/>
          <w:b w:val="0"/>
        </w:rPr>
        <w:t>medium-chain saturated fatty acids</w:t>
      </w:r>
      <w:r w:rsidRPr="007140DD">
        <w:rPr>
          <w:rFonts w:ascii="Arial" w:hAnsi="Arial" w:cs="Arial"/>
        </w:rPr>
        <w:t xml:space="preserve"> (Lauric and </w:t>
      </w:r>
      <w:proofErr w:type="spellStart"/>
      <w:r w:rsidRPr="007140DD">
        <w:rPr>
          <w:rFonts w:ascii="Arial" w:hAnsi="Arial" w:cs="Arial"/>
        </w:rPr>
        <w:t>Myristoleic</w:t>
      </w:r>
      <w:proofErr w:type="spellEnd"/>
      <w:r w:rsidRPr="007140DD">
        <w:rPr>
          <w:rFonts w:ascii="Arial" w:hAnsi="Arial" w:cs="Arial"/>
        </w:rPr>
        <w:t xml:space="preserve"> acids), which, while easily metabolized, have also been shown to elevate </w:t>
      </w:r>
      <w:r w:rsidRPr="007140DD">
        <w:rPr>
          <w:rStyle w:val="Strong"/>
          <w:rFonts w:ascii="Arial" w:hAnsi="Arial" w:cs="Arial"/>
          <w:b w:val="0"/>
        </w:rPr>
        <w:t>low-density lipoprotein (LDL)</w:t>
      </w:r>
      <w:r w:rsidRPr="007140DD">
        <w:rPr>
          <w:rFonts w:ascii="Arial" w:hAnsi="Arial" w:cs="Arial"/>
        </w:rPr>
        <w:t xml:space="preserve"> cholesterol when consumed in excess, contributing to </w:t>
      </w:r>
      <w:r w:rsidRPr="007140DD">
        <w:rPr>
          <w:rStyle w:val="Strong"/>
          <w:rFonts w:ascii="Arial" w:hAnsi="Arial" w:cs="Arial"/>
          <w:b w:val="0"/>
        </w:rPr>
        <w:t>cardiovascular disease risk</w:t>
      </w:r>
      <w:r w:rsidRPr="007140DD">
        <w:rPr>
          <w:rFonts w:ascii="Arial" w:hAnsi="Arial" w:cs="Arial"/>
        </w:rPr>
        <w:t xml:space="preserve"> (Mensink et al., 2003). Conversely, the butter (O) and doughnut oil (C) have higher levels of </w:t>
      </w:r>
      <w:r w:rsidRPr="007140DD">
        <w:rPr>
          <w:rStyle w:val="Strong"/>
          <w:rFonts w:ascii="Arial" w:hAnsi="Arial" w:cs="Arial"/>
          <w:b w:val="0"/>
        </w:rPr>
        <w:t>unsaturated fatty acids</w:t>
      </w:r>
      <w:r w:rsidRPr="007140DD">
        <w:rPr>
          <w:rFonts w:ascii="Arial" w:hAnsi="Arial" w:cs="Arial"/>
        </w:rPr>
        <w:t xml:space="preserve"> (Linoleic/Oleic acids), which are typically cardioprotective when intact (</w:t>
      </w:r>
      <w:proofErr w:type="spellStart"/>
      <w:r w:rsidRPr="007140DD">
        <w:rPr>
          <w:rFonts w:ascii="Arial" w:hAnsi="Arial" w:cs="Arial"/>
        </w:rPr>
        <w:t>Mozaffarian</w:t>
      </w:r>
      <w:proofErr w:type="spellEnd"/>
      <w:r w:rsidRPr="007140DD">
        <w:rPr>
          <w:rFonts w:ascii="Arial" w:hAnsi="Arial" w:cs="Arial"/>
        </w:rPr>
        <w:t xml:space="preserve"> et al., 2010). However, these unsaturated fats are </w:t>
      </w:r>
      <w:r w:rsidRPr="007140DD">
        <w:rPr>
          <w:rStyle w:val="Strong"/>
          <w:rFonts w:ascii="Arial" w:hAnsi="Arial" w:cs="Arial"/>
          <w:b w:val="0"/>
        </w:rPr>
        <w:t>highly prone to oxidation</w:t>
      </w:r>
      <w:r w:rsidRPr="007140DD">
        <w:rPr>
          <w:rFonts w:ascii="Arial" w:hAnsi="Arial" w:cs="Arial"/>
        </w:rPr>
        <w:t xml:space="preserve">, especially under high frying temperatures, forming </w:t>
      </w:r>
      <w:r w:rsidRPr="007140DD">
        <w:rPr>
          <w:rStyle w:val="Strong"/>
          <w:rFonts w:ascii="Arial" w:hAnsi="Arial" w:cs="Arial"/>
          <w:b w:val="0"/>
        </w:rPr>
        <w:t>toxic lipid peroxidation products</w:t>
      </w:r>
      <w:r w:rsidRPr="007140DD">
        <w:rPr>
          <w:rFonts w:ascii="Arial" w:hAnsi="Arial" w:cs="Arial"/>
        </w:rPr>
        <w:t xml:space="preserve"> that can promote </w:t>
      </w:r>
      <w:r w:rsidRPr="007140DD">
        <w:rPr>
          <w:rStyle w:val="Strong"/>
          <w:rFonts w:ascii="Arial" w:hAnsi="Arial" w:cs="Arial"/>
          <w:b w:val="0"/>
        </w:rPr>
        <w:t>oxidative stress</w:t>
      </w:r>
      <w:r w:rsidRPr="007140DD">
        <w:rPr>
          <w:rFonts w:ascii="Arial" w:hAnsi="Arial" w:cs="Arial"/>
          <w:b/>
        </w:rPr>
        <w:t xml:space="preserve">, </w:t>
      </w:r>
      <w:r w:rsidRPr="007140DD">
        <w:rPr>
          <w:rStyle w:val="Strong"/>
          <w:rFonts w:ascii="Arial" w:hAnsi="Arial" w:cs="Arial"/>
          <w:b w:val="0"/>
        </w:rPr>
        <w:t>cell membrane damage</w:t>
      </w:r>
      <w:r w:rsidRPr="007140DD">
        <w:rPr>
          <w:rFonts w:ascii="Arial" w:hAnsi="Arial" w:cs="Arial"/>
        </w:rPr>
        <w:t xml:space="preserve">, and </w:t>
      </w:r>
      <w:r w:rsidRPr="007140DD">
        <w:rPr>
          <w:rStyle w:val="Strong"/>
          <w:rFonts w:ascii="Arial" w:hAnsi="Arial" w:cs="Arial"/>
          <w:b w:val="0"/>
        </w:rPr>
        <w:t>pro-inflammatory responses</w:t>
      </w:r>
      <w:r w:rsidRPr="007140DD">
        <w:rPr>
          <w:rFonts w:ascii="Arial" w:hAnsi="Arial" w:cs="Arial"/>
        </w:rPr>
        <w:t xml:space="preserve"> (Choe &amp; Min, 2007). The frying process not only induces oxidation but also degrades </w:t>
      </w:r>
      <w:r w:rsidRPr="007140DD">
        <w:rPr>
          <w:rStyle w:val="Strong"/>
          <w:rFonts w:ascii="Arial" w:hAnsi="Arial" w:cs="Arial"/>
          <w:b w:val="0"/>
        </w:rPr>
        <w:t>vitamins A, D, E, and K</w:t>
      </w:r>
      <w:r w:rsidRPr="007140DD">
        <w:rPr>
          <w:rFonts w:ascii="Arial" w:hAnsi="Arial" w:cs="Arial"/>
        </w:rPr>
        <w:t xml:space="preserve">, and essential fatty acids. As a result, even oils originally rich in beneficial nutrients (like butter) may lose their health-promoting properties when used repeatedly or at high temperatures, such as during doughnut preparation (Naz et al., 2005). The elemental composition of edible oils directly influences not only their </w:t>
      </w:r>
      <w:r w:rsidRPr="007140DD">
        <w:rPr>
          <w:rStyle w:val="Strong"/>
          <w:rFonts w:ascii="Arial" w:hAnsi="Arial" w:cs="Arial"/>
          <w:b w:val="0"/>
        </w:rPr>
        <w:t>nutritional value</w:t>
      </w:r>
      <w:r w:rsidRPr="007140DD">
        <w:rPr>
          <w:rFonts w:ascii="Arial" w:hAnsi="Arial" w:cs="Arial"/>
        </w:rPr>
        <w:t xml:space="preserve"> but also their </w:t>
      </w:r>
      <w:r w:rsidRPr="007140DD">
        <w:rPr>
          <w:rStyle w:val="Strong"/>
          <w:rFonts w:ascii="Arial" w:hAnsi="Arial" w:cs="Arial"/>
          <w:b w:val="0"/>
        </w:rPr>
        <w:t>oxidative stability</w:t>
      </w:r>
      <w:r w:rsidRPr="007140DD">
        <w:rPr>
          <w:rFonts w:ascii="Arial" w:hAnsi="Arial" w:cs="Arial"/>
        </w:rPr>
        <w:t xml:space="preserve"> and potential health effects. In this study, locally processed oil (K</w:t>
      </w:r>
      <w:r w:rsidRPr="007140DD">
        <w:rPr>
          <w:rFonts w:ascii="Arial" w:hAnsi="Arial" w:cs="Arial"/>
          <w:vertAlign w:val="subscript"/>
        </w:rPr>
        <w:t>1</w:t>
      </w:r>
      <w:r w:rsidRPr="007140DD">
        <w:rPr>
          <w:rFonts w:ascii="Arial" w:hAnsi="Arial" w:cs="Arial"/>
        </w:rPr>
        <w:t xml:space="preserve">), locally processed butter (O), and doughnut oil (C) were also analyzed for their content of essential minerals including calcium (Ca), iron (Fe), potassium (K), magnesium (Mg), sodium (Na), and phosphorus (P). Iron is vital for oxygen transport and metabolic processes. However, </w:t>
      </w:r>
      <w:r w:rsidRPr="007140DD">
        <w:rPr>
          <w:rStyle w:val="Strong"/>
          <w:rFonts w:ascii="Arial" w:hAnsi="Arial" w:cs="Arial"/>
          <w:b w:val="0"/>
        </w:rPr>
        <w:t>excess iron in oils</w:t>
      </w:r>
      <w:r w:rsidRPr="007140DD">
        <w:rPr>
          <w:rFonts w:ascii="Arial" w:hAnsi="Arial" w:cs="Arial"/>
        </w:rPr>
        <w:t xml:space="preserve"> can promote the formation of </w:t>
      </w:r>
      <w:r w:rsidRPr="007140DD">
        <w:rPr>
          <w:rStyle w:val="Strong"/>
          <w:rFonts w:ascii="Arial" w:hAnsi="Arial" w:cs="Arial"/>
          <w:b w:val="0"/>
        </w:rPr>
        <w:t>free</w:t>
      </w:r>
      <w:r w:rsidRPr="007140DD">
        <w:rPr>
          <w:rStyle w:val="Strong"/>
          <w:rFonts w:ascii="Arial" w:hAnsi="Arial" w:cs="Arial"/>
        </w:rPr>
        <w:t xml:space="preserve"> </w:t>
      </w:r>
      <w:r w:rsidRPr="007140DD">
        <w:rPr>
          <w:rStyle w:val="Strong"/>
          <w:rFonts w:ascii="Arial" w:hAnsi="Arial" w:cs="Arial"/>
          <w:b w:val="0"/>
        </w:rPr>
        <w:t>radicals</w:t>
      </w:r>
      <w:r w:rsidRPr="007140DD">
        <w:rPr>
          <w:rFonts w:ascii="Arial" w:hAnsi="Arial" w:cs="Arial"/>
        </w:rPr>
        <w:t xml:space="preserve"> through Fenton reactions, accelerating lipid oxidation (Choe &amp; Min, 2007). Both locally processed oil (K</w:t>
      </w:r>
      <w:r w:rsidR="00AA3451" w:rsidRPr="007140DD">
        <w:rPr>
          <w:rFonts w:ascii="Arial" w:hAnsi="Arial" w:cs="Arial"/>
          <w:vertAlign w:val="subscript"/>
        </w:rPr>
        <w:t>1</w:t>
      </w:r>
      <w:r w:rsidRPr="007140DD">
        <w:rPr>
          <w:rFonts w:ascii="Arial" w:hAnsi="Arial" w:cs="Arial"/>
        </w:rPr>
        <w:t xml:space="preserve">: 85.46 </w:t>
      </w:r>
      <w:r w:rsidR="00AA3451" w:rsidRPr="007140DD">
        <w:rPr>
          <w:rFonts w:ascii="Arial" w:hAnsi="Arial" w:cs="Arial"/>
        </w:rPr>
        <w:t>ppm</w:t>
      </w:r>
      <w:r w:rsidRPr="007140DD">
        <w:rPr>
          <w:rFonts w:ascii="Arial" w:hAnsi="Arial" w:cs="Arial"/>
        </w:rPr>
        <w:t xml:space="preserve">) and doughnut oil (C: 84.76 </w:t>
      </w:r>
      <w:r w:rsidR="00AA3451" w:rsidRPr="007140DD">
        <w:rPr>
          <w:rFonts w:ascii="Arial" w:hAnsi="Arial" w:cs="Arial"/>
        </w:rPr>
        <w:t>ppm</w:t>
      </w:r>
      <w:r w:rsidRPr="007140DD">
        <w:rPr>
          <w:rFonts w:ascii="Arial" w:hAnsi="Arial" w:cs="Arial"/>
        </w:rPr>
        <w:t xml:space="preserve">) showed </w:t>
      </w:r>
      <w:r w:rsidRPr="007140DD">
        <w:rPr>
          <w:rStyle w:val="Strong"/>
          <w:rFonts w:ascii="Arial" w:hAnsi="Arial" w:cs="Arial"/>
          <w:b w:val="0"/>
        </w:rPr>
        <w:t>high iron</w:t>
      </w:r>
      <w:r w:rsidRPr="007140DD">
        <w:rPr>
          <w:rStyle w:val="Strong"/>
          <w:rFonts w:ascii="Arial" w:hAnsi="Arial" w:cs="Arial"/>
        </w:rPr>
        <w:t xml:space="preserve"> </w:t>
      </w:r>
      <w:r w:rsidRPr="007140DD">
        <w:rPr>
          <w:rStyle w:val="Strong"/>
          <w:rFonts w:ascii="Arial" w:hAnsi="Arial" w:cs="Arial"/>
          <w:b w:val="0"/>
        </w:rPr>
        <w:t>content</w:t>
      </w:r>
      <w:r w:rsidRPr="007140DD">
        <w:rPr>
          <w:rFonts w:ascii="Arial" w:hAnsi="Arial" w:cs="Arial"/>
        </w:rPr>
        <w:t xml:space="preserve">, which likely contributed to the high peroxide value </w:t>
      </w:r>
      <w:r w:rsidRPr="007140DD">
        <w:rPr>
          <w:rFonts w:ascii="Arial" w:hAnsi="Arial" w:cs="Arial"/>
        </w:rPr>
        <w:lastRenderedPageBreak/>
        <w:t xml:space="preserve">(136.30 </w:t>
      </w:r>
      <w:proofErr w:type="spellStart"/>
      <w:r w:rsidRPr="007140DD">
        <w:rPr>
          <w:rFonts w:ascii="Arial" w:hAnsi="Arial" w:cs="Arial"/>
        </w:rPr>
        <w:t>meq</w:t>
      </w:r>
      <w:proofErr w:type="spellEnd"/>
      <w:r w:rsidRPr="007140DD">
        <w:rPr>
          <w:rFonts w:ascii="Arial" w:hAnsi="Arial" w:cs="Arial"/>
        </w:rPr>
        <w:t xml:space="preserve">/kg) observed in sample C. Oxidized fats are associated with </w:t>
      </w:r>
      <w:r w:rsidRPr="007140DD">
        <w:rPr>
          <w:rStyle w:val="Strong"/>
          <w:rFonts w:ascii="Arial" w:hAnsi="Arial" w:cs="Arial"/>
          <w:b w:val="0"/>
        </w:rPr>
        <w:t>inflammation, atherosclerosis, and potential carcinogenic effects</w:t>
      </w:r>
      <w:r w:rsidRPr="007140DD">
        <w:rPr>
          <w:rFonts w:ascii="Arial" w:hAnsi="Arial" w:cs="Arial"/>
        </w:rPr>
        <w:t xml:space="preserve"> (</w:t>
      </w:r>
      <w:proofErr w:type="spellStart"/>
      <w:r w:rsidRPr="007140DD">
        <w:rPr>
          <w:rFonts w:ascii="Arial" w:hAnsi="Arial" w:cs="Arial"/>
        </w:rPr>
        <w:t>Esterbauer</w:t>
      </w:r>
      <w:proofErr w:type="spellEnd"/>
      <w:r w:rsidRPr="007140DD">
        <w:rPr>
          <w:rFonts w:ascii="Arial" w:hAnsi="Arial" w:cs="Arial"/>
        </w:rPr>
        <w:t xml:space="preserve"> et al., 1991). Excess sodium intake is linked to </w:t>
      </w:r>
      <w:r w:rsidRPr="007140DD">
        <w:rPr>
          <w:rStyle w:val="Strong"/>
          <w:rFonts w:ascii="Arial" w:hAnsi="Arial" w:cs="Arial"/>
          <w:b w:val="0"/>
        </w:rPr>
        <w:t>hypertension, stroke, and cardiovascular disease</w:t>
      </w:r>
      <w:r w:rsidRPr="007140DD">
        <w:rPr>
          <w:rFonts w:ascii="Arial" w:hAnsi="Arial" w:cs="Arial"/>
        </w:rPr>
        <w:t xml:space="preserve"> (</w:t>
      </w:r>
      <w:proofErr w:type="spellStart"/>
      <w:r w:rsidRPr="007140DD">
        <w:rPr>
          <w:rFonts w:ascii="Arial" w:hAnsi="Arial" w:cs="Arial"/>
        </w:rPr>
        <w:t>Mozaffarian</w:t>
      </w:r>
      <w:proofErr w:type="spellEnd"/>
      <w:r w:rsidRPr="007140DD">
        <w:rPr>
          <w:rFonts w:ascii="Arial" w:hAnsi="Arial" w:cs="Arial"/>
        </w:rPr>
        <w:t xml:space="preserve"> et al., 2014). Butter (O) had a notably high sodium content (684.93 </w:t>
      </w:r>
      <w:r w:rsidR="00DC59F6" w:rsidRPr="007140DD">
        <w:rPr>
          <w:rFonts w:ascii="Arial" w:hAnsi="Arial" w:cs="Arial"/>
        </w:rPr>
        <w:t>ppm</w:t>
      </w:r>
      <w:r w:rsidRPr="007140DD">
        <w:rPr>
          <w:rFonts w:ascii="Arial" w:hAnsi="Arial" w:cs="Arial"/>
        </w:rPr>
        <w:t xml:space="preserve">), while locally processed oil and doughnut oil had much lower levels. Although the sodium content in the final doughnut oil (C) was diluted (10.91 </w:t>
      </w:r>
      <w:r w:rsidR="000A477D" w:rsidRPr="007140DD">
        <w:rPr>
          <w:rFonts w:ascii="Arial" w:hAnsi="Arial" w:cs="Arial"/>
        </w:rPr>
        <w:t>ppm</w:t>
      </w:r>
      <w:r w:rsidRPr="007140DD">
        <w:rPr>
          <w:rFonts w:ascii="Arial" w:hAnsi="Arial" w:cs="Arial"/>
        </w:rPr>
        <w:t xml:space="preserve">), cumulative dietary exposure from butter-based fried foods could pose risks, particularly in populations with pre-existing cardiovascular concerns. Potassium helps regulate blood pressure and counteracts the effects of sodium. The locally processed oil contained an exceptionally high potassium level (156,106 </w:t>
      </w:r>
      <w:r w:rsidR="000A477D" w:rsidRPr="007140DD">
        <w:rPr>
          <w:rFonts w:ascii="Arial" w:hAnsi="Arial" w:cs="Arial"/>
        </w:rPr>
        <w:t>ppm</w:t>
      </w:r>
      <w:r w:rsidRPr="007140DD">
        <w:rPr>
          <w:rFonts w:ascii="Arial" w:hAnsi="Arial" w:cs="Arial"/>
        </w:rPr>
        <w:t xml:space="preserve">), significantly higher than in the doughnut oil (C: 49,006.8 </w:t>
      </w:r>
      <w:r w:rsidR="000A477D" w:rsidRPr="007140DD">
        <w:rPr>
          <w:rFonts w:ascii="Arial" w:hAnsi="Arial" w:cs="Arial"/>
        </w:rPr>
        <w:t>ppm</w:t>
      </w:r>
      <w:r w:rsidRPr="007140DD">
        <w:rPr>
          <w:rFonts w:ascii="Arial" w:hAnsi="Arial" w:cs="Arial"/>
        </w:rPr>
        <w:t xml:space="preserve">). While this could be beneficial, </w:t>
      </w:r>
      <w:r w:rsidRPr="007140DD">
        <w:rPr>
          <w:rStyle w:val="Strong"/>
          <w:rFonts w:ascii="Arial" w:hAnsi="Arial" w:cs="Arial"/>
          <w:b w:val="0"/>
        </w:rPr>
        <w:t>the bioavailability and daily intake levels from oils are uncertain</w:t>
      </w:r>
      <w:r w:rsidRPr="007140DD">
        <w:rPr>
          <w:rFonts w:ascii="Arial" w:hAnsi="Arial" w:cs="Arial"/>
        </w:rPr>
        <w:t xml:space="preserve">. Also, extremely high mineral concentrations in cooking oils may raise </w:t>
      </w:r>
      <w:r w:rsidRPr="007140DD">
        <w:rPr>
          <w:rStyle w:val="Strong"/>
          <w:rFonts w:ascii="Arial" w:hAnsi="Arial" w:cs="Arial"/>
          <w:b w:val="0"/>
        </w:rPr>
        <w:t>concerns about contamination or improper refining</w:t>
      </w:r>
      <w:r w:rsidRPr="007140DD">
        <w:rPr>
          <w:rFonts w:ascii="Arial" w:hAnsi="Arial" w:cs="Arial"/>
        </w:rPr>
        <w:t xml:space="preserve">, which should be investigated further (Naz et al., 2005). These minerals are essential for bone health, enzymatic reactions, and neuromuscular function. Though present in moderate concentrations, their nutritional contribution from oil intake is limited due to </w:t>
      </w:r>
      <w:r w:rsidRPr="007140DD">
        <w:rPr>
          <w:rStyle w:val="Strong"/>
          <w:rFonts w:ascii="Arial" w:hAnsi="Arial" w:cs="Arial"/>
          <w:b w:val="0"/>
        </w:rPr>
        <w:t>low oil consumption volumes</w:t>
      </w:r>
      <w:r w:rsidRPr="007140DD">
        <w:rPr>
          <w:rFonts w:ascii="Arial" w:hAnsi="Arial" w:cs="Arial"/>
          <w:b/>
        </w:rPr>
        <w:t xml:space="preserve"> </w:t>
      </w:r>
      <w:r w:rsidRPr="007140DD">
        <w:rPr>
          <w:rFonts w:ascii="Arial" w:hAnsi="Arial" w:cs="Arial"/>
        </w:rPr>
        <w:t>and</w:t>
      </w:r>
      <w:r w:rsidRPr="007140DD">
        <w:rPr>
          <w:rFonts w:ascii="Arial" w:hAnsi="Arial" w:cs="Arial"/>
          <w:b/>
        </w:rPr>
        <w:t xml:space="preserve"> </w:t>
      </w:r>
      <w:r w:rsidRPr="007140DD">
        <w:rPr>
          <w:rStyle w:val="Strong"/>
          <w:rFonts w:ascii="Arial" w:hAnsi="Arial" w:cs="Arial"/>
          <w:b w:val="0"/>
        </w:rPr>
        <w:t>questionable bioavailability</w:t>
      </w:r>
      <w:r w:rsidRPr="007140DD">
        <w:rPr>
          <w:rFonts w:ascii="Arial" w:hAnsi="Arial" w:cs="Arial"/>
        </w:rPr>
        <w:t xml:space="preserve"> from lipid matrices (Trumbo et al., 2001). Nonetheless, the mineral profile adds some nutritional value. The </w:t>
      </w:r>
      <w:r w:rsidRPr="007140DD">
        <w:rPr>
          <w:rStyle w:val="Strong"/>
          <w:rFonts w:ascii="Arial" w:hAnsi="Arial" w:cs="Arial"/>
          <w:b w:val="0"/>
        </w:rPr>
        <w:t>elemental composition</w:t>
      </w:r>
      <w:r w:rsidRPr="007140DD">
        <w:rPr>
          <w:rFonts w:ascii="Arial" w:hAnsi="Arial" w:cs="Arial"/>
        </w:rPr>
        <w:t xml:space="preserve"> of the oils analyzed reveals several critical health implications: i</w:t>
      </w:r>
      <w:r w:rsidRPr="007140DD">
        <w:rPr>
          <w:rStyle w:val="Strong"/>
          <w:rFonts w:ascii="Arial" w:hAnsi="Arial" w:cs="Arial"/>
          <w:b w:val="0"/>
        </w:rPr>
        <w:t>ron</w:t>
      </w:r>
      <w:r w:rsidRPr="007140DD">
        <w:rPr>
          <w:rFonts w:ascii="Arial" w:hAnsi="Arial" w:cs="Arial"/>
        </w:rPr>
        <w:t xml:space="preserve"> levels are high in the locally processed and doughnut oils, acting as pro-oxidants and potentially </w:t>
      </w:r>
      <w:r w:rsidRPr="007140DD">
        <w:rPr>
          <w:rStyle w:val="Strong"/>
          <w:rFonts w:ascii="Arial" w:hAnsi="Arial" w:cs="Arial"/>
          <w:b w:val="0"/>
        </w:rPr>
        <w:t>worsening oil degradation during frying</w:t>
      </w:r>
      <w:r w:rsidRPr="007140DD">
        <w:rPr>
          <w:rFonts w:ascii="Arial" w:hAnsi="Arial" w:cs="Arial"/>
        </w:rPr>
        <w:t xml:space="preserve">, thus increasing exposure to harmful compounds; </w:t>
      </w:r>
      <w:r w:rsidRPr="007140DD">
        <w:rPr>
          <w:rStyle w:val="Strong"/>
          <w:rFonts w:ascii="Arial" w:hAnsi="Arial" w:cs="Arial"/>
          <w:b w:val="0"/>
        </w:rPr>
        <w:t>sodium</w:t>
      </w:r>
      <w:r w:rsidRPr="007140DD">
        <w:rPr>
          <w:rFonts w:ascii="Arial" w:hAnsi="Arial" w:cs="Arial"/>
        </w:rPr>
        <w:t xml:space="preserve"> is excessive in the butter, indicating </w:t>
      </w:r>
      <w:r w:rsidRPr="007140DD">
        <w:rPr>
          <w:rStyle w:val="Strong"/>
          <w:rFonts w:ascii="Arial" w:hAnsi="Arial" w:cs="Arial"/>
          <w:b w:val="0"/>
        </w:rPr>
        <w:t>hypertension risk</w:t>
      </w:r>
      <w:r w:rsidRPr="007140DD">
        <w:rPr>
          <w:rFonts w:ascii="Arial" w:hAnsi="Arial" w:cs="Arial"/>
        </w:rPr>
        <w:t xml:space="preserve"> if such oils are frequently used in fried or processed foods; </w:t>
      </w:r>
      <w:r w:rsidRPr="007140DD">
        <w:rPr>
          <w:rStyle w:val="Strong"/>
          <w:rFonts w:ascii="Arial" w:hAnsi="Arial" w:cs="Arial"/>
          <w:b w:val="0"/>
        </w:rPr>
        <w:t>potassium</w:t>
      </w:r>
      <w:r w:rsidRPr="007140DD">
        <w:rPr>
          <w:rFonts w:ascii="Arial" w:hAnsi="Arial" w:cs="Arial"/>
        </w:rPr>
        <w:t xml:space="preserve">, while generally beneficial, is present in unexpectedly high amounts in the locally processed oil, requiring further validation for safety and source integrity and </w:t>
      </w:r>
      <w:r w:rsidRPr="007140DD">
        <w:rPr>
          <w:rFonts w:ascii="Arial" w:hAnsi="Arial" w:cs="Arial"/>
          <w:b/>
        </w:rPr>
        <w:t>o</w:t>
      </w:r>
      <w:r w:rsidRPr="007140DD">
        <w:rPr>
          <w:rStyle w:val="Strong"/>
          <w:rFonts w:ascii="Arial" w:hAnsi="Arial" w:cs="Arial"/>
          <w:b w:val="0"/>
        </w:rPr>
        <w:t>ther minerals</w:t>
      </w:r>
      <w:r w:rsidRPr="007140DD">
        <w:rPr>
          <w:rFonts w:ascii="Arial" w:hAnsi="Arial" w:cs="Arial"/>
          <w:b/>
        </w:rPr>
        <w:t xml:space="preserve"> </w:t>
      </w:r>
      <w:r w:rsidRPr="007140DD">
        <w:rPr>
          <w:rFonts w:ascii="Arial" w:hAnsi="Arial" w:cs="Arial"/>
        </w:rPr>
        <w:t xml:space="preserve">like calcium, magnesium, and phosphorus contribute to nutritional content but do not offset the risks posed by oxidized lipids or mineral imbalance. </w:t>
      </w:r>
      <w:r w:rsidRPr="007140DD">
        <w:rPr>
          <w:rStyle w:val="Strong"/>
          <w:rFonts w:ascii="Arial" w:hAnsi="Arial" w:cs="Arial"/>
          <w:b w:val="0"/>
        </w:rPr>
        <w:t>Monitoring of mineral content</w:t>
      </w:r>
      <w:r w:rsidRPr="007140DD">
        <w:rPr>
          <w:rFonts w:ascii="Arial" w:hAnsi="Arial" w:cs="Arial"/>
        </w:rPr>
        <w:t xml:space="preserve"> (especially iron and sodium) in locally processed oils should be a public health priority, use of </w:t>
      </w:r>
      <w:r w:rsidRPr="007140DD">
        <w:rPr>
          <w:rStyle w:val="Strong"/>
          <w:rFonts w:ascii="Arial" w:hAnsi="Arial" w:cs="Arial"/>
          <w:b w:val="0"/>
        </w:rPr>
        <w:t>antioxidants or iron chelators</w:t>
      </w:r>
      <w:r w:rsidRPr="007140DD">
        <w:rPr>
          <w:rFonts w:ascii="Arial" w:hAnsi="Arial" w:cs="Arial"/>
        </w:rPr>
        <w:t xml:space="preserve"> may improve the stability of such oils during frying and </w:t>
      </w:r>
      <w:r w:rsidRPr="007140DD">
        <w:rPr>
          <w:rStyle w:val="Strong"/>
          <w:rFonts w:ascii="Arial" w:hAnsi="Arial" w:cs="Arial"/>
          <w:b w:val="0"/>
        </w:rPr>
        <w:t>public awareness</w:t>
      </w:r>
      <w:r w:rsidRPr="007140DD">
        <w:rPr>
          <w:rFonts w:ascii="Arial" w:hAnsi="Arial" w:cs="Arial"/>
        </w:rPr>
        <w:t xml:space="preserve"> on the risks of excessive sodium and degraded frying oils should be promoted, especially in areas where these local oils are widely used in street foods are recommended.</w:t>
      </w:r>
    </w:p>
    <w:p w14:paraId="669E54B0" w14:textId="718D3B36" w:rsidR="00043444" w:rsidRPr="007140DD" w:rsidRDefault="00043444" w:rsidP="00043444">
      <w:pPr>
        <w:rPr>
          <w:rFonts w:ascii="Arial" w:hAnsi="Arial" w:cs="Arial"/>
          <w:b/>
        </w:rPr>
      </w:pPr>
      <w:r w:rsidRPr="007140DD">
        <w:rPr>
          <w:rFonts w:ascii="Arial" w:hAnsi="Arial" w:cs="Arial"/>
          <w:b/>
        </w:rPr>
        <w:t>Table 5: Summary of Health Implications</w:t>
      </w:r>
    </w:p>
    <w:tbl>
      <w:tblPr>
        <w:tblStyle w:val="ListTable6Colorful"/>
        <w:tblW w:w="0" w:type="auto"/>
        <w:tblLook w:val="04A0" w:firstRow="1" w:lastRow="0" w:firstColumn="1" w:lastColumn="0" w:noHBand="0" w:noVBand="1"/>
      </w:tblPr>
      <w:tblGrid>
        <w:gridCol w:w="3607"/>
        <w:gridCol w:w="1506"/>
        <w:gridCol w:w="1845"/>
        <w:gridCol w:w="2550"/>
      </w:tblGrid>
      <w:tr w:rsidR="007140DD" w:rsidRPr="007140DD" w14:paraId="7418DA7D" w14:textId="77777777" w:rsidTr="00043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323D42E" w14:textId="77777777" w:rsidR="00043444" w:rsidRPr="007140DD" w:rsidRDefault="00043444" w:rsidP="00014824">
            <w:pPr>
              <w:jc w:val="both"/>
              <w:rPr>
                <w:rFonts w:ascii="Arial" w:hAnsi="Arial" w:cs="Arial"/>
                <w:b w:val="0"/>
                <w:bCs w:val="0"/>
                <w:color w:val="auto"/>
              </w:rPr>
            </w:pPr>
            <w:r w:rsidRPr="007140DD">
              <w:rPr>
                <w:rFonts w:ascii="Arial" w:hAnsi="Arial" w:cs="Arial"/>
                <w:color w:val="auto"/>
              </w:rPr>
              <w:t>Health Concern</w:t>
            </w:r>
          </w:p>
        </w:tc>
        <w:tc>
          <w:tcPr>
            <w:tcW w:w="0" w:type="auto"/>
            <w:shd w:val="clear" w:color="auto" w:fill="auto"/>
            <w:hideMark/>
          </w:tcPr>
          <w:p w14:paraId="708FC64B" w14:textId="77777777" w:rsidR="00043444" w:rsidRPr="007140DD" w:rsidRDefault="00043444" w:rsidP="00014824">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7140DD">
              <w:rPr>
                <w:rFonts w:ascii="Arial" w:hAnsi="Arial" w:cs="Arial"/>
                <w:color w:val="auto"/>
              </w:rPr>
              <w:t>Sample K</w:t>
            </w:r>
          </w:p>
        </w:tc>
        <w:tc>
          <w:tcPr>
            <w:tcW w:w="0" w:type="auto"/>
            <w:shd w:val="clear" w:color="auto" w:fill="auto"/>
            <w:hideMark/>
          </w:tcPr>
          <w:p w14:paraId="56B7266D" w14:textId="77777777" w:rsidR="00043444" w:rsidRPr="007140DD" w:rsidRDefault="00043444" w:rsidP="00014824">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7140DD">
              <w:rPr>
                <w:rFonts w:ascii="Arial" w:hAnsi="Arial" w:cs="Arial"/>
                <w:color w:val="auto"/>
              </w:rPr>
              <w:t>Sample O</w:t>
            </w:r>
          </w:p>
        </w:tc>
        <w:tc>
          <w:tcPr>
            <w:tcW w:w="0" w:type="auto"/>
            <w:shd w:val="clear" w:color="auto" w:fill="auto"/>
            <w:hideMark/>
          </w:tcPr>
          <w:p w14:paraId="4B4A151D" w14:textId="77777777" w:rsidR="00043444" w:rsidRPr="007140DD" w:rsidRDefault="00043444" w:rsidP="00014824">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7140DD">
              <w:rPr>
                <w:rFonts w:ascii="Arial" w:hAnsi="Arial" w:cs="Arial"/>
                <w:color w:val="auto"/>
              </w:rPr>
              <w:t>Sample C (Doughnut oil)</w:t>
            </w:r>
          </w:p>
        </w:tc>
      </w:tr>
      <w:tr w:rsidR="007140DD" w:rsidRPr="007140DD" w14:paraId="6E57B315" w14:textId="77777777" w:rsidTr="00043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882EF42" w14:textId="77777777" w:rsidR="00043444" w:rsidRPr="007140DD" w:rsidRDefault="00043444" w:rsidP="002753FB">
            <w:pPr>
              <w:jc w:val="both"/>
              <w:rPr>
                <w:rFonts w:ascii="Arial" w:hAnsi="Arial" w:cs="Arial"/>
                <w:b w:val="0"/>
                <w:color w:val="auto"/>
              </w:rPr>
            </w:pPr>
            <w:r w:rsidRPr="007140DD">
              <w:rPr>
                <w:rFonts w:ascii="Arial" w:hAnsi="Arial" w:cs="Arial"/>
                <w:b w:val="0"/>
                <w:color w:val="auto"/>
              </w:rPr>
              <w:t>High Free Fatty Acids &amp; Acidity</w:t>
            </w:r>
          </w:p>
        </w:tc>
        <w:tc>
          <w:tcPr>
            <w:tcW w:w="0" w:type="auto"/>
            <w:shd w:val="clear" w:color="auto" w:fill="auto"/>
            <w:hideMark/>
          </w:tcPr>
          <w:p w14:paraId="5221AEF0" w14:textId="70B4934C" w:rsidR="00043444" w:rsidRPr="007140DD" w:rsidRDefault="00043444" w:rsidP="002753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High risk</w:t>
            </w:r>
            <w:r w:rsidR="003D2395" w:rsidRPr="007140DD">
              <w:rPr>
                <w:rFonts w:ascii="Arial" w:hAnsi="Arial" w:cs="Arial"/>
                <w:color w:val="auto"/>
              </w:rPr>
              <w:t xml:space="preserve"> (++)</w:t>
            </w:r>
          </w:p>
        </w:tc>
        <w:tc>
          <w:tcPr>
            <w:tcW w:w="0" w:type="auto"/>
            <w:shd w:val="clear" w:color="auto" w:fill="auto"/>
            <w:hideMark/>
          </w:tcPr>
          <w:p w14:paraId="7140FFAE" w14:textId="74C6F332" w:rsidR="00043444" w:rsidRPr="007140DD" w:rsidRDefault="00043444" w:rsidP="002753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Low risk</w:t>
            </w:r>
            <w:r w:rsidR="003D2395" w:rsidRPr="007140DD">
              <w:rPr>
                <w:rFonts w:ascii="Arial" w:hAnsi="Arial" w:cs="Arial"/>
                <w:color w:val="auto"/>
              </w:rPr>
              <w:t xml:space="preserve"> (+++)</w:t>
            </w:r>
          </w:p>
        </w:tc>
        <w:tc>
          <w:tcPr>
            <w:tcW w:w="0" w:type="auto"/>
            <w:shd w:val="clear" w:color="auto" w:fill="auto"/>
            <w:hideMark/>
          </w:tcPr>
          <w:p w14:paraId="659DB5E3" w14:textId="59C83C19" w:rsidR="00043444" w:rsidRPr="007140DD" w:rsidRDefault="00043444" w:rsidP="002753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Moderate</w:t>
            </w:r>
            <w:r w:rsidR="003D2395" w:rsidRPr="007140DD">
              <w:rPr>
                <w:rFonts w:ascii="Arial" w:hAnsi="Arial" w:cs="Arial"/>
                <w:color w:val="auto"/>
              </w:rPr>
              <w:t xml:space="preserve"> (++</w:t>
            </w:r>
          </w:p>
        </w:tc>
      </w:tr>
      <w:tr w:rsidR="007140DD" w:rsidRPr="007140DD" w14:paraId="228957EC" w14:textId="77777777" w:rsidTr="0004344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57E22DE" w14:textId="77777777" w:rsidR="00043444" w:rsidRPr="007140DD" w:rsidRDefault="00043444" w:rsidP="002753FB">
            <w:pPr>
              <w:jc w:val="both"/>
              <w:rPr>
                <w:rFonts w:ascii="Arial" w:hAnsi="Arial" w:cs="Arial"/>
                <w:b w:val="0"/>
                <w:color w:val="auto"/>
              </w:rPr>
            </w:pPr>
            <w:r w:rsidRPr="007140DD">
              <w:rPr>
                <w:rFonts w:ascii="Arial" w:hAnsi="Arial" w:cs="Arial"/>
                <w:b w:val="0"/>
                <w:color w:val="auto"/>
              </w:rPr>
              <w:t>Oxidative Rancidity (Peroxide Value)</w:t>
            </w:r>
          </w:p>
        </w:tc>
        <w:tc>
          <w:tcPr>
            <w:tcW w:w="0" w:type="auto"/>
            <w:shd w:val="clear" w:color="auto" w:fill="auto"/>
            <w:hideMark/>
          </w:tcPr>
          <w:p w14:paraId="430C6A67" w14:textId="090BED26" w:rsidR="00043444" w:rsidRPr="007140DD" w:rsidRDefault="00043444" w:rsidP="002753F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Elevated</w:t>
            </w:r>
            <w:r w:rsidR="003D2395" w:rsidRPr="007140DD">
              <w:rPr>
                <w:rFonts w:ascii="Arial" w:hAnsi="Arial" w:cs="Arial"/>
                <w:color w:val="auto"/>
              </w:rPr>
              <w:t xml:space="preserve"> (++)</w:t>
            </w:r>
          </w:p>
        </w:tc>
        <w:tc>
          <w:tcPr>
            <w:tcW w:w="0" w:type="auto"/>
            <w:shd w:val="clear" w:color="auto" w:fill="auto"/>
            <w:hideMark/>
          </w:tcPr>
          <w:p w14:paraId="4E5ABD65" w14:textId="329CCD56" w:rsidR="00043444" w:rsidRPr="007140DD" w:rsidRDefault="00043444" w:rsidP="002753F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Moderate</w:t>
            </w:r>
            <w:r w:rsidR="003D2395" w:rsidRPr="007140DD">
              <w:rPr>
                <w:rFonts w:ascii="Arial" w:hAnsi="Arial" w:cs="Arial"/>
                <w:color w:val="auto"/>
              </w:rPr>
              <w:t xml:space="preserve"> (++</w:t>
            </w:r>
          </w:p>
        </w:tc>
        <w:tc>
          <w:tcPr>
            <w:tcW w:w="0" w:type="auto"/>
            <w:shd w:val="clear" w:color="auto" w:fill="auto"/>
            <w:hideMark/>
          </w:tcPr>
          <w:p w14:paraId="0A20AC94" w14:textId="6F8AB26D" w:rsidR="00043444" w:rsidRPr="007140DD" w:rsidRDefault="00043444" w:rsidP="002753F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Very high risk</w:t>
            </w:r>
            <w:r w:rsidR="003D2395" w:rsidRPr="007140DD">
              <w:rPr>
                <w:rFonts w:ascii="Arial" w:hAnsi="Arial" w:cs="Arial"/>
                <w:color w:val="auto"/>
              </w:rPr>
              <w:t xml:space="preserve"> (+)</w:t>
            </w:r>
          </w:p>
        </w:tc>
      </w:tr>
      <w:tr w:rsidR="007140DD" w:rsidRPr="007140DD" w14:paraId="40C8410C" w14:textId="77777777" w:rsidTr="00043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9FECE62" w14:textId="77777777" w:rsidR="00043444" w:rsidRPr="007140DD" w:rsidRDefault="00043444" w:rsidP="002753FB">
            <w:pPr>
              <w:jc w:val="both"/>
              <w:rPr>
                <w:rFonts w:ascii="Arial" w:hAnsi="Arial" w:cs="Arial"/>
                <w:b w:val="0"/>
                <w:color w:val="auto"/>
              </w:rPr>
            </w:pPr>
            <w:r w:rsidRPr="007140DD">
              <w:rPr>
                <w:rFonts w:ascii="Arial" w:hAnsi="Arial" w:cs="Arial"/>
                <w:b w:val="0"/>
                <w:color w:val="auto"/>
              </w:rPr>
              <w:t>Saturated vs Unsaturated Fat Balance</w:t>
            </w:r>
          </w:p>
        </w:tc>
        <w:tc>
          <w:tcPr>
            <w:tcW w:w="0" w:type="auto"/>
            <w:shd w:val="clear" w:color="auto" w:fill="auto"/>
            <w:hideMark/>
          </w:tcPr>
          <w:p w14:paraId="0F402A52" w14:textId="07C45FBB" w:rsidR="00043444" w:rsidRPr="007140DD" w:rsidRDefault="00043444" w:rsidP="002753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Saturated</w:t>
            </w:r>
            <w:r w:rsidR="003D2395" w:rsidRPr="007140DD">
              <w:rPr>
                <w:rFonts w:ascii="Arial" w:hAnsi="Arial" w:cs="Arial"/>
                <w:color w:val="auto"/>
              </w:rPr>
              <w:t xml:space="preserve"> (++)</w:t>
            </w:r>
          </w:p>
        </w:tc>
        <w:tc>
          <w:tcPr>
            <w:tcW w:w="0" w:type="auto"/>
            <w:shd w:val="clear" w:color="auto" w:fill="auto"/>
            <w:hideMark/>
          </w:tcPr>
          <w:p w14:paraId="2BA43F6B" w14:textId="5B6672B0" w:rsidR="00043444" w:rsidRPr="007140DD" w:rsidRDefault="00043444" w:rsidP="002753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Unsaturated</w:t>
            </w:r>
            <w:r w:rsidR="003D2395" w:rsidRPr="007140DD">
              <w:rPr>
                <w:rFonts w:ascii="Arial" w:hAnsi="Arial" w:cs="Arial"/>
                <w:color w:val="auto"/>
              </w:rPr>
              <w:t xml:space="preserve"> (+++)</w:t>
            </w:r>
          </w:p>
        </w:tc>
        <w:tc>
          <w:tcPr>
            <w:tcW w:w="0" w:type="auto"/>
            <w:shd w:val="clear" w:color="auto" w:fill="auto"/>
            <w:hideMark/>
          </w:tcPr>
          <w:p w14:paraId="5721A51D" w14:textId="3E8DFA0F" w:rsidR="00043444" w:rsidRPr="007140DD" w:rsidRDefault="00043444" w:rsidP="002753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Moderate balance</w:t>
            </w:r>
            <w:r w:rsidR="003D2395" w:rsidRPr="007140DD">
              <w:rPr>
                <w:rFonts w:ascii="Arial" w:hAnsi="Arial" w:cs="Arial"/>
                <w:color w:val="auto"/>
              </w:rPr>
              <w:t xml:space="preserve"> (+++)</w:t>
            </w:r>
          </w:p>
        </w:tc>
      </w:tr>
      <w:tr w:rsidR="007140DD" w:rsidRPr="007140DD" w14:paraId="3A0EB3D5" w14:textId="77777777" w:rsidTr="0004344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D743855" w14:textId="77777777" w:rsidR="00043444" w:rsidRPr="007140DD" w:rsidRDefault="00043444" w:rsidP="002753FB">
            <w:pPr>
              <w:jc w:val="both"/>
              <w:rPr>
                <w:rFonts w:ascii="Arial" w:hAnsi="Arial" w:cs="Arial"/>
                <w:b w:val="0"/>
                <w:color w:val="auto"/>
              </w:rPr>
            </w:pPr>
            <w:r w:rsidRPr="007140DD">
              <w:rPr>
                <w:rFonts w:ascii="Arial" w:hAnsi="Arial" w:cs="Arial"/>
                <w:b w:val="0"/>
                <w:color w:val="auto"/>
              </w:rPr>
              <w:t>Mineral Nutrition (Fe, Ca, K, Mg)</w:t>
            </w:r>
          </w:p>
        </w:tc>
        <w:tc>
          <w:tcPr>
            <w:tcW w:w="0" w:type="auto"/>
            <w:shd w:val="clear" w:color="auto" w:fill="auto"/>
            <w:hideMark/>
          </w:tcPr>
          <w:p w14:paraId="4EA1FFF3" w14:textId="0A074F79" w:rsidR="00043444" w:rsidRPr="007140DD" w:rsidRDefault="00043444" w:rsidP="002753F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Rich</w:t>
            </w:r>
            <w:r w:rsidR="004E4861" w:rsidRPr="007140DD">
              <w:rPr>
                <w:rFonts w:ascii="Arial" w:hAnsi="Arial" w:cs="Arial"/>
                <w:color w:val="auto"/>
              </w:rPr>
              <w:t xml:space="preserve"> (</w:t>
            </w:r>
            <w:r w:rsidR="003D2395" w:rsidRPr="007140DD">
              <w:rPr>
                <w:rFonts w:ascii="Arial" w:hAnsi="Arial" w:cs="Arial"/>
                <w:color w:val="auto"/>
              </w:rPr>
              <w:t>+++</w:t>
            </w:r>
            <w:r w:rsidR="004E4861" w:rsidRPr="007140DD">
              <w:rPr>
                <w:rFonts w:ascii="Arial" w:hAnsi="Arial" w:cs="Arial"/>
                <w:color w:val="auto"/>
              </w:rPr>
              <w:t>)</w:t>
            </w:r>
          </w:p>
        </w:tc>
        <w:tc>
          <w:tcPr>
            <w:tcW w:w="0" w:type="auto"/>
            <w:shd w:val="clear" w:color="auto" w:fill="auto"/>
            <w:hideMark/>
          </w:tcPr>
          <w:p w14:paraId="37E4FCC5" w14:textId="35026270" w:rsidR="00043444" w:rsidRPr="007140DD" w:rsidRDefault="00043444" w:rsidP="002753F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Lacking K, Fe</w:t>
            </w:r>
            <w:r w:rsidR="003D2395" w:rsidRPr="007140DD">
              <w:rPr>
                <w:rFonts w:ascii="Arial" w:hAnsi="Arial" w:cs="Arial"/>
                <w:color w:val="auto"/>
              </w:rPr>
              <w:t xml:space="preserve"> (++</w:t>
            </w:r>
          </w:p>
        </w:tc>
        <w:tc>
          <w:tcPr>
            <w:tcW w:w="0" w:type="auto"/>
            <w:shd w:val="clear" w:color="auto" w:fill="auto"/>
            <w:hideMark/>
          </w:tcPr>
          <w:p w14:paraId="66C1F631" w14:textId="23B117E9" w:rsidR="00043444" w:rsidRPr="007140DD" w:rsidRDefault="00043444" w:rsidP="002753F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Balanced retention</w:t>
            </w:r>
            <w:r w:rsidR="003D2395" w:rsidRPr="007140DD">
              <w:rPr>
                <w:rFonts w:ascii="Arial" w:hAnsi="Arial" w:cs="Arial"/>
                <w:color w:val="auto"/>
              </w:rPr>
              <w:t xml:space="preserve"> (+++)</w:t>
            </w:r>
          </w:p>
        </w:tc>
      </w:tr>
      <w:tr w:rsidR="007140DD" w:rsidRPr="007140DD" w14:paraId="2CBB9BA5" w14:textId="77777777" w:rsidTr="00043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115B9C9" w14:textId="77777777" w:rsidR="00043444" w:rsidRPr="007140DD" w:rsidRDefault="00043444" w:rsidP="002753FB">
            <w:pPr>
              <w:jc w:val="both"/>
              <w:rPr>
                <w:rFonts w:ascii="Arial" w:hAnsi="Arial" w:cs="Arial"/>
                <w:b w:val="0"/>
                <w:color w:val="auto"/>
              </w:rPr>
            </w:pPr>
            <w:r w:rsidRPr="007140DD">
              <w:rPr>
                <w:rFonts w:ascii="Arial" w:hAnsi="Arial" w:cs="Arial"/>
                <w:b w:val="0"/>
                <w:color w:val="auto"/>
              </w:rPr>
              <w:t>Sodium Load</w:t>
            </w:r>
          </w:p>
        </w:tc>
        <w:tc>
          <w:tcPr>
            <w:tcW w:w="0" w:type="auto"/>
            <w:shd w:val="clear" w:color="auto" w:fill="auto"/>
            <w:hideMark/>
          </w:tcPr>
          <w:p w14:paraId="198531D5" w14:textId="1E73FEF3" w:rsidR="00043444" w:rsidRPr="007140DD" w:rsidRDefault="00043444" w:rsidP="002753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Low</w:t>
            </w:r>
            <w:r w:rsidR="003D2395" w:rsidRPr="007140DD">
              <w:rPr>
                <w:rFonts w:ascii="Arial" w:hAnsi="Arial" w:cs="Arial"/>
                <w:color w:val="auto"/>
              </w:rPr>
              <w:t xml:space="preserve"> (+++)</w:t>
            </w:r>
          </w:p>
        </w:tc>
        <w:tc>
          <w:tcPr>
            <w:tcW w:w="0" w:type="auto"/>
            <w:shd w:val="clear" w:color="auto" w:fill="auto"/>
            <w:hideMark/>
          </w:tcPr>
          <w:p w14:paraId="25D57BBE" w14:textId="5A1223AD" w:rsidR="00043444" w:rsidRPr="007140DD" w:rsidRDefault="00043444" w:rsidP="002753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Excessive</w:t>
            </w:r>
            <w:r w:rsidR="003D2395" w:rsidRPr="007140DD">
              <w:rPr>
                <w:rFonts w:ascii="Arial" w:hAnsi="Arial" w:cs="Arial"/>
                <w:color w:val="auto"/>
              </w:rPr>
              <w:t xml:space="preserve"> (+)</w:t>
            </w:r>
          </w:p>
        </w:tc>
        <w:tc>
          <w:tcPr>
            <w:tcW w:w="0" w:type="auto"/>
            <w:shd w:val="clear" w:color="auto" w:fill="auto"/>
            <w:hideMark/>
          </w:tcPr>
          <w:p w14:paraId="09F8E6D1" w14:textId="79C98C94" w:rsidR="00043444" w:rsidRPr="007140DD" w:rsidRDefault="00043444" w:rsidP="002753F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7140DD">
              <w:rPr>
                <w:rFonts w:ascii="Arial" w:hAnsi="Arial" w:cs="Arial"/>
                <w:color w:val="auto"/>
              </w:rPr>
              <w:t>Reduced</w:t>
            </w:r>
            <w:r w:rsidR="003D2395" w:rsidRPr="007140DD">
              <w:rPr>
                <w:rFonts w:ascii="Arial" w:hAnsi="Arial" w:cs="Arial"/>
                <w:color w:val="auto"/>
              </w:rPr>
              <w:t xml:space="preserve"> (+++)</w:t>
            </w:r>
          </w:p>
        </w:tc>
      </w:tr>
      <w:tr w:rsidR="007140DD" w:rsidRPr="007140DD" w14:paraId="7A35CF24" w14:textId="77777777" w:rsidTr="00043444">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44ED9DD" w14:textId="77777777" w:rsidR="00043444" w:rsidRPr="007140DD" w:rsidRDefault="00043444" w:rsidP="002753FB">
            <w:pPr>
              <w:jc w:val="both"/>
              <w:rPr>
                <w:rFonts w:ascii="Arial" w:hAnsi="Arial" w:cs="Arial"/>
                <w:b w:val="0"/>
                <w:color w:val="auto"/>
              </w:rPr>
            </w:pPr>
            <w:r w:rsidRPr="007140DD">
              <w:rPr>
                <w:rFonts w:ascii="Arial" w:hAnsi="Arial" w:cs="Arial"/>
                <w:b w:val="0"/>
                <w:color w:val="auto"/>
              </w:rPr>
              <w:t>Phosphorus Burden</w:t>
            </w:r>
          </w:p>
        </w:tc>
        <w:tc>
          <w:tcPr>
            <w:tcW w:w="0" w:type="auto"/>
            <w:shd w:val="clear" w:color="auto" w:fill="auto"/>
            <w:hideMark/>
          </w:tcPr>
          <w:p w14:paraId="5008D3B8" w14:textId="57460DFC" w:rsidR="00043444" w:rsidRPr="007140DD" w:rsidRDefault="00043444" w:rsidP="002753F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Low</w:t>
            </w:r>
            <w:r w:rsidR="003D2395" w:rsidRPr="007140DD">
              <w:rPr>
                <w:rFonts w:ascii="Arial" w:hAnsi="Arial" w:cs="Arial"/>
                <w:color w:val="auto"/>
              </w:rPr>
              <w:t xml:space="preserve"> (+++)</w:t>
            </w:r>
          </w:p>
        </w:tc>
        <w:tc>
          <w:tcPr>
            <w:tcW w:w="0" w:type="auto"/>
            <w:shd w:val="clear" w:color="auto" w:fill="auto"/>
            <w:hideMark/>
          </w:tcPr>
          <w:p w14:paraId="7DAF0AEA" w14:textId="572A5B3E" w:rsidR="00043444" w:rsidRPr="007140DD" w:rsidRDefault="00043444" w:rsidP="002753F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High</w:t>
            </w:r>
            <w:r w:rsidR="003D2395" w:rsidRPr="007140DD">
              <w:rPr>
                <w:rFonts w:ascii="Arial" w:hAnsi="Arial" w:cs="Arial"/>
                <w:color w:val="auto"/>
              </w:rPr>
              <w:t xml:space="preserve"> (++</w:t>
            </w:r>
          </w:p>
        </w:tc>
        <w:tc>
          <w:tcPr>
            <w:tcW w:w="0" w:type="auto"/>
            <w:shd w:val="clear" w:color="auto" w:fill="auto"/>
            <w:hideMark/>
          </w:tcPr>
          <w:p w14:paraId="3F42A161" w14:textId="0C87C032" w:rsidR="00043444" w:rsidRPr="007140DD" w:rsidRDefault="00043444" w:rsidP="002753F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7140DD">
              <w:rPr>
                <w:rFonts w:ascii="Arial" w:hAnsi="Arial" w:cs="Arial"/>
                <w:color w:val="auto"/>
              </w:rPr>
              <w:t>Safer level</w:t>
            </w:r>
            <w:r w:rsidR="003D2395" w:rsidRPr="007140DD">
              <w:rPr>
                <w:rFonts w:ascii="Arial" w:hAnsi="Arial" w:cs="Arial"/>
                <w:color w:val="auto"/>
              </w:rPr>
              <w:t xml:space="preserve"> (+++)</w:t>
            </w:r>
          </w:p>
        </w:tc>
      </w:tr>
    </w:tbl>
    <w:p w14:paraId="4798C915" w14:textId="0209BF4F" w:rsidR="002753FB" w:rsidRPr="007140DD" w:rsidRDefault="004E4861" w:rsidP="002753FB">
      <w:pPr>
        <w:jc w:val="both"/>
        <w:rPr>
          <w:rFonts w:ascii="Arial" w:hAnsi="Arial" w:cs="Arial"/>
          <w:i/>
          <w:sz w:val="18"/>
          <w:szCs w:val="18"/>
        </w:rPr>
      </w:pPr>
      <w:r w:rsidRPr="007140DD">
        <w:rPr>
          <w:rFonts w:ascii="Arial" w:hAnsi="Arial" w:cs="Arial"/>
          <w:i/>
          <w:sz w:val="18"/>
          <w:szCs w:val="18"/>
        </w:rPr>
        <w:t>*Keys: +++ = health promoting, ++ = moderate concern, + = high</w:t>
      </w:r>
      <w:r w:rsidR="003D2395" w:rsidRPr="007140DD">
        <w:rPr>
          <w:rFonts w:ascii="Arial" w:hAnsi="Arial" w:cs="Arial"/>
          <w:i/>
          <w:sz w:val="18"/>
          <w:szCs w:val="18"/>
        </w:rPr>
        <w:t xml:space="preserve"> health</w:t>
      </w:r>
      <w:r w:rsidRPr="007140DD">
        <w:rPr>
          <w:rFonts w:ascii="Arial" w:hAnsi="Arial" w:cs="Arial"/>
          <w:i/>
          <w:sz w:val="18"/>
          <w:szCs w:val="18"/>
        </w:rPr>
        <w:t xml:space="preserve"> risk. </w:t>
      </w:r>
      <w:r w:rsidR="002753FB" w:rsidRPr="007140DD">
        <w:rPr>
          <w:rFonts w:ascii="Arial" w:hAnsi="Arial" w:cs="Arial"/>
          <w:i/>
          <w:sz w:val="18"/>
          <w:szCs w:val="18"/>
        </w:rPr>
        <w:t>*High Free Fatty Acids &amp; Acidity: High risk (</w:t>
      </w:r>
      <w:proofErr w:type="spellStart"/>
      <w:r w:rsidR="002753FB" w:rsidRPr="007140DD">
        <w:rPr>
          <w:rFonts w:ascii="Arial" w:hAnsi="Arial" w:cs="Arial"/>
          <w:i/>
          <w:iCs/>
          <w:sz w:val="18"/>
          <w:szCs w:val="18"/>
        </w:rPr>
        <w:t>Guillén</w:t>
      </w:r>
      <w:proofErr w:type="spellEnd"/>
      <w:r w:rsidR="002753FB" w:rsidRPr="007140DD">
        <w:rPr>
          <w:rFonts w:ascii="Arial" w:hAnsi="Arial" w:cs="Arial"/>
          <w:i/>
          <w:iCs/>
          <w:sz w:val="18"/>
          <w:szCs w:val="18"/>
        </w:rPr>
        <w:t xml:space="preserve"> &amp; Cabo, 2002; Codex Alimentarius, 2019</w:t>
      </w:r>
      <w:r w:rsidR="002753FB" w:rsidRPr="007140DD">
        <w:rPr>
          <w:rFonts w:ascii="Arial" w:hAnsi="Arial" w:cs="Arial"/>
          <w:i/>
          <w:sz w:val="18"/>
          <w:szCs w:val="18"/>
        </w:rPr>
        <w:t>), Low risk (</w:t>
      </w:r>
      <w:r w:rsidR="002753FB" w:rsidRPr="007140DD">
        <w:rPr>
          <w:rFonts w:ascii="Arial" w:hAnsi="Arial" w:cs="Arial"/>
          <w:i/>
          <w:iCs/>
          <w:sz w:val="18"/>
          <w:szCs w:val="18"/>
        </w:rPr>
        <w:t>Warner &amp; Gupta, 2003</w:t>
      </w:r>
      <w:r w:rsidR="002753FB" w:rsidRPr="007140DD">
        <w:rPr>
          <w:rFonts w:ascii="Arial" w:hAnsi="Arial" w:cs="Arial"/>
          <w:i/>
          <w:sz w:val="18"/>
          <w:szCs w:val="18"/>
        </w:rPr>
        <w:t>), Moderate (</w:t>
      </w:r>
      <w:proofErr w:type="spellStart"/>
      <w:r w:rsidR="002753FB" w:rsidRPr="007140DD">
        <w:rPr>
          <w:rFonts w:ascii="Arial" w:hAnsi="Arial" w:cs="Arial"/>
          <w:i/>
          <w:iCs/>
          <w:sz w:val="18"/>
          <w:szCs w:val="18"/>
        </w:rPr>
        <w:t>Pillon</w:t>
      </w:r>
      <w:proofErr w:type="spellEnd"/>
      <w:r w:rsidR="002753FB" w:rsidRPr="007140DD">
        <w:rPr>
          <w:rFonts w:ascii="Arial" w:hAnsi="Arial" w:cs="Arial"/>
          <w:i/>
          <w:iCs/>
          <w:sz w:val="18"/>
          <w:szCs w:val="18"/>
        </w:rPr>
        <w:t xml:space="preserve"> et al., 2012</w:t>
      </w:r>
      <w:r w:rsidR="002753FB" w:rsidRPr="007140DD">
        <w:rPr>
          <w:rFonts w:ascii="Arial" w:hAnsi="Arial" w:cs="Arial"/>
          <w:i/>
          <w:sz w:val="18"/>
          <w:szCs w:val="18"/>
        </w:rPr>
        <w:t>). *Oxidative Rancidity (Peroxide Value): Elevated (</w:t>
      </w:r>
      <w:r w:rsidR="002753FB" w:rsidRPr="007140DD">
        <w:rPr>
          <w:rFonts w:ascii="Arial" w:hAnsi="Arial" w:cs="Arial"/>
          <w:i/>
          <w:iCs/>
          <w:sz w:val="18"/>
          <w:szCs w:val="18"/>
        </w:rPr>
        <w:t>Choe &amp; Min, 2006</w:t>
      </w:r>
      <w:r w:rsidR="002753FB" w:rsidRPr="007140DD">
        <w:rPr>
          <w:rFonts w:ascii="Arial" w:hAnsi="Arial" w:cs="Arial"/>
          <w:i/>
          <w:sz w:val="18"/>
          <w:szCs w:val="18"/>
        </w:rPr>
        <w:t>), Moderate (</w:t>
      </w:r>
      <w:proofErr w:type="spellStart"/>
      <w:r w:rsidR="002753FB" w:rsidRPr="007140DD">
        <w:rPr>
          <w:rFonts w:ascii="Arial" w:hAnsi="Arial" w:cs="Arial"/>
          <w:i/>
          <w:iCs/>
          <w:sz w:val="18"/>
          <w:szCs w:val="18"/>
        </w:rPr>
        <w:t>Mohdaly</w:t>
      </w:r>
      <w:proofErr w:type="spellEnd"/>
      <w:r w:rsidR="002753FB" w:rsidRPr="007140DD">
        <w:rPr>
          <w:rFonts w:ascii="Arial" w:hAnsi="Arial" w:cs="Arial"/>
          <w:i/>
          <w:iCs/>
          <w:sz w:val="18"/>
          <w:szCs w:val="18"/>
        </w:rPr>
        <w:t xml:space="preserve"> et al., 2010</w:t>
      </w:r>
      <w:r w:rsidR="002753FB" w:rsidRPr="007140DD">
        <w:rPr>
          <w:rFonts w:ascii="Arial" w:hAnsi="Arial" w:cs="Arial"/>
          <w:i/>
          <w:sz w:val="18"/>
          <w:szCs w:val="18"/>
        </w:rPr>
        <w:t>), Very high risk (</w:t>
      </w:r>
      <w:r w:rsidR="002753FB" w:rsidRPr="007140DD">
        <w:rPr>
          <w:rFonts w:ascii="Arial" w:hAnsi="Arial" w:cs="Arial"/>
          <w:i/>
          <w:iCs/>
          <w:sz w:val="18"/>
          <w:szCs w:val="18"/>
        </w:rPr>
        <w:t>Ayala et al., 2014</w:t>
      </w:r>
      <w:r w:rsidR="002753FB" w:rsidRPr="007140DD">
        <w:rPr>
          <w:rFonts w:ascii="Arial" w:hAnsi="Arial" w:cs="Arial"/>
          <w:i/>
          <w:sz w:val="18"/>
          <w:szCs w:val="18"/>
        </w:rPr>
        <w:t>).</w:t>
      </w:r>
      <w:r w:rsidR="002F04AB" w:rsidRPr="007140DD">
        <w:rPr>
          <w:rFonts w:ascii="Arial" w:hAnsi="Arial" w:cs="Arial"/>
          <w:i/>
          <w:sz w:val="18"/>
          <w:szCs w:val="18"/>
        </w:rPr>
        <w:t xml:space="preserve"> *Saturated vs Unsaturated Fat Balance</w:t>
      </w:r>
      <w:r w:rsidR="00720A32" w:rsidRPr="007140DD">
        <w:rPr>
          <w:rFonts w:ascii="Arial" w:hAnsi="Arial" w:cs="Arial"/>
          <w:i/>
          <w:sz w:val="18"/>
          <w:szCs w:val="18"/>
        </w:rPr>
        <w:t>: Saturated (</w:t>
      </w:r>
      <w:r w:rsidR="00720A32" w:rsidRPr="007140DD">
        <w:rPr>
          <w:rFonts w:ascii="Arial" w:hAnsi="Arial" w:cs="Arial"/>
          <w:i/>
          <w:iCs/>
          <w:sz w:val="18"/>
          <w:szCs w:val="18"/>
        </w:rPr>
        <w:t>Siri-</w:t>
      </w:r>
      <w:proofErr w:type="spellStart"/>
      <w:r w:rsidR="00720A32" w:rsidRPr="007140DD">
        <w:rPr>
          <w:rFonts w:ascii="Arial" w:hAnsi="Arial" w:cs="Arial"/>
          <w:i/>
          <w:iCs/>
          <w:sz w:val="18"/>
          <w:szCs w:val="18"/>
        </w:rPr>
        <w:t>Tarino</w:t>
      </w:r>
      <w:proofErr w:type="spellEnd"/>
      <w:r w:rsidR="00720A32" w:rsidRPr="007140DD">
        <w:rPr>
          <w:rFonts w:ascii="Arial" w:hAnsi="Arial" w:cs="Arial"/>
          <w:i/>
          <w:iCs/>
          <w:sz w:val="18"/>
          <w:szCs w:val="18"/>
        </w:rPr>
        <w:t xml:space="preserve"> et al., 2010</w:t>
      </w:r>
      <w:r w:rsidR="00720A32" w:rsidRPr="007140DD">
        <w:rPr>
          <w:rFonts w:ascii="Arial" w:hAnsi="Arial" w:cs="Arial"/>
          <w:i/>
          <w:sz w:val="18"/>
          <w:szCs w:val="18"/>
        </w:rPr>
        <w:t>), Unsaturated (</w:t>
      </w:r>
      <w:proofErr w:type="spellStart"/>
      <w:r w:rsidR="00720A32" w:rsidRPr="007140DD">
        <w:rPr>
          <w:rFonts w:ascii="Arial" w:hAnsi="Arial" w:cs="Arial"/>
          <w:i/>
          <w:iCs/>
          <w:sz w:val="18"/>
          <w:szCs w:val="18"/>
        </w:rPr>
        <w:t>Mensink</w:t>
      </w:r>
      <w:proofErr w:type="spellEnd"/>
      <w:r w:rsidR="00720A32" w:rsidRPr="007140DD">
        <w:rPr>
          <w:rFonts w:ascii="Arial" w:hAnsi="Arial" w:cs="Arial"/>
          <w:i/>
          <w:iCs/>
          <w:sz w:val="18"/>
          <w:szCs w:val="18"/>
        </w:rPr>
        <w:t xml:space="preserve"> et al., 2003</w:t>
      </w:r>
      <w:r w:rsidR="00720A32" w:rsidRPr="007140DD">
        <w:rPr>
          <w:rFonts w:ascii="Arial" w:hAnsi="Arial" w:cs="Arial"/>
          <w:i/>
          <w:sz w:val="18"/>
          <w:szCs w:val="18"/>
        </w:rPr>
        <w:t>), Moderate balance (</w:t>
      </w:r>
      <w:r w:rsidR="00720A32" w:rsidRPr="007140DD">
        <w:rPr>
          <w:rFonts w:ascii="Arial" w:hAnsi="Arial" w:cs="Arial"/>
          <w:i/>
          <w:iCs/>
          <w:sz w:val="18"/>
          <w:szCs w:val="18"/>
        </w:rPr>
        <w:t>Warner &amp; Gupta, 2003</w:t>
      </w:r>
      <w:r w:rsidR="00720A32" w:rsidRPr="007140DD">
        <w:rPr>
          <w:rFonts w:ascii="Arial" w:hAnsi="Arial" w:cs="Arial"/>
          <w:i/>
          <w:sz w:val="18"/>
          <w:szCs w:val="18"/>
        </w:rPr>
        <w:t>)</w:t>
      </w:r>
      <w:r w:rsidR="00B420D1" w:rsidRPr="007140DD">
        <w:rPr>
          <w:rFonts w:ascii="Arial" w:hAnsi="Arial" w:cs="Arial"/>
          <w:i/>
          <w:sz w:val="18"/>
          <w:szCs w:val="18"/>
        </w:rPr>
        <w:t>. *Mineral Nutrition (Fe, Ca, K, Mg): Rich (</w:t>
      </w:r>
      <w:proofErr w:type="spellStart"/>
      <w:r w:rsidR="00B420D1" w:rsidRPr="007140DD">
        <w:rPr>
          <w:rFonts w:ascii="Arial" w:hAnsi="Arial" w:cs="Arial"/>
          <w:i/>
          <w:iCs/>
          <w:sz w:val="18"/>
          <w:szCs w:val="18"/>
        </w:rPr>
        <w:t>Adepoju</w:t>
      </w:r>
      <w:proofErr w:type="spellEnd"/>
      <w:r w:rsidR="00B420D1" w:rsidRPr="007140DD">
        <w:rPr>
          <w:rFonts w:ascii="Arial" w:hAnsi="Arial" w:cs="Arial"/>
          <w:i/>
          <w:iCs/>
          <w:sz w:val="18"/>
          <w:szCs w:val="18"/>
        </w:rPr>
        <w:t xml:space="preserve"> et al., 2012</w:t>
      </w:r>
      <w:r w:rsidR="00B420D1" w:rsidRPr="007140DD">
        <w:rPr>
          <w:rFonts w:ascii="Arial" w:hAnsi="Arial" w:cs="Arial"/>
          <w:i/>
          <w:sz w:val="18"/>
          <w:szCs w:val="18"/>
        </w:rPr>
        <w:t>), Lacking K, Fe (</w:t>
      </w:r>
      <w:r w:rsidR="00B420D1" w:rsidRPr="007140DD">
        <w:rPr>
          <w:rFonts w:ascii="Arial" w:hAnsi="Arial" w:cs="Arial"/>
          <w:i/>
          <w:iCs/>
          <w:sz w:val="18"/>
          <w:szCs w:val="18"/>
        </w:rPr>
        <w:t>Ofori &amp; Henshaw, 2017</w:t>
      </w:r>
      <w:r w:rsidR="00B420D1" w:rsidRPr="007140DD">
        <w:rPr>
          <w:rFonts w:ascii="Arial" w:hAnsi="Arial" w:cs="Arial"/>
          <w:i/>
          <w:sz w:val="18"/>
          <w:szCs w:val="18"/>
        </w:rPr>
        <w:t>), Balanced retention (</w:t>
      </w:r>
      <w:proofErr w:type="spellStart"/>
      <w:r w:rsidR="00B420D1" w:rsidRPr="007140DD">
        <w:rPr>
          <w:rFonts w:ascii="Arial" w:hAnsi="Arial" w:cs="Arial"/>
          <w:i/>
          <w:iCs/>
          <w:sz w:val="18"/>
          <w:szCs w:val="18"/>
        </w:rPr>
        <w:t>Naz</w:t>
      </w:r>
      <w:proofErr w:type="spellEnd"/>
      <w:r w:rsidR="00B420D1" w:rsidRPr="007140DD">
        <w:rPr>
          <w:rFonts w:ascii="Arial" w:hAnsi="Arial" w:cs="Arial"/>
          <w:i/>
          <w:iCs/>
          <w:sz w:val="18"/>
          <w:szCs w:val="18"/>
        </w:rPr>
        <w:t xml:space="preserve"> et al., 2005</w:t>
      </w:r>
      <w:r w:rsidR="00B420D1" w:rsidRPr="007140DD">
        <w:rPr>
          <w:rFonts w:ascii="Arial" w:hAnsi="Arial" w:cs="Arial"/>
          <w:i/>
          <w:sz w:val="18"/>
          <w:szCs w:val="18"/>
        </w:rPr>
        <w:t>). *Sodium Load: Low</w:t>
      </w:r>
      <w:r w:rsidR="00803094" w:rsidRPr="007140DD">
        <w:rPr>
          <w:rFonts w:ascii="Arial" w:hAnsi="Arial" w:cs="Arial"/>
          <w:i/>
          <w:sz w:val="18"/>
          <w:szCs w:val="18"/>
        </w:rPr>
        <w:t xml:space="preserve"> (</w:t>
      </w:r>
      <w:r w:rsidR="00803094" w:rsidRPr="007140DD">
        <w:rPr>
          <w:rFonts w:ascii="Arial" w:hAnsi="Arial" w:cs="Arial"/>
          <w:i/>
          <w:iCs/>
          <w:sz w:val="18"/>
          <w:szCs w:val="18"/>
        </w:rPr>
        <w:t>WHO, 2021</w:t>
      </w:r>
      <w:r w:rsidR="00803094" w:rsidRPr="007140DD">
        <w:rPr>
          <w:rFonts w:ascii="Arial" w:hAnsi="Arial" w:cs="Arial"/>
          <w:i/>
          <w:sz w:val="18"/>
          <w:szCs w:val="18"/>
        </w:rPr>
        <w:t>)</w:t>
      </w:r>
      <w:r w:rsidR="00B420D1" w:rsidRPr="007140DD">
        <w:rPr>
          <w:rFonts w:ascii="Arial" w:hAnsi="Arial" w:cs="Arial"/>
          <w:i/>
          <w:sz w:val="18"/>
          <w:szCs w:val="18"/>
        </w:rPr>
        <w:t>, Excessive</w:t>
      </w:r>
      <w:r w:rsidR="00803094" w:rsidRPr="007140DD">
        <w:rPr>
          <w:rFonts w:ascii="Arial" w:hAnsi="Arial" w:cs="Arial"/>
          <w:i/>
          <w:sz w:val="18"/>
          <w:szCs w:val="18"/>
        </w:rPr>
        <w:t xml:space="preserve"> (</w:t>
      </w:r>
      <w:r w:rsidR="00803094" w:rsidRPr="007140DD">
        <w:rPr>
          <w:rFonts w:ascii="Arial" w:hAnsi="Arial" w:cs="Arial"/>
          <w:i/>
          <w:iCs/>
          <w:sz w:val="18"/>
          <w:szCs w:val="18"/>
        </w:rPr>
        <w:t>WHO, 2021</w:t>
      </w:r>
      <w:r w:rsidR="00803094" w:rsidRPr="007140DD">
        <w:rPr>
          <w:rFonts w:ascii="Arial" w:hAnsi="Arial" w:cs="Arial"/>
          <w:i/>
          <w:sz w:val="18"/>
          <w:szCs w:val="18"/>
        </w:rPr>
        <w:t>)</w:t>
      </w:r>
      <w:r w:rsidR="00B420D1" w:rsidRPr="007140DD">
        <w:rPr>
          <w:rFonts w:ascii="Arial" w:hAnsi="Arial" w:cs="Arial"/>
          <w:i/>
          <w:sz w:val="18"/>
          <w:szCs w:val="18"/>
        </w:rPr>
        <w:t>, Reduced</w:t>
      </w:r>
      <w:r w:rsidR="00803094" w:rsidRPr="007140DD">
        <w:rPr>
          <w:rFonts w:ascii="Arial" w:hAnsi="Arial" w:cs="Arial"/>
          <w:i/>
          <w:sz w:val="18"/>
          <w:szCs w:val="18"/>
        </w:rPr>
        <w:t xml:space="preserve"> (</w:t>
      </w:r>
      <w:r w:rsidR="00803094" w:rsidRPr="007140DD">
        <w:rPr>
          <w:rFonts w:ascii="Arial" w:hAnsi="Arial" w:cs="Arial"/>
          <w:i/>
          <w:iCs/>
          <w:sz w:val="18"/>
          <w:szCs w:val="18"/>
        </w:rPr>
        <w:t xml:space="preserve">Calvo &amp; </w:t>
      </w:r>
      <w:proofErr w:type="spellStart"/>
      <w:r w:rsidR="00803094" w:rsidRPr="007140DD">
        <w:rPr>
          <w:rFonts w:ascii="Arial" w:hAnsi="Arial" w:cs="Arial"/>
          <w:i/>
          <w:iCs/>
          <w:sz w:val="18"/>
          <w:szCs w:val="18"/>
        </w:rPr>
        <w:t>Uribarri</w:t>
      </w:r>
      <w:proofErr w:type="spellEnd"/>
      <w:r w:rsidR="00803094" w:rsidRPr="007140DD">
        <w:rPr>
          <w:rFonts w:ascii="Arial" w:hAnsi="Arial" w:cs="Arial"/>
          <w:i/>
          <w:iCs/>
          <w:sz w:val="18"/>
          <w:szCs w:val="18"/>
        </w:rPr>
        <w:t>, 2013</w:t>
      </w:r>
      <w:r w:rsidR="00803094" w:rsidRPr="007140DD">
        <w:rPr>
          <w:rFonts w:ascii="Arial" w:hAnsi="Arial" w:cs="Arial"/>
          <w:i/>
          <w:sz w:val="18"/>
          <w:szCs w:val="18"/>
        </w:rPr>
        <w:t>). *Phosphorus Burden: Low (</w:t>
      </w:r>
      <w:r w:rsidR="00803094" w:rsidRPr="007140DD">
        <w:rPr>
          <w:rFonts w:ascii="Arial" w:hAnsi="Arial" w:cs="Arial"/>
          <w:i/>
          <w:iCs/>
          <w:sz w:val="18"/>
          <w:szCs w:val="18"/>
        </w:rPr>
        <w:t>NIH, 2020</w:t>
      </w:r>
      <w:r w:rsidR="00803094" w:rsidRPr="007140DD">
        <w:rPr>
          <w:rFonts w:ascii="Arial" w:hAnsi="Arial" w:cs="Arial"/>
          <w:i/>
          <w:sz w:val="18"/>
          <w:szCs w:val="18"/>
        </w:rPr>
        <w:t>), High (</w:t>
      </w:r>
      <w:r w:rsidR="00803094" w:rsidRPr="007140DD">
        <w:rPr>
          <w:rFonts w:ascii="Arial" w:hAnsi="Arial" w:cs="Arial"/>
          <w:i/>
          <w:iCs/>
          <w:sz w:val="18"/>
          <w:szCs w:val="18"/>
        </w:rPr>
        <w:t xml:space="preserve">Calvo &amp; </w:t>
      </w:r>
      <w:proofErr w:type="spellStart"/>
      <w:r w:rsidR="00803094" w:rsidRPr="007140DD">
        <w:rPr>
          <w:rFonts w:ascii="Arial" w:hAnsi="Arial" w:cs="Arial"/>
          <w:i/>
          <w:iCs/>
          <w:sz w:val="18"/>
          <w:szCs w:val="18"/>
        </w:rPr>
        <w:t>Uribarri</w:t>
      </w:r>
      <w:proofErr w:type="spellEnd"/>
      <w:r w:rsidR="00803094" w:rsidRPr="007140DD">
        <w:rPr>
          <w:rFonts w:ascii="Arial" w:hAnsi="Arial" w:cs="Arial"/>
          <w:i/>
          <w:iCs/>
          <w:sz w:val="18"/>
          <w:szCs w:val="18"/>
        </w:rPr>
        <w:t>, 2013</w:t>
      </w:r>
      <w:r w:rsidR="00803094" w:rsidRPr="007140DD">
        <w:rPr>
          <w:rFonts w:ascii="Arial" w:hAnsi="Arial" w:cs="Arial"/>
          <w:i/>
          <w:sz w:val="18"/>
          <w:szCs w:val="18"/>
        </w:rPr>
        <w:t>), Safer level (</w:t>
      </w:r>
      <w:r w:rsidR="00803094" w:rsidRPr="007140DD">
        <w:rPr>
          <w:rFonts w:ascii="Arial" w:hAnsi="Arial" w:cs="Arial"/>
          <w:i/>
          <w:iCs/>
          <w:sz w:val="18"/>
          <w:szCs w:val="18"/>
        </w:rPr>
        <w:t>Matsumoto et al., 2012</w:t>
      </w:r>
      <w:r w:rsidR="00803094" w:rsidRPr="007140DD">
        <w:rPr>
          <w:rFonts w:ascii="Arial" w:hAnsi="Arial" w:cs="Arial"/>
          <w:i/>
          <w:sz w:val="18"/>
          <w:szCs w:val="18"/>
        </w:rPr>
        <w:t>).</w:t>
      </w:r>
    </w:p>
    <w:p w14:paraId="4FFD230E" w14:textId="77777777" w:rsidR="0021452C" w:rsidRPr="007140DD" w:rsidRDefault="002753FB" w:rsidP="0021452C">
      <w:pPr>
        <w:jc w:val="both"/>
        <w:rPr>
          <w:rFonts w:ascii="Arial" w:hAnsi="Arial" w:cs="Arial"/>
          <w:sz w:val="18"/>
          <w:szCs w:val="18"/>
        </w:rPr>
      </w:pPr>
      <w:r w:rsidRPr="007140DD">
        <w:rPr>
          <w:rFonts w:ascii="Arial" w:hAnsi="Arial" w:cs="Arial"/>
          <w:sz w:val="18"/>
          <w:szCs w:val="18"/>
        </w:rPr>
        <w:t xml:space="preserve"> </w:t>
      </w:r>
    </w:p>
    <w:p w14:paraId="47D8E38C" w14:textId="33DC6111" w:rsidR="00043444" w:rsidRPr="007140DD" w:rsidRDefault="00301064" w:rsidP="00743461">
      <w:pPr>
        <w:jc w:val="both"/>
        <w:rPr>
          <w:rFonts w:ascii="Arial" w:hAnsi="Arial" w:cs="Arial"/>
          <w:sz w:val="18"/>
          <w:szCs w:val="18"/>
        </w:rPr>
      </w:pPr>
      <w:r w:rsidRPr="007140DD">
        <w:rPr>
          <w:rFonts w:ascii="Arial" w:hAnsi="Arial" w:cs="Arial"/>
        </w:rPr>
        <w:t xml:space="preserve">From </w:t>
      </w:r>
      <w:r w:rsidR="0021452C" w:rsidRPr="007140DD">
        <w:rPr>
          <w:rFonts w:ascii="Arial" w:hAnsi="Arial" w:cs="Arial"/>
        </w:rPr>
        <w:t>the summary of health implications (table 5)</w:t>
      </w:r>
      <w:r w:rsidRPr="007140DD">
        <w:rPr>
          <w:rFonts w:ascii="Arial" w:hAnsi="Arial" w:cs="Arial"/>
        </w:rPr>
        <w:t xml:space="preserve">, </w:t>
      </w:r>
      <w:r w:rsidRPr="007140DD">
        <w:rPr>
          <w:rFonts w:ascii="Arial" w:hAnsi="Arial" w:cs="Arial"/>
          <w:bCs/>
        </w:rPr>
        <w:t>unrefined oil (K)</w:t>
      </w:r>
      <w:r w:rsidRPr="007140DD">
        <w:rPr>
          <w:rFonts w:ascii="Arial" w:hAnsi="Arial" w:cs="Arial"/>
        </w:rPr>
        <w:t xml:space="preserve"> offers superior mineral content but presents a risk due to high acidity and peroxide levels. </w:t>
      </w:r>
      <w:r w:rsidRPr="007140DD">
        <w:rPr>
          <w:rFonts w:ascii="Arial" w:hAnsi="Arial" w:cs="Arial"/>
          <w:bCs/>
        </w:rPr>
        <w:t>Unrefined butter (O)</w:t>
      </w:r>
      <w:r w:rsidRPr="007140DD">
        <w:rPr>
          <w:rFonts w:ascii="Arial" w:hAnsi="Arial" w:cs="Arial"/>
        </w:rPr>
        <w:t xml:space="preserve"> is more chemically stable but has excessive sodium and lacks key minerals like potassium and iron</w:t>
      </w:r>
      <w:r w:rsidR="0074534B" w:rsidRPr="007140DD">
        <w:rPr>
          <w:rFonts w:ascii="Arial" w:hAnsi="Arial" w:cs="Arial"/>
        </w:rPr>
        <w:t xml:space="preserve"> while</w:t>
      </w:r>
      <w:r w:rsidR="000877A7" w:rsidRPr="007140DD">
        <w:rPr>
          <w:rFonts w:ascii="Arial" w:hAnsi="Arial" w:cs="Arial"/>
        </w:rPr>
        <w:t xml:space="preserve"> </w:t>
      </w:r>
      <w:r w:rsidR="0074534B" w:rsidRPr="007140DD">
        <w:rPr>
          <w:rFonts w:ascii="Arial" w:hAnsi="Arial" w:cs="Arial"/>
        </w:rPr>
        <w:t>t</w:t>
      </w:r>
      <w:r w:rsidRPr="007140DD">
        <w:rPr>
          <w:rFonts w:ascii="Arial" w:hAnsi="Arial" w:cs="Arial"/>
        </w:rPr>
        <w:t xml:space="preserve">he </w:t>
      </w:r>
      <w:r w:rsidRPr="007140DD">
        <w:rPr>
          <w:rFonts w:ascii="Arial" w:hAnsi="Arial" w:cs="Arial"/>
          <w:bCs/>
        </w:rPr>
        <w:t>doughnut oil (C)</w:t>
      </w:r>
      <w:r w:rsidRPr="007140DD">
        <w:rPr>
          <w:rFonts w:ascii="Arial" w:hAnsi="Arial" w:cs="Arial"/>
        </w:rPr>
        <w:t xml:space="preserve"> shows partial retention of beneficial elements but exhibits significant oxidation, which may pose long-term </w:t>
      </w:r>
      <w:r w:rsidRPr="007140DD">
        <w:rPr>
          <w:rFonts w:ascii="Arial" w:hAnsi="Arial" w:cs="Arial"/>
          <w:bCs/>
        </w:rPr>
        <w:t>health risks if consumed frequently</w:t>
      </w:r>
      <w:r w:rsidRPr="007140DD">
        <w:rPr>
          <w:rFonts w:ascii="Arial" w:hAnsi="Arial" w:cs="Arial"/>
        </w:rPr>
        <w:t>.</w:t>
      </w:r>
    </w:p>
    <w:p w14:paraId="38510814" w14:textId="77777777" w:rsidR="005A0DE9" w:rsidRPr="007140DD" w:rsidRDefault="00876AFC" w:rsidP="005A0DE9">
      <w:pPr>
        <w:spacing w:before="100" w:beforeAutospacing="1" w:after="100" w:afterAutospacing="1"/>
        <w:rPr>
          <w:rFonts w:ascii="Arial" w:hAnsi="Arial" w:cs="Arial"/>
          <w:sz w:val="22"/>
          <w:szCs w:val="22"/>
        </w:rPr>
      </w:pPr>
      <w:r w:rsidRPr="007140DD">
        <w:rPr>
          <w:rFonts w:ascii="Arial" w:hAnsi="Arial" w:cs="Arial"/>
          <w:b/>
          <w:bCs/>
          <w:sz w:val="22"/>
          <w:szCs w:val="22"/>
        </w:rPr>
        <w:t>4. CONCLUSION</w:t>
      </w:r>
    </w:p>
    <w:p w14:paraId="5FEBF371" w14:textId="5F52878E" w:rsidR="00297A29" w:rsidRPr="007140DD" w:rsidRDefault="00297A29" w:rsidP="00297A29">
      <w:pPr>
        <w:spacing w:before="100" w:beforeAutospacing="1" w:after="100" w:afterAutospacing="1"/>
        <w:jc w:val="both"/>
        <w:rPr>
          <w:rFonts w:ascii="Arial" w:hAnsi="Arial" w:cs="Arial"/>
        </w:rPr>
      </w:pPr>
      <w:r w:rsidRPr="007140DD">
        <w:rPr>
          <w:rFonts w:ascii="Arial" w:hAnsi="Arial" w:cs="Arial"/>
        </w:rPr>
        <w:t xml:space="preserve">This study provided a detailed evaluation of the quality and health implications of doughnuts prepared using locally processed (unrefined) vegetable oils and butter. Through comprehensive physicochemical, fatty acid, and elemental analyses, it was evident that the deep-fat frying process significantly alters the chemical composition and stability of the fats used, particularly when unrefined sources are involved. The oil extracted from the fried doughnuts exhibited markedly elevated peroxide values (136.30 </w:t>
      </w:r>
      <w:proofErr w:type="spellStart"/>
      <w:r w:rsidRPr="007140DD">
        <w:rPr>
          <w:rFonts w:ascii="Arial" w:hAnsi="Arial" w:cs="Arial"/>
        </w:rPr>
        <w:t>meq</w:t>
      </w:r>
      <w:proofErr w:type="spellEnd"/>
      <w:r w:rsidRPr="007140DD">
        <w:rPr>
          <w:rFonts w:ascii="Arial" w:hAnsi="Arial" w:cs="Arial"/>
        </w:rPr>
        <w:t xml:space="preserve">/kg), indicating severe oxidative rancidity far beyond acceptable safety thresholds. This oxidative degradation was attributed to the high frying temperatures, presence of polyunsaturated fatty acids (PUFAs), and pro-oxidant minerals such as iron, especially prominent in the locally processed oil. The acid value and free fatty acid (FFA) levels further suggested hydrolytic breakdown, compounding concerns about oil quality post-frying. Fatty acid profiling via GC-MSD revealed that the doughnut oil retained medium-chain saturated fatty acids (e.g., lauric, myristic) from the unrefined oil, and unsaturated fatty acids (e.g., oleic, linoleic) from the butter. This blend contributed to a moderate iodine value, indicating a balance between saturation and unsaturation. However, the presence of easily oxidizable unsaturated fats raised additional concerns under high-heat conditions. Elemental analysis showed significant retention of potassium and iron from the unrefined oil and high sodium content in the butter. While some minerals offer </w:t>
      </w:r>
      <w:r w:rsidRPr="007140DD">
        <w:rPr>
          <w:rFonts w:ascii="Arial" w:hAnsi="Arial" w:cs="Arial"/>
        </w:rPr>
        <w:lastRenderedPageBreak/>
        <w:t>nutritional value, their high concentrations</w:t>
      </w:r>
      <w:r w:rsidR="005413A8" w:rsidRPr="007140DD">
        <w:rPr>
          <w:rFonts w:ascii="Arial" w:hAnsi="Arial" w:cs="Arial"/>
        </w:rPr>
        <w:t xml:space="preserve"> (</w:t>
      </w:r>
      <w:r w:rsidRPr="007140DD">
        <w:rPr>
          <w:rFonts w:ascii="Arial" w:hAnsi="Arial" w:cs="Arial"/>
        </w:rPr>
        <w:t>particularly iron</w:t>
      </w:r>
      <w:r w:rsidR="005413A8" w:rsidRPr="007140DD">
        <w:rPr>
          <w:rFonts w:ascii="Arial" w:hAnsi="Arial" w:cs="Arial"/>
        </w:rPr>
        <w:t xml:space="preserve">) </w:t>
      </w:r>
      <w:r w:rsidRPr="007140DD">
        <w:rPr>
          <w:rFonts w:ascii="Arial" w:hAnsi="Arial" w:cs="Arial"/>
        </w:rPr>
        <w:t>may accelerate lipid peroxidation, posing further health risks. Overall, the findings underscore the dual role of fat sources in determining both the nutritional profile and stability of fried products. The use of unrefined fats without appropriate controls can lead to significant oxidative and hydrolytic degradation. Therefore, integrating natural antioxidants, optimizing frying parameters, and carefully selecting and proportioning fat blends are essential strategies to enhance the safety, stability, and nutritional quality of fried snacks like doughnuts.</w:t>
      </w:r>
    </w:p>
    <w:p w14:paraId="488E1751" w14:textId="4461E7FE" w:rsidR="002B685A" w:rsidRPr="007140DD" w:rsidRDefault="00FB1A0B" w:rsidP="00441B6F">
      <w:pPr>
        <w:pStyle w:val="ReferHead"/>
        <w:spacing w:after="0"/>
        <w:jc w:val="both"/>
        <w:rPr>
          <w:rFonts w:ascii="Arial" w:hAnsi="Arial" w:cs="Arial"/>
          <w:caps w:val="0"/>
          <w:sz w:val="20"/>
        </w:rPr>
      </w:pPr>
      <w:r w:rsidRPr="007140DD">
        <w:rPr>
          <w:rFonts w:ascii="Arial" w:hAnsi="Arial" w:cs="Arial"/>
          <w:caps w:val="0"/>
          <w:sz w:val="20"/>
        </w:rPr>
        <w:t>Disclaimer (Artificial Intelligence)</w:t>
      </w:r>
    </w:p>
    <w:p w14:paraId="7B0DD8C8" w14:textId="77777777" w:rsidR="00233AEF" w:rsidRPr="007140DD" w:rsidRDefault="00233AEF" w:rsidP="00441B6F">
      <w:pPr>
        <w:pStyle w:val="ReferHead"/>
        <w:spacing w:after="0"/>
        <w:jc w:val="both"/>
        <w:rPr>
          <w:rFonts w:ascii="Arial" w:hAnsi="Arial" w:cs="Arial"/>
          <w:caps w:val="0"/>
          <w:sz w:val="20"/>
        </w:rPr>
      </w:pPr>
    </w:p>
    <w:p w14:paraId="2246EC04" w14:textId="44C7E9D2" w:rsidR="00233AEF" w:rsidRPr="007140DD" w:rsidRDefault="00233AEF" w:rsidP="00441B6F">
      <w:pPr>
        <w:pStyle w:val="ReferHead"/>
        <w:spacing w:after="0"/>
        <w:jc w:val="both"/>
        <w:rPr>
          <w:rFonts w:ascii="Arial" w:hAnsi="Arial" w:cs="Arial"/>
          <w:b w:val="0"/>
          <w:caps w:val="0"/>
          <w:sz w:val="20"/>
        </w:rPr>
      </w:pPr>
      <w:r w:rsidRPr="007140DD">
        <w:rPr>
          <w:rFonts w:ascii="Arial" w:hAnsi="Arial" w:cs="Arial"/>
          <w:b w:val="0"/>
          <w:caps w:val="0"/>
          <w:sz w:val="20"/>
        </w:rPr>
        <w:t xml:space="preserve">Authors hereby declare that </w:t>
      </w:r>
      <w:proofErr w:type="spellStart"/>
      <w:r w:rsidRPr="007140DD">
        <w:rPr>
          <w:rFonts w:ascii="Arial" w:hAnsi="Arial" w:cs="Arial"/>
          <w:b w:val="0"/>
          <w:caps w:val="0"/>
          <w:sz w:val="20"/>
        </w:rPr>
        <w:t>ChatGPT</w:t>
      </w:r>
      <w:proofErr w:type="spellEnd"/>
      <w:r w:rsidRPr="007140DD">
        <w:rPr>
          <w:rFonts w:ascii="Arial" w:hAnsi="Arial" w:cs="Arial"/>
          <w:b w:val="0"/>
          <w:caps w:val="0"/>
          <w:sz w:val="20"/>
        </w:rPr>
        <w:t xml:space="preserve"> (an </w:t>
      </w:r>
      <w:proofErr w:type="spellStart"/>
      <w:r w:rsidRPr="007140DD">
        <w:rPr>
          <w:rFonts w:ascii="Arial" w:hAnsi="Arial" w:cs="Arial"/>
          <w:b w:val="0"/>
          <w:caps w:val="0"/>
          <w:sz w:val="20"/>
        </w:rPr>
        <w:t>OpenAI</w:t>
      </w:r>
      <w:proofErr w:type="spellEnd"/>
      <w:r w:rsidRPr="007140DD">
        <w:rPr>
          <w:rFonts w:ascii="Arial" w:hAnsi="Arial" w:cs="Arial"/>
          <w:b w:val="0"/>
          <w:caps w:val="0"/>
          <w:sz w:val="20"/>
        </w:rPr>
        <w:t xml:space="preserve"> Language model) was used to edit the abstract, introduction, discussion and conclusion sections of this paper.</w:t>
      </w:r>
    </w:p>
    <w:p w14:paraId="6E42BFF2" w14:textId="77777777" w:rsidR="00233AEF" w:rsidRPr="007140DD" w:rsidRDefault="00233AEF" w:rsidP="00441B6F">
      <w:pPr>
        <w:pStyle w:val="ReferHead"/>
        <w:spacing w:after="0"/>
        <w:jc w:val="both"/>
        <w:rPr>
          <w:rFonts w:ascii="Arial" w:hAnsi="Arial" w:cs="Arial"/>
          <w:caps w:val="0"/>
          <w:sz w:val="20"/>
        </w:rPr>
      </w:pPr>
    </w:p>
    <w:p w14:paraId="0E214F94" w14:textId="77777777" w:rsidR="00B01FCD" w:rsidRPr="007140DD" w:rsidRDefault="00B01FCD" w:rsidP="00441B6F">
      <w:pPr>
        <w:pStyle w:val="ReferHead"/>
        <w:spacing w:after="0"/>
        <w:jc w:val="both"/>
        <w:rPr>
          <w:rFonts w:ascii="Arial" w:hAnsi="Arial" w:cs="Arial"/>
        </w:rPr>
      </w:pPr>
      <w:r w:rsidRPr="007140DD">
        <w:rPr>
          <w:rFonts w:ascii="Arial" w:hAnsi="Arial" w:cs="Arial"/>
        </w:rPr>
        <w:t>References</w:t>
      </w:r>
    </w:p>
    <w:p w14:paraId="2EF68961" w14:textId="77777777" w:rsidR="00540FE7" w:rsidRPr="007140DD" w:rsidRDefault="00540FE7" w:rsidP="00441B6F">
      <w:pPr>
        <w:pStyle w:val="Body"/>
        <w:spacing w:after="0"/>
        <w:rPr>
          <w:rFonts w:ascii="Arial" w:hAnsi="Arial" w:cs="Arial"/>
        </w:rPr>
      </w:pPr>
    </w:p>
    <w:p w14:paraId="788A25D6" w14:textId="22AADAE4" w:rsidR="00672F34" w:rsidRPr="007140DD" w:rsidRDefault="00672F34" w:rsidP="00F47360">
      <w:pPr>
        <w:pStyle w:val="ListParagraph"/>
        <w:numPr>
          <w:ilvl w:val="0"/>
          <w:numId w:val="33"/>
        </w:numPr>
        <w:autoSpaceDE w:val="0"/>
        <w:autoSpaceDN w:val="0"/>
        <w:adjustRightInd w:val="0"/>
        <w:rPr>
          <w:rFonts w:ascii="Arial" w:hAnsi="Arial" w:cs="Arial"/>
          <w:sz w:val="20"/>
          <w:szCs w:val="20"/>
        </w:rPr>
      </w:pPr>
      <w:r w:rsidRPr="007140DD">
        <w:rPr>
          <w:rFonts w:ascii="Arial" w:hAnsi="Arial" w:cs="Arial"/>
          <w:sz w:val="20"/>
          <w:szCs w:val="20"/>
        </w:rPr>
        <w:t xml:space="preserve">Monteiro, C. A., </w:t>
      </w:r>
      <w:proofErr w:type="spellStart"/>
      <w:r w:rsidRPr="007140DD">
        <w:rPr>
          <w:rFonts w:ascii="Arial" w:hAnsi="Arial" w:cs="Arial"/>
          <w:sz w:val="20"/>
          <w:szCs w:val="20"/>
        </w:rPr>
        <w:t>Moubarac</w:t>
      </w:r>
      <w:proofErr w:type="spellEnd"/>
      <w:r w:rsidRPr="007140DD">
        <w:rPr>
          <w:rFonts w:ascii="Arial" w:hAnsi="Arial" w:cs="Arial"/>
          <w:sz w:val="20"/>
          <w:szCs w:val="20"/>
        </w:rPr>
        <w:t>, J. C., Cannon, G., Ng, S. W., &amp; Popkin, B. (2013). Ultra</w:t>
      </w:r>
      <w:r w:rsidRPr="007140DD">
        <w:rPr>
          <w:rFonts w:ascii="Cambria Math" w:hAnsi="Cambria Math" w:cs="Cambria Math"/>
          <w:sz w:val="20"/>
          <w:szCs w:val="20"/>
        </w:rPr>
        <w:t>‐</w:t>
      </w:r>
      <w:r w:rsidRPr="007140DD">
        <w:rPr>
          <w:rFonts w:ascii="Arial" w:hAnsi="Arial" w:cs="Arial"/>
          <w:sz w:val="20"/>
          <w:szCs w:val="20"/>
        </w:rPr>
        <w:t xml:space="preserve">processed products are becoming dominant in the global food system. </w:t>
      </w:r>
      <w:r w:rsidRPr="007140DD">
        <w:rPr>
          <w:rStyle w:val="Emphasis"/>
          <w:rFonts w:ascii="Arial" w:hAnsi="Arial" w:cs="Arial"/>
          <w:sz w:val="20"/>
          <w:szCs w:val="20"/>
        </w:rPr>
        <w:t>Obesity Reviews</w:t>
      </w:r>
      <w:r w:rsidRPr="007140DD">
        <w:rPr>
          <w:rFonts w:ascii="Arial" w:hAnsi="Arial" w:cs="Arial"/>
          <w:sz w:val="20"/>
          <w:szCs w:val="20"/>
        </w:rPr>
        <w:t xml:space="preserve">, 14(S2), 21–28. </w:t>
      </w:r>
      <w:hyperlink r:id="rId39" w:history="1">
        <w:r w:rsidRPr="007140DD">
          <w:rPr>
            <w:rStyle w:val="Hyperlink"/>
            <w:rFonts w:ascii="Arial" w:hAnsi="Arial" w:cs="Arial"/>
            <w:color w:val="auto"/>
            <w:sz w:val="20"/>
            <w:szCs w:val="20"/>
          </w:rPr>
          <w:t>https://doi.org/10.1111/obr.12107</w:t>
        </w:r>
      </w:hyperlink>
    </w:p>
    <w:p w14:paraId="6EB3BD55" w14:textId="77777777" w:rsidR="00426750" w:rsidRPr="007140DD" w:rsidRDefault="001C5A01" w:rsidP="00F47360">
      <w:pPr>
        <w:pStyle w:val="ListParagraph"/>
        <w:numPr>
          <w:ilvl w:val="0"/>
          <w:numId w:val="33"/>
        </w:numPr>
        <w:autoSpaceDE w:val="0"/>
        <w:autoSpaceDN w:val="0"/>
        <w:adjustRightInd w:val="0"/>
        <w:rPr>
          <w:rFonts w:ascii="Arial" w:hAnsi="Arial" w:cs="Arial"/>
          <w:sz w:val="20"/>
          <w:szCs w:val="20"/>
        </w:rPr>
      </w:pPr>
      <w:r w:rsidRPr="007140DD">
        <w:rPr>
          <w:rFonts w:ascii="Arial" w:hAnsi="Arial" w:cs="Arial"/>
          <w:sz w:val="20"/>
          <w:szCs w:val="20"/>
        </w:rPr>
        <w:t xml:space="preserve">Hawkes, C. (2007). Marketing food to children: Changes in the global regulatory environment 2004–2006. </w:t>
      </w:r>
      <w:r w:rsidRPr="007140DD">
        <w:rPr>
          <w:rStyle w:val="Emphasis"/>
          <w:rFonts w:ascii="Arial" w:hAnsi="Arial" w:cs="Arial"/>
          <w:sz w:val="20"/>
          <w:szCs w:val="20"/>
        </w:rPr>
        <w:t>World Health Organization</w:t>
      </w:r>
      <w:r w:rsidRPr="007140DD">
        <w:rPr>
          <w:rFonts w:ascii="Arial" w:hAnsi="Arial" w:cs="Arial"/>
          <w:sz w:val="20"/>
          <w:szCs w:val="20"/>
        </w:rPr>
        <w:t xml:space="preserve">. </w:t>
      </w:r>
      <w:hyperlink r:id="rId40" w:tgtFrame="_new" w:history="1">
        <w:r w:rsidRPr="007140DD">
          <w:rPr>
            <w:rStyle w:val="Hyperlink"/>
            <w:rFonts w:ascii="Arial" w:hAnsi="Arial" w:cs="Arial"/>
            <w:color w:val="auto"/>
            <w:sz w:val="20"/>
            <w:szCs w:val="20"/>
          </w:rPr>
          <w:t>https://apps.who.int/iris/handle/10665/43622</w:t>
        </w:r>
      </w:hyperlink>
      <w:r w:rsidRPr="007140DD">
        <w:rPr>
          <w:rFonts w:ascii="Arial" w:hAnsi="Arial" w:cs="Arial"/>
          <w:sz w:val="20"/>
          <w:szCs w:val="20"/>
        </w:rPr>
        <w:t>.</w:t>
      </w:r>
    </w:p>
    <w:p w14:paraId="44A53440" w14:textId="77777777" w:rsidR="00BE2AAB" w:rsidRPr="007140DD" w:rsidRDefault="0019159C" w:rsidP="00F47360">
      <w:pPr>
        <w:pStyle w:val="ListParagraph"/>
        <w:numPr>
          <w:ilvl w:val="0"/>
          <w:numId w:val="33"/>
        </w:numPr>
        <w:autoSpaceDE w:val="0"/>
        <w:autoSpaceDN w:val="0"/>
        <w:adjustRightInd w:val="0"/>
        <w:rPr>
          <w:rFonts w:ascii="Arial" w:hAnsi="Arial" w:cs="Arial"/>
          <w:sz w:val="20"/>
          <w:szCs w:val="20"/>
        </w:rPr>
      </w:pPr>
      <w:r w:rsidRPr="007140DD">
        <w:rPr>
          <w:rFonts w:ascii="Arial" w:hAnsi="Arial" w:cs="Arial"/>
          <w:sz w:val="20"/>
          <w:szCs w:val="20"/>
        </w:rPr>
        <w:t xml:space="preserve">WHO. (2016). Report of the Commission on Ending Childhood Obesity. World Health Organization. </w:t>
      </w:r>
      <w:hyperlink r:id="rId41" w:tgtFrame="_new" w:history="1">
        <w:r w:rsidRPr="007140DD">
          <w:rPr>
            <w:rStyle w:val="Hyperlink"/>
            <w:rFonts w:ascii="Arial" w:hAnsi="Arial" w:cs="Arial"/>
            <w:color w:val="auto"/>
            <w:sz w:val="20"/>
            <w:szCs w:val="20"/>
          </w:rPr>
          <w:t>https://apps.who.int/iris/handle/10665/204176</w:t>
        </w:r>
      </w:hyperlink>
      <w:r w:rsidRPr="007140DD">
        <w:rPr>
          <w:rFonts w:ascii="Arial" w:hAnsi="Arial" w:cs="Arial"/>
          <w:sz w:val="20"/>
          <w:szCs w:val="20"/>
        </w:rPr>
        <w:t>.</w:t>
      </w:r>
    </w:p>
    <w:p w14:paraId="2D35D437" w14:textId="65B0A48A" w:rsidR="00BE2AAB" w:rsidRPr="007140DD" w:rsidRDefault="00BE2AAB"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eastAsia="Times New Roman" w:hAnsi="Arial" w:cs="Arial"/>
          <w:sz w:val="20"/>
          <w:szCs w:val="20"/>
        </w:rPr>
        <w:t>Astrup</w:t>
      </w:r>
      <w:proofErr w:type="spellEnd"/>
      <w:r w:rsidRPr="007140DD">
        <w:rPr>
          <w:rFonts w:ascii="Arial" w:eastAsia="Times New Roman" w:hAnsi="Arial" w:cs="Arial"/>
          <w:sz w:val="20"/>
          <w:szCs w:val="20"/>
        </w:rPr>
        <w:t xml:space="preserve">, A., </w:t>
      </w:r>
      <w:proofErr w:type="spellStart"/>
      <w:r w:rsidRPr="007140DD">
        <w:rPr>
          <w:rFonts w:ascii="Arial" w:eastAsia="Times New Roman" w:hAnsi="Arial" w:cs="Arial"/>
          <w:sz w:val="20"/>
          <w:szCs w:val="20"/>
        </w:rPr>
        <w:t>Dyerberg</w:t>
      </w:r>
      <w:proofErr w:type="spellEnd"/>
      <w:r w:rsidRPr="007140DD">
        <w:rPr>
          <w:rFonts w:ascii="Arial" w:eastAsia="Times New Roman" w:hAnsi="Arial" w:cs="Arial"/>
          <w:sz w:val="20"/>
          <w:szCs w:val="20"/>
        </w:rPr>
        <w:t xml:space="preserve">, J., Elwood, P., Hermansen, K., Hu, F. B., Jakobsen et al. (2011). The role of reducing intakes of saturated fat in the prevention of cardiovascular disease: where does the evidence stand in 2010? </w:t>
      </w:r>
      <w:r w:rsidRPr="007140DD">
        <w:rPr>
          <w:rFonts w:ascii="Arial" w:eastAsia="Times New Roman" w:hAnsi="Arial" w:cs="Arial"/>
          <w:i/>
          <w:iCs/>
          <w:sz w:val="20"/>
          <w:szCs w:val="20"/>
        </w:rPr>
        <w:t>The American Journal of Clinical Nutrition</w:t>
      </w:r>
      <w:r w:rsidRPr="007140DD">
        <w:rPr>
          <w:rFonts w:ascii="Arial" w:eastAsia="Times New Roman" w:hAnsi="Arial" w:cs="Arial"/>
          <w:sz w:val="20"/>
          <w:szCs w:val="20"/>
        </w:rPr>
        <w:t xml:space="preserve">, 93(4), 684–688. </w:t>
      </w:r>
      <w:hyperlink r:id="rId42" w:history="1">
        <w:r w:rsidRPr="007140DD">
          <w:rPr>
            <w:rFonts w:ascii="Arial" w:eastAsia="Times New Roman" w:hAnsi="Arial" w:cs="Arial"/>
            <w:sz w:val="20"/>
            <w:szCs w:val="20"/>
            <w:u w:val="single"/>
          </w:rPr>
          <w:t>https://doi.org/10.3945/ajcn.110.004622</w:t>
        </w:r>
      </w:hyperlink>
    </w:p>
    <w:p w14:paraId="5D110A2B" w14:textId="77777777" w:rsidR="00426750" w:rsidRPr="007140DD" w:rsidRDefault="00E0106C" w:rsidP="00F47360">
      <w:pPr>
        <w:pStyle w:val="ListParagraph"/>
        <w:numPr>
          <w:ilvl w:val="0"/>
          <w:numId w:val="33"/>
        </w:numPr>
        <w:autoSpaceDE w:val="0"/>
        <w:autoSpaceDN w:val="0"/>
        <w:adjustRightInd w:val="0"/>
        <w:rPr>
          <w:rStyle w:val="Hyperlink"/>
          <w:rFonts w:ascii="Arial" w:hAnsi="Arial" w:cs="Arial"/>
          <w:color w:val="auto"/>
          <w:sz w:val="20"/>
          <w:szCs w:val="20"/>
          <w:u w:val="none"/>
        </w:rPr>
      </w:pPr>
      <w:proofErr w:type="spellStart"/>
      <w:r w:rsidRPr="007140DD">
        <w:rPr>
          <w:rFonts w:ascii="Arial" w:hAnsi="Arial" w:cs="Arial"/>
          <w:bCs/>
          <w:sz w:val="20"/>
          <w:szCs w:val="20"/>
        </w:rPr>
        <w:t>Amri</w:t>
      </w:r>
      <w:proofErr w:type="spellEnd"/>
      <w:r w:rsidRPr="007140DD">
        <w:rPr>
          <w:rFonts w:ascii="Arial" w:hAnsi="Arial" w:cs="Arial"/>
          <w:bCs/>
          <w:sz w:val="20"/>
          <w:szCs w:val="20"/>
        </w:rPr>
        <w:t xml:space="preserve">, </w:t>
      </w:r>
      <w:r w:rsidR="00540FE7" w:rsidRPr="007140DD">
        <w:rPr>
          <w:rFonts w:ascii="Arial" w:hAnsi="Arial" w:cs="Arial"/>
          <w:bCs/>
          <w:sz w:val="20"/>
          <w:szCs w:val="20"/>
        </w:rPr>
        <w:t>Z</w:t>
      </w:r>
      <w:r w:rsidRPr="007140DD">
        <w:rPr>
          <w:rFonts w:ascii="Arial" w:hAnsi="Arial" w:cs="Arial"/>
          <w:bCs/>
          <w:sz w:val="20"/>
          <w:szCs w:val="20"/>
        </w:rPr>
        <w:t>.,</w:t>
      </w:r>
      <w:r w:rsidR="00540FE7" w:rsidRPr="007140DD">
        <w:rPr>
          <w:rFonts w:ascii="Arial" w:hAnsi="Arial" w:cs="Arial"/>
          <w:bCs/>
          <w:sz w:val="20"/>
          <w:szCs w:val="20"/>
        </w:rPr>
        <w:t xml:space="preserve"> </w:t>
      </w:r>
      <w:r w:rsidRPr="007140DD">
        <w:rPr>
          <w:rFonts w:ascii="Arial" w:hAnsi="Arial" w:cs="Arial"/>
          <w:bCs/>
          <w:sz w:val="20"/>
          <w:szCs w:val="20"/>
        </w:rPr>
        <w:t xml:space="preserve">Lazreg-Aref, </w:t>
      </w:r>
      <w:r w:rsidR="00540FE7" w:rsidRPr="007140DD">
        <w:rPr>
          <w:rFonts w:ascii="Arial" w:hAnsi="Arial" w:cs="Arial"/>
          <w:bCs/>
          <w:sz w:val="20"/>
          <w:szCs w:val="20"/>
        </w:rPr>
        <w:t>H</w:t>
      </w:r>
      <w:r w:rsidRPr="007140DD">
        <w:rPr>
          <w:rFonts w:ascii="Arial" w:hAnsi="Arial" w:cs="Arial"/>
          <w:bCs/>
          <w:sz w:val="20"/>
          <w:szCs w:val="20"/>
        </w:rPr>
        <w:t>.</w:t>
      </w:r>
      <w:r w:rsidR="00540FE7" w:rsidRPr="007140DD">
        <w:rPr>
          <w:rFonts w:ascii="Arial" w:hAnsi="Arial" w:cs="Arial"/>
          <w:bCs/>
          <w:sz w:val="20"/>
          <w:szCs w:val="20"/>
        </w:rPr>
        <w:t xml:space="preserve">, </w:t>
      </w:r>
      <w:proofErr w:type="spellStart"/>
      <w:r w:rsidRPr="007140DD">
        <w:rPr>
          <w:rFonts w:ascii="Arial" w:hAnsi="Arial" w:cs="Arial"/>
          <w:bCs/>
          <w:sz w:val="20"/>
          <w:szCs w:val="20"/>
        </w:rPr>
        <w:t>Mekni</w:t>
      </w:r>
      <w:proofErr w:type="spellEnd"/>
      <w:r w:rsidRPr="007140DD">
        <w:rPr>
          <w:rFonts w:ascii="Arial" w:hAnsi="Arial" w:cs="Arial"/>
          <w:bCs/>
          <w:sz w:val="20"/>
          <w:szCs w:val="20"/>
        </w:rPr>
        <w:t xml:space="preserve">, </w:t>
      </w:r>
      <w:r w:rsidR="00540FE7" w:rsidRPr="007140DD">
        <w:rPr>
          <w:rFonts w:ascii="Arial" w:hAnsi="Arial" w:cs="Arial"/>
          <w:bCs/>
          <w:sz w:val="20"/>
          <w:szCs w:val="20"/>
        </w:rPr>
        <w:t>M</w:t>
      </w:r>
      <w:r w:rsidRPr="007140DD">
        <w:rPr>
          <w:rFonts w:ascii="Arial" w:hAnsi="Arial" w:cs="Arial"/>
          <w:bCs/>
          <w:sz w:val="20"/>
          <w:szCs w:val="20"/>
        </w:rPr>
        <w:t>.</w:t>
      </w:r>
      <w:r w:rsidR="00540FE7" w:rsidRPr="007140DD">
        <w:rPr>
          <w:rFonts w:ascii="Arial" w:hAnsi="Arial" w:cs="Arial"/>
          <w:bCs/>
          <w:sz w:val="20"/>
          <w:szCs w:val="20"/>
        </w:rPr>
        <w:t xml:space="preserve">, </w:t>
      </w:r>
      <w:r w:rsidRPr="007140DD">
        <w:rPr>
          <w:rFonts w:ascii="Arial" w:hAnsi="Arial" w:cs="Arial"/>
          <w:bCs/>
          <w:sz w:val="20"/>
          <w:szCs w:val="20"/>
        </w:rPr>
        <w:t xml:space="preserve">El-Gharbi, </w:t>
      </w:r>
      <w:r w:rsidR="00540FE7" w:rsidRPr="007140DD">
        <w:rPr>
          <w:rFonts w:ascii="Arial" w:hAnsi="Arial" w:cs="Arial"/>
          <w:bCs/>
          <w:sz w:val="20"/>
          <w:szCs w:val="20"/>
        </w:rPr>
        <w:t>S</w:t>
      </w:r>
      <w:r w:rsidRPr="007140DD">
        <w:rPr>
          <w:rFonts w:ascii="Arial" w:hAnsi="Arial" w:cs="Arial"/>
          <w:bCs/>
          <w:sz w:val="20"/>
          <w:szCs w:val="20"/>
        </w:rPr>
        <w:t>.</w:t>
      </w:r>
      <w:r w:rsidR="00540FE7" w:rsidRPr="007140DD">
        <w:rPr>
          <w:rFonts w:ascii="Arial" w:hAnsi="Arial" w:cs="Arial"/>
          <w:bCs/>
          <w:sz w:val="20"/>
          <w:szCs w:val="20"/>
        </w:rPr>
        <w:t xml:space="preserve">, </w:t>
      </w:r>
      <w:proofErr w:type="spellStart"/>
      <w:r w:rsidRPr="007140DD">
        <w:rPr>
          <w:rFonts w:ascii="Arial" w:hAnsi="Arial" w:cs="Arial"/>
          <w:bCs/>
          <w:sz w:val="20"/>
          <w:szCs w:val="20"/>
        </w:rPr>
        <w:t>Dabbaghi</w:t>
      </w:r>
      <w:proofErr w:type="spellEnd"/>
      <w:r w:rsidRPr="007140DD">
        <w:rPr>
          <w:rFonts w:ascii="Arial" w:hAnsi="Arial" w:cs="Arial"/>
          <w:bCs/>
          <w:sz w:val="20"/>
          <w:szCs w:val="20"/>
        </w:rPr>
        <w:t xml:space="preserve">, </w:t>
      </w:r>
      <w:r w:rsidR="00540FE7" w:rsidRPr="007140DD">
        <w:rPr>
          <w:rFonts w:ascii="Arial" w:hAnsi="Arial" w:cs="Arial"/>
          <w:bCs/>
          <w:sz w:val="20"/>
          <w:szCs w:val="20"/>
        </w:rPr>
        <w:t>O</w:t>
      </w:r>
      <w:r w:rsidRPr="007140DD">
        <w:rPr>
          <w:rFonts w:ascii="Arial" w:hAnsi="Arial" w:cs="Arial"/>
          <w:bCs/>
          <w:sz w:val="20"/>
          <w:szCs w:val="20"/>
        </w:rPr>
        <w:t>.</w:t>
      </w:r>
      <w:r w:rsidR="00540FE7" w:rsidRPr="007140DD">
        <w:rPr>
          <w:rFonts w:ascii="Arial" w:hAnsi="Arial" w:cs="Arial"/>
          <w:bCs/>
          <w:sz w:val="20"/>
          <w:szCs w:val="20"/>
        </w:rPr>
        <w:t xml:space="preserve">, </w:t>
      </w:r>
      <w:r w:rsidRPr="007140DD">
        <w:rPr>
          <w:rFonts w:ascii="Arial" w:hAnsi="Arial" w:cs="Arial"/>
          <w:bCs/>
          <w:sz w:val="20"/>
          <w:szCs w:val="20"/>
        </w:rPr>
        <w:t xml:space="preserve">Mechri, </w:t>
      </w:r>
      <w:r w:rsidR="00540FE7" w:rsidRPr="007140DD">
        <w:rPr>
          <w:rFonts w:ascii="Arial" w:hAnsi="Arial" w:cs="Arial"/>
          <w:bCs/>
          <w:sz w:val="20"/>
          <w:szCs w:val="20"/>
        </w:rPr>
        <w:t>B</w:t>
      </w:r>
      <w:r w:rsidRPr="007140DD">
        <w:rPr>
          <w:rFonts w:ascii="Arial" w:hAnsi="Arial" w:cs="Arial"/>
          <w:bCs/>
          <w:sz w:val="20"/>
          <w:szCs w:val="20"/>
        </w:rPr>
        <w:t>.</w:t>
      </w:r>
      <w:r w:rsidR="00540FE7" w:rsidRPr="007140DD">
        <w:rPr>
          <w:rFonts w:ascii="Arial" w:hAnsi="Arial" w:cs="Arial"/>
          <w:bCs/>
          <w:sz w:val="20"/>
          <w:szCs w:val="20"/>
        </w:rPr>
        <w:t xml:space="preserve">, </w:t>
      </w:r>
      <w:r w:rsidRPr="007140DD">
        <w:rPr>
          <w:rFonts w:ascii="Arial" w:hAnsi="Arial" w:cs="Arial"/>
          <w:bCs/>
          <w:sz w:val="20"/>
          <w:szCs w:val="20"/>
        </w:rPr>
        <w:t>et al</w:t>
      </w:r>
      <w:r w:rsidR="00540FE7" w:rsidRPr="007140DD">
        <w:rPr>
          <w:rFonts w:ascii="Arial" w:hAnsi="Arial" w:cs="Arial"/>
          <w:bCs/>
          <w:sz w:val="20"/>
          <w:szCs w:val="20"/>
        </w:rPr>
        <w:t>.</w:t>
      </w:r>
      <w:r w:rsidRPr="007140DD">
        <w:rPr>
          <w:rFonts w:ascii="Arial" w:hAnsi="Arial" w:cs="Arial"/>
          <w:sz w:val="20"/>
          <w:szCs w:val="20"/>
        </w:rPr>
        <w:t xml:space="preserve"> (2017).</w:t>
      </w:r>
      <w:r w:rsidR="00540FE7" w:rsidRPr="007140DD">
        <w:rPr>
          <w:rFonts w:ascii="Arial" w:hAnsi="Arial" w:cs="Arial"/>
          <w:bCs/>
          <w:sz w:val="20"/>
          <w:szCs w:val="20"/>
        </w:rPr>
        <w:t xml:space="preserve"> Oil Characterization and Lipids Class Composition of Pomegranate Seeds. </w:t>
      </w:r>
      <w:r w:rsidR="00540FE7" w:rsidRPr="007140DD">
        <w:rPr>
          <w:rFonts w:ascii="Arial" w:hAnsi="Arial" w:cs="Arial"/>
          <w:i/>
          <w:sz w:val="20"/>
          <w:szCs w:val="20"/>
        </w:rPr>
        <w:t>BioMed Research International</w:t>
      </w:r>
      <w:r w:rsidRPr="007140DD">
        <w:rPr>
          <w:rFonts w:ascii="Arial" w:hAnsi="Arial" w:cs="Arial"/>
          <w:sz w:val="20"/>
          <w:szCs w:val="20"/>
        </w:rPr>
        <w:t xml:space="preserve">, </w:t>
      </w:r>
      <w:r w:rsidR="00540FE7" w:rsidRPr="007140DD">
        <w:rPr>
          <w:rFonts w:ascii="Arial" w:hAnsi="Arial" w:cs="Arial"/>
          <w:sz w:val="20"/>
          <w:szCs w:val="20"/>
        </w:rPr>
        <w:t>1 – 8,</w:t>
      </w:r>
      <w:r w:rsidR="00540FE7" w:rsidRPr="007140DD">
        <w:rPr>
          <w:rFonts w:ascii="Arial" w:hAnsi="Arial" w:cs="Arial"/>
          <w:bCs/>
          <w:sz w:val="20"/>
          <w:szCs w:val="20"/>
        </w:rPr>
        <w:t xml:space="preserve"> </w:t>
      </w:r>
      <w:hyperlink r:id="rId43" w:history="1">
        <w:r w:rsidR="00540FE7" w:rsidRPr="007140DD">
          <w:rPr>
            <w:rStyle w:val="Hyperlink"/>
            <w:rFonts w:ascii="Arial" w:hAnsi="Arial" w:cs="Arial"/>
            <w:color w:val="auto"/>
            <w:sz w:val="20"/>
            <w:szCs w:val="20"/>
          </w:rPr>
          <w:t>https://doi.org/10.1155/2017/2037341</w:t>
        </w:r>
      </w:hyperlink>
    </w:p>
    <w:p w14:paraId="7D9D8905" w14:textId="77777777" w:rsidR="00BE2AAB" w:rsidRPr="007140DD" w:rsidRDefault="00AF260A"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hAnsi="Arial" w:cs="Arial"/>
          <w:bCs/>
          <w:sz w:val="20"/>
          <w:szCs w:val="20"/>
        </w:rPr>
        <w:t>Asuquo</w:t>
      </w:r>
      <w:proofErr w:type="spellEnd"/>
      <w:r w:rsidRPr="007140DD">
        <w:rPr>
          <w:rFonts w:ascii="Arial" w:hAnsi="Arial" w:cs="Arial"/>
          <w:bCs/>
          <w:sz w:val="20"/>
          <w:szCs w:val="20"/>
        </w:rPr>
        <w:t xml:space="preserve">, </w:t>
      </w:r>
      <w:r w:rsidR="00540FE7" w:rsidRPr="007140DD">
        <w:rPr>
          <w:rFonts w:ascii="Arial" w:hAnsi="Arial" w:cs="Arial"/>
          <w:bCs/>
          <w:sz w:val="20"/>
          <w:szCs w:val="20"/>
        </w:rPr>
        <w:t xml:space="preserve">J. E., </w:t>
      </w:r>
      <w:r w:rsidRPr="007140DD">
        <w:rPr>
          <w:rFonts w:ascii="Arial" w:hAnsi="Arial" w:cs="Arial"/>
          <w:bCs/>
          <w:sz w:val="20"/>
          <w:szCs w:val="20"/>
        </w:rPr>
        <w:t xml:space="preserve">Etim, </w:t>
      </w:r>
      <w:r w:rsidR="00540FE7" w:rsidRPr="007140DD">
        <w:rPr>
          <w:rFonts w:ascii="Arial" w:hAnsi="Arial" w:cs="Arial"/>
          <w:bCs/>
          <w:sz w:val="20"/>
          <w:szCs w:val="20"/>
        </w:rPr>
        <w:t xml:space="preserve">E. E., </w:t>
      </w:r>
      <w:r w:rsidRPr="007140DD">
        <w:rPr>
          <w:rFonts w:ascii="Arial" w:hAnsi="Arial" w:cs="Arial"/>
          <w:bCs/>
          <w:sz w:val="20"/>
          <w:szCs w:val="20"/>
        </w:rPr>
        <w:t xml:space="preserve">Ukpong, </w:t>
      </w:r>
      <w:r w:rsidR="00540FE7" w:rsidRPr="007140DD">
        <w:rPr>
          <w:rFonts w:ascii="Arial" w:hAnsi="Arial" w:cs="Arial"/>
          <w:bCs/>
          <w:sz w:val="20"/>
          <w:szCs w:val="20"/>
        </w:rPr>
        <w:t xml:space="preserve">I. U. </w:t>
      </w:r>
      <w:r w:rsidRPr="007140DD">
        <w:rPr>
          <w:rFonts w:ascii="Arial" w:hAnsi="Arial" w:cs="Arial"/>
          <w:bCs/>
          <w:sz w:val="20"/>
          <w:szCs w:val="20"/>
        </w:rPr>
        <w:t>&amp;</w:t>
      </w:r>
      <w:r w:rsidR="00540FE7" w:rsidRPr="007140DD">
        <w:rPr>
          <w:rFonts w:ascii="Arial" w:hAnsi="Arial" w:cs="Arial"/>
          <w:bCs/>
          <w:sz w:val="20"/>
          <w:szCs w:val="20"/>
        </w:rPr>
        <w:t xml:space="preserve"> </w:t>
      </w:r>
      <w:r w:rsidRPr="007140DD">
        <w:rPr>
          <w:rFonts w:ascii="Arial" w:hAnsi="Arial" w:cs="Arial"/>
          <w:bCs/>
          <w:sz w:val="20"/>
          <w:szCs w:val="20"/>
        </w:rPr>
        <w:t xml:space="preserve">Etuk, </w:t>
      </w:r>
      <w:r w:rsidR="00540FE7" w:rsidRPr="007140DD">
        <w:rPr>
          <w:rFonts w:ascii="Arial" w:hAnsi="Arial" w:cs="Arial"/>
          <w:bCs/>
          <w:sz w:val="20"/>
          <w:szCs w:val="20"/>
        </w:rPr>
        <w:t>S. E.</w:t>
      </w:r>
      <w:r w:rsidRPr="007140DD">
        <w:rPr>
          <w:rFonts w:ascii="Arial" w:hAnsi="Arial" w:cs="Arial"/>
          <w:bCs/>
          <w:sz w:val="20"/>
          <w:szCs w:val="20"/>
        </w:rPr>
        <w:t xml:space="preserve"> (2012).</w:t>
      </w:r>
      <w:r w:rsidR="00540FE7" w:rsidRPr="007140DD">
        <w:rPr>
          <w:rFonts w:ascii="Arial" w:hAnsi="Arial" w:cs="Arial"/>
          <w:bCs/>
          <w:sz w:val="20"/>
          <w:szCs w:val="20"/>
        </w:rPr>
        <w:t xml:space="preserve"> Extraction, Characterization and Fatty Acid Profile of </w:t>
      </w:r>
      <w:proofErr w:type="spellStart"/>
      <w:r w:rsidR="00540FE7" w:rsidRPr="007140DD">
        <w:rPr>
          <w:rFonts w:ascii="Arial" w:hAnsi="Arial" w:cs="Arial"/>
          <w:bCs/>
          <w:i/>
          <w:iCs/>
          <w:sz w:val="20"/>
          <w:szCs w:val="20"/>
        </w:rPr>
        <w:t>Poga</w:t>
      </w:r>
      <w:proofErr w:type="spellEnd"/>
      <w:r w:rsidR="00540FE7" w:rsidRPr="007140DD">
        <w:rPr>
          <w:rFonts w:ascii="Arial" w:hAnsi="Arial" w:cs="Arial"/>
          <w:bCs/>
          <w:i/>
          <w:iCs/>
          <w:sz w:val="20"/>
          <w:szCs w:val="20"/>
        </w:rPr>
        <w:t xml:space="preserve"> </w:t>
      </w:r>
      <w:proofErr w:type="spellStart"/>
      <w:r w:rsidR="00540FE7" w:rsidRPr="007140DD">
        <w:rPr>
          <w:rFonts w:ascii="Arial" w:hAnsi="Arial" w:cs="Arial"/>
          <w:bCs/>
          <w:i/>
          <w:iCs/>
          <w:sz w:val="20"/>
          <w:szCs w:val="20"/>
        </w:rPr>
        <w:t>oleosa</w:t>
      </w:r>
      <w:proofErr w:type="spellEnd"/>
      <w:r w:rsidR="00540FE7" w:rsidRPr="007140DD">
        <w:rPr>
          <w:rFonts w:ascii="Arial" w:hAnsi="Arial" w:cs="Arial"/>
          <w:bCs/>
          <w:i/>
          <w:iCs/>
          <w:sz w:val="20"/>
          <w:szCs w:val="20"/>
        </w:rPr>
        <w:t xml:space="preserve"> Oil, </w:t>
      </w:r>
      <w:r w:rsidR="00540FE7" w:rsidRPr="007140DD">
        <w:rPr>
          <w:rFonts w:ascii="Arial" w:hAnsi="Arial" w:cs="Arial"/>
          <w:bCs/>
          <w:i/>
          <w:sz w:val="20"/>
          <w:szCs w:val="20"/>
        </w:rPr>
        <w:t>International Journal of Modern Analytical and Separation Sciences</w:t>
      </w:r>
      <w:r w:rsidR="00540FE7" w:rsidRPr="007140DD">
        <w:rPr>
          <w:rFonts w:ascii="Arial" w:hAnsi="Arial" w:cs="Arial"/>
          <w:bCs/>
          <w:sz w:val="20"/>
          <w:szCs w:val="20"/>
        </w:rPr>
        <w:t>,</w:t>
      </w:r>
      <w:r w:rsidRPr="007140DD">
        <w:rPr>
          <w:rFonts w:ascii="Arial" w:hAnsi="Arial" w:cs="Arial"/>
          <w:bCs/>
          <w:sz w:val="20"/>
          <w:szCs w:val="20"/>
        </w:rPr>
        <w:t xml:space="preserve"> </w:t>
      </w:r>
      <w:r w:rsidR="00540FE7" w:rsidRPr="007140DD">
        <w:rPr>
          <w:rFonts w:ascii="Arial" w:hAnsi="Arial" w:cs="Arial"/>
          <w:bCs/>
          <w:sz w:val="20"/>
          <w:szCs w:val="20"/>
        </w:rPr>
        <w:t>1(1): 23-30.</w:t>
      </w:r>
    </w:p>
    <w:p w14:paraId="0F3C497A" w14:textId="77777777" w:rsidR="00BE2AAB" w:rsidRPr="007140DD" w:rsidRDefault="00540FE7"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hAnsi="Arial" w:cs="Arial"/>
          <w:bCs/>
          <w:sz w:val="20"/>
          <w:szCs w:val="20"/>
        </w:rPr>
        <w:t>Arif</w:t>
      </w:r>
      <w:proofErr w:type="spellEnd"/>
      <w:r w:rsidR="00D829B3" w:rsidRPr="007140DD">
        <w:rPr>
          <w:rFonts w:ascii="Arial" w:hAnsi="Arial" w:cs="Arial"/>
          <w:bCs/>
          <w:sz w:val="20"/>
          <w:szCs w:val="20"/>
        </w:rPr>
        <w:t>,</w:t>
      </w:r>
      <w:r w:rsidRPr="007140DD">
        <w:rPr>
          <w:rFonts w:ascii="Arial" w:hAnsi="Arial" w:cs="Arial"/>
          <w:bCs/>
          <w:sz w:val="20"/>
          <w:szCs w:val="20"/>
        </w:rPr>
        <w:t xml:space="preserve"> M. L.</w:t>
      </w:r>
      <w:r w:rsidR="00D829B3" w:rsidRPr="007140DD">
        <w:rPr>
          <w:rFonts w:ascii="Arial" w:hAnsi="Arial" w:cs="Arial"/>
          <w:bCs/>
          <w:sz w:val="20"/>
          <w:szCs w:val="20"/>
        </w:rPr>
        <w:t xml:space="preserve"> &amp; Abbas,</w:t>
      </w:r>
      <w:r w:rsidRPr="007140DD">
        <w:rPr>
          <w:rFonts w:ascii="Arial" w:hAnsi="Arial" w:cs="Arial"/>
          <w:bCs/>
          <w:sz w:val="20"/>
          <w:szCs w:val="20"/>
        </w:rPr>
        <w:t xml:space="preserve"> A</w:t>
      </w:r>
      <w:r w:rsidR="00D829B3" w:rsidRPr="007140DD">
        <w:rPr>
          <w:rFonts w:ascii="Arial" w:hAnsi="Arial" w:cs="Arial"/>
          <w:bCs/>
          <w:sz w:val="20"/>
          <w:szCs w:val="20"/>
        </w:rPr>
        <w:t>.</w:t>
      </w:r>
      <w:r w:rsidRPr="007140DD">
        <w:rPr>
          <w:rFonts w:ascii="Arial" w:hAnsi="Arial" w:cs="Arial"/>
          <w:bCs/>
          <w:sz w:val="20"/>
          <w:szCs w:val="20"/>
        </w:rPr>
        <w:t xml:space="preserve"> N</w:t>
      </w:r>
      <w:r w:rsidR="00D829B3" w:rsidRPr="007140DD">
        <w:rPr>
          <w:rFonts w:ascii="Arial" w:hAnsi="Arial" w:cs="Arial"/>
          <w:bCs/>
          <w:sz w:val="20"/>
          <w:szCs w:val="20"/>
        </w:rPr>
        <w:t>.</w:t>
      </w:r>
      <w:r w:rsidRPr="007140DD">
        <w:rPr>
          <w:rFonts w:ascii="Arial" w:hAnsi="Arial" w:cs="Arial"/>
          <w:bCs/>
          <w:sz w:val="20"/>
          <w:szCs w:val="20"/>
        </w:rPr>
        <w:t xml:space="preserve"> M.</w:t>
      </w:r>
      <w:r w:rsidR="00D829B3" w:rsidRPr="007140DD">
        <w:rPr>
          <w:rFonts w:ascii="Arial" w:hAnsi="Arial" w:cs="Arial"/>
          <w:bCs/>
          <w:sz w:val="20"/>
          <w:szCs w:val="20"/>
        </w:rPr>
        <w:t xml:space="preserve"> (2010).</w:t>
      </w:r>
      <w:r w:rsidRPr="007140DD">
        <w:rPr>
          <w:rFonts w:ascii="Arial" w:hAnsi="Arial" w:cs="Arial"/>
          <w:bCs/>
          <w:sz w:val="20"/>
          <w:szCs w:val="20"/>
        </w:rPr>
        <w:t xml:space="preserve"> Investigating peroxides and acid value in used edible vegetable oils. </w:t>
      </w:r>
      <w:r w:rsidRPr="007140DD">
        <w:rPr>
          <w:rFonts w:ascii="Arial" w:hAnsi="Arial" w:cs="Arial"/>
          <w:bCs/>
          <w:i/>
          <w:sz w:val="20"/>
          <w:szCs w:val="20"/>
        </w:rPr>
        <w:t>The Iraqi Journal of Agricultural Sciences</w:t>
      </w:r>
      <w:r w:rsidRPr="007140DD">
        <w:rPr>
          <w:rFonts w:ascii="Arial" w:hAnsi="Arial" w:cs="Arial"/>
          <w:bCs/>
          <w:sz w:val="20"/>
          <w:szCs w:val="20"/>
        </w:rPr>
        <w:t>, 41(4)</w:t>
      </w:r>
      <w:r w:rsidR="00D02105" w:rsidRPr="007140DD">
        <w:rPr>
          <w:rFonts w:ascii="Arial" w:hAnsi="Arial" w:cs="Arial"/>
          <w:bCs/>
          <w:sz w:val="20"/>
          <w:szCs w:val="20"/>
        </w:rPr>
        <w:t xml:space="preserve">, </w:t>
      </w:r>
      <w:r w:rsidRPr="007140DD">
        <w:rPr>
          <w:rFonts w:ascii="Arial" w:hAnsi="Arial" w:cs="Arial"/>
          <w:bCs/>
          <w:sz w:val="20"/>
          <w:szCs w:val="20"/>
        </w:rPr>
        <w:t xml:space="preserve">123-132 </w:t>
      </w:r>
    </w:p>
    <w:p w14:paraId="05C4C0E7" w14:textId="77777777" w:rsidR="00BE2AAB" w:rsidRPr="007140DD" w:rsidRDefault="00540FE7"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hAnsi="Arial" w:cs="Arial"/>
          <w:sz w:val="20"/>
          <w:szCs w:val="20"/>
        </w:rPr>
        <w:t>Anyasa</w:t>
      </w:r>
      <w:proofErr w:type="spellEnd"/>
      <w:r w:rsidRPr="007140DD">
        <w:rPr>
          <w:rFonts w:ascii="Arial" w:hAnsi="Arial" w:cs="Arial"/>
          <w:sz w:val="20"/>
          <w:szCs w:val="20"/>
        </w:rPr>
        <w:t xml:space="preserve">, G.N., </w:t>
      </w:r>
      <w:proofErr w:type="spellStart"/>
      <w:r w:rsidRPr="007140DD">
        <w:rPr>
          <w:rFonts w:ascii="Arial" w:hAnsi="Arial" w:cs="Arial"/>
          <w:sz w:val="20"/>
          <w:szCs w:val="20"/>
        </w:rPr>
        <w:t>Ogunwenmo</w:t>
      </w:r>
      <w:proofErr w:type="spellEnd"/>
      <w:r w:rsidRPr="007140DD">
        <w:rPr>
          <w:rFonts w:ascii="Arial" w:hAnsi="Arial" w:cs="Arial"/>
          <w:sz w:val="20"/>
          <w:szCs w:val="20"/>
        </w:rPr>
        <w:t xml:space="preserve">, K.O., </w:t>
      </w:r>
      <w:proofErr w:type="spellStart"/>
      <w:r w:rsidRPr="007140DD">
        <w:rPr>
          <w:rFonts w:ascii="Arial" w:hAnsi="Arial" w:cs="Arial"/>
          <w:sz w:val="20"/>
          <w:szCs w:val="20"/>
        </w:rPr>
        <w:t>Ogelana</w:t>
      </w:r>
      <w:proofErr w:type="spellEnd"/>
      <w:r w:rsidRPr="007140DD">
        <w:rPr>
          <w:rFonts w:ascii="Arial" w:hAnsi="Arial" w:cs="Arial"/>
          <w:sz w:val="20"/>
          <w:szCs w:val="20"/>
        </w:rPr>
        <w:t xml:space="preserve">, O.H., Ajayi, D., </w:t>
      </w:r>
      <w:r w:rsidR="0075630A" w:rsidRPr="007140DD">
        <w:rPr>
          <w:rFonts w:ascii="Arial" w:hAnsi="Arial" w:cs="Arial"/>
          <w:sz w:val="20"/>
          <w:szCs w:val="20"/>
        </w:rPr>
        <w:t>&amp;</w:t>
      </w:r>
      <w:r w:rsidRPr="007140DD">
        <w:rPr>
          <w:rFonts w:ascii="Arial" w:hAnsi="Arial" w:cs="Arial"/>
          <w:sz w:val="20"/>
          <w:szCs w:val="20"/>
        </w:rPr>
        <w:t xml:space="preserve"> </w:t>
      </w:r>
      <w:proofErr w:type="spellStart"/>
      <w:r w:rsidRPr="007140DD">
        <w:rPr>
          <w:rFonts w:ascii="Arial" w:hAnsi="Arial" w:cs="Arial"/>
          <w:sz w:val="20"/>
          <w:szCs w:val="20"/>
        </w:rPr>
        <w:t>Dangana</w:t>
      </w:r>
      <w:proofErr w:type="spellEnd"/>
      <w:r w:rsidRPr="007140DD">
        <w:rPr>
          <w:rFonts w:ascii="Arial" w:hAnsi="Arial" w:cs="Arial"/>
          <w:sz w:val="20"/>
          <w:szCs w:val="20"/>
        </w:rPr>
        <w:t xml:space="preserve">, J. </w:t>
      </w:r>
      <w:r w:rsidR="0075630A" w:rsidRPr="007140DD">
        <w:rPr>
          <w:rFonts w:ascii="Arial" w:hAnsi="Arial" w:cs="Arial"/>
          <w:sz w:val="20"/>
          <w:szCs w:val="20"/>
        </w:rPr>
        <w:t>(</w:t>
      </w:r>
      <w:r w:rsidRPr="007140DD">
        <w:rPr>
          <w:rFonts w:ascii="Arial" w:hAnsi="Arial" w:cs="Arial"/>
          <w:sz w:val="20"/>
          <w:szCs w:val="20"/>
        </w:rPr>
        <w:t>2009</w:t>
      </w:r>
      <w:r w:rsidR="0075630A" w:rsidRPr="007140DD">
        <w:rPr>
          <w:rFonts w:ascii="Arial" w:hAnsi="Arial" w:cs="Arial"/>
          <w:sz w:val="20"/>
          <w:szCs w:val="20"/>
        </w:rPr>
        <w:t>)</w:t>
      </w:r>
      <w:r w:rsidRPr="007140DD">
        <w:rPr>
          <w:rFonts w:ascii="Arial" w:hAnsi="Arial" w:cs="Arial"/>
          <w:sz w:val="20"/>
          <w:szCs w:val="20"/>
        </w:rPr>
        <w:t xml:space="preserve">. "Chemical analyses of groundnut (Arachis hypogaea) oil " </w:t>
      </w:r>
      <w:r w:rsidRPr="007140DD">
        <w:rPr>
          <w:rFonts w:ascii="Arial" w:hAnsi="Arial" w:cs="Arial"/>
          <w:i/>
          <w:iCs/>
          <w:sz w:val="20"/>
          <w:szCs w:val="20"/>
        </w:rPr>
        <w:t>Pakistan Journal</w:t>
      </w:r>
      <w:r w:rsidRPr="007140DD">
        <w:rPr>
          <w:rFonts w:ascii="Arial" w:hAnsi="Arial" w:cs="Arial"/>
          <w:sz w:val="20"/>
          <w:szCs w:val="20"/>
        </w:rPr>
        <w:t xml:space="preserve"> </w:t>
      </w:r>
      <w:r w:rsidRPr="007140DD">
        <w:rPr>
          <w:rFonts w:ascii="Arial" w:hAnsi="Arial" w:cs="Arial"/>
          <w:i/>
          <w:iCs/>
          <w:sz w:val="20"/>
          <w:szCs w:val="20"/>
        </w:rPr>
        <w:t>of Nutrition</w:t>
      </w:r>
      <w:r w:rsidR="0075630A" w:rsidRPr="007140DD">
        <w:rPr>
          <w:rFonts w:ascii="Arial" w:hAnsi="Arial" w:cs="Arial"/>
          <w:i/>
          <w:iCs/>
          <w:sz w:val="20"/>
          <w:szCs w:val="20"/>
        </w:rPr>
        <w:t xml:space="preserve">, </w:t>
      </w:r>
      <w:r w:rsidRPr="007140DD">
        <w:rPr>
          <w:rFonts w:ascii="Arial" w:hAnsi="Arial" w:cs="Arial"/>
          <w:sz w:val="20"/>
          <w:szCs w:val="20"/>
        </w:rPr>
        <w:t>8 (3)</w:t>
      </w:r>
      <w:r w:rsidR="00842A80" w:rsidRPr="007140DD">
        <w:rPr>
          <w:rFonts w:ascii="Arial" w:hAnsi="Arial" w:cs="Arial"/>
          <w:sz w:val="20"/>
          <w:szCs w:val="20"/>
        </w:rPr>
        <w:t>,</w:t>
      </w:r>
      <w:r w:rsidRPr="007140DD">
        <w:rPr>
          <w:rFonts w:ascii="Arial" w:hAnsi="Arial" w:cs="Arial"/>
          <w:sz w:val="20"/>
          <w:szCs w:val="20"/>
        </w:rPr>
        <w:t xml:space="preserve"> 269-272.</w:t>
      </w:r>
    </w:p>
    <w:p w14:paraId="1E46A29D" w14:textId="77777777" w:rsidR="00BE2AAB" w:rsidRPr="007140DD" w:rsidRDefault="00842A80"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hAnsi="Arial" w:cs="Arial"/>
          <w:sz w:val="20"/>
          <w:szCs w:val="20"/>
        </w:rPr>
        <w:t>Lendle</w:t>
      </w:r>
      <w:proofErr w:type="spellEnd"/>
      <w:r w:rsidRPr="007140DD">
        <w:rPr>
          <w:rFonts w:ascii="Arial" w:hAnsi="Arial" w:cs="Arial"/>
          <w:sz w:val="20"/>
          <w:szCs w:val="20"/>
        </w:rPr>
        <w:t xml:space="preserve">, </w:t>
      </w:r>
      <w:r w:rsidR="00540FE7" w:rsidRPr="007140DD">
        <w:rPr>
          <w:rFonts w:ascii="Arial" w:hAnsi="Arial" w:cs="Arial"/>
          <w:sz w:val="20"/>
          <w:szCs w:val="20"/>
        </w:rPr>
        <w:t xml:space="preserve">B.M., </w:t>
      </w:r>
      <w:r w:rsidRPr="007140DD">
        <w:rPr>
          <w:rFonts w:ascii="Arial" w:hAnsi="Arial" w:cs="Arial"/>
          <w:sz w:val="20"/>
          <w:szCs w:val="20"/>
        </w:rPr>
        <w:t xml:space="preserve">Diaz, </w:t>
      </w:r>
      <w:r w:rsidR="00540FE7" w:rsidRPr="007140DD">
        <w:rPr>
          <w:rFonts w:ascii="Arial" w:hAnsi="Arial" w:cs="Arial"/>
          <w:sz w:val="20"/>
          <w:szCs w:val="20"/>
        </w:rPr>
        <w:t xml:space="preserve">A.M. </w:t>
      </w:r>
      <w:r w:rsidR="00F604F3" w:rsidRPr="007140DD">
        <w:rPr>
          <w:rFonts w:ascii="Arial" w:hAnsi="Arial" w:cs="Arial"/>
          <w:sz w:val="20"/>
          <w:szCs w:val="20"/>
        </w:rPr>
        <w:t>&amp;</w:t>
      </w:r>
      <w:r w:rsidR="00540FE7" w:rsidRPr="007140DD">
        <w:rPr>
          <w:rFonts w:ascii="Arial" w:hAnsi="Arial" w:cs="Arial"/>
          <w:sz w:val="20"/>
          <w:szCs w:val="20"/>
        </w:rPr>
        <w:t xml:space="preserve"> </w:t>
      </w:r>
      <w:r w:rsidR="00F604F3" w:rsidRPr="007140DD">
        <w:rPr>
          <w:rFonts w:ascii="Arial" w:hAnsi="Arial" w:cs="Arial"/>
          <w:sz w:val="20"/>
          <w:szCs w:val="20"/>
        </w:rPr>
        <w:t xml:space="preserve">Ayora-Canada, </w:t>
      </w:r>
      <w:r w:rsidR="00540FE7" w:rsidRPr="007140DD">
        <w:rPr>
          <w:rFonts w:ascii="Arial" w:hAnsi="Arial" w:cs="Arial"/>
          <w:sz w:val="20"/>
          <w:szCs w:val="20"/>
        </w:rPr>
        <w:t xml:space="preserve">M.J. </w:t>
      </w:r>
      <w:r w:rsidR="00F604F3" w:rsidRPr="007140DD">
        <w:rPr>
          <w:rFonts w:ascii="Arial" w:hAnsi="Arial" w:cs="Arial"/>
          <w:sz w:val="20"/>
          <w:szCs w:val="20"/>
        </w:rPr>
        <w:t>(</w:t>
      </w:r>
      <w:r w:rsidR="00540FE7" w:rsidRPr="007140DD">
        <w:rPr>
          <w:rFonts w:ascii="Arial" w:hAnsi="Arial" w:cs="Arial"/>
          <w:sz w:val="20"/>
          <w:szCs w:val="20"/>
        </w:rPr>
        <w:t>2005</w:t>
      </w:r>
      <w:r w:rsidR="00F604F3" w:rsidRPr="007140DD">
        <w:rPr>
          <w:rFonts w:ascii="Arial" w:hAnsi="Arial" w:cs="Arial"/>
          <w:sz w:val="20"/>
          <w:szCs w:val="20"/>
        </w:rPr>
        <w:t>)</w:t>
      </w:r>
      <w:r w:rsidR="00540FE7" w:rsidRPr="007140DD">
        <w:rPr>
          <w:rFonts w:ascii="Arial" w:hAnsi="Arial" w:cs="Arial"/>
          <w:sz w:val="20"/>
          <w:szCs w:val="20"/>
        </w:rPr>
        <w:t xml:space="preserve">. "Direct monitoring of lipid oxidation in edible oils by </w:t>
      </w:r>
      <w:proofErr w:type="spellStart"/>
      <w:r w:rsidR="00540FE7" w:rsidRPr="007140DD">
        <w:rPr>
          <w:rFonts w:ascii="Arial" w:hAnsi="Arial" w:cs="Arial"/>
          <w:sz w:val="20"/>
          <w:szCs w:val="20"/>
        </w:rPr>
        <w:t>fourier</w:t>
      </w:r>
      <w:proofErr w:type="spellEnd"/>
      <w:r w:rsidR="00540FE7" w:rsidRPr="007140DD">
        <w:rPr>
          <w:rFonts w:ascii="Arial" w:hAnsi="Arial" w:cs="Arial"/>
          <w:sz w:val="20"/>
          <w:szCs w:val="20"/>
        </w:rPr>
        <w:t xml:space="preserve"> transformation </w:t>
      </w:r>
      <w:proofErr w:type="spellStart"/>
      <w:r w:rsidR="00540FE7" w:rsidRPr="007140DD">
        <w:rPr>
          <w:rFonts w:ascii="Arial" w:hAnsi="Arial" w:cs="Arial"/>
          <w:sz w:val="20"/>
          <w:szCs w:val="20"/>
        </w:rPr>
        <w:t>raman</w:t>
      </w:r>
      <w:proofErr w:type="spellEnd"/>
      <w:r w:rsidR="00540FE7" w:rsidRPr="007140DD">
        <w:rPr>
          <w:rFonts w:ascii="Arial" w:hAnsi="Arial" w:cs="Arial"/>
          <w:sz w:val="20"/>
          <w:szCs w:val="20"/>
        </w:rPr>
        <w:t xml:space="preserve"> spectroscopy" </w:t>
      </w:r>
      <w:r w:rsidR="00540FE7" w:rsidRPr="007140DD">
        <w:rPr>
          <w:rFonts w:ascii="Arial" w:hAnsi="Arial" w:cs="Arial"/>
          <w:i/>
          <w:iCs/>
          <w:sz w:val="20"/>
          <w:szCs w:val="20"/>
        </w:rPr>
        <w:t>Chemistry and Physics of Lipids,</w:t>
      </w:r>
      <w:r w:rsidR="00540FE7" w:rsidRPr="007140DD">
        <w:rPr>
          <w:rFonts w:ascii="Arial" w:hAnsi="Arial" w:cs="Arial"/>
          <w:sz w:val="20"/>
          <w:szCs w:val="20"/>
        </w:rPr>
        <w:t xml:space="preserve"> 134</w:t>
      </w:r>
      <w:r w:rsidR="00F604F3" w:rsidRPr="007140DD">
        <w:rPr>
          <w:rFonts w:ascii="Arial" w:hAnsi="Arial" w:cs="Arial"/>
          <w:sz w:val="20"/>
          <w:szCs w:val="20"/>
        </w:rPr>
        <w:t>,</w:t>
      </w:r>
      <w:r w:rsidR="00540FE7" w:rsidRPr="007140DD">
        <w:rPr>
          <w:rFonts w:ascii="Arial" w:hAnsi="Arial" w:cs="Arial"/>
          <w:sz w:val="20"/>
          <w:szCs w:val="20"/>
        </w:rPr>
        <w:t xml:space="preserve"> 175-182.</w:t>
      </w:r>
    </w:p>
    <w:p w14:paraId="6ACD174F" w14:textId="77777777" w:rsidR="00BE2AAB" w:rsidRPr="007140DD" w:rsidRDefault="00540FE7"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eastAsia="AdvTimes" w:hAnsi="Arial" w:cs="Arial"/>
          <w:sz w:val="20"/>
          <w:szCs w:val="20"/>
        </w:rPr>
        <w:t>Ceriani</w:t>
      </w:r>
      <w:proofErr w:type="spellEnd"/>
      <w:r w:rsidRPr="007140DD">
        <w:rPr>
          <w:rFonts w:ascii="Arial" w:eastAsia="AdvTimes" w:hAnsi="Arial" w:cs="Arial"/>
          <w:sz w:val="20"/>
          <w:szCs w:val="20"/>
        </w:rPr>
        <w:t>, R., Paiva, F.R., Alves, C.B.G., Batista, E.A.C.</w:t>
      </w:r>
      <w:r w:rsidR="00F604F3" w:rsidRPr="007140DD">
        <w:rPr>
          <w:rFonts w:ascii="Arial" w:eastAsia="AdvTimes" w:hAnsi="Arial" w:cs="Arial"/>
          <w:sz w:val="20"/>
          <w:szCs w:val="20"/>
        </w:rPr>
        <w:t xml:space="preserve"> &amp; Meirelles</w:t>
      </w:r>
      <w:r w:rsidRPr="007140DD">
        <w:rPr>
          <w:rFonts w:ascii="Arial" w:eastAsia="AdvTimes" w:hAnsi="Arial" w:cs="Arial"/>
          <w:sz w:val="20"/>
          <w:szCs w:val="20"/>
        </w:rPr>
        <w:t>, A.J.A.</w:t>
      </w:r>
      <w:r w:rsidR="00F604F3" w:rsidRPr="007140DD">
        <w:rPr>
          <w:rFonts w:ascii="Arial" w:eastAsia="AdvTimes" w:hAnsi="Arial" w:cs="Arial"/>
          <w:sz w:val="20"/>
          <w:szCs w:val="20"/>
        </w:rPr>
        <w:t xml:space="preserve"> (</w:t>
      </w:r>
      <w:r w:rsidRPr="007140DD">
        <w:rPr>
          <w:rFonts w:ascii="Arial" w:eastAsia="AdvTimes" w:hAnsi="Arial" w:cs="Arial"/>
          <w:sz w:val="20"/>
          <w:szCs w:val="20"/>
        </w:rPr>
        <w:t>2008</w:t>
      </w:r>
      <w:r w:rsidR="00F604F3" w:rsidRPr="007140DD">
        <w:rPr>
          <w:rFonts w:ascii="Arial" w:eastAsia="AdvTimes" w:hAnsi="Arial" w:cs="Arial"/>
          <w:sz w:val="20"/>
          <w:szCs w:val="20"/>
        </w:rPr>
        <w:t>)</w:t>
      </w:r>
      <w:r w:rsidRPr="007140DD">
        <w:rPr>
          <w:rFonts w:ascii="Arial" w:eastAsia="AdvTimes" w:hAnsi="Arial" w:cs="Arial"/>
          <w:sz w:val="20"/>
          <w:szCs w:val="20"/>
        </w:rPr>
        <w:t>. Densities and viscosities of vegetable oils of nutritional value</w:t>
      </w:r>
      <w:r w:rsidRPr="007140DD">
        <w:rPr>
          <w:rFonts w:ascii="Arial" w:eastAsia="AdvTimes" w:hAnsi="Arial" w:cs="Arial"/>
          <w:i/>
          <w:sz w:val="20"/>
          <w:szCs w:val="20"/>
        </w:rPr>
        <w:t>. J. Chem. Eng. Data</w:t>
      </w:r>
      <w:r w:rsidR="00F604F3" w:rsidRPr="007140DD">
        <w:rPr>
          <w:rFonts w:ascii="Arial" w:eastAsia="AdvTimes" w:hAnsi="Arial" w:cs="Arial"/>
          <w:i/>
          <w:sz w:val="20"/>
          <w:szCs w:val="20"/>
        </w:rPr>
        <w:t>,</w:t>
      </w:r>
      <w:r w:rsidRPr="007140DD">
        <w:rPr>
          <w:rFonts w:ascii="Arial" w:eastAsia="AdvTimes" w:hAnsi="Arial" w:cs="Arial"/>
          <w:sz w:val="20"/>
          <w:szCs w:val="20"/>
        </w:rPr>
        <w:t xml:space="preserve"> 53 (8), 1846–1853.</w:t>
      </w:r>
    </w:p>
    <w:p w14:paraId="6DADE8FC" w14:textId="77777777" w:rsidR="00BE2AAB" w:rsidRPr="007140DD" w:rsidRDefault="00540FE7" w:rsidP="00F47360">
      <w:pPr>
        <w:pStyle w:val="ListParagraph"/>
        <w:numPr>
          <w:ilvl w:val="0"/>
          <w:numId w:val="33"/>
        </w:numPr>
        <w:autoSpaceDE w:val="0"/>
        <w:autoSpaceDN w:val="0"/>
        <w:adjustRightInd w:val="0"/>
        <w:rPr>
          <w:rFonts w:ascii="Arial" w:hAnsi="Arial" w:cs="Arial"/>
          <w:sz w:val="20"/>
          <w:szCs w:val="20"/>
        </w:rPr>
      </w:pPr>
      <w:r w:rsidRPr="007140DD">
        <w:rPr>
          <w:rFonts w:ascii="Arial" w:eastAsia="AdvTimes" w:hAnsi="Arial" w:cs="Arial"/>
          <w:sz w:val="20"/>
          <w:szCs w:val="20"/>
        </w:rPr>
        <w:t xml:space="preserve">Mousavi, K., </w:t>
      </w:r>
      <w:proofErr w:type="spellStart"/>
      <w:r w:rsidRPr="007140DD">
        <w:rPr>
          <w:rFonts w:ascii="Arial" w:eastAsia="AdvTimes" w:hAnsi="Arial" w:cs="Arial"/>
          <w:sz w:val="20"/>
          <w:szCs w:val="20"/>
        </w:rPr>
        <w:t>Shoeibi</w:t>
      </w:r>
      <w:proofErr w:type="spellEnd"/>
      <w:r w:rsidRPr="007140DD">
        <w:rPr>
          <w:rFonts w:ascii="Arial" w:eastAsia="AdvTimes" w:hAnsi="Arial" w:cs="Arial"/>
          <w:sz w:val="20"/>
          <w:szCs w:val="20"/>
        </w:rPr>
        <w:t>, S.</w:t>
      </w:r>
      <w:r w:rsidR="00A36302" w:rsidRPr="007140DD">
        <w:rPr>
          <w:rFonts w:ascii="Arial" w:eastAsia="AdvTimes" w:hAnsi="Arial" w:cs="Arial"/>
          <w:sz w:val="20"/>
          <w:szCs w:val="20"/>
        </w:rPr>
        <w:t xml:space="preserve"> &amp;</w:t>
      </w:r>
      <w:r w:rsidRPr="007140DD">
        <w:rPr>
          <w:rFonts w:ascii="Arial" w:eastAsia="AdvTimes" w:hAnsi="Arial" w:cs="Arial"/>
          <w:sz w:val="20"/>
          <w:szCs w:val="20"/>
        </w:rPr>
        <w:t xml:space="preserve"> Ameri, M., </w:t>
      </w:r>
      <w:r w:rsidR="00A36302" w:rsidRPr="007140DD">
        <w:rPr>
          <w:rFonts w:ascii="Arial" w:eastAsia="AdvTimes" w:hAnsi="Arial" w:cs="Arial"/>
          <w:sz w:val="20"/>
          <w:szCs w:val="20"/>
        </w:rPr>
        <w:t>(</w:t>
      </w:r>
      <w:r w:rsidRPr="007140DD">
        <w:rPr>
          <w:rFonts w:ascii="Arial" w:eastAsia="AdvTimes" w:hAnsi="Arial" w:cs="Arial"/>
          <w:sz w:val="20"/>
          <w:szCs w:val="20"/>
        </w:rPr>
        <w:t>2012</w:t>
      </w:r>
      <w:r w:rsidR="00A36302" w:rsidRPr="007140DD">
        <w:rPr>
          <w:rFonts w:ascii="Arial" w:eastAsia="AdvTimes" w:hAnsi="Arial" w:cs="Arial"/>
          <w:sz w:val="20"/>
          <w:szCs w:val="20"/>
        </w:rPr>
        <w:t>)</w:t>
      </w:r>
      <w:r w:rsidRPr="007140DD">
        <w:rPr>
          <w:rFonts w:ascii="Arial" w:eastAsia="AdvTimes" w:hAnsi="Arial" w:cs="Arial"/>
          <w:sz w:val="20"/>
          <w:szCs w:val="20"/>
        </w:rPr>
        <w:t xml:space="preserve">. Effects of storage conditions and PET packaging on quality of edible oils in Iran. Adv. </w:t>
      </w:r>
      <w:r w:rsidRPr="007140DD">
        <w:rPr>
          <w:rFonts w:ascii="Arial" w:eastAsia="AdvTimes" w:hAnsi="Arial" w:cs="Arial"/>
          <w:i/>
          <w:sz w:val="20"/>
          <w:szCs w:val="20"/>
        </w:rPr>
        <w:t>Environ. Biol</w:t>
      </w:r>
      <w:r w:rsidRPr="007140DD">
        <w:rPr>
          <w:rFonts w:ascii="Arial" w:eastAsia="AdvTimes" w:hAnsi="Arial" w:cs="Arial"/>
          <w:sz w:val="20"/>
          <w:szCs w:val="20"/>
        </w:rPr>
        <w:t>. 6 (2), 694–701.</w:t>
      </w:r>
    </w:p>
    <w:p w14:paraId="456027F3" w14:textId="77777777" w:rsidR="00BE2AAB" w:rsidRPr="007140DD" w:rsidRDefault="00540FE7"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eastAsia="AdvTimes" w:hAnsi="Arial" w:cs="Arial"/>
          <w:sz w:val="20"/>
          <w:szCs w:val="20"/>
        </w:rPr>
        <w:t>Farhoosh</w:t>
      </w:r>
      <w:proofErr w:type="spellEnd"/>
      <w:r w:rsidRPr="007140DD">
        <w:rPr>
          <w:rFonts w:ascii="Arial" w:eastAsia="AdvTimes" w:hAnsi="Arial" w:cs="Arial"/>
          <w:sz w:val="20"/>
          <w:szCs w:val="20"/>
        </w:rPr>
        <w:t xml:space="preserve">, R., </w:t>
      </w:r>
      <w:proofErr w:type="spellStart"/>
      <w:r w:rsidRPr="007140DD">
        <w:rPr>
          <w:rFonts w:ascii="Arial" w:eastAsia="AdvTimes" w:hAnsi="Arial" w:cs="Arial"/>
          <w:sz w:val="20"/>
          <w:szCs w:val="20"/>
        </w:rPr>
        <w:t>Moosai</w:t>
      </w:r>
      <w:proofErr w:type="spellEnd"/>
      <w:r w:rsidRPr="007140DD">
        <w:rPr>
          <w:rFonts w:ascii="Arial" w:eastAsia="AdvTimes" w:hAnsi="Arial" w:cs="Arial"/>
          <w:sz w:val="20"/>
          <w:szCs w:val="20"/>
        </w:rPr>
        <w:t>, S.M.R.</w:t>
      </w:r>
      <w:r w:rsidR="0004134D" w:rsidRPr="007140DD">
        <w:rPr>
          <w:rFonts w:ascii="Arial" w:eastAsia="AdvTimes" w:hAnsi="Arial" w:cs="Arial"/>
          <w:sz w:val="20"/>
          <w:szCs w:val="20"/>
        </w:rPr>
        <w:t xml:space="preserve"> &amp;</w:t>
      </w:r>
      <w:r w:rsidRPr="007140DD">
        <w:rPr>
          <w:rFonts w:ascii="Arial" w:eastAsia="AdvTimes" w:hAnsi="Arial" w:cs="Arial"/>
          <w:sz w:val="20"/>
          <w:szCs w:val="20"/>
        </w:rPr>
        <w:t xml:space="preserve"> Sharif, A.</w:t>
      </w:r>
      <w:r w:rsidR="0004134D" w:rsidRPr="007140DD">
        <w:rPr>
          <w:rFonts w:ascii="Arial" w:eastAsia="AdvTimes" w:hAnsi="Arial" w:cs="Arial"/>
          <w:sz w:val="20"/>
          <w:szCs w:val="20"/>
        </w:rPr>
        <w:t xml:space="preserve"> (</w:t>
      </w:r>
      <w:r w:rsidRPr="007140DD">
        <w:rPr>
          <w:rFonts w:ascii="Arial" w:eastAsia="AdvTimes" w:hAnsi="Arial" w:cs="Arial"/>
          <w:sz w:val="20"/>
          <w:szCs w:val="20"/>
        </w:rPr>
        <w:t>2008</w:t>
      </w:r>
      <w:r w:rsidR="0004134D" w:rsidRPr="007140DD">
        <w:rPr>
          <w:rFonts w:ascii="Arial" w:eastAsia="AdvTimes" w:hAnsi="Arial" w:cs="Arial"/>
          <w:sz w:val="20"/>
          <w:szCs w:val="20"/>
        </w:rPr>
        <w:t>)</w:t>
      </w:r>
      <w:r w:rsidRPr="007140DD">
        <w:rPr>
          <w:rFonts w:ascii="Arial" w:eastAsia="AdvTimes" w:hAnsi="Arial" w:cs="Arial"/>
          <w:sz w:val="20"/>
          <w:szCs w:val="20"/>
        </w:rPr>
        <w:t xml:space="preserve">. Investigation on frying oils quality in terms of color index, refractive index and viscosity during frying process. </w:t>
      </w:r>
      <w:r w:rsidRPr="007140DD">
        <w:rPr>
          <w:rFonts w:ascii="Arial" w:eastAsia="AdvTimes" w:hAnsi="Arial" w:cs="Arial"/>
          <w:i/>
          <w:sz w:val="20"/>
          <w:szCs w:val="20"/>
        </w:rPr>
        <w:t>J. Food Sci. Tech</w:t>
      </w:r>
      <w:r w:rsidRPr="007140DD">
        <w:rPr>
          <w:rFonts w:ascii="Arial" w:eastAsia="AdvTimes" w:hAnsi="Arial" w:cs="Arial"/>
          <w:sz w:val="20"/>
          <w:szCs w:val="20"/>
        </w:rPr>
        <w:t>. 5(1), 13–19.</w:t>
      </w:r>
    </w:p>
    <w:p w14:paraId="1977E5F7" w14:textId="77777777" w:rsidR="00BE2AAB" w:rsidRPr="007140DD" w:rsidRDefault="00540FE7" w:rsidP="00F47360">
      <w:pPr>
        <w:pStyle w:val="ListParagraph"/>
        <w:numPr>
          <w:ilvl w:val="0"/>
          <w:numId w:val="33"/>
        </w:numPr>
        <w:autoSpaceDE w:val="0"/>
        <w:autoSpaceDN w:val="0"/>
        <w:adjustRightInd w:val="0"/>
        <w:rPr>
          <w:rFonts w:ascii="Arial" w:hAnsi="Arial" w:cs="Arial"/>
          <w:sz w:val="20"/>
          <w:szCs w:val="20"/>
        </w:rPr>
      </w:pPr>
      <w:r w:rsidRPr="007140DD">
        <w:rPr>
          <w:rFonts w:ascii="Arial" w:eastAsia="AdvTimes" w:hAnsi="Arial" w:cs="Arial"/>
          <w:sz w:val="20"/>
          <w:szCs w:val="20"/>
        </w:rPr>
        <w:t>Li, H., Zhou, G., Zhang, H.</w:t>
      </w:r>
      <w:r w:rsidR="0004134D" w:rsidRPr="007140DD">
        <w:rPr>
          <w:rFonts w:ascii="Arial" w:eastAsia="AdvTimes" w:hAnsi="Arial" w:cs="Arial"/>
          <w:sz w:val="20"/>
          <w:szCs w:val="20"/>
        </w:rPr>
        <w:t xml:space="preserve"> &amp;</w:t>
      </w:r>
      <w:r w:rsidRPr="007140DD">
        <w:rPr>
          <w:rFonts w:ascii="Arial" w:eastAsia="AdvTimes" w:hAnsi="Arial" w:cs="Arial"/>
          <w:sz w:val="20"/>
          <w:szCs w:val="20"/>
        </w:rPr>
        <w:t xml:space="preserve"> He, Y., </w:t>
      </w:r>
      <w:r w:rsidR="0004134D" w:rsidRPr="007140DD">
        <w:rPr>
          <w:rFonts w:ascii="Arial" w:eastAsia="AdvTimes" w:hAnsi="Arial" w:cs="Arial"/>
          <w:sz w:val="20"/>
          <w:szCs w:val="20"/>
        </w:rPr>
        <w:t>(</w:t>
      </w:r>
      <w:r w:rsidRPr="007140DD">
        <w:rPr>
          <w:rFonts w:ascii="Arial" w:eastAsia="AdvTimes" w:hAnsi="Arial" w:cs="Arial"/>
          <w:sz w:val="20"/>
          <w:szCs w:val="20"/>
        </w:rPr>
        <w:t>2010</w:t>
      </w:r>
      <w:r w:rsidR="0004134D" w:rsidRPr="007140DD">
        <w:rPr>
          <w:rFonts w:ascii="Arial" w:eastAsia="AdvTimes" w:hAnsi="Arial" w:cs="Arial"/>
          <w:sz w:val="20"/>
          <w:szCs w:val="20"/>
        </w:rPr>
        <w:t>)</w:t>
      </w:r>
      <w:r w:rsidRPr="007140DD">
        <w:rPr>
          <w:rFonts w:ascii="Arial" w:eastAsia="AdvTimes" w:hAnsi="Arial" w:cs="Arial"/>
          <w:sz w:val="20"/>
          <w:szCs w:val="20"/>
        </w:rPr>
        <w:t xml:space="preserve">. Chemical constituents and biological activities of saponin from the seed of </w:t>
      </w:r>
      <w:r w:rsidRPr="007140DD">
        <w:rPr>
          <w:rFonts w:ascii="Arial" w:eastAsia="AdvTimes" w:hAnsi="Arial" w:cs="Arial"/>
          <w:i/>
          <w:sz w:val="20"/>
          <w:szCs w:val="20"/>
        </w:rPr>
        <w:t>Camellia oleifera</w:t>
      </w:r>
      <w:r w:rsidRPr="007140DD">
        <w:rPr>
          <w:rFonts w:ascii="Arial" w:eastAsia="AdvTimes" w:hAnsi="Arial" w:cs="Arial"/>
          <w:sz w:val="20"/>
          <w:szCs w:val="20"/>
        </w:rPr>
        <w:t xml:space="preserve">. </w:t>
      </w:r>
      <w:r w:rsidRPr="007140DD">
        <w:rPr>
          <w:rFonts w:ascii="Arial" w:eastAsia="AdvTimes" w:hAnsi="Arial" w:cs="Arial"/>
          <w:i/>
          <w:sz w:val="20"/>
          <w:szCs w:val="20"/>
        </w:rPr>
        <w:t>Sci. Res. Essays</w:t>
      </w:r>
      <w:r w:rsidR="0004134D" w:rsidRPr="007140DD">
        <w:rPr>
          <w:rFonts w:ascii="Arial" w:eastAsia="AdvTimes" w:hAnsi="Arial" w:cs="Arial"/>
          <w:i/>
          <w:sz w:val="20"/>
          <w:szCs w:val="20"/>
        </w:rPr>
        <w:t xml:space="preserve">, </w:t>
      </w:r>
      <w:r w:rsidRPr="007140DD">
        <w:rPr>
          <w:rFonts w:ascii="Arial" w:eastAsia="AdvTimes" w:hAnsi="Arial" w:cs="Arial"/>
          <w:sz w:val="20"/>
          <w:szCs w:val="20"/>
        </w:rPr>
        <w:t>5(25), 4088–4092.</w:t>
      </w:r>
    </w:p>
    <w:p w14:paraId="664489AE" w14:textId="77777777" w:rsidR="00BE2AAB" w:rsidRPr="007140DD" w:rsidRDefault="00540FE7"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eastAsia="AdvTimes" w:hAnsi="Arial" w:cs="Arial"/>
          <w:sz w:val="20"/>
          <w:szCs w:val="20"/>
        </w:rPr>
        <w:t>Jinfeng</w:t>
      </w:r>
      <w:proofErr w:type="spellEnd"/>
      <w:r w:rsidRPr="007140DD">
        <w:rPr>
          <w:rFonts w:ascii="Arial" w:eastAsia="AdvTimes" w:hAnsi="Arial" w:cs="Arial"/>
          <w:sz w:val="20"/>
          <w:szCs w:val="20"/>
        </w:rPr>
        <w:t xml:space="preserve">, P., </w:t>
      </w:r>
      <w:proofErr w:type="spellStart"/>
      <w:r w:rsidRPr="007140DD">
        <w:rPr>
          <w:rFonts w:ascii="Arial" w:eastAsia="AdvTimes" w:hAnsi="Arial" w:cs="Arial"/>
          <w:sz w:val="20"/>
          <w:szCs w:val="20"/>
        </w:rPr>
        <w:t>Huixing</w:t>
      </w:r>
      <w:proofErr w:type="spellEnd"/>
      <w:r w:rsidRPr="007140DD">
        <w:rPr>
          <w:rFonts w:ascii="Arial" w:eastAsia="AdvTimes" w:hAnsi="Arial" w:cs="Arial"/>
          <w:sz w:val="20"/>
          <w:szCs w:val="20"/>
        </w:rPr>
        <w:t>, S., Juan, Y.</w:t>
      </w:r>
      <w:r w:rsidR="0004134D" w:rsidRPr="007140DD">
        <w:rPr>
          <w:rFonts w:ascii="Arial" w:eastAsia="AdvTimes" w:hAnsi="Arial" w:cs="Arial"/>
          <w:sz w:val="20"/>
          <w:szCs w:val="20"/>
        </w:rPr>
        <w:t xml:space="preserve"> &amp;</w:t>
      </w:r>
      <w:r w:rsidRPr="007140DD">
        <w:rPr>
          <w:rFonts w:ascii="Arial" w:eastAsia="AdvTimes" w:hAnsi="Arial" w:cs="Arial"/>
          <w:sz w:val="20"/>
          <w:szCs w:val="20"/>
        </w:rPr>
        <w:t xml:space="preserve"> Yong, K.L.</w:t>
      </w:r>
      <w:r w:rsidR="0004134D" w:rsidRPr="007140DD">
        <w:rPr>
          <w:rFonts w:ascii="Arial" w:eastAsia="AdvTimes" w:hAnsi="Arial" w:cs="Arial"/>
          <w:sz w:val="20"/>
          <w:szCs w:val="20"/>
        </w:rPr>
        <w:t xml:space="preserve"> (</w:t>
      </w:r>
      <w:r w:rsidRPr="007140DD">
        <w:rPr>
          <w:rFonts w:ascii="Arial" w:eastAsia="AdvTimes" w:hAnsi="Arial" w:cs="Arial"/>
          <w:sz w:val="20"/>
          <w:szCs w:val="20"/>
        </w:rPr>
        <w:t>2011</w:t>
      </w:r>
      <w:r w:rsidR="0004134D" w:rsidRPr="007140DD">
        <w:rPr>
          <w:rFonts w:ascii="Arial" w:eastAsia="AdvTimes" w:hAnsi="Arial" w:cs="Arial"/>
          <w:sz w:val="20"/>
          <w:szCs w:val="20"/>
        </w:rPr>
        <w:t>)</w:t>
      </w:r>
      <w:r w:rsidRPr="007140DD">
        <w:rPr>
          <w:rFonts w:ascii="Arial" w:eastAsia="AdvTimes" w:hAnsi="Arial" w:cs="Arial"/>
          <w:sz w:val="20"/>
          <w:szCs w:val="20"/>
        </w:rPr>
        <w:t>. Changes in physiochemical properties of Myofibrillar protein from Silver Carp (</w:t>
      </w:r>
      <w:proofErr w:type="spellStart"/>
      <w:r w:rsidRPr="007140DD">
        <w:rPr>
          <w:rFonts w:ascii="Arial" w:eastAsia="AdvTimes" w:hAnsi="Arial" w:cs="Arial"/>
          <w:sz w:val="20"/>
          <w:szCs w:val="20"/>
        </w:rPr>
        <w:t>Hypophthalmichthys</w:t>
      </w:r>
      <w:proofErr w:type="spellEnd"/>
      <w:r w:rsidRPr="007140DD">
        <w:rPr>
          <w:rFonts w:ascii="Arial" w:eastAsia="AdvTimes" w:hAnsi="Arial" w:cs="Arial"/>
          <w:sz w:val="20"/>
          <w:szCs w:val="20"/>
        </w:rPr>
        <w:t xml:space="preserve"> </w:t>
      </w:r>
      <w:proofErr w:type="spellStart"/>
      <w:r w:rsidRPr="007140DD">
        <w:rPr>
          <w:rFonts w:ascii="Arial" w:eastAsia="AdvTimes" w:hAnsi="Arial" w:cs="Arial"/>
          <w:sz w:val="20"/>
          <w:szCs w:val="20"/>
        </w:rPr>
        <w:t>mollitrix</w:t>
      </w:r>
      <w:proofErr w:type="spellEnd"/>
      <w:r w:rsidRPr="007140DD">
        <w:rPr>
          <w:rFonts w:ascii="Arial" w:eastAsia="AdvTimes" w:hAnsi="Arial" w:cs="Arial"/>
          <w:sz w:val="20"/>
          <w:szCs w:val="20"/>
        </w:rPr>
        <w:t xml:space="preserve">) during heat treatment. </w:t>
      </w:r>
      <w:r w:rsidRPr="007140DD">
        <w:rPr>
          <w:rFonts w:ascii="Arial" w:eastAsia="AdvTimes" w:hAnsi="Arial" w:cs="Arial"/>
          <w:i/>
          <w:sz w:val="20"/>
          <w:szCs w:val="20"/>
        </w:rPr>
        <w:t xml:space="preserve">J. Food </w:t>
      </w:r>
      <w:proofErr w:type="spellStart"/>
      <w:r w:rsidRPr="007140DD">
        <w:rPr>
          <w:rFonts w:ascii="Arial" w:eastAsia="AdvTimes" w:hAnsi="Arial" w:cs="Arial"/>
          <w:i/>
          <w:sz w:val="20"/>
          <w:szCs w:val="20"/>
        </w:rPr>
        <w:t>Biochem</w:t>
      </w:r>
      <w:proofErr w:type="spellEnd"/>
      <w:r w:rsidRPr="007140DD">
        <w:rPr>
          <w:rFonts w:ascii="Arial" w:eastAsia="AdvTimes" w:hAnsi="Arial" w:cs="Arial"/>
          <w:sz w:val="20"/>
          <w:szCs w:val="20"/>
        </w:rPr>
        <w:t>. 35, 939–952.</w:t>
      </w:r>
    </w:p>
    <w:p w14:paraId="17527D9B" w14:textId="63A11AA5" w:rsidR="00BE2AAB" w:rsidRPr="007140DD" w:rsidRDefault="00540FE7" w:rsidP="00F47360">
      <w:pPr>
        <w:pStyle w:val="ListParagraph"/>
        <w:numPr>
          <w:ilvl w:val="0"/>
          <w:numId w:val="33"/>
        </w:numPr>
        <w:autoSpaceDE w:val="0"/>
        <w:autoSpaceDN w:val="0"/>
        <w:adjustRightInd w:val="0"/>
        <w:rPr>
          <w:rFonts w:ascii="Arial" w:hAnsi="Arial" w:cs="Arial"/>
          <w:sz w:val="20"/>
          <w:szCs w:val="20"/>
        </w:rPr>
      </w:pPr>
      <w:r w:rsidRPr="007140DD">
        <w:rPr>
          <w:rFonts w:ascii="Arial" w:eastAsia="AdvTimes" w:hAnsi="Arial" w:cs="Arial"/>
          <w:sz w:val="20"/>
          <w:szCs w:val="20"/>
        </w:rPr>
        <w:t>Che Man, Y.B.</w:t>
      </w:r>
      <w:r w:rsidR="008F474B" w:rsidRPr="007140DD">
        <w:rPr>
          <w:rFonts w:ascii="Arial" w:eastAsia="AdvTimes" w:hAnsi="Arial" w:cs="Arial"/>
          <w:sz w:val="20"/>
          <w:szCs w:val="20"/>
        </w:rPr>
        <w:t xml:space="preserve"> &amp;</w:t>
      </w:r>
      <w:r w:rsidRPr="007140DD">
        <w:rPr>
          <w:rFonts w:ascii="Arial" w:eastAsia="AdvTimes" w:hAnsi="Arial" w:cs="Arial"/>
          <w:sz w:val="20"/>
          <w:szCs w:val="20"/>
        </w:rPr>
        <w:t xml:space="preserve"> Jas</w:t>
      </w:r>
      <w:r w:rsidR="008B1BDA" w:rsidRPr="007140DD">
        <w:rPr>
          <w:rFonts w:ascii="Arial" w:eastAsia="AdvTimes" w:hAnsi="Arial" w:cs="Arial"/>
          <w:sz w:val="20"/>
          <w:szCs w:val="20"/>
        </w:rPr>
        <w:t>v</w:t>
      </w:r>
      <w:r w:rsidRPr="007140DD">
        <w:rPr>
          <w:rFonts w:ascii="Arial" w:eastAsia="AdvTimes" w:hAnsi="Arial" w:cs="Arial"/>
          <w:sz w:val="20"/>
          <w:szCs w:val="20"/>
        </w:rPr>
        <w:t>ir, I.</w:t>
      </w:r>
      <w:r w:rsidR="008F474B" w:rsidRPr="007140DD">
        <w:rPr>
          <w:rFonts w:ascii="Arial" w:eastAsia="AdvTimes" w:hAnsi="Arial" w:cs="Arial"/>
          <w:sz w:val="20"/>
          <w:szCs w:val="20"/>
        </w:rPr>
        <w:t xml:space="preserve"> (</w:t>
      </w:r>
      <w:r w:rsidRPr="007140DD">
        <w:rPr>
          <w:rFonts w:ascii="Arial" w:eastAsia="AdvTimes" w:hAnsi="Arial" w:cs="Arial"/>
          <w:sz w:val="20"/>
          <w:szCs w:val="20"/>
        </w:rPr>
        <w:t>2000</w:t>
      </w:r>
      <w:r w:rsidR="008F474B" w:rsidRPr="007140DD">
        <w:rPr>
          <w:rFonts w:ascii="Arial" w:eastAsia="AdvTimes" w:hAnsi="Arial" w:cs="Arial"/>
          <w:sz w:val="20"/>
          <w:szCs w:val="20"/>
        </w:rPr>
        <w:t>)</w:t>
      </w:r>
      <w:r w:rsidRPr="007140DD">
        <w:rPr>
          <w:rFonts w:ascii="Arial" w:eastAsia="AdvTimes" w:hAnsi="Arial" w:cs="Arial"/>
          <w:sz w:val="20"/>
          <w:szCs w:val="20"/>
        </w:rPr>
        <w:t xml:space="preserve">. Effect of rosemary and sage extracts on frying performance of refined, bleached and deodorized (RBD) palm olein during deep fat frying. </w:t>
      </w:r>
      <w:r w:rsidRPr="007140DD">
        <w:rPr>
          <w:rFonts w:ascii="Arial" w:eastAsia="AdvTimes" w:hAnsi="Arial" w:cs="Arial"/>
          <w:i/>
          <w:sz w:val="20"/>
          <w:szCs w:val="20"/>
        </w:rPr>
        <w:t>Food Chem.</w:t>
      </w:r>
      <w:r w:rsidRPr="007140DD">
        <w:rPr>
          <w:rFonts w:ascii="Arial" w:eastAsia="AdvTimes" w:hAnsi="Arial" w:cs="Arial"/>
          <w:sz w:val="20"/>
          <w:szCs w:val="20"/>
        </w:rPr>
        <w:t xml:space="preserve"> 69, 301–307.</w:t>
      </w:r>
      <w:r w:rsidR="00691F8F" w:rsidRPr="007140DD">
        <w:rPr>
          <w:rFonts w:ascii="Arial" w:eastAsia="AdvTimes" w:hAnsi="Arial" w:cs="Arial"/>
          <w:sz w:val="20"/>
          <w:szCs w:val="20"/>
        </w:rPr>
        <w:t xml:space="preserve"> </w:t>
      </w:r>
      <w:hyperlink r:id="rId44" w:history="1">
        <w:r w:rsidR="00BE2AAB" w:rsidRPr="007140DD">
          <w:rPr>
            <w:rStyle w:val="Hyperlink"/>
            <w:rFonts w:ascii="Arial" w:hAnsi="Arial" w:cs="Arial"/>
            <w:color w:val="auto"/>
            <w:sz w:val="20"/>
            <w:szCs w:val="20"/>
          </w:rPr>
          <w:t>https://doi.org/10.1016/S0308-8146(99)00270-8</w:t>
        </w:r>
      </w:hyperlink>
    </w:p>
    <w:p w14:paraId="3413F6E5" w14:textId="77777777" w:rsidR="00BE2AAB" w:rsidRPr="007140DD" w:rsidRDefault="00540FE7" w:rsidP="00F47360">
      <w:pPr>
        <w:pStyle w:val="ListParagraph"/>
        <w:numPr>
          <w:ilvl w:val="0"/>
          <w:numId w:val="33"/>
        </w:numPr>
        <w:autoSpaceDE w:val="0"/>
        <w:autoSpaceDN w:val="0"/>
        <w:adjustRightInd w:val="0"/>
        <w:rPr>
          <w:rStyle w:val="Hyperlink"/>
          <w:rFonts w:ascii="Arial" w:hAnsi="Arial" w:cs="Arial"/>
          <w:color w:val="auto"/>
          <w:sz w:val="20"/>
          <w:szCs w:val="20"/>
          <w:u w:val="none"/>
        </w:rPr>
      </w:pPr>
      <w:r w:rsidRPr="007140DD">
        <w:rPr>
          <w:rFonts w:ascii="Arial" w:hAnsi="Arial" w:cs="Arial"/>
          <w:sz w:val="20"/>
          <w:szCs w:val="20"/>
        </w:rPr>
        <w:t xml:space="preserve">Choe, E., &amp; Min, D. B. (2007). Chemistry of deep-fat frying oils. </w:t>
      </w:r>
      <w:r w:rsidRPr="007140DD">
        <w:rPr>
          <w:rStyle w:val="Emphasis"/>
          <w:rFonts w:ascii="Arial" w:hAnsi="Arial" w:cs="Arial"/>
          <w:sz w:val="20"/>
          <w:szCs w:val="20"/>
        </w:rPr>
        <w:t>Journal of Food Science</w:t>
      </w:r>
      <w:r w:rsidRPr="007140DD">
        <w:rPr>
          <w:rFonts w:ascii="Arial" w:hAnsi="Arial" w:cs="Arial"/>
          <w:sz w:val="20"/>
          <w:szCs w:val="20"/>
        </w:rPr>
        <w:t xml:space="preserve">, 72(5), R77–R86. </w:t>
      </w:r>
      <w:hyperlink r:id="rId45" w:history="1">
        <w:r w:rsidRPr="007140DD">
          <w:rPr>
            <w:rStyle w:val="Hyperlink"/>
            <w:rFonts w:ascii="Arial" w:eastAsiaTheme="majorEastAsia" w:hAnsi="Arial" w:cs="Arial"/>
            <w:color w:val="auto"/>
            <w:sz w:val="20"/>
            <w:szCs w:val="20"/>
          </w:rPr>
          <w:t>https://doi.org/10.1111/j.1750-3841.2007.00352.x</w:t>
        </w:r>
      </w:hyperlink>
    </w:p>
    <w:p w14:paraId="66A7BF07" w14:textId="77777777" w:rsidR="00BE2AAB" w:rsidRPr="007140DD" w:rsidRDefault="00540FE7" w:rsidP="00F47360">
      <w:pPr>
        <w:pStyle w:val="ListParagraph"/>
        <w:numPr>
          <w:ilvl w:val="0"/>
          <w:numId w:val="33"/>
        </w:numPr>
        <w:autoSpaceDE w:val="0"/>
        <w:autoSpaceDN w:val="0"/>
        <w:adjustRightInd w:val="0"/>
        <w:rPr>
          <w:rFonts w:ascii="Arial" w:hAnsi="Arial" w:cs="Arial"/>
          <w:sz w:val="20"/>
          <w:szCs w:val="20"/>
        </w:rPr>
      </w:pPr>
      <w:r w:rsidRPr="007140DD">
        <w:rPr>
          <w:rFonts w:ascii="Arial" w:eastAsia="AdvTimes" w:hAnsi="Arial" w:cs="Arial"/>
          <w:sz w:val="20"/>
          <w:szCs w:val="20"/>
        </w:rPr>
        <w:t xml:space="preserve">Bhattacharya, A.B., </w:t>
      </w:r>
      <w:proofErr w:type="spellStart"/>
      <w:r w:rsidRPr="007140DD">
        <w:rPr>
          <w:rFonts w:ascii="Arial" w:eastAsia="AdvTimes" w:hAnsi="Arial" w:cs="Arial"/>
          <w:sz w:val="20"/>
          <w:szCs w:val="20"/>
        </w:rPr>
        <w:t>Sajilata</w:t>
      </w:r>
      <w:proofErr w:type="spellEnd"/>
      <w:r w:rsidRPr="007140DD">
        <w:rPr>
          <w:rFonts w:ascii="Arial" w:eastAsia="AdvTimes" w:hAnsi="Arial" w:cs="Arial"/>
          <w:sz w:val="20"/>
          <w:szCs w:val="20"/>
        </w:rPr>
        <w:t>, M.G., Tiwari, S.R.</w:t>
      </w:r>
      <w:r w:rsidR="006E6340" w:rsidRPr="007140DD">
        <w:rPr>
          <w:rFonts w:ascii="Arial" w:eastAsia="AdvTimes" w:hAnsi="Arial" w:cs="Arial"/>
          <w:sz w:val="20"/>
          <w:szCs w:val="20"/>
        </w:rPr>
        <w:t xml:space="preserve"> &amp; </w:t>
      </w:r>
      <w:r w:rsidRPr="007140DD">
        <w:rPr>
          <w:rFonts w:ascii="Arial" w:eastAsia="AdvTimes" w:hAnsi="Arial" w:cs="Arial"/>
          <w:sz w:val="20"/>
          <w:szCs w:val="20"/>
        </w:rPr>
        <w:t>Singhal, R.</w:t>
      </w:r>
      <w:r w:rsidR="006E6340" w:rsidRPr="007140DD">
        <w:rPr>
          <w:rFonts w:ascii="Arial" w:eastAsia="AdvTimes" w:hAnsi="Arial" w:cs="Arial"/>
          <w:sz w:val="20"/>
          <w:szCs w:val="20"/>
        </w:rPr>
        <w:t xml:space="preserve"> (</w:t>
      </w:r>
      <w:r w:rsidRPr="007140DD">
        <w:rPr>
          <w:rFonts w:ascii="Arial" w:eastAsia="AdvTimes" w:hAnsi="Arial" w:cs="Arial"/>
          <w:sz w:val="20"/>
          <w:szCs w:val="20"/>
        </w:rPr>
        <w:t>2008</w:t>
      </w:r>
      <w:r w:rsidR="006E6340" w:rsidRPr="007140DD">
        <w:rPr>
          <w:rFonts w:ascii="Arial" w:eastAsia="AdvTimes" w:hAnsi="Arial" w:cs="Arial"/>
          <w:sz w:val="20"/>
          <w:szCs w:val="20"/>
        </w:rPr>
        <w:t>)</w:t>
      </w:r>
      <w:r w:rsidRPr="007140DD">
        <w:rPr>
          <w:rFonts w:ascii="Arial" w:eastAsia="AdvTimes" w:hAnsi="Arial" w:cs="Arial"/>
          <w:sz w:val="20"/>
          <w:szCs w:val="20"/>
        </w:rPr>
        <w:t>. Regeneration of thermally polymerized frying oils with adsorbents</w:t>
      </w:r>
      <w:r w:rsidRPr="007140DD">
        <w:rPr>
          <w:rFonts w:ascii="Arial" w:eastAsia="AdvTimes" w:hAnsi="Arial" w:cs="Arial"/>
          <w:i/>
          <w:sz w:val="20"/>
          <w:szCs w:val="20"/>
        </w:rPr>
        <w:t>. Food Chem</w:t>
      </w:r>
      <w:r w:rsidRPr="007140DD">
        <w:rPr>
          <w:rFonts w:ascii="Arial" w:eastAsia="AdvTimes" w:hAnsi="Arial" w:cs="Arial"/>
          <w:sz w:val="20"/>
          <w:szCs w:val="20"/>
        </w:rPr>
        <w:t>. 110, 562–570.</w:t>
      </w:r>
    </w:p>
    <w:p w14:paraId="0C42FD05" w14:textId="2FEB8214" w:rsidR="008963A9" w:rsidRPr="007140DD" w:rsidRDefault="00F50E65" w:rsidP="006F3F86">
      <w:pPr>
        <w:pStyle w:val="ListParagraph"/>
        <w:numPr>
          <w:ilvl w:val="0"/>
          <w:numId w:val="33"/>
        </w:numPr>
        <w:autoSpaceDE w:val="0"/>
        <w:autoSpaceDN w:val="0"/>
        <w:adjustRightInd w:val="0"/>
        <w:spacing w:after="0" w:line="240" w:lineRule="auto"/>
        <w:rPr>
          <w:rFonts w:ascii="Arial" w:hAnsi="Arial" w:cs="Arial"/>
          <w:sz w:val="20"/>
          <w:szCs w:val="20"/>
        </w:rPr>
      </w:pPr>
      <w:proofErr w:type="spellStart"/>
      <w:r w:rsidRPr="007140DD">
        <w:rPr>
          <w:rFonts w:ascii="Arial" w:hAnsi="Arial" w:cs="Arial"/>
          <w:sz w:val="20"/>
          <w:szCs w:val="20"/>
        </w:rPr>
        <w:t>Zahir</w:t>
      </w:r>
      <w:proofErr w:type="spellEnd"/>
      <w:r w:rsidRPr="007140DD">
        <w:rPr>
          <w:rFonts w:ascii="Arial" w:hAnsi="Arial" w:cs="Arial"/>
          <w:sz w:val="20"/>
          <w:szCs w:val="20"/>
        </w:rPr>
        <w:t xml:space="preserve">, </w:t>
      </w:r>
      <w:r w:rsidR="00540FE7" w:rsidRPr="007140DD">
        <w:rPr>
          <w:rFonts w:ascii="Arial" w:hAnsi="Arial" w:cs="Arial"/>
          <w:sz w:val="20"/>
          <w:szCs w:val="20"/>
        </w:rPr>
        <w:t>E</w:t>
      </w:r>
      <w:r w:rsidRPr="007140DD">
        <w:rPr>
          <w:rFonts w:ascii="Arial" w:hAnsi="Arial" w:cs="Arial"/>
          <w:sz w:val="20"/>
          <w:szCs w:val="20"/>
        </w:rPr>
        <w:t>.</w:t>
      </w:r>
      <w:r w:rsidR="00540FE7" w:rsidRPr="007140DD">
        <w:rPr>
          <w:rFonts w:ascii="Arial" w:hAnsi="Arial" w:cs="Arial"/>
          <w:sz w:val="20"/>
          <w:szCs w:val="20"/>
        </w:rPr>
        <w:t xml:space="preserve">, </w:t>
      </w:r>
      <w:r w:rsidRPr="007140DD">
        <w:rPr>
          <w:rFonts w:ascii="Arial" w:hAnsi="Arial" w:cs="Arial"/>
          <w:sz w:val="20"/>
          <w:szCs w:val="20"/>
        </w:rPr>
        <w:t xml:space="preserve">Saeed, </w:t>
      </w:r>
      <w:r w:rsidR="00540FE7" w:rsidRPr="007140DD">
        <w:rPr>
          <w:rFonts w:ascii="Arial" w:hAnsi="Arial" w:cs="Arial"/>
          <w:sz w:val="20"/>
          <w:szCs w:val="20"/>
        </w:rPr>
        <w:t>R</w:t>
      </w:r>
      <w:r w:rsidRPr="007140DD">
        <w:rPr>
          <w:rFonts w:ascii="Arial" w:hAnsi="Arial" w:cs="Arial"/>
          <w:sz w:val="20"/>
          <w:szCs w:val="20"/>
        </w:rPr>
        <w:t>.</w:t>
      </w:r>
      <w:r w:rsidR="00540FE7" w:rsidRPr="007140DD">
        <w:rPr>
          <w:rFonts w:ascii="Arial" w:hAnsi="Arial" w:cs="Arial"/>
          <w:sz w:val="20"/>
          <w:szCs w:val="20"/>
        </w:rPr>
        <w:t xml:space="preserve">, </w:t>
      </w:r>
      <w:r w:rsidRPr="007140DD">
        <w:rPr>
          <w:rFonts w:ascii="Arial" w:hAnsi="Arial" w:cs="Arial"/>
          <w:sz w:val="20"/>
          <w:szCs w:val="20"/>
        </w:rPr>
        <w:t xml:space="preserve">Hameed, </w:t>
      </w:r>
      <w:r w:rsidR="00540FE7" w:rsidRPr="007140DD">
        <w:rPr>
          <w:rFonts w:ascii="Arial" w:hAnsi="Arial" w:cs="Arial"/>
          <w:sz w:val="20"/>
          <w:szCs w:val="20"/>
        </w:rPr>
        <w:t>M</w:t>
      </w:r>
      <w:r w:rsidRPr="007140DD">
        <w:rPr>
          <w:rFonts w:ascii="Arial" w:hAnsi="Arial" w:cs="Arial"/>
          <w:sz w:val="20"/>
          <w:szCs w:val="20"/>
        </w:rPr>
        <w:t>.</w:t>
      </w:r>
      <w:r w:rsidR="00540FE7" w:rsidRPr="007140DD">
        <w:rPr>
          <w:rFonts w:ascii="Arial" w:hAnsi="Arial" w:cs="Arial"/>
          <w:sz w:val="20"/>
          <w:szCs w:val="20"/>
        </w:rPr>
        <w:t xml:space="preserve"> A</w:t>
      </w:r>
      <w:r w:rsidRPr="007140DD">
        <w:rPr>
          <w:rFonts w:ascii="Arial" w:hAnsi="Arial" w:cs="Arial"/>
          <w:sz w:val="20"/>
          <w:szCs w:val="20"/>
        </w:rPr>
        <w:t>. &amp;</w:t>
      </w:r>
      <w:r w:rsidR="00540FE7" w:rsidRPr="007140DD">
        <w:rPr>
          <w:rFonts w:ascii="Arial" w:hAnsi="Arial" w:cs="Arial"/>
          <w:sz w:val="20"/>
          <w:szCs w:val="20"/>
        </w:rPr>
        <w:t xml:space="preserve"> </w:t>
      </w:r>
      <w:r w:rsidRPr="007140DD">
        <w:rPr>
          <w:rFonts w:ascii="Arial" w:hAnsi="Arial" w:cs="Arial"/>
          <w:sz w:val="20"/>
          <w:szCs w:val="20"/>
        </w:rPr>
        <w:t xml:space="preserve">Yousuf, </w:t>
      </w:r>
      <w:r w:rsidR="00540FE7" w:rsidRPr="007140DD">
        <w:rPr>
          <w:rFonts w:ascii="Arial" w:hAnsi="Arial" w:cs="Arial"/>
          <w:sz w:val="20"/>
          <w:szCs w:val="20"/>
        </w:rPr>
        <w:t>A.</w:t>
      </w:r>
      <w:r w:rsidRPr="007140DD">
        <w:rPr>
          <w:rFonts w:ascii="Arial" w:hAnsi="Arial" w:cs="Arial"/>
          <w:sz w:val="20"/>
          <w:szCs w:val="20"/>
        </w:rPr>
        <w:t xml:space="preserve"> </w:t>
      </w:r>
      <w:r w:rsidRPr="007140DD">
        <w:rPr>
          <w:rFonts w:ascii="Arial" w:eastAsia="AdvTimes" w:hAnsi="Arial" w:cs="Arial"/>
          <w:sz w:val="20"/>
          <w:szCs w:val="20"/>
        </w:rPr>
        <w:t>(2017).</w:t>
      </w:r>
      <w:r w:rsidR="00540FE7" w:rsidRPr="007140DD">
        <w:rPr>
          <w:rFonts w:ascii="Arial" w:hAnsi="Arial" w:cs="Arial"/>
          <w:sz w:val="20"/>
          <w:szCs w:val="20"/>
        </w:rPr>
        <w:t xml:space="preserve"> Study of physicochemical properties of edible oil and evaluation of frying oil quality by Fourier Transform-Infrared (FT-IR) Spectroscopy. </w:t>
      </w:r>
      <w:r w:rsidR="00540FE7" w:rsidRPr="007140DD">
        <w:rPr>
          <w:rFonts w:ascii="Arial" w:eastAsia="AdvTimes" w:hAnsi="Arial" w:cs="Arial"/>
          <w:i/>
          <w:sz w:val="20"/>
          <w:szCs w:val="20"/>
        </w:rPr>
        <w:t>Arabian Journal of Chemistry,</w:t>
      </w:r>
      <w:r w:rsidR="00540FE7" w:rsidRPr="007140DD">
        <w:rPr>
          <w:rFonts w:ascii="Arial" w:eastAsia="AdvTimes" w:hAnsi="Arial" w:cs="Arial"/>
          <w:sz w:val="20"/>
          <w:szCs w:val="20"/>
        </w:rPr>
        <w:t xml:space="preserve"> 10, S3870–S3876</w:t>
      </w:r>
    </w:p>
    <w:p w14:paraId="42C71434" w14:textId="329F7B75" w:rsidR="00014824" w:rsidRPr="007140DD" w:rsidRDefault="00014824" w:rsidP="006F3F86">
      <w:pPr>
        <w:pStyle w:val="NormalWeb"/>
        <w:numPr>
          <w:ilvl w:val="0"/>
          <w:numId w:val="33"/>
        </w:numPr>
        <w:spacing w:after="0" w:afterAutospacing="0"/>
        <w:rPr>
          <w:rFonts w:ascii="Arial" w:hAnsi="Arial" w:cs="Arial"/>
          <w:sz w:val="20"/>
          <w:szCs w:val="20"/>
        </w:rPr>
      </w:pPr>
      <w:r w:rsidRPr="007140DD">
        <w:rPr>
          <w:rFonts w:ascii="Arial" w:hAnsi="Arial" w:cs="Arial"/>
          <w:sz w:val="20"/>
          <w:szCs w:val="20"/>
        </w:rPr>
        <w:lastRenderedPageBreak/>
        <w:t xml:space="preserve">Codex Alimentarius Commission. (2021). </w:t>
      </w:r>
      <w:r w:rsidRPr="007140DD">
        <w:rPr>
          <w:rStyle w:val="Emphasis"/>
          <w:rFonts w:ascii="Arial" w:hAnsi="Arial" w:cs="Arial"/>
          <w:sz w:val="20"/>
          <w:szCs w:val="20"/>
        </w:rPr>
        <w:t>Standard for named vegetable oils (CODEX-STAN 210-1999)</w:t>
      </w:r>
      <w:r w:rsidRPr="007140DD">
        <w:rPr>
          <w:rFonts w:ascii="Arial" w:hAnsi="Arial" w:cs="Arial"/>
          <w:sz w:val="20"/>
          <w:szCs w:val="20"/>
        </w:rPr>
        <w:t xml:space="preserve">. Food and Agriculture Organization/World Health Organization. </w:t>
      </w:r>
      <w:hyperlink r:id="rId46" w:history="1">
        <w:r w:rsidR="004D20BE" w:rsidRPr="007140DD">
          <w:rPr>
            <w:rStyle w:val="Hyperlink"/>
            <w:rFonts w:ascii="Arial" w:hAnsi="Arial" w:cs="Arial"/>
            <w:color w:val="auto"/>
            <w:sz w:val="20"/>
            <w:szCs w:val="20"/>
          </w:rPr>
          <w:t>https://www.fao.org/fao-who-codexalimentarius/standards/en/</w:t>
        </w:r>
      </w:hyperlink>
    </w:p>
    <w:p w14:paraId="30164CB9" w14:textId="77777777" w:rsidR="00115BB7" w:rsidRPr="007140DD" w:rsidRDefault="00540FE7"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eastAsiaTheme="minorHAnsi" w:hAnsi="Arial" w:cs="Arial"/>
          <w:bCs/>
          <w:sz w:val="20"/>
          <w:szCs w:val="20"/>
        </w:rPr>
        <w:t>Dressman</w:t>
      </w:r>
      <w:proofErr w:type="spellEnd"/>
      <w:r w:rsidRPr="007140DD">
        <w:rPr>
          <w:rFonts w:ascii="Arial" w:eastAsiaTheme="minorHAnsi" w:hAnsi="Arial" w:cs="Arial"/>
          <w:bCs/>
          <w:sz w:val="20"/>
          <w:szCs w:val="20"/>
        </w:rPr>
        <w:t xml:space="preserve"> O. H., Akpan I. O., </w:t>
      </w:r>
      <w:proofErr w:type="spellStart"/>
      <w:r w:rsidRPr="007140DD">
        <w:rPr>
          <w:rFonts w:ascii="Arial" w:eastAsiaTheme="minorHAnsi" w:hAnsi="Arial" w:cs="Arial"/>
          <w:bCs/>
          <w:sz w:val="20"/>
          <w:szCs w:val="20"/>
        </w:rPr>
        <w:t>Achugasim</w:t>
      </w:r>
      <w:proofErr w:type="spellEnd"/>
      <w:r w:rsidRPr="007140DD">
        <w:rPr>
          <w:rFonts w:ascii="Arial" w:eastAsiaTheme="minorHAnsi" w:hAnsi="Arial" w:cs="Arial"/>
          <w:bCs/>
          <w:sz w:val="20"/>
          <w:szCs w:val="20"/>
        </w:rPr>
        <w:t xml:space="preserve"> O., </w:t>
      </w:r>
      <w:proofErr w:type="spellStart"/>
      <w:r w:rsidRPr="007140DD">
        <w:rPr>
          <w:rFonts w:ascii="Arial" w:eastAsiaTheme="minorHAnsi" w:hAnsi="Arial" w:cs="Arial"/>
          <w:bCs/>
          <w:sz w:val="20"/>
          <w:szCs w:val="20"/>
        </w:rPr>
        <w:t>Abayeh</w:t>
      </w:r>
      <w:proofErr w:type="spellEnd"/>
      <w:r w:rsidRPr="007140DD">
        <w:rPr>
          <w:rFonts w:ascii="Arial" w:eastAsiaTheme="minorHAnsi" w:hAnsi="Arial" w:cs="Arial"/>
          <w:bCs/>
          <w:sz w:val="20"/>
          <w:szCs w:val="20"/>
        </w:rPr>
        <w:t xml:space="preserve"> O. J.</w:t>
      </w:r>
      <w:r w:rsidR="00EB180E" w:rsidRPr="007140DD">
        <w:rPr>
          <w:rFonts w:ascii="Arial" w:eastAsiaTheme="minorHAnsi" w:hAnsi="Arial" w:cs="Arial"/>
          <w:bCs/>
          <w:sz w:val="20"/>
          <w:szCs w:val="20"/>
        </w:rPr>
        <w:t xml:space="preserve"> &amp;</w:t>
      </w:r>
      <w:r w:rsidRPr="007140DD">
        <w:rPr>
          <w:rFonts w:ascii="Arial" w:eastAsiaTheme="minorHAnsi" w:hAnsi="Arial" w:cs="Arial"/>
          <w:bCs/>
          <w:sz w:val="20"/>
          <w:szCs w:val="20"/>
        </w:rPr>
        <w:t xml:space="preserve"> </w:t>
      </w:r>
      <w:proofErr w:type="spellStart"/>
      <w:r w:rsidRPr="007140DD">
        <w:rPr>
          <w:rFonts w:ascii="Arial" w:eastAsiaTheme="minorHAnsi" w:hAnsi="Arial" w:cs="Arial"/>
          <w:bCs/>
          <w:sz w:val="20"/>
          <w:szCs w:val="20"/>
        </w:rPr>
        <w:t>Ogali</w:t>
      </w:r>
      <w:proofErr w:type="spellEnd"/>
      <w:r w:rsidRPr="007140DD">
        <w:rPr>
          <w:rFonts w:ascii="Arial" w:eastAsiaTheme="minorHAnsi" w:hAnsi="Arial" w:cs="Arial"/>
          <w:bCs/>
          <w:sz w:val="20"/>
          <w:szCs w:val="20"/>
        </w:rPr>
        <w:t xml:space="preserve"> R. E.</w:t>
      </w:r>
      <w:r w:rsidR="00EB180E" w:rsidRPr="007140DD">
        <w:rPr>
          <w:rFonts w:ascii="Arial" w:eastAsiaTheme="minorHAnsi" w:hAnsi="Arial" w:cs="Arial"/>
          <w:bCs/>
          <w:sz w:val="20"/>
          <w:szCs w:val="20"/>
        </w:rPr>
        <w:t xml:space="preserve"> (</w:t>
      </w:r>
      <w:r w:rsidR="00EB180E" w:rsidRPr="007140DD">
        <w:rPr>
          <w:rFonts w:ascii="Arial" w:hAnsi="Arial" w:cs="Arial"/>
          <w:bCs/>
          <w:sz w:val="20"/>
          <w:szCs w:val="20"/>
        </w:rPr>
        <w:t>2024</w:t>
      </w:r>
      <w:r w:rsidR="00EB180E" w:rsidRPr="007140DD">
        <w:rPr>
          <w:rFonts w:ascii="Arial" w:eastAsiaTheme="minorHAnsi" w:hAnsi="Arial" w:cs="Arial"/>
          <w:bCs/>
          <w:sz w:val="20"/>
          <w:szCs w:val="20"/>
        </w:rPr>
        <w:t>)</w:t>
      </w:r>
      <w:r w:rsidRPr="007140DD">
        <w:rPr>
          <w:rFonts w:ascii="Arial" w:eastAsiaTheme="minorHAnsi" w:hAnsi="Arial" w:cs="Arial"/>
          <w:bCs/>
          <w:sz w:val="20"/>
          <w:szCs w:val="20"/>
        </w:rPr>
        <w:t xml:space="preserve">  </w:t>
      </w:r>
      <w:r w:rsidRPr="007140DD">
        <w:rPr>
          <w:rFonts w:ascii="Arial" w:hAnsi="Arial" w:cs="Arial"/>
          <w:bCs/>
          <w:sz w:val="20"/>
          <w:szCs w:val="20"/>
        </w:rPr>
        <w:t xml:space="preserve"> </w:t>
      </w:r>
      <w:r w:rsidRPr="007140DD">
        <w:rPr>
          <w:rFonts w:ascii="Arial" w:eastAsiaTheme="minorHAnsi" w:hAnsi="Arial" w:cs="Arial"/>
          <w:bCs/>
          <w:sz w:val="20"/>
          <w:szCs w:val="20"/>
        </w:rPr>
        <w:t xml:space="preserve">Physicochemical analysis and antimicrobial activity of modified and unmodified forms of extracts of </w:t>
      </w:r>
      <w:proofErr w:type="spellStart"/>
      <w:r w:rsidRPr="007140DD">
        <w:rPr>
          <w:rFonts w:ascii="Arial" w:eastAsiaTheme="minorHAnsi" w:hAnsi="Arial" w:cs="Arial"/>
          <w:bCs/>
          <w:i/>
          <w:iCs/>
          <w:sz w:val="20"/>
          <w:szCs w:val="20"/>
        </w:rPr>
        <w:t>Dialium</w:t>
      </w:r>
      <w:proofErr w:type="spellEnd"/>
      <w:r w:rsidRPr="007140DD">
        <w:rPr>
          <w:rFonts w:ascii="Arial" w:eastAsiaTheme="minorHAnsi" w:hAnsi="Arial" w:cs="Arial"/>
          <w:bCs/>
          <w:i/>
          <w:iCs/>
          <w:sz w:val="20"/>
          <w:szCs w:val="20"/>
        </w:rPr>
        <w:t xml:space="preserve"> </w:t>
      </w:r>
      <w:proofErr w:type="spellStart"/>
      <w:r w:rsidRPr="007140DD">
        <w:rPr>
          <w:rFonts w:ascii="Arial" w:eastAsiaTheme="minorHAnsi" w:hAnsi="Arial" w:cs="Arial"/>
          <w:bCs/>
          <w:i/>
          <w:iCs/>
          <w:sz w:val="20"/>
          <w:szCs w:val="20"/>
        </w:rPr>
        <w:t>guineense</w:t>
      </w:r>
      <w:proofErr w:type="spellEnd"/>
      <w:r w:rsidRPr="007140DD">
        <w:rPr>
          <w:rFonts w:ascii="Arial" w:eastAsiaTheme="minorHAnsi" w:hAnsi="Arial" w:cs="Arial"/>
          <w:bCs/>
          <w:i/>
          <w:iCs/>
          <w:sz w:val="20"/>
          <w:szCs w:val="20"/>
        </w:rPr>
        <w:t xml:space="preserve"> </w:t>
      </w:r>
      <w:r w:rsidRPr="007140DD">
        <w:rPr>
          <w:rFonts w:ascii="Arial" w:eastAsiaTheme="minorHAnsi" w:hAnsi="Arial" w:cs="Arial"/>
          <w:bCs/>
          <w:sz w:val="20"/>
          <w:szCs w:val="20"/>
        </w:rPr>
        <w:t>(Velvet tamarind) seed</w:t>
      </w:r>
      <w:r w:rsidRPr="007140DD">
        <w:rPr>
          <w:rFonts w:ascii="Arial" w:hAnsi="Arial" w:cs="Arial"/>
          <w:bCs/>
          <w:sz w:val="20"/>
          <w:szCs w:val="20"/>
        </w:rPr>
        <w:t>.</w:t>
      </w:r>
      <w:r w:rsidRPr="007140DD">
        <w:rPr>
          <w:rFonts w:ascii="Arial" w:hAnsi="Arial" w:cs="Arial"/>
          <w:b/>
          <w:bCs/>
          <w:sz w:val="20"/>
          <w:szCs w:val="20"/>
        </w:rPr>
        <w:t xml:space="preserve"> </w:t>
      </w:r>
      <w:r w:rsidRPr="007140DD">
        <w:rPr>
          <w:rFonts w:ascii="Arial" w:hAnsi="Arial" w:cs="Arial"/>
          <w:bCs/>
          <w:i/>
          <w:sz w:val="20"/>
          <w:szCs w:val="20"/>
        </w:rPr>
        <w:t>Journal of Materials and Environmental Science</w:t>
      </w:r>
      <w:r w:rsidRPr="007140DD">
        <w:rPr>
          <w:rFonts w:ascii="Arial" w:hAnsi="Arial" w:cs="Arial"/>
          <w:bCs/>
          <w:sz w:val="20"/>
          <w:szCs w:val="20"/>
        </w:rPr>
        <w:t>, 15(6), 839-849</w:t>
      </w:r>
      <w:r w:rsidR="00115BB7" w:rsidRPr="007140DD">
        <w:rPr>
          <w:rFonts w:ascii="Arial" w:hAnsi="Arial" w:cs="Arial"/>
          <w:bCs/>
          <w:sz w:val="20"/>
          <w:szCs w:val="20"/>
        </w:rPr>
        <w:t>.</w:t>
      </w:r>
    </w:p>
    <w:p w14:paraId="32EFF50B" w14:textId="77777777" w:rsidR="00115BB7" w:rsidRPr="007140DD" w:rsidRDefault="00115BB7" w:rsidP="00F47360">
      <w:pPr>
        <w:pStyle w:val="ListParagraph"/>
        <w:numPr>
          <w:ilvl w:val="0"/>
          <w:numId w:val="33"/>
        </w:numPr>
        <w:autoSpaceDE w:val="0"/>
        <w:autoSpaceDN w:val="0"/>
        <w:adjustRightInd w:val="0"/>
        <w:rPr>
          <w:rFonts w:ascii="Arial" w:hAnsi="Arial" w:cs="Arial"/>
          <w:sz w:val="20"/>
          <w:szCs w:val="20"/>
        </w:rPr>
      </w:pPr>
      <w:r w:rsidRPr="007140DD">
        <w:rPr>
          <w:rFonts w:ascii="Arial" w:hAnsi="Arial" w:cs="Arial"/>
          <w:sz w:val="20"/>
          <w:szCs w:val="20"/>
        </w:rPr>
        <w:t xml:space="preserve">AOAC International. (2000). </w:t>
      </w:r>
      <w:r w:rsidRPr="007140DD">
        <w:rPr>
          <w:rStyle w:val="Emphasis"/>
          <w:rFonts w:ascii="Arial" w:hAnsi="Arial" w:cs="Arial"/>
          <w:sz w:val="20"/>
          <w:szCs w:val="20"/>
        </w:rPr>
        <w:t>Official methods of analysis of AOAC International</w:t>
      </w:r>
      <w:r w:rsidRPr="007140DD">
        <w:rPr>
          <w:rFonts w:ascii="Arial" w:hAnsi="Arial" w:cs="Arial"/>
          <w:sz w:val="20"/>
          <w:szCs w:val="20"/>
        </w:rPr>
        <w:t xml:space="preserve"> (17th ed.). AOAC International.</w:t>
      </w:r>
    </w:p>
    <w:p w14:paraId="6592D233" w14:textId="2A344962" w:rsidR="00115BB7" w:rsidRPr="007140DD" w:rsidRDefault="00115BB7" w:rsidP="00F47360">
      <w:pPr>
        <w:pStyle w:val="ListParagraph"/>
        <w:numPr>
          <w:ilvl w:val="0"/>
          <w:numId w:val="33"/>
        </w:numPr>
        <w:autoSpaceDE w:val="0"/>
        <w:autoSpaceDN w:val="0"/>
        <w:adjustRightInd w:val="0"/>
        <w:rPr>
          <w:rFonts w:ascii="Arial" w:hAnsi="Arial" w:cs="Arial"/>
          <w:sz w:val="20"/>
          <w:szCs w:val="20"/>
        </w:rPr>
      </w:pPr>
      <w:r w:rsidRPr="007140DD">
        <w:rPr>
          <w:rFonts w:ascii="Arial" w:hAnsi="Arial" w:cs="Arial"/>
          <w:sz w:val="20"/>
          <w:szCs w:val="20"/>
        </w:rPr>
        <w:t xml:space="preserve">AOCS. (1998). </w:t>
      </w:r>
      <w:r w:rsidRPr="007140DD">
        <w:rPr>
          <w:rStyle w:val="Emphasis"/>
          <w:rFonts w:ascii="Arial" w:hAnsi="Arial" w:cs="Arial"/>
          <w:sz w:val="20"/>
          <w:szCs w:val="20"/>
        </w:rPr>
        <w:t>Official methods and recommended practices of the American Oil Chemists’ Society</w:t>
      </w:r>
      <w:r w:rsidRPr="007140DD">
        <w:rPr>
          <w:rFonts w:ascii="Arial" w:hAnsi="Arial" w:cs="Arial"/>
          <w:sz w:val="20"/>
          <w:szCs w:val="20"/>
        </w:rPr>
        <w:t xml:space="preserve"> (5th ed.). AOCS Press.</w:t>
      </w:r>
    </w:p>
    <w:p w14:paraId="0CC94AC1" w14:textId="77777777" w:rsidR="00115BB7" w:rsidRPr="007140DD" w:rsidRDefault="00540FE7" w:rsidP="00F47360">
      <w:pPr>
        <w:pStyle w:val="ListParagraph"/>
        <w:numPr>
          <w:ilvl w:val="0"/>
          <w:numId w:val="33"/>
        </w:numPr>
        <w:autoSpaceDE w:val="0"/>
        <w:autoSpaceDN w:val="0"/>
        <w:adjustRightInd w:val="0"/>
        <w:rPr>
          <w:rFonts w:ascii="Arial" w:hAnsi="Arial" w:cs="Arial"/>
          <w:sz w:val="20"/>
          <w:szCs w:val="20"/>
        </w:rPr>
      </w:pPr>
      <w:r w:rsidRPr="007140DD">
        <w:rPr>
          <w:rFonts w:ascii="Arial" w:hAnsi="Arial" w:cs="Arial"/>
          <w:sz w:val="20"/>
          <w:szCs w:val="20"/>
        </w:rPr>
        <w:t xml:space="preserve">O'Brien, R. D. (2009). </w:t>
      </w:r>
      <w:r w:rsidRPr="007140DD">
        <w:rPr>
          <w:rFonts w:ascii="Arial" w:hAnsi="Arial" w:cs="Arial"/>
          <w:iCs/>
          <w:sz w:val="20"/>
          <w:szCs w:val="20"/>
        </w:rPr>
        <w:t>Fats and oils: Formulating and processing for applications</w:t>
      </w:r>
      <w:r w:rsidRPr="007140DD">
        <w:rPr>
          <w:rFonts w:ascii="Arial" w:hAnsi="Arial" w:cs="Arial"/>
          <w:sz w:val="20"/>
          <w:szCs w:val="20"/>
        </w:rPr>
        <w:t xml:space="preserve"> (3rd ed.). CRC Press.</w:t>
      </w:r>
    </w:p>
    <w:p w14:paraId="221DB2F7" w14:textId="686781B9" w:rsidR="00115BB7" w:rsidRPr="007140DD" w:rsidRDefault="00540FE7"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hAnsi="Arial" w:cs="Arial"/>
          <w:sz w:val="20"/>
          <w:szCs w:val="20"/>
        </w:rPr>
        <w:t>Guillén</w:t>
      </w:r>
      <w:proofErr w:type="spellEnd"/>
      <w:r w:rsidRPr="007140DD">
        <w:rPr>
          <w:rFonts w:ascii="Arial" w:hAnsi="Arial" w:cs="Arial"/>
          <w:sz w:val="20"/>
          <w:szCs w:val="20"/>
        </w:rPr>
        <w:t xml:space="preserve">, M. D., &amp; Cabo, N. (2002). Fourier transform infrared spectra data versus peroxide and anisidine values to determine oxidative stability of edible oils. </w:t>
      </w:r>
      <w:r w:rsidRPr="007140DD">
        <w:rPr>
          <w:rFonts w:ascii="Arial" w:hAnsi="Arial" w:cs="Arial"/>
          <w:i/>
          <w:iCs/>
          <w:sz w:val="20"/>
          <w:szCs w:val="20"/>
        </w:rPr>
        <w:t>Food Chemistry</w:t>
      </w:r>
      <w:r w:rsidRPr="007140DD">
        <w:rPr>
          <w:rFonts w:ascii="Arial" w:hAnsi="Arial" w:cs="Arial"/>
          <w:sz w:val="20"/>
          <w:szCs w:val="20"/>
        </w:rPr>
        <w:t xml:space="preserve">, 77(4), 503–510. </w:t>
      </w:r>
      <w:hyperlink r:id="rId47" w:history="1">
        <w:r w:rsidRPr="007140DD">
          <w:rPr>
            <w:rFonts w:ascii="Arial" w:hAnsi="Arial" w:cs="Arial"/>
            <w:sz w:val="20"/>
            <w:szCs w:val="20"/>
            <w:u w:val="single"/>
          </w:rPr>
          <w:t>https://doi.org/10.1016/S0308-8146(01)00357-0</w:t>
        </w:r>
      </w:hyperlink>
      <w:r w:rsidR="00115BB7" w:rsidRPr="007140DD">
        <w:rPr>
          <w:rFonts w:ascii="Arial" w:hAnsi="Arial" w:cs="Arial"/>
          <w:sz w:val="20"/>
          <w:szCs w:val="20"/>
          <w:u w:val="single"/>
        </w:rPr>
        <w:t>.</w:t>
      </w:r>
    </w:p>
    <w:p w14:paraId="54FE3303" w14:textId="77777777" w:rsidR="00115BB7" w:rsidRPr="007140DD" w:rsidRDefault="00540FE7"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hAnsi="Arial" w:cs="Arial"/>
          <w:sz w:val="20"/>
          <w:szCs w:val="20"/>
        </w:rPr>
        <w:t>Munekata</w:t>
      </w:r>
      <w:proofErr w:type="spellEnd"/>
      <w:r w:rsidRPr="007140DD">
        <w:rPr>
          <w:rFonts w:ascii="Arial" w:hAnsi="Arial" w:cs="Arial"/>
          <w:sz w:val="20"/>
          <w:szCs w:val="20"/>
        </w:rPr>
        <w:t>, P.E.S.</w:t>
      </w:r>
      <w:r w:rsidR="00AF5B7F" w:rsidRPr="007140DD">
        <w:rPr>
          <w:rFonts w:ascii="Arial" w:hAnsi="Arial" w:cs="Arial"/>
          <w:sz w:val="20"/>
          <w:szCs w:val="20"/>
        </w:rPr>
        <w:t>,</w:t>
      </w:r>
      <w:r w:rsidRPr="007140DD">
        <w:rPr>
          <w:rFonts w:ascii="Arial" w:hAnsi="Arial" w:cs="Arial"/>
          <w:sz w:val="20"/>
          <w:szCs w:val="20"/>
        </w:rPr>
        <w:t xml:space="preserve"> Domínguez, R.</w:t>
      </w:r>
      <w:r w:rsidR="00AF5B7F" w:rsidRPr="007140DD">
        <w:rPr>
          <w:rFonts w:ascii="Arial" w:hAnsi="Arial" w:cs="Arial"/>
          <w:sz w:val="20"/>
          <w:szCs w:val="20"/>
        </w:rPr>
        <w:t>,</w:t>
      </w:r>
      <w:r w:rsidRPr="007140DD">
        <w:rPr>
          <w:rFonts w:ascii="Arial" w:hAnsi="Arial" w:cs="Arial"/>
          <w:sz w:val="20"/>
          <w:szCs w:val="20"/>
        </w:rPr>
        <w:t xml:space="preserve"> Campagnol, P.C.B.</w:t>
      </w:r>
      <w:r w:rsidR="00AF5B7F" w:rsidRPr="007140DD">
        <w:rPr>
          <w:rFonts w:ascii="Arial" w:hAnsi="Arial" w:cs="Arial"/>
          <w:sz w:val="20"/>
          <w:szCs w:val="20"/>
        </w:rPr>
        <w:t>,</w:t>
      </w:r>
      <w:r w:rsidRPr="007140DD">
        <w:rPr>
          <w:rFonts w:ascii="Arial" w:hAnsi="Arial" w:cs="Arial"/>
          <w:sz w:val="20"/>
          <w:szCs w:val="20"/>
        </w:rPr>
        <w:t xml:space="preserve"> Franco, D.</w:t>
      </w:r>
      <w:r w:rsidR="00AF5B7F" w:rsidRPr="007140DD">
        <w:rPr>
          <w:rFonts w:ascii="Arial" w:hAnsi="Arial" w:cs="Arial"/>
          <w:sz w:val="20"/>
          <w:szCs w:val="20"/>
        </w:rPr>
        <w:t>,</w:t>
      </w:r>
      <w:r w:rsidRPr="007140DD">
        <w:rPr>
          <w:rFonts w:ascii="Arial" w:hAnsi="Arial" w:cs="Arial"/>
          <w:sz w:val="20"/>
          <w:szCs w:val="20"/>
        </w:rPr>
        <w:t xml:space="preserve"> Trindade, M.A.</w:t>
      </w:r>
      <w:r w:rsidR="00AF5B7F" w:rsidRPr="007140DD">
        <w:rPr>
          <w:rFonts w:ascii="Arial" w:hAnsi="Arial" w:cs="Arial"/>
          <w:sz w:val="20"/>
          <w:szCs w:val="20"/>
        </w:rPr>
        <w:t xml:space="preserve"> &amp;</w:t>
      </w:r>
      <w:r w:rsidRPr="007140DD">
        <w:rPr>
          <w:rFonts w:ascii="Arial" w:hAnsi="Arial" w:cs="Arial"/>
          <w:sz w:val="20"/>
          <w:szCs w:val="20"/>
        </w:rPr>
        <w:t xml:space="preserve"> Lorenzo, J.M. </w:t>
      </w:r>
      <w:r w:rsidR="00AF5B7F" w:rsidRPr="007140DD">
        <w:rPr>
          <w:rFonts w:ascii="Arial" w:hAnsi="Arial" w:cs="Arial"/>
          <w:sz w:val="20"/>
          <w:szCs w:val="20"/>
        </w:rPr>
        <w:t>(</w:t>
      </w:r>
      <w:r w:rsidR="00AF5B7F" w:rsidRPr="007140DD">
        <w:rPr>
          <w:rFonts w:ascii="Arial" w:hAnsi="Arial" w:cs="Arial"/>
          <w:bCs/>
          <w:sz w:val="20"/>
          <w:szCs w:val="20"/>
        </w:rPr>
        <w:t>2017</w:t>
      </w:r>
      <w:r w:rsidR="00AF5B7F" w:rsidRPr="007140DD">
        <w:rPr>
          <w:rFonts w:ascii="Arial" w:hAnsi="Arial" w:cs="Arial"/>
          <w:sz w:val="20"/>
          <w:szCs w:val="20"/>
        </w:rPr>
        <w:t xml:space="preserve">). </w:t>
      </w:r>
      <w:r w:rsidRPr="007140DD">
        <w:rPr>
          <w:rFonts w:ascii="Arial" w:hAnsi="Arial" w:cs="Arial"/>
          <w:sz w:val="20"/>
          <w:szCs w:val="20"/>
        </w:rPr>
        <w:t>E</w:t>
      </w:r>
      <w:r w:rsidR="00AF5B7F" w:rsidRPr="007140DD">
        <w:rPr>
          <w:rFonts w:ascii="Arial" w:hAnsi="Arial" w:cs="Arial"/>
          <w:sz w:val="20"/>
          <w:szCs w:val="20"/>
        </w:rPr>
        <w:t>ff</w:t>
      </w:r>
      <w:r w:rsidRPr="007140DD">
        <w:rPr>
          <w:rFonts w:ascii="Arial" w:hAnsi="Arial" w:cs="Arial"/>
          <w:sz w:val="20"/>
          <w:szCs w:val="20"/>
        </w:rPr>
        <w:t>ect of natural antioxidants on physicochemical properties and lipid stability of pork liver pâté manufactured with healthy oils during refrigerated storage. J. Food Sci. Technol., 54, 4324–4334.</w:t>
      </w:r>
    </w:p>
    <w:p w14:paraId="7C19DD02" w14:textId="2383DE0A" w:rsidR="00540FE7" w:rsidRPr="007140DD" w:rsidRDefault="00540FE7" w:rsidP="00F47360">
      <w:pPr>
        <w:pStyle w:val="ListParagraph"/>
        <w:numPr>
          <w:ilvl w:val="0"/>
          <w:numId w:val="33"/>
        </w:numPr>
        <w:autoSpaceDE w:val="0"/>
        <w:autoSpaceDN w:val="0"/>
        <w:adjustRightInd w:val="0"/>
        <w:rPr>
          <w:rFonts w:ascii="Arial" w:hAnsi="Arial" w:cs="Arial"/>
          <w:sz w:val="20"/>
          <w:szCs w:val="20"/>
        </w:rPr>
      </w:pPr>
      <w:r w:rsidRPr="007140DD">
        <w:rPr>
          <w:rFonts w:ascii="Arial" w:hAnsi="Arial" w:cs="Arial"/>
          <w:sz w:val="20"/>
          <w:szCs w:val="20"/>
        </w:rPr>
        <w:t xml:space="preserve">Warner, K. (2007). Chemistry of frying oils. In E. A. Decker, R. J. Elias, &amp; D. J. McClements (Eds.), </w:t>
      </w:r>
      <w:r w:rsidRPr="007140DD">
        <w:rPr>
          <w:rFonts w:ascii="Arial" w:hAnsi="Arial" w:cs="Arial"/>
          <w:iCs/>
          <w:sz w:val="20"/>
          <w:szCs w:val="20"/>
        </w:rPr>
        <w:t>Oxidation in foods and beverages and antioxidant applications</w:t>
      </w:r>
      <w:r w:rsidRPr="007140DD">
        <w:rPr>
          <w:rFonts w:ascii="Arial" w:hAnsi="Arial" w:cs="Arial"/>
          <w:sz w:val="20"/>
          <w:szCs w:val="20"/>
        </w:rPr>
        <w:t xml:space="preserve"> (pp. 37–58). CRC Press.</w:t>
      </w:r>
    </w:p>
    <w:p w14:paraId="68A819CC" w14:textId="77777777" w:rsidR="00115BB7" w:rsidRPr="007140DD" w:rsidRDefault="00115BB7" w:rsidP="00F47360">
      <w:pPr>
        <w:pStyle w:val="ListParagraph"/>
        <w:numPr>
          <w:ilvl w:val="0"/>
          <w:numId w:val="33"/>
        </w:numPr>
        <w:autoSpaceDE w:val="0"/>
        <w:autoSpaceDN w:val="0"/>
        <w:adjustRightInd w:val="0"/>
        <w:rPr>
          <w:rFonts w:ascii="Arial" w:hAnsi="Arial" w:cs="Arial"/>
          <w:sz w:val="20"/>
          <w:szCs w:val="20"/>
        </w:rPr>
      </w:pPr>
      <w:r w:rsidRPr="007140DD">
        <w:rPr>
          <w:rFonts w:ascii="Arial" w:eastAsia="Times New Roman" w:hAnsi="Arial" w:cs="Arial"/>
          <w:sz w:val="20"/>
          <w:szCs w:val="20"/>
        </w:rPr>
        <w:t xml:space="preserve">Choe, E., &amp; Min, D. B. (2006). Mechanisms and factors for edible oil oxidation. </w:t>
      </w:r>
      <w:r w:rsidRPr="007140DD">
        <w:rPr>
          <w:rFonts w:ascii="Arial" w:eastAsia="Times New Roman" w:hAnsi="Arial" w:cs="Arial"/>
          <w:i/>
          <w:iCs/>
          <w:sz w:val="20"/>
          <w:szCs w:val="20"/>
        </w:rPr>
        <w:t>Comprehensive Reviews in Food Science and Food Safety, 5</w:t>
      </w:r>
      <w:r w:rsidRPr="007140DD">
        <w:rPr>
          <w:rFonts w:ascii="Arial" w:eastAsia="Times New Roman" w:hAnsi="Arial" w:cs="Arial"/>
          <w:sz w:val="20"/>
          <w:szCs w:val="20"/>
        </w:rPr>
        <w:t>(4), 169–186.</w:t>
      </w:r>
    </w:p>
    <w:p w14:paraId="155A2690" w14:textId="6F213982" w:rsidR="00115BB7" w:rsidRPr="007140DD" w:rsidRDefault="00115BB7"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hAnsi="Arial" w:cs="Arial"/>
          <w:sz w:val="20"/>
          <w:szCs w:val="20"/>
        </w:rPr>
        <w:t>Dayrit</w:t>
      </w:r>
      <w:proofErr w:type="spellEnd"/>
      <w:r w:rsidRPr="007140DD">
        <w:rPr>
          <w:rFonts w:ascii="Arial" w:hAnsi="Arial" w:cs="Arial"/>
          <w:sz w:val="20"/>
          <w:szCs w:val="20"/>
        </w:rPr>
        <w:t xml:space="preserve">, F. M. (2015). Lauric acid is a medium-chain fatty acid, coconut oil is a medium-chain triglyceride. </w:t>
      </w:r>
      <w:r w:rsidRPr="007140DD">
        <w:rPr>
          <w:rStyle w:val="Emphasis"/>
          <w:rFonts w:ascii="Arial" w:hAnsi="Arial" w:cs="Arial"/>
          <w:sz w:val="20"/>
          <w:szCs w:val="20"/>
        </w:rPr>
        <w:t>Philippine Journal of Science</w:t>
      </w:r>
      <w:r w:rsidRPr="007140DD">
        <w:rPr>
          <w:rFonts w:ascii="Arial" w:hAnsi="Arial" w:cs="Arial"/>
          <w:sz w:val="20"/>
          <w:szCs w:val="20"/>
        </w:rPr>
        <w:t>, 144(2), 157–166.</w:t>
      </w:r>
    </w:p>
    <w:p w14:paraId="5EA7BE21" w14:textId="77777777" w:rsidR="00115BB7" w:rsidRPr="007140DD" w:rsidRDefault="00115BB7" w:rsidP="00F47360">
      <w:pPr>
        <w:pStyle w:val="ListParagraph"/>
        <w:numPr>
          <w:ilvl w:val="0"/>
          <w:numId w:val="33"/>
        </w:numPr>
        <w:autoSpaceDE w:val="0"/>
        <w:autoSpaceDN w:val="0"/>
        <w:adjustRightInd w:val="0"/>
        <w:rPr>
          <w:rStyle w:val="Hyperlink"/>
          <w:rFonts w:ascii="Arial" w:eastAsia="AdvTimes" w:hAnsi="Arial" w:cs="Arial"/>
          <w:color w:val="auto"/>
          <w:sz w:val="20"/>
          <w:szCs w:val="20"/>
          <w:u w:val="none"/>
        </w:rPr>
      </w:pPr>
      <w:proofErr w:type="spellStart"/>
      <w:r w:rsidRPr="007140DD">
        <w:rPr>
          <w:rFonts w:ascii="Arial" w:hAnsi="Arial" w:cs="Arial"/>
          <w:sz w:val="20"/>
          <w:szCs w:val="20"/>
        </w:rPr>
        <w:t>Mensink</w:t>
      </w:r>
      <w:proofErr w:type="spellEnd"/>
      <w:r w:rsidRPr="007140DD">
        <w:rPr>
          <w:rFonts w:ascii="Arial" w:hAnsi="Arial" w:cs="Arial"/>
          <w:sz w:val="20"/>
          <w:szCs w:val="20"/>
        </w:rPr>
        <w:t xml:space="preserve">, R. P., </w:t>
      </w:r>
      <w:proofErr w:type="spellStart"/>
      <w:r w:rsidRPr="007140DD">
        <w:rPr>
          <w:rFonts w:ascii="Arial" w:hAnsi="Arial" w:cs="Arial"/>
          <w:sz w:val="20"/>
          <w:szCs w:val="20"/>
        </w:rPr>
        <w:t>Zock</w:t>
      </w:r>
      <w:proofErr w:type="spellEnd"/>
      <w:r w:rsidRPr="007140DD">
        <w:rPr>
          <w:rFonts w:ascii="Arial" w:hAnsi="Arial" w:cs="Arial"/>
          <w:sz w:val="20"/>
          <w:szCs w:val="20"/>
        </w:rPr>
        <w:t xml:space="preserve">, P. L., Kester, A. D., &amp; Katan, M. B. (2003). Effects of dietary fatty acids and carbohydrates on the ratio of serum total to HDL cholesterol and on serum lipids and apolipoproteins: A meta-analysis of 60 controlled trials. </w:t>
      </w:r>
      <w:r w:rsidRPr="007140DD">
        <w:rPr>
          <w:rStyle w:val="Emphasis"/>
          <w:rFonts w:ascii="Arial" w:eastAsiaTheme="majorEastAsia" w:hAnsi="Arial" w:cs="Arial"/>
          <w:sz w:val="20"/>
          <w:szCs w:val="20"/>
        </w:rPr>
        <w:t>The American Journal of Clinical Nutrition</w:t>
      </w:r>
      <w:r w:rsidRPr="007140DD">
        <w:rPr>
          <w:rFonts w:ascii="Arial" w:hAnsi="Arial" w:cs="Arial"/>
          <w:sz w:val="20"/>
          <w:szCs w:val="20"/>
        </w:rPr>
        <w:t xml:space="preserve">, 77(5), 1146–1155. </w:t>
      </w:r>
      <w:hyperlink r:id="rId48" w:history="1">
        <w:r w:rsidRPr="007140DD">
          <w:rPr>
            <w:rStyle w:val="Hyperlink"/>
            <w:rFonts w:ascii="Arial" w:hAnsi="Arial" w:cs="Arial"/>
            <w:color w:val="auto"/>
            <w:sz w:val="20"/>
            <w:szCs w:val="20"/>
          </w:rPr>
          <w:t>https://doi.org/10.1093/ajcn/77.5.1146</w:t>
        </w:r>
      </w:hyperlink>
    </w:p>
    <w:p w14:paraId="397D4202" w14:textId="3B84C7BB" w:rsidR="00115BB7" w:rsidRPr="007140DD" w:rsidRDefault="00C11508" w:rsidP="00F47360">
      <w:pPr>
        <w:pStyle w:val="ListParagraph"/>
        <w:numPr>
          <w:ilvl w:val="0"/>
          <w:numId w:val="33"/>
        </w:numPr>
        <w:autoSpaceDE w:val="0"/>
        <w:autoSpaceDN w:val="0"/>
        <w:adjustRightInd w:val="0"/>
        <w:rPr>
          <w:rFonts w:ascii="Arial" w:hAnsi="Arial" w:cs="Arial"/>
          <w:sz w:val="20"/>
          <w:szCs w:val="20"/>
        </w:rPr>
      </w:pPr>
      <w:r w:rsidRPr="007140DD">
        <w:rPr>
          <w:rFonts w:ascii="Arial" w:eastAsia="Times New Roman" w:hAnsi="Arial" w:cs="Arial"/>
          <w:sz w:val="20"/>
          <w:szCs w:val="20"/>
        </w:rPr>
        <w:t xml:space="preserve">Codex Alimentarius Commission. (2019). </w:t>
      </w:r>
      <w:r w:rsidRPr="007140DD">
        <w:rPr>
          <w:rFonts w:ascii="Arial" w:eastAsia="Times New Roman" w:hAnsi="Arial" w:cs="Arial"/>
          <w:i/>
          <w:iCs/>
          <w:sz w:val="20"/>
          <w:szCs w:val="20"/>
        </w:rPr>
        <w:t>Standard for Named Vegetable Oils (CODEX-STAN 210-1999).</w:t>
      </w:r>
    </w:p>
    <w:p w14:paraId="52EA82DA" w14:textId="77777777" w:rsidR="001802BD" w:rsidRPr="007140DD" w:rsidRDefault="00C11508"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hAnsi="Arial" w:cs="Arial"/>
          <w:sz w:val="20"/>
          <w:szCs w:val="20"/>
        </w:rPr>
        <w:t>Schwingshackl</w:t>
      </w:r>
      <w:proofErr w:type="spellEnd"/>
      <w:r w:rsidRPr="007140DD">
        <w:rPr>
          <w:rFonts w:ascii="Arial" w:hAnsi="Arial" w:cs="Arial"/>
          <w:sz w:val="20"/>
          <w:szCs w:val="20"/>
        </w:rPr>
        <w:t xml:space="preserve">, L., &amp; Hoffmann, G. (2014). Monounsaturated fatty acids and risk of cardiovascular disease: Synopsis of the evidence available from systematic reviews and meta-analyses. </w:t>
      </w:r>
      <w:r w:rsidRPr="007140DD">
        <w:rPr>
          <w:rStyle w:val="Emphasis"/>
          <w:rFonts w:ascii="Arial" w:hAnsi="Arial" w:cs="Arial"/>
          <w:sz w:val="20"/>
          <w:szCs w:val="20"/>
        </w:rPr>
        <w:t>Nutrients</w:t>
      </w:r>
      <w:r w:rsidRPr="007140DD">
        <w:rPr>
          <w:rFonts w:ascii="Arial" w:hAnsi="Arial" w:cs="Arial"/>
          <w:sz w:val="20"/>
          <w:szCs w:val="20"/>
        </w:rPr>
        <w:t>, 6(1), 154–162.</w:t>
      </w:r>
    </w:p>
    <w:p w14:paraId="653A6E94" w14:textId="0DB12193" w:rsidR="001802BD" w:rsidRPr="007140DD" w:rsidRDefault="00540FE7" w:rsidP="00F47360">
      <w:pPr>
        <w:pStyle w:val="ListParagraph"/>
        <w:numPr>
          <w:ilvl w:val="0"/>
          <w:numId w:val="33"/>
        </w:numPr>
        <w:autoSpaceDE w:val="0"/>
        <w:autoSpaceDN w:val="0"/>
        <w:adjustRightInd w:val="0"/>
        <w:rPr>
          <w:rStyle w:val="Hyperlink"/>
          <w:rFonts w:ascii="Arial" w:hAnsi="Arial" w:cs="Arial"/>
          <w:color w:val="auto"/>
          <w:sz w:val="20"/>
          <w:szCs w:val="20"/>
          <w:u w:val="none"/>
        </w:rPr>
      </w:pPr>
      <w:proofErr w:type="spellStart"/>
      <w:r w:rsidRPr="007140DD">
        <w:rPr>
          <w:rFonts w:ascii="Arial" w:hAnsi="Arial" w:cs="Arial"/>
          <w:sz w:val="20"/>
          <w:szCs w:val="20"/>
        </w:rPr>
        <w:t>Naz</w:t>
      </w:r>
      <w:proofErr w:type="spellEnd"/>
      <w:r w:rsidRPr="007140DD">
        <w:rPr>
          <w:rFonts w:ascii="Arial" w:hAnsi="Arial" w:cs="Arial"/>
          <w:sz w:val="20"/>
          <w:szCs w:val="20"/>
        </w:rPr>
        <w:t xml:space="preserve">, S., Sheikh, H., Siddiqi, R., &amp; Sayeed, S. A. (2005). Oxidative stability of olive, corn and soybean oil under different conditions. </w:t>
      </w:r>
      <w:r w:rsidRPr="007140DD">
        <w:rPr>
          <w:rStyle w:val="Emphasis"/>
          <w:rFonts w:ascii="Arial" w:hAnsi="Arial" w:cs="Arial"/>
          <w:sz w:val="20"/>
          <w:szCs w:val="20"/>
        </w:rPr>
        <w:t>Food Chemistry</w:t>
      </w:r>
      <w:r w:rsidRPr="007140DD">
        <w:rPr>
          <w:rFonts w:ascii="Arial" w:hAnsi="Arial" w:cs="Arial"/>
          <w:sz w:val="20"/>
          <w:szCs w:val="20"/>
        </w:rPr>
        <w:t xml:space="preserve">, 88(2), 253–259. </w:t>
      </w:r>
      <w:hyperlink r:id="rId49" w:history="1">
        <w:r w:rsidRPr="007140DD">
          <w:rPr>
            <w:rStyle w:val="Hyperlink"/>
            <w:rFonts w:ascii="Arial" w:eastAsiaTheme="majorEastAsia" w:hAnsi="Arial" w:cs="Arial"/>
            <w:color w:val="auto"/>
            <w:sz w:val="20"/>
            <w:szCs w:val="20"/>
          </w:rPr>
          <w:t>https://doi.org/10.1016/j.foodchem.2004.01.050</w:t>
        </w:r>
      </w:hyperlink>
      <w:r w:rsidR="001802BD" w:rsidRPr="007140DD">
        <w:rPr>
          <w:rStyle w:val="Hyperlink"/>
          <w:rFonts w:ascii="Arial" w:eastAsiaTheme="majorEastAsia" w:hAnsi="Arial" w:cs="Arial"/>
          <w:color w:val="auto"/>
          <w:sz w:val="20"/>
          <w:szCs w:val="20"/>
        </w:rPr>
        <w:t>.</w:t>
      </w:r>
    </w:p>
    <w:p w14:paraId="4205A001" w14:textId="77777777" w:rsidR="001802BD" w:rsidRPr="007140DD" w:rsidRDefault="00540FE7" w:rsidP="00F47360">
      <w:pPr>
        <w:pStyle w:val="ListParagraph"/>
        <w:numPr>
          <w:ilvl w:val="0"/>
          <w:numId w:val="33"/>
        </w:numPr>
        <w:autoSpaceDE w:val="0"/>
        <w:autoSpaceDN w:val="0"/>
        <w:adjustRightInd w:val="0"/>
        <w:rPr>
          <w:rStyle w:val="Hyperlink"/>
          <w:rFonts w:ascii="Arial" w:hAnsi="Arial" w:cs="Arial"/>
          <w:color w:val="auto"/>
          <w:sz w:val="20"/>
          <w:szCs w:val="20"/>
          <w:u w:val="none"/>
        </w:rPr>
      </w:pPr>
      <w:proofErr w:type="spellStart"/>
      <w:r w:rsidRPr="007140DD">
        <w:rPr>
          <w:rFonts w:ascii="Arial" w:hAnsi="Arial" w:cs="Arial"/>
          <w:sz w:val="20"/>
          <w:szCs w:val="20"/>
        </w:rPr>
        <w:t>Farhoosh</w:t>
      </w:r>
      <w:proofErr w:type="spellEnd"/>
      <w:r w:rsidRPr="007140DD">
        <w:rPr>
          <w:rFonts w:ascii="Arial" w:hAnsi="Arial" w:cs="Arial"/>
          <w:sz w:val="20"/>
          <w:szCs w:val="20"/>
        </w:rPr>
        <w:t xml:space="preserve">, R., </w:t>
      </w:r>
      <w:proofErr w:type="spellStart"/>
      <w:r w:rsidRPr="007140DD">
        <w:rPr>
          <w:rFonts w:ascii="Arial" w:hAnsi="Arial" w:cs="Arial"/>
          <w:sz w:val="20"/>
          <w:szCs w:val="20"/>
        </w:rPr>
        <w:t>Einafshar</w:t>
      </w:r>
      <w:proofErr w:type="spellEnd"/>
      <w:r w:rsidRPr="007140DD">
        <w:rPr>
          <w:rFonts w:ascii="Arial" w:hAnsi="Arial" w:cs="Arial"/>
          <w:sz w:val="20"/>
          <w:szCs w:val="20"/>
        </w:rPr>
        <w:t xml:space="preserve">, S., &amp; </w:t>
      </w:r>
      <w:proofErr w:type="spellStart"/>
      <w:r w:rsidRPr="007140DD">
        <w:rPr>
          <w:rFonts w:ascii="Arial" w:hAnsi="Arial" w:cs="Arial"/>
          <w:sz w:val="20"/>
          <w:szCs w:val="20"/>
        </w:rPr>
        <w:t>Sharayei</w:t>
      </w:r>
      <w:proofErr w:type="spellEnd"/>
      <w:r w:rsidRPr="007140DD">
        <w:rPr>
          <w:rFonts w:ascii="Arial" w:hAnsi="Arial" w:cs="Arial"/>
          <w:sz w:val="20"/>
          <w:szCs w:val="20"/>
        </w:rPr>
        <w:t xml:space="preserve">, P. (2009). The effect of commercial refining steps on the rancidity measures of soybean and canola oils. </w:t>
      </w:r>
      <w:r w:rsidRPr="007140DD">
        <w:rPr>
          <w:rStyle w:val="Emphasis"/>
          <w:rFonts w:ascii="Arial" w:hAnsi="Arial" w:cs="Arial"/>
          <w:sz w:val="20"/>
          <w:szCs w:val="20"/>
        </w:rPr>
        <w:t>Food Chemistry</w:t>
      </w:r>
      <w:r w:rsidRPr="007140DD">
        <w:rPr>
          <w:rFonts w:ascii="Arial" w:hAnsi="Arial" w:cs="Arial"/>
          <w:sz w:val="20"/>
          <w:szCs w:val="20"/>
        </w:rPr>
        <w:t xml:space="preserve">, 115(3), 933–938. </w:t>
      </w:r>
      <w:hyperlink r:id="rId50" w:history="1">
        <w:r w:rsidRPr="007140DD">
          <w:rPr>
            <w:rStyle w:val="Hyperlink"/>
            <w:rFonts w:ascii="Arial" w:eastAsiaTheme="majorEastAsia" w:hAnsi="Arial" w:cs="Arial"/>
            <w:color w:val="auto"/>
            <w:sz w:val="20"/>
            <w:szCs w:val="20"/>
          </w:rPr>
          <w:t>https://doi.org/10.1016/j.foodchem.2008.12.087</w:t>
        </w:r>
      </w:hyperlink>
      <w:r w:rsidR="001802BD" w:rsidRPr="007140DD">
        <w:rPr>
          <w:rStyle w:val="Hyperlink"/>
          <w:rFonts w:ascii="Arial" w:eastAsiaTheme="majorEastAsia" w:hAnsi="Arial" w:cs="Arial"/>
          <w:color w:val="auto"/>
          <w:sz w:val="20"/>
          <w:szCs w:val="20"/>
        </w:rPr>
        <w:t>.</w:t>
      </w:r>
    </w:p>
    <w:p w14:paraId="1642DFAA" w14:textId="77777777" w:rsidR="001802BD" w:rsidRPr="007140DD" w:rsidRDefault="00540FE7" w:rsidP="00F47360">
      <w:pPr>
        <w:pStyle w:val="ListParagraph"/>
        <w:numPr>
          <w:ilvl w:val="0"/>
          <w:numId w:val="33"/>
        </w:numPr>
        <w:autoSpaceDE w:val="0"/>
        <w:autoSpaceDN w:val="0"/>
        <w:adjustRightInd w:val="0"/>
        <w:rPr>
          <w:rStyle w:val="Hyperlink"/>
          <w:rFonts w:ascii="Arial" w:hAnsi="Arial" w:cs="Arial"/>
          <w:color w:val="auto"/>
          <w:sz w:val="20"/>
          <w:szCs w:val="20"/>
          <w:u w:val="none"/>
        </w:rPr>
      </w:pPr>
      <w:proofErr w:type="spellStart"/>
      <w:r w:rsidRPr="007140DD">
        <w:rPr>
          <w:rFonts w:ascii="Arial" w:hAnsi="Arial" w:cs="Arial"/>
          <w:sz w:val="20"/>
          <w:szCs w:val="20"/>
        </w:rPr>
        <w:t>Esterbauer</w:t>
      </w:r>
      <w:proofErr w:type="spellEnd"/>
      <w:r w:rsidRPr="007140DD">
        <w:rPr>
          <w:rFonts w:ascii="Arial" w:hAnsi="Arial" w:cs="Arial"/>
          <w:sz w:val="20"/>
          <w:szCs w:val="20"/>
        </w:rPr>
        <w:t xml:space="preserve">, H., </w:t>
      </w:r>
      <w:proofErr w:type="spellStart"/>
      <w:r w:rsidRPr="007140DD">
        <w:rPr>
          <w:rFonts w:ascii="Arial" w:hAnsi="Arial" w:cs="Arial"/>
          <w:sz w:val="20"/>
          <w:szCs w:val="20"/>
        </w:rPr>
        <w:t>Schaur</w:t>
      </w:r>
      <w:proofErr w:type="spellEnd"/>
      <w:r w:rsidRPr="007140DD">
        <w:rPr>
          <w:rFonts w:ascii="Arial" w:hAnsi="Arial" w:cs="Arial"/>
          <w:sz w:val="20"/>
          <w:szCs w:val="20"/>
        </w:rPr>
        <w:t xml:space="preserve">, R. J., &amp; Zollner, H. (1991). Chemistry and biochemistry of 4-hydroxynonenal, malonaldehyde and related aldehydes. </w:t>
      </w:r>
      <w:r w:rsidRPr="007140DD">
        <w:rPr>
          <w:rStyle w:val="Emphasis"/>
          <w:rFonts w:ascii="Arial" w:hAnsi="Arial" w:cs="Arial"/>
          <w:sz w:val="20"/>
          <w:szCs w:val="20"/>
        </w:rPr>
        <w:t>Free Radical Biology and Medicine</w:t>
      </w:r>
      <w:r w:rsidRPr="007140DD">
        <w:rPr>
          <w:rFonts w:ascii="Arial" w:hAnsi="Arial" w:cs="Arial"/>
          <w:sz w:val="20"/>
          <w:szCs w:val="20"/>
        </w:rPr>
        <w:t xml:space="preserve">, 11(1), 81–128. </w:t>
      </w:r>
      <w:hyperlink r:id="rId51" w:history="1">
        <w:r w:rsidRPr="007140DD">
          <w:rPr>
            <w:rStyle w:val="Hyperlink"/>
            <w:rFonts w:ascii="Arial" w:eastAsiaTheme="majorEastAsia" w:hAnsi="Arial" w:cs="Arial"/>
            <w:color w:val="auto"/>
            <w:sz w:val="20"/>
            <w:szCs w:val="20"/>
          </w:rPr>
          <w:t>https://doi.org/10.1016/0891-5849(91)90192-6</w:t>
        </w:r>
      </w:hyperlink>
      <w:r w:rsidR="001802BD" w:rsidRPr="007140DD">
        <w:rPr>
          <w:rStyle w:val="Hyperlink"/>
          <w:rFonts w:ascii="Arial" w:eastAsiaTheme="majorEastAsia" w:hAnsi="Arial" w:cs="Arial"/>
          <w:color w:val="auto"/>
          <w:sz w:val="20"/>
          <w:szCs w:val="20"/>
        </w:rPr>
        <w:t>.</w:t>
      </w:r>
    </w:p>
    <w:p w14:paraId="2AB5612E" w14:textId="77777777" w:rsidR="001802BD" w:rsidRPr="007140DD" w:rsidRDefault="00540FE7" w:rsidP="00F47360">
      <w:pPr>
        <w:pStyle w:val="ListParagraph"/>
        <w:numPr>
          <w:ilvl w:val="0"/>
          <w:numId w:val="33"/>
        </w:numPr>
        <w:autoSpaceDE w:val="0"/>
        <w:autoSpaceDN w:val="0"/>
        <w:adjustRightInd w:val="0"/>
        <w:rPr>
          <w:rStyle w:val="Hyperlink"/>
          <w:rFonts w:ascii="Arial" w:hAnsi="Arial" w:cs="Arial"/>
          <w:color w:val="auto"/>
          <w:sz w:val="20"/>
          <w:szCs w:val="20"/>
          <w:u w:val="none"/>
        </w:rPr>
      </w:pPr>
      <w:proofErr w:type="spellStart"/>
      <w:r w:rsidRPr="007140DD">
        <w:rPr>
          <w:rFonts w:ascii="Arial" w:hAnsi="Arial" w:cs="Arial"/>
          <w:sz w:val="20"/>
          <w:szCs w:val="20"/>
        </w:rPr>
        <w:t>Gutteridge</w:t>
      </w:r>
      <w:proofErr w:type="spellEnd"/>
      <w:r w:rsidRPr="007140DD">
        <w:rPr>
          <w:rFonts w:ascii="Arial" w:hAnsi="Arial" w:cs="Arial"/>
          <w:sz w:val="20"/>
          <w:szCs w:val="20"/>
        </w:rPr>
        <w:t xml:space="preserve">, J. M. C., &amp; Halliwell, B. (2010). Antioxidants: Molecules, medicines, and myths. </w:t>
      </w:r>
      <w:r w:rsidRPr="007140DD">
        <w:rPr>
          <w:rStyle w:val="Emphasis"/>
          <w:rFonts w:ascii="Arial" w:hAnsi="Arial" w:cs="Arial"/>
          <w:sz w:val="20"/>
          <w:szCs w:val="20"/>
        </w:rPr>
        <w:t>Biochemical and Biophysical Research Communications</w:t>
      </w:r>
      <w:r w:rsidRPr="007140DD">
        <w:rPr>
          <w:rFonts w:ascii="Arial" w:hAnsi="Arial" w:cs="Arial"/>
          <w:sz w:val="20"/>
          <w:szCs w:val="20"/>
        </w:rPr>
        <w:t xml:space="preserve">, 393(4), 561–564. </w:t>
      </w:r>
      <w:hyperlink r:id="rId52" w:history="1">
        <w:r w:rsidRPr="007140DD">
          <w:rPr>
            <w:rStyle w:val="Hyperlink"/>
            <w:rFonts w:ascii="Arial" w:eastAsiaTheme="majorEastAsia" w:hAnsi="Arial" w:cs="Arial"/>
            <w:color w:val="auto"/>
            <w:sz w:val="20"/>
            <w:szCs w:val="20"/>
          </w:rPr>
          <w:t>https://doi.org/10.1016/j.bbrc.2010.02.083</w:t>
        </w:r>
      </w:hyperlink>
      <w:r w:rsidR="001802BD" w:rsidRPr="007140DD">
        <w:rPr>
          <w:rStyle w:val="Hyperlink"/>
          <w:rFonts w:ascii="Arial" w:eastAsiaTheme="majorEastAsia" w:hAnsi="Arial" w:cs="Arial"/>
          <w:color w:val="auto"/>
          <w:sz w:val="20"/>
          <w:szCs w:val="20"/>
        </w:rPr>
        <w:t>.</w:t>
      </w:r>
    </w:p>
    <w:p w14:paraId="493EAD89" w14:textId="77777777" w:rsidR="001802BD" w:rsidRPr="007140DD" w:rsidRDefault="00540FE7" w:rsidP="00F47360">
      <w:pPr>
        <w:pStyle w:val="ListParagraph"/>
        <w:numPr>
          <w:ilvl w:val="0"/>
          <w:numId w:val="33"/>
        </w:numPr>
        <w:autoSpaceDE w:val="0"/>
        <w:autoSpaceDN w:val="0"/>
        <w:adjustRightInd w:val="0"/>
        <w:rPr>
          <w:rStyle w:val="Hyperlink"/>
          <w:rFonts w:ascii="Arial" w:hAnsi="Arial" w:cs="Arial"/>
          <w:color w:val="auto"/>
          <w:sz w:val="20"/>
          <w:szCs w:val="20"/>
          <w:u w:val="none"/>
        </w:rPr>
      </w:pPr>
      <w:proofErr w:type="spellStart"/>
      <w:r w:rsidRPr="007140DD">
        <w:rPr>
          <w:rFonts w:ascii="Arial" w:hAnsi="Arial" w:cs="Arial"/>
          <w:sz w:val="20"/>
          <w:szCs w:val="20"/>
        </w:rPr>
        <w:t>Mozaffarian</w:t>
      </w:r>
      <w:proofErr w:type="spellEnd"/>
      <w:r w:rsidRPr="007140DD">
        <w:rPr>
          <w:rFonts w:ascii="Arial" w:hAnsi="Arial" w:cs="Arial"/>
          <w:sz w:val="20"/>
          <w:szCs w:val="20"/>
        </w:rPr>
        <w:t xml:space="preserve">, D., Micha, R., &amp; Wallace, S. (2010). Effects on coronary heart disease of increasing polyunsaturated fat in place of saturated fat: A systematic review and meta-analysis of randomized controlled trials. </w:t>
      </w:r>
      <w:proofErr w:type="spellStart"/>
      <w:r w:rsidRPr="007140DD">
        <w:rPr>
          <w:rStyle w:val="Emphasis"/>
          <w:rFonts w:ascii="Arial" w:hAnsi="Arial" w:cs="Arial"/>
          <w:sz w:val="20"/>
          <w:szCs w:val="20"/>
        </w:rPr>
        <w:t>PLoS</w:t>
      </w:r>
      <w:proofErr w:type="spellEnd"/>
      <w:r w:rsidRPr="007140DD">
        <w:rPr>
          <w:rStyle w:val="Emphasis"/>
          <w:rFonts w:ascii="Arial" w:hAnsi="Arial" w:cs="Arial"/>
          <w:sz w:val="20"/>
          <w:szCs w:val="20"/>
        </w:rPr>
        <w:t xml:space="preserve"> Medicine</w:t>
      </w:r>
      <w:r w:rsidRPr="007140DD">
        <w:rPr>
          <w:rFonts w:ascii="Arial" w:hAnsi="Arial" w:cs="Arial"/>
          <w:sz w:val="20"/>
          <w:szCs w:val="20"/>
        </w:rPr>
        <w:t xml:space="preserve">, 7(3), e1000252. </w:t>
      </w:r>
      <w:hyperlink r:id="rId53" w:history="1">
        <w:r w:rsidRPr="007140DD">
          <w:rPr>
            <w:rStyle w:val="Hyperlink"/>
            <w:rFonts w:ascii="Arial" w:eastAsiaTheme="majorEastAsia" w:hAnsi="Arial" w:cs="Arial"/>
            <w:color w:val="auto"/>
            <w:sz w:val="20"/>
            <w:szCs w:val="20"/>
          </w:rPr>
          <w:t>https://doi.org/10.1371/journal.pmed.1000252</w:t>
        </w:r>
      </w:hyperlink>
      <w:r w:rsidR="001802BD" w:rsidRPr="007140DD">
        <w:rPr>
          <w:rStyle w:val="Hyperlink"/>
          <w:rFonts w:ascii="Arial" w:eastAsiaTheme="majorEastAsia" w:hAnsi="Arial" w:cs="Arial"/>
          <w:color w:val="auto"/>
          <w:sz w:val="20"/>
          <w:szCs w:val="20"/>
        </w:rPr>
        <w:t>.</w:t>
      </w:r>
    </w:p>
    <w:p w14:paraId="62EFFDC2" w14:textId="77777777" w:rsidR="001802BD" w:rsidRPr="007140DD" w:rsidRDefault="00540FE7" w:rsidP="00F47360">
      <w:pPr>
        <w:pStyle w:val="ListParagraph"/>
        <w:numPr>
          <w:ilvl w:val="0"/>
          <w:numId w:val="33"/>
        </w:numPr>
        <w:autoSpaceDE w:val="0"/>
        <w:autoSpaceDN w:val="0"/>
        <w:adjustRightInd w:val="0"/>
        <w:rPr>
          <w:rStyle w:val="Hyperlink"/>
          <w:rFonts w:ascii="Arial" w:hAnsi="Arial" w:cs="Arial"/>
          <w:color w:val="auto"/>
          <w:sz w:val="20"/>
          <w:szCs w:val="20"/>
          <w:u w:val="none"/>
        </w:rPr>
      </w:pPr>
      <w:proofErr w:type="spellStart"/>
      <w:r w:rsidRPr="007140DD">
        <w:rPr>
          <w:rFonts w:ascii="Arial" w:hAnsi="Arial" w:cs="Arial"/>
          <w:sz w:val="20"/>
          <w:szCs w:val="20"/>
        </w:rPr>
        <w:t>Mozaffarian</w:t>
      </w:r>
      <w:proofErr w:type="spellEnd"/>
      <w:r w:rsidRPr="007140DD">
        <w:rPr>
          <w:rFonts w:ascii="Arial" w:hAnsi="Arial" w:cs="Arial"/>
          <w:sz w:val="20"/>
          <w:szCs w:val="20"/>
        </w:rPr>
        <w:t xml:space="preserve">, D., Fahimi, S., Singh, G. M., Micha, R., </w:t>
      </w:r>
      <w:proofErr w:type="spellStart"/>
      <w:r w:rsidRPr="007140DD">
        <w:rPr>
          <w:rFonts w:ascii="Arial" w:hAnsi="Arial" w:cs="Arial"/>
          <w:sz w:val="20"/>
          <w:szCs w:val="20"/>
        </w:rPr>
        <w:t>Khatibzadeh</w:t>
      </w:r>
      <w:proofErr w:type="spellEnd"/>
      <w:r w:rsidRPr="007140DD">
        <w:rPr>
          <w:rFonts w:ascii="Arial" w:hAnsi="Arial" w:cs="Arial"/>
          <w:sz w:val="20"/>
          <w:szCs w:val="20"/>
        </w:rPr>
        <w:t xml:space="preserve">, S., Engell, R. E., </w:t>
      </w:r>
      <w:r w:rsidR="00EA6878" w:rsidRPr="007140DD">
        <w:rPr>
          <w:rFonts w:ascii="Arial" w:hAnsi="Arial" w:cs="Arial"/>
          <w:sz w:val="20"/>
          <w:szCs w:val="20"/>
        </w:rPr>
        <w:t>et al.</w:t>
      </w:r>
      <w:r w:rsidR="00E411ED" w:rsidRPr="007140DD">
        <w:rPr>
          <w:rFonts w:ascii="Arial" w:hAnsi="Arial" w:cs="Arial"/>
          <w:sz w:val="20"/>
          <w:szCs w:val="20"/>
        </w:rPr>
        <w:t xml:space="preserve"> </w:t>
      </w:r>
      <w:r w:rsidRPr="007140DD">
        <w:rPr>
          <w:rFonts w:ascii="Arial" w:hAnsi="Arial" w:cs="Arial"/>
          <w:sz w:val="20"/>
          <w:szCs w:val="20"/>
        </w:rPr>
        <w:t xml:space="preserve">(2014). Global sodium consumption and death from cardiovascular causes. </w:t>
      </w:r>
      <w:r w:rsidRPr="007140DD">
        <w:rPr>
          <w:rStyle w:val="Emphasis"/>
          <w:rFonts w:ascii="Arial" w:hAnsi="Arial" w:cs="Arial"/>
          <w:sz w:val="20"/>
          <w:szCs w:val="20"/>
        </w:rPr>
        <w:t>New England Journal of Medicine</w:t>
      </w:r>
      <w:r w:rsidRPr="007140DD">
        <w:rPr>
          <w:rFonts w:ascii="Arial" w:hAnsi="Arial" w:cs="Arial"/>
          <w:sz w:val="20"/>
          <w:szCs w:val="20"/>
        </w:rPr>
        <w:t xml:space="preserve">, 371(7), 624–634. </w:t>
      </w:r>
      <w:hyperlink r:id="rId54" w:history="1">
        <w:r w:rsidRPr="007140DD">
          <w:rPr>
            <w:rStyle w:val="Hyperlink"/>
            <w:rFonts w:ascii="Arial" w:hAnsi="Arial" w:cs="Arial"/>
            <w:color w:val="auto"/>
            <w:sz w:val="20"/>
            <w:szCs w:val="20"/>
          </w:rPr>
          <w:t>https://doi.org/10.1056/NEJMoa1304127</w:t>
        </w:r>
      </w:hyperlink>
      <w:r w:rsidR="001802BD" w:rsidRPr="007140DD">
        <w:rPr>
          <w:rStyle w:val="Hyperlink"/>
          <w:rFonts w:ascii="Arial" w:hAnsi="Arial" w:cs="Arial"/>
          <w:color w:val="auto"/>
          <w:sz w:val="20"/>
          <w:szCs w:val="20"/>
        </w:rPr>
        <w:t>.</w:t>
      </w:r>
    </w:p>
    <w:p w14:paraId="51EF968E" w14:textId="77777777" w:rsidR="00DD1EE3" w:rsidRPr="007140DD" w:rsidRDefault="00540FE7" w:rsidP="00F47360">
      <w:pPr>
        <w:pStyle w:val="ListParagraph"/>
        <w:numPr>
          <w:ilvl w:val="0"/>
          <w:numId w:val="33"/>
        </w:numPr>
        <w:autoSpaceDE w:val="0"/>
        <w:autoSpaceDN w:val="0"/>
        <w:adjustRightInd w:val="0"/>
        <w:rPr>
          <w:rStyle w:val="Hyperlink"/>
          <w:rFonts w:ascii="Arial" w:hAnsi="Arial" w:cs="Arial"/>
          <w:color w:val="auto"/>
          <w:sz w:val="20"/>
          <w:szCs w:val="20"/>
          <w:u w:val="none"/>
        </w:rPr>
      </w:pPr>
      <w:r w:rsidRPr="007140DD">
        <w:rPr>
          <w:rFonts w:ascii="Arial" w:hAnsi="Arial" w:cs="Arial"/>
          <w:sz w:val="20"/>
          <w:szCs w:val="20"/>
        </w:rPr>
        <w:t xml:space="preserve">Trumbo, P., Yates, A. A., Schlicker, S., &amp; Poos, M. (2001). Dietary reference intakes: Vitamin A, vitamin K, arsenic, boron, chromium, copper, iodine, iron, manganese, molybdenum, nickel, silicon, vanadium, and zinc. </w:t>
      </w:r>
      <w:r w:rsidRPr="007140DD">
        <w:rPr>
          <w:rStyle w:val="Emphasis"/>
          <w:rFonts w:ascii="Arial" w:hAnsi="Arial" w:cs="Arial"/>
          <w:sz w:val="20"/>
          <w:szCs w:val="20"/>
        </w:rPr>
        <w:t>Journal of the American Dietetic Association</w:t>
      </w:r>
      <w:r w:rsidRPr="007140DD">
        <w:rPr>
          <w:rFonts w:ascii="Arial" w:hAnsi="Arial" w:cs="Arial"/>
          <w:sz w:val="20"/>
          <w:szCs w:val="20"/>
        </w:rPr>
        <w:t xml:space="preserve">, 101(3), 294–301. </w:t>
      </w:r>
      <w:hyperlink r:id="rId55" w:history="1">
        <w:r w:rsidRPr="007140DD">
          <w:rPr>
            <w:rStyle w:val="Hyperlink"/>
            <w:rFonts w:ascii="Arial" w:hAnsi="Arial" w:cs="Arial"/>
            <w:color w:val="auto"/>
            <w:sz w:val="20"/>
            <w:szCs w:val="20"/>
          </w:rPr>
          <w:t>https://doi.org/10.1016/S0002-8223(01)00078-5</w:t>
        </w:r>
      </w:hyperlink>
      <w:r w:rsidRPr="007140DD">
        <w:rPr>
          <w:rStyle w:val="Hyperlink"/>
          <w:rFonts w:ascii="Arial" w:hAnsi="Arial" w:cs="Arial"/>
          <w:color w:val="auto"/>
          <w:sz w:val="20"/>
          <w:szCs w:val="20"/>
        </w:rPr>
        <w:t>.</w:t>
      </w:r>
    </w:p>
    <w:p w14:paraId="0FE93888" w14:textId="77777777" w:rsidR="00DD1EE3" w:rsidRPr="007140DD" w:rsidRDefault="00DD1EE3" w:rsidP="00F47360">
      <w:pPr>
        <w:pStyle w:val="ListParagraph"/>
        <w:numPr>
          <w:ilvl w:val="0"/>
          <w:numId w:val="33"/>
        </w:numPr>
        <w:autoSpaceDE w:val="0"/>
        <w:autoSpaceDN w:val="0"/>
        <w:adjustRightInd w:val="0"/>
        <w:rPr>
          <w:rFonts w:ascii="Arial" w:hAnsi="Arial" w:cs="Arial"/>
          <w:sz w:val="20"/>
          <w:szCs w:val="20"/>
        </w:rPr>
      </w:pPr>
      <w:r w:rsidRPr="007140DD">
        <w:rPr>
          <w:rFonts w:ascii="Arial" w:hAnsi="Arial" w:cs="Arial"/>
          <w:sz w:val="20"/>
          <w:szCs w:val="20"/>
        </w:rPr>
        <w:t xml:space="preserve">Warner, K., &amp; Gupta, M. (2003). Frying quality and stability of low- and ultra-low-linolenic acid soybean oils. </w:t>
      </w:r>
      <w:r w:rsidRPr="007140DD">
        <w:rPr>
          <w:rFonts w:ascii="Arial" w:hAnsi="Arial" w:cs="Arial"/>
          <w:i/>
          <w:iCs/>
          <w:sz w:val="20"/>
          <w:szCs w:val="20"/>
        </w:rPr>
        <w:t>Journal of the American Oil Chemists' Society, 80</w:t>
      </w:r>
      <w:r w:rsidRPr="007140DD">
        <w:rPr>
          <w:rFonts w:ascii="Arial" w:hAnsi="Arial" w:cs="Arial"/>
          <w:sz w:val="20"/>
          <w:szCs w:val="20"/>
        </w:rPr>
        <w:t>(2), 151–155.</w:t>
      </w:r>
    </w:p>
    <w:p w14:paraId="27698338" w14:textId="62F9456C" w:rsidR="00DD1EE3" w:rsidRPr="007140DD" w:rsidRDefault="00DD1EE3"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hAnsi="Arial" w:cs="Arial"/>
          <w:sz w:val="20"/>
          <w:szCs w:val="20"/>
        </w:rPr>
        <w:t>Pillon</w:t>
      </w:r>
      <w:proofErr w:type="spellEnd"/>
      <w:r w:rsidRPr="007140DD">
        <w:rPr>
          <w:rFonts w:ascii="Arial" w:hAnsi="Arial" w:cs="Arial"/>
          <w:sz w:val="20"/>
          <w:szCs w:val="20"/>
        </w:rPr>
        <w:t xml:space="preserve">, N. J., </w:t>
      </w:r>
      <w:proofErr w:type="spellStart"/>
      <w:r w:rsidRPr="007140DD">
        <w:rPr>
          <w:rFonts w:ascii="Arial" w:hAnsi="Arial" w:cs="Arial"/>
          <w:sz w:val="20"/>
          <w:szCs w:val="20"/>
        </w:rPr>
        <w:t>Croze</w:t>
      </w:r>
      <w:proofErr w:type="spellEnd"/>
      <w:r w:rsidRPr="007140DD">
        <w:rPr>
          <w:rFonts w:ascii="Arial" w:hAnsi="Arial" w:cs="Arial"/>
          <w:sz w:val="20"/>
          <w:szCs w:val="20"/>
        </w:rPr>
        <w:t xml:space="preserve">, M. L., Vella, R. E., </w:t>
      </w:r>
      <w:proofErr w:type="spellStart"/>
      <w:r w:rsidRPr="007140DD">
        <w:rPr>
          <w:rFonts w:ascii="Arial" w:hAnsi="Arial" w:cs="Arial"/>
          <w:sz w:val="20"/>
          <w:szCs w:val="20"/>
        </w:rPr>
        <w:t>Soulère</w:t>
      </w:r>
      <w:proofErr w:type="spellEnd"/>
      <w:r w:rsidRPr="007140DD">
        <w:rPr>
          <w:rFonts w:ascii="Arial" w:hAnsi="Arial" w:cs="Arial"/>
          <w:sz w:val="20"/>
          <w:szCs w:val="20"/>
        </w:rPr>
        <w:t xml:space="preserve">, L., Lagarde, M., &amp; </w:t>
      </w:r>
      <w:proofErr w:type="spellStart"/>
      <w:r w:rsidRPr="007140DD">
        <w:rPr>
          <w:rFonts w:ascii="Arial" w:hAnsi="Arial" w:cs="Arial"/>
          <w:sz w:val="20"/>
          <w:szCs w:val="20"/>
        </w:rPr>
        <w:t>Soulage</w:t>
      </w:r>
      <w:proofErr w:type="spellEnd"/>
      <w:r w:rsidRPr="007140DD">
        <w:rPr>
          <w:rFonts w:ascii="Arial" w:hAnsi="Arial" w:cs="Arial"/>
          <w:sz w:val="20"/>
          <w:szCs w:val="20"/>
        </w:rPr>
        <w:t xml:space="preserve">, C. O. (2012). The lipid peroxidation by-product 4-hydroxy-2-nonenal (4-HNE) induces insulin resistance in skeletal muscle through both carbonyl and oxidative stress. </w:t>
      </w:r>
      <w:r w:rsidRPr="007140DD">
        <w:rPr>
          <w:rFonts w:ascii="Arial" w:hAnsi="Arial" w:cs="Arial"/>
          <w:i/>
          <w:iCs/>
          <w:sz w:val="20"/>
          <w:szCs w:val="20"/>
        </w:rPr>
        <w:t>Endocrinology, 153</w:t>
      </w:r>
      <w:r w:rsidRPr="007140DD">
        <w:rPr>
          <w:rFonts w:ascii="Arial" w:hAnsi="Arial" w:cs="Arial"/>
          <w:sz w:val="20"/>
          <w:szCs w:val="20"/>
        </w:rPr>
        <w:t>(5), 2099–2111.</w:t>
      </w:r>
    </w:p>
    <w:p w14:paraId="72898339" w14:textId="77777777" w:rsidR="00AA4BF2" w:rsidRPr="007140DD" w:rsidRDefault="00AA4BF2" w:rsidP="00F47360">
      <w:pPr>
        <w:pStyle w:val="ListParagraph"/>
        <w:numPr>
          <w:ilvl w:val="0"/>
          <w:numId w:val="33"/>
        </w:numPr>
        <w:spacing w:before="100" w:beforeAutospacing="1" w:after="100" w:afterAutospacing="1"/>
        <w:rPr>
          <w:rFonts w:ascii="Arial" w:hAnsi="Arial" w:cs="Arial"/>
          <w:sz w:val="20"/>
          <w:szCs w:val="20"/>
        </w:rPr>
      </w:pPr>
      <w:proofErr w:type="spellStart"/>
      <w:r w:rsidRPr="007140DD">
        <w:rPr>
          <w:rFonts w:ascii="Arial" w:hAnsi="Arial" w:cs="Arial"/>
          <w:sz w:val="20"/>
          <w:szCs w:val="20"/>
        </w:rPr>
        <w:lastRenderedPageBreak/>
        <w:t>Mohdaly</w:t>
      </w:r>
      <w:proofErr w:type="spellEnd"/>
      <w:r w:rsidRPr="007140DD">
        <w:rPr>
          <w:rFonts w:ascii="Arial" w:hAnsi="Arial" w:cs="Arial"/>
          <w:sz w:val="20"/>
          <w:szCs w:val="20"/>
        </w:rPr>
        <w:t xml:space="preserve">, A. A. A., </w:t>
      </w:r>
      <w:proofErr w:type="spellStart"/>
      <w:r w:rsidRPr="007140DD">
        <w:rPr>
          <w:rFonts w:ascii="Arial" w:hAnsi="Arial" w:cs="Arial"/>
          <w:sz w:val="20"/>
          <w:szCs w:val="20"/>
        </w:rPr>
        <w:t>Smetanska</w:t>
      </w:r>
      <w:proofErr w:type="spellEnd"/>
      <w:r w:rsidRPr="007140DD">
        <w:rPr>
          <w:rFonts w:ascii="Arial" w:hAnsi="Arial" w:cs="Arial"/>
          <w:sz w:val="20"/>
          <w:szCs w:val="20"/>
        </w:rPr>
        <w:t xml:space="preserve">, I., Ramadan, M. F., </w:t>
      </w:r>
      <w:proofErr w:type="spellStart"/>
      <w:r w:rsidRPr="007140DD">
        <w:rPr>
          <w:rFonts w:ascii="Arial" w:hAnsi="Arial" w:cs="Arial"/>
          <w:sz w:val="20"/>
          <w:szCs w:val="20"/>
        </w:rPr>
        <w:t>Sarhan</w:t>
      </w:r>
      <w:proofErr w:type="spellEnd"/>
      <w:r w:rsidRPr="007140DD">
        <w:rPr>
          <w:rFonts w:ascii="Arial" w:hAnsi="Arial" w:cs="Arial"/>
          <w:sz w:val="20"/>
          <w:szCs w:val="20"/>
        </w:rPr>
        <w:t xml:space="preserve">, M. A., &amp; Mahmoud, A. (2010). Antioxidant potential of sesame cake extract in vegetable oil. </w:t>
      </w:r>
      <w:r w:rsidRPr="007140DD">
        <w:rPr>
          <w:rFonts w:ascii="Arial" w:hAnsi="Arial" w:cs="Arial"/>
          <w:i/>
          <w:iCs/>
          <w:sz w:val="20"/>
          <w:szCs w:val="20"/>
        </w:rPr>
        <w:t>Food Chemistry, 122</w:t>
      </w:r>
      <w:r w:rsidRPr="007140DD">
        <w:rPr>
          <w:rFonts w:ascii="Arial" w:hAnsi="Arial" w:cs="Arial"/>
          <w:sz w:val="20"/>
          <w:szCs w:val="20"/>
        </w:rPr>
        <w:t>(3), 595–602.</w:t>
      </w:r>
    </w:p>
    <w:p w14:paraId="2DD2C9C4" w14:textId="03C33A89" w:rsidR="007578A1" w:rsidRPr="007140DD" w:rsidRDefault="007578A1" w:rsidP="00F47360">
      <w:pPr>
        <w:pStyle w:val="ListParagraph"/>
        <w:numPr>
          <w:ilvl w:val="0"/>
          <w:numId w:val="33"/>
        </w:numPr>
        <w:spacing w:before="100" w:beforeAutospacing="1" w:after="100" w:afterAutospacing="1"/>
        <w:rPr>
          <w:rFonts w:ascii="Arial" w:eastAsia="Times New Roman" w:hAnsi="Arial" w:cs="Arial"/>
          <w:sz w:val="20"/>
          <w:szCs w:val="20"/>
        </w:rPr>
      </w:pPr>
      <w:r w:rsidRPr="007140DD">
        <w:rPr>
          <w:rFonts w:ascii="Arial" w:hAnsi="Arial" w:cs="Arial"/>
          <w:sz w:val="20"/>
          <w:szCs w:val="20"/>
        </w:rPr>
        <w:t xml:space="preserve">Ayala, A., Muñoz, M. F., &amp; Argüelles, S. (2014). Lipid peroxidation: Production, metabolism, and signaling mechanisms of malondialdehyde and 4-hydroxy-2-nonenal. </w:t>
      </w:r>
      <w:r w:rsidRPr="007140DD">
        <w:rPr>
          <w:rStyle w:val="Emphasis"/>
          <w:rFonts w:ascii="Arial" w:hAnsi="Arial" w:cs="Arial"/>
          <w:sz w:val="20"/>
          <w:szCs w:val="20"/>
        </w:rPr>
        <w:t>Oxidative Medicine and Cellular Longevity, 2014</w:t>
      </w:r>
      <w:r w:rsidRPr="007140DD">
        <w:rPr>
          <w:rFonts w:ascii="Arial" w:hAnsi="Arial" w:cs="Arial"/>
          <w:sz w:val="20"/>
          <w:szCs w:val="20"/>
        </w:rPr>
        <w:t>, 1–31. https://doi.org/10.1155/2014/360438.</w:t>
      </w:r>
    </w:p>
    <w:p w14:paraId="51892F8A" w14:textId="25E7CEF2" w:rsidR="00DD1EE3" w:rsidRPr="007140DD" w:rsidRDefault="005D3C7E" w:rsidP="00F47360">
      <w:pPr>
        <w:pStyle w:val="ListParagraph"/>
        <w:numPr>
          <w:ilvl w:val="0"/>
          <w:numId w:val="33"/>
        </w:numPr>
        <w:autoSpaceDE w:val="0"/>
        <w:autoSpaceDN w:val="0"/>
        <w:adjustRightInd w:val="0"/>
        <w:rPr>
          <w:rFonts w:ascii="Arial" w:hAnsi="Arial" w:cs="Arial"/>
          <w:sz w:val="20"/>
          <w:szCs w:val="20"/>
        </w:rPr>
      </w:pPr>
      <w:r w:rsidRPr="007140DD">
        <w:rPr>
          <w:rFonts w:ascii="Arial" w:eastAsia="Times New Roman" w:hAnsi="Arial" w:cs="Arial"/>
          <w:sz w:val="20"/>
          <w:szCs w:val="20"/>
        </w:rPr>
        <w:t>Siri-</w:t>
      </w:r>
      <w:proofErr w:type="spellStart"/>
      <w:r w:rsidRPr="007140DD">
        <w:rPr>
          <w:rFonts w:ascii="Arial" w:eastAsia="Times New Roman" w:hAnsi="Arial" w:cs="Arial"/>
          <w:sz w:val="20"/>
          <w:szCs w:val="20"/>
        </w:rPr>
        <w:t>Tarino</w:t>
      </w:r>
      <w:proofErr w:type="spellEnd"/>
      <w:r w:rsidRPr="007140DD">
        <w:rPr>
          <w:rFonts w:ascii="Arial" w:eastAsia="Times New Roman" w:hAnsi="Arial" w:cs="Arial"/>
          <w:sz w:val="20"/>
          <w:szCs w:val="20"/>
        </w:rPr>
        <w:t xml:space="preserve">, P. W., Sun, Q., Hu, F. B., &amp; Krauss, R. M. (2010). Meta-analysis of saturated fat and heart disease. </w:t>
      </w:r>
      <w:r w:rsidRPr="007140DD">
        <w:rPr>
          <w:rFonts w:ascii="Arial" w:eastAsia="Times New Roman" w:hAnsi="Arial" w:cs="Arial"/>
          <w:i/>
          <w:iCs/>
          <w:sz w:val="20"/>
          <w:szCs w:val="20"/>
        </w:rPr>
        <w:t>American Journal of Clinical Nutrition, 91</w:t>
      </w:r>
      <w:r w:rsidRPr="007140DD">
        <w:rPr>
          <w:rFonts w:ascii="Arial" w:eastAsia="Times New Roman" w:hAnsi="Arial" w:cs="Arial"/>
          <w:sz w:val="20"/>
          <w:szCs w:val="20"/>
        </w:rPr>
        <w:t>(3), 535–546.</w:t>
      </w:r>
    </w:p>
    <w:p w14:paraId="48FAEEA8" w14:textId="70239B96" w:rsidR="005D3C7E" w:rsidRPr="007140DD" w:rsidRDefault="005D3C7E" w:rsidP="00F47360">
      <w:pPr>
        <w:pStyle w:val="ListParagraph"/>
        <w:numPr>
          <w:ilvl w:val="0"/>
          <w:numId w:val="33"/>
        </w:numPr>
        <w:autoSpaceDE w:val="0"/>
        <w:autoSpaceDN w:val="0"/>
        <w:adjustRightInd w:val="0"/>
        <w:rPr>
          <w:rFonts w:ascii="Arial" w:hAnsi="Arial" w:cs="Arial"/>
          <w:sz w:val="20"/>
          <w:szCs w:val="20"/>
        </w:rPr>
      </w:pPr>
      <w:proofErr w:type="spellStart"/>
      <w:r w:rsidRPr="007140DD">
        <w:rPr>
          <w:rFonts w:ascii="Arial" w:eastAsia="Times New Roman" w:hAnsi="Arial" w:cs="Arial"/>
          <w:sz w:val="20"/>
          <w:szCs w:val="20"/>
        </w:rPr>
        <w:t>Adepoju</w:t>
      </w:r>
      <w:proofErr w:type="spellEnd"/>
      <w:r w:rsidRPr="007140DD">
        <w:rPr>
          <w:rFonts w:ascii="Arial" w:eastAsia="Times New Roman" w:hAnsi="Arial" w:cs="Arial"/>
          <w:sz w:val="20"/>
          <w:szCs w:val="20"/>
        </w:rPr>
        <w:t xml:space="preserve">, O. T., </w:t>
      </w:r>
      <w:proofErr w:type="spellStart"/>
      <w:r w:rsidRPr="007140DD">
        <w:rPr>
          <w:rFonts w:ascii="Arial" w:eastAsia="Times New Roman" w:hAnsi="Arial" w:cs="Arial"/>
          <w:sz w:val="20"/>
          <w:szCs w:val="20"/>
        </w:rPr>
        <w:t>Omotayo</w:t>
      </w:r>
      <w:proofErr w:type="spellEnd"/>
      <w:r w:rsidRPr="007140DD">
        <w:rPr>
          <w:rFonts w:ascii="Arial" w:eastAsia="Times New Roman" w:hAnsi="Arial" w:cs="Arial"/>
          <w:sz w:val="20"/>
          <w:szCs w:val="20"/>
        </w:rPr>
        <w:t xml:space="preserve">, F. O., &amp; </w:t>
      </w:r>
      <w:proofErr w:type="spellStart"/>
      <w:r w:rsidRPr="007140DD">
        <w:rPr>
          <w:rFonts w:ascii="Arial" w:eastAsia="Times New Roman" w:hAnsi="Arial" w:cs="Arial"/>
          <w:sz w:val="20"/>
          <w:szCs w:val="20"/>
        </w:rPr>
        <w:t>Oyedokun</w:t>
      </w:r>
      <w:proofErr w:type="spellEnd"/>
      <w:r w:rsidRPr="007140DD">
        <w:rPr>
          <w:rFonts w:ascii="Arial" w:eastAsia="Times New Roman" w:hAnsi="Arial" w:cs="Arial"/>
          <w:sz w:val="20"/>
          <w:szCs w:val="20"/>
        </w:rPr>
        <w:t xml:space="preserve">, O. M. (2012). Mineral composition and phytochemical constituents of some underutilized green leafy vegetables in South-Western Nigeria. </w:t>
      </w:r>
      <w:r w:rsidRPr="007140DD">
        <w:rPr>
          <w:rFonts w:ascii="Arial" w:eastAsia="Times New Roman" w:hAnsi="Arial" w:cs="Arial"/>
          <w:i/>
          <w:iCs/>
          <w:sz w:val="20"/>
          <w:szCs w:val="20"/>
        </w:rPr>
        <w:t>African Journal of Biomedical Research, 15</w:t>
      </w:r>
      <w:r w:rsidRPr="007140DD">
        <w:rPr>
          <w:rFonts w:ascii="Arial" w:eastAsia="Times New Roman" w:hAnsi="Arial" w:cs="Arial"/>
          <w:sz w:val="20"/>
          <w:szCs w:val="20"/>
        </w:rPr>
        <w:t>(3), 179–183.</w:t>
      </w:r>
    </w:p>
    <w:p w14:paraId="35F4DE8D" w14:textId="77777777" w:rsidR="005D3C7E" w:rsidRPr="007140DD" w:rsidRDefault="005D3C7E" w:rsidP="00F47360">
      <w:pPr>
        <w:pStyle w:val="ListParagraph"/>
        <w:numPr>
          <w:ilvl w:val="0"/>
          <w:numId w:val="33"/>
        </w:numPr>
        <w:spacing w:before="100" w:beforeAutospacing="1" w:after="100" w:afterAutospacing="1"/>
        <w:rPr>
          <w:rFonts w:ascii="Arial" w:hAnsi="Arial" w:cs="Arial"/>
          <w:sz w:val="20"/>
          <w:szCs w:val="20"/>
        </w:rPr>
      </w:pPr>
      <w:r w:rsidRPr="007140DD">
        <w:rPr>
          <w:rFonts w:ascii="Arial" w:hAnsi="Arial" w:cs="Arial"/>
          <w:sz w:val="20"/>
          <w:szCs w:val="20"/>
        </w:rPr>
        <w:t xml:space="preserve">Ofori, H., &amp; Henshaw, F. O. (2017). Characterization of traditional and industrial palm oils from five major oil-producing states in Nigeria. </w:t>
      </w:r>
      <w:r w:rsidRPr="007140DD">
        <w:rPr>
          <w:rFonts w:ascii="Arial" w:hAnsi="Arial" w:cs="Arial"/>
          <w:i/>
          <w:iCs/>
          <w:sz w:val="20"/>
          <w:szCs w:val="20"/>
        </w:rPr>
        <w:t>Food Research</w:t>
      </w:r>
      <w:r w:rsidRPr="007140DD">
        <w:rPr>
          <w:rFonts w:ascii="Arial" w:hAnsi="Arial" w:cs="Arial"/>
          <w:sz w:val="20"/>
          <w:szCs w:val="20"/>
        </w:rPr>
        <w:t>, 1(5), 360–365.</w:t>
      </w:r>
    </w:p>
    <w:p w14:paraId="2114CC78" w14:textId="0FA73B41" w:rsidR="005D3C7E" w:rsidRPr="007140DD" w:rsidRDefault="005D3C7E" w:rsidP="00F47360">
      <w:pPr>
        <w:pStyle w:val="ListParagraph"/>
        <w:numPr>
          <w:ilvl w:val="0"/>
          <w:numId w:val="33"/>
        </w:numPr>
        <w:autoSpaceDE w:val="0"/>
        <w:autoSpaceDN w:val="0"/>
        <w:adjustRightInd w:val="0"/>
        <w:rPr>
          <w:rFonts w:ascii="Arial" w:hAnsi="Arial" w:cs="Arial"/>
          <w:sz w:val="20"/>
          <w:szCs w:val="20"/>
        </w:rPr>
      </w:pPr>
      <w:r w:rsidRPr="007140DD">
        <w:rPr>
          <w:rFonts w:ascii="Arial" w:eastAsia="Times New Roman" w:hAnsi="Arial" w:cs="Arial"/>
          <w:sz w:val="20"/>
          <w:szCs w:val="20"/>
        </w:rPr>
        <w:t xml:space="preserve">World Health Organization (WHO). (2021). </w:t>
      </w:r>
      <w:r w:rsidRPr="007140DD">
        <w:rPr>
          <w:rFonts w:ascii="Arial" w:eastAsia="Times New Roman" w:hAnsi="Arial" w:cs="Arial"/>
          <w:i/>
          <w:iCs/>
          <w:sz w:val="20"/>
          <w:szCs w:val="20"/>
        </w:rPr>
        <w:t>Sodium intake for adults and children: Guideline</w:t>
      </w:r>
      <w:r w:rsidRPr="007140DD">
        <w:rPr>
          <w:rFonts w:ascii="Arial" w:eastAsia="Times New Roman" w:hAnsi="Arial" w:cs="Arial"/>
          <w:sz w:val="20"/>
          <w:szCs w:val="20"/>
        </w:rPr>
        <w:t xml:space="preserve">. </w:t>
      </w:r>
      <w:hyperlink r:id="rId56" w:tgtFrame="_new" w:history="1">
        <w:r w:rsidRPr="007140DD">
          <w:rPr>
            <w:rFonts w:ascii="Arial" w:eastAsia="Times New Roman" w:hAnsi="Arial" w:cs="Arial"/>
            <w:sz w:val="20"/>
            <w:szCs w:val="20"/>
            <w:u w:val="single"/>
          </w:rPr>
          <w:t>https://www.who.int/publications/i/item/9789241504836</w:t>
        </w:r>
      </w:hyperlink>
      <w:r w:rsidRPr="007140DD">
        <w:rPr>
          <w:rFonts w:ascii="Arial" w:eastAsia="Times New Roman" w:hAnsi="Arial" w:cs="Arial"/>
          <w:sz w:val="20"/>
          <w:szCs w:val="20"/>
          <w:u w:val="single"/>
        </w:rPr>
        <w:t>.</w:t>
      </w:r>
    </w:p>
    <w:p w14:paraId="0B137877" w14:textId="77777777" w:rsidR="005D3C7E" w:rsidRPr="007140DD" w:rsidRDefault="005D3C7E" w:rsidP="00F47360">
      <w:pPr>
        <w:pStyle w:val="ListParagraph"/>
        <w:numPr>
          <w:ilvl w:val="0"/>
          <w:numId w:val="33"/>
        </w:numPr>
        <w:spacing w:before="100" w:beforeAutospacing="1" w:after="100" w:afterAutospacing="1"/>
        <w:rPr>
          <w:rFonts w:ascii="Arial" w:hAnsi="Arial" w:cs="Arial"/>
          <w:sz w:val="20"/>
          <w:szCs w:val="20"/>
        </w:rPr>
      </w:pPr>
      <w:r w:rsidRPr="007140DD">
        <w:rPr>
          <w:rFonts w:ascii="Arial" w:hAnsi="Arial" w:cs="Arial"/>
          <w:sz w:val="20"/>
          <w:szCs w:val="20"/>
        </w:rPr>
        <w:t xml:space="preserve">Calvo, M. S., &amp; </w:t>
      </w:r>
      <w:proofErr w:type="spellStart"/>
      <w:r w:rsidRPr="007140DD">
        <w:rPr>
          <w:rFonts w:ascii="Arial" w:hAnsi="Arial" w:cs="Arial"/>
          <w:sz w:val="20"/>
          <w:szCs w:val="20"/>
        </w:rPr>
        <w:t>Uribarri</w:t>
      </w:r>
      <w:proofErr w:type="spellEnd"/>
      <w:r w:rsidRPr="007140DD">
        <w:rPr>
          <w:rFonts w:ascii="Arial" w:hAnsi="Arial" w:cs="Arial"/>
          <w:sz w:val="20"/>
          <w:szCs w:val="20"/>
        </w:rPr>
        <w:t xml:space="preserve">, J. (2013). Public health impact of dietary phosphorus excess. </w:t>
      </w:r>
      <w:r w:rsidRPr="007140DD">
        <w:rPr>
          <w:rFonts w:ascii="Arial" w:hAnsi="Arial" w:cs="Arial"/>
          <w:i/>
          <w:iCs/>
          <w:sz w:val="20"/>
          <w:szCs w:val="20"/>
        </w:rPr>
        <w:t>American Journal of Clinical Nutrition, 98</w:t>
      </w:r>
      <w:r w:rsidRPr="007140DD">
        <w:rPr>
          <w:rFonts w:ascii="Arial" w:hAnsi="Arial" w:cs="Arial"/>
          <w:sz w:val="20"/>
          <w:szCs w:val="20"/>
        </w:rPr>
        <w:t>(1), 6–15.</w:t>
      </w:r>
    </w:p>
    <w:p w14:paraId="6D506A80" w14:textId="77777777" w:rsidR="005D3C7E" w:rsidRPr="007140DD" w:rsidRDefault="005D3C7E" w:rsidP="00F47360">
      <w:pPr>
        <w:pStyle w:val="ListParagraph"/>
        <w:numPr>
          <w:ilvl w:val="0"/>
          <w:numId w:val="33"/>
        </w:numPr>
        <w:spacing w:before="100" w:beforeAutospacing="1" w:after="100" w:afterAutospacing="1"/>
        <w:rPr>
          <w:rFonts w:ascii="Arial" w:hAnsi="Arial" w:cs="Arial"/>
          <w:sz w:val="20"/>
          <w:szCs w:val="20"/>
        </w:rPr>
      </w:pPr>
      <w:r w:rsidRPr="007140DD">
        <w:rPr>
          <w:rFonts w:ascii="Arial" w:hAnsi="Arial" w:cs="Arial"/>
          <w:sz w:val="20"/>
          <w:szCs w:val="20"/>
        </w:rPr>
        <w:t xml:space="preserve">National Institutes of Health (NIH). (2020). </w:t>
      </w:r>
      <w:r w:rsidRPr="007140DD">
        <w:rPr>
          <w:rFonts w:ascii="Arial" w:hAnsi="Arial" w:cs="Arial"/>
          <w:i/>
          <w:iCs/>
          <w:sz w:val="20"/>
          <w:szCs w:val="20"/>
        </w:rPr>
        <w:t>Phosphorus: Fact Sheet for Health Professionals</w:t>
      </w:r>
      <w:r w:rsidRPr="007140DD">
        <w:rPr>
          <w:rFonts w:ascii="Arial" w:hAnsi="Arial" w:cs="Arial"/>
          <w:sz w:val="20"/>
          <w:szCs w:val="20"/>
        </w:rPr>
        <w:t xml:space="preserve">. </w:t>
      </w:r>
      <w:hyperlink r:id="rId57" w:tgtFrame="_new" w:history="1">
        <w:r w:rsidRPr="007140DD">
          <w:rPr>
            <w:rFonts w:ascii="Arial" w:hAnsi="Arial" w:cs="Arial"/>
            <w:sz w:val="20"/>
            <w:szCs w:val="20"/>
            <w:u w:val="single"/>
          </w:rPr>
          <w:t>https://ods.od.nih.gov/factsheets/Phosphorus-HealthProfessional/</w:t>
        </w:r>
      </w:hyperlink>
    </w:p>
    <w:p w14:paraId="15A48E09" w14:textId="77777777" w:rsidR="005D3C7E" w:rsidRPr="007140DD" w:rsidRDefault="005D3C7E" w:rsidP="00F47360">
      <w:pPr>
        <w:pStyle w:val="ListParagraph"/>
        <w:numPr>
          <w:ilvl w:val="0"/>
          <w:numId w:val="33"/>
        </w:numPr>
        <w:spacing w:before="100" w:beforeAutospacing="1" w:after="100" w:afterAutospacing="1"/>
        <w:rPr>
          <w:rFonts w:ascii="Arial" w:hAnsi="Arial" w:cs="Arial"/>
          <w:sz w:val="20"/>
          <w:szCs w:val="20"/>
        </w:rPr>
      </w:pPr>
      <w:r w:rsidRPr="007140DD">
        <w:rPr>
          <w:rFonts w:ascii="Arial" w:hAnsi="Arial" w:cs="Arial"/>
          <w:sz w:val="20"/>
          <w:szCs w:val="20"/>
        </w:rPr>
        <w:t xml:space="preserve">Matsumoto, T., Takahashi, Y., </w:t>
      </w:r>
      <w:proofErr w:type="spellStart"/>
      <w:r w:rsidRPr="007140DD">
        <w:rPr>
          <w:rFonts w:ascii="Arial" w:hAnsi="Arial" w:cs="Arial"/>
          <w:sz w:val="20"/>
          <w:szCs w:val="20"/>
        </w:rPr>
        <w:t>Ohya</w:t>
      </w:r>
      <w:proofErr w:type="spellEnd"/>
      <w:r w:rsidRPr="007140DD">
        <w:rPr>
          <w:rFonts w:ascii="Arial" w:hAnsi="Arial" w:cs="Arial"/>
          <w:sz w:val="20"/>
          <w:szCs w:val="20"/>
        </w:rPr>
        <w:t xml:space="preserve">, K., &amp; Ando, K. (2012). Bone mineralization and calcium metabolism. </w:t>
      </w:r>
      <w:r w:rsidRPr="007140DD">
        <w:rPr>
          <w:rFonts w:ascii="Arial" w:hAnsi="Arial" w:cs="Arial"/>
          <w:i/>
          <w:iCs/>
          <w:sz w:val="20"/>
          <w:szCs w:val="20"/>
        </w:rPr>
        <w:t>Clinical Calcium</w:t>
      </w:r>
      <w:r w:rsidRPr="007140DD">
        <w:rPr>
          <w:rFonts w:ascii="Arial" w:hAnsi="Arial" w:cs="Arial"/>
          <w:sz w:val="20"/>
          <w:szCs w:val="20"/>
        </w:rPr>
        <w:t>, 22(10), 1451–1457.</w:t>
      </w:r>
    </w:p>
    <w:p w14:paraId="1D98D441" w14:textId="77777777" w:rsidR="005D3C7E" w:rsidRPr="007140DD" w:rsidRDefault="005D3C7E" w:rsidP="005D3C7E">
      <w:pPr>
        <w:pStyle w:val="ListParagraph"/>
        <w:autoSpaceDE w:val="0"/>
        <w:autoSpaceDN w:val="0"/>
        <w:adjustRightInd w:val="0"/>
        <w:jc w:val="both"/>
        <w:rPr>
          <w:rFonts w:ascii="Arial" w:hAnsi="Arial" w:cs="Arial"/>
        </w:rPr>
      </w:pPr>
    </w:p>
    <w:sectPr w:rsidR="005D3C7E" w:rsidRPr="007140DD" w:rsidSect="0053059E">
      <w:headerReference w:type="even" r:id="rId58"/>
      <w:headerReference w:type="default" r:id="rId59"/>
      <w:footerReference w:type="default" r:id="rId60"/>
      <w:headerReference w:type="first" r:id="rId6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51601" w14:textId="77777777" w:rsidR="007F1D4F" w:rsidRDefault="007F1D4F" w:rsidP="00C37E61">
      <w:r>
        <w:separator/>
      </w:r>
    </w:p>
  </w:endnote>
  <w:endnote w:type="continuationSeparator" w:id="0">
    <w:p w14:paraId="10E6B1D3" w14:textId="77777777" w:rsidR="007F1D4F" w:rsidRDefault="007F1D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dvTime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D45E" w14:textId="77777777" w:rsidR="00AC0D52" w:rsidRDefault="00AC0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E16B" w14:textId="77777777" w:rsidR="00AC0D52" w:rsidRDefault="00AC0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7BCE" w14:textId="5DD8E089" w:rsidR="00AC0D52" w:rsidRPr="0053059E" w:rsidRDefault="00AC0D52" w:rsidP="005305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9653" w14:textId="77777777" w:rsidR="00AC0D52" w:rsidRPr="00C37E61" w:rsidRDefault="00AC0D5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C30F" w14:textId="77777777" w:rsidR="007F1D4F" w:rsidRDefault="007F1D4F" w:rsidP="00C37E61">
      <w:r>
        <w:separator/>
      </w:r>
    </w:p>
  </w:footnote>
  <w:footnote w:type="continuationSeparator" w:id="0">
    <w:p w14:paraId="2948AEB0" w14:textId="77777777" w:rsidR="007F1D4F" w:rsidRDefault="007F1D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F27F" w14:textId="01B8F0AD" w:rsidR="00AC0D52" w:rsidRDefault="007F1D4F">
    <w:pPr>
      <w:pStyle w:val="Header"/>
    </w:pPr>
    <w:r>
      <w:rPr>
        <w:noProof/>
      </w:rPr>
      <w:pict w14:anchorId="5639C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1924D" w14:textId="5A670F6A" w:rsidR="00AC0D52" w:rsidRDefault="007F1D4F">
    <w:pPr>
      <w:pStyle w:val="Header"/>
    </w:pPr>
    <w:r>
      <w:rPr>
        <w:noProof/>
      </w:rPr>
      <w:pict w14:anchorId="03D9E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C5055" w14:textId="268F2279" w:rsidR="00AC0D52" w:rsidRPr="00296529" w:rsidRDefault="007F1D4F" w:rsidP="00296529">
    <w:pPr>
      <w:ind w:left="2160"/>
      <w:jc w:val="center"/>
      <w:rPr>
        <w:rFonts w:ascii="Times New Roman" w:eastAsia="Calibri" w:hAnsi="Times New Roman"/>
        <w:i/>
        <w:sz w:val="18"/>
        <w:szCs w:val="22"/>
      </w:rPr>
    </w:pPr>
    <w:r>
      <w:rPr>
        <w:noProof/>
      </w:rPr>
      <w:pict w14:anchorId="49679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B2ABC6" w14:textId="77777777" w:rsidR="00AC0D52" w:rsidRPr="00296529" w:rsidRDefault="00AC0D5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974B9D4" w14:textId="77777777" w:rsidR="00AC0D52" w:rsidRPr="00296529" w:rsidRDefault="00AC0D5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09A6E5" w14:textId="77777777" w:rsidR="00AC0D52" w:rsidRPr="00296529" w:rsidRDefault="00AC0D5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5497D4" w14:textId="77777777" w:rsidR="00AC0D52" w:rsidRDefault="00AC0D5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51646D" w14:textId="77777777" w:rsidR="00AC0D52" w:rsidRDefault="00AC0D5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0867D39" w14:textId="77777777" w:rsidR="00AC0D52" w:rsidRDefault="00AC0D5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CDBB" w14:textId="4F334C09" w:rsidR="00AC0D52" w:rsidRDefault="007F1D4F">
    <w:pPr>
      <w:pStyle w:val="Header"/>
    </w:pPr>
    <w:r>
      <w:rPr>
        <w:noProof/>
      </w:rPr>
      <w:pict w14:anchorId="2BB16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083B" w14:textId="21141247" w:rsidR="00AC0D52" w:rsidRDefault="007F1D4F">
    <w:pPr>
      <w:pStyle w:val="Header"/>
    </w:pPr>
    <w:r>
      <w:rPr>
        <w:noProof/>
      </w:rPr>
      <w:pict w14:anchorId="38D01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EF6B" w14:textId="2091F7A8" w:rsidR="00AC0D52" w:rsidRDefault="007F1D4F">
    <w:pPr>
      <w:pStyle w:val="Header"/>
    </w:pPr>
    <w:r>
      <w:rPr>
        <w:noProof/>
      </w:rPr>
      <w:pict w14:anchorId="594AA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1778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D17BF8"/>
    <w:multiLevelType w:val="hybridMultilevel"/>
    <w:tmpl w:val="F24C08E6"/>
    <w:lvl w:ilvl="0" w:tplc="ADA293C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9C76A4"/>
    <w:multiLevelType w:val="hybridMultilevel"/>
    <w:tmpl w:val="0DDA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0901CB1"/>
    <w:multiLevelType w:val="multilevel"/>
    <w:tmpl w:val="C502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DB3141A"/>
    <w:multiLevelType w:val="multilevel"/>
    <w:tmpl w:val="A91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C0EEF"/>
    <w:multiLevelType w:val="hybridMultilevel"/>
    <w:tmpl w:val="E780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1F244E3"/>
    <w:multiLevelType w:val="multilevel"/>
    <w:tmpl w:val="E2CA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D45BD"/>
    <w:multiLevelType w:val="multilevel"/>
    <w:tmpl w:val="4802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32"/>
  </w:num>
  <w:num w:numId="10">
    <w:abstractNumId w:val="2"/>
  </w:num>
  <w:num w:numId="11">
    <w:abstractNumId w:val="25"/>
  </w:num>
  <w:num w:numId="12">
    <w:abstractNumId w:val="3"/>
  </w:num>
  <w:num w:numId="13">
    <w:abstractNumId w:val="22"/>
  </w:num>
  <w:num w:numId="14">
    <w:abstractNumId w:val="10"/>
  </w:num>
  <w:num w:numId="15">
    <w:abstractNumId w:val="28"/>
  </w:num>
  <w:num w:numId="16">
    <w:abstractNumId w:val="5"/>
  </w:num>
  <w:num w:numId="17">
    <w:abstractNumId w:val="29"/>
  </w:num>
  <w:num w:numId="18">
    <w:abstractNumId w:val="16"/>
  </w:num>
  <w:num w:numId="19">
    <w:abstractNumId w:val="35"/>
  </w:num>
  <w:num w:numId="20">
    <w:abstractNumId w:val="13"/>
  </w:num>
  <w:num w:numId="21">
    <w:abstractNumId w:val="11"/>
  </w:num>
  <w:num w:numId="22">
    <w:abstractNumId w:val="15"/>
  </w:num>
  <w:num w:numId="23">
    <w:abstractNumId w:val="26"/>
  </w:num>
  <w:num w:numId="24">
    <w:abstractNumId w:val="33"/>
  </w:num>
  <w:num w:numId="25">
    <w:abstractNumId w:val="4"/>
  </w:num>
  <w:num w:numId="26">
    <w:abstractNumId w:val="20"/>
  </w:num>
  <w:num w:numId="27">
    <w:abstractNumId w:val="27"/>
  </w:num>
  <w:num w:numId="28">
    <w:abstractNumId w:val="34"/>
  </w:num>
  <w:num w:numId="29">
    <w:abstractNumId w:val="31"/>
  </w:num>
  <w:num w:numId="30">
    <w:abstractNumId w:val="12"/>
  </w:num>
  <w:num w:numId="31">
    <w:abstractNumId w:val="6"/>
  </w:num>
  <w:num w:numId="32">
    <w:abstractNumId w:val="21"/>
  </w:num>
  <w:num w:numId="33">
    <w:abstractNumId w:val="8"/>
  </w:num>
  <w:num w:numId="34">
    <w:abstractNumId w:val="19"/>
  </w:num>
  <w:num w:numId="35">
    <w:abstractNumId w:val="24"/>
  </w:num>
  <w:num w:numId="36">
    <w:abstractNumId w:val="1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2A4"/>
    <w:rsid w:val="00014824"/>
    <w:rsid w:val="0001680F"/>
    <w:rsid w:val="00017466"/>
    <w:rsid w:val="00030174"/>
    <w:rsid w:val="000315A6"/>
    <w:rsid w:val="0004134D"/>
    <w:rsid w:val="0004319C"/>
    <w:rsid w:val="00043444"/>
    <w:rsid w:val="0004579C"/>
    <w:rsid w:val="00052A32"/>
    <w:rsid w:val="0006113E"/>
    <w:rsid w:val="0008766A"/>
    <w:rsid w:val="000877A7"/>
    <w:rsid w:val="00092481"/>
    <w:rsid w:val="000A477D"/>
    <w:rsid w:val="000A47FA"/>
    <w:rsid w:val="000A65D3"/>
    <w:rsid w:val="000B1E33"/>
    <w:rsid w:val="000B557F"/>
    <w:rsid w:val="000B5A0B"/>
    <w:rsid w:val="000D689F"/>
    <w:rsid w:val="000E77EF"/>
    <w:rsid w:val="000E7B7B"/>
    <w:rsid w:val="000E7D62"/>
    <w:rsid w:val="00103357"/>
    <w:rsid w:val="00114004"/>
    <w:rsid w:val="00115BB7"/>
    <w:rsid w:val="00123480"/>
    <w:rsid w:val="00123C9F"/>
    <w:rsid w:val="00126190"/>
    <w:rsid w:val="001303AE"/>
    <w:rsid w:val="00130F17"/>
    <w:rsid w:val="001320BF"/>
    <w:rsid w:val="00132715"/>
    <w:rsid w:val="001446D7"/>
    <w:rsid w:val="001473EF"/>
    <w:rsid w:val="00150C53"/>
    <w:rsid w:val="00160C1E"/>
    <w:rsid w:val="00163BC4"/>
    <w:rsid w:val="00170076"/>
    <w:rsid w:val="001802BD"/>
    <w:rsid w:val="0018406B"/>
    <w:rsid w:val="00191062"/>
    <w:rsid w:val="0019159C"/>
    <w:rsid w:val="00192B72"/>
    <w:rsid w:val="001942E1"/>
    <w:rsid w:val="001A29D8"/>
    <w:rsid w:val="001A476E"/>
    <w:rsid w:val="001A5CAA"/>
    <w:rsid w:val="001B0427"/>
    <w:rsid w:val="001B3D48"/>
    <w:rsid w:val="001B52BD"/>
    <w:rsid w:val="001C5A01"/>
    <w:rsid w:val="001C6C88"/>
    <w:rsid w:val="001D3A51"/>
    <w:rsid w:val="001E10D2"/>
    <w:rsid w:val="001E25B4"/>
    <w:rsid w:val="001E44FE"/>
    <w:rsid w:val="00200595"/>
    <w:rsid w:val="00204835"/>
    <w:rsid w:val="002052B5"/>
    <w:rsid w:val="00210208"/>
    <w:rsid w:val="0021452C"/>
    <w:rsid w:val="00231920"/>
    <w:rsid w:val="0023195C"/>
    <w:rsid w:val="00231A41"/>
    <w:rsid w:val="00233AEF"/>
    <w:rsid w:val="002340EA"/>
    <w:rsid w:val="0024282C"/>
    <w:rsid w:val="002460DC"/>
    <w:rsid w:val="00250985"/>
    <w:rsid w:val="002556F6"/>
    <w:rsid w:val="00263D23"/>
    <w:rsid w:val="002666C6"/>
    <w:rsid w:val="00267C1B"/>
    <w:rsid w:val="0027206D"/>
    <w:rsid w:val="002753FB"/>
    <w:rsid w:val="002763C3"/>
    <w:rsid w:val="00283105"/>
    <w:rsid w:val="00284C4C"/>
    <w:rsid w:val="00287E68"/>
    <w:rsid w:val="00296529"/>
    <w:rsid w:val="00297A29"/>
    <w:rsid w:val="002A3A60"/>
    <w:rsid w:val="002A63ED"/>
    <w:rsid w:val="002B27FB"/>
    <w:rsid w:val="002B5CAA"/>
    <w:rsid w:val="002B685A"/>
    <w:rsid w:val="002B76A4"/>
    <w:rsid w:val="002C57D2"/>
    <w:rsid w:val="002D75E9"/>
    <w:rsid w:val="002E0D56"/>
    <w:rsid w:val="002E1F72"/>
    <w:rsid w:val="002E5832"/>
    <w:rsid w:val="002F04AB"/>
    <w:rsid w:val="00301064"/>
    <w:rsid w:val="00303C98"/>
    <w:rsid w:val="003049C5"/>
    <w:rsid w:val="00315186"/>
    <w:rsid w:val="00317992"/>
    <w:rsid w:val="00326FAF"/>
    <w:rsid w:val="0033343E"/>
    <w:rsid w:val="00336B17"/>
    <w:rsid w:val="00337679"/>
    <w:rsid w:val="0034628D"/>
    <w:rsid w:val="003512C2"/>
    <w:rsid w:val="00371FB6"/>
    <w:rsid w:val="00372CA1"/>
    <w:rsid w:val="003763C1"/>
    <w:rsid w:val="00376BBE"/>
    <w:rsid w:val="00377F55"/>
    <w:rsid w:val="00380BAA"/>
    <w:rsid w:val="003856B5"/>
    <w:rsid w:val="0039224F"/>
    <w:rsid w:val="00392378"/>
    <w:rsid w:val="00394C6C"/>
    <w:rsid w:val="003A43A4"/>
    <w:rsid w:val="003A6C3A"/>
    <w:rsid w:val="003A7E18"/>
    <w:rsid w:val="003B3011"/>
    <w:rsid w:val="003C4C86"/>
    <w:rsid w:val="003C6258"/>
    <w:rsid w:val="003C6F34"/>
    <w:rsid w:val="003D020B"/>
    <w:rsid w:val="003D2395"/>
    <w:rsid w:val="003E2904"/>
    <w:rsid w:val="003E7E83"/>
    <w:rsid w:val="003F7877"/>
    <w:rsid w:val="00401927"/>
    <w:rsid w:val="00406957"/>
    <w:rsid w:val="0041027F"/>
    <w:rsid w:val="00412475"/>
    <w:rsid w:val="00423789"/>
    <w:rsid w:val="00426750"/>
    <w:rsid w:val="004268F6"/>
    <w:rsid w:val="00440F43"/>
    <w:rsid w:val="00441B6F"/>
    <w:rsid w:val="00446221"/>
    <w:rsid w:val="00450E62"/>
    <w:rsid w:val="004539DB"/>
    <w:rsid w:val="00471A80"/>
    <w:rsid w:val="00486617"/>
    <w:rsid w:val="0048663C"/>
    <w:rsid w:val="00487186"/>
    <w:rsid w:val="00492CE7"/>
    <w:rsid w:val="004A7A3C"/>
    <w:rsid w:val="004B1B4D"/>
    <w:rsid w:val="004D20BE"/>
    <w:rsid w:val="004D305E"/>
    <w:rsid w:val="004D3F27"/>
    <w:rsid w:val="004D4277"/>
    <w:rsid w:val="004E4861"/>
    <w:rsid w:val="00502516"/>
    <w:rsid w:val="00503AD0"/>
    <w:rsid w:val="00505F06"/>
    <w:rsid w:val="00506828"/>
    <w:rsid w:val="0053056E"/>
    <w:rsid w:val="0053059E"/>
    <w:rsid w:val="0053148A"/>
    <w:rsid w:val="00540FE7"/>
    <w:rsid w:val="005413A8"/>
    <w:rsid w:val="005415E7"/>
    <w:rsid w:val="00545AC1"/>
    <w:rsid w:val="005523EB"/>
    <w:rsid w:val="00554FDA"/>
    <w:rsid w:val="005625DB"/>
    <w:rsid w:val="005629EB"/>
    <w:rsid w:val="00587972"/>
    <w:rsid w:val="0059071C"/>
    <w:rsid w:val="005A0DE9"/>
    <w:rsid w:val="005B5D58"/>
    <w:rsid w:val="005C784C"/>
    <w:rsid w:val="005D17F6"/>
    <w:rsid w:val="005D3C7E"/>
    <w:rsid w:val="005D7386"/>
    <w:rsid w:val="005E5539"/>
    <w:rsid w:val="005F2703"/>
    <w:rsid w:val="005F7E71"/>
    <w:rsid w:val="00602BF5"/>
    <w:rsid w:val="00605819"/>
    <w:rsid w:val="006074C9"/>
    <w:rsid w:val="006124C7"/>
    <w:rsid w:val="0061355A"/>
    <w:rsid w:val="00617FDD"/>
    <w:rsid w:val="00633614"/>
    <w:rsid w:val="00633F68"/>
    <w:rsid w:val="00636EB2"/>
    <w:rsid w:val="006375B8"/>
    <w:rsid w:val="00643540"/>
    <w:rsid w:val="00647D8B"/>
    <w:rsid w:val="0066510A"/>
    <w:rsid w:val="006717E9"/>
    <w:rsid w:val="00672F34"/>
    <w:rsid w:val="00673F9F"/>
    <w:rsid w:val="00675C83"/>
    <w:rsid w:val="00677728"/>
    <w:rsid w:val="00686953"/>
    <w:rsid w:val="00687DEA"/>
    <w:rsid w:val="00687E67"/>
    <w:rsid w:val="00691F8F"/>
    <w:rsid w:val="006967F7"/>
    <w:rsid w:val="00696E24"/>
    <w:rsid w:val="006A250C"/>
    <w:rsid w:val="006B21D3"/>
    <w:rsid w:val="006B57D0"/>
    <w:rsid w:val="006C4F59"/>
    <w:rsid w:val="006D204D"/>
    <w:rsid w:val="006D30FF"/>
    <w:rsid w:val="006D4F39"/>
    <w:rsid w:val="006D6940"/>
    <w:rsid w:val="006E6340"/>
    <w:rsid w:val="006F11EC"/>
    <w:rsid w:val="006F29BA"/>
    <w:rsid w:val="006F3F86"/>
    <w:rsid w:val="0070082C"/>
    <w:rsid w:val="00701ED9"/>
    <w:rsid w:val="00702376"/>
    <w:rsid w:val="007044E3"/>
    <w:rsid w:val="00711B35"/>
    <w:rsid w:val="007140DD"/>
    <w:rsid w:val="00720A32"/>
    <w:rsid w:val="00727BF8"/>
    <w:rsid w:val="007337BE"/>
    <w:rsid w:val="00734F6A"/>
    <w:rsid w:val="007369E6"/>
    <w:rsid w:val="00743461"/>
    <w:rsid w:val="0074534B"/>
    <w:rsid w:val="00745A4C"/>
    <w:rsid w:val="00746E59"/>
    <w:rsid w:val="00754C9A"/>
    <w:rsid w:val="0075599A"/>
    <w:rsid w:val="0075630A"/>
    <w:rsid w:val="007578A1"/>
    <w:rsid w:val="00761D52"/>
    <w:rsid w:val="0077749E"/>
    <w:rsid w:val="00790ADA"/>
    <w:rsid w:val="00792DE0"/>
    <w:rsid w:val="00794A87"/>
    <w:rsid w:val="00795E2B"/>
    <w:rsid w:val="007A0A6F"/>
    <w:rsid w:val="007B6584"/>
    <w:rsid w:val="007D2288"/>
    <w:rsid w:val="007E088F"/>
    <w:rsid w:val="007E1CDC"/>
    <w:rsid w:val="007E22A9"/>
    <w:rsid w:val="007E3461"/>
    <w:rsid w:val="007F1D4F"/>
    <w:rsid w:val="007F7B32"/>
    <w:rsid w:val="00803094"/>
    <w:rsid w:val="00804BC2"/>
    <w:rsid w:val="00807493"/>
    <w:rsid w:val="0081431A"/>
    <w:rsid w:val="00815FE5"/>
    <w:rsid w:val="008165F2"/>
    <w:rsid w:val="00821E3C"/>
    <w:rsid w:val="0082599D"/>
    <w:rsid w:val="0083216F"/>
    <w:rsid w:val="00840263"/>
    <w:rsid w:val="00842A80"/>
    <w:rsid w:val="00845BCA"/>
    <w:rsid w:val="0084657D"/>
    <w:rsid w:val="00860000"/>
    <w:rsid w:val="00863BD3"/>
    <w:rsid w:val="008641ED"/>
    <w:rsid w:val="00866D66"/>
    <w:rsid w:val="008671C6"/>
    <w:rsid w:val="00870F56"/>
    <w:rsid w:val="00874A17"/>
    <w:rsid w:val="00875803"/>
    <w:rsid w:val="00876AFC"/>
    <w:rsid w:val="00880782"/>
    <w:rsid w:val="008963A9"/>
    <w:rsid w:val="008A583B"/>
    <w:rsid w:val="008B1BDA"/>
    <w:rsid w:val="008B459E"/>
    <w:rsid w:val="008C5625"/>
    <w:rsid w:val="008C6B9E"/>
    <w:rsid w:val="008E13AE"/>
    <w:rsid w:val="008E1506"/>
    <w:rsid w:val="008E710C"/>
    <w:rsid w:val="008F474B"/>
    <w:rsid w:val="008F69D6"/>
    <w:rsid w:val="00901E3B"/>
    <w:rsid w:val="00902823"/>
    <w:rsid w:val="009048C5"/>
    <w:rsid w:val="00915CA6"/>
    <w:rsid w:val="00916B70"/>
    <w:rsid w:val="00927834"/>
    <w:rsid w:val="009355C2"/>
    <w:rsid w:val="0094116E"/>
    <w:rsid w:val="0094194E"/>
    <w:rsid w:val="009468CD"/>
    <w:rsid w:val="009500A6"/>
    <w:rsid w:val="009509EF"/>
    <w:rsid w:val="0095129F"/>
    <w:rsid w:val="00957C18"/>
    <w:rsid w:val="009659BA"/>
    <w:rsid w:val="009809CA"/>
    <w:rsid w:val="00983040"/>
    <w:rsid w:val="0098376D"/>
    <w:rsid w:val="0098499F"/>
    <w:rsid w:val="009868ED"/>
    <w:rsid w:val="00991455"/>
    <w:rsid w:val="009B1A46"/>
    <w:rsid w:val="009B3FB9"/>
    <w:rsid w:val="009B721C"/>
    <w:rsid w:val="009C2465"/>
    <w:rsid w:val="009C4242"/>
    <w:rsid w:val="009C437C"/>
    <w:rsid w:val="009D35A0"/>
    <w:rsid w:val="009D7EB7"/>
    <w:rsid w:val="009E048A"/>
    <w:rsid w:val="009E08E9"/>
    <w:rsid w:val="009E3DB9"/>
    <w:rsid w:val="009E57DF"/>
    <w:rsid w:val="009E667F"/>
    <w:rsid w:val="009E6E35"/>
    <w:rsid w:val="009F0377"/>
    <w:rsid w:val="009F0EDA"/>
    <w:rsid w:val="00A03B96"/>
    <w:rsid w:val="00A05B19"/>
    <w:rsid w:val="00A1134E"/>
    <w:rsid w:val="00A24E7E"/>
    <w:rsid w:val="00A258C3"/>
    <w:rsid w:val="00A26FF1"/>
    <w:rsid w:val="00A347C0"/>
    <w:rsid w:val="00A3569A"/>
    <w:rsid w:val="00A36302"/>
    <w:rsid w:val="00A51431"/>
    <w:rsid w:val="00A539AD"/>
    <w:rsid w:val="00A71C48"/>
    <w:rsid w:val="00A72643"/>
    <w:rsid w:val="00A86A97"/>
    <w:rsid w:val="00A94063"/>
    <w:rsid w:val="00AA3451"/>
    <w:rsid w:val="00AA4BF2"/>
    <w:rsid w:val="00AA6219"/>
    <w:rsid w:val="00AA74E0"/>
    <w:rsid w:val="00AA7900"/>
    <w:rsid w:val="00AB703F"/>
    <w:rsid w:val="00AC0D52"/>
    <w:rsid w:val="00AC6BB8"/>
    <w:rsid w:val="00AD0A59"/>
    <w:rsid w:val="00AD2BA6"/>
    <w:rsid w:val="00AD356D"/>
    <w:rsid w:val="00AD6A79"/>
    <w:rsid w:val="00AE008F"/>
    <w:rsid w:val="00AE069F"/>
    <w:rsid w:val="00AF260A"/>
    <w:rsid w:val="00AF30C1"/>
    <w:rsid w:val="00AF555F"/>
    <w:rsid w:val="00AF5B7F"/>
    <w:rsid w:val="00B01FCD"/>
    <w:rsid w:val="00B06511"/>
    <w:rsid w:val="00B1776C"/>
    <w:rsid w:val="00B41B17"/>
    <w:rsid w:val="00B420D1"/>
    <w:rsid w:val="00B43950"/>
    <w:rsid w:val="00B52583"/>
    <w:rsid w:val="00B52896"/>
    <w:rsid w:val="00B656C7"/>
    <w:rsid w:val="00B849F7"/>
    <w:rsid w:val="00B84A7F"/>
    <w:rsid w:val="00B95236"/>
    <w:rsid w:val="00B96BD9"/>
    <w:rsid w:val="00BA1B01"/>
    <w:rsid w:val="00BA2641"/>
    <w:rsid w:val="00BB2145"/>
    <w:rsid w:val="00BB282F"/>
    <w:rsid w:val="00BB37AA"/>
    <w:rsid w:val="00BC53A0"/>
    <w:rsid w:val="00BC6838"/>
    <w:rsid w:val="00BC71A5"/>
    <w:rsid w:val="00BD7E3E"/>
    <w:rsid w:val="00BE2AAB"/>
    <w:rsid w:val="00BE62AD"/>
    <w:rsid w:val="00BF121F"/>
    <w:rsid w:val="00BF1F80"/>
    <w:rsid w:val="00C02314"/>
    <w:rsid w:val="00C0360C"/>
    <w:rsid w:val="00C11508"/>
    <w:rsid w:val="00C166EF"/>
    <w:rsid w:val="00C17EB0"/>
    <w:rsid w:val="00C26739"/>
    <w:rsid w:val="00C27F5F"/>
    <w:rsid w:val="00C30A0F"/>
    <w:rsid w:val="00C36181"/>
    <w:rsid w:val="00C37E61"/>
    <w:rsid w:val="00C476D1"/>
    <w:rsid w:val="00C65301"/>
    <w:rsid w:val="00C70F1B"/>
    <w:rsid w:val="00C71A47"/>
    <w:rsid w:val="00C7464C"/>
    <w:rsid w:val="00C8522B"/>
    <w:rsid w:val="00C85588"/>
    <w:rsid w:val="00C87825"/>
    <w:rsid w:val="00CA2E26"/>
    <w:rsid w:val="00CB30C6"/>
    <w:rsid w:val="00CB6DF0"/>
    <w:rsid w:val="00CD6755"/>
    <w:rsid w:val="00CD6856"/>
    <w:rsid w:val="00CE0089"/>
    <w:rsid w:val="00CE793C"/>
    <w:rsid w:val="00CF096B"/>
    <w:rsid w:val="00CF193C"/>
    <w:rsid w:val="00D02105"/>
    <w:rsid w:val="00D04A7B"/>
    <w:rsid w:val="00D071B2"/>
    <w:rsid w:val="00D15127"/>
    <w:rsid w:val="00D173F1"/>
    <w:rsid w:val="00D2407C"/>
    <w:rsid w:val="00D33E9B"/>
    <w:rsid w:val="00D51CB1"/>
    <w:rsid w:val="00D74CB0"/>
    <w:rsid w:val="00D74D58"/>
    <w:rsid w:val="00D8295D"/>
    <w:rsid w:val="00D829B3"/>
    <w:rsid w:val="00D838AC"/>
    <w:rsid w:val="00D91628"/>
    <w:rsid w:val="00DC2A65"/>
    <w:rsid w:val="00DC59F6"/>
    <w:rsid w:val="00DD1EE3"/>
    <w:rsid w:val="00DD2EB0"/>
    <w:rsid w:val="00DD52A0"/>
    <w:rsid w:val="00DE15F0"/>
    <w:rsid w:val="00DE28D6"/>
    <w:rsid w:val="00DE5663"/>
    <w:rsid w:val="00DE78AA"/>
    <w:rsid w:val="00E0106C"/>
    <w:rsid w:val="00E053D0"/>
    <w:rsid w:val="00E10D2D"/>
    <w:rsid w:val="00E13322"/>
    <w:rsid w:val="00E13503"/>
    <w:rsid w:val="00E148CD"/>
    <w:rsid w:val="00E15994"/>
    <w:rsid w:val="00E208FF"/>
    <w:rsid w:val="00E3114E"/>
    <w:rsid w:val="00E31A70"/>
    <w:rsid w:val="00E35B02"/>
    <w:rsid w:val="00E411ED"/>
    <w:rsid w:val="00E563AD"/>
    <w:rsid w:val="00E56A21"/>
    <w:rsid w:val="00E57243"/>
    <w:rsid w:val="00E66496"/>
    <w:rsid w:val="00E6679A"/>
    <w:rsid w:val="00E66B35"/>
    <w:rsid w:val="00E66E10"/>
    <w:rsid w:val="00E67016"/>
    <w:rsid w:val="00E74664"/>
    <w:rsid w:val="00E769F6"/>
    <w:rsid w:val="00E8407C"/>
    <w:rsid w:val="00E84F3C"/>
    <w:rsid w:val="00E8731F"/>
    <w:rsid w:val="00E937AD"/>
    <w:rsid w:val="00E93892"/>
    <w:rsid w:val="00EA012C"/>
    <w:rsid w:val="00EA6878"/>
    <w:rsid w:val="00EB180E"/>
    <w:rsid w:val="00EB6ECE"/>
    <w:rsid w:val="00EC6A55"/>
    <w:rsid w:val="00ED0288"/>
    <w:rsid w:val="00EE52CB"/>
    <w:rsid w:val="00EE5921"/>
    <w:rsid w:val="00EF04A8"/>
    <w:rsid w:val="00EF53B4"/>
    <w:rsid w:val="00EF581D"/>
    <w:rsid w:val="00EF7FD8"/>
    <w:rsid w:val="00F06F59"/>
    <w:rsid w:val="00F17988"/>
    <w:rsid w:val="00F274C1"/>
    <w:rsid w:val="00F30170"/>
    <w:rsid w:val="00F43DB6"/>
    <w:rsid w:val="00F44444"/>
    <w:rsid w:val="00F469F0"/>
    <w:rsid w:val="00F47360"/>
    <w:rsid w:val="00F50E65"/>
    <w:rsid w:val="00F53273"/>
    <w:rsid w:val="00F53EDC"/>
    <w:rsid w:val="00F604F3"/>
    <w:rsid w:val="00F750C0"/>
    <w:rsid w:val="00F755E4"/>
    <w:rsid w:val="00F77D02"/>
    <w:rsid w:val="00F9166D"/>
    <w:rsid w:val="00F93539"/>
    <w:rsid w:val="00F94AD1"/>
    <w:rsid w:val="00FA084B"/>
    <w:rsid w:val="00FA30F1"/>
    <w:rsid w:val="00FB1A0B"/>
    <w:rsid w:val="00FB3582"/>
    <w:rsid w:val="00FB3A86"/>
    <w:rsid w:val="00FB4655"/>
    <w:rsid w:val="00FC6C9E"/>
    <w:rsid w:val="00FD36C8"/>
    <w:rsid w:val="00FD3928"/>
    <w:rsid w:val="00FD3EBA"/>
    <w:rsid w:val="00FD60A4"/>
    <w:rsid w:val="00FE072E"/>
    <w:rsid w:val="00FF0C0B"/>
    <w:rsid w:val="00FF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1"/>
      </o:rules>
    </o:shapelayout>
  </w:shapeDefaults>
  <w:decimalSymbol w:val="."/>
  <w:listSeparator w:val=","/>
  <w14:docId w14:val="1017B4B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5">
    <w:name w:val="Plain Table 5"/>
    <w:basedOn w:val="TableNormal"/>
    <w:uiPriority w:val="45"/>
    <w:rsid w:val="00492CE7"/>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ntactInfo">
    <w:name w:val="Contact Info"/>
    <w:basedOn w:val="Normal"/>
    <w:uiPriority w:val="4"/>
    <w:qFormat/>
    <w:rsid w:val="00492CE7"/>
    <w:pPr>
      <w:spacing w:line="264" w:lineRule="auto"/>
      <w:jc w:val="center"/>
    </w:pPr>
    <w:rPr>
      <w:rFonts w:asciiTheme="minorHAnsi" w:eastAsiaTheme="minorHAnsi" w:hAnsiTheme="minorHAnsi" w:cstheme="minorBidi"/>
      <w:color w:val="595959" w:themeColor="text1" w:themeTint="A6"/>
      <w:sz w:val="22"/>
      <w:szCs w:val="22"/>
    </w:rPr>
  </w:style>
  <w:style w:type="paragraph" w:customStyle="1" w:styleId="Photo">
    <w:name w:val="Photo"/>
    <w:basedOn w:val="Normal"/>
    <w:uiPriority w:val="1"/>
    <w:qFormat/>
    <w:rsid w:val="00492CE7"/>
    <w:pPr>
      <w:jc w:val="center"/>
    </w:pPr>
    <w:rPr>
      <w:rFonts w:asciiTheme="minorHAnsi" w:eastAsiaTheme="minorHAnsi" w:hAnsiTheme="minorHAnsi" w:cstheme="minorBidi"/>
      <w:color w:val="595959" w:themeColor="text1" w:themeTint="A6"/>
      <w:sz w:val="22"/>
      <w:szCs w:val="22"/>
    </w:rPr>
  </w:style>
  <w:style w:type="table" w:styleId="PlainTable3">
    <w:name w:val="Plain Table 3"/>
    <w:basedOn w:val="TableNormal"/>
    <w:uiPriority w:val="43"/>
    <w:rsid w:val="005A0DE9"/>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5A0DE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A0DE9"/>
    <w:rPr>
      <w:b/>
      <w:bCs/>
    </w:rPr>
  </w:style>
  <w:style w:type="table" w:styleId="PlainTable4">
    <w:name w:val="Plain Table 4"/>
    <w:basedOn w:val="TableNormal"/>
    <w:uiPriority w:val="44"/>
    <w:rsid w:val="005B5D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CA2E2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540FE7"/>
    <w:pPr>
      <w:spacing w:after="200" w:line="276" w:lineRule="auto"/>
      <w:ind w:left="720"/>
      <w:contextualSpacing/>
    </w:pPr>
    <w:rPr>
      <w:rFonts w:ascii="Calibri" w:eastAsia="Calibri" w:hAnsi="Calibri"/>
      <w:sz w:val="22"/>
      <w:szCs w:val="22"/>
    </w:rPr>
  </w:style>
  <w:style w:type="paragraph" w:customStyle="1" w:styleId="Default">
    <w:name w:val="Default"/>
    <w:rsid w:val="00540FE7"/>
    <w:pPr>
      <w:autoSpaceDE w:val="0"/>
      <w:autoSpaceDN w:val="0"/>
      <w:adjustRightInd w:val="0"/>
    </w:pPr>
    <w:rPr>
      <w:rFonts w:eastAsiaTheme="minorHAnsi"/>
      <w:color w:val="000000"/>
      <w:sz w:val="24"/>
      <w:szCs w:val="24"/>
    </w:rPr>
  </w:style>
  <w:style w:type="table" w:styleId="PlainTable2">
    <w:name w:val="Plain Table 2"/>
    <w:basedOn w:val="TableNormal"/>
    <w:uiPriority w:val="42"/>
    <w:rsid w:val="00EE59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A3569A"/>
    <w:rPr>
      <w:rFonts w:ascii="Helvetica" w:hAnsi="Helvetica"/>
      <w:b/>
      <w:bCs/>
      <w:lang w:val="en-US" w:eastAsia="en-US"/>
    </w:rPr>
  </w:style>
  <w:style w:type="character" w:customStyle="1" w:styleId="CommentSubjectChar">
    <w:name w:val="Comment Subject Char"/>
    <w:basedOn w:val="CommentTextChar"/>
    <w:link w:val="CommentSubject"/>
    <w:semiHidden/>
    <w:rsid w:val="00A3569A"/>
    <w:rPr>
      <w:rFonts w:ascii="Helvetica" w:hAnsi="Helvetica"/>
      <w:b/>
      <w:bCs/>
      <w:lang w:val="nb-NO" w:eastAsia="nb-NO"/>
    </w:rPr>
  </w:style>
  <w:style w:type="character" w:styleId="UnresolvedMention">
    <w:name w:val="Unresolved Mention"/>
    <w:basedOn w:val="DefaultParagraphFont"/>
    <w:uiPriority w:val="99"/>
    <w:semiHidden/>
    <w:unhideWhenUsed/>
    <w:rsid w:val="00BE2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1323501">
      <w:bodyDiv w:val="1"/>
      <w:marLeft w:val="0"/>
      <w:marRight w:val="0"/>
      <w:marTop w:val="0"/>
      <w:marBottom w:val="0"/>
      <w:divBdr>
        <w:top w:val="none" w:sz="0" w:space="0" w:color="auto"/>
        <w:left w:val="none" w:sz="0" w:space="0" w:color="auto"/>
        <w:bottom w:val="none" w:sz="0" w:space="0" w:color="auto"/>
        <w:right w:val="none" w:sz="0" w:space="0" w:color="auto"/>
      </w:divBdr>
    </w:div>
    <w:div w:id="96523373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8901133">
      <w:bodyDiv w:val="1"/>
      <w:marLeft w:val="0"/>
      <w:marRight w:val="0"/>
      <w:marTop w:val="0"/>
      <w:marBottom w:val="0"/>
      <w:divBdr>
        <w:top w:val="none" w:sz="0" w:space="0" w:color="auto"/>
        <w:left w:val="none" w:sz="0" w:space="0" w:color="auto"/>
        <w:bottom w:val="none" w:sz="0" w:space="0" w:color="auto"/>
        <w:right w:val="none" w:sz="0" w:space="0" w:color="auto"/>
      </w:divBdr>
    </w:div>
    <w:div w:id="1296259924">
      <w:bodyDiv w:val="1"/>
      <w:marLeft w:val="0"/>
      <w:marRight w:val="0"/>
      <w:marTop w:val="0"/>
      <w:marBottom w:val="0"/>
      <w:divBdr>
        <w:top w:val="none" w:sz="0" w:space="0" w:color="auto"/>
        <w:left w:val="none" w:sz="0" w:space="0" w:color="auto"/>
        <w:bottom w:val="none" w:sz="0" w:space="0" w:color="auto"/>
        <w:right w:val="none" w:sz="0" w:space="0" w:color="auto"/>
      </w:divBdr>
    </w:div>
    <w:div w:id="1437019689">
      <w:bodyDiv w:val="1"/>
      <w:marLeft w:val="0"/>
      <w:marRight w:val="0"/>
      <w:marTop w:val="0"/>
      <w:marBottom w:val="0"/>
      <w:divBdr>
        <w:top w:val="none" w:sz="0" w:space="0" w:color="auto"/>
        <w:left w:val="none" w:sz="0" w:space="0" w:color="auto"/>
        <w:bottom w:val="none" w:sz="0" w:space="0" w:color="auto"/>
        <w:right w:val="none" w:sz="0" w:space="0" w:color="auto"/>
      </w:divBdr>
    </w:div>
    <w:div w:id="1695426902">
      <w:bodyDiv w:val="1"/>
      <w:marLeft w:val="0"/>
      <w:marRight w:val="0"/>
      <w:marTop w:val="0"/>
      <w:marBottom w:val="0"/>
      <w:divBdr>
        <w:top w:val="none" w:sz="0" w:space="0" w:color="auto"/>
        <w:left w:val="none" w:sz="0" w:space="0" w:color="auto"/>
        <w:bottom w:val="none" w:sz="0" w:space="0" w:color="auto"/>
        <w:right w:val="none" w:sz="0" w:space="0" w:color="auto"/>
      </w:divBdr>
    </w:div>
    <w:div w:id="17026258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1866121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72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https://doi.org/10.1111/obr.12107" TargetMode="External"/><Relationship Id="rId21" Type="http://schemas.openxmlformats.org/officeDocument/2006/relationships/image" Target="media/image5.emf"/><Relationship Id="rId34" Type="http://schemas.openxmlformats.org/officeDocument/2006/relationships/oleObject" Target="embeddings/oleObject10.bin"/><Relationship Id="rId42" Type="http://schemas.openxmlformats.org/officeDocument/2006/relationships/hyperlink" Target="https://doi.org/10.3945/ajcn.110.004622" TargetMode="External"/><Relationship Id="rId47" Type="http://schemas.openxmlformats.org/officeDocument/2006/relationships/hyperlink" Target="https://doi.org/10.1016/S0308-8146(01)00357-0" TargetMode="External"/><Relationship Id="rId50" Type="http://schemas.openxmlformats.org/officeDocument/2006/relationships/hyperlink" Target="https://doi.org/10.1016/j.foodchem.2008.12.087" TargetMode="External"/><Relationship Id="rId55" Type="http://schemas.openxmlformats.org/officeDocument/2006/relationships/hyperlink" Target="https://doi.org/10.1016/S0002-8223(01)00078-5"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emf"/><Relationship Id="rId40" Type="http://schemas.openxmlformats.org/officeDocument/2006/relationships/hyperlink" Target="https://apps.who.int/iris/handle/10665/43622" TargetMode="External"/><Relationship Id="rId45" Type="http://schemas.openxmlformats.org/officeDocument/2006/relationships/hyperlink" Target="https://doi.org/10.1111/j.1750-3841.2007.00352.x" TargetMode="External"/><Relationship Id="rId53" Type="http://schemas.openxmlformats.org/officeDocument/2006/relationships/hyperlink" Target="https://doi.org/10.1371/journal.pmed.1000252" TargetMode="External"/><Relationship Id="rId58"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image" Target="media/image4.emf"/><Relationship Id="rId14" Type="http://schemas.openxmlformats.org/officeDocument/2006/relationships/image" Target="media/image1.jpeg"/><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image" Target="media/image12.emf"/><Relationship Id="rId43" Type="http://schemas.openxmlformats.org/officeDocument/2006/relationships/hyperlink" Target="https://doi.org/10.1155/2017/2037341" TargetMode="External"/><Relationship Id="rId48" Type="http://schemas.openxmlformats.org/officeDocument/2006/relationships/hyperlink" Target="https://doi.org/10.1093/ajcn/77.5.1146" TargetMode="External"/><Relationship Id="rId56" Type="http://schemas.openxmlformats.org/officeDocument/2006/relationships/hyperlink" Target="https://www.who.int/publications/i/item/9789241504836" TargetMode="External"/><Relationship Id="rId8" Type="http://schemas.openxmlformats.org/officeDocument/2006/relationships/header" Target="header1.xml"/><Relationship Id="rId51" Type="http://schemas.openxmlformats.org/officeDocument/2006/relationships/hyperlink" Target="https://doi.org/10.1016/0891-5849(91)90192-6"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12.bin"/><Relationship Id="rId46" Type="http://schemas.openxmlformats.org/officeDocument/2006/relationships/hyperlink" Target="https://www.fao.org/fao-who-codexalimentarius/standards/en/" TargetMode="External"/><Relationship Id="rId59" Type="http://schemas.openxmlformats.org/officeDocument/2006/relationships/header" Target="header5.xml"/><Relationship Id="rId20" Type="http://schemas.openxmlformats.org/officeDocument/2006/relationships/oleObject" Target="embeddings/oleObject3.bin"/><Relationship Id="rId41" Type="http://schemas.openxmlformats.org/officeDocument/2006/relationships/hyperlink" Target="https://apps.who.int/iris/handle/10665/204176" TargetMode="External"/><Relationship Id="rId54" Type="http://schemas.openxmlformats.org/officeDocument/2006/relationships/hyperlink" Target="https://doi.org/10.1056/NEJMoa130412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yperlink" Target="https://doi.org/10.1016/j.foodchem.2004.01.050" TargetMode="External"/><Relationship Id="rId57" Type="http://schemas.openxmlformats.org/officeDocument/2006/relationships/hyperlink" Target="https://ods.od.nih.gov/factsheets/Phosphorus-HealthProfessional/" TargetMode="External"/><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hyperlink" Target="https://doi.org/10.1016/S0308-8146(99)00270-8" TargetMode="External"/><Relationship Id="rId52" Type="http://schemas.openxmlformats.org/officeDocument/2006/relationships/hyperlink" Target="https://doi.org/10.1016/j.bbrc.2010.02.083"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35A5-0344-439A-B94E-D4FFFEB7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1416</TotalTime>
  <Pages>12</Pages>
  <Words>7888</Words>
  <Characters>44966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52749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1186</cp:lastModifiedBy>
  <cp:revision>201</cp:revision>
  <cp:lastPrinted>1999-07-06T11:00:00Z</cp:lastPrinted>
  <dcterms:created xsi:type="dcterms:W3CDTF">2014-10-25T14:34:00Z</dcterms:created>
  <dcterms:modified xsi:type="dcterms:W3CDTF">2025-07-22T09:08:00Z</dcterms:modified>
</cp:coreProperties>
</file>