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D648" w14:textId="77777777" w:rsidR="00754C9A" w:rsidRDefault="00754C9A" w:rsidP="00441B6F">
      <w:pPr>
        <w:pStyle w:val="Title"/>
        <w:spacing w:after="0"/>
        <w:jc w:val="both"/>
        <w:rPr>
          <w:rFonts w:ascii="Arial" w:hAnsi="Arial" w:cs="Arial"/>
        </w:rPr>
      </w:pPr>
    </w:p>
    <w:p w14:paraId="03137CD3" w14:textId="023F424D" w:rsidR="00163BC4" w:rsidRPr="00163BC4" w:rsidRDefault="00370588" w:rsidP="00441B6F">
      <w:pPr>
        <w:pStyle w:val="Author"/>
        <w:spacing w:line="240" w:lineRule="auto"/>
        <w:rPr>
          <w:rFonts w:ascii="Arial" w:hAnsi="Arial" w:cs="Arial"/>
          <w:bCs/>
          <w:iCs/>
          <w:kern w:val="28"/>
          <w:sz w:val="36"/>
        </w:rPr>
      </w:pPr>
      <w:r w:rsidRPr="00BE68E9">
        <w:rPr>
          <w:bCs/>
          <w:sz w:val="20"/>
          <w:szCs w:val="28"/>
          <w:lang w:val="en-GB"/>
        </w:rPr>
        <w:t>P</w:t>
      </w:r>
      <w:r>
        <w:rPr>
          <w:bCs/>
          <w:sz w:val="20"/>
          <w:szCs w:val="28"/>
          <w:lang w:val="en-GB"/>
        </w:rPr>
        <w:t xml:space="preserve">HYTOCHEMICAL </w:t>
      </w:r>
      <w:r w:rsidRPr="00BE68E9">
        <w:rPr>
          <w:bCs/>
          <w:sz w:val="20"/>
          <w:szCs w:val="28"/>
          <w:lang w:val="en-GB"/>
        </w:rPr>
        <w:t>C</w:t>
      </w:r>
      <w:r>
        <w:rPr>
          <w:bCs/>
          <w:sz w:val="20"/>
          <w:szCs w:val="28"/>
          <w:lang w:val="en-GB"/>
        </w:rPr>
        <w:t>OMPOSITION</w:t>
      </w:r>
      <w:r w:rsidRPr="00BE68E9">
        <w:rPr>
          <w:bCs/>
          <w:sz w:val="20"/>
          <w:szCs w:val="28"/>
          <w:lang w:val="en-GB"/>
        </w:rPr>
        <w:t xml:space="preserve"> </w:t>
      </w:r>
      <w:r>
        <w:rPr>
          <w:bCs/>
          <w:sz w:val="20"/>
          <w:szCs w:val="28"/>
          <w:lang w:val="en-GB"/>
        </w:rPr>
        <w:t xml:space="preserve">AND ANTIMICROBIAL </w:t>
      </w:r>
      <w:r w:rsidRPr="00BE68E9">
        <w:rPr>
          <w:bCs/>
          <w:sz w:val="20"/>
          <w:szCs w:val="28"/>
          <w:lang w:val="en-GB"/>
        </w:rPr>
        <w:t>P</w:t>
      </w:r>
      <w:r>
        <w:rPr>
          <w:bCs/>
          <w:sz w:val="20"/>
          <w:szCs w:val="28"/>
          <w:lang w:val="en-GB"/>
        </w:rPr>
        <w:t xml:space="preserve">OTENTIAL OF </w:t>
      </w:r>
      <w:r w:rsidRPr="00BE68E9">
        <w:rPr>
          <w:bCs/>
          <w:i/>
          <w:iCs/>
          <w:sz w:val="20"/>
          <w:szCs w:val="28"/>
          <w:lang w:val="en-GB"/>
        </w:rPr>
        <w:t xml:space="preserve">Combretum </w:t>
      </w:r>
      <w:proofErr w:type="spellStart"/>
      <w:r w:rsidRPr="00BE68E9">
        <w:rPr>
          <w:bCs/>
          <w:i/>
          <w:iCs/>
          <w:sz w:val="20"/>
          <w:szCs w:val="28"/>
          <w:lang w:val="en-GB"/>
        </w:rPr>
        <w:t>hispidum</w:t>
      </w:r>
      <w:proofErr w:type="spellEnd"/>
      <w:r w:rsidRPr="00BE68E9">
        <w:rPr>
          <w:bCs/>
          <w:sz w:val="20"/>
          <w:szCs w:val="28"/>
          <w:lang w:val="en-GB"/>
        </w:rPr>
        <w:t xml:space="preserve"> L</w:t>
      </w:r>
      <w:r>
        <w:rPr>
          <w:bCs/>
          <w:sz w:val="20"/>
          <w:szCs w:val="28"/>
          <w:lang w:val="en-GB"/>
        </w:rPr>
        <w:t>EAF</w:t>
      </w:r>
      <w:r w:rsidRPr="00BE68E9">
        <w:rPr>
          <w:bCs/>
          <w:sz w:val="20"/>
          <w:szCs w:val="28"/>
          <w:lang w:val="en-GB"/>
        </w:rPr>
        <w:t xml:space="preserve"> E</w:t>
      </w:r>
      <w:r>
        <w:rPr>
          <w:bCs/>
          <w:sz w:val="20"/>
          <w:szCs w:val="28"/>
          <w:lang w:val="en-GB"/>
        </w:rPr>
        <w:t>XTRACT ON CLINICAL BACTERIAL ISOLATES</w:t>
      </w:r>
    </w:p>
    <w:p w14:paraId="1DA85703" w14:textId="77777777" w:rsidR="00A258C3" w:rsidRPr="00790ADA" w:rsidRDefault="00A258C3" w:rsidP="00441B6F">
      <w:pPr>
        <w:pStyle w:val="Author"/>
        <w:spacing w:line="240" w:lineRule="auto"/>
        <w:jc w:val="both"/>
        <w:rPr>
          <w:rFonts w:ascii="Arial" w:hAnsi="Arial" w:cs="Arial"/>
          <w:sz w:val="36"/>
        </w:rPr>
      </w:pPr>
    </w:p>
    <w:p w14:paraId="57130113" w14:textId="77777777" w:rsidR="00790ADA" w:rsidRDefault="00790ADA" w:rsidP="00441B6F">
      <w:pPr>
        <w:pStyle w:val="Affiliation"/>
        <w:spacing w:after="0" w:line="240" w:lineRule="auto"/>
        <w:jc w:val="both"/>
        <w:rPr>
          <w:rFonts w:ascii="Arial" w:hAnsi="Arial" w:cs="Arial"/>
        </w:rPr>
      </w:pPr>
    </w:p>
    <w:p w14:paraId="0F1D25B3" w14:textId="77777777" w:rsidR="002C57D2" w:rsidRPr="00FB3A86" w:rsidRDefault="002C57D2" w:rsidP="00441B6F">
      <w:pPr>
        <w:pStyle w:val="Affiliation"/>
        <w:spacing w:after="0" w:line="240" w:lineRule="auto"/>
        <w:jc w:val="both"/>
        <w:rPr>
          <w:rFonts w:ascii="Arial" w:hAnsi="Arial" w:cs="Arial"/>
        </w:rPr>
      </w:pPr>
    </w:p>
    <w:p w14:paraId="6C3BF7CD" w14:textId="77777777" w:rsidR="00B01FCD" w:rsidRPr="00FB3A86" w:rsidRDefault="00000000" w:rsidP="00441B6F">
      <w:pPr>
        <w:pStyle w:val="Copyright"/>
        <w:spacing w:after="0" w:line="240" w:lineRule="auto"/>
        <w:jc w:val="both"/>
        <w:rPr>
          <w:rFonts w:ascii="Arial" w:hAnsi="Arial" w:cs="Arial"/>
        </w:rPr>
        <w:sectPr w:rsidR="00B01FCD" w:rsidRPr="00FB3A86" w:rsidSect="009B5DB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42FC8E3">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39E6104" w14:textId="655F158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DFCC5D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E6965F8" w14:textId="77777777" w:rsidTr="001E44FE">
        <w:tc>
          <w:tcPr>
            <w:tcW w:w="9576" w:type="dxa"/>
            <w:shd w:val="clear" w:color="auto" w:fill="F2F2F2"/>
          </w:tcPr>
          <w:p w14:paraId="02111FF6" w14:textId="2A0A14B1" w:rsidR="00370588" w:rsidRPr="00370588" w:rsidRDefault="00370588" w:rsidP="00370588">
            <w:pPr>
              <w:pStyle w:val="Body"/>
              <w:spacing w:after="0"/>
              <w:rPr>
                <w:rFonts w:ascii="Arial" w:eastAsia="Calibri" w:hAnsi="Arial" w:cs="Arial"/>
                <w:bCs/>
                <w:szCs w:val="22"/>
              </w:rPr>
            </w:pPr>
            <w:r w:rsidRPr="00370588">
              <w:rPr>
                <w:rFonts w:ascii="Arial" w:eastAsia="Calibri" w:hAnsi="Arial" w:cs="Arial"/>
                <w:b/>
                <w:bCs/>
                <w:szCs w:val="22"/>
              </w:rPr>
              <w:t>Aim:</w:t>
            </w:r>
            <w:r w:rsidR="00A11261">
              <w:rPr>
                <w:rFonts w:ascii="Arial" w:eastAsia="Calibri" w:hAnsi="Arial" w:cs="Arial"/>
                <w:b/>
                <w:bCs/>
                <w:szCs w:val="22"/>
              </w:rPr>
              <w:t xml:space="preserve"> </w:t>
            </w:r>
            <w:r w:rsidRPr="00370588">
              <w:rPr>
                <w:rFonts w:ascii="Arial" w:eastAsia="Calibri" w:hAnsi="Arial" w:cs="Arial"/>
                <w:bCs/>
                <w:szCs w:val="22"/>
              </w:rPr>
              <w:t xml:space="preserve">Antimicrobial resistance is a pressing global health threat that has intensified the search for novel therapeutic agents, particularly from natural sources. </w:t>
            </w:r>
            <w:r w:rsidRPr="00370588">
              <w:rPr>
                <w:rFonts w:ascii="Arial" w:eastAsia="Calibri" w:hAnsi="Arial" w:cs="Arial"/>
                <w:bCs/>
                <w:i/>
                <w:iCs/>
                <w:szCs w:val="22"/>
              </w:rPr>
              <w:t xml:space="preserve">Combretum </w:t>
            </w:r>
            <w:proofErr w:type="spellStart"/>
            <w:r w:rsidRPr="00370588">
              <w:rPr>
                <w:rFonts w:ascii="Arial" w:eastAsia="Calibri" w:hAnsi="Arial" w:cs="Arial"/>
                <w:bCs/>
                <w:i/>
                <w:iCs/>
                <w:szCs w:val="22"/>
              </w:rPr>
              <w:t>hispidum</w:t>
            </w:r>
            <w:proofErr w:type="spellEnd"/>
            <w:r w:rsidRPr="00370588">
              <w:rPr>
                <w:rFonts w:ascii="Arial" w:eastAsia="Calibri" w:hAnsi="Arial" w:cs="Arial"/>
                <w:bCs/>
                <w:szCs w:val="22"/>
              </w:rPr>
              <w:t xml:space="preserve">, a medicinal shrub widely used in West African ethnomedicine, has been traditionally employed in treating infections, fever, wounds, and gastrointestinal ailments. This study aimed to evaluate the phytochemical composition, characterize the bioactive constituents, and assess the in vitro antimicrobial activity of </w:t>
            </w:r>
            <w:r w:rsidRPr="00370588">
              <w:rPr>
                <w:rFonts w:ascii="Arial" w:eastAsia="Calibri" w:hAnsi="Arial" w:cs="Arial"/>
                <w:bCs/>
                <w:i/>
                <w:iCs/>
                <w:szCs w:val="22"/>
              </w:rPr>
              <w:t xml:space="preserve">C. </w:t>
            </w:r>
            <w:proofErr w:type="spellStart"/>
            <w:r w:rsidRPr="00370588">
              <w:rPr>
                <w:rFonts w:ascii="Arial" w:eastAsia="Calibri" w:hAnsi="Arial" w:cs="Arial"/>
                <w:bCs/>
                <w:i/>
                <w:iCs/>
                <w:szCs w:val="22"/>
              </w:rPr>
              <w:t>hispidum</w:t>
            </w:r>
            <w:proofErr w:type="spellEnd"/>
            <w:r w:rsidRPr="00370588">
              <w:rPr>
                <w:rFonts w:ascii="Arial" w:eastAsia="Calibri" w:hAnsi="Arial" w:cs="Arial"/>
                <w:bCs/>
                <w:szCs w:val="22"/>
              </w:rPr>
              <w:t xml:space="preserve"> leaf extract.</w:t>
            </w:r>
          </w:p>
          <w:p w14:paraId="6603C5C1" w14:textId="2D036522" w:rsidR="00370588" w:rsidRPr="00370588" w:rsidRDefault="00370588" w:rsidP="00370588">
            <w:pPr>
              <w:pStyle w:val="Body"/>
              <w:spacing w:after="0"/>
              <w:rPr>
                <w:rFonts w:ascii="Arial" w:eastAsia="Calibri" w:hAnsi="Arial" w:cs="Arial"/>
                <w:bCs/>
                <w:szCs w:val="22"/>
              </w:rPr>
            </w:pPr>
            <w:r w:rsidRPr="00370588">
              <w:rPr>
                <w:rFonts w:ascii="Arial" w:eastAsia="Calibri" w:hAnsi="Arial" w:cs="Arial"/>
                <w:b/>
                <w:bCs/>
                <w:szCs w:val="22"/>
              </w:rPr>
              <w:t>Methodology:</w:t>
            </w:r>
            <w:r w:rsidR="00A11261">
              <w:rPr>
                <w:rFonts w:ascii="Arial" w:eastAsia="Calibri" w:hAnsi="Arial" w:cs="Arial"/>
                <w:b/>
                <w:bCs/>
                <w:szCs w:val="22"/>
              </w:rPr>
              <w:t xml:space="preserve"> </w:t>
            </w:r>
            <w:r w:rsidRPr="00370588">
              <w:rPr>
                <w:rFonts w:ascii="Arial" w:eastAsia="Calibri" w:hAnsi="Arial" w:cs="Arial"/>
                <w:bCs/>
                <w:szCs w:val="22"/>
              </w:rPr>
              <w:t xml:space="preserve">Fresh leaves of </w:t>
            </w:r>
            <w:r w:rsidRPr="00370588">
              <w:rPr>
                <w:rFonts w:ascii="Arial" w:eastAsia="Calibri" w:hAnsi="Arial" w:cs="Arial"/>
                <w:bCs/>
                <w:i/>
                <w:iCs/>
                <w:szCs w:val="22"/>
              </w:rPr>
              <w:t xml:space="preserve">C. </w:t>
            </w:r>
            <w:proofErr w:type="spellStart"/>
            <w:r w:rsidRPr="00370588">
              <w:rPr>
                <w:rFonts w:ascii="Arial" w:eastAsia="Calibri" w:hAnsi="Arial" w:cs="Arial"/>
                <w:bCs/>
                <w:i/>
                <w:iCs/>
                <w:szCs w:val="22"/>
              </w:rPr>
              <w:t>hispidum</w:t>
            </w:r>
            <w:proofErr w:type="spellEnd"/>
            <w:r w:rsidRPr="00370588">
              <w:rPr>
                <w:rFonts w:ascii="Arial" w:eastAsia="Calibri" w:hAnsi="Arial" w:cs="Arial"/>
                <w:bCs/>
                <w:szCs w:val="22"/>
              </w:rPr>
              <w:t xml:space="preserve"> were collected, authenticated, shade-dried, and extracted using ethanol via Soxhlet extraction. Phytochemical constituents were determined through standard qualitative and quantitative techniques. Antimicrobial activity was evaluated against clinical and standard strains of </w:t>
            </w:r>
            <w:r w:rsidRPr="00370588">
              <w:rPr>
                <w:rFonts w:ascii="Arial" w:eastAsia="Calibri" w:hAnsi="Arial" w:cs="Arial"/>
                <w:bCs/>
                <w:i/>
                <w:iCs/>
                <w:szCs w:val="22"/>
              </w:rPr>
              <w:t>Enterobacter spp.</w:t>
            </w:r>
            <w:r w:rsidRPr="00370588">
              <w:rPr>
                <w:rFonts w:ascii="Arial" w:eastAsia="Calibri" w:hAnsi="Arial" w:cs="Arial"/>
                <w:bCs/>
                <w:szCs w:val="22"/>
              </w:rPr>
              <w:t xml:space="preserve">, </w:t>
            </w:r>
            <w:r w:rsidRPr="00370588">
              <w:rPr>
                <w:rFonts w:ascii="Arial" w:eastAsia="Calibri" w:hAnsi="Arial" w:cs="Arial"/>
                <w:bCs/>
                <w:i/>
                <w:iCs/>
                <w:szCs w:val="22"/>
              </w:rPr>
              <w:t>Klebsiella spp.</w:t>
            </w:r>
            <w:r w:rsidRPr="00370588">
              <w:rPr>
                <w:rFonts w:ascii="Arial" w:eastAsia="Calibri" w:hAnsi="Arial" w:cs="Arial"/>
                <w:bCs/>
                <w:szCs w:val="22"/>
              </w:rPr>
              <w:t xml:space="preserve">, </w:t>
            </w:r>
            <w:r w:rsidRPr="00370588">
              <w:rPr>
                <w:rFonts w:ascii="Arial" w:eastAsia="Calibri" w:hAnsi="Arial" w:cs="Arial"/>
                <w:bCs/>
                <w:i/>
                <w:iCs/>
                <w:szCs w:val="22"/>
              </w:rPr>
              <w:t>Salmonella typhi</w:t>
            </w:r>
            <w:r w:rsidRPr="00370588">
              <w:rPr>
                <w:rFonts w:ascii="Arial" w:eastAsia="Calibri" w:hAnsi="Arial" w:cs="Arial"/>
                <w:bCs/>
                <w:szCs w:val="22"/>
              </w:rPr>
              <w:t xml:space="preserve">, </w:t>
            </w:r>
            <w:r w:rsidRPr="00370588">
              <w:rPr>
                <w:rFonts w:ascii="Arial" w:eastAsia="Calibri" w:hAnsi="Arial" w:cs="Arial"/>
                <w:bCs/>
                <w:i/>
                <w:iCs/>
                <w:szCs w:val="22"/>
              </w:rPr>
              <w:t>Citrobacter spp.</w:t>
            </w:r>
            <w:r w:rsidRPr="00370588">
              <w:rPr>
                <w:rFonts w:ascii="Arial" w:eastAsia="Calibri" w:hAnsi="Arial" w:cs="Arial"/>
                <w:bCs/>
                <w:szCs w:val="22"/>
              </w:rPr>
              <w:t xml:space="preserve">, and </w:t>
            </w:r>
            <w:r w:rsidRPr="00370588">
              <w:rPr>
                <w:rFonts w:ascii="Arial" w:eastAsia="Calibri" w:hAnsi="Arial" w:cs="Arial"/>
                <w:bCs/>
                <w:i/>
                <w:iCs/>
                <w:szCs w:val="22"/>
              </w:rPr>
              <w:t>Shigella spp.</w:t>
            </w:r>
            <w:r w:rsidRPr="00370588">
              <w:rPr>
                <w:rFonts w:ascii="Arial" w:eastAsia="Calibri" w:hAnsi="Arial" w:cs="Arial"/>
                <w:bCs/>
                <w:szCs w:val="22"/>
              </w:rPr>
              <w:t xml:space="preserve"> using the disc diffusion method.</w:t>
            </w:r>
          </w:p>
          <w:p w14:paraId="39C66F75" w14:textId="4E30A6F0" w:rsidR="00370588" w:rsidRPr="00370588" w:rsidRDefault="00370588" w:rsidP="00370588">
            <w:pPr>
              <w:pStyle w:val="Body"/>
              <w:spacing w:after="0"/>
              <w:rPr>
                <w:rFonts w:ascii="Arial" w:eastAsia="Calibri" w:hAnsi="Arial" w:cs="Arial"/>
                <w:bCs/>
                <w:szCs w:val="22"/>
              </w:rPr>
            </w:pPr>
            <w:r w:rsidRPr="00370588">
              <w:rPr>
                <w:rFonts w:ascii="Arial" w:eastAsia="Calibri" w:hAnsi="Arial" w:cs="Arial"/>
                <w:b/>
                <w:bCs/>
                <w:szCs w:val="22"/>
              </w:rPr>
              <w:t>Results:</w:t>
            </w:r>
            <w:r w:rsidR="00A11261">
              <w:rPr>
                <w:rFonts w:ascii="Arial" w:eastAsia="Calibri" w:hAnsi="Arial" w:cs="Arial"/>
                <w:b/>
                <w:bCs/>
                <w:szCs w:val="22"/>
              </w:rPr>
              <w:t xml:space="preserve"> </w:t>
            </w:r>
            <w:r w:rsidRPr="00370588">
              <w:rPr>
                <w:rFonts w:ascii="Arial" w:eastAsia="Calibri" w:hAnsi="Arial" w:cs="Arial"/>
                <w:bCs/>
                <w:szCs w:val="22"/>
              </w:rPr>
              <w:t xml:space="preserve">Phytochemical analysis revealed alkaloids (37.14 ± 0.39 mg/100 g) as the most abundant compound, followed by flavonoids (19.73 ± 0.61 mg/100 g), phenols (14.36 ± 0.33 mg/100 g), and saponins (12.71 ± 0.16 mg/100 g), while glycosides (4.90 ± 0.09 mg/100 g) were least abundant. GC-MS analysis identified 23 bioactive compounds, with oleic acid being most prominent. The highest zone of inhibition was observed against </w:t>
            </w:r>
            <w:r w:rsidRPr="00370588">
              <w:rPr>
                <w:rFonts w:ascii="Arial" w:eastAsia="Calibri" w:hAnsi="Arial" w:cs="Arial"/>
                <w:bCs/>
                <w:i/>
                <w:iCs/>
                <w:szCs w:val="22"/>
              </w:rPr>
              <w:t>Enterobacter spp.</w:t>
            </w:r>
            <w:r w:rsidRPr="00370588">
              <w:rPr>
                <w:rFonts w:ascii="Arial" w:eastAsia="Calibri" w:hAnsi="Arial" w:cs="Arial"/>
                <w:bCs/>
                <w:szCs w:val="22"/>
              </w:rPr>
              <w:t xml:space="preserve"> (7.58 ± 0.50 mm at 50% concentration) and </w:t>
            </w:r>
            <w:r w:rsidRPr="00370588">
              <w:rPr>
                <w:rFonts w:ascii="Arial" w:eastAsia="Calibri" w:hAnsi="Arial" w:cs="Arial"/>
                <w:bCs/>
                <w:i/>
                <w:iCs/>
                <w:szCs w:val="22"/>
              </w:rPr>
              <w:t>Salmonella typhi</w:t>
            </w:r>
            <w:r w:rsidRPr="00370588">
              <w:rPr>
                <w:rFonts w:ascii="Arial" w:eastAsia="Calibri" w:hAnsi="Arial" w:cs="Arial"/>
                <w:bCs/>
                <w:szCs w:val="22"/>
              </w:rPr>
              <w:t xml:space="preserve"> (7.33 ± 0.45 mm at 50%).</w:t>
            </w:r>
          </w:p>
          <w:p w14:paraId="3D54EF34" w14:textId="01228563" w:rsidR="00505F06" w:rsidRPr="00A11261" w:rsidRDefault="00370588" w:rsidP="00441B6F">
            <w:pPr>
              <w:pStyle w:val="Body"/>
              <w:spacing w:after="0"/>
              <w:rPr>
                <w:rFonts w:ascii="Arial" w:eastAsia="Calibri" w:hAnsi="Arial" w:cs="Arial"/>
                <w:bCs/>
                <w:szCs w:val="22"/>
              </w:rPr>
            </w:pPr>
            <w:r w:rsidRPr="00370588">
              <w:rPr>
                <w:rFonts w:ascii="Arial" w:eastAsia="Calibri" w:hAnsi="Arial" w:cs="Arial"/>
                <w:b/>
                <w:bCs/>
                <w:szCs w:val="22"/>
              </w:rPr>
              <w:t>Conclusion:</w:t>
            </w:r>
            <w:r w:rsidR="00A11261">
              <w:rPr>
                <w:rFonts w:ascii="Arial" w:eastAsia="Calibri" w:hAnsi="Arial" w:cs="Arial"/>
                <w:b/>
                <w:bCs/>
                <w:szCs w:val="22"/>
              </w:rPr>
              <w:t xml:space="preserve"> </w:t>
            </w:r>
            <w:r w:rsidRPr="00370588">
              <w:rPr>
                <w:rFonts w:ascii="Arial" w:eastAsia="Calibri" w:hAnsi="Arial" w:cs="Arial"/>
                <w:bCs/>
                <w:szCs w:val="22"/>
              </w:rPr>
              <w:t xml:space="preserve">The study confirms that </w:t>
            </w:r>
            <w:r w:rsidRPr="00370588">
              <w:rPr>
                <w:rFonts w:ascii="Arial" w:eastAsia="Calibri" w:hAnsi="Arial" w:cs="Arial"/>
                <w:bCs/>
                <w:i/>
                <w:iCs/>
                <w:szCs w:val="22"/>
              </w:rPr>
              <w:t xml:space="preserve">Combretum </w:t>
            </w:r>
            <w:proofErr w:type="spellStart"/>
            <w:r w:rsidRPr="00370588">
              <w:rPr>
                <w:rFonts w:ascii="Arial" w:eastAsia="Calibri" w:hAnsi="Arial" w:cs="Arial"/>
                <w:bCs/>
                <w:i/>
                <w:iCs/>
                <w:szCs w:val="22"/>
              </w:rPr>
              <w:t>hispidum</w:t>
            </w:r>
            <w:proofErr w:type="spellEnd"/>
            <w:r w:rsidRPr="00370588">
              <w:rPr>
                <w:rFonts w:ascii="Arial" w:eastAsia="Calibri" w:hAnsi="Arial" w:cs="Arial"/>
                <w:bCs/>
                <w:szCs w:val="22"/>
              </w:rPr>
              <w:t xml:space="preserve"> leaf extract contains diverse bioactive phytochemicals with measurable antimicrobial properties, supporting its ethnomedicinal relevance.</w:t>
            </w:r>
          </w:p>
        </w:tc>
      </w:tr>
    </w:tbl>
    <w:p w14:paraId="2C79D142" w14:textId="77777777" w:rsidR="00636EB2" w:rsidRDefault="00636EB2" w:rsidP="00441B6F">
      <w:pPr>
        <w:pStyle w:val="Body"/>
        <w:spacing w:after="0"/>
        <w:rPr>
          <w:rFonts w:ascii="Arial" w:hAnsi="Arial" w:cs="Arial"/>
          <w:i/>
        </w:rPr>
      </w:pPr>
    </w:p>
    <w:p w14:paraId="5FF2A09E" w14:textId="4E728269" w:rsidR="0024282C" w:rsidRDefault="00A24E7E" w:rsidP="00441B6F">
      <w:pPr>
        <w:pStyle w:val="Body"/>
        <w:spacing w:after="0"/>
        <w:rPr>
          <w:rFonts w:ascii="Arial" w:hAnsi="Arial" w:cs="Arial"/>
          <w:i/>
          <w:sz w:val="18"/>
        </w:rPr>
      </w:pPr>
      <w:r>
        <w:rPr>
          <w:rFonts w:ascii="Arial" w:hAnsi="Arial" w:cs="Arial"/>
          <w:i/>
        </w:rPr>
        <w:t xml:space="preserve">Keywords: </w:t>
      </w:r>
      <w:r w:rsidR="00A11261" w:rsidRPr="00370588">
        <w:rPr>
          <w:rFonts w:ascii="Arial" w:eastAsia="Calibri" w:hAnsi="Arial" w:cs="Arial"/>
          <w:bCs/>
          <w:i/>
          <w:iCs/>
          <w:szCs w:val="22"/>
        </w:rPr>
        <w:t xml:space="preserve">Combretum </w:t>
      </w:r>
      <w:proofErr w:type="spellStart"/>
      <w:r w:rsidR="00A11261" w:rsidRPr="00370588">
        <w:rPr>
          <w:rFonts w:ascii="Arial" w:eastAsia="Calibri" w:hAnsi="Arial" w:cs="Arial"/>
          <w:bCs/>
          <w:i/>
          <w:iCs/>
          <w:szCs w:val="22"/>
        </w:rPr>
        <w:t>hispidum</w:t>
      </w:r>
      <w:proofErr w:type="spellEnd"/>
      <w:r w:rsidR="00A11261" w:rsidRPr="00370588">
        <w:rPr>
          <w:rFonts w:ascii="Arial" w:eastAsia="Calibri" w:hAnsi="Arial" w:cs="Arial"/>
          <w:bCs/>
          <w:szCs w:val="22"/>
        </w:rPr>
        <w:t>, phytochemicals, antimicrobial, medicinal plants, in vitro</w:t>
      </w:r>
    </w:p>
    <w:p w14:paraId="7A08AEE1" w14:textId="77777777" w:rsidR="00505F06" w:rsidRPr="00A24E7E" w:rsidRDefault="00505F06" w:rsidP="00441B6F">
      <w:pPr>
        <w:pStyle w:val="Body"/>
        <w:spacing w:after="0"/>
        <w:rPr>
          <w:rFonts w:ascii="Arial" w:hAnsi="Arial" w:cs="Arial"/>
          <w:i/>
        </w:rPr>
      </w:pPr>
    </w:p>
    <w:p w14:paraId="3A29EAA5" w14:textId="39C878E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51B8DFC" w14:textId="77777777" w:rsidR="00790ADA" w:rsidRPr="00FB3A86" w:rsidRDefault="00790ADA" w:rsidP="00441B6F">
      <w:pPr>
        <w:pStyle w:val="AbstHead"/>
        <w:spacing w:after="0"/>
        <w:jc w:val="both"/>
        <w:rPr>
          <w:rFonts w:ascii="Arial" w:hAnsi="Arial" w:cs="Arial"/>
        </w:rPr>
      </w:pPr>
    </w:p>
    <w:p w14:paraId="186F8B7D" w14:textId="4A85ABAE" w:rsidR="00FB474D" w:rsidRPr="00FB474D" w:rsidRDefault="00FB474D" w:rsidP="00FB474D">
      <w:pPr>
        <w:pStyle w:val="Body"/>
        <w:rPr>
          <w:rFonts w:ascii="Arial" w:hAnsi="Arial" w:cs="Arial"/>
        </w:rPr>
      </w:pPr>
      <w:r w:rsidRPr="00FB474D">
        <w:rPr>
          <w:rFonts w:ascii="Arial" w:hAnsi="Arial" w:cs="Arial"/>
        </w:rPr>
        <w:t xml:space="preserve">Medicinal plants remain a cornerstone of healthcare systems globally, especially in low-resource settings where access to modern medicine is limited. The World Health Organization (WHO) estimates that approximately 80% </w:t>
      </w:r>
      <w:r w:rsidR="00A11261" w:rsidRPr="00A11261">
        <w:rPr>
          <w:rFonts w:ascii="Arial" w:hAnsi="Arial" w:cs="Arial"/>
          <w:bCs/>
          <w:lang w:val="en-GB"/>
        </w:rPr>
        <w:t>of the population</w:t>
      </w:r>
      <w:r w:rsidR="00A11261" w:rsidRPr="00A11261">
        <w:rPr>
          <w:rFonts w:ascii="Arial" w:hAnsi="Arial" w:cs="Arial"/>
        </w:rPr>
        <w:t xml:space="preserve"> </w:t>
      </w:r>
      <w:r w:rsidRPr="00FB474D">
        <w:rPr>
          <w:rFonts w:ascii="Arial" w:hAnsi="Arial" w:cs="Arial"/>
        </w:rPr>
        <w:t xml:space="preserve">in developing countries </w:t>
      </w:r>
      <w:r w:rsidR="00A11261" w:rsidRPr="00A11261">
        <w:rPr>
          <w:rFonts w:ascii="Arial" w:hAnsi="Arial" w:cs="Arial"/>
          <w:bCs/>
          <w:lang w:val="en-GB"/>
        </w:rPr>
        <w:t>relies</w:t>
      </w:r>
      <w:r w:rsidR="00A11261" w:rsidRPr="00A11261">
        <w:rPr>
          <w:rFonts w:ascii="Arial" w:hAnsi="Arial" w:cs="Arial"/>
        </w:rPr>
        <w:t xml:space="preserve"> </w:t>
      </w:r>
      <w:r w:rsidRPr="00FB474D">
        <w:rPr>
          <w:rFonts w:ascii="Arial" w:hAnsi="Arial" w:cs="Arial"/>
        </w:rPr>
        <w:t xml:space="preserve">on traditional medicine for primary healthcare, with plant-based remedies forming the core of these practices (WHO, 2018; Akinyemi </w:t>
      </w:r>
      <w:r w:rsidRPr="00FB474D">
        <w:rPr>
          <w:rFonts w:ascii="Arial" w:hAnsi="Arial" w:cs="Arial"/>
          <w:i/>
          <w:iCs/>
        </w:rPr>
        <w:t>et al</w:t>
      </w:r>
      <w:r w:rsidRPr="00FB474D">
        <w:rPr>
          <w:rFonts w:ascii="Arial" w:hAnsi="Arial" w:cs="Arial"/>
        </w:rPr>
        <w:t>., 2018). This dependence arises from factors like affordability, cultural relevance, and perceived reduced side effects compared to synthetic pharmaceuticals (Monib, 2024). In resource-constrained regions, traditional medicinal plants provide critical therapeutic options due to economic barriers and inadequate healthcare infrastructure (</w:t>
      </w:r>
      <w:proofErr w:type="spellStart"/>
      <w:r w:rsidRPr="00FB474D">
        <w:rPr>
          <w:rFonts w:ascii="Arial" w:hAnsi="Arial" w:cs="Arial"/>
        </w:rPr>
        <w:t>Karunamoorthi</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2013; Akinyemi </w:t>
      </w:r>
      <w:r w:rsidRPr="00FB474D">
        <w:rPr>
          <w:rFonts w:ascii="Arial" w:hAnsi="Arial" w:cs="Arial"/>
          <w:i/>
          <w:iCs/>
        </w:rPr>
        <w:t>et al</w:t>
      </w:r>
      <w:r w:rsidRPr="00FB474D">
        <w:rPr>
          <w:rFonts w:ascii="Arial" w:hAnsi="Arial" w:cs="Arial"/>
        </w:rPr>
        <w:t xml:space="preserve">., 2018). Indigenous communities have preserved extensive ethnobotanical knowledge, utilizing over 50,000 identified plant species to treat diverse ailments through empirically validated practices (Monib, 2024; IUCN, 2023). These plants are repositories of bioactive phytochemicals such as alkaloids, flavonoids, and terpenoids which exhibit antimicrobial, anti-inflammatory, and antioxidative properties (Gu </w:t>
      </w:r>
      <w:r w:rsidRPr="00FB474D">
        <w:rPr>
          <w:rFonts w:ascii="Arial" w:hAnsi="Arial" w:cs="Arial"/>
          <w:i/>
          <w:iCs/>
        </w:rPr>
        <w:t>et al</w:t>
      </w:r>
      <w:r w:rsidRPr="00FB474D">
        <w:rPr>
          <w:rFonts w:ascii="Arial" w:hAnsi="Arial" w:cs="Arial"/>
        </w:rPr>
        <w:t xml:space="preserve">., 2014). Modern drug discovery increasingly leverages these compounds, isolating them for development into novel pharmaceuticals or using them as templates for synthetic analogs (Gu </w:t>
      </w:r>
      <w:r w:rsidRPr="00FB474D">
        <w:rPr>
          <w:rFonts w:ascii="Arial" w:hAnsi="Arial" w:cs="Arial"/>
          <w:i/>
          <w:iCs/>
        </w:rPr>
        <w:t>et al</w:t>
      </w:r>
      <w:r w:rsidRPr="00FB474D">
        <w:rPr>
          <w:rFonts w:ascii="Arial" w:hAnsi="Arial" w:cs="Arial"/>
        </w:rPr>
        <w:t xml:space="preserve">., 2014; </w:t>
      </w:r>
      <w:proofErr w:type="spellStart"/>
      <w:r w:rsidRPr="00FB474D">
        <w:rPr>
          <w:rFonts w:ascii="Arial" w:hAnsi="Arial" w:cs="Arial"/>
        </w:rPr>
        <w:t>Karunamoorthi</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2013).</w:t>
      </w:r>
    </w:p>
    <w:p w14:paraId="0A46F8C1" w14:textId="77777777" w:rsidR="00FB474D" w:rsidRPr="00FB474D" w:rsidRDefault="00FB474D" w:rsidP="00FB474D">
      <w:pPr>
        <w:pStyle w:val="Body"/>
        <w:spacing w:after="0"/>
        <w:rPr>
          <w:rFonts w:ascii="Arial" w:hAnsi="Arial" w:cs="Arial"/>
        </w:rPr>
      </w:pPr>
      <w:r w:rsidRPr="00FB474D">
        <w:rPr>
          <w:rFonts w:ascii="Arial" w:hAnsi="Arial" w:cs="Arial"/>
        </w:rPr>
        <w:t xml:space="preserve">One of the most pressing global health challenges today is antimicrobial resistance (AMR). AMR has escalated into a severe crisis, with resistant pathogens causing an estimated 1.27 million deaths in 2019 and contributing to nearly 5 million fatalities overall (Murray </w:t>
      </w:r>
      <w:r w:rsidRPr="00FB474D">
        <w:rPr>
          <w:rFonts w:ascii="Arial" w:hAnsi="Arial" w:cs="Arial"/>
          <w:i/>
          <w:iCs/>
        </w:rPr>
        <w:t>et al</w:t>
      </w:r>
      <w:r w:rsidRPr="00FB474D">
        <w:rPr>
          <w:rFonts w:ascii="Arial" w:hAnsi="Arial" w:cs="Arial"/>
        </w:rPr>
        <w:t>., 2022). The World Health Organization categorizes AMR as one of the greatest threats to health, food security, and development, as misuse and overuse of antibiotics especially in low- and middle-</w:t>
      </w:r>
      <w:r w:rsidRPr="00FB474D">
        <w:rPr>
          <w:rFonts w:ascii="Arial" w:hAnsi="Arial" w:cs="Arial"/>
        </w:rPr>
        <w:lastRenderedPageBreak/>
        <w:t>income countries continue to drive resistance. Predictions estimate that, by 2050, AMR could claim up to 10 million lives annually and incur economic losses up to USD 100 trillion, intensifying the urgency for discovering new antimicrobial agents (Chanel and Doherty, 2020).</w:t>
      </w:r>
    </w:p>
    <w:p w14:paraId="5FC1BC62" w14:textId="0A5BAF54" w:rsidR="00FB474D" w:rsidRPr="00FB474D" w:rsidRDefault="00FB474D" w:rsidP="00FB474D">
      <w:pPr>
        <w:pStyle w:val="Body"/>
        <w:spacing w:after="0"/>
        <w:rPr>
          <w:rFonts w:ascii="Arial" w:hAnsi="Arial" w:cs="Arial"/>
        </w:rPr>
      </w:pPr>
      <w:r w:rsidRPr="00FB474D">
        <w:rPr>
          <w:rFonts w:ascii="Arial" w:hAnsi="Arial" w:cs="Arial"/>
        </w:rPr>
        <w:t xml:space="preserve">This dire therapeutic landscape underscores an urgent need for novel antimicrobial compounds, particularly from natural sources. Plants produce complex phytochemicals such as flavonoids, alkaloids, tannins, and saponins that have evolved as defense mechanisms against microbial pathogens (Robino, 2024; </w:t>
      </w:r>
      <w:proofErr w:type="spellStart"/>
      <w:r w:rsidRPr="00FB474D">
        <w:rPr>
          <w:rFonts w:ascii="Arial" w:hAnsi="Arial" w:cs="Arial"/>
        </w:rPr>
        <w:t>Ushie</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2019). These compounds exhibit diverse mechanisms of action, including disruption of bacterial cell membranes, inhibition of energy metabolism, and interference with nucleic acid synthesis, making them promising candidates against multidrug-resistant strains (Sweet </w:t>
      </w:r>
      <w:r w:rsidRPr="00FB474D">
        <w:rPr>
          <w:rFonts w:ascii="Arial" w:hAnsi="Arial" w:cs="Arial"/>
          <w:i/>
          <w:iCs/>
        </w:rPr>
        <w:t>et al</w:t>
      </w:r>
      <w:r w:rsidRPr="00FB474D">
        <w:rPr>
          <w:rFonts w:ascii="Arial" w:hAnsi="Arial" w:cs="Arial"/>
        </w:rPr>
        <w:t xml:space="preserve">., 2023; Robino, 2024; </w:t>
      </w:r>
      <w:proofErr w:type="spellStart"/>
      <w:r w:rsidRPr="00FB474D">
        <w:rPr>
          <w:rFonts w:ascii="Arial" w:hAnsi="Arial" w:cs="Arial"/>
        </w:rPr>
        <w:t>Ushie</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2019). For instance, phytochemical screening of plants like </w:t>
      </w:r>
      <w:proofErr w:type="spellStart"/>
      <w:r w:rsidR="00A11261" w:rsidRPr="00A11261">
        <w:rPr>
          <w:rFonts w:ascii="Arial" w:hAnsi="Arial" w:cs="Arial"/>
          <w:bCs/>
          <w:i/>
          <w:iCs/>
          <w:lang w:val="en-GB"/>
        </w:rPr>
        <w:t>Thalictum</w:t>
      </w:r>
      <w:proofErr w:type="spellEnd"/>
      <w:r w:rsidR="00A11261" w:rsidRPr="00A11261">
        <w:rPr>
          <w:rFonts w:ascii="Arial" w:hAnsi="Arial" w:cs="Arial"/>
          <w:i/>
          <w:iCs/>
        </w:rPr>
        <w:t xml:space="preserve"> </w:t>
      </w:r>
      <w:proofErr w:type="spellStart"/>
      <w:r w:rsidRPr="00FB474D">
        <w:rPr>
          <w:rFonts w:ascii="Arial" w:hAnsi="Arial" w:cs="Arial"/>
          <w:i/>
          <w:iCs/>
        </w:rPr>
        <w:t>rhynchocarpum</w:t>
      </w:r>
      <w:proofErr w:type="spellEnd"/>
      <w:r w:rsidRPr="00FB474D">
        <w:rPr>
          <w:rFonts w:ascii="Arial" w:hAnsi="Arial" w:cs="Arial"/>
        </w:rPr>
        <w:t xml:space="preserve"> has revealed extracts with minimum inhibitory concentrations (MIC) as low as 0.48 </w:t>
      </w:r>
      <w:proofErr w:type="spellStart"/>
      <w:r w:rsidRPr="00FB474D">
        <w:rPr>
          <w:rFonts w:ascii="Arial" w:hAnsi="Arial" w:cs="Arial"/>
        </w:rPr>
        <w:t>μg</w:t>
      </w:r>
      <w:proofErr w:type="spellEnd"/>
      <w:r w:rsidRPr="00FB474D">
        <w:rPr>
          <w:rFonts w:ascii="Arial" w:hAnsi="Arial" w:cs="Arial"/>
        </w:rPr>
        <w:t xml:space="preserve">/mL against </w:t>
      </w:r>
      <w:r w:rsidRPr="00FB474D">
        <w:rPr>
          <w:rFonts w:ascii="Arial" w:hAnsi="Arial" w:cs="Arial"/>
          <w:i/>
          <w:iCs/>
        </w:rPr>
        <w:t>S. aureus</w:t>
      </w:r>
      <w:r w:rsidRPr="00FB474D">
        <w:rPr>
          <w:rFonts w:ascii="Arial" w:hAnsi="Arial" w:cs="Arial"/>
        </w:rPr>
        <w:t xml:space="preserve"> and </w:t>
      </w:r>
      <w:r w:rsidRPr="00FB474D">
        <w:rPr>
          <w:rFonts w:ascii="Arial" w:hAnsi="Arial" w:cs="Arial"/>
          <w:i/>
          <w:iCs/>
        </w:rPr>
        <w:t>E. coli</w:t>
      </w:r>
      <w:r w:rsidRPr="00FB474D">
        <w:rPr>
          <w:rFonts w:ascii="Arial" w:hAnsi="Arial" w:cs="Arial"/>
        </w:rPr>
        <w:t>, surpassing the efficacy of conventional antibiotics like gentamicin (</w:t>
      </w:r>
      <w:proofErr w:type="spellStart"/>
      <w:r w:rsidRPr="00FB474D">
        <w:rPr>
          <w:rFonts w:ascii="Arial" w:hAnsi="Arial" w:cs="Arial"/>
        </w:rPr>
        <w:t>Dubale</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2023). Similarly, thymol</w:t>
      </w:r>
      <w:r w:rsidR="00A11261">
        <w:rPr>
          <w:rFonts w:ascii="Arial" w:hAnsi="Arial" w:cs="Arial"/>
        </w:rPr>
        <w:t xml:space="preserve">, </w:t>
      </w:r>
      <w:r w:rsidRPr="00FB474D">
        <w:rPr>
          <w:rFonts w:ascii="Arial" w:hAnsi="Arial" w:cs="Arial"/>
        </w:rPr>
        <w:t xml:space="preserve">a monoterpene phenol demonstrates broad-spectrum activity, reducing viable populations of </w:t>
      </w:r>
      <w:r w:rsidRPr="00FB474D">
        <w:rPr>
          <w:rFonts w:ascii="Arial" w:hAnsi="Arial" w:cs="Arial"/>
          <w:i/>
          <w:iCs/>
        </w:rPr>
        <w:t>Salmonella enterica</w:t>
      </w:r>
      <w:r w:rsidRPr="00FB474D">
        <w:rPr>
          <w:rFonts w:ascii="Arial" w:hAnsi="Arial" w:cs="Arial"/>
        </w:rPr>
        <w:t xml:space="preserve"> by 66.8% and </w:t>
      </w:r>
      <w:r w:rsidRPr="00FB474D">
        <w:rPr>
          <w:rFonts w:ascii="Arial" w:hAnsi="Arial" w:cs="Arial"/>
          <w:i/>
          <w:iCs/>
        </w:rPr>
        <w:t>Listeria monocytogenes</w:t>
      </w:r>
      <w:r w:rsidRPr="00FB474D">
        <w:rPr>
          <w:rFonts w:ascii="Arial" w:hAnsi="Arial" w:cs="Arial"/>
        </w:rPr>
        <w:t xml:space="preserve"> by 70.2% at 0.5 mg/mL concentrations (Sweet </w:t>
      </w:r>
      <w:r w:rsidRPr="00FB474D">
        <w:rPr>
          <w:rFonts w:ascii="Arial" w:hAnsi="Arial" w:cs="Arial"/>
          <w:i/>
          <w:iCs/>
        </w:rPr>
        <w:t>et al</w:t>
      </w:r>
      <w:r w:rsidRPr="00FB474D">
        <w:rPr>
          <w:rFonts w:ascii="Arial" w:hAnsi="Arial" w:cs="Arial"/>
        </w:rPr>
        <w:t xml:space="preserve">., 2023). These phytochemicals offer a chemically diverse scaffold for developing new antimicrobials, with synergistic interactions enhancing their potency against resistant pathogens (Nascimento </w:t>
      </w:r>
      <w:r w:rsidRPr="00FB474D">
        <w:rPr>
          <w:rFonts w:ascii="Arial" w:hAnsi="Arial" w:cs="Arial"/>
          <w:i/>
          <w:iCs/>
        </w:rPr>
        <w:t>et al</w:t>
      </w:r>
      <w:r w:rsidRPr="00FB474D">
        <w:rPr>
          <w:rFonts w:ascii="Arial" w:hAnsi="Arial" w:cs="Arial"/>
        </w:rPr>
        <w:t>., 2000).</w:t>
      </w:r>
    </w:p>
    <w:p w14:paraId="2664E541" w14:textId="17706D8F" w:rsidR="00FB474D" w:rsidRPr="00FB474D" w:rsidRDefault="00FB474D" w:rsidP="00FB474D">
      <w:pPr>
        <w:pStyle w:val="Body"/>
        <w:spacing w:after="0"/>
        <w:rPr>
          <w:rFonts w:ascii="Arial" w:hAnsi="Arial" w:cs="Arial"/>
        </w:rPr>
      </w:pPr>
      <w:r w:rsidRPr="00FB474D">
        <w:rPr>
          <w:rFonts w:ascii="Arial" w:hAnsi="Arial" w:cs="Arial"/>
        </w:rPr>
        <w:t xml:space="preserve">Within this context, </w:t>
      </w:r>
      <w:r w:rsidRPr="00FB474D">
        <w:rPr>
          <w:rFonts w:ascii="Arial" w:hAnsi="Arial" w:cs="Arial"/>
          <w:i/>
          <w:iCs/>
        </w:rPr>
        <w:t xml:space="preserve">Combretum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 xml:space="preserve">emerges as a promising candidate for scientific exploration. It is a shrub species within the </w:t>
      </w:r>
      <w:proofErr w:type="spellStart"/>
      <w:r w:rsidRPr="00FB474D">
        <w:rPr>
          <w:rFonts w:ascii="Arial" w:hAnsi="Arial" w:cs="Arial"/>
        </w:rPr>
        <w:t>Combretaceae</w:t>
      </w:r>
      <w:proofErr w:type="spellEnd"/>
      <w:r w:rsidRPr="00FB474D">
        <w:rPr>
          <w:rFonts w:ascii="Arial" w:hAnsi="Arial" w:cs="Arial"/>
        </w:rPr>
        <w:t xml:space="preserve"> family, a </w:t>
      </w:r>
      <w:proofErr w:type="spellStart"/>
      <w:r w:rsidRPr="00FB474D">
        <w:rPr>
          <w:rFonts w:ascii="Arial" w:hAnsi="Arial" w:cs="Arial"/>
        </w:rPr>
        <w:t>taxon</w:t>
      </w:r>
      <w:proofErr w:type="spellEnd"/>
      <w:r w:rsidRPr="00FB474D">
        <w:rPr>
          <w:rFonts w:ascii="Arial" w:hAnsi="Arial" w:cs="Arial"/>
        </w:rPr>
        <w:t xml:space="preserve"> comprising approximately 600 species of trees, shrubs, and lianas predominantly distributed across tropical regions (</w:t>
      </w:r>
      <w:proofErr w:type="spellStart"/>
      <w:r w:rsidRPr="00FB474D">
        <w:rPr>
          <w:rFonts w:ascii="Arial" w:hAnsi="Arial" w:cs="Arial"/>
        </w:rPr>
        <w:t>Ogbole</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2016; de Morais Lima </w:t>
      </w:r>
      <w:r w:rsidRPr="00FB474D">
        <w:rPr>
          <w:rFonts w:ascii="Arial" w:hAnsi="Arial" w:cs="Arial"/>
          <w:i/>
          <w:iCs/>
        </w:rPr>
        <w:t>et al</w:t>
      </w:r>
      <w:r w:rsidRPr="00FB474D">
        <w:rPr>
          <w:rFonts w:ascii="Arial" w:hAnsi="Arial" w:cs="Arial"/>
        </w:rPr>
        <w:t xml:space="preserve">., 2012). Ethnomedical practices in West Africa historically utilize this plant for treating infections, fever, wound management, and diarrheal diseases, aligning with broader regional applications of </w:t>
      </w:r>
      <w:r w:rsidRPr="00FB474D">
        <w:rPr>
          <w:rFonts w:ascii="Arial" w:hAnsi="Arial" w:cs="Arial"/>
          <w:i/>
          <w:iCs/>
        </w:rPr>
        <w:t>Combretum</w:t>
      </w:r>
      <w:r w:rsidRPr="00FB474D">
        <w:rPr>
          <w:rFonts w:ascii="Arial" w:hAnsi="Arial" w:cs="Arial"/>
        </w:rPr>
        <w:t xml:space="preserve"> species as antimicrobial agents (</w:t>
      </w:r>
      <w:proofErr w:type="spellStart"/>
      <w:r w:rsidRPr="00FB474D">
        <w:rPr>
          <w:rFonts w:ascii="Arial" w:hAnsi="Arial" w:cs="Arial"/>
        </w:rPr>
        <w:t>Silén</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2023; </w:t>
      </w:r>
      <w:proofErr w:type="spellStart"/>
      <w:r w:rsidRPr="00FB474D">
        <w:rPr>
          <w:rFonts w:ascii="Arial" w:hAnsi="Arial" w:cs="Arial"/>
        </w:rPr>
        <w:t>Ejidike</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2023). Prior phytochemical analyses of congeners like </w:t>
      </w:r>
      <w:r w:rsidRPr="00FB474D">
        <w:rPr>
          <w:rFonts w:ascii="Arial" w:hAnsi="Arial" w:cs="Arial"/>
          <w:i/>
          <w:iCs/>
        </w:rPr>
        <w:t xml:space="preserve">Combretum </w:t>
      </w:r>
      <w:proofErr w:type="spellStart"/>
      <w:r w:rsidRPr="00FB474D">
        <w:rPr>
          <w:rFonts w:ascii="Arial" w:hAnsi="Arial" w:cs="Arial"/>
          <w:i/>
          <w:iCs/>
        </w:rPr>
        <w:t>micranthum</w:t>
      </w:r>
      <w:proofErr w:type="spellEnd"/>
      <w:r w:rsidRPr="00FB474D">
        <w:rPr>
          <w:rFonts w:ascii="Arial" w:hAnsi="Arial" w:cs="Arial"/>
        </w:rPr>
        <w:t xml:space="preserve"> reveal 155 bioactive compounds</w:t>
      </w:r>
      <w:r w:rsidR="00A11261">
        <w:rPr>
          <w:rFonts w:ascii="Arial" w:hAnsi="Arial" w:cs="Arial"/>
        </w:rPr>
        <w:t xml:space="preserve"> </w:t>
      </w:r>
      <w:r w:rsidRPr="00FB474D">
        <w:rPr>
          <w:rFonts w:ascii="Arial" w:hAnsi="Arial" w:cs="Arial"/>
        </w:rPr>
        <w:t xml:space="preserve">including flavonoids, phenolic acids, and alkaloids that demonstrate broad-spectrum antibacterial and antiviral activities (Tine </w:t>
      </w:r>
      <w:r w:rsidRPr="00FB474D">
        <w:rPr>
          <w:rFonts w:ascii="Arial" w:hAnsi="Arial" w:cs="Arial"/>
          <w:i/>
          <w:iCs/>
        </w:rPr>
        <w:t>et al</w:t>
      </w:r>
      <w:r w:rsidRPr="00FB474D">
        <w:rPr>
          <w:rFonts w:ascii="Arial" w:hAnsi="Arial" w:cs="Arial"/>
        </w:rPr>
        <w:t xml:space="preserve">., 2024; Taura </w:t>
      </w:r>
      <w:r w:rsidRPr="00FB474D">
        <w:rPr>
          <w:rFonts w:ascii="Arial" w:hAnsi="Arial" w:cs="Arial"/>
          <w:i/>
          <w:iCs/>
        </w:rPr>
        <w:t>et al</w:t>
      </w:r>
      <w:r w:rsidRPr="00FB474D">
        <w:rPr>
          <w:rFonts w:ascii="Arial" w:hAnsi="Arial" w:cs="Arial"/>
        </w:rPr>
        <w:t xml:space="preserve">., 2009). Similarly, </w:t>
      </w:r>
      <w:r w:rsidRPr="00FB474D">
        <w:rPr>
          <w:rFonts w:ascii="Arial" w:hAnsi="Arial" w:cs="Arial"/>
          <w:i/>
          <w:iCs/>
        </w:rPr>
        <w:t xml:space="preserve">Combretum molle </w:t>
      </w:r>
      <w:r w:rsidRPr="00FB474D">
        <w:rPr>
          <w:rFonts w:ascii="Arial" w:hAnsi="Arial" w:cs="Arial"/>
        </w:rPr>
        <w:t xml:space="preserve">bark extracts exhibit significant efficacy against Gram-positive and Gram-negative pathogens, with acetone extracts showing minimum inhibitory concentrations as low as 1.25 mg/mL against </w:t>
      </w:r>
      <w:r w:rsidRPr="00FB474D">
        <w:rPr>
          <w:rFonts w:ascii="Arial" w:hAnsi="Arial" w:cs="Arial"/>
          <w:i/>
          <w:iCs/>
        </w:rPr>
        <w:t>Streptococcus pyogenes</w:t>
      </w:r>
      <w:r w:rsidRPr="00FB474D">
        <w:rPr>
          <w:rFonts w:ascii="Arial" w:hAnsi="Arial" w:cs="Arial"/>
        </w:rPr>
        <w:t xml:space="preserve"> and </w:t>
      </w:r>
      <w:r w:rsidRPr="00FB474D">
        <w:rPr>
          <w:rFonts w:ascii="Arial" w:hAnsi="Arial" w:cs="Arial"/>
          <w:i/>
          <w:iCs/>
        </w:rPr>
        <w:t>Escherichia coli</w:t>
      </w:r>
      <w:r w:rsidRPr="00FB474D">
        <w:rPr>
          <w:rFonts w:ascii="Arial" w:hAnsi="Arial" w:cs="Arial"/>
        </w:rPr>
        <w:t xml:space="preserve"> (Ally, 2021; </w:t>
      </w:r>
      <w:proofErr w:type="spellStart"/>
      <w:r w:rsidRPr="00FB474D">
        <w:rPr>
          <w:rFonts w:ascii="Arial" w:hAnsi="Arial" w:cs="Arial"/>
        </w:rPr>
        <w:t>Parusnath</w:t>
      </w:r>
      <w:proofErr w:type="spellEnd"/>
      <w:r w:rsidRPr="00FB474D">
        <w:rPr>
          <w:rFonts w:ascii="Arial" w:hAnsi="Arial" w:cs="Arial"/>
        </w:rPr>
        <w:t xml:space="preserve"> </w:t>
      </w:r>
      <w:r w:rsidRPr="00FB474D">
        <w:rPr>
          <w:rFonts w:ascii="Arial" w:hAnsi="Arial" w:cs="Arial"/>
          <w:i/>
          <w:iCs/>
        </w:rPr>
        <w:t>et al</w:t>
      </w:r>
      <w:r w:rsidRPr="00FB474D">
        <w:rPr>
          <w:rFonts w:ascii="Arial" w:hAnsi="Arial" w:cs="Arial"/>
        </w:rPr>
        <w:t xml:space="preserve">., 2023). These findings not only affirm the antimicrobial potential of </w:t>
      </w:r>
      <w:r w:rsidRPr="00FB474D">
        <w:rPr>
          <w:rFonts w:ascii="Arial" w:hAnsi="Arial" w:cs="Arial"/>
          <w:i/>
          <w:iCs/>
        </w:rPr>
        <w:t>Combretum</w:t>
      </w:r>
      <w:r w:rsidRPr="00FB474D">
        <w:rPr>
          <w:rFonts w:ascii="Arial" w:hAnsi="Arial" w:cs="Arial"/>
        </w:rPr>
        <w:t xml:space="preserve"> species but also support the hypothesis that </w:t>
      </w:r>
      <w:r w:rsidRPr="00FB474D">
        <w:rPr>
          <w:rFonts w:ascii="Arial" w:hAnsi="Arial" w:cs="Arial"/>
          <w:i/>
          <w:iCs/>
        </w:rPr>
        <w:t xml:space="preserve">C.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may harbor similar or even novel bioactive agents.</w:t>
      </w:r>
    </w:p>
    <w:p w14:paraId="07BBA670" w14:textId="77777777" w:rsidR="00FB474D" w:rsidRPr="00FB474D" w:rsidRDefault="00FB474D" w:rsidP="00FB474D">
      <w:pPr>
        <w:pStyle w:val="Body"/>
        <w:spacing w:after="0"/>
        <w:rPr>
          <w:rFonts w:ascii="Arial" w:hAnsi="Arial" w:cs="Arial"/>
        </w:rPr>
      </w:pPr>
      <w:r w:rsidRPr="00FB474D">
        <w:rPr>
          <w:rFonts w:ascii="Arial" w:hAnsi="Arial" w:cs="Arial"/>
        </w:rPr>
        <w:t xml:space="preserve">Despite this promise, </w:t>
      </w:r>
      <w:r w:rsidRPr="00FB474D">
        <w:rPr>
          <w:rFonts w:ascii="Arial" w:hAnsi="Arial" w:cs="Arial"/>
          <w:i/>
          <w:iCs/>
        </w:rPr>
        <w:t xml:space="preserve">Combretum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 xml:space="preserve">remains largely uncharacterized in terms of phytochemistry and in vivo pharmacological validation. This study is justified because, despite ethnopharmacological evidence, </w:t>
      </w:r>
      <w:r w:rsidRPr="00FB474D">
        <w:rPr>
          <w:rFonts w:ascii="Arial" w:hAnsi="Arial" w:cs="Arial"/>
          <w:i/>
          <w:iCs/>
        </w:rPr>
        <w:t xml:space="preserve">C.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has yet to undergo comprehensive phytochemical profiling or in vivo pharmacological validation to substantiate its traditional antimicrobial uses.</w:t>
      </w:r>
    </w:p>
    <w:p w14:paraId="29989329" w14:textId="01708E2C" w:rsidR="00B01FCD" w:rsidRDefault="00FB474D" w:rsidP="00FB474D">
      <w:pPr>
        <w:pStyle w:val="Body"/>
        <w:spacing w:after="0"/>
        <w:rPr>
          <w:rFonts w:ascii="Arial" w:hAnsi="Arial" w:cs="Arial"/>
        </w:rPr>
      </w:pPr>
      <w:r w:rsidRPr="00FB474D">
        <w:rPr>
          <w:rFonts w:ascii="Arial" w:hAnsi="Arial" w:cs="Arial"/>
        </w:rPr>
        <w:t xml:space="preserve">This study therefore aims to evaluate the phytochemical composition and antimicrobial potential of </w:t>
      </w:r>
      <w:r w:rsidRPr="00FB474D">
        <w:rPr>
          <w:rFonts w:ascii="Arial" w:hAnsi="Arial" w:cs="Arial"/>
          <w:i/>
          <w:iCs/>
        </w:rPr>
        <w:t xml:space="preserve">Combretum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leaf extract thereby contributing to the search for novel plant-based therapeutic agents.</w:t>
      </w:r>
    </w:p>
    <w:p w14:paraId="5D526463" w14:textId="77777777" w:rsidR="00790ADA" w:rsidRPr="00FB3A86" w:rsidRDefault="00790ADA" w:rsidP="00441B6F">
      <w:pPr>
        <w:pStyle w:val="Body"/>
        <w:spacing w:after="0"/>
        <w:rPr>
          <w:rFonts w:ascii="Arial" w:hAnsi="Arial" w:cs="Arial"/>
        </w:rPr>
      </w:pPr>
    </w:p>
    <w:p w14:paraId="3CE2084D" w14:textId="14DE514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6653FC0" w14:textId="77777777" w:rsidR="00790ADA" w:rsidRPr="00FB3A86" w:rsidRDefault="00790ADA" w:rsidP="00441B6F">
      <w:pPr>
        <w:pStyle w:val="AbstHead"/>
        <w:spacing w:after="0"/>
        <w:jc w:val="both"/>
        <w:rPr>
          <w:rFonts w:ascii="Arial" w:hAnsi="Arial" w:cs="Arial"/>
        </w:rPr>
      </w:pPr>
    </w:p>
    <w:p w14:paraId="67EAB10B" w14:textId="77777777" w:rsidR="00FB474D" w:rsidRPr="00FB474D" w:rsidRDefault="00FB474D" w:rsidP="00FB474D">
      <w:pPr>
        <w:pStyle w:val="Body"/>
        <w:spacing w:after="0"/>
        <w:jc w:val="left"/>
        <w:rPr>
          <w:rFonts w:ascii="Arial" w:hAnsi="Arial" w:cs="Arial"/>
          <w:sz w:val="22"/>
          <w:szCs w:val="22"/>
        </w:rPr>
      </w:pPr>
      <w:r w:rsidRPr="00FB474D">
        <w:rPr>
          <w:rFonts w:ascii="Arial" w:hAnsi="Arial" w:cs="Arial"/>
          <w:b/>
          <w:bCs/>
          <w:sz w:val="22"/>
          <w:szCs w:val="22"/>
        </w:rPr>
        <w:t>2.1</w:t>
      </w:r>
      <w:r w:rsidRPr="00FB474D">
        <w:rPr>
          <w:rFonts w:ascii="Arial" w:hAnsi="Arial" w:cs="Arial"/>
          <w:b/>
          <w:bCs/>
          <w:sz w:val="22"/>
          <w:szCs w:val="22"/>
        </w:rPr>
        <w:tab/>
        <w:t>Collection and identification of the plant</w:t>
      </w:r>
    </w:p>
    <w:p w14:paraId="3196DE72" w14:textId="1ABF5A60" w:rsidR="00FB474D" w:rsidRPr="00FB474D" w:rsidRDefault="00FB474D" w:rsidP="00FB474D">
      <w:pPr>
        <w:pStyle w:val="Body"/>
        <w:spacing w:after="0"/>
        <w:rPr>
          <w:rFonts w:ascii="Arial" w:hAnsi="Arial" w:cs="Arial"/>
          <w:bCs/>
        </w:rPr>
      </w:pPr>
      <w:r w:rsidRPr="00FB474D">
        <w:rPr>
          <w:rFonts w:ascii="Arial" w:hAnsi="Arial" w:cs="Arial"/>
        </w:rPr>
        <w:t xml:space="preserve">Fresh leaves of </w:t>
      </w:r>
      <w:r w:rsidRPr="00FB474D">
        <w:rPr>
          <w:rFonts w:ascii="Arial" w:hAnsi="Arial" w:cs="Arial"/>
          <w:i/>
          <w:iCs/>
        </w:rPr>
        <w:t xml:space="preserve">C.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 xml:space="preserve">were plucked from a farm settlement in </w:t>
      </w:r>
      <w:proofErr w:type="spellStart"/>
      <w:r w:rsidRPr="00FB474D">
        <w:rPr>
          <w:rFonts w:ascii="Arial" w:hAnsi="Arial" w:cs="Arial"/>
          <w:bCs/>
        </w:rPr>
        <w:t>Ahaba</w:t>
      </w:r>
      <w:proofErr w:type="spellEnd"/>
      <w:r w:rsidRPr="00FB474D">
        <w:rPr>
          <w:rFonts w:ascii="Arial" w:hAnsi="Arial" w:cs="Arial"/>
          <w:bCs/>
        </w:rPr>
        <w:t xml:space="preserve"> </w:t>
      </w:r>
      <w:proofErr w:type="spellStart"/>
      <w:r w:rsidRPr="00FB474D">
        <w:rPr>
          <w:rFonts w:ascii="Arial" w:hAnsi="Arial" w:cs="Arial"/>
          <w:bCs/>
        </w:rPr>
        <w:t>Oloko</w:t>
      </w:r>
      <w:proofErr w:type="spellEnd"/>
      <w:r w:rsidRPr="00FB474D">
        <w:rPr>
          <w:rFonts w:ascii="Arial" w:hAnsi="Arial" w:cs="Arial"/>
          <w:bCs/>
        </w:rPr>
        <w:t xml:space="preserve"> in </w:t>
      </w:r>
      <w:proofErr w:type="spellStart"/>
      <w:r w:rsidRPr="00FB474D">
        <w:rPr>
          <w:rFonts w:ascii="Arial" w:hAnsi="Arial" w:cs="Arial"/>
          <w:bCs/>
        </w:rPr>
        <w:t>Ikwuano</w:t>
      </w:r>
      <w:proofErr w:type="spellEnd"/>
      <w:r w:rsidRPr="00FB474D">
        <w:rPr>
          <w:rFonts w:ascii="Arial" w:hAnsi="Arial" w:cs="Arial"/>
          <w:bCs/>
        </w:rPr>
        <w:t xml:space="preserve"> Local Government Area, Umuahia Abia State</w:t>
      </w:r>
      <w:r w:rsidRPr="00FB474D">
        <w:rPr>
          <w:rFonts w:ascii="Arial" w:hAnsi="Arial" w:cs="Arial"/>
        </w:rPr>
        <w:t xml:space="preserve">, Nigeria and were authenticated at the Department of Forestry, College of Natural Resources and Environmental Management, Michael Okpara University of Agriculture, Umudike </w:t>
      </w:r>
      <w:r w:rsidR="00A11261">
        <w:rPr>
          <w:rFonts w:ascii="Arial" w:hAnsi="Arial" w:cs="Arial"/>
        </w:rPr>
        <w:t>20th</w:t>
      </w:r>
      <w:r w:rsidRPr="00FB474D">
        <w:rPr>
          <w:rFonts w:ascii="Arial" w:hAnsi="Arial" w:cs="Arial"/>
        </w:rPr>
        <w:t xml:space="preserve"> June, 2022 by Dr. Emmanuel Udoka. </w:t>
      </w:r>
      <w:r w:rsidRPr="00FB474D">
        <w:rPr>
          <w:rFonts w:ascii="Arial" w:hAnsi="Arial" w:cs="Arial"/>
          <w:bCs/>
        </w:rPr>
        <w:t xml:space="preserve">The leaves were washed with distilled water and spread on a clean mat in a well-ventilated room with regular turning to enhance even drying and to avoid decaying. Drying of the leaves took place over a period of </w:t>
      </w:r>
      <w:r w:rsidR="00B65BB9">
        <w:rPr>
          <w:rFonts w:ascii="Arial" w:hAnsi="Arial" w:cs="Arial"/>
          <w:bCs/>
        </w:rPr>
        <w:t>14</w:t>
      </w:r>
      <w:r w:rsidRPr="00FB474D">
        <w:rPr>
          <w:rFonts w:ascii="Arial" w:hAnsi="Arial" w:cs="Arial"/>
          <w:bCs/>
        </w:rPr>
        <w:t xml:space="preserve"> days. Plant material was validated on </w:t>
      </w:r>
      <w:hyperlink r:id="rId14" w:history="1">
        <w:r w:rsidRPr="00FB474D">
          <w:rPr>
            <w:rStyle w:val="Hyperlink"/>
            <w:rFonts w:ascii="Arial" w:hAnsi="Arial" w:cs="Arial"/>
            <w:bCs/>
          </w:rPr>
          <w:t>http://www.worldfloraonline.or/taxon/wfo-0001328093</w:t>
        </w:r>
      </w:hyperlink>
      <w:r w:rsidRPr="00FB474D">
        <w:rPr>
          <w:rFonts w:ascii="Arial" w:hAnsi="Arial" w:cs="Arial"/>
          <w:bCs/>
        </w:rPr>
        <w:t>, accessed on: August, 7</w:t>
      </w:r>
      <w:r w:rsidRPr="00FB474D">
        <w:rPr>
          <w:rFonts w:ascii="Arial" w:hAnsi="Arial" w:cs="Arial"/>
          <w:bCs/>
          <w:vertAlign w:val="superscript"/>
        </w:rPr>
        <w:t>th</w:t>
      </w:r>
      <w:r w:rsidRPr="00FB474D">
        <w:rPr>
          <w:rFonts w:ascii="Arial" w:hAnsi="Arial" w:cs="Arial"/>
          <w:bCs/>
        </w:rPr>
        <w:t xml:space="preserve"> 2024. </w:t>
      </w:r>
      <w:r w:rsidRPr="00FB474D">
        <w:rPr>
          <w:rFonts w:ascii="Arial" w:hAnsi="Arial" w:cs="Arial"/>
        </w:rPr>
        <w:t>Dried sample of the material was assigned voucher number MOUAU/ZEB/HERB/22/002 and preserved in the herbarium of the Department of Zoology and Environmental Biology, Michael Okpara University of Agriculture, Umudike</w:t>
      </w:r>
      <w:r w:rsidRPr="00FB474D">
        <w:rPr>
          <w:rFonts w:ascii="Arial" w:hAnsi="Arial" w:cs="Arial"/>
          <w:bCs/>
        </w:rPr>
        <w:t>.</w:t>
      </w:r>
    </w:p>
    <w:p w14:paraId="03E08107" w14:textId="77777777" w:rsidR="00FB474D" w:rsidRPr="00FB474D" w:rsidRDefault="00FB474D" w:rsidP="00FB474D">
      <w:pPr>
        <w:pStyle w:val="Body"/>
        <w:spacing w:after="0"/>
        <w:jc w:val="left"/>
        <w:rPr>
          <w:rFonts w:ascii="Arial" w:hAnsi="Arial" w:cs="Arial"/>
          <w:b/>
          <w:sz w:val="22"/>
          <w:szCs w:val="22"/>
        </w:rPr>
      </w:pPr>
      <w:r w:rsidRPr="00FB474D">
        <w:rPr>
          <w:rFonts w:ascii="Arial" w:hAnsi="Arial" w:cs="Arial"/>
          <w:b/>
          <w:sz w:val="22"/>
          <w:szCs w:val="22"/>
        </w:rPr>
        <w:t>2.2</w:t>
      </w:r>
      <w:r w:rsidRPr="00FB474D">
        <w:rPr>
          <w:rFonts w:ascii="Arial" w:hAnsi="Arial" w:cs="Arial"/>
          <w:b/>
          <w:sz w:val="22"/>
          <w:szCs w:val="22"/>
        </w:rPr>
        <w:tab/>
        <w:t>Preparation of plant extracts</w:t>
      </w:r>
    </w:p>
    <w:p w14:paraId="0820B5B2" w14:textId="77777777" w:rsidR="001605FD" w:rsidRPr="001605FD" w:rsidRDefault="001605FD" w:rsidP="001605FD">
      <w:pPr>
        <w:pStyle w:val="Body"/>
        <w:spacing w:after="0"/>
        <w:rPr>
          <w:rFonts w:ascii="Arial" w:hAnsi="Arial" w:cs="Arial"/>
        </w:rPr>
      </w:pPr>
      <w:r w:rsidRPr="001605FD">
        <w:rPr>
          <w:rFonts w:ascii="Arial" w:hAnsi="Arial" w:cs="Arial"/>
        </w:rPr>
        <w:t xml:space="preserve">The leaf extract was prepared using the cold maceration method. Fresh leaves of </w:t>
      </w:r>
      <w:r w:rsidRPr="001605FD">
        <w:rPr>
          <w:rFonts w:ascii="Arial" w:hAnsi="Arial" w:cs="Arial"/>
          <w:i/>
          <w:iCs/>
        </w:rPr>
        <w:t xml:space="preserve">C. </w:t>
      </w:r>
      <w:proofErr w:type="spellStart"/>
      <w:r w:rsidRPr="001605FD">
        <w:rPr>
          <w:rFonts w:ascii="Arial" w:hAnsi="Arial" w:cs="Arial"/>
          <w:i/>
          <w:iCs/>
        </w:rPr>
        <w:t>hispidum</w:t>
      </w:r>
      <w:proofErr w:type="spellEnd"/>
      <w:r w:rsidRPr="001605FD">
        <w:rPr>
          <w:rFonts w:ascii="Arial" w:hAnsi="Arial" w:cs="Arial"/>
        </w:rPr>
        <w:t xml:space="preserve"> were dried under shade at room temperature on a laboratory bench for 14 days and ground into fine powder using a manual blender. A total of 300 g of the powdered sample was macerated in 1.5 L of 96% ethanol in a sealed glass container and left undisturbed for 48 hours at room temperature. The mixture was filtered using muslin cloth followed by Whatman No. 1 filter paper. The filtrate was evaporated to dryness at 40 °C using a hot air oven to yield a brown pasty extract.</w:t>
      </w:r>
    </w:p>
    <w:p w14:paraId="69E72C4D" w14:textId="77777777" w:rsidR="001605FD" w:rsidRPr="001605FD" w:rsidRDefault="001605FD" w:rsidP="001605FD">
      <w:pPr>
        <w:pStyle w:val="Body"/>
        <w:spacing w:after="0"/>
        <w:rPr>
          <w:rFonts w:ascii="Arial" w:hAnsi="Arial" w:cs="Arial"/>
        </w:rPr>
      </w:pPr>
      <w:r w:rsidRPr="001605FD">
        <w:rPr>
          <w:rFonts w:ascii="Arial" w:hAnsi="Arial" w:cs="Arial"/>
        </w:rPr>
        <w:t>The total weight of the dried extract obtained was 9.25 g. Extraction efficiency was calculated using the formula:</w:t>
      </w:r>
    </w:p>
    <w:p w14:paraId="649B807A" w14:textId="77777777" w:rsidR="001605FD" w:rsidRDefault="001605FD" w:rsidP="001605FD">
      <w:pPr>
        <w:pStyle w:val="Body"/>
        <w:spacing w:after="0"/>
        <w:rPr>
          <w:rFonts w:ascii="Arial" w:hAnsi="Arial" w:cs="Arial"/>
        </w:rPr>
      </w:pPr>
      <w:r w:rsidRPr="001605FD">
        <w:rPr>
          <w:rFonts w:ascii="Arial" w:hAnsi="Arial" w:cs="Arial"/>
        </w:rPr>
        <w:t>% Yield = (Weight of extract / Weight of plant material) × 100 = (9.25 g / 300 g) × 100 = 3.08%</w:t>
      </w:r>
    </w:p>
    <w:p w14:paraId="060AE9DD" w14:textId="77777777" w:rsidR="00761F0E" w:rsidRDefault="00761F0E" w:rsidP="00761F0E">
      <w:pPr>
        <w:pStyle w:val="Body"/>
        <w:rPr>
          <w:rFonts w:ascii="Arial" w:hAnsi="Arial" w:cs="Arial"/>
        </w:rPr>
      </w:pPr>
    </w:p>
    <w:p w14:paraId="6BE682F3" w14:textId="77777777" w:rsidR="00761F0E" w:rsidRDefault="00761F0E" w:rsidP="00761F0E">
      <w:pPr>
        <w:pStyle w:val="Body"/>
        <w:rPr>
          <w:rFonts w:ascii="Arial" w:hAnsi="Arial" w:cs="Arial"/>
        </w:rPr>
      </w:pPr>
    </w:p>
    <w:p w14:paraId="32273E13" w14:textId="77777777" w:rsidR="00761F0E" w:rsidRDefault="00761F0E" w:rsidP="00761F0E">
      <w:pPr>
        <w:pStyle w:val="Body"/>
        <w:rPr>
          <w:rFonts w:ascii="Arial" w:hAnsi="Arial" w:cs="Arial"/>
        </w:rPr>
      </w:pPr>
    </w:p>
    <w:p w14:paraId="5E7D129A" w14:textId="77777777" w:rsidR="00761F0E" w:rsidRDefault="00761F0E" w:rsidP="00761F0E">
      <w:pPr>
        <w:pStyle w:val="Body"/>
        <w:rPr>
          <w:rFonts w:ascii="Arial" w:hAnsi="Arial" w:cs="Arial"/>
        </w:rPr>
      </w:pPr>
    </w:p>
    <w:p w14:paraId="16827231" w14:textId="26852F87" w:rsidR="00761F0E" w:rsidRPr="00761F0E" w:rsidRDefault="00761F0E" w:rsidP="00761F0E">
      <w:pPr>
        <w:pStyle w:val="Body"/>
        <w:rPr>
          <w:rFonts w:ascii="Arial" w:hAnsi="Arial" w:cs="Arial"/>
          <w:b/>
          <w:bCs/>
        </w:rPr>
      </w:pPr>
      <w:r w:rsidRPr="00761F0E">
        <w:rPr>
          <w:rFonts w:ascii="Arial" w:hAnsi="Arial" w:cs="Arial"/>
          <w:b/>
          <w:bCs/>
        </w:rPr>
        <w:lastRenderedPageBreak/>
        <w:t xml:space="preserve">Figure 1: Step by step schematic diagram for extraction of </w:t>
      </w:r>
      <w:r w:rsidRPr="00761F0E">
        <w:rPr>
          <w:rFonts w:ascii="Arial" w:hAnsi="Arial" w:cs="Arial"/>
          <w:b/>
          <w:bCs/>
          <w:i/>
          <w:iCs/>
        </w:rPr>
        <w:t xml:space="preserve">C. </w:t>
      </w:r>
      <w:proofErr w:type="spellStart"/>
      <w:r w:rsidRPr="00761F0E">
        <w:rPr>
          <w:rFonts w:ascii="Arial" w:hAnsi="Arial" w:cs="Arial"/>
          <w:b/>
          <w:bCs/>
          <w:i/>
          <w:iCs/>
        </w:rPr>
        <w:t>hispidum</w:t>
      </w:r>
      <w:proofErr w:type="spellEnd"/>
      <w:r w:rsidRPr="00761F0E">
        <w:rPr>
          <w:rFonts w:ascii="Arial" w:hAnsi="Arial" w:cs="Arial"/>
          <w:b/>
          <w:bCs/>
        </w:rPr>
        <w:t xml:space="preserve"> leaf</w:t>
      </w:r>
    </w:p>
    <w:p w14:paraId="56C34CE5" w14:textId="25638E9B" w:rsidR="00761F0E" w:rsidRDefault="00761F0E" w:rsidP="001605FD">
      <w:pPr>
        <w:pStyle w:val="Body"/>
        <w:spacing w:after="0"/>
        <w:rPr>
          <w:rFonts w:ascii="Arial" w:hAnsi="Arial" w:cs="Arial"/>
        </w:rPr>
      </w:pPr>
    </w:p>
    <w:p w14:paraId="6DA2E503" w14:textId="725BCDFC" w:rsidR="004D4964" w:rsidRDefault="00761F0E" w:rsidP="001605FD">
      <w:pPr>
        <w:pStyle w:val="Body"/>
        <w:spacing w:after="0"/>
        <w:rPr>
          <w:rFonts w:ascii="Arial" w:hAnsi="Arial" w:cs="Arial"/>
        </w:rPr>
      </w:pPr>
      <w:r w:rsidRPr="00761F0E">
        <w:drawing>
          <wp:inline distT="0" distB="0" distL="0" distR="0" wp14:anchorId="4B382152" wp14:editId="477F1BD6">
            <wp:extent cx="5943600" cy="1905000"/>
            <wp:effectExtent l="0" t="0" r="0" b="0"/>
            <wp:docPr id="2239999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14:paraId="1A33D3E3" w14:textId="2B0DF549" w:rsidR="004D4964" w:rsidRPr="001605FD" w:rsidRDefault="004D4964" w:rsidP="001605FD">
      <w:pPr>
        <w:pStyle w:val="Body"/>
        <w:spacing w:after="0"/>
        <w:rPr>
          <w:rFonts w:ascii="Arial" w:hAnsi="Arial" w:cs="Arial"/>
        </w:rPr>
      </w:pPr>
    </w:p>
    <w:p w14:paraId="01960B6F" w14:textId="77777777" w:rsidR="00FB474D" w:rsidRPr="00FB474D" w:rsidRDefault="00FB474D" w:rsidP="00FB474D">
      <w:pPr>
        <w:pStyle w:val="Body"/>
        <w:spacing w:after="0"/>
        <w:jc w:val="left"/>
        <w:rPr>
          <w:rFonts w:ascii="Arial" w:hAnsi="Arial" w:cs="Arial"/>
          <w:b/>
          <w:bCs/>
          <w:sz w:val="22"/>
          <w:szCs w:val="22"/>
        </w:rPr>
      </w:pPr>
      <w:r w:rsidRPr="00FB474D">
        <w:rPr>
          <w:rFonts w:ascii="Arial" w:hAnsi="Arial" w:cs="Arial"/>
          <w:b/>
          <w:bCs/>
          <w:sz w:val="22"/>
          <w:szCs w:val="22"/>
        </w:rPr>
        <w:t>2.3</w:t>
      </w:r>
      <w:r w:rsidRPr="00FB474D">
        <w:rPr>
          <w:rFonts w:ascii="Arial" w:hAnsi="Arial" w:cs="Arial"/>
          <w:b/>
          <w:bCs/>
          <w:sz w:val="22"/>
          <w:szCs w:val="22"/>
        </w:rPr>
        <w:tab/>
        <w:t xml:space="preserve">Phytochemical analysis of </w:t>
      </w:r>
      <w:r w:rsidRPr="00FB474D">
        <w:rPr>
          <w:rFonts w:ascii="Arial" w:hAnsi="Arial" w:cs="Arial"/>
          <w:b/>
          <w:bCs/>
          <w:i/>
          <w:iCs/>
          <w:sz w:val="22"/>
          <w:szCs w:val="22"/>
        </w:rPr>
        <w:t xml:space="preserve">C. </w:t>
      </w:r>
      <w:proofErr w:type="spellStart"/>
      <w:r w:rsidRPr="00FB474D">
        <w:rPr>
          <w:rFonts w:ascii="Arial" w:hAnsi="Arial" w:cs="Arial"/>
          <w:b/>
          <w:bCs/>
          <w:i/>
          <w:iCs/>
          <w:sz w:val="22"/>
          <w:szCs w:val="22"/>
        </w:rPr>
        <w:t>hispidum</w:t>
      </w:r>
      <w:proofErr w:type="spellEnd"/>
      <w:r w:rsidRPr="00FB474D">
        <w:rPr>
          <w:rFonts w:ascii="Arial" w:hAnsi="Arial" w:cs="Arial"/>
          <w:b/>
          <w:bCs/>
          <w:i/>
          <w:iCs/>
          <w:sz w:val="22"/>
          <w:szCs w:val="22"/>
        </w:rPr>
        <w:t xml:space="preserve"> </w:t>
      </w:r>
      <w:r w:rsidRPr="00FB474D">
        <w:rPr>
          <w:rFonts w:ascii="Arial" w:hAnsi="Arial" w:cs="Arial"/>
          <w:b/>
          <w:bCs/>
          <w:sz w:val="22"/>
          <w:szCs w:val="22"/>
        </w:rPr>
        <w:t>leaf extract</w:t>
      </w:r>
    </w:p>
    <w:p w14:paraId="7441571F" w14:textId="5C94CB91" w:rsidR="00FB474D" w:rsidRPr="00FB474D" w:rsidRDefault="00FB474D" w:rsidP="00FB474D">
      <w:pPr>
        <w:pStyle w:val="Body"/>
        <w:spacing w:after="0"/>
        <w:rPr>
          <w:rFonts w:ascii="Arial" w:hAnsi="Arial" w:cs="Arial"/>
        </w:rPr>
      </w:pPr>
      <w:r w:rsidRPr="00FB474D">
        <w:rPr>
          <w:rFonts w:ascii="Arial" w:hAnsi="Arial" w:cs="Arial"/>
        </w:rPr>
        <w:t xml:space="preserve">Qualitative and quantitative phytochemical studies of </w:t>
      </w:r>
      <w:r w:rsidRPr="00FB474D">
        <w:rPr>
          <w:rFonts w:ascii="Arial" w:hAnsi="Arial" w:cs="Arial"/>
          <w:i/>
          <w:iCs/>
        </w:rPr>
        <w:t xml:space="preserve">C. </w:t>
      </w:r>
      <w:proofErr w:type="spellStart"/>
      <w:r w:rsidRPr="00FB474D">
        <w:rPr>
          <w:rFonts w:ascii="Arial" w:hAnsi="Arial" w:cs="Arial"/>
          <w:i/>
          <w:iCs/>
        </w:rPr>
        <w:t>hispidum</w:t>
      </w:r>
      <w:proofErr w:type="spellEnd"/>
      <w:r w:rsidRPr="00FB474D">
        <w:rPr>
          <w:rFonts w:ascii="Arial" w:hAnsi="Arial" w:cs="Arial"/>
          <w:i/>
          <w:iCs/>
        </w:rPr>
        <w:t xml:space="preserve"> </w:t>
      </w:r>
      <w:r w:rsidRPr="00FB474D">
        <w:rPr>
          <w:rFonts w:ascii="Arial" w:hAnsi="Arial" w:cs="Arial"/>
        </w:rPr>
        <w:t xml:space="preserve">leaf extract </w:t>
      </w:r>
      <w:r w:rsidR="00A11261">
        <w:rPr>
          <w:rFonts w:ascii="Arial" w:hAnsi="Arial" w:cs="Arial"/>
        </w:rPr>
        <w:t>was</w:t>
      </w:r>
      <w:r w:rsidRPr="00FB474D">
        <w:rPr>
          <w:rFonts w:ascii="Arial" w:hAnsi="Arial" w:cs="Arial"/>
        </w:rPr>
        <w:t xml:space="preserve"> carried out using the methods of Harborne (1998) as reported by Deka and Kalita, (2012), while gas chromatography mass spectrometry (GCMS) analysis of the extract was carried out as was reported by Ukpai </w:t>
      </w:r>
      <w:r w:rsidRPr="00FB474D">
        <w:rPr>
          <w:rFonts w:ascii="Arial" w:hAnsi="Arial" w:cs="Arial"/>
          <w:i/>
          <w:iCs/>
        </w:rPr>
        <w:t>et al</w:t>
      </w:r>
      <w:r w:rsidRPr="00FB474D">
        <w:rPr>
          <w:rFonts w:ascii="Arial" w:hAnsi="Arial" w:cs="Arial"/>
        </w:rPr>
        <w:t>., (2023).</w:t>
      </w:r>
    </w:p>
    <w:p w14:paraId="09B82A24" w14:textId="77777777" w:rsidR="00FB474D" w:rsidRPr="00FB474D" w:rsidRDefault="00FB474D" w:rsidP="00FB474D">
      <w:pPr>
        <w:pStyle w:val="Body"/>
        <w:rPr>
          <w:rFonts w:ascii="Arial" w:hAnsi="Arial" w:cs="Arial"/>
          <w:b/>
          <w:sz w:val="22"/>
          <w:szCs w:val="22"/>
        </w:rPr>
      </w:pPr>
      <w:r w:rsidRPr="00FB474D">
        <w:rPr>
          <w:rFonts w:ascii="Arial" w:hAnsi="Arial" w:cs="Arial"/>
          <w:b/>
          <w:sz w:val="22"/>
          <w:szCs w:val="22"/>
        </w:rPr>
        <w:t>2.4</w:t>
      </w:r>
      <w:r w:rsidRPr="00FB474D">
        <w:rPr>
          <w:rFonts w:ascii="Arial" w:hAnsi="Arial" w:cs="Arial"/>
          <w:b/>
          <w:sz w:val="22"/>
          <w:szCs w:val="22"/>
        </w:rPr>
        <w:tab/>
      </w:r>
      <w:r w:rsidRPr="00FB474D">
        <w:rPr>
          <w:rFonts w:ascii="Arial" w:hAnsi="Arial" w:cs="Arial"/>
          <w:b/>
          <w:bCs/>
          <w:sz w:val="22"/>
          <w:szCs w:val="22"/>
        </w:rPr>
        <w:t xml:space="preserve">Determination of antimicrobial activity of </w:t>
      </w:r>
      <w:r w:rsidRPr="00FB474D">
        <w:rPr>
          <w:rFonts w:ascii="Arial" w:hAnsi="Arial" w:cs="Arial"/>
          <w:b/>
          <w:bCs/>
          <w:i/>
          <w:iCs/>
          <w:sz w:val="22"/>
          <w:szCs w:val="22"/>
        </w:rPr>
        <w:t xml:space="preserve">C. </w:t>
      </w:r>
      <w:proofErr w:type="spellStart"/>
      <w:r w:rsidRPr="00FB474D">
        <w:rPr>
          <w:rFonts w:ascii="Arial" w:hAnsi="Arial" w:cs="Arial"/>
          <w:b/>
          <w:bCs/>
          <w:i/>
          <w:iCs/>
          <w:sz w:val="22"/>
          <w:szCs w:val="22"/>
        </w:rPr>
        <w:t>hispidum</w:t>
      </w:r>
      <w:proofErr w:type="spellEnd"/>
    </w:p>
    <w:p w14:paraId="7935590D" w14:textId="32F320E8" w:rsidR="00FB474D" w:rsidRPr="00FB474D" w:rsidRDefault="00FB474D" w:rsidP="00FB474D">
      <w:pPr>
        <w:pStyle w:val="Body"/>
        <w:spacing w:after="0"/>
        <w:jc w:val="left"/>
        <w:rPr>
          <w:rFonts w:ascii="Arial" w:hAnsi="Arial" w:cs="Arial"/>
          <w:u w:val="single"/>
        </w:rPr>
      </w:pPr>
      <w:r w:rsidRPr="00FB474D">
        <w:rPr>
          <w:rFonts w:ascii="Arial" w:hAnsi="Arial" w:cs="Arial"/>
          <w:b/>
          <w:bCs/>
          <w:u w:val="single"/>
        </w:rPr>
        <w:t>2.4.1</w:t>
      </w:r>
      <w:r w:rsidRPr="00FB474D">
        <w:rPr>
          <w:rFonts w:ascii="Arial" w:hAnsi="Arial" w:cs="Arial"/>
          <w:b/>
          <w:bCs/>
          <w:u w:val="single"/>
        </w:rPr>
        <w:tab/>
      </w:r>
      <w:r w:rsidR="00A11261" w:rsidRPr="00A11261">
        <w:rPr>
          <w:rFonts w:ascii="Arial" w:hAnsi="Arial" w:cs="Arial"/>
          <w:b/>
          <w:bCs/>
          <w:u w:val="single"/>
          <w:lang w:val="en-GB"/>
        </w:rPr>
        <w:t>Test Organisms</w:t>
      </w:r>
    </w:p>
    <w:p w14:paraId="2D5A58B0" w14:textId="3B26D74F" w:rsidR="00FB474D" w:rsidRPr="00FB474D" w:rsidRDefault="00FB474D" w:rsidP="00FB474D">
      <w:pPr>
        <w:pStyle w:val="Body"/>
        <w:spacing w:after="0"/>
        <w:rPr>
          <w:rFonts w:ascii="Arial" w:hAnsi="Arial" w:cs="Arial"/>
        </w:rPr>
      </w:pPr>
      <w:r w:rsidRPr="00FB474D">
        <w:rPr>
          <w:rFonts w:ascii="Arial" w:hAnsi="Arial" w:cs="Arial"/>
        </w:rPr>
        <w:t xml:space="preserve">The Microorganisms used were the strains of </w:t>
      </w:r>
      <w:r w:rsidR="00A11261" w:rsidRPr="00FB474D">
        <w:rPr>
          <w:rFonts w:ascii="Arial" w:hAnsi="Arial" w:cs="Arial"/>
          <w:i/>
          <w:iCs/>
        </w:rPr>
        <w:t>Escherichia</w:t>
      </w:r>
      <w:r w:rsidRPr="00FB474D">
        <w:rPr>
          <w:rFonts w:ascii="Arial" w:hAnsi="Arial" w:cs="Arial"/>
          <w:i/>
          <w:iCs/>
        </w:rPr>
        <w:t xml:space="preserve"> coli </w:t>
      </w:r>
      <w:r w:rsidRPr="00FB474D">
        <w:rPr>
          <w:rFonts w:ascii="Arial" w:hAnsi="Arial" w:cs="Arial"/>
        </w:rPr>
        <w:t xml:space="preserve">(ATCC 25922 gram negative), </w:t>
      </w:r>
      <w:r w:rsidRPr="00FB474D">
        <w:rPr>
          <w:rFonts w:ascii="Arial" w:hAnsi="Arial" w:cs="Arial"/>
          <w:i/>
          <w:iCs/>
        </w:rPr>
        <w:t xml:space="preserve">Staphylococcus aureus </w:t>
      </w:r>
      <w:r w:rsidRPr="00FB474D">
        <w:rPr>
          <w:rFonts w:ascii="Arial" w:hAnsi="Arial" w:cs="Arial"/>
        </w:rPr>
        <w:t xml:space="preserve">(ATCC 25923 gram positive), </w:t>
      </w:r>
      <w:r w:rsidR="00A11261" w:rsidRPr="00FB474D">
        <w:rPr>
          <w:rFonts w:ascii="Arial" w:hAnsi="Arial" w:cs="Arial"/>
          <w:i/>
          <w:iCs/>
        </w:rPr>
        <w:t>Enterococcus</w:t>
      </w:r>
      <w:r w:rsidRPr="00FB474D">
        <w:rPr>
          <w:rFonts w:ascii="Arial" w:hAnsi="Arial" w:cs="Arial"/>
          <w:i/>
          <w:iCs/>
        </w:rPr>
        <w:t xml:space="preserve"> </w:t>
      </w:r>
      <w:proofErr w:type="spellStart"/>
      <w:r w:rsidRPr="00FB474D">
        <w:rPr>
          <w:rFonts w:ascii="Arial" w:hAnsi="Arial" w:cs="Arial"/>
          <w:i/>
          <w:iCs/>
        </w:rPr>
        <w:t>fecalis</w:t>
      </w:r>
      <w:proofErr w:type="spellEnd"/>
      <w:r w:rsidRPr="00FB474D">
        <w:rPr>
          <w:rFonts w:ascii="Arial" w:hAnsi="Arial" w:cs="Arial"/>
          <w:i/>
          <w:iCs/>
        </w:rPr>
        <w:t xml:space="preserve"> </w:t>
      </w:r>
      <w:r w:rsidRPr="00FB474D">
        <w:rPr>
          <w:rFonts w:ascii="Arial" w:hAnsi="Arial" w:cs="Arial"/>
        </w:rPr>
        <w:t xml:space="preserve">(ATCC 7080 gram positive), </w:t>
      </w:r>
      <w:r w:rsidRPr="00FB474D">
        <w:rPr>
          <w:rFonts w:ascii="Arial" w:hAnsi="Arial" w:cs="Arial"/>
          <w:i/>
          <w:iCs/>
        </w:rPr>
        <w:t xml:space="preserve">Pseudomonas aeruginosa </w:t>
      </w:r>
      <w:r w:rsidRPr="00FB474D">
        <w:rPr>
          <w:rFonts w:ascii="Arial" w:hAnsi="Arial" w:cs="Arial"/>
        </w:rPr>
        <w:t xml:space="preserve">(ATCC 27853 gram negative) and </w:t>
      </w:r>
      <w:r w:rsidRPr="00FB474D">
        <w:rPr>
          <w:rFonts w:ascii="Arial" w:hAnsi="Arial" w:cs="Arial"/>
          <w:i/>
          <w:iCs/>
        </w:rPr>
        <w:t xml:space="preserve">Salmonella typhi </w:t>
      </w:r>
      <w:r w:rsidRPr="00FB474D">
        <w:rPr>
          <w:rFonts w:ascii="Arial" w:hAnsi="Arial" w:cs="Arial"/>
        </w:rPr>
        <w:t>(clinical isolate). The organisms were obtained from the Center for Molecular Biosciences and Biotechnology, Michael Okpara University of Agriculture, Umudike.</w:t>
      </w:r>
    </w:p>
    <w:p w14:paraId="1D0536B4" w14:textId="77777777" w:rsidR="00FB474D" w:rsidRPr="00FB474D" w:rsidRDefault="00FB474D" w:rsidP="00FB474D">
      <w:pPr>
        <w:pStyle w:val="Body"/>
        <w:spacing w:after="0"/>
        <w:jc w:val="left"/>
        <w:rPr>
          <w:rFonts w:ascii="Arial" w:hAnsi="Arial" w:cs="Arial"/>
          <w:u w:val="single"/>
        </w:rPr>
      </w:pPr>
      <w:r w:rsidRPr="00FB474D">
        <w:rPr>
          <w:rFonts w:ascii="Arial" w:hAnsi="Arial" w:cs="Arial"/>
          <w:b/>
          <w:bCs/>
          <w:u w:val="single"/>
        </w:rPr>
        <w:t>2.4.2</w:t>
      </w:r>
      <w:r w:rsidRPr="00FB474D">
        <w:rPr>
          <w:rFonts w:ascii="Arial" w:hAnsi="Arial" w:cs="Arial"/>
          <w:b/>
          <w:bCs/>
          <w:u w:val="single"/>
        </w:rPr>
        <w:tab/>
        <w:t>Reactivation of stock cultures of test organisms</w:t>
      </w:r>
    </w:p>
    <w:p w14:paraId="6C106C0F" w14:textId="77777777" w:rsidR="00FB474D" w:rsidRPr="00FB474D" w:rsidRDefault="00FB474D" w:rsidP="00FB474D">
      <w:pPr>
        <w:pStyle w:val="Body"/>
        <w:spacing w:after="0"/>
        <w:rPr>
          <w:rFonts w:ascii="Arial" w:hAnsi="Arial" w:cs="Arial"/>
        </w:rPr>
      </w:pPr>
      <w:r w:rsidRPr="00FB474D">
        <w:rPr>
          <w:rFonts w:ascii="Arial" w:hAnsi="Arial" w:cs="Arial"/>
        </w:rPr>
        <w:t>The test organisms were reactivated from nutrient agar slants onto freshly prepared nutrient agar plates. A cell suspension of each micro</w:t>
      </w:r>
      <w:r w:rsidRPr="00FB474D">
        <w:rPr>
          <w:rFonts w:ascii="Arial" w:hAnsi="Arial" w:cs="Arial"/>
        </w:rPr>
        <w:softHyphen/>
        <w:t>organism was prepared by transferring 3-5 colonies from the nutrient agar plates to a sterile bottle containing physiological saline. The turbidity of the suspension was adjusted to 0.5 McFarland turbidity standards with sterile physiological saline.</w:t>
      </w:r>
    </w:p>
    <w:p w14:paraId="4D0E5F07" w14:textId="77777777" w:rsidR="00FB474D" w:rsidRPr="00FB474D" w:rsidRDefault="00FB474D" w:rsidP="00FB474D">
      <w:pPr>
        <w:pStyle w:val="Body"/>
        <w:spacing w:after="0"/>
        <w:jc w:val="left"/>
        <w:rPr>
          <w:rFonts w:ascii="Arial" w:hAnsi="Arial" w:cs="Arial"/>
          <w:u w:val="single"/>
        </w:rPr>
      </w:pPr>
      <w:r w:rsidRPr="00FB474D">
        <w:rPr>
          <w:rFonts w:ascii="Arial" w:hAnsi="Arial" w:cs="Arial"/>
          <w:b/>
          <w:bCs/>
          <w:u w:val="single"/>
        </w:rPr>
        <w:t>2.4.3</w:t>
      </w:r>
      <w:r w:rsidRPr="00FB474D">
        <w:rPr>
          <w:rFonts w:ascii="Arial" w:hAnsi="Arial" w:cs="Arial"/>
          <w:b/>
          <w:bCs/>
          <w:u w:val="single"/>
        </w:rPr>
        <w:tab/>
        <w:t>Inoculation of test organisms</w:t>
      </w:r>
    </w:p>
    <w:p w14:paraId="3B6078D1" w14:textId="77777777" w:rsidR="00FB474D" w:rsidRPr="00FB474D" w:rsidRDefault="00FB474D" w:rsidP="00FB474D">
      <w:pPr>
        <w:pStyle w:val="Body"/>
        <w:spacing w:after="0"/>
        <w:rPr>
          <w:rFonts w:ascii="Arial" w:hAnsi="Arial" w:cs="Arial"/>
        </w:rPr>
      </w:pPr>
      <w:r w:rsidRPr="00FB474D">
        <w:rPr>
          <w:rFonts w:ascii="Arial" w:hAnsi="Arial" w:cs="Arial"/>
        </w:rPr>
        <w:t>Plates of Mueller-Hinton agar (MHA) were prepared following the manufacturer's directives. The MHA plates were allowed to set and using a sterile swab stick, the cell suspension of each test organisms was aseptically spread on the agar surface.</w:t>
      </w:r>
    </w:p>
    <w:p w14:paraId="7F07CBA1" w14:textId="77777777" w:rsidR="00FB474D" w:rsidRPr="00FB474D" w:rsidRDefault="00FB474D" w:rsidP="00FB474D">
      <w:pPr>
        <w:pStyle w:val="Body"/>
        <w:spacing w:after="0"/>
        <w:jc w:val="left"/>
        <w:rPr>
          <w:rFonts w:ascii="Arial" w:hAnsi="Arial" w:cs="Arial"/>
          <w:u w:val="single"/>
        </w:rPr>
      </w:pPr>
      <w:r w:rsidRPr="00FB474D">
        <w:rPr>
          <w:rFonts w:ascii="Arial" w:hAnsi="Arial" w:cs="Arial"/>
          <w:b/>
          <w:bCs/>
          <w:u w:val="single"/>
        </w:rPr>
        <w:t>2.4.4</w:t>
      </w:r>
      <w:r w:rsidRPr="00FB474D">
        <w:rPr>
          <w:rFonts w:ascii="Arial" w:hAnsi="Arial" w:cs="Arial"/>
          <w:b/>
          <w:bCs/>
          <w:u w:val="single"/>
        </w:rPr>
        <w:tab/>
        <w:t>Testing for anti-microbial activity</w:t>
      </w:r>
    </w:p>
    <w:p w14:paraId="3C3207E7" w14:textId="388BA36B" w:rsidR="00E527AB" w:rsidRPr="00E527AB" w:rsidRDefault="00E527AB" w:rsidP="00E527AB">
      <w:pPr>
        <w:pStyle w:val="Body"/>
        <w:spacing w:after="0"/>
        <w:rPr>
          <w:rFonts w:ascii="Arial" w:hAnsi="Arial" w:cs="Arial"/>
        </w:rPr>
      </w:pPr>
      <w:r w:rsidRPr="00E527AB">
        <w:rPr>
          <w:rFonts w:ascii="Arial" w:hAnsi="Arial" w:cs="Arial"/>
        </w:rPr>
        <w:t>The Kirby-Bauer disc diffusion technique was used to assess the antimicrobial activity of the plant extract (Yao et al., 2021). Paper discs (6 mm diameter) were prepared by perforating Whatman No. 1 filter paper and sterilized in a hot air oven at 140 °C for 1 hour. Each disc was impregnated with 20 µL of the plant extract at concentrations of 1 mg/mL, 10 mg/mL, and 100 mg/mL, then dried in an incubator at 50 °C</w:t>
      </w:r>
      <w:r w:rsidRPr="00E527AB">
        <w:rPr>
          <w:rFonts w:ascii="Arial" w:hAnsi="Arial" w:cs="Arial"/>
          <w:b/>
          <w:bCs/>
        </w:rPr>
        <w:t>.</w:t>
      </w:r>
      <w:r w:rsidRPr="00E527AB">
        <w:rPr>
          <w:rFonts w:ascii="Arial" w:hAnsi="Arial" w:cs="Arial"/>
        </w:rPr>
        <w:t xml:space="preserve"> Discs impregnated with DMSO alone served as negative controls. All treatments were replicated twice.</w:t>
      </w:r>
    </w:p>
    <w:p w14:paraId="6665F258" w14:textId="77777777" w:rsidR="00E527AB" w:rsidRPr="00E527AB" w:rsidRDefault="00E527AB" w:rsidP="00E527AB">
      <w:pPr>
        <w:pStyle w:val="Body"/>
        <w:spacing w:after="0"/>
        <w:rPr>
          <w:rFonts w:ascii="Arial" w:hAnsi="Arial" w:cs="Arial"/>
        </w:rPr>
      </w:pPr>
      <w:r w:rsidRPr="00E527AB">
        <w:rPr>
          <w:rFonts w:ascii="Arial" w:hAnsi="Arial" w:cs="Arial"/>
        </w:rPr>
        <w:t>The dried discs were placed on MHA plates previously inoculated with the test organisms. Plates were labeled and incubated at 37 °C for 24 hours. After incubation, the zones of inhibition were measured in millimeters using a metric ruler. No microbial growth was observed in the negative control plates, confirming aseptic conditions and the effectiveness of sterilization procedures.</w:t>
      </w:r>
    </w:p>
    <w:p w14:paraId="17027D24" w14:textId="77777777" w:rsidR="00E527AB" w:rsidRDefault="00E527AB" w:rsidP="00C45653">
      <w:pPr>
        <w:pStyle w:val="Body"/>
        <w:spacing w:after="0"/>
        <w:rPr>
          <w:rFonts w:ascii="Arial" w:hAnsi="Arial" w:cs="Arial"/>
        </w:rPr>
      </w:pPr>
    </w:p>
    <w:p w14:paraId="080082B2" w14:textId="45D1E608" w:rsidR="00C45653" w:rsidRPr="00C45653" w:rsidRDefault="00C45653" w:rsidP="00C45653">
      <w:pPr>
        <w:pStyle w:val="Body"/>
        <w:spacing w:after="0"/>
        <w:rPr>
          <w:rFonts w:ascii="Arial" w:hAnsi="Arial" w:cs="Arial"/>
        </w:rPr>
      </w:pPr>
      <w:r w:rsidRPr="00C45653">
        <w:rPr>
          <w:rFonts w:ascii="Arial" w:hAnsi="Arial" w:cs="Arial"/>
        </w:rPr>
        <w:t xml:space="preserve">The Kirby-Bauer disc diffusion technique was used to evaluate the antimicrobial activity of the plant extract (Yao et al., 2021). Paper discs measuring 6 mm in diameter were obtained by perforating Whatman No. 1 filter paper and were sterilized in a hot air oven at 140 °C for 1 hour. Each disc was impregnated with 20 µL of the plant extract at concentrations of 1 mg/mL, 10 mg/mL, and 100 mg/mL, and then dried in an incubator at 50 °C. </w:t>
      </w:r>
      <w:r w:rsidR="00594DF1" w:rsidRPr="00E527AB">
        <w:rPr>
          <w:rFonts w:ascii="Arial" w:hAnsi="Arial" w:cs="Arial"/>
        </w:rPr>
        <w:t>Discs impregnated with DMSO alone served as negative controls. All treatments were replicated twice.</w:t>
      </w:r>
    </w:p>
    <w:p w14:paraId="16A2A9A7" w14:textId="5420AC7B" w:rsidR="00C45653" w:rsidRPr="00C45653" w:rsidRDefault="00C45653" w:rsidP="00C45653">
      <w:pPr>
        <w:pStyle w:val="Body"/>
        <w:spacing w:after="0"/>
        <w:rPr>
          <w:rFonts w:ascii="Arial" w:hAnsi="Arial" w:cs="Arial"/>
        </w:rPr>
      </w:pPr>
      <w:r w:rsidRPr="00C45653">
        <w:rPr>
          <w:rFonts w:ascii="Arial" w:hAnsi="Arial" w:cs="Arial"/>
        </w:rPr>
        <w:t xml:space="preserve">The dried discs were placed on Mueller-Hinton agar (MHA) plates previously inoculated with standardized suspensions of the test organisms. The plates were appropriately labeled and incubated at 37 °C for 24 hours. After incubation, the diameter of the zones of inhibition was measured in millimeters using a metric ruler, following the procedures of </w:t>
      </w:r>
      <w:proofErr w:type="spellStart"/>
      <w:r w:rsidRPr="00C45653">
        <w:rPr>
          <w:rFonts w:ascii="Arial" w:hAnsi="Arial" w:cs="Arial"/>
        </w:rPr>
        <w:t>Strika</w:t>
      </w:r>
      <w:proofErr w:type="spellEnd"/>
      <w:r w:rsidRPr="00C45653">
        <w:rPr>
          <w:rFonts w:ascii="Arial" w:hAnsi="Arial" w:cs="Arial"/>
        </w:rPr>
        <w:t xml:space="preserve"> </w:t>
      </w:r>
      <w:r w:rsidRPr="00594DF1">
        <w:rPr>
          <w:rFonts w:ascii="Arial" w:hAnsi="Arial" w:cs="Arial"/>
          <w:i/>
          <w:iCs/>
        </w:rPr>
        <w:t>et al</w:t>
      </w:r>
      <w:r w:rsidRPr="00C45653">
        <w:rPr>
          <w:rFonts w:ascii="Arial" w:hAnsi="Arial" w:cs="Arial"/>
        </w:rPr>
        <w:t xml:space="preserve">. (2017) and </w:t>
      </w:r>
      <w:proofErr w:type="spellStart"/>
      <w:r w:rsidRPr="00C45653">
        <w:rPr>
          <w:rFonts w:ascii="Arial" w:hAnsi="Arial" w:cs="Arial"/>
        </w:rPr>
        <w:t>Ikpeama</w:t>
      </w:r>
      <w:proofErr w:type="spellEnd"/>
      <w:r w:rsidRPr="00C45653">
        <w:rPr>
          <w:rFonts w:ascii="Arial" w:hAnsi="Arial" w:cs="Arial"/>
        </w:rPr>
        <w:t xml:space="preserve"> </w:t>
      </w:r>
      <w:r w:rsidRPr="00594DF1">
        <w:rPr>
          <w:rFonts w:ascii="Arial" w:hAnsi="Arial" w:cs="Arial"/>
          <w:i/>
          <w:iCs/>
        </w:rPr>
        <w:t>et a</w:t>
      </w:r>
      <w:r w:rsidRPr="00C45653">
        <w:rPr>
          <w:rFonts w:ascii="Arial" w:hAnsi="Arial" w:cs="Arial"/>
        </w:rPr>
        <w:t>l. (2014).</w:t>
      </w:r>
      <w:r w:rsidR="00594DF1">
        <w:rPr>
          <w:rFonts w:ascii="Arial" w:hAnsi="Arial" w:cs="Arial"/>
        </w:rPr>
        <w:t xml:space="preserve"> </w:t>
      </w:r>
      <w:r w:rsidR="00594DF1" w:rsidRPr="00E527AB">
        <w:rPr>
          <w:rFonts w:ascii="Arial" w:hAnsi="Arial" w:cs="Arial"/>
        </w:rPr>
        <w:t>No microbial growth was observed in the negative control plates, confirming aseptic conditions and the effectiveness of sterilization procedures.</w:t>
      </w:r>
    </w:p>
    <w:p w14:paraId="33CBA294" w14:textId="6B0E0029" w:rsidR="00FB474D" w:rsidRPr="00FB474D" w:rsidRDefault="00FB474D" w:rsidP="00FB474D">
      <w:pPr>
        <w:pStyle w:val="Body"/>
        <w:spacing w:after="0"/>
        <w:jc w:val="left"/>
        <w:rPr>
          <w:rFonts w:ascii="Arial" w:hAnsi="Arial" w:cs="Arial"/>
          <w:u w:val="single"/>
        </w:rPr>
      </w:pPr>
      <w:r w:rsidRPr="00FB474D">
        <w:rPr>
          <w:rFonts w:ascii="Arial" w:hAnsi="Arial" w:cs="Arial"/>
          <w:b/>
          <w:bCs/>
          <w:u w:val="single"/>
        </w:rPr>
        <w:t>2.4.5 Determination of minimum inhibitory concentration</w:t>
      </w:r>
      <w:r w:rsidR="00594DF1">
        <w:rPr>
          <w:rFonts w:ascii="Arial" w:hAnsi="Arial" w:cs="Arial"/>
          <w:b/>
          <w:bCs/>
          <w:u w:val="single"/>
        </w:rPr>
        <w:t xml:space="preserve"> (</w:t>
      </w:r>
      <w:r w:rsidR="00594DF1" w:rsidRPr="00594DF1">
        <w:rPr>
          <w:rFonts w:ascii="Arial" w:hAnsi="Arial" w:cs="Arial"/>
          <w:b/>
          <w:bCs/>
          <w:u w:val="single"/>
        </w:rPr>
        <w:t>MIC</w:t>
      </w:r>
      <w:r w:rsidR="00DE3865">
        <w:rPr>
          <w:rFonts w:ascii="Arial" w:hAnsi="Arial" w:cs="Arial"/>
          <w:b/>
          <w:bCs/>
          <w:u w:val="single"/>
        </w:rPr>
        <w:t>)</w:t>
      </w:r>
    </w:p>
    <w:p w14:paraId="2A444013" w14:textId="77777777" w:rsidR="00594DF1" w:rsidRPr="00594DF1" w:rsidRDefault="00594DF1" w:rsidP="00594DF1">
      <w:pPr>
        <w:pStyle w:val="Body"/>
        <w:spacing w:after="0"/>
        <w:rPr>
          <w:rFonts w:ascii="Arial" w:hAnsi="Arial" w:cs="Arial"/>
        </w:rPr>
      </w:pPr>
      <w:r w:rsidRPr="00594DF1">
        <w:rPr>
          <w:rFonts w:ascii="Arial" w:hAnsi="Arial" w:cs="Arial"/>
        </w:rPr>
        <w:lastRenderedPageBreak/>
        <w:t>For each test organism, 126 sterile test tubes containing 1 mL of Mueller-Hinton broth were arranged in 7 rows of 18 tubes. One milliliter of the plant extract (100 mg/mL) was added in triplicate to the test tubes in the first row. Serial two-fold dilutions were performed from the first to the seventh row by transferring 1 mL of broth-extract mixture to the next row and discarding 1 mL from the last test tube. The final concentrations of extract across rows were: 50 mg/mL, 25 mg/mL, 12.5 mg/mL, 6.25 mg/mL, 3.13 mg/mL, 1.51 mg/mL, and 0.76 mg/</w:t>
      </w:r>
      <w:proofErr w:type="spellStart"/>
      <w:r w:rsidRPr="00594DF1">
        <w:rPr>
          <w:rFonts w:ascii="Arial" w:hAnsi="Arial" w:cs="Arial"/>
        </w:rPr>
        <w:t>mL.</w:t>
      </w:r>
      <w:proofErr w:type="spellEnd"/>
    </w:p>
    <w:p w14:paraId="3B8CE9C5" w14:textId="77777777" w:rsidR="00E63BB7" w:rsidRDefault="00594DF1" w:rsidP="00594DF1">
      <w:pPr>
        <w:pStyle w:val="Body"/>
        <w:spacing w:after="0"/>
        <w:rPr>
          <w:rFonts w:ascii="Arial" w:hAnsi="Arial" w:cs="Arial"/>
        </w:rPr>
      </w:pPr>
      <w:r w:rsidRPr="00594DF1">
        <w:rPr>
          <w:rFonts w:ascii="Arial" w:hAnsi="Arial" w:cs="Arial"/>
        </w:rPr>
        <w:t xml:space="preserve">Two negative controls were included: one set of test tubes containing 1 mL of Mueller-Hinton broth without extract (organism control), and another set containing 1 mL of broth with 1 mL of DMSO (DMSO control). All tubes were inoculated with 50 µL of standardized bacterial suspension, except the sterile control (containing only broth). All tubes were incubated at 37 °C for 18 hours. </w:t>
      </w:r>
      <w:r w:rsidR="00E63BB7" w:rsidRPr="00E63BB7">
        <w:rPr>
          <w:rFonts w:ascii="Arial" w:hAnsi="Arial" w:cs="Arial"/>
        </w:rPr>
        <w:t>The lowest concentration (highest dilution) of extract preventing microbial growth is considered minimal inhibitory concentration (MIC) (</w:t>
      </w:r>
      <w:proofErr w:type="spellStart"/>
      <w:r w:rsidR="00E63BB7" w:rsidRPr="00E63BB7">
        <w:rPr>
          <w:rFonts w:ascii="Arial" w:hAnsi="Arial" w:cs="Arial"/>
        </w:rPr>
        <w:t>Fatope</w:t>
      </w:r>
      <w:proofErr w:type="spellEnd"/>
      <w:r w:rsidR="00E63BB7" w:rsidRPr="00E63BB7">
        <w:rPr>
          <w:rFonts w:ascii="Arial" w:hAnsi="Arial" w:cs="Arial"/>
        </w:rPr>
        <w:t xml:space="preserve"> et al., 1993).</w:t>
      </w:r>
    </w:p>
    <w:p w14:paraId="1EC4D053" w14:textId="799773F7" w:rsidR="00981DC6" w:rsidRPr="00E63BB7" w:rsidRDefault="00981DC6" w:rsidP="00594DF1">
      <w:pPr>
        <w:pStyle w:val="Body"/>
        <w:spacing w:after="0"/>
        <w:rPr>
          <w:rFonts w:ascii="Arial" w:hAnsi="Arial" w:cs="Arial"/>
          <w:b/>
          <w:bCs/>
          <w:u w:val="single"/>
        </w:rPr>
      </w:pPr>
      <w:r w:rsidRPr="00E63BB7">
        <w:rPr>
          <w:rFonts w:ascii="Arial" w:hAnsi="Arial" w:cs="Arial"/>
          <w:b/>
          <w:bCs/>
          <w:u w:val="single"/>
        </w:rPr>
        <w:t>2.4.</w:t>
      </w:r>
      <w:r w:rsidR="00E63BB7" w:rsidRPr="00E63BB7">
        <w:rPr>
          <w:rFonts w:ascii="Arial" w:hAnsi="Arial" w:cs="Arial"/>
          <w:b/>
          <w:bCs/>
          <w:u w:val="single"/>
        </w:rPr>
        <w:t>6</w:t>
      </w:r>
      <w:r w:rsidR="00E63BB7" w:rsidRPr="00E63BB7">
        <w:rPr>
          <w:rFonts w:ascii="Arial" w:hAnsi="Arial" w:cs="Arial"/>
          <w:b/>
          <w:bCs/>
          <w:u w:val="single"/>
        </w:rPr>
        <w:tab/>
      </w:r>
      <w:r w:rsidRPr="00E63BB7">
        <w:rPr>
          <w:rFonts w:ascii="Arial" w:hAnsi="Arial" w:cs="Arial"/>
          <w:b/>
          <w:bCs/>
          <w:u w:val="single"/>
        </w:rPr>
        <w:t>Minimum Bactericidal Concentration</w:t>
      </w:r>
      <w:r w:rsidR="00E63BB7">
        <w:rPr>
          <w:rFonts w:ascii="Arial" w:hAnsi="Arial" w:cs="Arial"/>
          <w:b/>
          <w:bCs/>
          <w:u w:val="single"/>
        </w:rPr>
        <w:t xml:space="preserve"> (MBC)</w:t>
      </w:r>
      <w:r w:rsidRPr="00E63BB7">
        <w:rPr>
          <w:rFonts w:ascii="Arial" w:hAnsi="Arial" w:cs="Arial"/>
          <w:b/>
          <w:bCs/>
          <w:u w:val="single"/>
        </w:rPr>
        <w:t xml:space="preserve"> </w:t>
      </w:r>
    </w:p>
    <w:p w14:paraId="2DBC1B92" w14:textId="1DF6C3DE" w:rsidR="00981DC6" w:rsidRPr="00594DF1" w:rsidRDefault="00981DC6" w:rsidP="00594DF1">
      <w:pPr>
        <w:pStyle w:val="Body"/>
        <w:spacing w:after="0"/>
        <w:rPr>
          <w:rFonts w:ascii="Arial" w:hAnsi="Arial" w:cs="Arial"/>
        </w:rPr>
      </w:pPr>
      <w:r w:rsidRPr="00981DC6">
        <w:rPr>
          <w:rFonts w:ascii="Arial" w:hAnsi="Arial" w:cs="Arial"/>
        </w:rPr>
        <w:t>Minimum bactericidal concentration was carried out by inoculating sample from the MIC tubes showing no bacterial growth on nutrient agar plates and was incubated at 370C for 24hrs. The plates were then observed for the presence or absence of microbial growth. The least concentration of extract showing no bacterial growth was considered the MBC (</w:t>
      </w:r>
      <w:proofErr w:type="spellStart"/>
      <w:r w:rsidRPr="00981DC6">
        <w:rPr>
          <w:rFonts w:ascii="Arial" w:hAnsi="Arial" w:cs="Arial"/>
        </w:rPr>
        <w:t>Fatope</w:t>
      </w:r>
      <w:proofErr w:type="spellEnd"/>
      <w:r w:rsidRPr="00981DC6">
        <w:rPr>
          <w:rFonts w:ascii="Arial" w:hAnsi="Arial" w:cs="Arial"/>
        </w:rPr>
        <w:t xml:space="preserve"> et al., 1993).</w:t>
      </w:r>
    </w:p>
    <w:p w14:paraId="073C8F16" w14:textId="77777777" w:rsidR="00594DF1" w:rsidRPr="00C45653" w:rsidRDefault="00594DF1" w:rsidP="00C45653">
      <w:pPr>
        <w:pStyle w:val="Body"/>
        <w:spacing w:after="0"/>
        <w:rPr>
          <w:rFonts w:ascii="Arial" w:hAnsi="Arial" w:cs="Arial"/>
        </w:rPr>
      </w:pPr>
    </w:p>
    <w:p w14:paraId="30AEF25B" w14:textId="77777777" w:rsidR="00FB474D" w:rsidRPr="00FB474D" w:rsidRDefault="00FB474D" w:rsidP="00FB474D">
      <w:pPr>
        <w:pStyle w:val="Body"/>
        <w:spacing w:after="0"/>
        <w:rPr>
          <w:rFonts w:ascii="Arial" w:hAnsi="Arial" w:cs="Arial"/>
          <w:sz w:val="22"/>
          <w:szCs w:val="22"/>
        </w:rPr>
      </w:pPr>
      <w:r w:rsidRPr="00FB474D">
        <w:rPr>
          <w:rFonts w:ascii="Arial" w:hAnsi="Arial" w:cs="Arial"/>
          <w:b/>
          <w:bCs/>
          <w:sz w:val="22"/>
          <w:szCs w:val="22"/>
        </w:rPr>
        <w:t>2.5</w:t>
      </w:r>
      <w:r w:rsidRPr="00FB474D">
        <w:rPr>
          <w:rFonts w:ascii="Arial" w:hAnsi="Arial" w:cs="Arial"/>
          <w:b/>
          <w:bCs/>
          <w:sz w:val="22"/>
          <w:szCs w:val="22"/>
        </w:rPr>
        <w:tab/>
        <w:t>Statistical analysis</w:t>
      </w:r>
    </w:p>
    <w:p w14:paraId="354B710F" w14:textId="3EF96D6D" w:rsidR="00B95236" w:rsidRDefault="00FB474D" w:rsidP="00FB474D">
      <w:pPr>
        <w:pStyle w:val="Body"/>
        <w:spacing w:after="0"/>
        <w:rPr>
          <w:rFonts w:ascii="Arial" w:hAnsi="Arial" w:cs="Arial"/>
        </w:rPr>
      </w:pPr>
      <w:r w:rsidRPr="00FB474D">
        <w:rPr>
          <w:rFonts w:ascii="Arial" w:hAnsi="Arial" w:cs="Arial"/>
        </w:rPr>
        <w:t xml:space="preserve">Results were presented as mean values ± standard deviations (mean ± SD). The replicates in each treatment were subjected to one-way analysis of variance (ANOVA) and the difference between the </w:t>
      </w:r>
      <w:r w:rsidR="00C45653" w:rsidRPr="00C45653">
        <w:rPr>
          <w:rFonts w:ascii="Arial" w:hAnsi="Arial" w:cs="Arial"/>
          <w:bCs/>
          <w:lang w:val="en-GB"/>
        </w:rPr>
        <w:t>sample means</w:t>
      </w:r>
      <w:r w:rsidR="00C45653" w:rsidRPr="00C45653">
        <w:rPr>
          <w:rFonts w:ascii="Arial" w:hAnsi="Arial" w:cs="Arial"/>
        </w:rPr>
        <w:t xml:space="preserve"> </w:t>
      </w:r>
      <w:r w:rsidRPr="00FB474D">
        <w:rPr>
          <w:rFonts w:ascii="Arial" w:hAnsi="Arial" w:cs="Arial"/>
        </w:rPr>
        <w:t xml:space="preserve">were tested by LSD </w:t>
      </w:r>
      <w:r w:rsidRPr="00FB474D">
        <w:rPr>
          <w:rFonts w:ascii="Arial" w:hAnsi="Arial" w:cs="Arial"/>
          <w:i/>
          <w:iCs/>
        </w:rPr>
        <w:t xml:space="preserve">post-hoc </w:t>
      </w:r>
      <w:r w:rsidRPr="00FB474D">
        <w:rPr>
          <w:rFonts w:ascii="Arial" w:hAnsi="Arial" w:cs="Arial"/>
        </w:rPr>
        <w:t>test using Statistical Package for Social Sciences (SPSS) software version 25. P-values ≤ 0.05 were considered statistically significant.</w:t>
      </w:r>
      <w:r w:rsidR="00B95236" w:rsidRPr="00B95236">
        <w:rPr>
          <w:rFonts w:ascii="Arial" w:hAnsi="Arial" w:cs="Arial"/>
        </w:rPr>
        <w:t>).</w:t>
      </w:r>
    </w:p>
    <w:p w14:paraId="2A3D0ACB" w14:textId="77777777" w:rsidR="00790ADA" w:rsidRDefault="00790ADA" w:rsidP="00441B6F">
      <w:pPr>
        <w:pStyle w:val="Body"/>
        <w:spacing w:after="0"/>
        <w:rPr>
          <w:rFonts w:ascii="Arial" w:hAnsi="Arial" w:cs="Arial"/>
        </w:rPr>
      </w:pPr>
    </w:p>
    <w:p w14:paraId="7EF0DCB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9507800" w14:textId="77777777" w:rsidR="00790ADA" w:rsidRPr="00FB3A86" w:rsidRDefault="00790ADA" w:rsidP="00441B6F">
      <w:pPr>
        <w:pStyle w:val="Head1"/>
        <w:spacing w:after="0"/>
        <w:jc w:val="both"/>
        <w:rPr>
          <w:rFonts w:ascii="Arial" w:hAnsi="Arial" w:cs="Arial"/>
        </w:rPr>
      </w:pPr>
    </w:p>
    <w:p w14:paraId="5C62FD6C" w14:textId="2F056578" w:rsidR="00B96CEE" w:rsidRPr="00B96CEE" w:rsidRDefault="00B96CEE" w:rsidP="00B96CEE">
      <w:pPr>
        <w:pStyle w:val="Body"/>
        <w:rPr>
          <w:rFonts w:ascii="Arial" w:hAnsi="Arial" w:cs="Arial"/>
          <w:b/>
          <w:bCs/>
        </w:rPr>
      </w:pPr>
      <w:r w:rsidRPr="00B96CEE">
        <w:rPr>
          <w:rFonts w:ascii="Arial" w:hAnsi="Arial" w:cs="Arial"/>
          <w:b/>
          <w:bCs/>
        </w:rPr>
        <w:t>3.1</w:t>
      </w:r>
      <w:r w:rsidRPr="00B96CEE">
        <w:rPr>
          <w:rFonts w:ascii="Arial" w:hAnsi="Arial" w:cs="Arial"/>
          <w:b/>
          <w:bCs/>
        </w:rPr>
        <w:tab/>
        <w:t xml:space="preserve">Phytochemical composition of </w:t>
      </w:r>
      <w:r w:rsidRPr="00B96CEE">
        <w:rPr>
          <w:rFonts w:ascii="Arial" w:hAnsi="Arial" w:cs="Arial"/>
          <w:b/>
          <w:bCs/>
          <w:i/>
          <w:iCs/>
        </w:rPr>
        <w:t xml:space="preserve">C. </w:t>
      </w:r>
      <w:proofErr w:type="spellStart"/>
      <w:r w:rsidRPr="00B96CEE">
        <w:rPr>
          <w:rFonts w:ascii="Arial" w:hAnsi="Arial" w:cs="Arial"/>
          <w:b/>
          <w:bCs/>
          <w:i/>
          <w:iCs/>
        </w:rPr>
        <w:t>hispidum</w:t>
      </w:r>
      <w:proofErr w:type="spellEnd"/>
    </w:p>
    <w:p w14:paraId="5CA0F944" w14:textId="420B3E5F" w:rsidR="00B96CEE" w:rsidRDefault="00B96CEE" w:rsidP="00B96CEE">
      <w:pPr>
        <w:pStyle w:val="Body"/>
        <w:rPr>
          <w:rFonts w:ascii="Arial" w:hAnsi="Arial" w:cs="Arial"/>
        </w:rPr>
      </w:pPr>
      <w:r w:rsidRPr="00B96CEE">
        <w:rPr>
          <w:rFonts w:ascii="Arial" w:hAnsi="Arial" w:cs="Arial"/>
          <w:bCs/>
        </w:rPr>
        <w:t>The most abundant phytochemical found</w:t>
      </w:r>
      <w:r w:rsidRPr="00B96CEE">
        <w:rPr>
          <w:rFonts w:ascii="Arial" w:hAnsi="Arial" w:cs="Arial"/>
        </w:rPr>
        <w:t xml:space="preserve"> in leaf extract of </w:t>
      </w:r>
      <w:r w:rsidRPr="00B96CEE">
        <w:rPr>
          <w:rFonts w:ascii="Arial" w:hAnsi="Arial" w:cs="Arial"/>
          <w:bCs/>
          <w:i/>
          <w:iCs/>
        </w:rPr>
        <w:t xml:space="preserve">C. </w:t>
      </w:r>
      <w:proofErr w:type="spellStart"/>
      <w:r w:rsidRPr="00B96CEE">
        <w:rPr>
          <w:rFonts w:ascii="Arial" w:hAnsi="Arial" w:cs="Arial"/>
          <w:bCs/>
          <w:i/>
          <w:iCs/>
        </w:rPr>
        <w:t>hispidum</w:t>
      </w:r>
      <w:proofErr w:type="spellEnd"/>
      <w:r w:rsidRPr="00B96CEE">
        <w:rPr>
          <w:rFonts w:ascii="Arial" w:hAnsi="Arial" w:cs="Arial"/>
          <w:bCs/>
          <w:i/>
          <w:iCs/>
        </w:rPr>
        <w:t xml:space="preserve"> </w:t>
      </w:r>
      <w:r w:rsidRPr="00B96CEE">
        <w:rPr>
          <w:rFonts w:ascii="Arial" w:hAnsi="Arial" w:cs="Arial"/>
          <w:bCs/>
        </w:rPr>
        <w:t>was alkaloids (</w:t>
      </w:r>
      <w:r w:rsidRPr="00B96CEE">
        <w:rPr>
          <w:rFonts w:ascii="Arial" w:hAnsi="Arial" w:cs="Arial"/>
        </w:rPr>
        <w:t>37.14±0.39 mg/100 g</w:t>
      </w:r>
      <w:r w:rsidRPr="00B96CEE">
        <w:rPr>
          <w:rFonts w:ascii="Arial" w:hAnsi="Arial" w:cs="Arial"/>
          <w:bCs/>
        </w:rPr>
        <w:t>) followed by flavonoids (</w:t>
      </w:r>
      <w:r w:rsidRPr="00B96CEE">
        <w:rPr>
          <w:rFonts w:ascii="Arial" w:hAnsi="Arial" w:cs="Arial"/>
        </w:rPr>
        <w:t>19.73±0.61 mg/100 g</w:t>
      </w:r>
      <w:r w:rsidRPr="00B96CEE">
        <w:rPr>
          <w:rFonts w:ascii="Arial" w:hAnsi="Arial" w:cs="Arial"/>
          <w:bCs/>
        </w:rPr>
        <w:t>), phenols (</w:t>
      </w:r>
      <w:r w:rsidRPr="00B96CEE">
        <w:rPr>
          <w:rFonts w:ascii="Arial" w:hAnsi="Arial" w:cs="Arial"/>
        </w:rPr>
        <w:t>14.36±0.33 mg/100 g</w:t>
      </w:r>
      <w:r w:rsidRPr="00B96CEE">
        <w:rPr>
          <w:rFonts w:ascii="Arial" w:hAnsi="Arial" w:cs="Arial"/>
          <w:bCs/>
        </w:rPr>
        <w:t>) and saponins (</w:t>
      </w:r>
      <w:r w:rsidRPr="00B96CEE">
        <w:rPr>
          <w:rFonts w:ascii="Arial" w:hAnsi="Arial" w:cs="Arial"/>
        </w:rPr>
        <w:t>12.71±0.16 mg/100 g</w:t>
      </w:r>
      <w:r w:rsidRPr="00B96CEE">
        <w:rPr>
          <w:rFonts w:ascii="Arial" w:hAnsi="Arial" w:cs="Arial"/>
          <w:bCs/>
        </w:rPr>
        <w:t>) while the least in abundance was glycosides (</w:t>
      </w:r>
      <w:r w:rsidRPr="00B96CEE">
        <w:rPr>
          <w:rFonts w:ascii="Arial" w:hAnsi="Arial" w:cs="Arial"/>
        </w:rPr>
        <w:t>4.90±0.09 mg/100 g</w:t>
      </w:r>
      <w:r w:rsidRPr="00B96CEE">
        <w:rPr>
          <w:rFonts w:ascii="Arial" w:hAnsi="Arial" w:cs="Arial"/>
          <w:bCs/>
        </w:rPr>
        <w:t>). Others were tannins (</w:t>
      </w:r>
      <w:r w:rsidRPr="00B96CEE">
        <w:rPr>
          <w:rFonts w:ascii="Arial" w:hAnsi="Arial" w:cs="Arial"/>
        </w:rPr>
        <w:t>7.86±0.46 mg/100 g</w:t>
      </w:r>
      <w:r w:rsidRPr="00B96CEE">
        <w:rPr>
          <w:rFonts w:ascii="Arial" w:hAnsi="Arial" w:cs="Arial"/>
          <w:bCs/>
        </w:rPr>
        <w:t>), steroids (</w:t>
      </w:r>
      <w:r w:rsidRPr="00B96CEE">
        <w:rPr>
          <w:rFonts w:ascii="Arial" w:hAnsi="Arial" w:cs="Arial"/>
        </w:rPr>
        <w:t>6.82±0.14 mg/100 g</w:t>
      </w:r>
      <w:r w:rsidRPr="00B96CEE">
        <w:rPr>
          <w:rFonts w:ascii="Arial" w:hAnsi="Arial" w:cs="Arial"/>
          <w:bCs/>
        </w:rPr>
        <w:t>) and terpenoids (</w:t>
      </w:r>
      <w:r w:rsidRPr="00B96CEE">
        <w:rPr>
          <w:rFonts w:ascii="Arial" w:hAnsi="Arial" w:cs="Arial"/>
        </w:rPr>
        <w:t>5.29±0.09 mg/100 g) (Table 1). The chromatogram of the mass spectra result of</w:t>
      </w:r>
      <w:r w:rsidRPr="00B96CEE">
        <w:rPr>
          <w:rFonts w:ascii="Arial" w:hAnsi="Arial" w:cs="Arial"/>
          <w:i/>
        </w:rPr>
        <w:t xml:space="preserve"> </w:t>
      </w:r>
      <w:r w:rsidRPr="00B96CEE">
        <w:rPr>
          <w:rFonts w:ascii="Arial" w:hAnsi="Arial" w:cs="Arial"/>
        </w:rPr>
        <w:t>the extract presented in Fig. 1 showed the presence of 23 bioactive compounds</w:t>
      </w:r>
      <w:r w:rsidR="00C45653">
        <w:rPr>
          <w:rFonts w:ascii="Arial" w:hAnsi="Arial" w:cs="Arial"/>
        </w:rPr>
        <w:t>. These include</w:t>
      </w:r>
      <w:r w:rsidRPr="00B96CEE">
        <w:rPr>
          <w:rFonts w:ascii="Arial" w:hAnsi="Arial" w:cs="Arial"/>
        </w:rPr>
        <w:t xml:space="preserve"> 2,4-Di-tert-butylphenol, 13-Octdecenal, 17-pentatriacontene, 1-Decanol, 1-Docosene, 1-Ethanone, 1-Nonadecene, 3-Eicosene, 9,12-Octadecadienal, 9-Octadecenal, 9-Octadecenoic acid, Benzene, Carbonic acid, </w:t>
      </w:r>
      <w:proofErr w:type="spellStart"/>
      <w:r w:rsidRPr="00B96CEE">
        <w:rPr>
          <w:rFonts w:ascii="Arial" w:hAnsi="Arial" w:cs="Arial"/>
        </w:rPr>
        <w:t>Cyclohexadecane</w:t>
      </w:r>
      <w:proofErr w:type="spellEnd"/>
      <w:r w:rsidRPr="00B96CEE">
        <w:rPr>
          <w:rFonts w:ascii="Arial" w:hAnsi="Arial" w:cs="Arial"/>
        </w:rPr>
        <w:t xml:space="preserve">, Dibutyl phthalate, Erucic, Heptane, Hexadecane, Hydroxylamine, Oleic acid, Palmitic acid, Tetracosane and Undecane with oleic acid as the most occurring member (Fig. </w:t>
      </w:r>
      <w:r w:rsidR="00761F0E">
        <w:rPr>
          <w:rFonts w:ascii="Arial" w:hAnsi="Arial" w:cs="Arial"/>
        </w:rPr>
        <w:t>2</w:t>
      </w:r>
      <w:r w:rsidRPr="00B96CEE">
        <w:rPr>
          <w:rFonts w:ascii="Arial" w:hAnsi="Arial" w:cs="Arial"/>
        </w:rPr>
        <w:t>).</w:t>
      </w:r>
    </w:p>
    <w:p w14:paraId="47328971" w14:textId="7F81B29E" w:rsidR="00B56594" w:rsidRPr="00B56594" w:rsidRDefault="00B56594" w:rsidP="00B96CEE">
      <w:pPr>
        <w:pStyle w:val="Body"/>
        <w:rPr>
          <w:rFonts w:ascii="Arial" w:hAnsi="Arial" w:cs="Arial"/>
          <w:bCs/>
        </w:rPr>
      </w:pPr>
      <w:r w:rsidRPr="00B56594">
        <w:rPr>
          <w:rFonts w:ascii="Arial" w:hAnsi="Arial" w:cs="Arial"/>
          <w:bCs/>
        </w:rPr>
        <w:t xml:space="preserve">The phytochemical composition of </w:t>
      </w:r>
      <w:r w:rsidRPr="00B56594">
        <w:rPr>
          <w:rFonts w:ascii="Arial" w:hAnsi="Arial" w:cs="Arial"/>
          <w:bCs/>
          <w:i/>
          <w:iCs/>
        </w:rPr>
        <w:t xml:space="preserve">Combretum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leaf extract in this study aligns with findings from other studies on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and related species, which consistently report the presence of these key secondary metabolites known for their antimicrobial and pharmacological properties. For instance, Ikpeazu </w:t>
      </w:r>
      <w:r w:rsidRPr="00B56594">
        <w:rPr>
          <w:rFonts w:ascii="Arial" w:hAnsi="Arial" w:cs="Arial"/>
          <w:bCs/>
          <w:i/>
          <w:iCs/>
        </w:rPr>
        <w:t>et al</w:t>
      </w:r>
      <w:r w:rsidRPr="00B56594">
        <w:rPr>
          <w:rFonts w:ascii="Arial" w:hAnsi="Arial" w:cs="Arial"/>
          <w:bCs/>
        </w:rPr>
        <w:t xml:space="preserve">. (2020) identified nineteen bioactive compounds in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leaves via GC-MS, including phenolic compounds and fatty acids such as oleic acid, was also the most prevalent compound in the chromatogram of the present study. The presence of oleic acid and other fatty acids corroborates their role in antimicrobial activity, as these compounds can disrupt microbial membranes and inhibit pathogen growth. Comparatively, GC-MS analysis of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roots by other researchers also revealed diverse bioactive compounds, including benzoic acid derivatives and triazine compounds, highlighting the chemical complexity within different plant parts and supporting the ethnomedicinal use of the species (</w:t>
      </w:r>
      <w:r w:rsidRPr="00B56594">
        <w:rPr>
          <w:rFonts w:ascii="Arial" w:hAnsi="Arial" w:cs="Arial"/>
        </w:rPr>
        <w:t xml:space="preserve">Ikpeazu </w:t>
      </w:r>
      <w:r w:rsidRPr="00B56594">
        <w:rPr>
          <w:rFonts w:ascii="Arial" w:hAnsi="Arial" w:cs="Arial"/>
          <w:i/>
          <w:iCs/>
        </w:rPr>
        <w:t>et al</w:t>
      </w:r>
      <w:r w:rsidRPr="00B56594">
        <w:rPr>
          <w:rFonts w:ascii="Arial" w:hAnsi="Arial" w:cs="Arial"/>
        </w:rPr>
        <w:t>., 2020)</w:t>
      </w:r>
      <w:r w:rsidRPr="00B56594">
        <w:rPr>
          <w:rFonts w:ascii="Arial" w:hAnsi="Arial" w:cs="Arial"/>
          <w:bCs/>
        </w:rPr>
        <w:t xml:space="preserve">. This chemical diversity is consistent with the genus </w:t>
      </w:r>
      <w:r w:rsidRPr="00B56594">
        <w:rPr>
          <w:rFonts w:ascii="Arial" w:hAnsi="Arial" w:cs="Arial"/>
          <w:bCs/>
          <w:i/>
          <w:iCs/>
        </w:rPr>
        <w:t>Combretum</w:t>
      </w:r>
      <w:r w:rsidRPr="00B56594">
        <w:rPr>
          <w:rFonts w:ascii="Arial" w:hAnsi="Arial" w:cs="Arial"/>
          <w:bCs/>
        </w:rPr>
        <w:t xml:space="preserve">, where species such as </w:t>
      </w:r>
      <w:r w:rsidRPr="00B56594">
        <w:rPr>
          <w:rFonts w:ascii="Arial" w:hAnsi="Arial" w:cs="Arial"/>
          <w:bCs/>
          <w:i/>
          <w:iCs/>
        </w:rPr>
        <w:t xml:space="preserve">Combretum molle </w:t>
      </w:r>
      <w:r w:rsidRPr="00B56594">
        <w:rPr>
          <w:rFonts w:ascii="Arial" w:hAnsi="Arial" w:cs="Arial"/>
          <w:bCs/>
        </w:rPr>
        <w:t>have been reported to contain over 200 isolated compounds, including alkaloids, flavonoids, tannins, and terpenoids, all contributing to their antimicrobial and antioxidant activities (</w:t>
      </w:r>
      <w:proofErr w:type="spellStart"/>
      <w:r w:rsidRPr="00B56594">
        <w:rPr>
          <w:rFonts w:ascii="Arial" w:hAnsi="Arial" w:cs="Arial"/>
        </w:rPr>
        <w:t>Parusnath</w:t>
      </w:r>
      <w:proofErr w:type="spellEnd"/>
      <w:r w:rsidRPr="00B56594">
        <w:rPr>
          <w:rFonts w:ascii="Arial" w:hAnsi="Arial" w:cs="Arial"/>
        </w:rPr>
        <w:t xml:space="preserve"> </w:t>
      </w:r>
      <w:r w:rsidRPr="00B56594">
        <w:rPr>
          <w:rFonts w:ascii="Arial" w:hAnsi="Arial" w:cs="Arial"/>
          <w:i/>
          <w:iCs/>
        </w:rPr>
        <w:t>et al</w:t>
      </w:r>
      <w:r w:rsidRPr="00B56594">
        <w:rPr>
          <w:rFonts w:ascii="Arial" w:hAnsi="Arial" w:cs="Arial"/>
        </w:rPr>
        <w:t xml:space="preserve">., 2023; </w:t>
      </w:r>
      <w:proofErr w:type="spellStart"/>
      <w:r w:rsidRPr="00B56594">
        <w:rPr>
          <w:rFonts w:ascii="Arial" w:hAnsi="Arial" w:cs="Arial"/>
        </w:rPr>
        <w:t>Mathipa</w:t>
      </w:r>
      <w:proofErr w:type="spellEnd"/>
      <w:r w:rsidRPr="00B56594">
        <w:rPr>
          <w:rFonts w:ascii="Arial" w:hAnsi="Arial" w:cs="Arial"/>
        </w:rPr>
        <w:t xml:space="preserve"> </w:t>
      </w:r>
      <w:r w:rsidRPr="00B56594">
        <w:rPr>
          <w:rFonts w:ascii="Arial" w:hAnsi="Arial" w:cs="Arial"/>
          <w:i/>
          <w:iCs/>
        </w:rPr>
        <w:t>et al</w:t>
      </w:r>
      <w:r w:rsidRPr="00B56594">
        <w:rPr>
          <w:rFonts w:ascii="Arial" w:hAnsi="Arial" w:cs="Arial"/>
        </w:rPr>
        <w:t>., 2022)</w:t>
      </w:r>
      <w:r w:rsidRPr="00B56594">
        <w:rPr>
          <w:rFonts w:ascii="Arial" w:hAnsi="Arial" w:cs="Arial"/>
          <w:bCs/>
        </w:rPr>
        <w:t xml:space="preserve">. The quantitative abundance of alkaloids and flavonoids in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leaves parallels findings in other </w:t>
      </w:r>
      <w:r w:rsidRPr="00B56594">
        <w:rPr>
          <w:rFonts w:ascii="Arial" w:hAnsi="Arial" w:cs="Arial"/>
          <w:bCs/>
          <w:i/>
          <w:iCs/>
        </w:rPr>
        <w:t>Combretum</w:t>
      </w:r>
      <w:r w:rsidRPr="00B56594">
        <w:rPr>
          <w:rFonts w:ascii="Arial" w:hAnsi="Arial" w:cs="Arial"/>
          <w:bCs/>
        </w:rPr>
        <w:t xml:space="preserve"> species, where these phytochemicals are principal contributors to antimicrobial efficacy. The detection of tannins, steroids, and terpenoids in moderate quantities also aligns with previous phytochemical screenings of </w:t>
      </w:r>
      <w:r w:rsidRPr="00B56594">
        <w:rPr>
          <w:rFonts w:ascii="Arial" w:hAnsi="Arial" w:cs="Arial"/>
          <w:bCs/>
          <w:i/>
          <w:iCs/>
        </w:rPr>
        <w:t>Combretum</w:t>
      </w:r>
      <w:r w:rsidRPr="00B56594">
        <w:rPr>
          <w:rFonts w:ascii="Arial" w:hAnsi="Arial" w:cs="Arial"/>
          <w:bCs/>
        </w:rPr>
        <w:t xml:space="preserve"> species, which emphasize their synergistic roles in antimicrobial and anti-inflammatory effects. For example, tannins have been shown to precipitate microbial proteins and inhibit enzymes, while terpenoids disrupt microbial membranes, collectively enhancing antimicrobial potency (</w:t>
      </w:r>
      <w:proofErr w:type="spellStart"/>
      <w:r w:rsidRPr="00B56594">
        <w:rPr>
          <w:rFonts w:ascii="Arial" w:hAnsi="Arial" w:cs="Arial"/>
        </w:rPr>
        <w:t>Mathipa</w:t>
      </w:r>
      <w:proofErr w:type="spellEnd"/>
      <w:r w:rsidRPr="00B56594">
        <w:rPr>
          <w:rFonts w:ascii="Arial" w:hAnsi="Arial" w:cs="Arial"/>
        </w:rPr>
        <w:t xml:space="preserve"> </w:t>
      </w:r>
      <w:r w:rsidRPr="00B56594">
        <w:rPr>
          <w:rFonts w:ascii="Arial" w:hAnsi="Arial" w:cs="Arial"/>
          <w:i/>
          <w:iCs/>
        </w:rPr>
        <w:t>et al</w:t>
      </w:r>
      <w:r w:rsidRPr="00B56594">
        <w:rPr>
          <w:rFonts w:ascii="Arial" w:hAnsi="Arial" w:cs="Arial"/>
        </w:rPr>
        <w:t>., 2022)</w:t>
      </w:r>
      <w:r w:rsidRPr="00B56594">
        <w:rPr>
          <w:rFonts w:ascii="Arial" w:hAnsi="Arial" w:cs="Arial"/>
          <w:bCs/>
        </w:rPr>
        <w:t xml:space="preserve">. The relatively lower concentration of glycosides in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is consistent with reports from other </w:t>
      </w:r>
      <w:r w:rsidRPr="00B56594">
        <w:rPr>
          <w:rFonts w:ascii="Arial" w:hAnsi="Arial" w:cs="Arial"/>
          <w:bCs/>
          <w:i/>
          <w:iCs/>
        </w:rPr>
        <w:t>Combretum</w:t>
      </w:r>
      <w:r w:rsidRPr="00B56594">
        <w:rPr>
          <w:rFonts w:ascii="Arial" w:hAnsi="Arial" w:cs="Arial"/>
          <w:bCs/>
        </w:rPr>
        <w:t xml:space="preserve"> species, where glycosides are often present but not dominant (</w:t>
      </w:r>
      <w:proofErr w:type="spellStart"/>
      <w:r w:rsidRPr="00B56594">
        <w:rPr>
          <w:rFonts w:ascii="Arial" w:hAnsi="Arial" w:cs="Arial"/>
        </w:rPr>
        <w:t>Mathipa</w:t>
      </w:r>
      <w:proofErr w:type="spellEnd"/>
      <w:r w:rsidRPr="00B56594">
        <w:rPr>
          <w:rFonts w:ascii="Arial" w:hAnsi="Arial" w:cs="Arial"/>
        </w:rPr>
        <w:t xml:space="preserve"> </w:t>
      </w:r>
      <w:r w:rsidRPr="00B56594">
        <w:rPr>
          <w:rFonts w:ascii="Arial" w:hAnsi="Arial" w:cs="Arial"/>
          <w:i/>
          <w:iCs/>
        </w:rPr>
        <w:t>et al</w:t>
      </w:r>
      <w:r w:rsidRPr="00B56594">
        <w:rPr>
          <w:rFonts w:ascii="Arial" w:hAnsi="Arial" w:cs="Arial"/>
        </w:rPr>
        <w:t>., 2022)</w:t>
      </w:r>
      <w:r w:rsidRPr="00B56594">
        <w:rPr>
          <w:rFonts w:ascii="Arial" w:hAnsi="Arial" w:cs="Arial"/>
          <w:bCs/>
        </w:rPr>
        <w:t>.</w:t>
      </w:r>
    </w:p>
    <w:p w14:paraId="38FB0A38" w14:textId="77777777" w:rsidR="00243BBA" w:rsidRPr="00243BBA" w:rsidRDefault="00243BBA" w:rsidP="00243BBA">
      <w:pPr>
        <w:pStyle w:val="Body"/>
        <w:spacing w:after="0"/>
        <w:rPr>
          <w:rFonts w:ascii="Arial" w:hAnsi="Arial" w:cs="Arial"/>
          <w:b/>
        </w:rPr>
      </w:pPr>
      <w:r w:rsidRPr="00243BBA">
        <w:rPr>
          <w:rFonts w:ascii="Arial" w:hAnsi="Arial" w:cs="Arial"/>
          <w:b/>
        </w:rPr>
        <w:t xml:space="preserve">Table 1: Phytochemical content of </w:t>
      </w:r>
      <w:r w:rsidRPr="00243BBA">
        <w:rPr>
          <w:rFonts w:ascii="Arial" w:hAnsi="Arial" w:cs="Arial"/>
          <w:b/>
          <w:i/>
          <w:iCs/>
        </w:rPr>
        <w:t xml:space="preserve">C. </w:t>
      </w:r>
      <w:proofErr w:type="spellStart"/>
      <w:r w:rsidRPr="00243BBA">
        <w:rPr>
          <w:rFonts w:ascii="Arial" w:hAnsi="Arial" w:cs="Arial"/>
          <w:b/>
          <w:i/>
          <w:iCs/>
        </w:rPr>
        <w:t>hispidum</w:t>
      </w:r>
      <w:proofErr w:type="spellEnd"/>
      <w:r w:rsidRPr="00243BBA">
        <w:rPr>
          <w:rFonts w:ascii="Arial" w:hAnsi="Arial" w:cs="Arial"/>
          <w:b/>
          <w:i/>
          <w:iCs/>
        </w:rPr>
        <w:t xml:space="preserve"> </w:t>
      </w:r>
      <w:r w:rsidRPr="00243BBA">
        <w:rPr>
          <w:rFonts w:ascii="Arial" w:hAnsi="Arial" w:cs="Arial"/>
          <w:b/>
        </w:rPr>
        <w:t>ethanol leaf extract</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430"/>
        <w:gridCol w:w="4320"/>
      </w:tblGrid>
      <w:tr w:rsidR="00243BBA" w:rsidRPr="00243BBA" w14:paraId="12934ACA" w14:textId="77777777" w:rsidTr="00127A18">
        <w:trPr>
          <w:trHeight w:val="273"/>
        </w:trPr>
        <w:tc>
          <w:tcPr>
            <w:tcW w:w="2610" w:type="dxa"/>
            <w:tcBorders>
              <w:top w:val="single" w:sz="12" w:space="0" w:color="auto"/>
              <w:bottom w:val="single" w:sz="12" w:space="0" w:color="auto"/>
            </w:tcBorders>
            <w:noWrap/>
            <w:hideMark/>
          </w:tcPr>
          <w:p w14:paraId="11C3DC97"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Phytochemicals</w:t>
            </w:r>
          </w:p>
        </w:tc>
        <w:tc>
          <w:tcPr>
            <w:tcW w:w="2430" w:type="dxa"/>
            <w:tcBorders>
              <w:top w:val="single" w:sz="12" w:space="0" w:color="auto"/>
              <w:bottom w:val="single" w:sz="12" w:space="0" w:color="auto"/>
            </w:tcBorders>
          </w:tcPr>
          <w:p w14:paraId="21F242F5"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Qualitative test inferences</w:t>
            </w:r>
          </w:p>
        </w:tc>
        <w:tc>
          <w:tcPr>
            <w:tcW w:w="4320" w:type="dxa"/>
            <w:tcBorders>
              <w:top w:val="single" w:sz="12" w:space="0" w:color="auto"/>
              <w:bottom w:val="single" w:sz="12" w:space="0" w:color="auto"/>
            </w:tcBorders>
            <w:noWrap/>
            <w:hideMark/>
          </w:tcPr>
          <w:p w14:paraId="65FF6A06"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Quantitative availability (mg/100 g)</w:t>
            </w:r>
          </w:p>
        </w:tc>
      </w:tr>
      <w:tr w:rsidR="00243BBA" w:rsidRPr="00243BBA" w14:paraId="4CBFA5F4" w14:textId="77777777" w:rsidTr="00127A18">
        <w:trPr>
          <w:trHeight w:val="273"/>
        </w:trPr>
        <w:tc>
          <w:tcPr>
            <w:tcW w:w="2610" w:type="dxa"/>
            <w:tcBorders>
              <w:top w:val="single" w:sz="12" w:space="0" w:color="auto"/>
            </w:tcBorders>
            <w:noWrap/>
            <w:hideMark/>
          </w:tcPr>
          <w:p w14:paraId="37A8DC5C"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lastRenderedPageBreak/>
              <w:t xml:space="preserve">Saponins </w:t>
            </w:r>
          </w:p>
        </w:tc>
        <w:tc>
          <w:tcPr>
            <w:tcW w:w="2430" w:type="dxa"/>
            <w:tcBorders>
              <w:top w:val="single" w:sz="12" w:space="0" w:color="auto"/>
            </w:tcBorders>
          </w:tcPr>
          <w:p w14:paraId="641A7901"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tcBorders>
              <w:top w:val="single" w:sz="12" w:space="0" w:color="auto"/>
            </w:tcBorders>
            <w:noWrap/>
            <w:hideMark/>
          </w:tcPr>
          <w:p w14:paraId="66A1156B"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12.71±0.16</w:t>
            </w:r>
          </w:p>
        </w:tc>
      </w:tr>
      <w:tr w:rsidR="00243BBA" w:rsidRPr="00243BBA" w14:paraId="0D9347A9" w14:textId="77777777" w:rsidTr="00127A18">
        <w:trPr>
          <w:trHeight w:val="273"/>
        </w:trPr>
        <w:tc>
          <w:tcPr>
            <w:tcW w:w="2610" w:type="dxa"/>
            <w:noWrap/>
            <w:hideMark/>
          </w:tcPr>
          <w:p w14:paraId="6F4E53AF"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Tannins </w:t>
            </w:r>
          </w:p>
        </w:tc>
        <w:tc>
          <w:tcPr>
            <w:tcW w:w="2430" w:type="dxa"/>
          </w:tcPr>
          <w:p w14:paraId="2AED5CCF"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noWrap/>
            <w:hideMark/>
          </w:tcPr>
          <w:p w14:paraId="6F0E2AF7"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7.86±0.46</w:t>
            </w:r>
          </w:p>
        </w:tc>
      </w:tr>
      <w:tr w:rsidR="00243BBA" w:rsidRPr="00243BBA" w14:paraId="331F89CA" w14:textId="77777777" w:rsidTr="00127A18">
        <w:trPr>
          <w:trHeight w:val="273"/>
        </w:trPr>
        <w:tc>
          <w:tcPr>
            <w:tcW w:w="2610" w:type="dxa"/>
            <w:noWrap/>
            <w:hideMark/>
          </w:tcPr>
          <w:p w14:paraId="6630D0AB"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Phenolic </w:t>
            </w:r>
          </w:p>
        </w:tc>
        <w:tc>
          <w:tcPr>
            <w:tcW w:w="2430" w:type="dxa"/>
          </w:tcPr>
          <w:p w14:paraId="79C22BC0"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noWrap/>
            <w:hideMark/>
          </w:tcPr>
          <w:p w14:paraId="291559B7"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14.36±0.33</w:t>
            </w:r>
          </w:p>
        </w:tc>
      </w:tr>
      <w:tr w:rsidR="00243BBA" w:rsidRPr="00243BBA" w14:paraId="48DB3E73" w14:textId="77777777" w:rsidTr="00127A18">
        <w:trPr>
          <w:trHeight w:val="273"/>
        </w:trPr>
        <w:tc>
          <w:tcPr>
            <w:tcW w:w="2610" w:type="dxa"/>
            <w:noWrap/>
            <w:hideMark/>
          </w:tcPr>
          <w:p w14:paraId="5BF5C8B9"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Flavonoids </w:t>
            </w:r>
          </w:p>
        </w:tc>
        <w:tc>
          <w:tcPr>
            <w:tcW w:w="2430" w:type="dxa"/>
          </w:tcPr>
          <w:p w14:paraId="7F223FD7"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noWrap/>
            <w:hideMark/>
          </w:tcPr>
          <w:p w14:paraId="5FF804C1"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19.73±0.61</w:t>
            </w:r>
          </w:p>
        </w:tc>
      </w:tr>
      <w:tr w:rsidR="00243BBA" w:rsidRPr="00243BBA" w14:paraId="75D2450A" w14:textId="77777777" w:rsidTr="00127A18">
        <w:trPr>
          <w:trHeight w:val="273"/>
        </w:trPr>
        <w:tc>
          <w:tcPr>
            <w:tcW w:w="2610" w:type="dxa"/>
            <w:noWrap/>
            <w:hideMark/>
          </w:tcPr>
          <w:p w14:paraId="1DF78F8E"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Steroids </w:t>
            </w:r>
          </w:p>
        </w:tc>
        <w:tc>
          <w:tcPr>
            <w:tcW w:w="2430" w:type="dxa"/>
          </w:tcPr>
          <w:p w14:paraId="3D4B02E4"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noWrap/>
            <w:hideMark/>
          </w:tcPr>
          <w:p w14:paraId="01BAC989"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6.82±0.14</w:t>
            </w:r>
          </w:p>
        </w:tc>
      </w:tr>
      <w:tr w:rsidR="00243BBA" w:rsidRPr="00243BBA" w14:paraId="4D215912" w14:textId="77777777" w:rsidTr="00127A18">
        <w:trPr>
          <w:trHeight w:val="273"/>
        </w:trPr>
        <w:tc>
          <w:tcPr>
            <w:tcW w:w="2610" w:type="dxa"/>
            <w:noWrap/>
            <w:hideMark/>
          </w:tcPr>
          <w:p w14:paraId="1EAF7A49"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Terpenoids </w:t>
            </w:r>
          </w:p>
        </w:tc>
        <w:tc>
          <w:tcPr>
            <w:tcW w:w="2430" w:type="dxa"/>
          </w:tcPr>
          <w:p w14:paraId="4CF3116B"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noWrap/>
            <w:hideMark/>
          </w:tcPr>
          <w:p w14:paraId="23F019FA"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5.29±0.09</w:t>
            </w:r>
          </w:p>
        </w:tc>
      </w:tr>
      <w:tr w:rsidR="00243BBA" w:rsidRPr="00243BBA" w14:paraId="1091F6AF" w14:textId="77777777" w:rsidTr="00127A18">
        <w:trPr>
          <w:trHeight w:val="273"/>
        </w:trPr>
        <w:tc>
          <w:tcPr>
            <w:tcW w:w="2610" w:type="dxa"/>
            <w:noWrap/>
            <w:hideMark/>
          </w:tcPr>
          <w:p w14:paraId="1362EBCC"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Glycosides </w:t>
            </w:r>
          </w:p>
        </w:tc>
        <w:tc>
          <w:tcPr>
            <w:tcW w:w="2430" w:type="dxa"/>
          </w:tcPr>
          <w:p w14:paraId="54FCA5EF"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              +</w:t>
            </w:r>
          </w:p>
        </w:tc>
        <w:tc>
          <w:tcPr>
            <w:tcW w:w="4320" w:type="dxa"/>
            <w:noWrap/>
            <w:hideMark/>
          </w:tcPr>
          <w:p w14:paraId="7B769DD5"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4.90±0.09</w:t>
            </w:r>
          </w:p>
        </w:tc>
      </w:tr>
      <w:tr w:rsidR="00243BBA" w:rsidRPr="00243BBA" w14:paraId="72E8CDE0" w14:textId="77777777" w:rsidTr="00127A18">
        <w:trPr>
          <w:trHeight w:val="273"/>
        </w:trPr>
        <w:tc>
          <w:tcPr>
            <w:tcW w:w="2610" w:type="dxa"/>
            <w:noWrap/>
            <w:hideMark/>
          </w:tcPr>
          <w:p w14:paraId="4AB14641"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 xml:space="preserve">Alkaloids </w:t>
            </w:r>
          </w:p>
        </w:tc>
        <w:tc>
          <w:tcPr>
            <w:tcW w:w="2430" w:type="dxa"/>
          </w:tcPr>
          <w:p w14:paraId="0DE10BAD"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w:t>
            </w:r>
          </w:p>
        </w:tc>
        <w:tc>
          <w:tcPr>
            <w:tcW w:w="4320" w:type="dxa"/>
            <w:noWrap/>
            <w:hideMark/>
          </w:tcPr>
          <w:p w14:paraId="0D899A15"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37.14±0.39</w:t>
            </w:r>
          </w:p>
        </w:tc>
      </w:tr>
    </w:tbl>
    <w:p w14:paraId="5CC663CD" w14:textId="1C797A88" w:rsidR="00243BBA" w:rsidRDefault="00243BBA" w:rsidP="00243BBA">
      <w:pPr>
        <w:pStyle w:val="Body"/>
        <w:spacing w:after="0"/>
        <w:rPr>
          <w:rFonts w:ascii="Arial" w:hAnsi="Arial" w:cs="Arial"/>
          <w:i/>
          <w:iCs/>
          <w:sz w:val="18"/>
          <w:szCs w:val="18"/>
          <w:vertAlign w:val="superscript"/>
        </w:rPr>
      </w:pPr>
      <w:r>
        <w:rPr>
          <w:rFonts w:ascii="Arial" w:hAnsi="Arial" w:cs="Arial"/>
          <w:i/>
          <w:iCs/>
          <w:sz w:val="18"/>
          <w:szCs w:val="18"/>
          <w:vertAlign w:val="superscript"/>
        </w:rPr>
        <w:t>*</w:t>
      </w:r>
      <w:r w:rsidRPr="00243BBA">
        <w:rPr>
          <w:rFonts w:ascii="Arial" w:hAnsi="Arial" w:cs="Arial"/>
          <w:i/>
          <w:iCs/>
          <w:sz w:val="18"/>
          <w:szCs w:val="18"/>
          <w:vertAlign w:val="superscript"/>
        </w:rPr>
        <w:t xml:space="preserve">Keys: + = present in low amount, ++ = present in moderate amount, +++ = present in high amount. Values of quantitative test results are as means ± standard deviation (n = 3). </w:t>
      </w:r>
    </w:p>
    <w:p w14:paraId="0CBCB7FF" w14:textId="77777777" w:rsidR="00243BBA" w:rsidRDefault="00243BBA" w:rsidP="00243BBA">
      <w:pPr>
        <w:pStyle w:val="Body"/>
        <w:spacing w:after="0"/>
        <w:rPr>
          <w:rFonts w:ascii="Arial" w:hAnsi="Arial" w:cs="Arial"/>
          <w:b/>
        </w:rPr>
      </w:pPr>
    </w:p>
    <w:p w14:paraId="7BAA8F85" w14:textId="77777777" w:rsidR="00BE687E" w:rsidRDefault="00BE687E" w:rsidP="00243BBA">
      <w:pPr>
        <w:pStyle w:val="Body"/>
        <w:rPr>
          <w:rFonts w:ascii="Arial" w:hAnsi="Arial" w:cs="Arial"/>
          <w:b/>
        </w:rPr>
      </w:pPr>
    </w:p>
    <w:p w14:paraId="5E94C3F8" w14:textId="6261BF48" w:rsidR="00243BBA" w:rsidRDefault="00243BBA" w:rsidP="00243BBA">
      <w:pPr>
        <w:pStyle w:val="Body"/>
        <w:rPr>
          <w:rFonts w:ascii="Arial" w:hAnsi="Arial" w:cs="Arial"/>
          <w:b/>
        </w:rPr>
      </w:pPr>
      <w:r w:rsidRPr="00243BBA">
        <w:rPr>
          <w:rFonts w:ascii="Arial" w:hAnsi="Arial" w:cs="Arial"/>
          <w:b/>
        </w:rPr>
        <w:t xml:space="preserve">Fig. </w:t>
      </w:r>
      <w:r w:rsidR="00761F0E">
        <w:rPr>
          <w:rFonts w:ascii="Arial" w:hAnsi="Arial" w:cs="Arial"/>
          <w:b/>
        </w:rPr>
        <w:t>2</w:t>
      </w:r>
      <w:r w:rsidRPr="00243BBA">
        <w:rPr>
          <w:rFonts w:ascii="Arial" w:hAnsi="Arial" w:cs="Arial"/>
          <w:b/>
        </w:rPr>
        <w:t xml:space="preserve">: Chromatogram showing peaks of compounds present in </w:t>
      </w:r>
      <w:r w:rsidRPr="00243BBA">
        <w:rPr>
          <w:rFonts w:ascii="Arial" w:hAnsi="Arial" w:cs="Arial"/>
          <w:b/>
          <w:i/>
          <w:iCs/>
        </w:rPr>
        <w:t xml:space="preserve">C. </w:t>
      </w:r>
      <w:proofErr w:type="spellStart"/>
      <w:r w:rsidRPr="00243BBA">
        <w:rPr>
          <w:rFonts w:ascii="Arial" w:hAnsi="Arial" w:cs="Arial"/>
          <w:b/>
          <w:i/>
          <w:iCs/>
        </w:rPr>
        <w:t>hispidum</w:t>
      </w:r>
      <w:proofErr w:type="spellEnd"/>
      <w:r w:rsidRPr="00243BBA">
        <w:rPr>
          <w:rFonts w:ascii="Arial" w:hAnsi="Arial" w:cs="Arial"/>
          <w:b/>
          <w:i/>
          <w:iCs/>
        </w:rPr>
        <w:t xml:space="preserve"> </w:t>
      </w:r>
      <w:r w:rsidRPr="00243BBA">
        <w:rPr>
          <w:rFonts w:ascii="Arial" w:hAnsi="Arial" w:cs="Arial"/>
          <w:b/>
        </w:rPr>
        <w:t xml:space="preserve">ethanol leaf extract </w:t>
      </w:r>
    </w:p>
    <w:p w14:paraId="05EAA5A1" w14:textId="1E07D445" w:rsidR="00243BBA" w:rsidRDefault="00243BBA" w:rsidP="00243BBA">
      <w:pPr>
        <w:pStyle w:val="Body"/>
        <w:spacing w:after="0"/>
        <w:rPr>
          <w:rFonts w:ascii="Arial" w:hAnsi="Arial" w:cs="Arial"/>
          <w:b/>
        </w:rPr>
      </w:pPr>
      <w:r w:rsidRPr="00243BBA">
        <w:rPr>
          <w:rFonts w:ascii="Arial" w:hAnsi="Arial" w:cs="Arial"/>
          <w:b/>
          <w:noProof/>
        </w:rPr>
        <w:drawing>
          <wp:inline distT="0" distB="0" distL="0" distR="0" wp14:anchorId="2D671789" wp14:editId="0F167187">
            <wp:extent cx="6165850" cy="4184650"/>
            <wp:effectExtent l="0" t="0" r="0" b="0"/>
            <wp:docPr id="1" name="Picture 1" descr="C:\Users\User\Desktop\2023 WORKS\ARINZECHUKWU\IMG-20230113-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 WORKS\ARINZECHUKWU\IMG-20230113-WA0005.jpg"/>
                    <pic:cNvPicPr>
                      <a:picLocks noChangeAspect="1" noChangeArrowheads="1"/>
                    </pic:cNvPicPr>
                  </pic:nvPicPr>
                  <pic:blipFill>
                    <a:blip r:embed="rId16"/>
                    <a:srcRect/>
                    <a:stretch>
                      <a:fillRect/>
                    </a:stretch>
                  </pic:blipFill>
                  <pic:spPr bwMode="auto">
                    <a:xfrm>
                      <a:off x="0" y="0"/>
                      <a:ext cx="6165850" cy="4184650"/>
                    </a:xfrm>
                    <a:prstGeom prst="rect">
                      <a:avLst/>
                    </a:prstGeom>
                    <a:noFill/>
                    <a:ln w="9525">
                      <a:noFill/>
                      <a:miter lim="800000"/>
                      <a:headEnd/>
                      <a:tailEnd/>
                    </a:ln>
                  </pic:spPr>
                </pic:pic>
              </a:graphicData>
            </a:graphic>
          </wp:inline>
        </w:drawing>
      </w:r>
    </w:p>
    <w:p w14:paraId="16DC6675" w14:textId="77777777" w:rsidR="00243BBA" w:rsidRDefault="00243BBA" w:rsidP="00243BBA">
      <w:pPr>
        <w:pStyle w:val="Body"/>
        <w:spacing w:after="0"/>
        <w:rPr>
          <w:rFonts w:ascii="Arial" w:hAnsi="Arial" w:cs="Arial"/>
          <w:b/>
        </w:rPr>
      </w:pPr>
    </w:p>
    <w:p w14:paraId="68BBB925" w14:textId="172F910D" w:rsidR="00243BBA" w:rsidRPr="00243BBA" w:rsidRDefault="00243BBA" w:rsidP="00243BBA">
      <w:pPr>
        <w:pStyle w:val="Body"/>
        <w:spacing w:after="0"/>
        <w:rPr>
          <w:rFonts w:ascii="Arial" w:hAnsi="Arial" w:cs="Arial"/>
          <w:b/>
        </w:rPr>
      </w:pPr>
      <w:r w:rsidRPr="00243BBA">
        <w:rPr>
          <w:rFonts w:ascii="Arial" w:hAnsi="Arial" w:cs="Arial"/>
          <w:b/>
        </w:rPr>
        <w:t xml:space="preserve">Table 2: Bioactive compounds identified in </w:t>
      </w:r>
      <w:r w:rsidRPr="00243BBA">
        <w:rPr>
          <w:rFonts w:ascii="Arial" w:hAnsi="Arial" w:cs="Arial"/>
          <w:b/>
          <w:i/>
          <w:iCs/>
        </w:rPr>
        <w:t xml:space="preserve">C. </w:t>
      </w:r>
      <w:proofErr w:type="spellStart"/>
      <w:r w:rsidRPr="00243BBA">
        <w:rPr>
          <w:rFonts w:ascii="Arial" w:hAnsi="Arial" w:cs="Arial"/>
          <w:b/>
          <w:i/>
          <w:iCs/>
        </w:rPr>
        <w:t>hispidum</w:t>
      </w:r>
      <w:proofErr w:type="spellEnd"/>
      <w:r w:rsidRPr="00243BBA">
        <w:rPr>
          <w:rFonts w:ascii="Arial" w:hAnsi="Arial" w:cs="Arial"/>
          <w:b/>
          <w:i/>
          <w:iCs/>
        </w:rPr>
        <w:t xml:space="preserve"> </w:t>
      </w:r>
      <w:r w:rsidRPr="00243BBA">
        <w:rPr>
          <w:rFonts w:ascii="Arial" w:hAnsi="Arial" w:cs="Arial"/>
          <w:b/>
        </w:rPr>
        <w:t xml:space="preserve">leaf extract by GCMS </w:t>
      </w:r>
    </w:p>
    <w:tbl>
      <w:tblPr>
        <w:tblStyle w:val="TableGrid"/>
        <w:tblW w:w="9620" w:type="dxa"/>
        <w:tblLook w:val="04A0" w:firstRow="1" w:lastRow="0" w:firstColumn="1" w:lastColumn="0" w:noHBand="0" w:noVBand="1"/>
      </w:tblPr>
      <w:tblGrid>
        <w:gridCol w:w="831"/>
        <w:gridCol w:w="1231"/>
        <w:gridCol w:w="2077"/>
        <w:gridCol w:w="3657"/>
        <w:gridCol w:w="1824"/>
      </w:tblGrid>
      <w:tr w:rsidR="00243BBA" w:rsidRPr="00243BBA" w14:paraId="4D40D116" w14:textId="77777777" w:rsidTr="00127A18">
        <w:trPr>
          <w:trHeight w:val="432"/>
        </w:trPr>
        <w:tc>
          <w:tcPr>
            <w:tcW w:w="834" w:type="dxa"/>
            <w:tcBorders>
              <w:left w:val="nil"/>
              <w:bottom w:val="single" w:sz="4" w:space="0" w:color="auto"/>
              <w:right w:val="nil"/>
            </w:tcBorders>
          </w:tcPr>
          <w:p w14:paraId="04BAB57C" w14:textId="77777777" w:rsidR="00243BBA" w:rsidRPr="00243BBA" w:rsidRDefault="00243BBA" w:rsidP="00243BBA">
            <w:pPr>
              <w:pStyle w:val="Body"/>
              <w:spacing w:after="0"/>
              <w:rPr>
                <w:rFonts w:ascii="Arial" w:eastAsia="Times New Roman" w:hAnsi="Arial" w:cs="Arial"/>
                <w:b/>
              </w:rPr>
            </w:pPr>
            <w:r w:rsidRPr="00243BBA">
              <w:rPr>
                <w:rFonts w:ascii="Arial" w:eastAsia="Times New Roman" w:hAnsi="Arial" w:cs="Arial"/>
                <w:b/>
              </w:rPr>
              <w:t>PEAK</w:t>
            </w:r>
          </w:p>
        </w:tc>
        <w:tc>
          <w:tcPr>
            <w:tcW w:w="1141" w:type="dxa"/>
            <w:tcBorders>
              <w:left w:val="nil"/>
              <w:bottom w:val="single" w:sz="4" w:space="0" w:color="auto"/>
              <w:right w:val="nil"/>
            </w:tcBorders>
          </w:tcPr>
          <w:p w14:paraId="09D0FEE3" w14:textId="77777777" w:rsidR="00243BBA" w:rsidRPr="00243BBA" w:rsidRDefault="00243BBA" w:rsidP="00243BBA">
            <w:pPr>
              <w:pStyle w:val="Body"/>
              <w:spacing w:after="0"/>
              <w:rPr>
                <w:rFonts w:ascii="Arial" w:eastAsia="Times New Roman" w:hAnsi="Arial" w:cs="Arial"/>
                <w:b/>
              </w:rPr>
            </w:pPr>
            <w:r w:rsidRPr="00243BBA">
              <w:rPr>
                <w:rFonts w:ascii="Arial" w:eastAsia="Times New Roman" w:hAnsi="Arial" w:cs="Arial"/>
                <w:b/>
              </w:rPr>
              <w:t>Retention</w:t>
            </w:r>
          </w:p>
          <w:p w14:paraId="31CEFDB8" w14:textId="77777777" w:rsidR="00243BBA" w:rsidRPr="00243BBA" w:rsidRDefault="00243BBA" w:rsidP="00243BBA">
            <w:pPr>
              <w:pStyle w:val="Body"/>
              <w:spacing w:after="0"/>
              <w:rPr>
                <w:rFonts w:ascii="Arial" w:eastAsia="Times New Roman" w:hAnsi="Arial" w:cs="Arial"/>
                <w:b/>
              </w:rPr>
            </w:pPr>
            <w:r w:rsidRPr="00243BBA">
              <w:rPr>
                <w:rFonts w:ascii="Arial" w:eastAsia="Times New Roman" w:hAnsi="Arial" w:cs="Arial"/>
                <w:b/>
              </w:rPr>
              <w:t>Time</w:t>
            </w:r>
          </w:p>
        </w:tc>
        <w:tc>
          <w:tcPr>
            <w:tcW w:w="2133" w:type="dxa"/>
            <w:tcBorders>
              <w:left w:val="nil"/>
              <w:bottom w:val="single" w:sz="4" w:space="0" w:color="auto"/>
              <w:right w:val="nil"/>
            </w:tcBorders>
          </w:tcPr>
          <w:p w14:paraId="6CE8389C" w14:textId="77777777" w:rsidR="00243BBA" w:rsidRPr="00243BBA" w:rsidRDefault="00243BBA" w:rsidP="00243BBA">
            <w:pPr>
              <w:pStyle w:val="Body"/>
              <w:spacing w:after="0"/>
              <w:rPr>
                <w:rFonts w:ascii="Arial" w:eastAsia="Times New Roman" w:hAnsi="Arial" w:cs="Arial"/>
                <w:b/>
              </w:rPr>
            </w:pPr>
            <w:r w:rsidRPr="00243BBA">
              <w:rPr>
                <w:rFonts w:ascii="Arial" w:eastAsia="Times New Roman" w:hAnsi="Arial" w:cs="Arial"/>
                <w:b/>
              </w:rPr>
              <w:t>COMPOUND NAME</w:t>
            </w:r>
          </w:p>
        </w:tc>
        <w:tc>
          <w:tcPr>
            <w:tcW w:w="3667" w:type="dxa"/>
            <w:tcBorders>
              <w:left w:val="nil"/>
              <w:bottom w:val="single" w:sz="4" w:space="0" w:color="auto"/>
              <w:right w:val="nil"/>
            </w:tcBorders>
          </w:tcPr>
          <w:p w14:paraId="23D09E6D" w14:textId="77777777" w:rsidR="00243BBA" w:rsidRPr="00243BBA" w:rsidRDefault="00243BBA" w:rsidP="00243BBA">
            <w:pPr>
              <w:pStyle w:val="Body"/>
              <w:spacing w:after="0"/>
              <w:rPr>
                <w:rFonts w:ascii="Arial" w:eastAsia="Times New Roman" w:hAnsi="Arial" w:cs="Arial"/>
                <w:b/>
              </w:rPr>
            </w:pPr>
            <w:r w:rsidRPr="00243BBA">
              <w:rPr>
                <w:rFonts w:ascii="Arial" w:eastAsia="Times New Roman" w:hAnsi="Arial" w:cs="Arial"/>
                <w:b/>
              </w:rPr>
              <w:t>STRUCTURE</w:t>
            </w:r>
          </w:p>
        </w:tc>
        <w:tc>
          <w:tcPr>
            <w:tcW w:w="1845" w:type="dxa"/>
            <w:tcBorders>
              <w:left w:val="nil"/>
              <w:bottom w:val="single" w:sz="4" w:space="0" w:color="auto"/>
              <w:right w:val="nil"/>
            </w:tcBorders>
          </w:tcPr>
          <w:p w14:paraId="155A88DA" w14:textId="77777777" w:rsidR="00243BBA" w:rsidRPr="00243BBA" w:rsidRDefault="00243BBA" w:rsidP="00243BBA">
            <w:pPr>
              <w:pStyle w:val="Body"/>
              <w:spacing w:after="0"/>
              <w:rPr>
                <w:rFonts w:ascii="Arial" w:eastAsia="Times New Roman" w:hAnsi="Arial" w:cs="Arial"/>
                <w:b/>
              </w:rPr>
            </w:pPr>
            <w:r w:rsidRPr="00243BBA">
              <w:rPr>
                <w:rFonts w:ascii="Arial" w:eastAsia="Times New Roman" w:hAnsi="Arial" w:cs="Arial"/>
                <w:b/>
              </w:rPr>
              <w:t>% COMPOSITION</w:t>
            </w:r>
          </w:p>
        </w:tc>
      </w:tr>
      <w:tr w:rsidR="00243BBA" w:rsidRPr="00243BBA" w14:paraId="74328482" w14:textId="77777777" w:rsidTr="00127A18">
        <w:trPr>
          <w:trHeight w:val="322"/>
        </w:trPr>
        <w:tc>
          <w:tcPr>
            <w:tcW w:w="834" w:type="dxa"/>
            <w:tcBorders>
              <w:left w:val="nil"/>
              <w:bottom w:val="nil"/>
              <w:right w:val="nil"/>
            </w:tcBorders>
          </w:tcPr>
          <w:p w14:paraId="4AA2142E" w14:textId="77777777" w:rsidR="00243BBA" w:rsidRPr="00243BBA" w:rsidRDefault="00243BBA" w:rsidP="00243BBA">
            <w:pPr>
              <w:pStyle w:val="Body"/>
              <w:spacing w:after="0"/>
              <w:rPr>
                <w:rFonts w:ascii="Arial" w:eastAsia="Times New Roman" w:hAnsi="Arial" w:cs="Arial"/>
              </w:rPr>
            </w:pPr>
            <w:r w:rsidRPr="00243BBA">
              <w:rPr>
                <w:rFonts w:ascii="Arial" w:eastAsia="Times New Roman" w:hAnsi="Arial" w:cs="Arial"/>
              </w:rPr>
              <w:t>1.</w:t>
            </w:r>
          </w:p>
        </w:tc>
        <w:tc>
          <w:tcPr>
            <w:tcW w:w="1141" w:type="dxa"/>
            <w:tcBorders>
              <w:left w:val="nil"/>
              <w:bottom w:val="nil"/>
              <w:right w:val="nil"/>
            </w:tcBorders>
          </w:tcPr>
          <w:p w14:paraId="46ED04B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5.238 </w:t>
            </w:r>
          </w:p>
        </w:tc>
        <w:tc>
          <w:tcPr>
            <w:tcW w:w="2133" w:type="dxa"/>
            <w:tcBorders>
              <w:left w:val="nil"/>
              <w:bottom w:val="nil"/>
              <w:right w:val="nil"/>
            </w:tcBorders>
          </w:tcPr>
          <w:p w14:paraId="0DDB092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9,12 </w:t>
            </w:r>
            <w:proofErr w:type="spellStart"/>
            <w:r w:rsidRPr="00243BBA">
              <w:rPr>
                <w:rFonts w:ascii="Arial" w:hAnsi="Arial" w:cs="Arial"/>
              </w:rPr>
              <w:t>Octadecadienal</w:t>
            </w:r>
            <w:proofErr w:type="spellEnd"/>
            <w:r w:rsidRPr="00243BBA">
              <w:rPr>
                <w:rFonts w:ascii="Arial" w:hAnsi="Arial" w:cs="Arial"/>
              </w:rPr>
              <w:t xml:space="preserve"> </w:t>
            </w:r>
          </w:p>
        </w:tc>
        <w:tc>
          <w:tcPr>
            <w:tcW w:w="3667" w:type="dxa"/>
            <w:tcBorders>
              <w:left w:val="nil"/>
              <w:bottom w:val="nil"/>
              <w:right w:val="nil"/>
            </w:tcBorders>
          </w:tcPr>
          <w:p w14:paraId="26FAA569"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5BBE1931" wp14:editId="26D94957">
                  <wp:extent cx="1869743" cy="225270"/>
                  <wp:effectExtent l="0" t="0" r="0" b="0"/>
                  <wp:docPr id="52325776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srcRect/>
                          <a:stretch>
                            <a:fillRect/>
                          </a:stretch>
                        </pic:blipFill>
                        <pic:spPr bwMode="auto">
                          <a:xfrm>
                            <a:off x="0" y="0"/>
                            <a:ext cx="1936044" cy="233258"/>
                          </a:xfrm>
                          <a:prstGeom prst="rect">
                            <a:avLst/>
                          </a:prstGeom>
                          <a:noFill/>
                          <a:ln w="9525">
                            <a:noFill/>
                            <a:miter lim="800000"/>
                            <a:headEnd/>
                            <a:tailEnd/>
                          </a:ln>
                        </pic:spPr>
                      </pic:pic>
                    </a:graphicData>
                  </a:graphic>
                </wp:inline>
              </w:drawing>
            </w:r>
          </w:p>
        </w:tc>
        <w:tc>
          <w:tcPr>
            <w:tcW w:w="1845" w:type="dxa"/>
            <w:tcBorders>
              <w:left w:val="nil"/>
              <w:bottom w:val="nil"/>
              <w:right w:val="nil"/>
            </w:tcBorders>
          </w:tcPr>
          <w:p w14:paraId="78A8863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9.10 </w:t>
            </w:r>
          </w:p>
        </w:tc>
      </w:tr>
      <w:tr w:rsidR="00243BBA" w:rsidRPr="00243BBA" w14:paraId="336F1A37" w14:textId="77777777" w:rsidTr="00127A18">
        <w:trPr>
          <w:trHeight w:val="229"/>
        </w:trPr>
        <w:tc>
          <w:tcPr>
            <w:tcW w:w="834" w:type="dxa"/>
            <w:tcBorders>
              <w:top w:val="nil"/>
              <w:left w:val="nil"/>
              <w:bottom w:val="nil"/>
              <w:right w:val="nil"/>
            </w:tcBorders>
          </w:tcPr>
          <w:p w14:paraId="511271D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 </w:t>
            </w:r>
          </w:p>
        </w:tc>
        <w:tc>
          <w:tcPr>
            <w:tcW w:w="1141" w:type="dxa"/>
            <w:tcBorders>
              <w:top w:val="nil"/>
              <w:left w:val="nil"/>
              <w:bottom w:val="nil"/>
              <w:right w:val="nil"/>
            </w:tcBorders>
          </w:tcPr>
          <w:p w14:paraId="4BA59C9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6.884 </w:t>
            </w:r>
          </w:p>
        </w:tc>
        <w:tc>
          <w:tcPr>
            <w:tcW w:w="2133" w:type="dxa"/>
            <w:tcBorders>
              <w:top w:val="nil"/>
              <w:left w:val="nil"/>
              <w:bottom w:val="nil"/>
              <w:right w:val="nil"/>
            </w:tcBorders>
          </w:tcPr>
          <w:p w14:paraId="2B745C9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Hexadecane  </w:t>
            </w:r>
          </w:p>
        </w:tc>
        <w:tc>
          <w:tcPr>
            <w:tcW w:w="3667" w:type="dxa"/>
            <w:tcBorders>
              <w:top w:val="nil"/>
              <w:left w:val="nil"/>
              <w:bottom w:val="nil"/>
              <w:right w:val="nil"/>
            </w:tcBorders>
          </w:tcPr>
          <w:p w14:paraId="2A11C921"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78DF4E97" wp14:editId="29D6FBB4">
                  <wp:extent cx="1514475" cy="123825"/>
                  <wp:effectExtent l="19050" t="0" r="9525" b="0"/>
                  <wp:docPr id="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a:srcRect/>
                          <a:stretch>
                            <a:fillRect/>
                          </a:stretch>
                        </pic:blipFill>
                        <pic:spPr bwMode="auto">
                          <a:xfrm>
                            <a:off x="0" y="0"/>
                            <a:ext cx="1514475" cy="123825"/>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075DC584"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1.23 </w:t>
            </w:r>
          </w:p>
        </w:tc>
      </w:tr>
      <w:tr w:rsidR="00243BBA" w:rsidRPr="00243BBA" w14:paraId="7FD4BB67" w14:textId="77777777" w:rsidTr="00127A18">
        <w:trPr>
          <w:trHeight w:val="506"/>
        </w:trPr>
        <w:tc>
          <w:tcPr>
            <w:tcW w:w="834" w:type="dxa"/>
            <w:tcBorders>
              <w:top w:val="nil"/>
              <w:left w:val="nil"/>
              <w:bottom w:val="nil"/>
              <w:right w:val="nil"/>
            </w:tcBorders>
          </w:tcPr>
          <w:p w14:paraId="484D91D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 </w:t>
            </w:r>
          </w:p>
        </w:tc>
        <w:tc>
          <w:tcPr>
            <w:tcW w:w="1141" w:type="dxa"/>
            <w:tcBorders>
              <w:top w:val="nil"/>
              <w:left w:val="nil"/>
              <w:bottom w:val="nil"/>
              <w:right w:val="nil"/>
            </w:tcBorders>
          </w:tcPr>
          <w:p w14:paraId="62E0A11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7.426 </w:t>
            </w:r>
          </w:p>
        </w:tc>
        <w:tc>
          <w:tcPr>
            <w:tcW w:w="2133" w:type="dxa"/>
            <w:tcBorders>
              <w:top w:val="nil"/>
              <w:left w:val="nil"/>
              <w:bottom w:val="nil"/>
              <w:right w:val="nil"/>
            </w:tcBorders>
          </w:tcPr>
          <w:p w14:paraId="5E920F0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Benzene </w:t>
            </w:r>
          </w:p>
        </w:tc>
        <w:tc>
          <w:tcPr>
            <w:tcW w:w="3667" w:type="dxa"/>
            <w:tcBorders>
              <w:top w:val="nil"/>
              <w:left w:val="nil"/>
              <w:bottom w:val="nil"/>
              <w:right w:val="nil"/>
            </w:tcBorders>
          </w:tcPr>
          <w:p w14:paraId="24588266"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3783042E" wp14:editId="38441FBE">
                  <wp:extent cx="777922" cy="337185"/>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
                          <a:srcRect/>
                          <a:stretch>
                            <a:fillRect/>
                          </a:stretch>
                        </pic:blipFill>
                        <pic:spPr bwMode="auto">
                          <a:xfrm>
                            <a:off x="0" y="0"/>
                            <a:ext cx="811496" cy="351737"/>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728F559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0.45 </w:t>
            </w:r>
          </w:p>
        </w:tc>
      </w:tr>
      <w:tr w:rsidR="00243BBA" w:rsidRPr="00243BBA" w14:paraId="7AF40C12" w14:textId="77777777" w:rsidTr="00127A18">
        <w:trPr>
          <w:trHeight w:val="428"/>
        </w:trPr>
        <w:tc>
          <w:tcPr>
            <w:tcW w:w="834" w:type="dxa"/>
            <w:tcBorders>
              <w:top w:val="nil"/>
              <w:left w:val="nil"/>
              <w:bottom w:val="nil"/>
              <w:right w:val="nil"/>
            </w:tcBorders>
          </w:tcPr>
          <w:p w14:paraId="1F266E5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4. </w:t>
            </w:r>
          </w:p>
        </w:tc>
        <w:tc>
          <w:tcPr>
            <w:tcW w:w="1141" w:type="dxa"/>
            <w:tcBorders>
              <w:top w:val="nil"/>
              <w:left w:val="nil"/>
              <w:bottom w:val="nil"/>
              <w:right w:val="nil"/>
            </w:tcBorders>
          </w:tcPr>
          <w:p w14:paraId="2064705A"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8.522 </w:t>
            </w:r>
          </w:p>
        </w:tc>
        <w:tc>
          <w:tcPr>
            <w:tcW w:w="2133" w:type="dxa"/>
            <w:tcBorders>
              <w:top w:val="nil"/>
              <w:left w:val="nil"/>
              <w:bottom w:val="nil"/>
              <w:right w:val="nil"/>
            </w:tcBorders>
          </w:tcPr>
          <w:p w14:paraId="4836F7A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Carbonic acid </w:t>
            </w:r>
          </w:p>
        </w:tc>
        <w:tc>
          <w:tcPr>
            <w:tcW w:w="3667" w:type="dxa"/>
            <w:tcBorders>
              <w:top w:val="nil"/>
              <w:left w:val="nil"/>
              <w:bottom w:val="nil"/>
              <w:right w:val="nil"/>
            </w:tcBorders>
          </w:tcPr>
          <w:p w14:paraId="7FC6812C"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28829D5B" wp14:editId="35DB8406">
                  <wp:extent cx="1445981" cy="300250"/>
                  <wp:effectExtent l="0" t="0" r="0" b="0"/>
                  <wp:docPr id="5"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a:srcRect/>
                          <a:stretch>
                            <a:fillRect/>
                          </a:stretch>
                        </pic:blipFill>
                        <pic:spPr bwMode="auto">
                          <a:xfrm>
                            <a:off x="0" y="0"/>
                            <a:ext cx="1561319" cy="32419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7D56833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1.45 </w:t>
            </w:r>
          </w:p>
        </w:tc>
      </w:tr>
      <w:tr w:rsidR="00243BBA" w:rsidRPr="00243BBA" w14:paraId="23683FA5" w14:textId="77777777" w:rsidTr="00127A18">
        <w:trPr>
          <w:trHeight w:val="475"/>
        </w:trPr>
        <w:tc>
          <w:tcPr>
            <w:tcW w:w="834" w:type="dxa"/>
            <w:tcBorders>
              <w:top w:val="nil"/>
              <w:left w:val="nil"/>
              <w:bottom w:val="nil"/>
              <w:right w:val="nil"/>
            </w:tcBorders>
          </w:tcPr>
          <w:p w14:paraId="7F8018E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5. </w:t>
            </w:r>
          </w:p>
        </w:tc>
        <w:tc>
          <w:tcPr>
            <w:tcW w:w="1141" w:type="dxa"/>
            <w:tcBorders>
              <w:top w:val="nil"/>
              <w:left w:val="nil"/>
              <w:bottom w:val="nil"/>
              <w:right w:val="nil"/>
            </w:tcBorders>
          </w:tcPr>
          <w:p w14:paraId="70494F2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8.878 </w:t>
            </w:r>
          </w:p>
        </w:tc>
        <w:tc>
          <w:tcPr>
            <w:tcW w:w="2133" w:type="dxa"/>
            <w:tcBorders>
              <w:top w:val="nil"/>
              <w:left w:val="nil"/>
              <w:bottom w:val="nil"/>
              <w:right w:val="nil"/>
            </w:tcBorders>
          </w:tcPr>
          <w:p w14:paraId="476F8721"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17 </w:t>
            </w:r>
            <w:proofErr w:type="spellStart"/>
            <w:r w:rsidRPr="00243BBA">
              <w:rPr>
                <w:rFonts w:ascii="Arial" w:hAnsi="Arial" w:cs="Arial"/>
              </w:rPr>
              <w:t>pentatriacontene</w:t>
            </w:r>
            <w:proofErr w:type="spellEnd"/>
            <w:r w:rsidRPr="00243BBA">
              <w:rPr>
                <w:rFonts w:ascii="Arial" w:hAnsi="Arial" w:cs="Arial"/>
              </w:rPr>
              <w:t xml:space="preserve">  </w:t>
            </w:r>
          </w:p>
        </w:tc>
        <w:tc>
          <w:tcPr>
            <w:tcW w:w="3667" w:type="dxa"/>
            <w:tcBorders>
              <w:top w:val="nil"/>
              <w:left w:val="nil"/>
              <w:bottom w:val="nil"/>
              <w:right w:val="nil"/>
            </w:tcBorders>
          </w:tcPr>
          <w:p w14:paraId="1C9FDABA"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4164BD76" wp14:editId="50C52531">
                  <wp:extent cx="1981200" cy="323850"/>
                  <wp:effectExtent l="0" t="0" r="0" b="0"/>
                  <wp:docPr id="6"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
                          <a:srcRect/>
                          <a:stretch>
                            <a:fillRect/>
                          </a:stretch>
                        </pic:blipFill>
                        <pic:spPr bwMode="auto">
                          <a:xfrm>
                            <a:off x="0" y="0"/>
                            <a:ext cx="1981200" cy="323850"/>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B96CDF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3.58 </w:t>
            </w:r>
          </w:p>
        </w:tc>
      </w:tr>
      <w:tr w:rsidR="00243BBA" w:rsidRPr="00243BBA" w14:paraId="1DB2BD72" w14:textId="77777777" w:rsidTr="00127A18">
        <w:trPr>
          <w:trHeight w:val="276"/>
        </w:trPr>
        <w:tc>
          <w:tcPr>
            <w:tcW w:w="834" w:type="dxa"/>
            <w:tcBorders>
              <w:top w:val="nil"/>
              <w:left w:val="nil"/>
              <w:bottom w:val="nil"/>
              <w:right w:val="nil"/>
            </w:tcBorders>
          </w:tcPr>
          <w:p w14:paraId="715E584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6.</w:t>
            </w:r>
          </w:p>
        </w:tc>
        <w:tc>
          <w:tcPr>
            <w:tcW w:w="1141" w:type="dxa"/>
            <w:tcBorders>
              <w:top w:val="nil"/>
              <w:left w:val="nil"/>
              <w:bottom w:val="nil"/>
              <w:right w:val="nil"/>
            </w:tcBorders>
          </w:tcPr>
          <w:p w14:paraId="4B6DBCF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8.985 </w:t>
            </w:r>
          </w:p>
        </w:tc>
        <w:tc>
          <w:tcPr>
            <w:tcW w:w="2133" w:type="dxa"/>
            <w:tcBorders>
              <w:top w:val="nil"/>
              <w:left w:val="nil"/>
              <w:bottom w:val="nil"/>
              <w:right w:val="nil"/>
            </w:tcBorders>
          </w:tcPr>
          <w:p w14:paraId="4BF71E7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Undecane </w:t>
            </w:r>
          </w:p>
        </w:tc>
        <w:tc>
          <w:tcPr>
            <w:tcW w:w="3667" w:type="dxa"/>
            <w:tcBorders>
              <w:top w:val="nil"/>
              <w:left w:val="nil"/>
              <w:bottom w:val="nil"/>
              <w:right w:val="nil"/>
            </w:tcBorders>
          </w:tcPr>
          <w:p w14:paraId="62592AD9"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3630B406" wp14:editId="05772140">
                  <wp:extent cx="2171700" cy="194481"/>
                  <wp:effectExtent l="0" t="0" r="0" b="0"/>
                  <wp:docPr id="7"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2"/>
                          <a:srcRect/>
                          <a:stretch>
                            <a:fillRect/>
                          </a:stretch>
                        </pic:blipFill>
                        <pic:spPr bwMode="auto">
                          <a:xfrm>
                            <a:off x="0" y="0"/>
                            <a:ext cx="2171700" cy="194481"/>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11CDC2B1"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3.35 </w:t>
            </w:r>
          </w:p>
        </w:tc>
      </w:tr>
      <w:tr w:rsidR="00243BBA" w:rsidRPr="00243BBA" w14:paraId="4AC8BB02" w14:textId="77777777" w:rsidTr="00127A18">
        <w:trPr>
          <w:trHeight w:val="245"/>
        </w:trPr>
        <w:tc>
          <w:tcPr>
            <w:tcW w:w="834" w:type="dxa"/>
            <w:tcBorders>
              <w:top w:val="nil"/>
              <w:left w:val="nil"/>
              <w:bottom w:val="nil"/>
              <w:right w:val="nil"/>
            </w:tcBorders>
          </w:tcPr>
          <w:p w14:paraId="6D1A7A4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lastRenderedPageBreak/>
              <w:t xml:space="preserve">7. </w:t>
            </w:r>
          </w:p>
        </w:tc>
        <w:tc>
          <w:tcPr>
            <w:tcW w:w="1141" w:type="dxa"/>
            <w:tcBorders>
              <w:top w:val="nil"/>
              <w:left w:val="nil"/>
              <w:bottom w:val="nil"/>
              <w:right w:val="nil"/>
            </w:tcBorders>
          </w:tcPr>
          <w:p w14:paraId="2BD1FB04"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9.138 </w:t>
            </w:r>
          </w:p>
        </w:tc>
        <w:tc>
          <w:tcPr>
            <w:tcW w:w="2133" w:type="dxa"/>
            <w:tcBorders>
              <w:top w:val="nil"/>
              <w:left w:val="nil"/>
              <w:bottom w:val="nil"/>
              <w:right w:val="nil"/>
            </w:tcBorders>
          </w:tcPr>
          <w:p w14:paraId="3197A0C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Tetracosane  </w:t>
            </w:r>
          </w:p>
        </w:tc>
        <w:tc>
          <w:tcPr>
            <w:tcW w:w="3667" w:type="dxa"/>
            <w:tcBorders>
              <w:top w:val="nil"/>
              <w:left w:val="nil"/>
              <w:bottom w:val="nil"/>
              <w:right w:val="nil"/>
            </w:tcBorders>
          </w:tcPr>
          <w:p w14:paraId="21006B82"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46434A46" wp14:editId="1E8537D9">
                  <wp:extent cx="1897399" cy="150126"/>
                  <wp:effectExtent l="0" t="0" r="0" b="2540"/>
                  <wp:docPr id="8"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
                          <a:srcRect/>
                          <a:stretch>
                            <a:fillRect/>
                          </a:stretch>
                        </pic:blipFill>
                        <pic:spPr bwMode="auto">
                          <a:xfrm>
                            <a:off x="0" y="0"/>
                            <a:ext cx="1973632" cy="156158"/>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282912F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1.18 </w:t>
            </w:r>
          </w:p>
        </w:tc>
      </w:tr>
      <w:tr w:rsidR="00243BBA" w:rsidRPr="00243BBA" w14:paraId="04D221CC" w14:textId="77777777" w:rsidTr="00127A18">
        <w:trPr>
          <w:trHeight w:val="414"/>
        </w:trPr>
        <w:tc>
          <w:tcPr>
            <w:tcW w:w="834" w:type="dxa"/>
            <w:tcBorders>
              <w:top w:val="nil"/>
              <w:left w:val="nil"/>
              <w:bottom w:val="nil"/>
              <w:right w:val="nil"/>
            </w:tcBorders>
          </w:tcPr>
          <w:p w14:paraId="11BB278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8. </w:t>
            </w:r>
          </w:p>
        </w:tc>
        <w:tc>
          <w:tcPr>
            <w:tcW w:w="1141" w:type="dxa"/>
            <w:tcBorders>
              <w:top w:val="nil"/>
              <w:left w:val="nil"/>
              <w:bottom w:val="nil"/>
              <w:right w:val="nil"/>
            </w:tcBorders>
          </w:tcPr>
          <w:p w14:paraId="53E90E4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9.430 </w:t>
            </w:r>
          </w:p>
        </w:tc>
        <w:tc>
          <w:tcPr>
            <w:tcW w:w="2133" w:type="dxa"/>
            <w:tcBorders>
              <w:top w:val="nil"/>
              <w:left w:val="nil"/>
              <w:bottom w:val="nil"/>
              <w:right w:val="nil"/>
            </w:tcBorders>
          </w:tcPr>
          <w:p w14:paraId="2ED6CE7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Carbonic acid </w:t>
            </w:r>
          </w:p>
        </w:tc>
        <w:tc>
          <w:tcPr>
            <w:tcW w:w="3667" w:type="dxa"/>
            <w:tcBorders>
              <w:top w:val="nil"/>
              <w:left w:val="nil"/>
              <w:bottom w:val="nil"/>
              <w:right w:val="nil"/>
            </w:tcBorders>
          </w:tcPr>
          <w:p w14:paraId="01BC201A"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77BC4031" wp14:editId="0BF79921">
                  <wp:extent cx="1814830" cy="286603"/>
                  <wp:effectExtent l="0" t="0" r="0" b="0"/>
                  <wp:docPr id="9"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0"/>
                          <a:srcRect/>
                          <a:stretch>
                            <a:fillRect/>
                          </a:stretch>
                        </pic:blipFill>
                        <pic:spPr bwMode="auto">
                          <a:xfrm>
                            <a:off x="0" y="0"/>
                            <a:ext cx="1842966" cy="291046"/>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292829A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9.06 </w:t>
            </w:r>
          </w:p>
        </w:tc>
      </w:tr>
      <w:tr w:rsidR="00243BBA" w:rsidRPr="00243BBA" w14:paraId="447EF083" w14:textId="77777777" w:rsidTr="00127A18">
        <w:trPr>
          <w:trHeight w:val="352"/>
        </w:trPr>
        <w:tc>
          <w:tcPr>
            <w:tcW w:w="834" w:type="dxa"/>
            <w:tcBorders>
              <w:top w:val="nil"/>
              <w:left w:val="nil"/>
              <w:bottom w:val="nil"/>
              <w:right w:val="nil"/>
            </w:tcBorders>
          </w:tcPr>
          <w:p w14:paraId="0C672F7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 </w:t>
            </w:r>
          </w:p>
        </w:tc>
        <w:tc>
          <w:tcPr>
            <w:tcW w:w="1141" w:type="dxa"/>
            <w:tcBorders>
              <w:top w:val="nil"/>
              <w:left w:val="nil"/>
              <w:bottom w:val="nil"/>
              <w:right w:val="nil"/>
            </w:tcBorders>
          </w:tcPr>
          <w:p w14:paraId="6D954724"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9.558 </w:t>
            </w:r>
          </w:p>
        </w:tc>
        <w:tc>
          <w:tcPr>
            <w:tcW w:w="2133" w:type="dxa"/>
            <w:tcBorders>
              <w:top w:val="nil"/>
              <w:left w:val="nil"/>
              <w:bottom w:val="nil"/>
              <w:right w:val="nil"/>
            </w:tcBorders>
          </w:tcPr>
          <w:p w14:paraId="12D7188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17-Pentatriacontene </w:t>
            </w:r>
          </w:p>
        </w:tc>
        <w:tc>
          <w:tcPr>
            <w:tcW w:w="3667" w:type="dxa"/>
            <w:tcBorders>
              <w:top w:val="nil"/>
              <w:left w:val="nil"/>
              <w:bottom w:val="nil"/>
              <w:right w:val="nil"/>
            </w:tcBorders>
          </w:tcPr>
          <w:p w14:paraId="60D4D4F9"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34BA4E3F" wp14:editId="6A5896C2">
                  <wp:extent cx="1981200" cy="245659"/>
                  <wp:effectExtent l="0" t="0" r="0" b="0"/>
                  <wp:docPr id="11"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1"/>
                          <a:srcRect/>
                          <a:stretch>
                            <a:fillRect/>
                          </a:stretch>
                        </pic:blipFill>
                        <pic:spPr bwMode="auto">
                          <a:xfrm>
                            <a:off x="0" y="0"/>
                            <a:ext cx="1991320" cy="246914"/>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5FFB3DC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1.37 </w:t>
            </w:r>
          </w:p>
        </w:tc>
      </w:tr>
      <w:tr w:rsidR="00243BBA" w:rsidRPr="00243BBA" w14:paraId="408420AB" w14:textId="77777777" w:rsidTr="00127A18">
        <w:trPr>
          <w:trHeight w:val="259"/>
        </w:trPr>
        <w:tc>
          <w:tcPr>
            <w:tcW w:w="834" w:type="dxa"/>
            <w:tcBorders>
              <w:top w:val="nil"/>
              <w:left w:val="nil"/>
              <w:bottom w:val="nil"/>
              <w:right w:val="nil"/>
            </w:tcBorders>
          </w:tcPr>
          <w:p w14:paraId="54DDA1E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10. </w:t>
            </w:r>
          </w:p>
        </w:tc>
        <w:tc>
          <w:tcPr>
            <w:tcW w:w="1141" w:type="dxa"/>
            <w:tcBorders>
              <w:top w:val="nil"/>
              <w:left w:val="nil"/>
              <w:bottom w:val="nil"/>
              <w:right w:val="nil"/>
            </w:tcBorders>
          </w:tcPr>
          <w:p w14:paraId="55995D0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9.621 </w:t>
            </w:r>
          </w:p>
        </w:tc>
        <w:tc>
          <w:tcPr>
            <w:tcW w:w="2133" w:type="dxa"/>
            <w:tcBorders>
              <w:top w:val="nil"/>
              <w:left w:val="nil"/>
              <w:bottom w:val="nil"/>
              <w:right w:val="nil"/>
            </w:tcBorders>
          </w:tcPr>
          <w:p w14:paraId="7793D42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Heptane  </w:t>
            </w:r>
          </w:p>
        </w:tc>
        <w:tc>
          <w:tcPr>
            <w:tcW w:w="3667" w:type="dxa"/>
            <w:tcBorders>
              <w:top w:val="nil"/>
              <w:left w:val="nil"/>
              <w:bottom w:val="nil"/>
              <w:right w:val="nil"/>
            </w:tcBorders>
          </w:tcPr>
          <w:p w14:paraId="7D3DBAFE"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639C8271" wp14:editId="06450D75">
                  <wp:extent cx="1971675" cy="163773"/>
                  <wp:effectExtent l="0" t="0" r="0" b="8255"/>
                  <wp:docPr id="14"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4"/>
                          <a:srcRect/>
                          <a:stretch>
                            <a:fillRect/>
                          </a:stretch>
                        </pic:blipFill>
                        <pic:spPr bwMode="auto">
                          <a:xfrm>
                            <a:off x="0" y="0"/>
                            <a:ext cx="1994932" cy="165705"/>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443BADB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3.22 </w:t>
            </w:r>
          </w:p>
        </w:tc>
      </w:tr>
      <w:tr w:rsidR="00243BBA" w:rsidRPr="00243BBA" w14:paraId="173C3A09" w14:textId="77777777" w:rsidTr="00127A18">
        <w:trPr>
          <w:trHeight w:val="276"/>
        </w:trPr>
        <w:tc>
          <w:tcPr>
            <w:tcW w:w="834" w:type="dxa"/>
            <w:tcBorders>
              <w:top w:val="nil"/>
              <w:left w:val="nil"/>
              <w:bottom w:val="nil"/>
              <w:right w:val="nil"/>
            </w:tcBorders>
          </w:tcPr>
          <w:p w14:paraId="27E61C2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11. </w:t>
            </w:r>
          </w:p>
        </w:tc>
        <w:tc>
          <w:tcPr>
            <w:tcW w:w="1141" w:type="dxa"/>
            <w:tcBorders>
              <w:top w:val="nil"/>
              <w:left w:val="nil"/>
              <w:bottom w:val="nil"/>
              <w:right w:val="nil"/>
            </w:tcBorders>
          </w:tcPr>
          <w:p w14:paraId="41D2204A"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9.815 </w:t>
            </w:r>
          </w:p>
        </w:tc>
        <w:tc>
          <w:tcPr>
            <w:tcW w:w="2133" w:type="dxa"/>
            <w:tcBorders>
              <w:top w:val="nil"/>
              <w:left w:val="nil"/>
              <w:bottom w:val="nil"/>
              <w:right w:val="nil"/>
            </w:tcBorders>
          </w:tcPr>
          <w:p w14:paraId="352D8BDA"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Carbonic acid </w:t>
            </w:r>
          </w:p>
        </w:tc>
        <w:tc>
          <w:tcPr>
            <w:tcW w:w="3667" w:type="dxa"/>
            <w:tcBorders>
              <w:top w:val="nil"/>
              <w:left w:val="nil"/>
              <w:bottom w:val="nil"/>
              <w:right w:val="nil"/>
            </w:tcBorders>
          </w:tcPr>
          <w:p w14:paraId="2F5B0349"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22220444" wp14:editId="0E0A787A">
                  <wp:extent cx="1323996" cy="191068"/>
                  <wp:effectExtent l="0" t="0" r="0" b="0"/>
                  <wp:docPr id="15"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0"/>
                          <a:srcRect/>
                          <a:stretch>
                            <a:fillRect/>
                          </a:stretch>
                        </pic:blipFill>
                        <pic:spPr bwMode="auto">
                          <a:xfrm>
                            <a:off x="0" y="0"/>
                            <a:ext cx="1474994" cy="21285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5199E03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8.64 </w:t>
            </w:r>
          </w:p>
        </w:tc>
      </w:tr>
      <w:tr w:rsidR="00243BBA" w:rsidRPr="00243BBA" w14:paraId="0F7C3C50" w14:textId="77777777" w:rsidTr="00127A18">
        <w:trPr>
          <w:trHeight w:val="229"/>
        </w:trPr>
        <w:tc>
          <w:tcPr>
            <w:tcW w:w="834" w:type="dxa"/>
            <w:tcBorders>
              <w:top w:val="nil"/>
              <w:left w:val="nil"/>
              <w:bottom w:val="nil"/>
              <w:right w:val="nil"/>
            </w:tcBorders>
          </w:tcPr>
          <w:p w14:paraId="7C8B35B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12. </w:t>
            </w:r>
          </w:p>
        </w:tc>
        <w:tc>
          <w:tcPr>
            <w:tcW w:w="1141" w:type="dxa"/>
            <w:tcBorders>
              <w:top w:val="nil"/>
              <w:left w:val="nil"/>
              <w:bottom w:val="nil"/>
              <w:right w:val="nil"/>
            </w:tcBorders>
          </w:tcPr>
          <w:p w14:paraId="0399CF5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10.159 </w:t>
            </w:r>
          </w:p>
        </w:tc>
        <w:tc>
          <w:tcPr>
            <w:tcW w:w="2133" w:type="dxa"/>
            <w:tcBorders>
              <w:top w:val="nil"/>
              <w:left w:val="nil"/>
              <w:bottom w:val="nil"/>
              <w:right w:val="nil"/>
            </w:tcBorders>
          </w:tcPr>
          <w:p w14:paraId="3EB4B05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Undecane  </w:t>
            </w:r>
          </w:p>
        </w:tc>
        <w:tc>
          <w:tcPr>
            <w:tcW w:w="3667" w:type="dxa"/>
            <w:tcBorders>
              <w:top w:val="nil"/>
              <w:left w:val="nil"/>
              <w:bottom w:val="nil"/>
              <w:right w:val="nil"/>
            </w:tcBorders>
          </w:tcPr>
          <w:p w14:paraId="34DE1B74"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42BC96A5" wp14:editId="57EC05DE">
                  <wp:extent cx="1945005" cy="164105"/>
                  <wp:effectExtent l="0" t="0" r="0" b="0"/>
                  <wp:docPr id="35"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2"/>
                          <a:srcRect/>
                          <a:stretch>
                            <a:fillRect/>
                          </a:stretch>
                        </pic:blipFill>
                        <pic:spPr bwMode="auto">
                          <a:xfrm>
                            <a:off x="0" y="0"/>
                            <a:ext cx="1973142" cy="16647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47CFF1C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8.30 </w:t>
            </w:r>
          </w:p>
        </w:tc>
      </w:tr>
      <w:tr w:rsidR="00243BBA" w:rsidRPr="00243BBA" w14:paraId="1D5192D6" w14:textId="77777777" w:rsidTr="00127A18">
        <w:trPr>
          <w:trHeight w:val="322"/>
        </w:trPr>
        <w:tc>
          <w:tcPr>
            <w:tcW w:w="834" w:type="dxa"/>
            <w:tcBorders>
              <w:top w:val="nil"/>
              <w:left w:val="nil"/>
              <w:bottom w:val="nil"/>
              <w:right w:val="nil"/>
            </w:tcBorders>
          </w:tcPr>
          <w:p w14:paraId="2C227FB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13. </w:t>
            </w:r>
          </w:p>
        </w:tc>
        <w:tc>
          <w:tcPr>
            <w:tcW w:w="1141" w:type="dxa"/>
            <w:tcBorders>
              <w:top w:val="nil"/>
              <w:left w:val="nil"/>
              <w:bottom w:val="nil"/>
              <w:right w:val="nil"/>
            </w:tcBorders>
          </w:tcPr>
          <w:p w14:paraId="4289466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10.579 </w:t>
            </w:r>
          </w:p>
        </w:tc>
        <w:tc>
          <w:tcPr>
            <w:tcW w:w="2133" w:type="dxa"/>
            <w:tcBorders>
              <w:top w:val="nil"/>
              <w:left w:val="nil"/>
              <w:bottom w:val="nil"/>
              <w:right w:val="nil"/>
            </w:tcBorders>
          </w:tcPr>
          <w:p w14:paraId="275D96A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Hydroxylamine  </w:t>
            </w:r>
          </w:p>
        </w:tc>
        <w:tc>
          <w:tcPr>
            <w:tcW w:w="3667" w:type="dxa"/>
            <w:tcBorders>
              <w:top w:val="nil"/>
              <w:left w:val="nil"/>
              <w:bottom w:val="nil"/>
              <w:right w:val="nil"/>
            </w:tcBorders>
          </w:tcPr>
          <w:p w14:paraId="4C68A2D0"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14A9EBE5" wp14:editId="55CB664A">
                  <wp:extent cx="1552673" cy="218364"/>
                  <wp:effectExtent l="0" t="0" r="0" b="0"/>
                  <wp:docPr id="36"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5"/>
                          <a:srcRect/>
                          <a:stretch>
                            <a:fillRect/>
                          </a:stretch>
                        </pic:blipFill>
                        <pic:spPr bwMode="auto">
                          <a:xfrm>
                            <a:off x="0" y="0"/>
                            <a:ext cx="1612070" cy="226717"/>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653AD6D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2.09 </w:t>
            </w:r>
          </w:p>
        </w:tc>
      </w:tr>
      <w:tr w:rsidR="00243BBA" w:rsidRPr="00243BBA" w14:paraId="183A48A0" w14:textId="77777777" w:rsidTr="00127A18">
        <w:trPr>
          <w:trHeight w:val="229"/>
        </w:trPr>
        <w:tc>
          <w:tcPr>
            <w:tcW w:w="834" w:type="dxa"/>
            <w:tcBorders>
              <w:top w:val="nil"/>
              <w:left w:val="nil"/>
              <w:bottom w:val="nil"/>
              <w:right w:val="nil"/>
            </w:tcBorders>
          </w:tcPr>
          <w:p w14:paraId="5D7AD835"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14. </w:t>
            </w:r>
          </w:p>
        </w:tc>
        <w:tc>
          <w:tcPr>
            <w:tcW w:w="1141" w:type="dxa"/>
            <w:tcBorders>
              <w:top w:val="nil"/>
              <w:left w:val="nil"/>
              <w:bottom w:val="nil"/>
              <w:right w:val="nil"/>
            </w:tcBorders>
          </w:tcPr>
          <w:p w14:paraId="4CC5597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12.804 </w:t>
            </w:r>
          </w:p>
        </w:tc>
        <w:tc>
          <w:tcPr>
            <w:tcW w:w="2133" w:type="dxa"/>
            <w:tcBorders>
              <w:top w:val="nil"/>
              <w:left w:val="nil"/>
              <w:bottom w:val="nil"/>
              <w:right w:val="nil"/>
            </w:tcBorders>
          </w:tcPr>
          <w:p w14:paraId="4A073AB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Hexadecane  </w:t>
            </w:r>
          </w:p>
        </w:tc>
        <w:tc>
          <w:tcPr>
            <w:tcW w:w="3667" w:type="dxa"/>
            <w:tcBorders>
              <w:top w:val="nil"/>
              <w:left w:val="nil"/>
              <w:bottom w:val="nil"/>
              <w:right w:val="nil"/>
            </w:tcBorders>
          </w:tcPr>
          <w:p w14:paraId="1264A007"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77200443" wp14:editId="22508750">
                  <wp:extent cx="1899285" cy="68239"/>
                  <wp:effectExtent l="0" t="0" r="0" b="8255"/>
                  <wp:docPr id="37"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8"/>
                          <a:srcRect/>
                          <a:stretch>
                            <a:fillRect/>
                          </a:stretch>
                        </pic:blipFill>
                        <pic:spPr bwMode="auto">
                          <a:xfrm>
                            <a:off x="0" y="0"/>
                            <a:ext cx="1993264" cy="71616"/>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95BF7B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1.71 </w:t>
            </w:r>
          </w:p>
        </w:tc>
      </w:tr>
      <w:tr w:rsidR="00243BBA" w:rsidRPr="00243BBA" w14:paraId="5F748C84" w14:textId="77777777" w:rsidTr="00127A18">
        <w:trPr>
          <w:trHeight w:val="245"/>
        </w:trPr>
        <w:tc>
          <w:tcPr>
            <w:tcW w:w="834" w:type="dxa"/>
            <w:tcBorders>
              <w:top w:val="nil"/>
              <w:left w:val="nil"/>
              <w:bottom w:val="nil"/>
              <w:right w:val="nil"/>
            </w:tcBorders>
          </w:tcPr>
          <w:p w14:paraId="0F00D741"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15. </w:t>
            </w:r>
          </w:p>
        </w:tc>
        <w:tc>
          <w:tcPr>
            <w:tcW w:w="1141" w:type="dxa"/>
            <w:tcBorders>
              <w:top w:val="nil"/>
              <w:left w:val="nil"/>
              <w:bottom w:val="nil"/>
              <w:right w:val="nil"/>
            </w:tcBorders>
          </w:tcPr>
          <w:p w14:paraId="2E4E83C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15.708 </w:t>
            </w:r>
          </w:p>
        </w:tc>
        <w:tc>
          <w:tcPr>
            <w:tcW w:w="2133" w:type="dxa"/>
            <w:tcBorders>
              <w:top w:val="nil"/>
              <w:left w:val="nil"/>
              <w:bottom w:val="nil"/>
              <w:right w:val="nil"/>
            </w:tcBorders>
          </w:tcPr>
          <w:p w14:paraId="15220E6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Hexadecane  </w:t>
            </w:r>
          </w:p>
        </w:tc>
        <w:tc>
          <w:tcPr>
            <w:tcW w:w="3667" w:type="dxa"/>
            <w:tcBorders>
              <w:top w:val="nil"/>
              <w:left w:val="nil"/>
              <w:bottom w:val="nil"/>
              <w:right w:val="nil"/>
            </w:tcBorders>
          </w:tcPr>
          <w:p w14:paraId="568E9C11"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0663BD0A" wp14:editId="3B57EC38">
                  <wp:extent cx="1514475" cy="96529"/>
                  <wp:effectExtent l="0" t="0" r="0" b="0"/>
                  <wp:docPr id="39"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8"/>
                          <a:srcRect/>
                          <a:stretch>
                            <a:fillRect/>
                          </a:stretch>
                        </pic:blipFill>
                        <pic:spPr bwMode="auto">
                          <a:xfrm>
                            <a:off x="0" y="0"/>
                            <a:ext cx="1519057" cy="96821"/>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806298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1.72 </w:t>
            </w:r>
          </w:p>
        </w:tc>
      </w:tr>
      <w:tr w:rsidR="00243BBA" w:rsidRPr="00243BBA" w14:paraId="0938FD98" w14:textId="77777777" w:rsidTr="00127A18">
        <w:trPr>
          <w:trHeight w:val="352"/>
        </w:trPr>
        <w:tc>
          <w:tcPr>
            <w:tcW w:w="834" w:type="dxa"/>
            <w:tcBorders>
              <w:top w:val="nil"/>
              <w:left w:val="nil"/>
              <w:bottom w:val="nil"/>
              <w:right w:val="nil"/>
            </w:tcBorders>
          </w:tcPr>
          <w:p w14:paraId="153F87B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16. </w:t>
            </w:r>
          </w:p>
        </w:tc>
        <w:tc>
          <w:tcPr>
            <w:tcW w:w="1141" w:type="dxa"/>
            <w:tcBorders>
              <w:top w:val="nil"/>
              <w:left w:val="nil"/>
              <w:bottom w:val="nil"/>
              <w:right w:val="nil"/>
            </w:tcBorders>
          </w:tcPr>
          <w:p w14:paraId="4145155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18.284 </w:t>
            </w:r>
          </w:p>
        </w:tc>
        <w:tc>
          <w:tcPr>
            <w:tcW w:w="2133" w:type="dxa"/>
            <w:tcBorders>
              <w:top w:val="nil"/>
              <w:left w:val="nil"/>
              <w:bottom w:val="nil"/>
              <w:right w:val="nil"/>
            </w:tcBorders>
          </w:tcPr>
          <w:p w14:paraId="1250C9D5" w14:textId="77777777" w:rsidR="00243BBA" w:rsidRPr="00243BBA" w:rsidRDefault="00243BBA" w:rsidP="00243BBA">
            <w:pPr>
              <w:pStyle w:val="Body"/>
              <w:spacing w:after="0"/>
              <w:rPr>
                <w:rFonts w:ascii="Arial" w:eastAsia="Times New Roman" w:hAnsi="Arial" w:cs="Arial"/>
              </w:rPr>
            </w:pPr>
            <w:proofErr w:type="spellStart"/>
            <w:r w:rsidRPr="00243BBA">
              <w:rPr>
                <w:rFonts w:ascii="Arial" w:hAnsi="Arial" w:cs="Arial"/>
              </w:rPr>
              <w:t>Cyclohexadecane</w:t>
            </w:r>
            <w:proofErr w:type="spellEnd"/>
            <w:r w:rsidRPr="00243BBA">
              <w:rPr>
                <w:rFonts w:ascii="Arial" w:hAnsi="Arial" w:cs="Arial"/>
              </w:rPr>
              <w:t xml:space="preserve">  </w:t>
            </w:r>
          </w:p>
        </w:tc>
        <w:tc>
          <w:tcPr>
            <w:tcW w:w="3667" w:type="dxa"/>
            <w:tcBorders>
              <w:top w:val="nil"/>
              <w:left w:val="nil"/>
              <w:bottom w:val="nil"/>
              <w:right w:val="nil"/>
            </w:tcBorders>
          </w:tcPr>
          <w:p w14:paraId="405BA355"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370DF40A" wp14:editId="2D57F95A">
                  <wp:extent cx="2131410" cy="245452"/>
                  <wp:effectExtent l="0" t="0" r="0" b="2540"/>
                  <wp:docPr id="40"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6"/>
                          <a:srcRect/>
                          <a:stretch>
                            <a:fillRect/>
                          </a:stretch>
                        </pic:blipFill>
                        <pic:spPr bwMode="auto">
                          <a:xfrm>
                            <a:off x="0" y="0"/>
                            <a:ext cx="2165132" cy="249335"/>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1695BB2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1.78 </w:t>
            </w:r>
          </w:p>
        </w:tc>
      </w:tr>
      <w:tr w:rsidR="00243BBA" w:rsidRPr="00243BBA" w14:paraId="0B865093" w14:textId="77777777" w:rsidTr="00127A18">
        <w:trPr>
          <w:trHeight w:val="229"/>
        </w:trPr>
        <w:tc>
          <w:tcPr>
            <w:tcW w:w="834" w:type="dxa"/>
            <w:tcBorders>
              <w:top w:val="nil"/>
              <w:left w:val="nil"/>
              <w:bottom w:val="nil"/>
              <w:right w:val="nil"/>
            </w:tcBorders>
          </w:tcPr>
          <w:p w14:paraId="6A655575"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17. </w:t>
            </w:r>
          </w:p>
        </w:tc>
        <w:tc>
          <w:tcPr>
            <w:tcW w:w="1141" w:type="dxa"/>
            <w:tcBorders>
              <w:top w:val="nil"/>
              <w:left w:val="nil"/>
              <w:bottom w:val="nil"/>
              <w:right w:val="nil"/>
            </w:tcBorders>
          </w:tcPr>
          <w:p w14:paraId="4C8C4DE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18.478 </w:t>
            </w:r>
          </w:p>
        </w:tc>
        <w:tc>
          <w:tcPr>
            <w:tcW w:w="2133" w:type="dxa"/>
            <w:tcBorders>
              <w:top w:val="nil"/>
              <w:left w:val="nil"/>
              <w:bottom w:val="nil"/>
              <w:right w:val="nil"/>
            </w:tcBorders>
          </w:tcPr>
          <w:p w14:paraId="3D95A66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Palmitic acid </w:t>
            </w:r>
          </w:p>
        </w:tc>
        <w:tc>
          <w:tcPr>
            <w:tcW w:w="3667" w:type="dxa"/>
            <w:tcBorders>
              <w:top w:val="nil"/>
              <w:left w:val="nil"/>
              <w:bottom w:val="nil"/>
              <w:right w:val="nil"/>
            </w:tcBorders>
          </w:tcPr>
          <w:p w14:paraId="311DB78D" w14:textId="77777777" w:rsidR="00243BBA" w:rsidRPr="00243BBA" w:rsidRDefault="00243BBA" w:rsidP="00243BBA">
            <w:pPr>
              <w:pStyle w:val="Body"/>
              <w:spacing w:after="0"/>
              <w:rPr>
                <w:rFonts w:ascii="Arial" w:eastAsia="Times New Roman" w:hAnsi="Arial" w:cs="Arial"/>
              </w:rPr>
            </w:pPr>
          </w:p>
        </w:tc>
        <w:tc>
          <w:tcPr>
            <w:tcW w:w="1845" w:type="dxa"/>
            <w:tcBorders>
              <w:top w:val="nil"/>
              <w:left w:val="nil"/>
              <w:bottom w:val="nil"/>
              <w:right w:val="nil"/>
            </w:tcBorders>
          </w:tcPr>
          <w:p w14:paraId="5C1778E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1.94 </w:t>
            </w:r>
          </w:p>
        </w:tc>
      </w:tr>
      <w:tr w:rsidR="00243BBA" w:rsidRPr="00243BBA" w14:paraId="619F77CB" w14:textId="77777777" w:rsidTr="00127A18">
        <w:trPr>
          <w:trHeight w:val="245"/>
        </w:trPr>
        <w:tc>
          <w:tcPr>
            <w:tcW w:w="834" w:type="dxa"/>
            <w:tcBorders>
              <w:top w:val="nil"/>
              <w:left w:val="nil"/>
              <w:bottom w:val="nil"/>
              <w:right w:val="nil"/>
            </w:tcBorders>
          </w:tcPr>
          <w:p w14:paraId="3ACDC74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18. </w:t>
            </w:r>
          </w:p>
        </w:tc>
        <w:tc>
          <w:tcPr>
            <w:tcW w:w="1141" w:type="dxa"/>
            <w:tcBorders>
              <w:top w:val="nil"/>
              <w:left w:val="nil"/>
              <w:bottom w:val="nil"/>
              <w:right w:val="nil"/>
            </w:tcBorders>
          </w:tcPr>
          <w:p w14:paraId="0362F19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21.107 </w:t>
            </w:r>
          </w:p>
        </w:tc>
        <w:tc>
          <w:tcPr>
            <w:tcW w:w="2133" w:type="dxa"/>
            <w:tcBorders>
              <w:top w:val="nil"/>
              <w:left w:val="nil"/>
              <w:bottom w:val="nil"/>
              <w:right w:val="nil"/>
            </w:tcBorders>
          </w:tcPr>
          <w:p w14:paraId="05DC19C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1-Decanol  </w:t>
            </w:r>
          </w:p>
        </w:tc>
        <w:tc>
          <w:tcPr>
            <w:tcW w:w="3667" w:type="dxa"/>
            <w:tcBorders>
              <w:top w:val="nil"/>
              <w:left w:val="nil"/>
              <w:bottom w:val="nil"/>
              <w:right w:val="nil"/>
            </w:tcBorders>
          </w:tcPr>
          <w:p w14:paraId="67D5F043"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2305C3BE" wp14:editId="2F3325E5">
                  <wp:extent cx="1771353" cy="109183"/>
                  <wp:effectExtent l="0" t="0" r="0" b="5715"/>
                  <wp:docPr id="41"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7"/>
                          <a:srcRect/>
                          <a:stretch>
                            <a:fillRect/>
                          </a:stretch>
                        </pic:blipFill>
                        <pic:spPr bwMode="auto">
                          <a:xfrm>
                            <a:off x="0" y="0"/>
                            <a:ext cx="1851825" cy="114143"/>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156F15A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0.93 </w:t>
            </w:r>
          </w:p>
        </w:tc>
      </w:tr>
      <w:tr w:rsidR="00243BBA" w:rsidRPr="00243BBA" w14:paraId="358089A4" w14:textId="77777777" w:rsidTr="00127A18">
        <w:trPr>
          <w:trHeight w:val="460"/>
        </w:trPr>
        <w:tc>
          <w:tcPr>
            <w:tcW w:w="834" w:type="dxa"/>
            <w:tcBorders>
              <w:top w:val="nil"/>
              <w:left w:val="nil"/>
              <w:bottom w:val="nil"/>
              <w:right w:val="nil"/>
            </w:tcBorders>
          </w:tcPr>
          <w:p w14:paraId="3DC3A0C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19. </w:t>
            </w:r>
          </w:p>
        </w:tc>
        <w:tc>
          <w:tcPr>
            <w:tcW w:w="1141" w:type="dxa"/>
            <w:tcBorders>
              <w:top w:val="nil"/>
              <w:left w:val="nil"/>
              <w:bottom w:val="nil"/>
              <w:right w:val="nil"/>
            </w:tcBorders>
          </w:tcPr>
          <w:p w14:paraId="14FCD48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22.130 </w:t>
            </w:r>
          </w:p>
        </w:tc>
        <w:tc>
          <w:tcPr>
            <w:tcW w:w="2133" w:type="dxa"/>
            <w:tcBorders>
              <w:top w:val="nil"/>
              <w:left w:val="nil"/>
              <w:bottom w:val="nil"/>
              <w:right w:val="nil"/>
            </w:tcBorders>
          </w:tcPr>
          <w:p w14:paraId="42731DA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2,4-Di-tert-butylphenol </w:t>
            </w:r>
          </w:p>
        </w:tc>
        <w:tc>
          <w:tcPr>
            <w:tcW w:w="3667" w:type="dxa"/>
            <w:tcBorders>
              <w:top w:val="nil"/>
              <w:left w:val="nil"/>
              <w:bottom w:val="nil"/>
              <w:right w:val="nil"/>
            </w:tcBorders>
          </w:tcPr>
          <w:p w14:paraId="5544A5B8"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58417BCF" wp14:editId="6337A830">
                  <wp:extent cx="1186815" cy="257991"/>
                  <wp:effectExtent l="0" t="0" r="0" b="0"/>
                  <wp:docPr id="42"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8"/>
                          <a:srcRect/>
                          <a:stretch>
                            <a:fillRect/>
                          </a:stretch>
                        </pic:blipFill>
                        <pic:spPr bwMode="auto">
                          <a:xfrm>
                            <a:off x="0" y="0"/>
                            <a:ext cx="1209542" cy="262931"/>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459663D4"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9.67 </w:t>
            </w:r>
          </w:p>
        </w:tc>
      </w:tr>
      <w:tr w:rsidR="00243BBA" w:rsidRPr="00243BBA" w14:paraId="5FB44175" w14:textId="77777777" w:rsidTr="00127A18">
        <w:trPr>
          <w:trHeight w:val="290"/>
        </w:trPr>
        <w:tc>
          <w:tcPr>
            <w:tcW w:w="834" w:type="dxa"/>
            <w:tcBorders>
              <w:top w:val="nil"/>
              <w:left w:val="nil"/>
              <w:bottom w:val="nil"/>
              <w:right w:val="nil"/>
            </w:tcBorders>
          </w:tcPr>
          <w:p w14:paraId="1F2D395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20. </w:t>
            </w:r>
          </w:p>
        </w:tc>
        <w:tc>
          <w:tcPr>
            <w:tcW w:w="1141" w:type="dxa"/>
            <w:tcBorders>
              <w:top w:val="nil"/>
              <w:left w:val="nil"/>
              <w:bottom w:val="nil"/>
              <w:right w:val="nil"/>
            </w:tcBorders>
          </w:tcPr>
          <w:p w14:paraId="24FC78A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23.442 </w:t>
            </w:r>
          </w:p>
        </w:tc>
        <w:tc>
          <w:tcPr>
            <w:tcW w:w="2133" w:type="dxa"/>
            <w:tcBorders>
              <w:top w:val="nil"/>
              <w:left w:val="nil"/>
              <w:bottom w:val="nil"/>
              <w:right w:val="nil"/>
            </w:tcBorders>
          </w:tcPr>
          <w:p w14:paraId="04AD2FD5"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Erucic  </w:t>
            </w:r>
          </w:p>
        </w:tc>
        <w:tc>
          <w:tcPr>
            <w:tcW w:w="3667" w:type="dxa"/>
            <w:tcBorders>
              <w:top w:val="nil"/>
              <w:left w:val="nil"/>
              <w:bottom w:val="nil"/>
              <w:right w:val="nil"/>
            </w:tcBorders>
          </w:tcPr>
          <w:p w14:paraId="0310A259"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693C1A2B" wp14:editId="41C4D091">
                  <wp:extent cx="1845716" cy="197229"/>
                  <wp:effectExtent l="0" t="0" r="2540" b="0"/>
                  <wp:docPr id="43"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9"/>
                          <a:srcRect/>
                          <a:stretch>
                            <a:fillRect/>
                          </a:stretch>
                        </pic:blipFill>
                        <pic:spPr bwMode="auto">
                          <a:xfrm>
                            <a:off x="0" y="0"/>
                            <a:ext cx="1992314" cy="212894"/>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030EB01"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2.24 </w:t>
            </w:r>
          </w:p>
        </w:tc>
      </w:tr>
      <w:tr w:rsidR="00243BBA" w:rsidRPr="00243BBA" w14:paraId="6B42D347" w14:textId="77777777" w:rsidTr="00127A18">
        <w:trPr>
          <w:trHeight w:val="229"/>
        </w:trPr>
        <w:tc>
          <w:tcPr>
            <w:tcW w:w="834" w:type="dxa"/>
            <w:tcBorders>
              <w:top w:val="nil"/>
              <w:left w:val="nil"/>
              <w:bottom w:val="nil"/>
              <w:right w:val="nil"/>
            </w:tcBorders>
          </w:tcPr>
          <w:p w14:paraId="214009E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21. </w:t>
            </w:r>
          </w:p>
        </w:tc>
        <w:tc>
          <w:tcPr>
            <w:tcW w:w="1141" w:type="dxa"/>
            <w:tcBorders>
              <w:top w:val="nil"/>
              <w:left w:val="nil"/>
              <w:bottom w:val="nil"/>
              <w:right w:val="nil"/>
            </w:tcBorders>
          </w:tcPr>
          <w:p w14:paraId="30C8F26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28.091 </w:t>
            </w:r>
          </w:p>
        </w:tc>
        <w:tc>
          <w:tcPr>
            <w:tcW w:w="2133" w:type="dxa"/>
            <w:tcBorders>
              <w:top w:val="nil"/>
              <w:left w:val="nil"/>
              <w:bottom w:val="nil"/>
              <w:right w:val="nil"/>
            </w:tcBorders>
          </w:tcPr>
          <w:p w14:paraId="2808538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1-Nonadecene </w:t>
            </w:r>
          </w:p>
        </w:tc>
        <w:tc>
          <w:tcPr>
            <w:tcW w:w="3667" w:type="dxa"/>
            <w:tcBorders>
              <w:top w:val="nil"/>
              <w:left w:val="nil"/>
              <w:bottom w:val="nil"/>
              <w:right w:val="nil"/>
            </w:tcBorders>
          </w:tcPr>
          <w:p w14:paraId="627A24E8"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36822890" wp14:editId="3A5AE6A4">
                  <wp:extent cx="1971675" cy="136722"/>
                  <wp:effectExtent l="19050" t="0" r="9525" b="0"/>
                  <wp:docPr id="44"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0"/>
                          <a:srcRect/>
                          <a:stretch>
                            <a:fillRect/>
                          </a:stretch>
                        </pic:blipFill>
                        <pic:spPr bwMode="auto">
                          <a:xfrm>
                            <a:off x="0" y="0"/>
                            <a:ext cx="1971675" cy="136722"/>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02E6CC9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2.97 </w:t>
            </w:r>
          </w:p>
        </w:tc>
      </w:tr>
      <w:tr w:rsidR="00243BBA" w:rsidRPr="00243BBA" w14:paraId="3A07A48D" w14:textId="77777777" w:rsidTr="00127A18">
        <w:trPr>
          <w:trHeight w:val="397"/>
        </w:trPr>
        <w:tc>
          <w:tcPr>
            <w:tcW w:w="834" w:type="dxa"/>
            <w:tcBorders>
              <w:top w:val="nil"/>
              <w:left w:val="nil"/>
              <w:bottom w:val="nil"/>
              <w:right w:val="nil"/>
            </w:tcBorders>
          </w:tcPr>
          <w:p w14:paraId="7DB04D9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22. </w:t>
            </w:r>
          </w:p>
        </w:tc>
        <w:tc>
          <w:tcPr>
            <w:tcW w:w="1141" w:type="dxa"/>
            <w:tcBorders>
              <w:top w:val="nil"/>
              <w:left w:val="nil"/>
              <w:bottom w:val="nil"/>
              <w:right w:val="nil"/>
            </w:tcBorders>
          </w:tcPr>
          <w:p w14:paraId="6F9E9CD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30.529 </w:t>
            </w:r>
          </w:p>
        </w:tc>
        <w:tc>
          <w:tcPr>
            <w:tcW w:w="2133" w:type="dxa"/>
            <w:tcBorders>
              <w:top w:val="nil"/>
              <w:left w:val="nil"/>
              <w:bottom w:val="nil"/>
              <w:right w:val="nil"/>
            </w:tcBorders>
          </w:tcPr>
          <w:p w14:paraId="32F48481"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Dibutyl phthalate  </w:t>
            </w:r>
          </w:p>
        </w:tc>
        <w:tc>
          <w:tcPr>
            <w:tcW w:w="3667" w:type="dxa"/>
            <w:tcBorders>
              <w:top w:val="nil"/>
              <w:left w:val="nil"/>
              <w:bottom w:val="nil"/>
              <w:right w:val="nil"/>
            </w:tcBorders>
          </w:tcPr>
          <w:p w14:paraId="698C27F2"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4C4F029C" wp14:editId="0E23FD22">
                  <wp:extent cx="2057845" cy="272955"/>
                  <wp:effectExtent l="0" t="0" r="0" b="0"/>
                  <wp:docPr id="4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31"/>
                          <a:srcRect/>
                          <a:stretch>
                            <a:fillRect/>
                          </a:stretch>
                        </pic:blipFill>
                        <pic:spPr bwMode="auto">
                          <a:xfrm>
                            <a:off x="0" y="0"/>
                            <a:ext cx="2131082" cy="28266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40E55C0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1.60 </w:t>
            </w:r>
          </w:p>
        </w:tc>
      </w:tr>
      <w:tr w:rsidR="00243BBA" w:rsidRPr="00243BBA" w14:paraId="126F4DA1" w14:textId="77777777" w:rsidTr="00127A18">
        <w:trPr>
          <w:trHeight w:val="367"/>
        </w:trPr>
        <w:tc>
          <w:tcPr>
            <w:tcW w:w="834" w:type="dxa"/>
            <w:tcBorders>
              <w:top w:val="nil"/>
              <w:left w:val="nil"/>
              <w:bottom w:val="nil"/>
              <w:right w:val="nil"/>
            </w:tcBorders>
          </w:tcPr>
          <w:p w14:paraId="5240774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23. </w:t>
            </w:r>
          </w:p>
        </w:tc>
        <w:tc>
          <w:tcPr>
            <w:tcW w:w="1141" w:type="dxa"/>
            <w:tcBorders>
              <w:top w:val="nil"/>
              <w:left w:val="nil"/>
              <w:bottom w:val="nil"/>
              <w:right w:val="nil"/>
            </w:tcBorders>
          </w:tcPr>
          <w:p w14:paraId="0E2DF37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30.704 </w:t>
            </w:r>
          </w:p>
        </w:tc>
        <w:tc>
          <w:tcPr>
            <w:tcW w:w="2133" w:type="dxa"/>
            <w:tcBorders>
              <w:top w:val="nil"/>
              <w:left w:val="nil"/>
              <w:bottom w:val="nil"/>
              <w:right w:val="nil"/>
            </w:tcBorders>
          </w:tcPr>
          <w:p w14:paraId="13E2911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3-Eicosene </w:t>
            </w:r>
          </w:p>
        </w:tc>
        <w:tc>
          <w:tcPr>
            <w:tcW w:w="3667" w:type="dxa"/>
            <w:tcBorders>
              <w:top w:val="nil"/>
              <w:left w:val="nil"/>
              <w:bottom w:val="nil"/>
              <w:right w:val="nil"/>
            </w:tcBorders>
          </w:tcPr>
          <w:p w14:paraId="75E536A2"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15B2A864" wp14:editId="01F2D029">
                  <wp:extent cx="2019300" cy="247650"/>
                  <wp:effectExtent l="0" t="0" r="0" b="0"/>
                  <wp:docPr id="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32"/>
                          <a:srcRect/>
                          <a:stretch>
                            <a:fillRect/>
                          </a:stretch>
                        </pic:blipFill>
                        <pic:spPr bwMode="auto">
                          <a:xfrm>
                            <a:off x="0" y="0"/>
                            <a:ext cx="2019300" cy="247650"/>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756DDAC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2.54 </w:t>
            </w:r>
          </w:p>
        </w:tc>
      </w:tr>
      <w:tr w:rsidR="00243BBA" w:rsidRPr="00243BBA" w14:paraId="3DCF824E" w14:textId="77777777" w:rsidTr="00127A18">
        <w:trPr>
          <w:trHeight w:val="229"/>
        </w:trPr>
        <w:tc>
          <w:tcPr>
            <w:tcW w:w="834" w:type="dxa"/>
            <w:tcBorders>
              <w:top w:val="nil"/>
              <w:left w:val="nil"/>
              <w:bottom w:val="nil"/>
              <w:right w:val="nil"/>
            </w:tcBorders>
          </w:tcPr>
          <w:p w14:paraId="5301CFA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24. </w:t>
            </w:r>
          </w:p>
        </w:tc>
        <w:tc>
          <w:tcPr>
            <w:tcW w:w="1141" w:type="dxa"/>
            <w:tcBorders>
              <w:top w:val="nil"/>
              <w:left w:val="nil"/>
              <w:bottom w:val="nil"/>
              <w:right w:val="nil"/>
            </w:tcBorders>
          </w:tcPr>
          <w:p w14:paraId="07886CC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30.886 </w:t>
            </w:r>
          </w:p>
        </w:tc>
        <w:tc>
          <w:tcPr>
            <w:tcW w:w="2133" w:type="dxa"/>
            <w:tcBorders>
              <w:top w:val="nil"/>
              <w:left w:val="nil"/>
              <w:bottom w:val="nil"/>
              <w:right w:val="nil"/>
            </w:tcBorders>
          </w:tcPr>
          <w:p w14:paraId="17C0B9E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1-Ethanone  </w:t>
            </w:r>
          </w:p>
        </w:tc>
        <w:tc>
          <w:tcPr>
            <w:tcW w:w="3667" w:type="dxa"/>
            <w:tcBorders>
              <w:top w:val="nil"/>
              <w:left w:val="nil"/>
              <w:bottom w:val="nil"/>
              <w:right w:val="nil"/>
            </w:tcBorders>
          </w:tcPr>
          <w:p w14:paraId="57A77BB9" w14:textId="77777777" w:rsidR="00243BBA" w:rsidRPr="00243BBA" w:rsidRDefault="00243BBA" w:rsidP="00243BBA">
            <w:pPr>
              <w:pStyle w:val="Body"/>
              <w:spacing w:after="0"/>
              <w:rPr>
                <w:rFonts w:ascii="Arial" w:eastAsia="Times New Roman" w:hAnsi="Arial" w:cs="Arial"/>
              </w:rPr>
            </w:pPr>
          </w:p>
        </w:tc>
        <w:tc>
          <w:tcPr>
            <w:tcW w:w="1845" w:type="dxa"/>
            <w:tcBorders>
              <w:top w:val="nil"/>
              <w:left w:val="nil"/>
              <w:bottom w:val="nil"/>
              <w:right w:val="nil"/>
            </w:tcBorders>
          </w:tcPr>
          <w:p w14:paraId="4F424EA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0.64 </w:t>
            </w:r>
          </w:p>
        </w:tc>
      </w:tr>
      <w:tr w:rsidR="00243BBA" w:rsidRPr="00243BBA" w14:paraId="010AC77A" w14:textId="77777777" w:rsidTr="00127A18">
        <w:trPr>
          <w:trHeight w:val="259"/>
        </w:trPr>
        <w:tc>
          <w:tcPr>
            <w:tcW w:w="834" w:type="dxa"/>
            <w:tcBorders>
              <w:top w:val="nil"/>
              <w:left w:val="nil"/>
              <w:bottom w:val="nil"/>
              <w:right w:val="nil"/>
            </w:tcBorders>
          </w:tcPr>
          <w:p w14:paraId="5CC6C1E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25. </w:t>
            </w:r>
          </w:p>
        </w:tc>
        <w:tc>
          <w:tcPr>
            <w:tcW w:w="1141" w:type="dxa"/>
            <w:tcBorders>
              <w:top w:val="nil"/>
              <w:left w:val="nil"/>
              <w:bottom w:val="nil"/>
              <w:right w:val="nil"/>
            </w:tcBorders>
          </w:tcPr>
          <w:p w14:paraId="500A87E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32.036 </w:t>
            </w:r>
          </w:p>
        </w:tc>
        <w:tc>
          <w:tcPr>
            <w:tcW w:w="2133" w:type="dxa"/>
            <w:tcBorders>
              <w:top w:val="nil"/>
              <w:left w:val="nil"/>
              <w:bottom w:val="nil"/>
              <w:right w:val="nil"/>
            </w:tcBorders>
          </w:tcPr>
          <w:p w14:paraId="3F0C647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5977D265"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5B28617A" wp14:editId="37306216">
                  <wp:extent cx="1932516" cy="177175"/>
                  <wp:effectExtent l="0" t="0" r="0" b="0"/>
                  <wp:docPr id="47"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3"/>
                          <a:srcRect/>
                          <a:stretch>
                            <a:fillRect/>
                          </a:stretch>
                        </pic:blipFill>
                        <pic:spPr bwMode="auto">
                          <a:xfrm>
                            <a:off x="0" y="0"/>
                            <a:ext cx="1972129" cy="180807"/>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64CF555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0.57 </w:t>
            </w:r>
          </w:p>
        </w:tc>
      </w:tr>
      <w:tr w:rsidR="00243BBA" w:rsidRPr="00243BBA" w14:paraId="2139F969" w14:textId="77777777" w:rsidTr="00127A18">
        <w:trPr>
          <w:trHeight w:val="229"/>
        </w:trPr>
        <w:tc>
          <w:tcPr>
            <w:tcW w:w="834" w:type="dxa"/>
            <w:tcBorders>
              <w:top w:val="nil"/>
              <w:left w:val="nil"/>
              <w:bottom w:val="nil"/>
              <w:right w:val="nil"/>
            </w:tcBorders>
          </w:tcPr>
          <w:p w14:paraId="15933C0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26. </w:t>
            </w:r>
          </w:p>
        </w:tc>
        <w:tc>
          <w:tcPr>
            <w:tcW w:w="1141" w:type="dxa"/>
            <w:tcBorders>
              <w:top w:val="nil"/>
              <w:left w:val="nil"/>
              <w:bottom w:val="nil"/>
              <w:right w:val="nil"/>
            </w:tcBorders>
          </w:tcPr>
          <w:p w14:paraId="4C71E468"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32.181 </w:t>
            </w:r>
          </w:p>
        </w:tc>
        <w:tc>
          <w:tcPr>
            <w:tcW w:w="2133" w:type="dxa"/>
            <w:tcBorders>
              <w:top w:val="nil"/>
              <w:left w:val="nil"/>
              <w:bottom w:val="nil"/>
              <w:right w:val="nil"/>
            </w:tcBorders>
          </w:tcPr>
          <w:p w14:paraId="48543A4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1-Docosene  </w:t>
            </w:r>
          </w:p>
        </w:tc>
        <w:tc>
          <w:tcPr>
            <w:tcW w:w="3667" w:type="dxa"/>
            <w:tcBorders>
              <w:top w:val="nil"/>
              <w:left w:val="nil"/>
              <w:bottom w:val="nil"/>
              <w:right w:val="nil"/>
            </w:tcBorders>
          </w:tcPr>
          <w:p w14:paraId="624D1C92" w14:textId="77777777" w:rsidR="00243BBA" w:rsidRPr="00243BBA" w:rsidRDefault="00243BBA" w:rsidP="00243BBA">
            <w:pPr>
              <w:pStyle w:val="Body"/>
              <w:spacing w:after="0"/>
              <w:rPr>
                <w:rFonts w:ascii="Arial" w:eastAsia="Times New Roman" w:hAnsi="Arial" w:cs="Arial"/>
              </w:rPr>
            </w:pPr>
          </w:p>
        </w:tc>
        <w:tc>
          <w:tcPr>
            <w:tcW w:w="1845" w:type="dxa"/>
            <w:tcBorders>
              <w:top w:val="nil"/>
              <w:left w:val="nil"/>
              <w:bottom w:val="nil"/>
              <w:right w:val="nil"/>
            </w:tcBorders>
          </w:tcPr>
          <w:p w14:paraId="434DF84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1.27 </w:t>
            </w:r>
          </w:p>
        </w:tc>
      </w:tr>
      <w:tr w:rsidR="00243BBA" w:rsidRPr="00243BBA" w14:paraId="69484305" w14:textId="77777777" w:rsidTr="00127A18">
        <w:trPr>
          <w:trHeight w:val="229"/>
        </w:trPr>
        <w:tc>
          <w:tcPr>
            <w:tcW w:w="834" w:type="dxa"/>
            <w:tcBorders>
              <w:top w:val="nil"/>
              <w:left w:val="nil"/>
              <w:bottom w:val="nil"/>
              <w:right w:val="nil"/>
            </w:tcBorders>
          </w:tcPr>
          <w:p w14:paraId="4821E72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27. </w:t>
            </w:r>
          </w:p>
        </w:tc>
        <w:tc>
          <w:tcPr>
            <w:tcW w:w="1141" w:type="dxa"/>
            <w:tcBorders>
              <w:top w:val="nil"/>
              <w:left w:val="nil"/>
              <w:bottom w:val="nil"/>
              <w:right w:val="nil"/>
            </w:tcBorders>
          </w:tcPr>
          <w:p w14:paraId="57AE350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32.591 </w:t>
            </w:r>
          </w:p>
        </w:tc>
        <w:tc>
          <w:tcPr>
            <w:tcW w:w="2133" w:type="dxa"/>
            <w:tcBorders>
              <w:top w:val="nil"/>
              <w:left w:val="nil"/>
              <w:bottom w:val="nil"/>
              <w:right w:val="nil"/>
            </w:tcBorders>
          </w:tcPr>
          <w:p w14:paraId="513580F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9-Octadecenal  </w:t>
            </w:r>
          </w:p>
        </w:tc>
        <w:tc>
          <w:tcPr>
            <w:tcW w:w="3667" w:type="dxa"/>
            <w:tcBorders>
              <w:top w:val="nil"/>
              <w:left w:val="nil"/>
              <w:bottom w:val="nil"/>
              <w:right w:val="nil"/>
            </w:tcBorders>
          </w:tcPr>
          <w:p w14:paraId="0CA2919A" w14:textId="77777777" w:rsidR="00243BBA" w:rsidRPr="00243BBA" w:rsidRDefault="00243BBA" w:rsidP="00243BBA">
            <w:pPr>
              <w:pStyle w:val="Body"/>
              <w:spacing w:after="0"/>
              <w:rPr>
                <w:rFonts w:ascii="Arial" w:eastAsia="Times New Roman" w:hAnsi="Arial" w:cs="Arial"/>
              </w:rPr>
            </w:pPr>
          </w:p>
        </w:tc>
        <w:tc>
          <w:tcPr>
            <w:tcW w:w="1845" w:type="dxa"/>
            <w:tcBorders>
              <w:top w:val="nil"/>
              <w:left w:val="nil"/>
              <w:bottom w:val="nil"/>
              <w:right w:val="nil"/>
            </w:tcBorders>
          </w:tcPr>
          <w:p w14:paraId="53B8880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2.05 </w:t>
            </w:r>
          </w:p>
        </w:tc>
      </w:tr>
      <w:tr w:rsidR="00243BBA" w:rsidRPr="00243BBA" w14:paraId="66507202" w14:textId="77777777" w:rsidTr="00127A18">
        <w:trPr>
          <w:trHeight w:val="245"/>
        </w:trPr>
        <w:tc>
          <w:tcPr>
            <w:tcW w:w="834" w:type="dxa"/>
            <w:tcBorders>
              <w:top w:val="nil"/>
              <w:left w:val="nil"/>
              <w:bottom w:val="nil"/>
              <w:right w:val="nil"/>
            </w:tcBorders>
          </w:tcPr>
          <w:p w14:paraId="1440110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28. </w:t>
            </w:r>
          </w:p>
        </w:tc>
        <w:tc>
          <w:tcPr>
            <w:tcW w:w="1141" w:type="dxa"/>
            <w:tcBorders>
              <w:top w:val="nil"/>
              <w:left w:val="nil"/>
              <w:bottom w:val="nil"/>
              <w:right w:val="nil"/>
            </w:tcBorders>
          </w:tcPr>
          <w:p w14:paraId="78D9F6D5"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32.934 </w:t>
            </w:r>
          </w:p>
        </w:tc>
        <w:tc>
          <w:tcPr>
            <w:tcW w:w="2133" w:type="dxa"/>
            <w:tcBorders>
              <w:top w:val="nil"/>
              <w:left w:val="nil"/>
              <w:bottom w:val="nil"/>
              <w:right w:val="nil"/>
            </w:tcBorders>
          </w:tcPr>
          <w:p w14:paraId="5CDF398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9-Octadecenal </w:t>
            </w:r>
          </w:p>
        </w:tc>
        <w:tc>
          <w:tcPr>
            <w:tcW w:w="3667" w:type="dxa"/>
            <w:tcBorders>
              <w:top w:val="nil"/>
              <w:left w:val="nil"/>
              <w:bottom w:val="nil"/>
              <w:right w:val="nil"/>
            </w:tcBorders>
          </w:tcPr>
          <w:p w14:paraId="7AAF868C" w14:textId="77777777" w:rsidR="00243BBA" w:rsidRPr="00243BBA" w:rsidRDefault="00243BBA" w:rsidP="00243BBA">
            <w:pPr>
              <w:pStyle w:val="Body"/>
              <w:spacing w:after="0"/>
              <w:rPr>
                <w:rFonts w:ascii="Arial" w:eastAsia="Times New Roman" w:hAnsi="Arial" w:cs="Arial"/>
              </w:rPr>
            </w:pPr>
          </w:p>
        </w:tc>
        <w:tc>
          <w:tcPr>
            <w:tcW w:w="1845" w:type="dxa"/>
            <w:tcBorders>
              <w:top w:val="nil"/>
              <w:left w:val="nil"/>
              <w:bottom w:val="nil"/>
              <w:right w:val="nil"/>
            </w:tcBorders>
          </w:tcPr>
          <w:p w14:paraId="3AC9AF2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3.41 </w:t>
            </w:r>
          </w:p>
        </w:tc>
      </w:tr>
      <w:tr w:rsidR="00243BBA" w:rsidRPr="00243BBA" w14:paraId="3F9CB27D" w14:textId="77777777" w:rsidTr="00127A18">
        <w:trPr>
          <w:trHeight w:val="306"/>
        </w:trPr>
        <w:tc>
          <w:tcPr>
            <w:tcW w:w="834" w:type="dxa"/>
            <w:tcBorders>
              <w:top w:val="nil"/>
              <w:left w:val="nil"/>
              <w:bottom w:val="nil"/>
              <w:right w:val="nil"/>
            </w:tcBorders>
          </w:tcPr>
          <w:p w14:paraId="37329B95"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29. </w:t>
            </w:r>
          </w:p>
        </w:tc>
        <w:tc>
          <w:tcPr>
            <w:tcW w:w="1141" w:type="dxa"/>
            <w:tcBorders>
              <w:top w:val="nil"/>
              <w:left w:val="nil"/>
              <w:bottom w:val="nil"/>
              <w:right w:val="nil"/>
            </w:tcBorders>
          </w:tcPr>
          <w:p w14:paraId="2B87695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33.106 </w:t>
            </w:r>
          </w:p>
        </w:tc>
        <w:tc>
          <w:tcPr>
            <w:tcW w:w="2133" w:type="dxa"/>
            <w:tcBorders>
              <w:top w:val="nil"/>
              <w:left w:val="nil"/>
              <w:bottom w:val="nil"/>
              <w:right w:val="nil"/>
            </w:tcBorders>
          </w:tcPr>
          <w:p w14:paraId="04E0E9A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4370643D"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562FAB86" wp14:editId="7DD42318">
                  <wp:extent cx="1933149" cy="204489"/>
                  <wp:effectExtent l="0" t="0" r="0" b="5080"/>
                  <wp:docPr id="48"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3"/>
                          <a:srcRect/>
                          <a:stretch>
                            <a:fillRect/>
                          </a:stretch>
                        </pic:blipFill>
                        <pic:spPr bwMode="auto">
                          <a:xfrm>
                            <a:off x="0" y="0"/>
                            <a:ext cx="1960946" cy="20742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49C2575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2.36 </w:t>
            </w:r>
          </w:p>
        </w:tc>
      </w:tr>
      <w:tr w:rsidR="00243BBA" w:rsidRPr="00243BBA" w14:paraId="32D42D26" w14:textId="77777777" w:rsidTr="00127A18">
        <w:trPr>
          <w:trHeight w:val="352"/>
        </w:trPr>
        <w:tc>
          <w:tcPr>
            <w:tcW w:w="834" w:type="dxa"/>
            <w:tcBorders>
              <w:top w:val="nil"/>
              <w:left w:val="nil"/>
              <w:bottom w:val="nil"/>
              <w:right w:val="nil"/>
            </w:tcBorders>
          </w:tcPr>
          <w:p w14:paraId="79784D1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30. </w:t>
            </w:r>
          </w:p>
        </w:tc>
        <w:tc>
          <w:tcPr>
            <w:tcW w:w="1141" w:type="dxa"/>
            <w:tcBorders>
              <w:top w:val="nil"/>
              <w:left w:val="nil"/>
              <w:bottom w:val="nil"/>
              <w:right w:val="nil"/>
            </w:tcBorders>
          </w:tcPr>
          <w:p w14:paraId="1733140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33.225 </w:t>
            </w:r>
          </w:p>
        </w:tc>
        <w:tc>
          <w:tcPr>
            <w:tcW w:w="2133" w:type="dxa"/>
            <w:tcBorders>
              <w:top w:val="nil"/>
              <w:left w:val="nil"/>
              <w:bottom w:val="nil"/>
              <w:right w:val="nil"/>
            </w:tcBorders>
          </w:tcPr>
          <w:p w14:paraId="1D92FBF9"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2AD94D3C"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4E5353BE" wp14:editId="6DC07BF5">
                  <wp:extent cx="1934845" cy="245660"/>
                  <wp:effectExtent l="0" t="0" r="0" b="0"/>
                  <wp:docPr id="49"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3"/>
                          <a:srcRect/>
                          <a:stretch>
                            <a:fillRect/>
                          </a:stretch>
                        </pic:blipFill>
                        <pic:spPr bwMode="auto">
                          <a:xfrm>
                            <a:off x="0" y="0"/>
                            <a:ext cx="1953080" cy="247975"/>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6D74BF1A"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0.64 </w:t>
            </w:r>
          </w:p>
        </w:tc>
      </w:tr>
      <w:tr w:rsidR="00243BBA" w:rsidRPr="00243BBA" w14:paraId="311387C6" w14:textId="77777777" w:rsidTr="00127A18">
        <w:trPr>
          <w:trHeight w:val="229"/>
        </w:trPr>
        <w:tc>
          <w:tcPr>
            <w:tcW w:w="834" w:type="dxa"/>
            <w:tcBorders>
              <w:top w:val="nil"/>
              <w:left w:val="nil"/>
              <w:bottom w:val="nil"/>
              <w:right w:val="nil"/>
            </w:tcBorders>
          </w:tcPr>
          <w:p w14:paraId="10D4E971"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31. </w:t>
            </w:r>
          </w:p>
        </w:tc>
        <w:tc>
          <w:tcPr>
            <w:tcW w:w="1141" w:type="dxa"/>
            <w:tcBorders>
              <w:top w:val="nil"/>
              <w:left w:val="nil"/>
              <w:bottom w:val="nil"/>
              <w:right w:val="nil"/>
            </w:tcBorders>
          </w:tcPr>
          <w:p w14:paraId="530C575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33.375 </w:t>
            </w:r>
          </w:p>
        </w:tc>
        <w:tc>
          <w:tcPr>
            <w:tcW w:w="2133" w:type="dxa"/>
            <w:tcBorders>
              <w:top w:val="nil"/>
              <w:left w:val="nil"/>
              <w:bottom w:val="nil"/>
              <w:right w:val="nil"/>
            </w:tcBorders>
          </w:tcPr>
          <w:p w14:paraId="1B7F5C6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0009A7CE"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0C606157" wp14:editId="6882F97B">
                  <wp:extent cx="1929082" cy="135909"/>
                  <wp:effectExtent l="0" t="0" r="0" b="0"/>
                  <wp:docPr id="50"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3"/>
                          <a:srcRect/>
                          <a:stretch>
                            <a:fillRect/>
                          </a:stretch>
                        </pic:blipFill>
                        <pic:spPr bwMode="auto">
                          <a:xfrm>
                            <a:off x="0" y="0"/>
                            <a:ext cx="1971243" cy="13887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0D77340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2.11 </w:t>
            </w:r>
          </w:p>
        </w:tc>
      </w:tr>
      <w:tr w:rsidR="00243BBA" w:rsidRPr="00243BBA" w14:paraId="66310E5C" w14:textId="77777777" w:rsidTr="00127A18">
        <w:trPr>
          <w:trHeight w:val="306"/>
        </w:trPr>
        <w:tc>
          <w:tcPr>
            <w:tcW w:w="834" w:type="dxa"/>
            <w:tcBorders>
              <w:top w:val="nil"/>
              <w:left w:val="nil"/>
              <w:bottom w:val="nil"/>
              <w:right w:val="nil"/>
            </w:tcBorders>
          </w:tcPr>
          <w:p w14:paraId="554C83E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32. </w:t>
            </w:r>
          </w:p>
        </w:tc>
        <w:tc>
          <w:tcPr>
            <w:tcW w:w="1141" w:type="dxa"/>
            <w:tcBorders>
              <w:top w:val="nil"/>
              <w:left w:val="nil"/>
              <w:bottom w:val="nil"/>
              <w:right w:val="nil"/>
            </w:tcBorders>
          </w:tcPr>
          <w:p w14:paraId="736CF56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33.679 </w:t>
            </w:r>
          </w:p>
        </w:tc>
        <w:tc>
          <w:tcPr>
            <w:tcW w:w="2133" w:type="dxa"/>
            <w:tcBorders>
              <w:top w:val="nil"/>
              <w:left w:val="nil"/>
              <w:bottom w:val="nil"/>
              <w:right w:val="nil"/>
            </w:tcBorders>
          </w:tcPr>
          <w:p w14:paraId="361065D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9-Octadecenoic acid </w:t>
            </w:r>
          </w:p>
        </w:tc>
        <w:tc>
          <w:tcPr>
            <w:tcW w:w="3667" w:type="dxa"/>
            <w:tcBorders>
              <w:top w:val="nil"/>
              <w:left w:val="nil"/>
              <w:bottom w:val="nil"/>
              <w:right w:val="nil"/>
            </w:tcBorders>
          </w:tcPr>
          <w:p w14:paraId="2E208E27"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03A9CA57" wp14:editId="23C4193D">
                  <wp:extent cx="1800225" cy="204716"/>
                  <wp:effectExtent l="0" t="0" r="0" b="0"/>
                  <wp:docPr id="51"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34"/>
                          <a:srcRect/>
                          <a:stretch>
                            <a:fillRect/>
                          </a:stretch>
                        </pic:blipFill>
                        <pic:spPr bwMode="auto">
                          <a:xfrm>
                            <a:off x="0" y="0"/>
                            <a:ext cx="1815052" cy="206402"/>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1FA30D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1.61 </w:t>
            </w:r>
          </w:p>
        </w:tc>
      </w:tr>
      <w:tr w:rsidR="00243BBA" w:rsidRPr="00243BBA" w14:paraId="2735F6D7" w14:textId="77777777" w:rsidTr="00127A18">
        <w:trPr>
          <w:trHeight w:val="306"/>
        </w:trPr>
        <w:tc>
          <w:tcPr>
            <w:tcW w:w="834" w:type="dxa"/>
            <w:tcBorders>
              <w:top w:val="nil"/>
              <w:left w:val="nil"/>
              <w:bottom w:val="nil"/>
              <w:right w:val="nil"/>
            </w:tcBorders>
          </w:tcPr>
          <w:p w14:paraId="0300C03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 </w:t>
            </w:r>
          </w:p>
        </w:tc>
        <w:tc>
          <w:tcPr>
            <w:tcW w:w="1141" w:type="dxa"/>
            <w:tcBorders>
              <w:top w:val="nil"/>
              <w:left w:val="nil"/>
              <w:bottom w:val="nil"/>
              <w:right w:val="nil"/>
            </w:tcBorders>
          </w:tcPr>
          <w:p w14:paraId="4EDB64F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33.875 </w:t>
            </w:r>
          </w:p>
        </w:tc>
        <w:tc>
          <w:tcPr>
            <w:tcW w:w="2133" w:type="dxa"/>
            <w:tcBorders>
              <w:top w:val="nil"/>
              <w:left w:val="nil"/>
              <w:bottom w:val="nil"/>
              <w:right w:val="nil"/>
            </w:tcBorders>
          </w:tcPr>
          <w:p w14:paraId="51BDF15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9-Octadecenoic acid </w:t>
            </w:r>
          </w:p>
        </w:tc>
        <w:tc>
          <w:tcPr>
            <w:tcW w:w="3667" w:type="dxa"/>
            <w:tcBorders>
              <w:top w:val="nil"/>
              <w:left w:val="nil"/>
              <w:bottom w:val="nil"/>
              <w:right w:val="nil"/>
            </w:tcBorders>
          </w:tcPr>
          <w:p w14:paraId="7EDF6BC4"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35090464" wp14:editId="35FA31E4">
                  <wp:extent cx="1798649" cy="204489"/>
                  <wp:effectExtent l="0" t="0" r="0" b="5080"/>
                  <wp:docPr id="52"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34"/>
                          <a:srcRect/>
                          <a:stretch>
                            <a:fillRect/>
                          </a:stretch>
                        </pic:blipFill>
                        <pic:spPr bwMode="auto">
                          <a:xfrm>
                            <a:off x="0" y="0"/>
                            <a:ext cx="1819900" cy="206905"/>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5C363902"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0.97 </w:t>
            </w:r>
          </w:p>
        </w:tc>
      </w:tr>
      <w:tr w:rsidR="00243BBA" w:rsidRPr="00243BBA" w14:paraId="625181A0" w14:textId="77777777" w:rsidTr="00127A18">
        <w:trPr>
          <w:trHeight w:val="245"/>
        </w:trPr>
        <w:tc>
          <w:tcPr>
            <w:tcW w:w="834" w:type="dxa"/>
            <w:tcBorders>
              <w:top w:val="nil"/>
              <w:left w:val="nil"/>
              <w:bottom w:val="nil"/>
              <w:right w:val="nil"/>
            </w:tcBorders>
          </w:tcPr>
          <w:p w14:paraId="5C4B6C46"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34. </w:t>
            </w:r>
          </w:p>
        </w:tc>
        <w:tc>
          <w:tcPr>
            <w:tcW w:w="1141" w:type="dxa"/>
            <w:tcBorders>
              <w:top w:val="nil"/>
              <w:left w:val="nil"/>
              <w:bottom w:val="nil"/>
              <w:right w:val="nil"/>
            </w:tcBorders>
          </w:tcPr>
          <w:p w14:paraId="54858EEC"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34.000 </w:t>
            </w:r>
          </w:p>
        </w:tc>
        <w:tc>
          <w:tcPr>
            <w:tcW w:w="2133" w:type="dxa"/>
            <w:tcBorders>
              <w:top w:val="nil"/>
              <w:left w:val="nil"/>
              <w:bottom w:val="nil"/>
              <w:right w:val="nil"/>
            </w:tcBorders>
          </w:tcPr>
          <w:p w14:paraId="22C8D73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0DF62165"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5A58CF31" wp14:editId="1C118310">
                  <wp:extent cx="1932507" cy="177175"/>
                  <wp:effectExtent l="0" t="0" r="0" b="0"/>
                  <wp:docPr id="68"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3"/>
                          <a:srcRect/>
                          <a:stretch>
                            <a:fillRect/>
                          </a:stretch>
                        </pic:blipFill>
                        <pic:spPr bwMode="auto">
                          <a:xfrm>
                            <a:off x="0" y="0"/>
                            <a:ext cx="1955309" cy="179266"/>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66BD83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0.95 </w:t>
            </w:r>
          </w:p>
        </w:tc>
      </w:tr>
      <w:tr w:rsidR="00243BBA" w:rsidRPr="00243BBA" w14:paraId="37D956FC" w14:textId="77777777" w:rsidTr="00127A18">
        <w:trPr>
          <w:trHeight w:val="259"/>
        </w:trPr>
        <w:tc>
          <w:tcPr>
            <w:tcW w:w="834" w:type="dxa"/>
            <w:tcBorders>
              <w:top w:val="nil"/>
              <w:left w:val="nil"/>
              <w:bottom w:val="nil"/>
              <w:right w:val="nil"/>
            </w:tcBorders>
          </w:tcPr>
          <w:p w14:paraId="6BE6CF4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35. </w:t>
            </w:r>
          </w:p>
        </w:tc>
        <w:tc>
          <w:tcPr>
            <w:tcW w:w="1141" w:type="dxa"/>
            <w:tcBorders>
              <w:top w:val="nil"/>
              <w:left w:val="nil"/>
              <w:bottom w:val="nil"/>
              <w:right w:val="nil"/>
            </w:tcBorders>
          </w:tcPr>
          <w:p w14:paraId="10ABF10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34.116 </w:t>
            </w:r>
          </w:p>
        </w:tc>
        <w:tc>
          <w:tcPr>
            <w:tcW w:w="2133" w:type="dxa"/>
            <w:tcBorders>
              <w:top w:val="nil"/>
              <w:left w:val="nil"/>
              <w:bottom w:val="nil"/>
              <w:right w:val="nil"/>
            </w:tcBorders>
          </w:tcPr>
          <w:p w14:paraId="2F4A5F9A"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53426A6A"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66DDC4BE" wp14:editId="64D1953F">
                  <wp:extent cx="1932509" cy="163527"/>
                  <wp:effectExtent l="0" t="0" r="0" b="8255"/>
                  <wp:docPr id="69"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3"/>
                          <a:srcRect/>
                          <a:stretch>
                            <a:fillRect/>
                          </a:stretch>
                        </pic:blipFill>
                        <pic:spPr bwMode="auto">
                          <a:xfrm>
                            <a:off x="0" y="0"/>
                            <a:ext cx="1993162" cy="168659"/>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35F94BAF"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1.42 </w:t>
            </w:r>
          </w:p>
        </w:tc>
      </w:tr>
      <w:tr w:rsidR="00243BBA" w:rsidRPr="00243BBA" w14:paraId="3E4C67E9" w14:textId="77777777" w:rsidTr="00127A18">
        <w:trPr>
          <w:trHeight w:val="259"/>
        </w:trPr>
        <w:tc>
          <w:tcPr>
            <w:tcW w:w="834" w:type="dxa"/>
            <w:tcBorders>
              <w:top w:val="nil"/>
              <w:left w:val="nil"/>
              <w:bottom w:val="nil"/>
              <w:right w:val="nil"/>
            </w:tcBorders>
          </w:tcPr>
          <w:p w14:paraId="27EAD64B"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36.</w:t>
            </w:r>
          </w:p>
        </w:tc>
        <w:tc>
          <w:tcPr>
            <w:tcW w:w="1141" w:type="dxa"/>
            <w:tcBorders>
              <w:top w:val="nil"/>
              <w:left w:val="nil"/>
              <w:bottom w:val="nil"/>
              <w:right w:val="nil"/>
            </w:tcBorders>
          </w:tcPr>
          <w:p w14:paraId="772BBF6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34.544 </w:t>
            </w:r>
          </w:p>
        </w:tc>
        <w:tc>
          <w:tcPr>
            <w:tcW w:w="2133" w:type="dxa"/>
            <w:tcBorders>
              <w:top w:val="nil"/>
              <w:left w:val="nil"/>
              <w:bottom w:val="nil"/>
              <w:right w:val="nil"/>
            </w:tcBorders>
          </w:tcPr>
          <w:p w14:paraId="645BC40A"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Oleic acid </w:t>
            </w:r>
          </w:p>
        </w:tc>
        <w:tc>
          <w:tcPr>
            <w:tcW w:w="3667" w:type="dxa"/>
            <w:tcBorders>
              <w:top w:val="nil"/>
              <w:left w:val="nil"/>
              <w:bottom w:val="nil"/>
              <w:right w:val="nil"/>
            </w:tcBorders>
          </w:tcPr>
          <w:p w14:paraId="2F7C8ED2" w14:textId="77777777" w:rsidR="00243BBA" w:rsidRPr="00243BBA" w:rsidRDefault="00243BBA" w:rsidP="00243BBA">
            <w:pPr>
              <w:pStyle w:val="Body"/>
              <w:spacing w:after="0"/>
              <w:rPr>
                <w:rFonts w:ascii="Arial" w:eastAsia="Times New Roman" w:hAnsi="Arial" w:cs="Arial"/>
              </w:rPr>
            </w:pPr>
            <w:r w:rsidRPr="00243BBA">
              <w:rPr>
                <w:rFonts w:ascii="Arial" w:hAnsi="Arial" w:cs="Arial"/>
                <w:noProof/>
              </w:rPr>
              <w:drawing>
                <wp:inline distT="0" distB="0" distL="0" distR="0" wp14:anchorId="57578520" wp14:editId="539B0466">
                  <wp:extent cx="1934845" cy="177421"/>
                  <wp:effectExtent l="0" t="0" r="0" b="0"/>
                  <wp:docPr id="70"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3"/>
                          <a:srcRect/>
                          <a:stretch>
                            <a:fillRect/>
                          </a:stretch>
                        </pic:blipFill>
                        <pic:spPr bwMode="auto">
                          <a:xfrm>
                            <a:off x="0" y="0"/>
                            <a:ext cx="1963764" cy="180073"/>
                          </a:xfrm>
                          <a:prstGeom prst="rect">
                            <a:avLst/>
                          </a:prstGeom>
                          <a:noFill/>
                          <a:ln w="9525">
                            <a:noFill/>
                            <a:miter lim="800000"/>
                            <a:headEnd/>
                            <a:tailEnd/>
                          </a:ln>
                        </pic:spPr>
                      </pic:pic>
                    </a:graphicData>
                  </a:graphic>
                </wp:inline>
              </w:drawing>
            </w:r>
          </w:p>
        </w:tc>
        <w:tc>
          <w:tcPr>
            <w:tcW w:w="1845" w:type="dxa"/>
            <w:tcBorders>
              <w:top w:val="nil"/>
              <w:left w:val="nil"/>
              <w:bottom w:val="nil"/>
              <w:right w:val="nil"/>
            </w:tcBorders>
          </w:tcPr>
          <w:p w14:paraId="587FEA4D"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1.45 </w:t>
            </w:r>
          </w:p>
        </w:tc>
      </w:tr>
      <w:tr w:rsidR="00243BBA" w:rsidRPr="00243BBA" w14:paraId="6F56FDE1" w14:textId="77777777" w:rsidTr="00127A18">
        <w:trPr>
          <w:trHeight w:val="87"/>
        </w:trPr>
        <w:tc>
          <w:tcPr>
            <w:tcW w:w="834" w:type="dxa"/>
            <w:tcBorders>
              <w:top w:val="nil"/>
              <w:left w:val="nil"/>
              <w:right w:val="nil"/>
            </w:tcBorders>
          </w:tcPr>
          <w:p w14:paraId="143B2A9E"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37. </w:t>
            </w:r>
          </w:p>
        </w:tc>
        <w:tc>
          <w:tcPr>
            <w:tcW w:w="1141" w:type="dxa"/>
            <w:tcBorders>
              <w:top w:val="nil"/>
              <w:left w:val="nil"/>
              <w:right w:val="nil"/>
            </w:tcBorders>
          </w:tcPr>
          <w:p w14:paraId="3CDEA220"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37.065 </w:t>
            </w:r>
          </w:p>
        </w:tc>
        <w:tc>
          <w:tcPr>
            <w:tcW w:w="2133" w:type="dxa"/>
            <w:tcBorders>
              <w:top w:val="nil"/>
              <w:left w:val="nil"/>
              <w:right w:val="nil"/>
            </w:tcBorders>
          </w:tcPr>
          <w:p w14:paraId="43FE7E57"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13-Octdecenal </w:t>
            </w:r>
          </w:p>
        </w:tc>
        <w:tc>
          <w:tcPr>
            <w:tcW w:w="3667" w:type="dxa"/>
            <w:tcBorders>
              <w:top w:val="nil"/>
              <w:left w:val="nil"/>
              <w:right w:val="nil"/>
            </w:tcBorders>
          </w:tcPr>
          <w:p w14:paraId="1541ABD8" w14:textId="77777777" w:rsidR="00243BBA" w:rsidRPr="00243BBA" w:rsidRDefault="00243BBA" w:rsidP="00243BBA">
            <w:pPr>
              <w:pStyle w:val="Body"/>
              <w:spacing w:after="0"/>
              <w:rPr>
                <w:rFonts w:ascii="Arial" w:eastAsia="Times New Roman" w:hAnsi="Arial" w:cs="Arial"/>
              </w:rPr>
            </w:pPr>
          </w:p>
        </w:tc>
        <w:tc>
          <w:tcPr>
            <w:tcW w:w="1845" w:type="dxa"/>
            <w:tcBorders>
              <w:top w:val="nil"/>
              <w:left w:val="nil"/>
              <w:right w:val="nil"/>
            </w:tcBorders>
          </w:tcPr>
          <w:p w14:paraId="136A47F3" w14:textId="77777777" w:rsidR="00243BBA" w:rsidRPr="00243BBA" w:rsidRDefault="00243BBA" w:rsidP="00243BBA">
            <w:pPr>
              <w:pStyle w:val="Body"/>
              <w:spacing w:after="0"/>
              <w:rPr>
                <w:rFonts w:ascii="Arial" w:eastAsia="Times New Roman" w:hAnsi="Arial" w:cs="Arial"/>
              </w:rPr>
            </w:pPr>
            <w:r w:rsidRPr="00243BBA">
              <w:rPr>
                <w:rFonts w:ascii="Arial" w:hAnsi="Arial" w:cs="Arial"/>
              </w:rPr>
              <w:t xml:space="preserve">-0.25 </w:t>
            </w:r>
          </w:p>
        </w:tc>
      </w:tr>
    </w:tbl>
    <w:p w14:paraId="7756A150" w14:textId="77777777" w:rsidR="00243BBA" w:rsidRPr="00243BBA" w:rsidRDefault="00243BBA" w:rsidP="00243BBA">
      <w:pPr>
        <w:pStyle w:val="Body"/>
        <w:spacing w:after="0"/>
        <w:rPr>
          <w:rFonts w:ascii="Arial" w:hAnsi="Arial" w:cs="Arial"/>
          <w:b/>
        </w:rPr>
      </w:pPr>
    </w:p>
    <w:p w14:paraId="6DB527E8" w14:textId="77777777" w:rsidR="00974B5E" w:rsidRPr="00974B5E" w:rsidRDefault="00974B5E" w:rsidP="00974B5E">
      <w:pPr>
        <w:pStyle w:val="Body"/>
        <w:spacing w:after="0"/>
        <w:rPr>
          <w:rFonts w:ascii="Arial" w:hAnsi="Arial" w:cs="Arial"/>
          <w:b/>
        </w:rPr>
      </w:pPr>
      <w:r w:rsidRPr="00974B5E">
        <w:rPr>
          <w:rFonts w:ascii="Arial" w:hAnsi="Arial" w:cs="Arial"/>
          <w:b/>
        </w:rPr>
        <w:t>3.2</w:t>
      </w:r>
      <w:r w:rsidRPr="00974B5E">
        <w:rPr>
          <w:rFonts w:ascii="Arial" w:hAnsi="Arial" w:cs="Arial"/>
          <w:b/>
        </w:rPr>
        <w:tab/>
        <w:t xml:space="preserve">Antimicrobial activity of </w:t>
      </w:r>
      <w:r w:rsidRPr="00974B5E">
        <w:rPr>
          <w:rFonts w:ascii="Arial" w:hAnsi="Arial" w:cs="Arial"/>
          <w:b/>
          <w:i/>
          <w:iCs/>
        </w:rPr>
        <w:t xml:space="preserve">C. </w:t>
      </w:r>
      <w:proofErr w:type="spellStart"/>
      <w:r w:rsidRPr="00974B5E">
        <w:rPr>
          <w:rFonts w:ascii="Arial" w:hAnsi="Arial" w:cs="Arial"/>
          <w:b/>
          <w:i/>
          <w:iCs/>
        </w:rPr>
        <w:t>hispidum</w:t>
      </w:r>
      <w:proofErr w:type="spellEnd"/>
      <w:r w:rsidRPr="00974B5E">
        <w:rPr>
          <w:rFonts w:ascii="Arial" w:hAnsi="Arial" w:cs="Arial"/>
          <w:b/>
          <w:i/>
          <w:iCs/>
        </w:rPr>
        <w:t xml:space="preserve"> </w:t>
      </w:r>
      <w:r w:rsidRPr="00974B5E">
        <w:rPr>
          <w:rFonts w:ascii="Arial" w:hAnsi="Arial" w:cs="Arial"/>
          <w:b/>
        </w:rPr>
        <w:t xml:space="preserve">leaf extract against some common pathogenic bacteria </w:t>
      </w:r>
    </w:p>
    <w:p w14:paraId="59C8F1E1" w14:textId="77777777" w:rsidR="00974B5E" w:rsidRDefault="00974B5E" w:rsidP="00974B5E">
      <w:pPr>
        <w:pStyle w:val="Body"/>
        <w:spacing w:after="0"/>
        <w:rPr>
          <w:rFonts w:ascii="Arial" w:hAnsi="Arial" w:cs="Arial"/>
        </w:rPr>
      </w:pPr>
      <w:r w:rsidRPr="00974B5E">
        <w:rPr>
          <w:rFonts w:ascii="Arial" w:hAnsi="Arial" w:cs="Arial"/>
        </w:rPr>
        <w:t>Results of antimicrobial activity of</w:t>
      </w:r>
      <w:r w:rsidRPr="00974B5E">
        <w:rPr>
          <w:rFonts w:ascii="Arial" w:hAnsi="Arial" w:cs="Arial"/>
          <w:i/>
        </w:rPr>
        <w:t xml:space="preserve"> </w:t>
      </w:r>
      <w:r w:rsidRPr="00974B5E">
        <w:rPr>
          <w:rFonts w:ascii="Arial" w:hAnsi="Arial" w:cs="Arial"/>
          <w:i/>
          <w:iCs/>
        </w:rPr>
        <w:t xml:space="preserve">C. </w:t>
      </w:r>
      <w:proofErr w:type="spellStart"/>
      <w:r w:rsidRPr="00974B5E">
        <w:rPr>
          <w:rFonts w:ascii="Arial" w:hAnsi="Arial" w:cs="Arial"/>
          <w:i/>
          <w:iCs/>
        </w:rPr>
        <w:t>hispidum</w:t>
      </w:r>
      <w:proofErr w:type="spellEnd"/>
      <w:r w:rsidRPr="00974B5E">
        <w:rPr>
          <w:rFonts w:ascii="Arial" w:hAnsi="Arial" w:cs="Arial"/>
          <w:i/>
          <w:iCs/>
        </w:rPr>
        <w:t xml:space="preserve"> </w:t>
      </w:r>
      <w:r w:rsidRPr="00974B5E">
        <w:rPr>
          <w:rFonts w:ascii="Arial" w:hAnsi="Arial" w:cs="Arial"/>
        </w:rPr>
        <w:t xml:space="preserve">leaf extract presented in Table 3 showed that the extract significantly inhibited microbial growth in </w:t>
      </w:r>
      <w:r w:rsidRPr="00974B5E">
        <w:rPr>
          <w:rFonts w:ascii="Arial" w:hAnsi="Arial" w:cs="Arial"/>
          <w:i/>
        </w:rPr>
        <w:t>in vitro</w:t>
      </w:r>
      <w:r w:rsidRPr="00974B5E">
        <w:rPr>
          <w:rFonts w:ascii="Arial" w:hAnsi="Arial" w:cs="Arial"/>
        </w:rPr>
        <w:t xml:space="preserve"> media with inhibition zones ranging from 2.77 – 7.58 mm. The maximum zone of inhibition diameter (7.58±0.50 mm) produced by the extract was against </w:t>
      </w:r>
      <w:r w:rsidRPr="00974B5E">
        <w:rPr>
          <w:rFonts w:ascii="Arial" w:hAnsi="Arial" w:cs="Arial"/>
          <w:i/>
        </w:rPr>
        <w:t xml:space="preserve">Enterobacter </w:t>
      </w:r>
      <w:proofErr w:type="spellStart"/>
      <w:r w:rsidRPr="00974B5E">
        <w:rPr>
          <w:rFonts w:ascii="Arial" w:hAnsi="Arial" w:cs="Arial"/>
          <w:i/>
        </w:rPr>
        <w:t>spp</w:t>
      </w:r>
      <w:proofErr w:type="spellEnd"/>
      <w:r w:rsidRPr="00974B5E">
        <w:rPr>
          <w:rFonts w:ascii="Arial" w:hAnsi="Arial" w:cs="Arial"/>
        </w:rPr>
        <w:t xml:space="preserve"> at 50% extract concentration, followed by an inhibition zone diameter of 7.33±0.45 mm against </w:t>
      </w:r>
      <w:r w:rsidRPr="00974B5E">
        <w:rPr>
          <w:rFonts w:ascii="Arial" w:hAnsi="Arial" w:cs="Arial"/>
          <w:i/>
        </w:rPr>
        <w:t>Salmonella typhi</w:t>
      </w:r>
      <w:r w:rsidRPr="00974B5E">
        <w:rPr>
          <w:rFonts w:ascii="Arial" w:hAnsi="Arial" w:cs="Arial"/>
        </w:rPr>
        <w:t xml:space="preserve"> also at 50% extract concentration. The minimum zone of inhibition diameter of 5.83±0.98 mm was also observed against </w:t>
      </w:r>
      <w:r w:rsidRPr="00974B5E">
        <w:rPr>
          <w:rFonts w:ascii="Arial" w:hAnsi="Arial" w:cs="Arial"/>
          <w:i/>
        </w:rPr>
        <w:t xml:space="preserve">Shigella </w:t>
      </w:r>
      <w:proofErr w:type="spellStart"/>
      <w:r w:rsidRPr="00974B5E">
        <w:rPr>
          <w:rFonts w:ascii="Arial" w:hAnsi="Arial" w:cs="Arial"/>
          <w:i/>
        </w:rPr>
        <w:t>spp</w:t>
      </w:r>
      <w:proofErr w:type="spellEnd"/>
      <w:r w:rsidRPr="00974B5E">
        <w:rPr>
          <w:rFonts w:ascii="Arial" w:hAnsi="Arial" w:cs="Arial"/>
          <w:i/>
        </w:rPr>
        <w:t xml:space="preserve"> </w:t>
      </w:r>
      <w:r w:rsidRPr="00974B5E">
        <w:rPr>
          <w:rFonts w:ascii="Arial" w:hAnsi="Arial" w:cs="Arial"/>
        </w:rPr>
        <w:t xml:space="preserve">following 100% extract application. </w:t>
      </w:r>
    </w:p>
    <w:p w14:paraId="6F266928" w14:textId="1ABA1768" w:rsidR="00B56594" w:rsidRPr="00B56594" w:rsidRDefault="00B56594" w:rsidP="00B56594">
      <w:pPr>
        <w:pStyle w:val="Body"/>
        <w:spacing w:after="0"/>
        <w:rPr>
          <w:rFonts w:ascii="Arial" w:hAnsi="Arial" w:cs="Arial"/>
          <w:bCs/>
        </w:rPr>
      </w:pPr>
      <w:r w:rsidRPr="00B56594">
        <w:rPr>
          <w:rFonts w:ascii="Arial" w:hAnsi="Arial" w:cs="Arial"/>
          <w:bCs/>
        </w:rPr>
        <w:t xml:space="preserve">The antimicrobial assessment of </w:t>
      </w:r>
      <w:r w:rsidRPr="00B56594">
        <w:rPr>
          <w:rFonts w:ascii="Arial" w:hAnsi="Arial" w:cs="Arial"/>
          <w:bCs/>
          <w:i/>
          <w:iCs/>
        </w:rPr>
        <w:t xml:space="preserve">Combretum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leaf extract exhibited dose-dependent efficacy against Gram-negative pathogens, with </w:t>
      </w:r>
      <w:r w:rsidR="00297E20" w:rsidRPr="00297E20">
        <w:rPr>
          <w:rFonts w:ascii="Arial" w:hAnsi="Arial" w:cs="Arial"/>
          <w:bCs/>
          <w:lang w:val="en-GB"/>
        </w:rPr>
        <w:t xml:space="preserve">Inhibition Zone Diameters </w:t>
      </w:r>
      <w:r w:rsidRPr="00B56594">
        <w:rPr>
          <w:rFonts w:ascii="Arial" w:hAnsi="Arial" w:cs="Arial"/>
          <w:bCs/>
        </w:rPr>
        <w:t>(IZDs) increasing from 6.25% to 50% concentrations before plateauing or declining</w:t>
      </w:r>
      <w:r w:rsidR="00C45653">
        <w:rPr>
          <w:rFonts w:ascii="Arial" w:hAnsi="Arial" w:cs="Arial"/>
          <w:bCs/>
        </w:rPr>
        <w:t xml:space="preserve">, </w:t>
      </w:r>
      <w:r w:rsidRPr="00B56594">
        <w:rPr>
          <w:rFonts w:ascii="Arial" w:hAnsi="Arial" w:cs="Arial"/>
          <w:bCs/>
        </w:rPr>
        <w:t xml:space="preserve">a trend that resonates with observations in other </w:t>
      </w:r>
      <w:r w:rsidRPr="00B56594">
        <w:rPr>
          <w:rFonts w:ascii="Arial" w:hAnsi="Arial" w:cs="Arial"/>
          <w:bCs/>
          <w:i/>
          <w:iCs/>
        </w:rPr>
        <w:t>Combretum</w:t>
      </w:r>
      <w:r w:rsidRPr="00B56594">
        <w:rPr>
          <w:rFonts w:ascii="Arial" w:hAnsi="Arial" w:cs="Arial"/>
          <w:bCs/>
        </w:rPr>
        <w:t xml:space="preserve"> species. Notably, </w:t>
      </w:r>
      <w:r w:rsidRPr="00B56594">
        <w:rPr>
          <w:rFonts w:ascii="Arial" w:hAnsi="Arial" w:cs="Arial"/>
          <w:bCs/>
          <w:i/>
          <w:iCs/>
        </w:rPr>
        <w:t>Enterobacter</w:t>
      </w:r>
      <w:r w:rsidRPr="00B56594">
        <w:rPr>
          <w:rFonts w:ascii="Arial" w:hAnsi="Arial" w:cs="Arial"/>
          <w:bCs/>
        </w:rPr>
        <w:t xml:space="preserve"> spp. showed IZDs rising from 3.21 mm to 7.58 mm, while </w:t>
      </w:r>
      <w:r w:rsidRPr="00B56594">
        <w:rPr>
          <w:rFonts w:ascii="Arial" w:hAnsi="Arial" w:cs="Arial"/>
          <w:bCs/>
          <w:i/>
          <w:iCs/>
        </w:rPr>
        <w:t>Klebsiella</w:t>
      </w:r>
      <w:r w:rsidRPr="00B56594">
        <w:rPr>
          <w:rFonts w:ascii="Arial" w:hAnsi="Arial" w:cs="Arial"/>
          <w:bCs/>
        </w:rPr>
        <w:t xml:space="preserve"> spp. reached up to 7.05 mm. This mirrors the dose-responsive behavior reported for </w:t>
      </w:r>
      <w:r w:rsidRPr="00B56594">
        <w:rPr>
          <w:rFonts w:ascii="Arial" w:hAnsi="Arial" w:cs="Arial"/>
          <w:bCs/>
          <w:i/>
          <w:iCs/>
        </w:rPr>
        <w:t xml:space="preserve">C. molle </w:t>
      </w:r>
      <w:r w:rsidRPr="00B56594">
        <w:rPr>
          <w:rFonts w:ascii="Arial" w:hAnsi="Arial" w:cs="Arial"/>
          <w:bCs/>
        </w:rPr>
        <w:t>acetone extracts, where IZDs ranged from approximately 11–18 mm across various bacteria and correlated with increasing concentrations (</w:t>
      </w:r>
      <w:r w:rsidRPr="00B56594">
        <w:rPr>
          <w:rFonts w:ascii="Arial" w:hAnsi="Arial" w:cs="Arial"/>
        </w:rPr>
        <w:t xml:space="preserve">Asres </w:t>
      </w:r>
      <w:r w:rsidRPr="00B56594">
        <w:rPr>
          <w:rFonts w:ascii="Arial" w:hAnsi="Arial" w:cs="Arial"/>
          <w:i/>
          <w:iCs/>
        </w:rPr>
        <w:t>et al</w:t>
      </w:r>
      <w:r w:rsidRPr="00B56594">
        <w:rPr>
          <w:rFonts w:ascii="Arial" w:hAnsi="Arial" w:cs="Arial"/>
        </w:rPr>
        <w:t>., 2006)</w:t>
      </w:r>
      <w:r w:rsidRPr="00B56594">
        <w:rPr>
          <w:rFonts w:ascii="Arial" w:hAnsi="Arial" w:cs="Arial"/>
          <w:bCs/>
        </w:rPr>
        <w:t xml:space="preserve">). Furthermore, </w:t>
      </w:r>
      <w:r w:rsidRPr="00B56594">
        <w:rPr>
          <w:rFonts w:ascii="Arial" w:hAnsi="Arial" w:cs="Arial"/>
          <w:bCs/>
          <w:i/>
          <w:iCs/>
        </w:rPr>
        <w:t>Salmonella typhi</w:t>
      </w:r>
      <w:r w:rsidRPr="00B56594">
        <w:rPr>
          <w:rFonts w:ascii="Arial" w:hAnsi="Arial" w:cs="Arial"/>
          <w:bCs/>
        </w:rPr>
        <w:t xml:space="preserve"> and </w:t>
      </w:r>
      <w:r w:rsidRPr="00B56594">
        <w:rPr>
          <w:rFonts w:ascii="Arial" w:hAnsi="Arial" w:cs="Arial"/>
          <w:bCs/>
          <w:i/>
          <w:iCs/>
        </w:rPr>
        <w:t>Shigella</w:t>
      </w:r>
      <w:r w:rsidRPr="00B56594">
        <w:rPr>
          <w:rFonts w:ascii="Arial" w:hAnsi="Arial" w:cs="Arial"/>
          <w:bCs/>
        </w:rPr>
        <w:t xml:space="preserve"> spp. achieved IZDs above 7 mm at higher extract dosages, comparable to the inhibition of </w:t>
      </w:r>
      <w:r w:rsidRPr="00B56594">
        <w:rPr>
          <w:rFonts w:ascii="Arial" w:hAnsi="Arial" w:cs="Arial"/>
          <w:bCs/>
          <w:i/>
          <w:iCs/>
        </w:rPr>
        <w:t>Escherichia coli</w:t>
      </w:r>
      <w:r w:rsidRPr="00B56594">
        <w:rPr>
          <w:rFonts w:ascii="Arial" w:hAnsi="Arial" w:cs="Arial"/>
          <w:bCs/>
        </w:rPr>
        <w:t xml:space="preserve"> and </w:t>
      </w:r>
      <w:r w:rsidRPr="00B56594">
        <w:rPr>
          <w:rFonts w:ascii="Arial" w:hAnsi="Arial" w:cs="Arial"/>
          <w:bCs/>
          <w:i/>
          <w:iCs/>
        </w:rPr>
        <w:t>Shigella</w:t>
      </w:r>
      <w:r w:rsidRPr="00B56594">
        <w:rPr>
          <w:rFonts w:ascii="Arial" w:hAnsi="Arial" w:cs="Arial"/>
          <w:bCs/>
        </w:rPr>
        <w:t xml:space="preserve"> spp. by </w:t>
      </w:r>
      <w:r w:rsidRPr="00B56594">
        <w:rPr>
          <w:rFonts w:ascii="Arial" w:hAnsi="Arial" w:cs="Arial"/>
          <w:bCs/>
          <w:i/>
          <w:iCs/>
        </w:rPr>
        <w:t xml:space="preserve">C. molle </w:t>
      </w:r>
      <w:r w:rsidRPr="00B56594">
        <w:rPr>
          <w:rFonts w:ascii="Arial" w:hAnsi="Arial" w:cs="Arial"/>
          <w:bCs/>
        </w:rPr>
        <w:t>stem bark, which were as effective as ciprofloxacin in certain assays (</w:t>
      </w:r>
      <w:r w:rsidRPr="00B56594">
        <w:rPr>
          <w:rFonts w:ascii="Arial" w:hAnsi="Arial" w:cs="Arial"/>
        </w:rPr>
        <w:t xml:space="preserve">Asres </w:t>
      </w:r>
      <w:r w:rsidRPr="00B56594">
        <w:rPr>
          <w:rFonts w:ascii="Arial" w:hAnsi="Arial" w:cs="Arial"/>
          <w:i/>
          <w:iCs/>
        </w:rPr>
        <w:t>et al</w:t>
      </w:r>
      <w:r w:rsidRPr="00B56594">
        <w:rPr>
          <w:rFonts w:ascii="Arial" w:hAnsi="Arial" w:cs="Arial"/>
        </w:rPr>
        <w:t>., 2006</w:t>
      </w:r>
      <w:r w:rsidRPr="00B56594">
        <w:rPr>
          <w:rFonts w:ascii="Arial" w:hAnsi="Arial" w:cs="Arial"/>
          <w:bCs/>
        </w:rPr>
        <w:t xml:space="preserve">). The </w:t>
      </w:r>
      <w:r w:rsidRPr="00B56594">
        <w:rPr>
          <w:rFonts w:ascii="Arial" w:hAnsi="Arial" w:cs="Arial"/>
          <w:bCs/>
        </w:rPr>
        <w:lastRenderedPageBreak/>
        <w:t xml:space="preserve">antibacterial action against both </w:t>
      </w:r>
      <w:r w:rsidRPr="00B56594">
        <w:rPr>
          <w:rFonts w:ascii="Arial" w:hAnsi="Arial" w:cs="Arial"/>
          <w:bCs/>
          <w:i/>
          <w:iCs/>
        </w:rPr>
        <w:t>S. typhi</w:t>
      </w:r>
      <w:r w:rsidRPr="00B56594">
        <w:rPr>
          <w:rFonts w:ascii="Arial" w:hAnsi="Arial" w:cs="Arial"/>
          <w:bCs/>
        </w:rPr>
        <w:t xml:space="preserve"> and </w:t>
      </w:r>
      <w:r w:rsidRPr="00B56594">
        <w:rPr>
          <w:rFonts w:ascii="Arial" w:hAnsi="Arial" w:cs="Arial"/>
          <w:bCs/>
          <w:i/>
          <w:iCs/>
        </w:rPr>
        <w:t>Shigella</w:t>
      </w:r>
      <w:r w:rsidRPr="00B56594">
        <w:rPr>
          <w:rFonts w:ascii="Arial" w:hAnsi="Arial" w:cs="Arial"/>
          <w:bCs/>
        </w:rPr>
        <w:t xml:space="preserve"> spp. in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is consistent with prior studies noting broad-spectrum activity of </w:t>
      </w:r>
      <w:r w:rsidRPr="00B56594">
        <w:rPr>
          <w:rFonts w:ascii="Arial" w:hAnsi="Arial" w:cs="Arial"/>
          <w:bCs/>
          <w:i/>
          <w:iCs/>
        </w:rPr>
        <w:t>Combretum</w:t>
      </w:r>
      <w:r w:rsidRPr="00B56594">
        <w:rPr>
          <w:rFonts w:ascii="Arial" w:hAnsi="Arial" w:cs="Arial"/>
          <w:bCs/>
        </w:rPr>
        <w:t xml:space="preserve"> species, especially against gastrointestinal pathogens.</w:t>
      </w:r>
    </w:p>
    <w:p w14:paraId="2F9D14F9" w14:textId="3A93781B" w:rsidR="00B56594" w:rsidRPr="00B56594" w:rsidRDefault="00B56594" w:rsidP="00B56594">
      <w:pPr>
        <w:pStyle w:val="Body"/>
        <w:spacing w:after="0"/>
        <w:rPr>
          <w:rFonts w:ascii="Arial" w:hAnsi="Arial" w:cs="Arial"/>
          <w:bCs/>
        </w:rPr>
      </w:pPr>
      <w:r w:rsidRPr="00B56594">
        <w:rPr>
          <w:rFonts w:ascii="Arial" w:hAnsi="Arial" w:cs="Arial"/>
          <w:bCs/>
        </w:rPr>
        <w:t xml:space="preserve">The moderate but clear inhibitory activity at 12.5% and 25% concentrations supports findings in </w:t>
      </w:r>
      <w:r w:rsidRPr="00B56594">
        <w:rPr>
          <w:rFonts w:ascii="Arial" w:hAnsi="Arial" w:cs="Arial"/>
          <w:bCs/>
          <w:i/>
          <w:iCs/>
        </w:rPr>
        <w:t xml:space="preserve">Combretum </w:t>
      </w:r>
      <w:proofErr w:type="spellStart"/>
      <w:r w:rsidRPr="00B56594">
        <w:rPr>
          <w:rFonts w:ascii="Arial" w:hAnsi="Arial" w:cs="Arial"/>
          <w:bCs/>
          <w:i/>
          <w:iCs/>
        </w:rPr>
        <w:t>pincianum</w:t>
      </w:r>
      <w:proofErr w:type="spellEnd"/>
      <w:r w:rsidRPr="00B56594">
        <w:rPr>
          <w:rFonts w:ascii="Arial" w:hAnsi="Arial" w:cs="Arial"/>
          <w:bCs/>
        </w:rPr>
        <w:t>, where methanol extracts yielded IZDs between 10–20 mm at 25 mg/mL, along with MICs aligned with conventional antibiotics (</w:t>
      </w:r>
      <w:proofErr w:type="spellStart"/>
      <w:r w:rsidRPr="00B56594">
        <w:rPr>
          <w:rFonts w:ascii="Arial" w:hAnsi="Arial" w:cs="Arial"/>
        </w:rPr>
        <w:t>Silén</w:t>
      </w:r>
      <w:proofErr w:type="spellEnd"/>
      <w:r w:rsidRPr="00B56594">
        <w:rPr>
          <w:rFonts w:ascii="Arial" w:hAnsi="Arial" w:cs="Arial"/>
        </w:rPr>
        <w:t xml:space="preserve"> </w:t>
      </w:r>
      <w:r w:rsidRPr="00B56594">
        <w:rPr>
          <w:rFonts w:ascii="Arial" w:hAnsi="Arial" w:cs="Arial"/>
          <w:i/>
          <w:iCs/>
        </w:rPr>
        <w:t>et al</w:t>
      </w:r>
      <w:r w:rsidRPr="00B56594">
        <w:rPr>
          <w:rFonts w:ascii="Arial" w:hAnsi="Arial" w:cs="Arial"/>
        </w:rPr>
        <w:t>., 2023</w:t>
      </w:r>
      <w:r w:rsidRPr="00B56594">
        <w:rPr>
          <w:rFonts w:ascii="Arial" w:hAnsi="Arial" w:cs="Arial"/>
          <w:bCs/>
        </w:rPr>
        <w:t xml:space="preserve">). Although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produced smaller zones (~4–6 mm at mid concentrations), these results remain significant given the lower doses applied. The bactericidal capacity suggested by ZID amplitude parallels the mechanisms attributed to </w:t>
      </w:r>
      <w:r w:rsidRPr="00B56594">
        <w:rPr>
          <w:rFonts w:ascii="Arial" w:hAnsi="Arial" w:cs="Arial"/>
          <w:bCs/>
          <w:i/>
          <w:iCs/>
        </w:rPr>
        <w:t xml:space="preserve">C. molle </w:t>
      </w:r>
      <w:r w:rsidRPr="00B56594">
        <w:rPr>
          <w:rFonts w:ascii="Arial" w:hAnsi="Arial" w:cs="Arial"/>
          <w:bCs/>
        </w:rPr>
        <w:t xml:space="preserve">extracts, where hydrolysable tannins were identified as key antimicrobials (Ikpeazu </w:t>
      </w:r>
      <w:r w:rsidRPr="00B56594">
        <w:rPr>
          <w:rFonts w:ascii="Arial" w:hAnsi="Arial" w:cs="Arial"/>
          <w:bCs/>
          <w:i/>
          <w:iCs/>
        </w:rPr>
        <w:t>et al</w:t>
      </w:r>
      <w:r w:rsidRPr="00B56594">
        <w:rPr>
          <w:rFonts w:ascii="Arial" w:hAnsi="Arial" w:cs="Arial"/>
          <w:bCs/>
        </w:rPr>
        <w:t xml:space="preserve">., 2020; </w:t>
      </w:r>
      <w:r w:rsidRPr="00B56594">
        <w:rPr>
          <w:rFonts w:ascii="Arial" w:hAnsi="Arial" w:cs="Arial"/>
        </w:rPr>
        <w:t xml:space="preserve">Asres </w:t>
      </w:r>
      <w:r w:rsidRPr="00B56594">
        <w:rPr>
          <w:rFonts w:ascii="Arial" w:hAnsi="Arial" w:cs="Arial"/>
          <w:i/>
          <w:iCs/>
        </w:rPr>
        <w:t>et al</w:t>
      </w:r>
      <w:r w:rsidRPr="00B56594">
        <w:rPr>
          <w:rFonts w:ascii="Arial" w:hAnsi="Arial" w:cs="Arial"/>
        </w:rPr>
        <w:t>., 2006</w:t>
      </w:r>
      <w:r w:rsidRPr="00B56594">
        <w:rPr>
          <w:rFonts w:ascii="Arial" w:hAnsi="Arial" w:cs="Arial"/>
          <w:bCs/>
        </w:rPr>
        <w:t xml:space="preserve">). The rich phytochemical content in </w:t>
      </w:r>
      <w:r w:rsidRPr="00B56594">
        <w:rPr>
          <w:rFonts w:ascii="Arial" w:hAnsi="Arial" w:cs="Arial"/>
          <w:bCs/>
          <w:i/>
          <w:iCs/>
        </w:rPr>
        <w:t xml:space="preserve">C. </w:t>
      </w:r>
      <w:proofErr w:type="spellStart"/>
      <w:r w:rsidRPr="00B56594">
        <w:rPr>
          <w:rFonts w:ascii="Arial" w:hAnsi="Arial" w:cs="Arial"/>
          <w:bCs/>
          <w:i/>
          <w:iCs/>
        </w:rPr>
        <w:t>hispidum</w:t>
      </w:r>
      <w:proofErr w:type="spellEnd"/>
      <w:r w:rsidRPr="00B56594">
        <w:rPr>
          <w:rFonts w:ascii="Arial" w:hAnsi="Arial" w:cs="Arial"/>
          <w:bCs/>
          <w:i/>
          <w:iCs/>
        </w:rPr>
        <w:t xml:space="preserve"> </w:t>
      </w:r>
      <w:r w:rsidRPr="00B56594">
        <w:rPr>
          <w:rFonts w:ascii="Arial" w:hAnsi="Arial" w:cs="Arial"/>
          <w:bCs/>
        </w:rPr>
        <w:t xml:space="preserve">including alkaloids, flavonoids, phenols, and saponins likely contributes to its antimicrobial efficacy, supporting established roles of these compounds in membrane disruption, enzyme inhibition, and oxidative damage to pathogens. The slight decrease in IZD at 100% concentration (notably with </w:t>
      </w:r>
      <w:r w:rsidRPr="00B56594">
        <w:rPr>
          <w:rFonts w:ascii="Arial" w:hAnsi="Arial" w:cs="Arial"/>
          <w:bCs/>
          <w:i/>
          <w:iCs/>
        </w:rPr>
        <w:t>Enterobacter</w:t>
      </w:r>
      <w:r w:rsidRPr="00B56594">
        <w:rPr>
          <w:rFonts w:ascii="Arial" w:hAnsi="Arial" w:cs="Arial"/>
          <w:bCs/>
        </w:rPr>
        <w:t xml:space="preserve"> and </w:t>
      </w:r>
      <w:r w:rsidRPr="00B56594">
        <w:rPr>
          <w:rFonts w:ascii="Arial" w:hAnsi="Arial" w:cs="Arial"/>
          <w:bCs/>
          <w:i/>
          <w:iCs/>
        </w:rPr>
        <w:t>S. typhi</w:t>
      </w:r>
      <w:r w:rsidRPr="00B56594">
        <w:rPr>
          <w:rFonts w:ascii="Arial" w:hAnsi="Arial" w:cs="Arial"/>
          <w:bCs/>
        </w:rPr>
        <w:t>) may reflect a plateau effect often observed in plant extract studies, possibly due to compound precipitation or microbial adaptation at higher extract loads</w:t>
      </w:r>
      <w:r w:rsidR="00297E20">
        <w:rPr>
          <w:rFonts w:ascii="Arial" w:hAnsi="Arial" w:cs="Arial"/>
          <w:bCs/>
        </w:rPr>
        <w:t xml:space="preserve">, </w:t>
      </w:r>
      <w:r w:rsidRPr="00B56594">
        <w:rPr>
          <w:rFonts w:ascii="Arial" w:hAnsi="Arial" w:cs="Arial"/>
          <w:bCs/>
        </w:rPr>
        <w:t>phenomena previously documented in dose-response analyses of crude botanical extracts (</w:t>
      </w:r>
      <w:r w:rsidRPr="00B56594">
        <w:rPr>
          <w:rFonts w:ascii="Arial" w:hAnsi="Arial" w:cs="Arial"/>
        </w:rPr>
        <w:t>Mgonja and Ally, 2021</w:t>
      </w:r>
      <w:r w:rsidRPr="00B56594">
        <w:rPr>
          <w:rFonts w:ascii="Arial" w:hAnsi="Arial" w:cs="Arial"/>
          <w:bCs/>
        </w:rPr>
        <w:t>).</w:t>
      </w:r>
      <w:r w:rsidR="00124885">
        <w:rPr>
          <w:rFonts w:ascii="Arial" w:hAnsi="Arial" w:cs="Arial"/>
          <w:bCs/>
        </w:rPr>
        <w:t xml:space="preserve"> </w:t>
      </w:r>
      <w:r w:rsidR="00124885" w:rsidRPr="00124885">
        <w:rPr>
          <w:rFonts w:ascii="Arial" w:hAnsi="Arial" w:cs="Arial"/>
          <w:bCs/>
          <w:highlight w:val="yellow"/>
        </w:rPr>
        <w:t>While this study identified 23 bioactive compounds via GC-MS—including oleic acid, 2,4-di-tert-butylphenol, and palmitic acid</w:t>
      </w:r>
      <w:r w:rsidR="00124885">
        <w:rPr>
          <w:rFonts w:ascii="Arial" w:hAnsi="Arial" w:cs="Arial"/>
          <w:bCs/>
          <w:highlight w:val="yellow"/>
        </w:rPr>
        <w:t xml:space="preserve">, </w:t>
      </w:r>
      <w:r w:rsidR="00124885" w:rsidRPr="00124885">
        <w:rPr>
          <w:rFonts w:ascii="Arial" w:hAnsi="Arial" w:cs="Arial"/>
          <w:bCs/>
          <w:highlight w:val="yellow"/>
        </w:rPr>
        <w:t>the specific compounds responsible for antimicrobial activity were not isolated. However, existing evidence suggests that oleic acid disrupts bacterial cell membranes, increasing permeability and leakage in Gram-positive bacteria (</w:t>
      </w:r>
      <w:r w:rsidR="00124885" w:rsidRPr="00124885">
        <w:rPr>
          <w:rFonts w:ascii="Arial" w:hAnsi="Arial" w:cs="Arial"/>
          <w:bCs/>
          <w:highlight w:val="yellow"/>
        </w:rPr>
        <w:t xml:space="preserve">Yoon </w:t>
      </w:r>
      <w:r w:rsidR="00124885" w:rsidRPr="00124885">
        <w:rPr>
          <w:rFonts w:ascii="Arial" w:hAnsi="Arial" w:cs="Arial"/>
          <w:bCs/>
          <w:i/>
          <w:iCs/>
          <w:highlight w:val="yellow"/>
        </w:rPr>
        <w:t>et al</w:t>
      </w:r>
      <w:r w:rsidR="00124885" w:rsidRPr="00124885">
        <w:rPr>
          <w:rFonts w:ascii="Arial" w:hAnsi="Arial" w:cs="Arial"/>
          <w:bCs/>
          <w:highlight w:val="yellow"/>
        </w:rPr>
        <w:t>., 20</w:t>
      </w:r>
      <w:r w:rsidR="00124885">
        <w:rPr>
          <w:rFonts w:ascii="Arial" w:hAnsi="Arial" w:cs="Arial"/>
          <w:bCs/>
          <w:highlight w:val="yellow"/>
        </w:rPr>
        <w:t>18</w:t>
      </w:r>
      <w:r w:rsidR="00124885" w:rsidRPr="00124885">
        <w:rPr>
          <w:rFonts w:ascii="Arial" w:hAnsi="Arial" w:cs="Arial"/>
          <w:bCs/>
          <w:highlight w:val="yellow"/>
        </w:rPr>
        <w:t>). Likewise, phenolic compounds like 2,4-di-tert-butylphenol exert antimicrobial effects by generating oxidative stress and damaging microbial cell structures (</w:t>
      </w:r>
      <w:r w:rsidR="00124885" w:rsidRPr="00124885">
        <w:rPr>
          <w:rFonts w:ascii="Arial" w:hAnsi="Arial" w:cs="Arial"/>
          <w:bCs/>
          <w:highlight w:val="yellow"/>
        </w:rPr>
        <w:t xml:space="preserve">Zhao </w:t>
      </w:r>
      <w:r w:rsidR="00124885" w:rsidRPr="00124885">
        <w:rPr>
          <w:rFonts w:ascii="Arial" w:hAnsi="Arial" w:cs="Arial"/>
          <w:bCs/>
          <w:i/>
          <w:iCs/>
          <w:highlight w:val="yellow"/>
        </w:rPr>
        <w:t>et al</w:t>
      </w:r>
      <w:r w:rsidR="00124885" w:rsidRPr="00124885">
        <w:rPr>
          <w:rFonts w:ascii="Arial" w:hAnsi="Arial" w:cs="Arial"/>
          <w:bCs/>
          <w:highlight w:val="yellow"/>
        </w:rPr>
        <w:t>., 2020</w:t>
      </w:r>
      <w:r w:rsidR="00124885">
        <w:rPr>
          <w:rFonts w:ascii="Arial" w:hAnsi="Arial" w:cs="Arial"/>
          <w:bCs/>
          <w:highlight w:val="yellow"/>
        </w:rPr>
        <w:t xml:space="preserve">; </w:t>
      </w:r>
      <w:proofErr w:type="spellStart"/>
      <w:r w:rsidR="00124885" w:rsidRPr="00124885">
        <w:rPr>
          <w:rFonts w:ascii="Arial" w:hAnsi="Arial" w:cs="Arial"/>
          <w:bCs/>
          <w:highlight w:val="yellow"/>
        </w:rPr>
        <w:t>Ayswarya</w:t>
      </w:r>
      <w:proofErr w:type="spellEnd"/>
      <w:r w:rsidR="00124885">
        <w:rPr>
          <w:rFonts w:ascii="Arial" w:hAnsi="Arial" w:cs="Arial"/>
          <w:bCs/>
          <w:highlight w:val="yellow"/>
        </w:rPr>
        <w:t xml:space="preserve"> </w:t>
      </w:r>
      <w:r w:rsidR="00124885" w:rsidRPr="00124885">
        <w:rPr>
          <w:rFonts w:ascii="Arial" w:hAnsi="Arial" w:cs="Arial"/>
          <w:bCs/>
          <w:i/>
          <w:iCs/>
          <w:highlight w:val="yellow"/>
        </w:rPr>
        <w:t>et al</w:t>
      </w:r>
      <w:r w:rsidR="00124885">
        <w:rPr>
          <w:rFonts w:ascii="Arial" w:hAnsi="Arial" w:cs="Arial"/>
          <w:bCs/>
          <w:highlight w:val="yellow"/>
        </w:rPr>
        <w:t>., 2022</w:t>
      </w:r>
      <w:r w:rsidR="00124885" w:rsidRPr="00124885">
        <w:rPr>
          <w:rFonts w:ascii="Arial" w:hAnsi="Arial" w:cs="Arial"/>
          <w:bCs/>
          <w:highlight w:val="yellow"/>
        </w:rPr>
        <w:t xml:space="preserve">). These compound-specific actions likely underpin the inhibitory effects observed in </w:t>
      </w:r>
      <w:r w:rsidR="00124885" w:rsidRPr="00124885">
        <w:rPr>
          <w:rFonts w:ascii="Arial" w:hAnsi="Arial" w:cs="Arial"/>
          <w:bCs/>
          <w:i/>
          <w:iCs/>
          <w:highlight w:val="yellow"/>
        </w:rPr>
        <w:t xml:space="preserve">C. </w:t>
      </w:r>
      <w:proofErr w:type="spellStart"/>
      <w:r w:rsidR="00124885" w:rsidRPr="00124885">
        <w:rPr>
          <w:rFonts w:ascii="Arial" w:hAnsi="Arial" w:cs="Arial"/>
          <w:bCs/>
          <w:i/>
          <w:iCs/>
          <w:highlight w:val="yellow"/>
        </w:rPr>
        <w:t>hispidum</w:t>
      </w:r>
      <w:proofErr w:type="spellEnd"/>
      <w:r w:rsidR="00124885" w:rsidRPr="00124885">
        <w:rPr>
          <w:rFonts w:ascii="Arial" w:hAnsi="Arial" w:cs="Arial"/>
          <w:bCs/>
          <w:highlight w:val="yellow"/>
        </w:rPr>
        <w:t xml:space="preserve"> and warrant further targeted studies.</w:t>
      </w:r>
    </w:p>
    <w:p w14:paraId="6C494115" w14:textId="77777777" w:rsidR="00974B5E" w:rsidRPr="00974B5E" w:rsidRDefault="00974B5E" w:rsidP="00974B5E">
      <w:pPr>
        <w:pStyle w:val="Body"/>
        <w:spacing w:after="0"/>
        <w:rPr>
          <w:rFonts w:ascii="Arial" w:hAnsi="Arial" w:cs="Arial"/>
          <w:b/>
        </w:rPr>
      </w:pPr>
    </w:p>
    <w:p w14:paraId="0CF435A9" w14:textId="77777777" w:rsidR="00974B5E" w:rsidRPr="00974B5E" w:rsidRDefault="00974B5E" w:rsidP="00974B5E">
      <w:pPr>
        <w:pStyle w:val="Body"/>
        <w:spacing w:after="0"/>
        <w:rPr>
          <w:rFonts w:ascii="Arial" w:hAnsi="Arial" w:cs="Arial"/>
          <w:b/>
        </w:rPr>
      </w:pPr>
      <w:r w:rsidRPr="00974B5E">
        <w:rPr>
          <w:rFonts w:ascii="Arial" w:hAnsi="Arial" w:cs="Arial"/>
          <w:b/>
        </w:rPr>
        <w:t>Table 3: Diameter of zones of inhibition of the extract against some bacteria isolates</w:t>
      </w:r>
    </w:p>
    <w:tbl>
      <w:tblPr>
        <w:tblW w:w="9561" w:type="dxa"/>
        <w:shd w:val="clear" w:color="auto" w:fill="FFFFFF" w:themeFill="background1"/>
        <w:tblLook w:val="04A0" w:firstRow="1" w:lastRow="0" w:firstColumn="1" w:lastColumn="0" w:noHBand="0" w:noVBand="1"/>
      </w:tblPr>
      <w:tblGrid>
        <w:gridCol w:w="2093"/>
        <w:gridCol w:w="1451"/>
        <w:gridCol w:w="108"/>
        <w:gridCol w:w="1268"/>
        <w:gridCol w:w="1317"/>
        <w:gridCol w:w="1608"/>
        <w:gridCol w:w="1716"/>
      </w:tblGrid>
      <w:tr w:rsidR="00974B5E" w:rsidRPr="00974B5E" w14:paraId="0C4267DE" w14:textId="77777777" w:rsidTr="00974B5E">
        <w:trPr>
          <w:trHeight w:val="354"/>
        </w:trPr>
        <w:tc>
          <w:tcPr>
            <w:tcW w:w="2093" w:type="dxa"/>
            <w:tcBorders>
              <w:top w:val="single" w:sz="4" w:space="0" w:color="auto"/>
              <w:bottom w:val="single" w:sz="4" w:space="0" w:color="auto"/>
            </w:tcBorders>
            <w:shd w:val="clear" w:color="auto" w:fill="FFFFFF" w:themeFill="background1"/>
            <w:noWrap/>
            <w:hideMark/>
          </w:tcPr>
          <w:p w14:paraId="0FBB3D9C" w14:textId="77777777" w:rsidR="00974B5E" w:rsidRPr="00974B5E" w:rsidRDefault="00974B5E" w:rsidP="00974B5E">
            <w:pPr>
              <w:pStyle w:val="Body"/>
              <w:spacing w:after="0"/>
              <w:rPr>
                <w:rFonts w:ascii="Arial" w:hAnsi="Arial" w:cs="Arial"/>
                <w:b/>
              </w:rPr>
            </w:pPr>
            <w:r w:rsidRPr="00974B5E">
              <w:rPr>
                <w:rFonts w:ascii="Arial" w:hAnsi="Arial" w:cs="Arial"/>
              </w:rPr>
              <w:t xml:space="preserve"> Test isolates</w:t>
            </w:r>
          </w:p>
        </w:tc>
        <w:tc>
          <w:tcPr>
            <w:tcW w:w="1451" w:type="dxa"/>
            <w:tcBorders>
              <w:top w:val="single" w:sz="4" w:space="0" w:color="auto"/>
              <w:bottom w:val="single" w:sz="4" w:space="0" w:color="auto"/>
            </w:tcBorders>
            <w:shd w:val="clear" w:color="auto" w:fill="FFFFFF" w:themeFill="background1"/>
            <w:noWrap/>
            <w:hideMark/>
          </w:tcPr>
          <w:p w14:paraId="1D373967" w14:textId="77777777" w:rsidR="00974B5E" w:rsidRPr="00974B5E" w:rsidRDefault="00974B5E" w:rsidP="00974B5E">
            <w:pPr>
              <w:pStyle w:val="Body"/>
              <w:spacing w:after="0"/>
              <w:rPr>
                <w:rFonts w:ascii="Arial" w:hAnsi="Arial" w:cs="Arial"/>
                <w:b/>
              </w:rPr>
            </w:pPr>
            <w:r w:rsidRPr="00974B5E">
              <w:rPr>
                <w:rFonts w:ascii="Arial" w:hAnsi="Arial" w:cs="Arial"/>
              </w:rPr>
              <w:t>IZD in mm at 6.25%</w:t>
            </w:r>
          </w:p>
        </w:tc>
        <w:tc>
          <w:tcPr>
            <w:tcW w:w="1376" w:type="dxa"/>
            <w:gridSpan w:val="2"/>
            <w:tcBorders>
              <w:top w:val="single" w:sz="4" w:space="0" w:color="auto"/>
              <w:bottom w:val="single" w:sz="4" w:space="0" w:color="auto"/>
            </w:tcBorders>
            <w:shd w:val="clear" w:color="auto" w:fill="FFFFFF" w:themeFill="background1"/>
          </w:tcPr>
          <w:p w14:paraId="6AA1F2F1" w14:textId="77777777" w:rsidR="00974B5E" w:rsidRPr="00974B5E" w:rsidRDefault="00974B5E" w:rsidP="00974B5E">
            <w:pPr>
              <w:pStyle w:val="Body"/>
              <w:spacing w:after="0"/>
              <w:rPr>
                <w:rFonts w:ascii="Arial" w:hAnsi="Arial" w:cs="Arial"/>
                <w:b/>
              </w:rPr>
            </w:pPr>
            <w:r w:rsidRPr="00974B5E">
              <w:rPr>
                <w:rFonts w:ascii="Arial" w:hAnsi="Arial" w:cs="Arial"/>
              </w:rPr>
              <w:t>IZD in mm at 12.5 %</w:t>
            </w:r>
          </w:p>
        </w:tc>
        <w:tc>
          <w:tcPr>
            <w:tcW w:w="1317" w:type="dxa"/>
            <w:tcBorders>
              <w:top w:val="single" w:sz="4" w:space="0" w:color="auto"/>
              <w:bottom w:val="single" w:sz="4" w:space="0" w:color="auto"/>
            </w:tcBorders>
            <w:shd w:val="clear" w:color="auto" w:fill="FFFFFF" w:themeFill="background1"/>
            <w:noWrap/>
            <w:hideMark/>
          </w:tcPr>
          <w:p w14:paraId="61F1EF2D" w14:textId="77777777" w:rsidR="00974B5E" w:rsidRPr="00974B5E" w:rsidRDefault="00974B5E" w:rsidP="00974B5E">
            <w:pPr>
              <w:pStyle w:val="Body"/>
              <w:spacing w:after="0"/>
              <w:rPr>
                <w:rFonts w:ascii="Arial" w:hAnsi="Arial" w:cs="Arial"/>
                <w:b/>
              </w:rPr>
            </w:pPr>
            <w:r w:rsidRPr="00974B5E">
              <w:rPr>
                <w:rFonts w:ascii="Arial" w:hAnsi="Arial" w:cs="Arial"/>
              </w:rPr>
              <w:t>IZD in mm at 25%</w:t>
            </w:r>
          </w:p>
        </w:tc>
        <w:tc>
          <w:tcPr>
            <w:tcW w:w="1608" w:type="dxa"/>
            <w:tcBorders>
              <w:top w:val="single" w:sz="4" w:space="0" w:color="auto"/>
              <w:bottom w:val="single" w:sz="4" w:space="0" w:color="auto"/>
            </w:tcBorders>
            <w:shd w:val="clear" w:color="auto" w:fill="FFFFFF" w:themeFill="background1"/>
            <w:noWrap/>
            <w:hideMark/>
          </w:tcPr>
          <w:p w14:paraId="19717335" w14:textId="77777777" w:rsidR="00974B5E" w:rsidRPr="00974B5E" w:rsidRDefault="00974B5E" w:rsidP="00974B5E">
            <w:pPr>
              <w:pStyle w:val="Body"/>
              <w:spacing w:after="0"/>
              <w:rPr>
                <w:rFonts w:ascii="Arial" w:hAnsi="Arial" w:cs="Arial"/>
                <w:b/>
              </w:rPr>
            </w:pPr>
            <w:r w:rsidRPr="00974B5E">
              <w:rPr>
                <w:rFonts w:ascii="Arial" w:hAnsi="Arial" w:cs="Arial"/>
              </w:rPr>
              <w:t>IZD in mm at 50 %</w:t>
            </w:r>
          </w:p>
        </w:tc>
        <w:tc>
          <w:tcPr>
            <w:tcW w:w="1716" w:type="dxa"/>
            <w:tcBorders>
              <w:top w:val="single" w:sz="4" w:space="0" w:color="auto"/>
              <w:bottom w:val="single" w:sz="4" w:space="0" w:color="auto"/>
            </w:tcBorders>
            <w:shd w:val="clear" w:color="auto" w:fill="FFFFFF" w:themeFill="background1"/>
            <w:noWrap/>
            <w:hideMark/>
          </w:tcPr>
          <w:p w14:paraId="305D7446" w14:textId="77777777" w:rsidR="00974B5E" w:rsidRPr="00974B5E" w:rsidRDefault="00974B5E" w:rsidP="00974B5E">
            <w:pPr>
              <w:pStyle w:val="Body"/>
              <w:spacing w:after="0"/>
              <w:rPr>
                <w:rFonts w:ascii="Arial" w:hAnsi="Arial" w:cs="Arial"/>
                <w:b/>
              </w:rPr>
            </w:pPr>
            <w:r w:rsidRPr="00974B5E">
              <w:rPr>
                <w:rFonts w:ascii="Arial" w:hAnsi="Arial" w:cs="Arial"/>
              </w:rPr>
              <w:t>IZD in mm at 100%</w:t>
            </w:r>
          </w:p>
        </w:tc>
      </w:tr>
      <w:tr w:rsidR="00974B5E" w:rsidRPr="00974B5E" w14:paraId="1E12A1FC" w14:textId="77777777" w:rsidTr="00974B5E">
        <w:trPr>
          <w:trHeight w:val="354"/>
        </w:trPr>
        <w:tc>
          <w:tcPr>
            <w:tcW w:w="2093" w:type="dxa"/>
            <w:tcBorders>
              <w:top w:val="single" w:sz="4" w:space="0" w:color="auto"/>
            </w:tcBorders>
            <w:shd w:val="clear" w:color="auto" w:fill="FFFFFF" w:themeFill="background1"/>
            <w:noWrap/>
            <w:hideMark/>
          </w:tcPr>
          <w:p w14:paraId="6A97593B" w14:textId="77777777" w:rsidR="00974B5E" w:rsidRPr="00974B5E" w:rsidRDefault="00974B5E" w:rsidP="00974B5E">
            <w:pPr>
              <w:pStyle w:val="Body"/>
              <w:spacing w:after="0"/>
              <w:rPr>
                <w:rFonts w:ascii="Arial" w:hAnsi="Arial" w:cs="Arial"/>
                <w:b/>
              </w:rPr>
            </w:pPr>
            <w:r w:rsidRPr="00974B5E">
              <w:rPr>
                <w:rFonts w:ascii="Arial" w:hAnsi="Arial" w:cs="Arial"/>
              </w:rPr>
              <w:t>Control</w:t>
            </w:r>
          </w:p>
        </w:tc>
        <w:tc>
          <w:tcPr>
            <w:tcW w:w="1559" w:type="dxa"/>
            <w:gridSpan w:val="2"/>
            <w:tcBorders>
              <w:top w:val="single" w:sz="4" w:space="0" w:color="auto"/>
            </w:tcBorders>
            <w:shd w:val="clear" w:color="auto" w:fill="FFFFFF" w:themeFill="background1"/>
            <w:noWrap/>
            <w:hideMark/>
          </w:tcPr>
          <w:p w14:paraId="4B47255E" w14:textId="77777777" w:rsidR="00974B5E" w:rsidRPr="00974B5E" w:rsidRDefault="00974B5E" w:rsidP="00974B5E">
            <w:pPr>
              <w:pStyle w:val="Body"/>
              <w:spacing w:after="0"/>
              <w:rPr>
                <w:rFonts w:ascii="Arial" w:hAnsi="Arial" w:cs="Arial"/>
              </w:rPr>
            </w:pPr>
            <w:r w:rsidRPr="00974B5E">
              <w:rPr>
                <w:rFonts w:ascii="Arial" w:hAnsi="Arial" w:cs="Arial"/>
              </w:rPr>
              <w:t>0.00±0.00</w:t>
            </w:r>
            <w:r w:rsidRPr="00974B5E">
              <w:rPr>
                <w:rFonts w:ascii="Arial" w:hAnsi="Arial" w:cs="Arial"/>
                <w:vertAlign w:val="superscript"/>
              </w:rPr>
              <w:t>a</w:t>
            </w:r>
          </w:p>
        </w:tc>
        <w:tc>
          <w:tcPr>
            <w:tcW w:w="1268" w:type="dxa"/>
            <w:tcBorders>
              <w:top w:val="single" w:sz="4" w:space="0" w:color="auto"/>
            </w:tcBorders>
            <w:shd w:val="clear" w:color="auto" w:fill="FFFFFF" w:themeFill="background1"/>
            <w:noWrap/>
            <w:hideMark/>
          </w:tcPr>
          <w:p w14:paraId="0371676F" w14:textId="77777777" w:rsidR="00974B5E" w:rsidRPr="00974B5E" w:rsidRDefault="00974B5E" w:rsidP="00974B5E">
            <w:pPr>
              <w:pStyle w:val="Body"/>
              <w:spacing w:after="0"/>
              <w:rPr>
                <w:rFonts w:ascii="Arial" w:hAnsi="Arial" w:cs="Arial"/>
              </w:rPr>
            </w:pPr>
            <w:r w:rsidRPr="00974B5E">
              <w:rPr>
                <w:rFonts w:ascii="Arial" w:hAnsi="Arial" w:cs="Arial"/>
              </w:rPr>
              <w:t>0.00±0.00</w:t>
            </w:r>
            <w:r w:rsidRPr="00974B5E">
              <w:rPr>
                <w:rFonts w:ascii="Arial" w:hAnsi="Arial" w:cs="Arial"/>
                <w:vertAlign w:val="superscript"/>
              </w:rPr>
              <w:t>a</w:t>
            </w:r>
          </w:p>
        </w:tc>
        <w:tc>
          <w:tcPr>
            <w:tcW w:w="1317" w:type="dxa"/>
            <w:tcBorders>
              <w:top w:val="single" w:sz="4" w:space="0" w:color="auto"/>
            </w:tcBorders>
            <w:shd w:val="clear" w:color="auto" w:fill="FFFFFF" w:themeFill="background1"/>
            <w:noWrap/>
            <w:hideMark/>
          </w:tcPr>
          <w:p w14:paraId="3099D076" w14:textId="77777777" w:rsidR="00974B5E" w:rsidRPr="00974B5E" w:rsidRDefault="00974B5E" w:rsidP="00974B5E">
            <w:pPr>
              <w:pStyle w:val="Body"/>
              <w:spacing w:after="0"/>
              <w:rPr>
                <w:rFonts w:ascii="Arial" w:hAnsi="Arial" w:cs="Arial"/>
              </w:rPr>
            </w:pPr>
            <w:r w:rsidRPr="00974B5E">
              <w:rPr>
                <w:rFonts w:ascii="Arial" w:hAnsi="Arial" w:cs="Arial"/>
              </w:rPr>
              <w:t>0.00±0.00</w:t>
            </w:r>
            <w:r w:rsidRPr="00974B5E">
              <w:rPr>
                <w:rFonts w:ascii="Arial" w:hAnsi="Arial" w:cs="Arial"/>
                <w:vertAlign w:val="superscript"/>
              </w:rPr>
              <w:t>a</w:t>
            </w:r>
          </w:p>
        </w:tc>
        <w:tc>
          <w:tcPr>
            <w:tcW w:w="1608" w:type="dxa"/>
            <w:tcBorders>
              <w:top w:val="single" w:sz="4" w:space="0" w:color="auto"/>
            </w:tcBorders>
            <w:shd w:val="clear" w:color="auto" w:fill="FFFFFF" w:themeFill="background1"/>
            <w:noWrap/>
            <w:hideMark/>
          </w:tcPr>
          <w:p w14:paraId="17DF0F1E" w14:textId="77777777" w:rsidR="00974B5E" w:rsidRPr="00974B5E" w:rsidRDefault="00974B5E" w:rsidP="00974B5E">
            <w:pPr>
              <w:pStyle w:val="Body"/>
              <w:spacing w:after="0"/>
              <w:rPr>
                <w:rFonts w:ascii="Arial" w:hAnsi="Arial" w:cs="Arial"/>
              </w:rPr>
            </w:pPr>
            <w:r w:rsidRPr="00974B5E">
              <w:rPr>
                <w:rFonts w:ascii="Arial" w:hAnsi="Arial" w:cs="Arial"/>
              </w:rPr>
              <w:t>0.00±0.00</w:t>
            </w:r>
            <w:r w:rsidRPr="00974B5E">
              <w:rPr>
                <w:rFonts w:ascii="Arial" w:hAnsi="Arial" w:cs="Arial"/>
                <w:vertAlign w:val="superscript"/>
              </w:rPr>
              <w:t>a</w:t>
            </w:r>
          </w:p>
        </w:tc>
        <w:tc>
          <w:tcPr>
            <w:tcW w:w="1716" w:type="dxa"/>
            <w:tcBorders>
              <w:top w:val="single" w:sz="4" w:space="0" w:color="auto"/>
            </w:tcBorders>
            <w:shd w:val="clear" w:color="auto" w:fill="FFFFFF" w:themeFill="background1"/>
            <w:noWrap/>
            <w:hideMark/>
          </w:tcPr>
          <w:p w14:paraId="6353B9FA" w14:textId="77777777" w:rsidR="00974B5E" w:rsidRPr="00974B5E" w:rsidRDefault="00974B5E" w:rsidP="00974B5E">
            <w:pPr>
              <w:pStyle w:val="Body"/>
              <w:spacing w:after="0"/>
              <w:rPr>
                <w:rFonts w:ascii="Arial" w:hAnsi="Arial" w:cs="Arial"/>
              </w:rPr>
            </w:pPr>
            <w:r w:rsidRPr="00974B5E">
              <w:rPr>
                <w:rFonts w:ascii="Arial" w:hAnsi="Arial" w:cs="Arial"/>
              </w:rPr>
              <w:t>0.00±0.00</w:t>
            </w:r>
            <w:r w:rsidRPr="00974B5E">
              <w:rPr>
                <w:rFonts w:ascii="Arial" w:hAnsi="Arial" w:cs="Arial"/>
                <w:vertAlign w:val="superscript"/>
              </w:rPr>
              <w:t>a</w:t>
            </w:r>
          </w:p>
        </w:tc>
      </w:tr>
      <w:tr w:rsidR="00974B5E" w:rsidRPr="00974B5E" w14:paraId="49F240AF" w14:textId="77777777" w:rsidTr="00974B5E">
        <w:trPr>
          <w:trHeight w:val="354"/>
        </w:trPr>
        <w:tc>
          <w:tcPr>
            <w:tcW w:w="2093" w:type="dxa"/>
            <w:shd w:val="clear" w:color="auto" w:fill="FFFFFF" w:themeFill="background1"/>
            <w:noWrap/>
            <w:hideMark/>
          </w:tcPr>
          <w:p w14:paraId="4BDD052E" w14:textId="77777777" w:rsidR="00974B5E" w:rsidRPr="00974B5E" w:rsidRDefault="00974B5E" w:rsidP="00974B5E">
            <w:pPr>
              <w:pStyle w:val="Body"/>
              <w:spacing w:after="0"/>
              <w:rPr>
                <w:rFonts w:ascii="Arial" w:hAnsi="Arial" w:cs="Arial"/>
                <w:b/>
              </w:rPr>
            </w:pPr>
            <w:r w:rsidRPr="00974B5E">
              <w:rPr>
                <w:rFonts w:ascii="Arial" w:hAnsi="Arial" w:cs="Arial"/>
                <w:i/>
              </w:rPr>
              <w:t xml:space="preserve">Enterobacter </w:t>
            </w:r>
            <w:proofErr w:type="spellStart"/>
            <w:r w:rsidRPr="00974B5E">
              <w:rPr>
                <w:rFonts w:ascii="Arial" w:hAnsi="Arial" w:cs="Arial"/>
                <w:i/>
              </w:rPr>
              <w:t>spp</w:t>
            </w:r>
            <w:proofErr w:type="spellEnd"/>
          </w:p>
        </w:tc>
        <w:tc>
          <w:tcPr>
            <w:tcW w:w="1559" w:type="dxa"/>
            <w:gridSpan w:val="2"/>
            <w:shd w:val="clear" w:color="auto" w:fill="FFFFFF" w:themeFill="background1"/>
            <w:noWrap/>
            <w:hideMark/>
          </w:tcPr>
          <w:p w14:paraId="791C9E3C" w14:textId="77777777" w:rsidR="00974B5E" w:rsidRPr="00974B5E" w:rsidRDefault="00974B5E" w:rsidP="00974B5E">
            <w:pPr>
              <w:pStyle w:val="Body"/>
              <w:spacing w:after="0"/>
              <w:rPr>
                <w:rFonts w:ascii="Arial" w:hAnsi="Arial" w:cs="Arial"/>
              </w:rPr>
            </w:pPr>
            <w:r w:rsidRPr="00974B5E">
              <w:rPr>
                <w:rFonts w:ascii="Arial" w:hAnsi="Arial" w:cs="Arial"/>
              </w:rPr>
              <w:t>3.21±0.26</w:t>
            </w:r>
            <w:r w:rsidRPr="00974B5E">
              <w:rPr>
                <w:rFonts w:ascii="Arial" w:hAnsi="Arial" w:cs="Arial"/>
                <w:vertAlign w:val="superscript"/>
              </w:rPr>
              <w:t>b</w:t>
            </w:r>
          </w:p>
        </w:tc>
        <w:tc>
          <w:tcPr>
            <w:tcW w:w="1268" w:type="dxa"/>
            <w:shd w:val="clear" w:color="auto" w:fill="FFFFFF" w:themeFill="background1"/>
            <w:noWrap/>
            <w:hideMark/>
          </w:tcPr>
          <w:p w14:paraId="59EF4C8C" w14:textId="77777777" w:rsidR="00974B5E" w:rsidRPr="00974B5E" w:rsidRDefault="00974B5E" w:rsidP="00974B5E">
            <w:pPr>
              <w:pStyle w:val="Body"/>
              <w:spacing w:after="0"/>
              <w:rPr>
                <w:rFonts w:ascii="Arial" w:hAnsi="Arial" w:cs="Arial"/>
              </w:rPr>
            </w:pPr>
            <w:r w:rsidRPr="00974B5E">
              <w:rPr>
                <w:rFonts w:ascii="Arial" w:hAnsi="Arial" w:cs="Arial"/>
              </w:rPr>
              <w:t>4.33±0.36</w:t>
            </w:r>
            <w:r w:rsidRPr="00974B5E">
              <w:rPr>
                <w:rFonts w:ascii="Arial" w:hAnsi="Arial" w:cs="Arial"/>
                <w:vertAlign w:val="superscript"/>
              </w:rPr>
              <w:t>c</w:t>
            </w:r>
          </w:p>
        </w:tc>
        <w:tc>
          <w:tcPr>
            <w:tcW w:w="1317" w:type="dxa"/>
            <w:shd w:val="clear" w:color="auto" w:fill="FFFFFF" w:themeFill="background1"/>
            <w:noWrap/>
            <w:hideMark/>
          </w:tcPr>
          <w:p w14:paraId="4C586E4D" w14:textId="77777777" w:rsidR="00974B5E" w:rsidRPr="00974B5E" w:rsidRDefault="00974B5E" w:rsidP="00974B5E">
            <w:pPr>
              <w:pStyle w:val="Body"/>
              <w:spacing w:after="0"/>
              <w:rPr>
                <w:rFonts w:ascii="Arial" w:hAnsi="Arial" w:cs="Arial"/>
              </w:rPr>
            </w:pPr>
            <w:r w:rsidRPr="00974B5E">
              <w:rPr>
                <w:rFonts w:ascii="Arial" w:hAnsi="Arial" w:cs="Arial"/>
              </w:rPr>
              <w:t>7.24±0.62</w:t>
            </w:r>
            <w:r w:rsidRPr="00974B5E">
              <w:rPr>
                <w:rFonts w:ascii="Arial" w:hAnsi="Arial" w:cs="Arial"/>
                <w:vertAlign w:val="superscript"/>
              </w:rPr>
              <w:t>b</w:t>
            </w:r>
          </w:p>
        </w:tc>
        <w:tc>
          <w:tcPr>
            <w:tcW w:w="1608" w:type="dxa"/>
            <w:shd w:val="clear" w:color="auto" w:fill="FFFFFF" w:themeFill="background1"/>
            <w:noWrap/>
            <w:hideMark/>
          </w:tcPr>
          <w:p w14:paraId="778C58D6" w14:textId="77777777" w:rsidR="00974B5E" w:rsidRPr="00974B5E" w:rsidRDefault="00974B5E" w:rsidP="00974B5E">
            <w:pPr>
              <w:pStyle w:val="Body"/>
              <w:spacing w:after="0"/>
              <w:rPr>
                <w:rFonts w:ascii="Arial" w:hAnsi="Arial" w:cs="Arial"/>
              </w:rPr>
            </w:pPr>
            <w:r w:rsidRPr="00974B5E">
              <w:rPr>
                <w:rFonts w:ascii="Arial" w:hAnsi="Arial" w:cs="Arial"/>
              </w:rPr>
              <w:t>7.58±0.50</w:t>
            </w:r>
            <w:r w:rsidRPr="00974B5E">
              <w:rPr>
                <w:rFonts w:ascii="Arial" w:hAnsi="Arial" w:cs="Arial"/>
                <w:vertAlign w:val="superscript"/>
              </w:rPr>
              <w:t>c</w:t>
            </w:r>
          </w:p>
        </w:tc>
        <w:tc>
          <w:tcPr>
            <w:tcW w:w="1716" w:type="dxa"/>
            <w:shd w:val="clear" w:color="auto" w:fill="FFFFFF" w:themeFill="background1"/>
            <w:noWrap/>
            <w:hideMark/>
          </w:tcPr>
          <w:p w14:paraId="5E38F3EA" w14:textId="77777777" w:rsidR="00974B5E" w:rsidRPr="00974B5E" w:rsidRDefault="00974B5E" w:rsidP="00974B5E">
            <w:pPr>
              <w:pStyle w:val="Body"/>
              <w:spacing w:after="0"/>
              <w:rPr>
                <w:rFonts w:ascii="Arial" w:hAnsi="Arial" w:cs="Arial"/>
              </w:rPr>
            </w:pPr>
            <w:r w:rsidRPr="00974B5E">
              <w:rPr>
                <w:rFonts w:ascii="Arial" w:hAnsi="Arial" w:cs="Arial"/>
              </w:rPr>
              <w:t>6.60±0.61</w:t>
            </w:r>
            <w:r w:rsidRPr="00974B5E">
              <w:rPr>
                <w:rFonts w:ascii="Arial" w:hAnsi="Arial" w:cs="Arial"/>
                <w:vertAlign w:val="superscript"/>
              </w:rPr>
              <w:t>b</w:t>
            </w:r>
          </w:p>
        </w:tc>
      </w:tr>
      <w:tr w:rsidR="00974B5E" w:rsidRPr="00974B5E" w14:paraId="6DBD218D" w14:textId="77777777" w:rsidTr="00974B5E">
        <w:trPr>
          <w:trHeight w:val="354"/>
        </w:trPr>
        <w:tc>
          <w:tcPr>
            <w:tcW w:w="2093" w:type="dxa"/>
            <w:shd w:val="clear" w:color="auto" w:fill="FFFFFF" w:themeFill="background1"/>
            <w:noWrap/>
            <w:hideMark/>
          </w:tcPr>
          <w:p w14:paraId="6DA849E5" w14:textId="1033621B" w:rsidR="00974B5E" w:rsidRPr="00974B5E" w:rsidRDefault="00297E20" w:rsidP="00974B5E">
            <w:pPr>
              <w:pStyle w:val="Body"/>
              <w:spacing w:after="0"/>
              <w:rPr>
                <w:rFonts w:ascii="Arial" w:hAnsi="Arial" w:cs="Arial"/>
                <w:b/>
              </w:rPr>
            </w:pPr>
            <w:r w:rsidRPr="00974B5E">
              <w:rPr>
                <w:rFonts w:ascii="Arial" w:hAnsi="Arial" w:cs="Arial"/>
                <w:i/>
              </w:rPr>
              <w:t>Klebsiella</w:t>
            </w:r>
            <w:r w:rsidR="00974B5E" w:rsidRPr="00974B5E">
              <w:rPr>
                <w:rFonts w:ascii="Arial" w:hAnsi="Arial" w:cs="Arial"/>
                <w:i/>
              </w:rPr>
              <w:t xml:space="preserve"> </w:t>
            </w:r>
            <w:proofErr w:type="spellStart"/>
            <w:r w:rsidR="00974B5E" w:rsidRPr="00974B5E">
              <w:rPr>
                <w:rFonts w:ascii="Arial" w:hAnsi="Arial" w:cs="Arial"/>
                <w:i/>
              </w:rPr>
              <w:t>spp</w:t>
            </w:r>
            <w:proofErr w:type="spellEnd"/>
          </w:p>
        </w:tc>
        <w:tc>
          <w:tcPr>
            <w:tcW w:w="1559" w:type="dxa"/>
            <w:gridSpan w:val="2"/>
            <w:shd w:val="clear" w:color="auto" w:fill="FFFFFF" w:themeFill="background1"/>
            <w:noWrap/>
            <w:hideMark/>
          </w:tcPr>
          <w:p w14:paraId="6C27CB9A" w14:textId="77777777" w:rsidR="00974B5E" w:rsidRPr="00974B5E" w:rsidRDefault="00974B5E" w:rsidP="00974B5E">
            <w:pPr>
              <w:pStyle w:val="Body"/>
              <w:spacing w:after="0"/>
              <w:rPr>
                <w:rFonts w:ascii="Arial" w:hAnsi="Arial" w:cs="Arial"/>
              </w:rPr>
            </w:pPr>
            <w:r w:rsidRPr="00974B5E">
              <w:rPr>
                <w:rFonts w:ascii="Arial" w:hAnsi="Arial" w:cs="Arial"/>
              </w:rPr>
              <w:t>3.08±0.21</w:t>
            </w:r>
            <w:r w:rsidRPr="00974B5E">
              <w:rPr>
                <w:rFonts w:ascii="Arial" w:hAnsi="Arial" w:cs="Arial"/>
                <w:vertAlign w:val="superscript"/>
              </w:rPr>
              <w:t>b</w:t>
            </w:r>
          </w:p>
        </w:tc>
        <w:tc>
          <w:tcPr>
            <w:tcW w:w="1268" w:type="dxa"/>
            <w:shd w:val="clear" w:color="auto" w:fill="FFFFFF" w:themeFill="background1"/>
            <w:noWrap/>
            <w:hideMark/>
          </w:tcPr>
          <w:p w14:paraId="4DBAC510" w14:textId="77777777" w:rsidR="00974B5E" w:rsidRPr="00974B5E" w:rsidRDefault="00974B5E" w:rsidP="00974B5E">
            <w:pPr>
              <w:pStyle w:val="Body"/>
              <w:spacing w:after="0"/>
              <w:rPr>
                <w:rFonts w:ascii="Arial" w:hAnsi="Arial" w:cs="Arial"/>
              </w:rPr>
            </w:pPr>
            <w:r w:rsidRPr="00974B5E">
              <w:rPr>
                <w:rFonts w:ascii="Arial" w:hAnsi="Arial" w:cs="Arial"/>
              </w:rPr>
              <w:t>4.12±0.36</w:t>
            </w:r>
            <w:r w:rsidRPr="00974B5E">
              <w:rPr>
                <w:rFonts w:ascii="Arial" w:hAnsi="Arial" w:cs="Arial"/>
                <w:vertAlign w:val="superscript"/>
              </w:rPr>
              <w:t>c</w:t>
            </w:r>
          </w:p>
        </w:tc>
        <w:tc>
          <w:tcPr>
            <w:tcW w:w="1317" w:type="dxa"/>
            <w:shd w:val="clear" w:color="auto" w:fill="FFFFFF" w:themeFill="background1"/>
            <w:noWrap/>
            <w:hideMark/>
          </w:tcPr>
          <w:p w14:paraId="1126C2DE" w14:textId="77777777" w:rsidR="00974B5E" w:rsidRPr="00974B5E" w:rsidRDefault="00974B5E" w:rsidP="00974B5E">
            <w:pPr>
              <w:pStyle w:val="Body"/>
              <w:spacing w:after="0"/>
              <w:rPr>
                <w:rFonts w:ascii="Arial" w:hAnsi="Arial" w:cs="Arial"/>
              </w:rPr>
            </w:pPr>
            <w:r w:rsidRPr="00974B5E">
              <w:rPr>
                <w:rFonts w:ascii="Arial" w:hAnsi="Arial" w:cs="Arial"/>
              </w:rPr>
              <w:t>4.51±0.39</w:t>
            </w:r>
            <w:r w:rsidRPr="00974B5E">
              <w:rPr>
                <w:rFonts w:ascii="Arial" w:hAnsi="Arial" w:cs="Arial"/>
                <w:vertAlign w:val="superscript"/>
              </w:rPr>
              <w:t>c</w:t>
            </w:r>
          </w:p>
        </w:tc>
        <w:tc>
          <w:tcPr>
            <w:tcW w:w="1608" w:type="dxa"/>
            <w:shd w:val="clear" w:color="auto" w:fill="FFFFFF" w:themeFill="background1"/>
            <w:noWrap/>
            <w:hideMark/>
          </w:tcPr>
          <w:p w14:paraId="170E8023" w14:textId="77777777" w:rsidR="00974B5E" w:rsidRPr="00974B5E" w:rsidRDefault="00974B5E" w:rsidP="00974B5E">
            <w:pPr>
              <w:pStyle w:val="Body"/>
              <w:spacing w:after="0"/>
              <w:rPr>
                <w:rFonts w:ascii="Arial" w:hAnsi="Arial" w:cs="Arial"/>
              </w:rPr>
            </w:pPr>
            <w:r w:rsidRPr="00974B5E">
              <w:rPr>
                <w:rFonts w:ascii="Arial" w:hAnsi="Arial" w:cs="Arial"/>
              </w:rPr>
              <w:t>6.16±0.42</w:t>
            </w:r>
            <w:r w:rsidRPr="00974B5E">
              <w:rPr>
                <w:rFonts w:ascii="Arial" w:hAnsi="Arial" w:cs="Arial"/>
                <w:vertAlign w:val="superscript"/>
              </w:rPr>
              <w:t>b</w:t>
            </w:r>
          </w:p>
        </w:tc>
        <w:tc>
          <w:tcPr>
            <w:tcW w:w="1716" w:type="dxa"/>
            <w:shd w:val="clear" w:color="auto" w:fill="FFFFFF" w:themeFill="background1"/>
            <w:noWrap/>
            <w:hideMark/>
          </w:tcPr>
          <w:p w14:paraId="22568F1D" w14:textId="77777777" w:rsidR="00974B5E" w:rsidRPr="00974B5E" w:rsidRDefault="00974B5E" w:rsidP="00974B5E">
            <w:pPr>
              <w:pStyle w:val="Body"/>
              <w:spacing w:after="0"/>
              <w:rPr>
                <w:rFonts w:ascii="Arial" w:hAnsi="Arial" w:cs="Arial"/>
              </w:rPr>
            </w:pPr>
            <w:r w:rsidRPr="00974B5E">
              <w:rPr>
                <w:rFonts w:ascii="Arial" w:hAnsi="Arial" w:cs="Arial"/>
              </w:rPr>
              <w:t>7.05±0.59</w:t>
            </w:r>
            <w:r w:rsidRPr="00974B5E">
              <w:rPr>
                <w:rFonts w:ascii="Arial" w:hAnsi="Arial" w:cs="Arial"/>
                <w:vertAlign w:val="superscript"/>
              </w:rPr>
              <w:t>b</w:t>
            </w:r>
          </w:p>
        </w:tc>
      </w:tr>
      <w:tr w:rsidR="00974B5E" w:rsidRPr="00974B5E" w14:paraId="23DC4E84" w14:textId="77777777" w:rsidTr="00974B5E">
        <w:trPr>
          <w:trHeight w:val="354"/>
        </w:trPr>
        <w:tc>
          <w:tcPr>
            <w:tcW w:w="2093" w:type="dxa"/>
            <w:shd w:val="clear" w:color="auto" w:fill="FFFFFF" w:themeFill="background1"/>
            <w:noWrap/>
            <w:hideMark/>
          </w:tcPr>
          <w:p w14:paraId="0BBD0C25" w14:textId="77777777" w:rsidR="00974B5E" w:rsidRPr="00974B5E" w:rsidRDefault="00974B5E" w:rsidP="00974B5E">
            <w:pPr>
              <w:pStyle w:val="Body"/>
              <w:spacing w:after="0"/>
              <w:rPr>
                <w:rFonts w:ascii="Arial" w:hAnsi="Arial" w:cs="Arial"/>
                <w:b/>
              </w:rPr>
            </w:pPr>
            <w:r w:rsidRPr="00974B5E">
              <w:rPr>
                <w:rFonts w:ascii="Arial" w:hAnsi="Arial" w:cs="Arial"/>
                <w:i/>
              </w:rPr>
              <w:t>Salmonella typhi</w:t>
            </w:r>
          </w:p>
        </w:tc>
        <w:tc>
          <w:tcPr>
            <w:tcW w:w="1559" w:type="dxa"/>
            <w:gridSpan w:val="2"/>
            <w:shd w:val="clear" w:color="auto" w:fill="FFFFFF" w:themeFill="background1"/>
            <w:noWrap/>
            <w:hideMark/>
          </w:tcPr>
          <w:p w14:paraId="6E87ACE6" w14:textId="77777777" w:rsidR="00974B5E" w:rsidRPr="00974B5E" w:rsidRDefault="00974B5E" w:rsidP="00974B5E">
            <w:pPr>
              <w:pStyle w:val="Body"/>
              <w:spacing w:after="0"/>
              <w:rPr>
                <w:rFonts w:ascii="Arial" w:hAnsi="Arial" w:cs="Arial"/>
              </w:rPr>
            </w:pPr>
            <w:r w:rsidRPr="00974B5E">
              <w:rPr>
                <w:rFonts w:ascii="Arial" w:hAnsi="Arial" w:cs="Arial"/>
              </w:rPr>
              <w:t>4.39±0.22</w:t>
            </w:r>
            <w:r w:rsidRPr="00974B5E">
              <w:rPr>
                <w:rFonts w:ascii="Arial" w:hAnsi="Arial" w:cs="Arial"/>
                <w:vertAlign w:val="superscript"/>
              </w:rPr>
              <w:t>c</w:t>
            </w:r>
          </w:p>
        </w:tc>
        <w:tc>
          <w:tcPr>
            <w:tcW w:w="1268" w:type="dxa"/>
            <w:shd w:val="clear" w:color="auto" w:fill="FFFFFF" w:themeFill="background1"/>
            <w:noWrap/>
            <w:hideMark/>
          </w:tcPr>
          <w:p w14:paraId="6600DC01" w14:textId="77777777" w:rsidR="00974B5E" w:rsidRPr="00974B5E" w:rsidRDefault="00974B5E" w:rsidP="00974B5E">
            <w:pPr>
              <w:pStyle w:val="Body"/>
              <w:spacing w:after="0"/>
              <w:rPr>
                <w:rFonts w:ascii="Arial" w:hAnsi="Arial" w:cs="Arial"/>
              </w:rPr>
            </w:pPr>
            <w:r w:rsidRPr="00974B5E">
              <w:rPr>
                <w:rFonts w:ascii="Arial" w:hAnsi="Arial" w:cs="Arial"/>
              </w:rPr>
              <w:t>3.51±0.37</w:t>
            </w:r>
            <w:r w:rsidRPr="00974B5E">
              <w:rPr>
                <w:rFonts w:ascii="Arial" w:hAnsi="Arial" w:cs="Arial"/>
                <w:vertAlign w:val="superscript"/>
              </w:rPr>
              <w:t>c</w:t>
            </w:r>
          </w:p>
        </w:tc>
        <w:tc>
          <w:tcPr>
            <w:tcW w:w="1317" w:type="dxa"/>
            <w:shd w:val="clear" w:color="auto" w:fill="FFFFFF" w:themeFill="background1"/>
            <w:noWrap/>
            <w:hideMark/>
          </w:tcPr>
          <w:p w14:paraId="4A04F44B" w14:textId="77777777" w:rsidR="00974B5E" w:rsidRPr="00974B5E" w:rsidRDefault="00974B5E" w:rsidP="00974B5E">
            <w:pPr>
              <w:pStyle w:val="Body"/>
              <w:spacing w:after="0"/>
              <w:rPr>
                <w:rFonts w:ascii="Arial" w:hAnsi="Arial" w:cs="Arial"/>
              </w:rPr>
            </w:pPr>
            <w:r w:rsidRPr="00974B5E">
              <w:rPr>
                <w:rFonts w:ascii="Arial" w:hAnsi="Arial" w:cs="Arial"/>
              </w:rPr>
              <w:t>6.03±0.72</w:t>
            </w:r>
            <w:r w:rsidRPr="00974B5E">
              <w:rPr>
                <w:rFonts w:ascii="Arial" w:hAnsi="Arial" w:cs="Arial"/>
                <w:vertAlign w:val="superscript"/>
              </w:rPr>
              <w:t>b</w:t>
            </w:r>
          </w:p>
        </w:tc>
        <w:tc>
          <w:tcPr>
            <w:tcW w:w="1608" w:type="dxa"/>
            <w:shd w:val="clear" w:color="auto" w:fill="FFFFFF" w:themeFill="background1"/>
            <w:noWrap/>
            <w:hideMark/>
          </w:tcPr>
          <w:p w14:paraId="3B1CCA99" w14:textId="77777777" w:rsidR="00974B5E" w:rsidRPr="00974B5E" w:rsidRDefault="00974B5E" w:rsidP="00974B5E">
            <w:pPr>
              <w:pStyle w:val="Body"/>
              <w:spacing w:after="0"/>
              <w:rPr>
                <w:rFonts w:ascii="Arial" w:hAnsi="Arial" w:cs="Arial"/>
              </w:rPr>
            </w:pPr>
            <w:r w:rsidRPr="00974B5E">
              <w:rPr>
                <w:rFonts w:ascii="Arial" w:hAnsi="Arial" w:cs="Arial"/>
              </w:rPr>
              <w:t>7.33±0.45</w:t>
            </w:r>
            <w:r w:rsidRPr="00974B5E">
              <w:rPr>
                <w:rFonts w:ascii="Arial" w:hAnsi="Arial" w:cs="Arial"/>
                <w:vertAlign w:val="superscript"/>
              </w:rPr>
              <w:t>d</w:t>
            </w:r>
          </w:p>
        </w:tc>
        <w:tc>
          <w:tcPr>
            <w:tcW w:w="1716" w:type="dxa"/>
            <w:shd w:val="clear" w:color="auto" w:fill="FFFFFF" w:themeFill="background1"/>
            <w:noWrap/>
            <w:hideMark/>
          </w:tcPr>
          <w:p w14:paraId="5A9511E4" w14:textId="77777777" w:rsidR="00974B5E" w:rsidRPr="00974B5E" w:rsidRDefault="00974B5E" w:rsidP="00974B5E">
            <w:pPr>
              <w:pStyle w:val="Body"/>
              <w:spacing w:after="0"/>
              <w:rPr>
                <w:rFonts w:ascii="Arial" w:hAnsi="Arial" w:cs="Arial"/>
              </w:rPr>
            </w:pPr>
            <w:r w:rsidRPr="00974B5E">
              <w:rPr>
                <w:rFonts w:ascii="Arial" w:hAnsi="Arial" w:cs="Arial"/>
              </w:rPr>
              <w:t>2.77±0.32</w:t>
            </w:r>
            <w:r w:rsidRPr="00974B5E">
              <w:rPr>
                <w:rFonts w:ascii="Arial" w:hAnsi="Arial" w:cs="Arial"/>
                <w:vertAlign w:val="superscript"/>
              </w:rPr>
              <w:t>c</w:t>
            </w:r>
          </w:p>
        </w:tc>
      </w:tr>
      <w:tr w:rsidR="00974B5E" w:rsidRPr="00974B5E" w14:paraId="596714D4" w14:textId="77777777" w:rsidTr="00974B5E">
        <w:trPr>
          <w:trHeight w:val="354"/>
        </w:trPr>
        <w:tc>
          <w:tcPr>
            <w:tcW w:w="2093" w:type="dxa"/>
            <w:shd w:val="clear" w:color="auto" w:fill="FFFFFF" w:themeFill="background1"/>
            <w:noWrap/>
            <w:hideMark/>
          </w:tcPr>
          <w:p w14:paraId="55BCED00" w14:textId="30528F5C" w:rsidR="00974B5E" w:rsidRPr="00974B5E" w:rsidRDefault="00297E20" w:rsidP="00974B5E">
            <w:pPr>
              <w:pStyle w:val="Body"/>
              <w:spacing w:after="0"/>
              <w:rPr>
                <w:rFonts w:ascii="Arial" w:hAnsi="Arial" w:cs="Arial"/>
                <w:b/>
              </w:rPr>
            </w:pPr>
            <w:r w:rsidRPr="00974B5E">
              <w:rPr>
                <w:rFonts w:ascii="Arial" w:hAnsi="Arial" w:cs="Arial"/>
                <w:i/>
              </w:rPr>
              <w:t>Citrobacter</w:t>
            </w:r>
          </w:p>
        </w:tc>
        <w:tc>
          <w:tcPr>
            <w:tcW w:w="1559" w:type="dxa"/>
            <w:gridSpan w:val="2"/>
            <w:shd w:val="clear" w:color="auto" w:fill="FFFFFF" w:themeFill="background1"/>
            <w:noWrap/>
            <w:hideMark/>
          </w:tcPr>
          <w:p w14:paraId="4BDD0B0A" w14:textId="77777777" w:rsidR="00974B5E" w:rsidRPr="00974B5E" w:rsidRDefault="00974B5E" w:rsidP="00974B5E">
            <w:pPr>
              <w:pStyle w:val="Body"/>
              <w:spacing w:after="0"/>
              <w:rPr>
                <w:rFonts w:ascii="Arial" w:hAnsi="Arial" w:cs="Arial"/>
              </w:rPr>
            </w:pPr>
            <w:r w:rsidRPr="00974B5E">
              <w:rPr>
                <w:rFonts w:ascii="Arial" w:hAnsi="Arial" w:cs="Arial"/>
              </w:rPr>
              <w:t>3.66±0.37</w:t>
            </w:r>
            <w:r w:rsidRPr="00974B5E">
              <w:rPr>
                <w:rFonts w:ascii="Arial" w:hAnsi="Arial" w:cs="Arial"/>
                <w:vertAlign w:val="superscript"/>
              </w:rPr>
              <w:t>b</w:t>
            </w:r>
          </w:p>
        </w:tc>
        <w:tc>
          <w:tcPr>
            <w:tcW w:w="1268" w:type="dxa"/>
            <w:shd w:val="clear" w:color="auto" w:fill="FFFFFF" w:themeFill="background1"/>
            <w:noWrap/>
            <w:hideMark/>
          </w:tcPr>
          <w:p w14:paraId="79FD6A00" w14:textId="77777777" w:rsidR="00974B5E" w:rsidRPr="00974B5E" w:rsidRDefault="00974B5E" w:rsidP="00974B5E">
            <w:pPr>
              <w:pStyle w:val="Body"/>
              <w:spacing w:after="0"/>
              <w:rPr>
                <w:rFonts w:ascii="Arial" w:hAnsi="Arial" w:cs="Arial"/>
              </w:rPr>
            </w:pPr>
            <w:r w:rsidRPr="00974B5E">
              <w:rPr>
                <w:rFonts w:ascii="Arial" w:hAnsi="Arial" w:cs="Arial"/>
              </w:rPr>
              <w:t>4.32±0.41</w:t>
            </w:r>
            <w:r w:rsidRPr="00974B5E">
              <w:rPr>
                <w:rFonts w:ascii="Arial" w:hAnsi="Arial" w:cs="Arial"/>
                <w:vertAlign w:val="superscript"/>
              </w:rPr>
              <w:t>b</w:t>
            </w:r>
          </w:p>
        </w:tc>
        <w:tc>
          <w:tcPr>
            <w:tcW w:w="1317" w:type="dxa"/>
            <w:shd w:val="clear" w:color="auto" w:fill="FFFFFF" w:themeFill="background1"/>
            <w:noWrap/>
            <w:hideMark/>
          </w:tcPr>
          <w:p w14:paraId="09D88D5F" w14:textId="77777777" w:rsidR="00974B5E" w:rsidRPr="00974B5E" w:rsidRDefault="00974B5E" w:rsidP="00974B5E">
            <w:pPr>
              <w:pStyle w:val="Body"/>
              <w:spacing w:after="0"/>
              <w:rPr>
                <w:rFonts w:ascii="Arial" w:hAnsi="Arial" w:cs="Arial"/>
              </w:rPr>
            </w:pPr>
            <w:r w:rsidRPr="00974B5E">
              <w:rPr>
                <w:rFonts w:ascii="Arial" w:hAnsi="Arial" w:cs="Arial"/>
              </w:rPr>
              <w:t>4.39±0.48</w:t>
            </w:r>
            <w:r w:rsidRPr="00974B5E">
              <w:rPr>
                <w:rFonts w:ascii="Arial" w:hAnsi="Arial" w:cs="Arial"/>
                <w:vertAlign w:val="superscript"/>
              </w:rPr>
              <w:t>c</w:t>
            </w:r>
          </w:p>
        </w:tc>
        <w:tc>
          <w:tcPr>
            <w:tcW w:w="1608" w:type="dxa"/>
            <w:shd w:val="clear" w:color="auto" w:fill="FFFFFF" w:themeFill="background1"/>
            <w:noWrap/>
            <w:hideMark/>
          </w:tcPr>
          <w:p w14:paraId="53B4234B" w14:textId="77777777" w:rsidR="00974B5E" w:rsidRPr="00974B5E" w:rsidRDefault="00974B5E" w:rsidP="00974B5E">
            <w:pPr>
              <w:pStyle w:val="Body"/>
              <w:spacing w:after="0"/>
              <w:rPr>
                <w:rFonts w:ascii="Arial" w:hAnsi="Arial" w:cs="Arial"/>
              </w:rPr>
            </w:pPr>
            <w:r w:rsidRPr="00974B5E">
              <w:rPr>
                <w:rFonts w:ascii="Arial" w:hAnsi="Arial" w:cs="Arial"/>
              </w:rPr>
              <w:t>5.19±0.19</w:t>
            </w:r>
            <w:r w:rsidRPr="00974B5E">
              <w:rPr>
                <w:rFonts w:ascii="Arial" w:hAnsi="Arial" w:cs="Arial"/>
                <w:vertAlign w:val="superscript"/>
              </w:rPr>
              <w:t>e</w:t>
            </w:r>
          </w:p>
        </w:tc>
        <w:tc>
          <w:tcPr>
            <w:tcW w:w="1716" w:type="dxa"/>
            <w:shd w:val="clear" w:color="auto" w:fill="FFFFFF" w:themeFill="background1"/>
            <w:noWrap/>
            <w:hideMark/>
          </w:tcPr>
          <w:p w14:paraId="40BACD69" w14:textId="77777777" w:rsidR="00974B5E" w:rsidRPr="00974B5E" w:rsidRDefault="00974B5E" w:rsidP="00974B5E">
            <w:pPr>
              <w:pStyle w:val="Body"/>
              <w:spacing w:after="0"/>
              <w:rPr>
                <w:rFonts w:ascii="Arial" w:hAnsi="Arial" w:cs="Arial"/>
              </w:rPr>
            </w:pPr>
            <w:r w:rsidRPr="00974B5E">
              <w:rPr>
                <w:rFonts w:ascii="Arial" w:hAnsi="Arial" w:cs="Arial"/>
              </w:rPr>
              <w:t>3.03±0.55</w:t>
            </w:r>
            <w:r w:rsidRPr="00974B5E">
              <w:rPr>
                <w:rFonts w:ascii="Arial" w:hAnsi="Arial" w:cs="Arial"/>
                <w:vertAlign w:val="superscript"/>
              </w:rPr>
              <w:t>c</w:t>
            </w:r>
          </w:p>
        </w:tc>
      </w:tr>
      <w:tr w:rsidR="00974B5E" w:rsidRPr="00974B5E" w14:paraId="35CADC15" w14:textId="77777777" w:rsidTr="00974B5E">
        <w:trPr>
          <w:trHeight w:val="409"/>
        </w:trPr>
        <w:tc>
          <w:tcPr>
            <w:tcW w:w="2093" w:type="dxa"/>
            <w:tcBorders>
              <w:bottom w:val="single" w:sz="4" w:space="0" w:color="auto"/>
            </w:tcBorders>
            <w:shd w:val="clear" w:color="auto" w:fill="FFFFFF" w:themeFill="background1"/>
            <w:noWrap/>
            <w:hideMark/>
          </w:tcPr>
          <w:p w14:paraId="6296E121" w14:textId="77777777" w:rsidR="00974B5E" w:rsidRPr="00974B5E" w:rsidRDefault="00974B5E" w:rsidP="00974B5E">
            <w:pPr>
              <w:pStyle w:val="Body"/>
              <w:spacing w:after="0"/>
              <w:rPr>
                <w:rFonts w:ascii="Arial" w:hAnsi="Arial" w:cs="Arial"/>
                <w:b/>
              </w:rPr>
            </w:pPr>
            <w:r w:rsidRPr="00974B5E">
              <w:rPr>
                <w:rFonts w:ascii="Arial" w:hAnsi="Arial" w:cs="Arial"/>
                <w:i/>
              </w:rPr>
              <w:t xml:space="preserve">Shigella </w:t>
            </w:r>
            <w:proofErr w:type="spellStart"/>
            <w:r w:rsidRPr="00974B5E">
              <w:rPr>
                <w:rFonts w:ascii="Arial" w:hAnsi="Arial" w:cs="Arial"/>
                <w:i/>
              </w:rPr>
              <w:t>spp</w:t>
            </w:r>
            <w:proofErr w:type="spellEnd"/>
          </w:p>
        </w:tc>
        <w:tc>
          <w:tcPr>
            <w:tcW w:w="1559" w:type="dxa"/>
            <w:gridSpan w:val="2"/>
            <w:tcBorders>
              <w:bottom w:val="single" w:sz="4" w:space="0" w:color="auto"/>
            </w:tcBorders>
            <w:shd w:val="clear" w:color="auto" w:fill="FFFFFF" w:themeFill="background1"/>
            <w:noWrap/>
            <w:hideMark/>
          </w:tcPr>
          <w:p w14:paraId="5147A034" w14:textId="77777777" w:rsidR="00974B5E" w:rsidRPr="00974B5E" w:rsidRDefault="00974B5E" w:rsidP="00974B5E">
            <w:pPr>
              <w:pStyle w:val="Body"/>
              <w:spacing w:after="0"/>
              <w:rPr>
                <w:rFonts w:ascii="Arial" w:hAnsi="Arial" w:cs="Arial"/>
              </w:rPr>
            </w:pPr>
            <w:r w:rsidRPr="00974B5E">
              <w:rPr>
                <w:rFonts w:ascii="Arial" w:hAnsi="Arial" w:cs="Arial"/>
              </w:rPr>
              <w:t>3.21±0.23</w:t>
            </w:r>
            <w:r w:rsidRPr="00974B5E">
              <w:rPr>
                <w:rFonts w:ascii="Arial" w:hAnsi="Arial" w:cs="Arial"/>
                <w:vertAlign w:val="superscript"/>
              </w:rPr>
              <w:t>b</w:t>
            </w:r>
          </w:p>
        </w:tc>
        <w:tc>
          <w:tcPr>
            <w:tcW w:w="1268" w:type="dxa"/>
            <w:tcBorders>
              <w:bottom w:val="single" w:sz="4" w:space="0" w:color="auto"/>
            </w:tcBorders>
            <w:shd w:val="clear" w:color="auto" w:fill="FFFFFF" w:themeFill="background1"/>
            <w:noWrap/>
            <w:hideMark/>
          </w:tcPr>
          <w:p w14:paraId="43D9D656" w14:textId="77777777" w:rsidR="00974B5E" w:rsidRPr="00974B5E" w:rsidRDefault="00974B5E" w:rsidP="00974B5E">
            <w:pPr>
              <w:pStyle w:val="Body"/>
              <w:spacing w:after="0"/>
              <w:rPr>
                <w:rFonts w:ascii="Arial" w:hAnsi="Arial" w:cs="Arial"/>
              </w:rPr>
            </w:pPr>
            <w:r w:rsidRPr="00974B5E">
              <w:rPr>
                <w:rFonts w:ascii="Arial" w:hAnsi="Arial" w:cs="Arial"/>
              </w:rPr>
              <w:t>5.58±0.34</w:t>
            </w:r>
            <w:r w:rsidRPr="00974B5E">
              <w:rPr>
                <w:rFonts w:ascii="Arial" w:hAnsi="Arial" w:cs="Arial"/>
                <w:vertAlign w:val="superscript"/>
              </w:rPr>
              <w:t>d</w:t>
            </w:r>
          </w:p>
        </w:tc>
        <w:tc>
          <w:tcPr>
            <w:tcW w:w="1317" w:type="dxa"/>
            <w:tcBorders>
              <w:bottom w:val="single" w:sz="4" w:space="0" w:color="auto"/>
            </w:tcBorders>
            <w:shd w:val="clear" w:color="auto" w:fill="FFFFFF" w:themeFill="background1"/>
            <w:noWrap/>
            <w:hideMark/>
          </w:tcPr>
          <w:p w14:paraId="17008D37" w14:textId="77777777" w:rsidR="00974B5E" w:rsidRPr="00974B5E" w:rsidRDefault="00974B5E" w:rsidP="00974B5E">
            <w:pPr>
              <w:pStyle w:val="Body"/>
              <w:spacing w:after="0"/>
              <w:rPr>
                <w:rFonts w:ascii="Arial" w:hAnsi="Arial" w:cs="Arial"/>
              </w:rPr>
            </w:pPr>
            <w:r w:rsidRPr="00974B5E">
              <w:rPr>
                <w:rFonts w:ascii="Arial" w:hAnsi="Arial" w:cs="Arial"/>
              </w:rPr>
              <w:t>3.72±0.43</w:t>
            </w:r>
            <w:r w:rsidRPr="00974B5E">
              <w:rPr>
                <w:rFonts w:ascii="Arial" w:hAnsi="Arial" w:cs="Arial"/>
                <w:vertAlign w:val="superscript"/>
              </w:rPr>
              <w:t>d</w:t>
            </w:r>
          </w:p>
        </w:tc>
        <w:tc>
          <w:tcPr>
            <w:tcW w:w="1608" w:type="dxa"/>
            <w:tcBorders>
              <w:bottom w:val="single" w:sz="4" w:space="0" w:color="auto"/>
            </w:tcBorders>
            <w:shd w:val="clear" w:color="auto" w:fill="FFFFFF" w:themeFill="background1"/>
            <w:noWrap/>
            <w:hideMark/>
          </w:tcPr>
          <w:p w14:paraId="0B364702" w14:textId="77777777" w:rsidR="00974B5E" w:rsidRPr="00974B5E" w:rsidRDefault="00974B5E" w:rsidP="00974B5E">
            <w:pPr>
              <w:pStyle w:val="Body"/>
              <w:spacing w:after="0"/>
              <w:rPr>
                <w:rFonts w:ascii="Arial" w:hAnsi="Arial" w:cs="Arial"/>
              </w:rPr>
            </w:pPr>
            <w:r w:rsidRPr="00974B5E">
              <w:rPr>
                <w:rFonts w:ascii="Arial" w:hAnsi="Arial" w:cs="Arial"/>
              </w:rPr>
              <w:t>4.98±0.33</w:t>
            </w:r>
            <w:r w:rsidRPr="00974B5E">
              <w:rPr>
                <w:rFonts w:ascii="Arial" w:hAnsi="Arial" w:cs="Arial"/>
                <w:vertAlign w:val="superscript"/>
              </w:rPr>
              <w:t>e</w:t>
            </w:r>
          </w:p>
        </w:tc>
        <w:tc>
          <w:tcPr>
            <w:tcW w:w="1716" w:type="dxa"/>
            <w:tcBorders>
              <w:bottom w:val="single" w:sz="4" w:space="0" w:color="auto"/>
            </w:tcBorders>
            <w:shd w:val="clear" w:color="auto" w:fill="FFFFFF" w:themeFill="background1"/>
            <w:noWrap/>
            <w:hideMark/>
          </w:tcPr>
          <w:p w14:paraId="3C4ECAE7" w14:textId="77777777" w:rsidR="00974B5E" w:rsidRPr="00974B5E" w:rsidRDefault="00974B5E" w:rsidP="00974B5E">
            <w:pPr>
              <w:pStyle w:val="Body"/>
              <w:spacing w:after="0"/>
              <w:rPr>
                <w:rFonts w:ascii="Arial" w:hAnsi="Arial" w:cs="Arial"/>
              </w:rPr>
            </w:pPr>
            <w:r w:rsidRPr="00974B5E">
              <w:rPr>
                <w:rFonts w:ascii="Arial" w:hAnsi="Arial" w:cs="Arial"/>
              </w:rPr>
              <w:t>5.83±0.98</w:t>
            </w:r>
            <w:r w:rsidRPr="00974B5E">
              <w:rPr>
                <w:rFonts w:ascii="Arial" w:hAnsi="Arial" w:cs="Arial"/>
                <w:vertAlign w:val="superscript"/>
              </w:rPr>
              <w:t>b</w:t>
            </w:r>
          </w:p>
        </w:tc>
      </w:tr>
    </w:tbl>
    <w:p w14:paraId="4269D524" w14:textId="77777777" w:rsidR="00974B5E" w:rsidRPr="00974B5E" w:rsidRDefault="00974B5E" w:rsidP="00974B5E">
      <w:pPr>
        <w:pStyle w:val="Body"/>
        <w:spacing w:after="0"/>
        <w:rPr>
          <w:rFonts w:ascii="Arial" w:hAnsi="Arial" w:cs="Arial"/>
          <w:bCs/>
          <w:i/>
          <w:iCs/>
          <w:sz w:val="18"/>
          <w:szCs w:val="18"/>
          <w:vertAlign w:val="superscript"/>
        </w:rPr>
      </w:pPr>
      <w:r w:rsidRPr="00974B5E">
        <w:rPr>
          <w:rFonts w:ascii="Arial" w:hAnsi="Arial" w:cs="Arial"/>
          <w:i/>
          <w:iCs/>
          <w:sz w:val="18"/>
          <w:szCs w:val="18"/>
          <w:vertAlign w:val="superscript"/>
        </w:rPr>
        <w:t xml:space="preserve">Values are presented as mean ± standard deviation (n = 3) and values with different superscripts are significantly (P&lt;.05) different from any paired mean within each column. </w:t>
      </w:r>
      <w:r w:rsidRPr="00974B5E">
        <w:rPr>
          <w:rFonts w:ascii="Arial" w:hAnsi="Arial" w:cs="Arial"/>
          <w:bCs/>
          <w:i/>
          <w:iCs/>
          <w:sz w:val="18"/>
          <w:szCs w:val="18"/>
          <w:vertAlign w:val="superscript"/>
        </w:rPr>
        <w:t xml:space="preserve">Means on the same row with different number superscripts are significantly different (P&lt;.05) from any paired mean across the row. </w:t>
      </w:r>
    </w:p>
    <w:p w14:paraId="2C31395A" w14:textId="77777777" w:rsidR="00E053D0" w:rsidRDefault="00E053D0" w:rsidP="00441B6F">
      <w:pPr>
        <w:pStyle w:val="Body"/>
        <w:spacing w:after="0"/>
        <w:rPr>
          <w:rFonts w:ascii="Arial" w:hAnsi="Arial" w:cs="Arial"/>
        </w:rPr>
      </w:pPr>
    </w:p>
    <w:p w14:paraId="7771EBE9" w14:textId="77777777" w:rsidR="00790ADA" w:rsidRPr="00FB3A86" w:rsidRDefault="00790ADA" w:rsidP="00441B6F">
      <w:pPr>
        <w:pStyle w:val="Body"/>
        <w:spacing w:after="0"/>
        <w:rPr>
          <w:rFonts w:ascii="Arial" w:hAnsi="Arial" w:cs="Arial"/>
        </w:rPr>
      </w:pPr>
    </w:p>
    <w:p w14:paraId="68744F0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1083294" w14:textId="77777777" w:rsidR="00790ADA" w:rsidRPr="00FB3A86" w:rsidRDefault="00790ADA" w:rsidP="00441B6F">
      <w:pPr>
        <w:pStyle w:val="ConcHead"/>
        <w:spacing w:after="0"/>
        <w:jc w:val="both"/>
        <w:rPr>
          <w:rFonts w:ascii="Arial" w:hAnsi="Arial" w:cs="Arial"/>
        </w:rPr>
      </w:pPr>
    </w:p>
    <w:p w14:paraId="303DA7D7" w14:textId="0294C449" w:rsidR="00315186" w:rsidRDefault="00B56594" w:rsidP="008E1E5D">
      <w:pPr>
        <w:pStyle w:val="Body"/>
        <w:rPr>
          <w:rFonts w:ascii="Arial" w:hAnsi="Arial" w:cs="Arial"/>
        </w:rPr>
      </w:pPr>
      <w:r w:rsidRPr="00B56594">
        <w:rPr>
          <w:rFonts w:ascii="Arial" w:hAnsi="Arial" w:cs="Arial"/>
        </w:rPr>
        <w:t xml:space="preserve">The findings of this study confirm that </w:t>
      </w:r>
      <w:r w:rsidRPr="00B56594">
        <w:rPr>
          <w:rFonts w:ascii="Arial" w:hAnsi="Arial" w:cs="Arial"/>
          <w:i/>
          <w:iCs/>
        </w:rPr>
        <w:t xml:space="preserve">Combretum </w:t>
      </w:r>
      <w:proofErr w:type="spellStart"/>
      <w:r w:rsidRPr="00B56594">
        <w:rPr>
          <w:rFonts w:ascii="Arial" w:hAnsi="Arial" w:cs="Arial"/>
          <w:i/>
          <w:iCs/>
        </w:rPr>
        <w:t>hispidum</w:t>
      </w:r>
      <w:proofErr w:type="spellEnd"/>
      <w:r w:rsidRPr="00B56594">
        <w:rPr>
          <w:rFonts w:ascii="Arial" w:hAnsi="Arial" w:cs="Arial"/>
          <w:i/>
          <w:iCs/>
        </w:rPr>
        <w:t xml:space="preserve"> </w:t>
      </w:r>
      <w:r w:rsidRPr="00B56594">
        <w:rPr>
          <w:rFonts w:ascii="Arial" w:hAnsi="Arial" w:cs="Arial"/>
        </w:rPr>
        <w:t xml:space="preserve">leaf extract contains diverse bioactive phytochemicals, with alkaloids, flavonoids, phenols, and saponins being the most abundant. These compounds likely contribute to its observed antimicrobial effects. The extract demonstrated dose-dependent inhibitory activity against multiple Gram-negative pathogens, reinforcing its ethnomedicinal use in treating infections. While its antimicrobial potency was moderate, the results support </w:t>
      </w:r>
      <w:r w:rsidRPr="00B56594">
        <w:rPr>
          <w:rFonts w:ascii="Arial" w:hAnsi="Arial" w:cs="Arial"/>
          <w:i/>
          <w:iCs/>
        </w:rPr>
        <w:t xml:space="preserve">C. </w:t>
      </w:r>
      <w:proofErr w:type="spellStart"/>
      <w:r w:rsidRPr="00B56594">
        <w:rPr>
          <w:rFonts w:ascii="Arial" w:hAnsi="Arial" w:cs="Arial"/>
          <w:i/>
          <w:iCs/>
        </w:rPr>
        <w:t>hispidum</w:t>
      </w:r>
      <w:proofErr w:type="spellEnd"/>
      <w:r w:rsidRPr="00B56594">
        <w:rPr>
          <w:rFonts w:ascii="Arial" w:hAnsi="Arial" w:cs="Arial"/>
          <w:i/>
          <w:iCs/>
        </w:rPr>
        <w:t xml:space="preserve"> </w:t>
      </w:r>
      <w:r w:rsidRPr="00B56594">
        <w:rPr>
          <w:rFonts w:ascii="Arial" w:hAnsi="Arial" w:cs="Arial"/>
        </w:rPr>
        <w:t>as a promising source of plant-based antimicrobial agents and provide a foundation for further pharmacological and toxicological investigations.</w:t>
      </w:r>
    </w:p>
    <w:p w14:paraId="203AD1DA" w14:textId="0B916DEB" w:rsidR="00366E00" w:rsidRDefault="00366E00" w:rsidP="008E1E5D">
      <w:pPr>
        <w:pStyle w:val="Body"/>
        <w:rPr>
          <w:rFonts w:ascii="Arial" w:hAnsi="Arial" w:cs="Arial"/>
        </w:rPr>
      </w:pPr>
    </w:p>
    <w:p w14:paraId="6532930E" w14:textId="60407340" w:rsidR="00366E00" w:rsidRDefault="00366E00" w:rsidP="008E1E5D">
      <w:pPr>
        <w:pStyle w:val="Body"/>
        <w:rPr>
          <w:rFonts w:ascii="Arial" w:hAnsi="Arial" w:cs="Arial"/>
        </w:rPr>
      </w:pPr>
    </w:p>
    <w:p w14:paraId="2D8935C2" w14:textId="77777777" w:rsidR="00486A28" w:rsidRPr="00FE7640" w:rsidRDefault="00486A28" w:rsidP="00486A28">
      <w:pPr>
        <w:rPr>
          <w:rFonts w:ascii="Calibri" w:eastAsia="Calibri" w:hAnsi="Calibri"/>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kern w:val="2"/>
          <w:highlight w:val="yellow"/>
        </w:rPr>
        <w:t>Disclaimer (Artificial intelligence)</w:t>
      </w:r>
    </w:p>
    <w:p w14:paraId="03E02407" w14:textId="77777777" w:rsidR="00486A28" w:rsidRPr="009C5487" w:rsidRDefault="00486A28" w:rsidP="00486A28">
      <w:pPr>
        <w:rPr>
          <w:rFonts w:ascii="Calibri" w:eastAsia="Calibri" w:hAnsi="Calibri"/>
          <w:kern w:val="2"/>
          <w:highlight w:val="yellow"/>
        </w:rPr>
      </w:pPr>
      <w:r w:rsidRPr="009C5487">
        <w:rPr>
          <w:rFonts w:ascii="Calibri" w:eastAsia="Calibri" w:hAnsi="Calibri"/>
          <w:kern w:val="2"/>
          <w:highlight w:val="yellow"/>
        </w:rPr>
        <w:t xml:space="preserve">Option 1: </w:t>
      </w:r>
    </w:p>
    <w:p w14:paraId="48D2DE22" w14:textId="77777777" w:rsidR="00486A28" w:rsidRPr="009C5487" w:rsidRDefault="00486A28" w:rsidP="00486A28">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5CA0A407" w14:textId="77777777" w:rsidR="00486A28" w:rsidRPr="009C5487" w:rsidRDefault="00486A28" w:rsidP="00486A28">
      <w:pPr>
        <w:rPr>
          <w:rFonts w:ascii="Calibri" w:eastAsia="Calibri" w:hAnsi="Calibri"/>
          <w:kern w:val="2"/>
          <w:highlight w:val="yellow"/>
        </w:rPr>
      </w:pPr>
      <w:r w:rsidRPr="009C5487">
        <w:rPr>
          <w:rFonts w:ascii="Calibri" w:eastAsia="Calibri" w:hAnsi="Calibri"/>
          <w:kern w:val="2"/>
          <w:highlight w:val="yellow"/>
        </w:rPr>
        <w:t xml:space="preserve">Option 2: </w:t>
      </w:r>
    </w:p>
    <w:p w14:paraId="19C18D0B" w14:textId="77777777" w:rsidR="00486A28" w:rsidRPr="009C5487" w:rsidRDefault="00486A28" w:rsidP="00486A28">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14C9313" w14:textId="77777777" w:rsidR="00486A28" w:rsidRPr="009C5487" w:rsidRDefault="00486A28" w:rsidP="00486A28">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61B2FC98" w14:textId="77777777" w:rsidR="00486A28" w:rsidRPr="009C5487" w:rsidRDefault="00486A28" w:rsidP="00486A28">
      <w:pPr>
        <w:rPr>
          <w:rFonts w:ascii="Calibri" w:eastAsia="Calibri" w:hAnsi="Calibri"/>
          <w:kern w:val="2"/>
          <w:highlight w:val="yellow"/>
        </w:rPr>
      </w:pPr>
      <w:r w:rsidRPr="009C5487">
        <w:rPr>
          <w:rFonts w:ascii="Calibri" w:eastAsia="Calibri" w:hAnsi="Calibri"/>
          <w:kern w:val="2"/>
          <w:highlight w:val="yellow"/>
        </w:rPr>
        <w:t>1.</w:t>
      </w:r>
    </w:p>
    <w:p w14:paraId="2A913201" w14:textId="77777777" w:rsidR="00486A28" w:rsidRPr="009C5487" w:rsidRDefault="00486A28" w:rsidP="00486A28">
      <w:pPr>
        <w:rPr>
          <w:rFonts w:ascii="Calibri" w:eastAsia="Calibri" w:hAnsi="Calibri"/>
          <w:kern w:val="2"/>
          <w:highlight w:val="yellow"/>
        </w:rPr>
      </w:pPr>
      <w:r w:rsidRPr="009C5487">
        <w:rPr>
          <w:rFonts w:ascii="Calibri" w:eastAsia="Calibri" w:hAnsi="Calibri"/>
          <w:kern w:val="2"/>
          <w:highlight w:val="yellow"/>
        </w:rPr>
        <w:t>2.</w:t>
      </w:r>
      <w:bookmarkEnd w:id="0"/>
    </w:p>
    <w:p w14:paraId="1F382196" w14:textId="77777777" w:rsidR="00486A28" w:rsidRPr="009C5487" w:rsidRDefault="00486A28" w:rsidP="00486A28">
      <w:pPr>
        <w:rPr>
          <w:rFonts w:ascii="Calibri" w:eastAsia="Calibri" w:hAnsi="Calibri"/>
          <w:kern w:val="2"/>
        </w:rPr>
      </w:pPr>
      <w:r w:rsidRPr="009C5487">
        <w:rPr>
          <w:rFonts w:ascii="Calibri" w:eastAsia="Calibri" w:hAnsi="Calibri"/>
          <w:kern w:val="2"/>
          <w:highlight w:val="yellow"/>
        </w:rPr>
        <w:lastRenderedPageBreak/>
        <w:t>3.</w:t>
      </w:r>
      <w:bookmarkEnd w:id="1"/>
    </w:p>
    <w:bookmarkEnd w:id="2"/>
    <w:bookmarkEnd w:id="3"/>
    <w:bookmarkEnd w:id="4"/>
    <w:p w14:paraId="23923F0F" w14:textId="77777777" w:rsidR="00366E00" w:rsidRPr="008E1E5D" w:rsidRDefault="00366E00" w:rsidP="008E1E5D">
      <w:pPr>
        <w:pStyle w:val="Body"/>
        <w:rPr>
          <w:rFonts w:ascii="Arial" w:hAnsi="Arial" w:cs="Arial"/>
        </w:rPr>
      </w:pPr>
    </w:p>
    <w:p w14:paraId="485CA8A4" w14:textId="77777777" w:rsidR="00315186" w:rsidRPr="00315186" w:rsidRDefault="00315186" w:rsidP="00441B6F"/>
    <w:p w14:paraId="7FE83E48" w14:textId="77777777" w:rsidR="00860000" w:rsidRDefault="00860000" w:rsidP="00441B6F">
      <w:pPr>
        <w:pStyle w:val="ReferHead"/>
        <w:spacing w:after="0"/>
        <w:jc w:val="both"/>
        <w:rPr>
          <w:rFonts w:ascii="Arial" w:hAnsi="Arial" w:cs="Arial"/>
        </w:rPr>
      </w:pPr>
    </w:p>
    <w:p w14:paraId="0BAA3C6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C17C15A" w14:textId="77777777" w:rsidR="00E769F6" w:rsidRPr="002C57D2" w:rsidRDefault="00E769F6" w:rsidP="00441B6F">
      <w:pPr>
        <w:pStyle w:val="Body"/>
        <w:spacing w:after="0"/>
        <w:rPr>
          <w:rFonts w:ascii="Arial" w:hAnsi="Arial" w:cs="Arial"/>
        </w:rPr>
      </w:pPr>
    </w:p>
    <w:p w14:paraId="19D4E60C" w14:textId="77777777" w:rsidR="00122BAB" w:rsidRPr="00122BAB" w:rsidRDefault="00122BAB" w:rsidP="00122BAB">
      <w:pPr>
        <w:pStyle w:val="Body"/>
        <w:numPr>
          <w:ilvl w:val="0"/>
          <w:numId w:val="31"/>
        </w:numPr>
        <w:spacing w:after="0"/>
      </w:pPr>
      <w:r w:rsidRPr="00122BAB">
        <w:t xml:space="preserve">World Health Organization. (2018). </w:t>
      </w:r>
      <w:r w:rsidRPr="00122BAB">
        <w:rPr>
          <w:i/>
          <w:iCs/>
        </w:rPr>
        <w:t>Traditional and complementary medicine in primary health care</w:t>
      </w:r>
      <w:r w:rsidRPr="00122BAB">
        <w:t xml:space="preserve"> (WHO/HIS/SDS/2018.37). </w:t>
      </w:r>
      <w:hyperlink r:id="rId35" w:history="1">
        <w:r w:rsidRPr="00122BAB">
          <w:rPr>
            <w:rStyle w:val="Hyperlink"/>
          </w:rPr>
          <w:t>https://iris.who.int/bitstream/handle/10665/326299/WHO-HIS-SDS-2018.37-eng.pdf?sequence=1</w:t>
        </w:r>
      </w:hyperlink>
    </w:p>
    <w:p w14:paraId="178A1960" w14:textId="7666275E" w:rsidR="00122BAB" w:rsidRPr="00122BAB" w:rsidRDefault="00122BAB" w:rsidP="00122BAB">
      <w:pPr>
        <w:pStyle w:val="Body"/>
        <w:numPr>
          <w:ilvl w:val="0"/>
          <w:numId w:val="31"/>
        </w:numPr>
        <w:spacing w:after="0"/>
      </w:pPr>
      <w:r w:rsidRPr="00122BAB">
        <w:t xml:space="preserve">Akinyemi, O., Oyewole, S. O., </w:t>
      </w:r>
      <w:r w:rsidR="009B1998">
        <w:t>and</w:t>
      </w:r>
      <w:r w:rsidRPr="00122BAB">
        <w:t xml:space="preserve"> Jimoh, K. A. (2018). Medicinal plants and sustainable human health: a review. </w:t>
      </w:r>
      <w:r w:rsidRPr="00122BAB">
        <w:rPr>
          <w:i/>
          <w:iCs/>
        </w:rPr>
        <w:t>Horticulture International Journal</w:t>
      </w:r>
      <w:r w:rsidRPr="00122BAB">
        <w:t>, 2(4), 194–195.</w:t>
      </w:r>
    </w:p>
    <w:p w14:paraId="27FC4880" w14:textId="77777777" w:rsidR="00122BAB" w:rsidRPr="00122BAB" w:rsidRDefault="00122BAB" w:rsidP="00122BAB">
      <w:pPr>
        <w:pStyle w:val="Body"/>
        <w:numPr>
          <w:ilvl w:val="0"/>
          <w:numId w:val="31"/>
        </w:numPr>
        <w:spacing w:after="0"/>
      </w:pPr>
      <w:r w:rsidRPr="00122BAB">
        <w:t xml:space="preserve">Monib, P. N. A. W. (2024). The role of plants in traditional and modern medicine. </w:t>
      </w:r>
      <w:r w:rsidRPr="00122BAB">
        <w:rPr>
          <w:i/>
          <w:iCs/>
        </w:rPr>
        <w:t>Journal of Pharmacognosy and Phytochemistry</w:t>
      </w:r>
      <w:r w:rsidRPr="00122BAB">
        <w:t>, 13(2), 643–647.</w:t>
      </w:r>
    </w:p>
    <w:p w14:paraId="14761B10" w14:textId="7479BCC0" w:rsidR="00122BAB" w:rsidRPr="00122BAB" w:rsidRDefault="00122BAB" w:rsidP="00122BAB">
      <w:pPr>
        <w:pStyle w:val="Body"/>
        <w:numPr>
          <w:ilvl w:val="0"/>
          <w:numId w:val="31"/>
        </w:numPr>
        <w:spacing w:after="0"/>
      </w:pPr>
      <w:proofErr w:type="spellStart"/>
      <w:r w:rsidRPr="00122BAB">
        <w:t>Karunamoorthi</w:t>
      </w:r>
      <w:proofErr w:type="spellEnd"/>
      <w:r w:rsidRPr="00122BAB">
        <w:t xml:space="preserve">, K., </w:t>
      </w:r>
      <w:proofErr w:type="spellStart"/>
      <w:r w:rsidRPr="00122BAB">
        <w:t>Jegajeevanram</w:t>
      </w:r>
      <w:proofErr w:type="spellEnd"/>
      <w:r w:rsidRPr="00122BAB">
        <w:t xml:space="preserve">, K., Vijayalakshmi, J., </w:t>
      </w:r>
      <w:r w:rsidR="009B1998">
        <w:t>and</w:t>
      </w:r>
      <w:r w:rsidRPr="00122BAB">
        <w:t xml:space="preserve"> </w:t>
      </w:r>
      <w:proofErr w:type="spellStart"/>
      <w:r w:rsidRPr="00122BAB">
        <w:t>Mengistie</w:t>
      </w:r>
      <w:proofErr w:type="spellEnd"/>
      <w:r w:rsidRPr="00122BAB">
        <w:t xml:space="preserve">, E. (2013). Traditional medicinal plants: a source of </w:t>
      </w:r>
      <w:proofErr w:type="spellStart"/>
      <w:r w:rsidRPr="00122BAB">
        <w:t>phytotherapeutic</w:t>
      </w:r>
      <w:proofErr w:type="spellEnd"/>
      <w:r w:rsidRPr="00122BAB">
        <w:t xml:space="preserve"> modality in resource-constrained health care settings. </w:t>
      </w:r>
      <w:r w:rsidRPr="00122BAB">
        <w:rPr>
          <w:i/>
          <w:iCs/>
        </w:rPr>
        <w:t>Journal of Evidence-Based Complementary and Alternative Medicine</w:t>
      </w:r>
      <w:r w:rsidRPr="00122BAB">
        <w:t>, 18(1), 67–74.</w:t>
      </w:r>
    </w:p>
    <w:p w14:paraId="11F8F002" w14:textId="77777777" w:rsidR="00122BAB" w:rsidRPr="00122BAB" w:rsidRDefault="00122BAB" w:rsidP="00122BAB">
      <w:pPr>
        <w:pStyle w:val="Body"/>
        <w:numPr>
          <w:ilvl w:val="0"/>
          <w:numId w:val="31"/>
        </w:numPr>
        <w:spacing w:after="0"/>
      </w:pPr>
      <w:r w:rsidRPr="00122BAB">
        <w:t xml:space="preserve">IUCN. (2023). </w:t>
      </w:r>
      <w:r w:rsidRPr="00122BAB">
        <w:rPr>
          <w:i/>
          <w:iCs/>
        </w:rPr>
        <w:t>Cultural practice: Collection of medicinal plants</w:t>
      </w:r>
      <w:r w:rsidRPr="00122BAB">
        <w:t xml:space="preserve"> [PDF]. </w:t>
      </w:r>
      <w:hyperlink r:id="rId36" w:history="1">
        <w:r w:rsidRPr="00122BAB">
          <w:rPr>
            <w:rStyle w:val="Hyperlink"/>
          </w:rPr>
          <w:t>https://iucn.org/sites/default/files/2023-05/practice_c.medicinal-plants_final.pdf</w:t>
        </w:r>
      </w:hyperlink>
    </w:p>
    <w:p w14:paraId="161C433D" w14:textId="431F396C" w:rsidR="00122BAB" w:rsidRPr="00122BAB" w:rsidRDefault="00122BAB" w:rsidP="00122BAB">
      <w:pPr>
        <w:pStyle w:val="Body"/>
        <w:numPr>
          <w:ilvl w:val="0"/>
          <w:numId w:val="31"/>
        </w:numPr>
        <w:spacing w:after="0"/>
      </w:pPr>
      <w:r w:rsidRPr="00122BAB">
        <w:t xml:space="preserve">Gu, R., Wang, Y., Long, B., Kennelly, E., Wu, S., Liu, B., ... </w:t>
      </w:r>
      <w:r w:rsidR="009B1998">
        <w:t>and</w:t>
      </w:r>
      <w:r w:rsidRPr="00122BAB">
        <w:t xml:space="preserve"> Long, C. (2014). Prospecting for bioactive constituents from traditional medicinal plants through ethnobotanical approaches. </w:t>
      </w:r>
      <w:r w:rsidRPr="00122BAB">
        <w:rPr>
          <w:i/>
          <w:iCs/>
        </w:rPr>
        <w:t>Biological and Pharmaceutical Bulletin</w:t>
      </w:r>
      <w:r w:rsidRPr="00122BAB">
        <w:t>, 37(6), 903–915.</w:t>
      </w:r>
    </w:p>
    <w:p w14:paraId="554C2BB6" w14:textId="0962C969" w:rsidR="00122BAB" w:rsidRPr="00122BAB" w:rsidRDefault="00122BAB" w:rsidP="00122BAB">
      <w:pPr>
        <w:pStyle w:val="Body"/>
        <w:numPr>
          <w:ilvl w:val="0"/>
          <w:numId w:val="31"/>
        </w:numPr>
        <w:spacing w:after="0"/>
      </w:pPr>
      <w:r w:rsidRPr="00122BAB">
        <w:t xml:space="preserve">Murray, C. J., Ikuta, K. S., Sharara, F., </w:t>
      </w:r>
      <w:proofErr w:type="spellStart"/>
      <w:r w:rsidRPr="00122BAB">
        <w:t>Swetschinski</w:t>
      </w:r>
      <w:proofErr w:type="spellEnd"/>
      <w:r w:rsidRPr="00122BAB">
        <w:t xml:space="preserve">, L., Aguilar, G. R., Gray, A., ... </w:t>
      </w:r>
      <w:r w:rsidR="009B1998">
        <w:t>and</w:t>
      </w:r>
      <w:r w:rsidRPr="00122BAB">
        <w:t xml:space="preserve"> Tasak, N. (2022). Global burden of bacterial antimicrobial resistance in 2019: a systematic analysis. </w:t>
      </w:r>
      <w:r w:rsidRPr="00122BAB">
        <w:rPr>
          <w:i/>
          <w:iCs/>
        </w:rPr>
        <w:t>The Lancet</w:t>
      </w:r>
      <w:r w:rsidRPr="00122BAB">
        <w:t>, 399(10325), 629–655.</w:t>
      </w:r>
    </w:p>
    <w:p w14:paraId="6635D9EE" w14:textId="6EAEA30A" w:rsidR="00122BAB" w:rsidRPr="00122BAB" w:rsidRDefault="00122BAB" w:rsidP="00122BAB">
      <w:pPr>
        <w:pStyle w:val="Body"/>
        <w:numPr>
          <w:ilvl w:val="0"/>
          <w:numId w:val="31"/>
        </w:numPr>
        <w:spacing w:after="0"/>
      </w:pPr>
      <w:r w:rsidRPr="00122BAB">
        <w:t xml:space="preserve">Chanel, S., </w:t>
      </w:r>
      <w:r w:rsidR="009B1998">
        <w:t>and</w:t>
      </w:r>
      <w:r w:rsidRPr="00122BAB">
        <w:t xml:space="preserve"> Doherty, B. (2020, September 10). 'Superbugs' a far greater risk than Covid in Pacific, scientist warns. </w:t>
      </w:r>
      <w:r w:rsidRPr="00122BAB">
        <w:rPr>
          <w:i/>
          <w:iCs/>
        </w:rPr>
        <w:t>The Guardian</w:t>
      </w:r>
      <w:r w:rsidRPr="00122BAB">
        <w:t xml:space="preserve">. </w:t>
      </w:r>
      <w:hyperlink r:id="rId37" w:history="1">
        <w:r w:rsidRPr="00122BAB">
          <w:rPr>
            <w:rStyle w:val="Hyperlink"/>
          </w:rPr>
          <w:t>https://www.theguardian.com</w:t>
        </w:r>
      </w:hyperlink>
    </w:p>
    <w:p w14:paraId="3AF6601E" w14:textId="77777777" w:rsidR="00122BAB" w:rsidRPr="00122BAB" w:rsidRDefault="00122BAB" w:rsidP="00122BAB">
      <w:pPr>
        <w:pStyle w:val="Body"/>
        <w:numPr>
          <w:ilvl w:val="0"/>
          <w:numId w:val="31"/>
        </w:numPr>
        <w:spacing w:after="0"/>
      </w:pPr>
      <w:r w:rsidRPr="00122BAB">
        <w:t xml:space="preserve">Robino, I. (2024). Exploring natural sources for new antibiotics. </w:t>
      </w:r>
      <w:r w:rsidRPr="00122BAB">
        <w:rPr>
          <w:i/>
          <w:iCs/>
        </w:rPr>
        <w:t>Journal of Antimicrobial Agents</w:t>
      </w:r>
      <w:r w:rsidRPr="00122BAB">
        <w:t>, 10(1), 366.</w:t>
      </w:r>
    </w:p>
    <w:p w14:paraId="18D244E1" w14:textId="047BB2A3" w:rsidR="00122BAB" w:rsidRPr="00122BAB" w:rsidRDefault="00122BAB" w:rsidP="00122BAB">
      <w:pPr>
        <w:pStyle w:val="Body"/>
        <w:numPr>
          <w:ilvl w:val="0"/>
          <w:numId w:val="31"/>
        </w:numPr>
        <w:spacing w:after="0"/>
      </w:pPr>
      <w:proofErr w:type="spellStart"/>
      <w:r w:rsidRPr="00122BAB">
        <w:t>Ushie</w:t>
      </w:r>
      <w:proofErr w:type="spellEnd"/>
      <w:r w:rsidRPr="00122BAB">
        <w:t xml:space="preserve">, O. A., Neji, P. A., </w:t>
      </w:r>
      <w:proofErr w:type="spellStart"/>
      <w:r w:rsidRPr="00122BAB">
        <w:t>Longbap</w:t>
      </w:r>
      <w:proofErr w:type="spellEnd"/>
      <w:r w:rsidRPr="00122BAB">
        <w:t xml:space="preserve">, B. D., </w:t>
      </w:r>
      <w:proofErr w:type="spellStart"/>
      <w:r w:rsidRPr="00122BAB">
        <w:t>Shibdawa</w:t>
      </w:r>
      <w:proofErr w:type="spellEnd"/>
      <w:r w:rsidRPr="00122BAB">
        <w:t xml:space="preserve">, M. A., </w:t>
      </w:r>
      <w:r w:rsidR="009B1998">
        <w:t>and</w:t>
      </w:r>
      <w:r w:rsidRPr="00122BAB">
        <w:t xml:space="preserve"> </w:t>
      </w:r>
      <w:proofErr w:type="spellStart"/>
      <w:r w:rsidRPr="00122BAB">
        <w:t>Apeh</w:t>
      </w:r>
      <w:proofErr w:type="spellEnd"/>
      <w:r w:rsidRPr="00122BAB">
        <w:t xml:space="preserve">, O. B. (2019). Comparative estimation of alkaloids, flavonoids and saponin in selected medicinal plants in Taraba State. </w:t>
      </w:r>
      <w:proofErr w:type="spellStart"/>
      <w:r w:rsidRPr="00122BAB">
        <w:rPr>
          <w:i/>
          <w:iCs/>
        </w:rPr>
        <w:t>Dutse</w:t>
      </w:r>
      <w:proofErr w:type="spellEnd"/>
      <w:r w:rsidRPr="00122BAB">
        <w:rPr>
          <w:i/>
          <w:iCs/>
        </w:rPr>
        <w:t xml:space="preserve"> Journal of Pure and Applied Sciences (DUJOPAS)</w:t>
      </w:r>
      <w:r w:rsidRPr="00122BAB">
        <w:t>, 5(1b), 123–131.</w:t>
      </w:r>
    </w:p>
    <w:p w14:paraId="55A92761" w14:textId="1FDE5A9F" w:rsidR="00122BAB" w:rsidRPr="00122BAB" w:rsidRDefault="00122BAB" w:rsidP="00122BAB">
      <w:pPr>
        <w:pStyle w:val="Body"/>
        <w:numPr>
          <w:ilvl w:val="0"/>
          <w:numId w:val="31"/>
        </w:numPr>
        <w:spacing w:after="0"/>
      </w:pPr>
      <w:r w:rsidRPr="00122BAB">
        <w:t xml:space="preserve">Sweet, R., Booth, C., Gotts, K., Grove, S. F., Kroon, P. A., </w:t>
      </w:r>
      <w:r w:rsidR="009B1998">
        <w:t>and</w:t>
      </w:r>
      <w:r w:rsidRPr="00122BAB">
        <w:t xml:space="preserve"> Webber, M. (2023). Comparison of antibacterial activity of phytochemicals against common foodborne pathogens and potential for selection of resistance. </w:t>
      </w:r>
      <w:r w:rsidRPr="00122BAB">
        <w:rPr>
          <w:i/>
          <w:iCs/>
        </w:rPr>
        <w:t>Microorganisms</w:t>
      </w:r>
      <w:r w:rsidRPr="00122BAB">
        <w:t>, 11(10), 2495.</w:t>
      </w:r>
    </w:p>
    <w:p w14:paraId="5558A48E" w14:textId="3A70E80B" w:rsidR="00122BAB" w:rsidRPr="00122BAB" w:rsidRDefault="00122BAB" w:rsidP="00122BAB">
      <w:pPr>
        <w:pStyle w:val="Body"/>
        <w:numPr>
          <w:ilvl w:val="0"/>
          <w:numId w:val="31"/>
        </w:numPr>
        <w:spacing w:after="0"/>
      </w:pPr>
      <w:r w:rsidRPr="00122BAB">
        <w:t xml:space="preserve">Nascimento, G. G., Locatelli, J., Freitas, P. C., </w:t>
      </w:r>
      <w:r w:rsidR="009B1998">
        <w:t>and</w:t>
      </w:r>
      <w:r w:rsidRPr="00122BAB">
        <w:t xml:space="preserve"> Silva, G. L. (2000). Antibacterial activity of plant extracts and phytochemicals on antibiotic-resistant bacteria. </w:t>
      </w:r>
      <w:r w:rsidRPr="00122BAB">
        <w:rPr>
          <w:i/>
          <w:iCs/>
        </w:rPr>
        <w:t>Brazilian Journal of Microbiology</w:t>
      </w:r>
      <w:r w:rsidRPr="00122BAB">
        <w:t>, 31, 247–256.</w:t>
      </w:r>
    </w:p>
    <w:p w14:paraId="44ADC024" w14:textId="6CC04855" w:rsidR="00122BAB" w:rsidRPr="00122BAB" w:rsidRDefault="00122BAB" w:rsidP="00122BAB">
      <w:pPr>
        <w:pStyle w:val="Body"/>
        <w:numPr>
          <w:ilvl w:val="0"/>
          <w:numId w:val="31"/>
        </w:numPr>
        <w:spacing w:after="0"/>
      </w:pPr>
      <w:proofErr w:type="spellStart"/>
      <w:r w:rsidRPr="00122BAB">
        <w:t>Ogbole</w:t>
      </w:r>
      <w:proofErr w:type="spellEnd"/>
      <w:r w:rsidRPr="00122BAB">
        <w:t xml:space="preserve">, O. O., Ayeni, F. A., </w:t>
      </w:r>
      <w:r w:rsidR="009B1998">
        <w:t>and</w:t>
      </w:r>
      <w:r w:rsidRPr="00122BAB">
        <w:t xml:space="preserve"> </w:t>
      </w:r>
      <w:proofErr w:type="spellStart"/>
      <w:r w:rsidRPr="00122BAB">
        <w:t>Ajaiyeoba</w:t>
      </w:r>
      <w:proofErr w:type="spellEnd"/>
      <w:r w:rsidRPr="00122BAB">
        <w:t xml:space="preserve">, E. O. (2016). In-vitro antibacterial screening of methanol extracts of three Combretum species against seven strains of methicillin resistant </w:t>
      </w:r>
      <w:r w:rsidRPr="00122BAB">
        <w:rPr>
          <w:i/>
          <w:iCs/>
        </w:rPr>
        <w:t>Staphylococcus aureus</w:t>
      </w:r>
      <w:r w:rsidRPr="00122BAB">
        <w:t xml:space="preserve"> (MRSA). </w:t>
      </w:r>
      <w:r w:rsidRPr="00122BAB">
        <w:rPr>
          <w:i/>
          <w:iCs/>
        </w:rPr>
        <w:t>Nigerian Journal of Pharmaceutical Research</w:t>
      </w:r>
      <w:r w:rsidRPr="00122BAB">
        <w:t>, 12(2), 149–154.</w:t>
      </w:r>
    </w:p>
    <w:p w14:paraId="58B0F5C6" w14:textId="553F0C4F" w:rsidR="00122BAB" w:rsidRPr="00122BAB" w:rsidRDefault="00122BAB" w:rsidP="00122BAB">
      <w:pPr>
        <w:pStyle w:val="Body"/>
        <w:numPr>
          <w:ilvl w:val="0"/>
          <w:numId w:val="31"/>
        </w:numPr>
        <w:spacing w:after="0"/>
      </w:pPr>
      <w:r w:rsidRPr="00122BAB">
        <w:t xml:space="preserve">de Morais Lima, G. R., De Sales, I. R. P., Caldas Filho, M. R. D., De Jesus, N. Z. T., de Sousa Falcão, H., Barbosa-Filho, J. M., ... </w:t>
      </w:r>
      <w:r w:rsidR="009B1998">
        <w:t>and</w:t>
      </w:r>
      <w:r w:rsidRPr="00122BAB">
        <w:t xml:space="preserve"> Batista, L. M. (2012). Bioactivities of the genus </w:t>
      </w:r>
      <w:r w:rsidRPr="00122BAB">
        <w:rPr>
          <w:i/>
          <w:iCs/>
        </w:rPr>
        <w:t>Combretum</w:t>
      </w:r>
      <w:r w:rsidRPr="00122BAB">
        <w:t xml:space="preserve"> (</w:t>
      </w:r>
      <w:proofErr w:type="spellStart"/>
      <w:r w:rsidRPr="00122BAB">
        <w:t>Combretaceae</w:t>
      </w:r>
      <w:proofErr w:type="spellEnd"/>
      <w:r w:rsidRPr="00122BAB">
        <w:t xml:space="preserve">): a review. </w:t>
      </w:r>
      <w:r w:rsidRPr="00122BAB">
        <w:rPr>
          <w:i/>
          <w:iCs/>
        </w:rPr>
        <w:t>Molecules</w:t>
      </w:r>
      <w:r w:rsidRPr="00122BAB">
        <w:t>, 17(8), 9142–9206.</w:t>
      </w:r>
    </w:p>
    <w:p w14:paraId="17D19ED3" w14:textId="0D6A66BA" w:rsidR="00122BAB" w:rsidRPr="00122BAB" w:rsidRDefault="00122BAB" w:rsidP="00122BAB">
      <w:pPr>
        <w:pStyle w:val="Body"/>
        <w:numPr>
          <w:ilvl w:val="0"/>
          <w:numId w:val="31"/>
        </w:numPr>
        <w:spacing w:after="0"/>
      </w:pPr>
      <w:proofErr w:type="spellStart"/>
      <w:r w:rsidRPr="00122BAB">
        <w:t>Silén</w:t>
      </w:r>
      <w:proofErr w:type="spellEnd"/>
      <w:r w:rsidRPr="00122BAB">
        <w:t xml:space="preserve">, H., Salih, E. Y., </w:t>
      </w:r>
      <w:proofErr w:type="spellStart"/>
      <w:r w:rsidRPr="00122BAB">
        <w:t>Mgbeahuruike</w:t>
      </w:r>
      <w:proofErr w:type="spellEnd"/>
      <w:r w:rsidRPr="00122BAB">
        <w:t xml:space="preserve">, E. E., </w:t>
      </w:r>
      <w:r w:rsidR="009B1998">
        <w:t>and</w:t>
      </w:r>
      <w:r w:rsidRPr="00122BAB">
        <w:t xml:space="preserve"> </w:t>
      </w:r>
      <w:proofErr w:type="spellStart"/>
      <w:r w:rsidRPr="00122BAB">
        <w:t>Fyhrqvist</w:t>
      </w:r>
      <w:proofErr w:type="spellEnd"/>
      <w:r w:rsidRPr="00122BAB">
        <w:t xml:space="preserve">, P. (2023). Ethnopharmacology, antimicrobial potency, and phytochemistry of African </w:t>
      </w:r>
      <w:r w:rsidRPr="00122BAB">
        <w:rPr>
          <w:i/>
          <w:iCs/>
        </w:rPr>
        <w:t>Combretum</w:t>
      </w:r>
      <w:r w:rsidRPr="00122BAB">
        <w:t xml:space="preserve"> and </w:t>
      </w:r>
      <w:proofErr w:type="spellStart"/>
      <w:r w:rsidRPr="00122BAB">
        <w:rPr>
          <w:i/>
          <w:iCs/>
        </w:rPr>
        <w:t>Pteleopsis</w:t>
      </w:r>
      <w:proofErr w:type="spellEnd"/>
      <w:r w:rsidRPr="00122BAB">
        <w:t xml:space="preserve"> species (</w:t>
      </w:r>
      <w:proofErr w:type="spellStart"/>
      <w:r w:rsidRPr="00122BAB">
        <w:t>Combretaceae</w:t>
      </w:r>
      <w:proofErr w:type="spellEnd"/>
      <w:r w:rsidRPr="00122BAB">
        <w:t xml:space="preserve">): a review. </w:t>
      </w:r>
      <w:r w:rsidRPr="00122BAB">
        <w:rPr>
          <w:i/>
          <w:iCs/>
        </w:rPr>
        <w:t>Antibiotics</w:t>
      </w:r>
      <w:r w:rsidRPr="00122BAB">
        <w:t>, 12(2), 264.</w:t>
      </w:r>
    </w:p>
    <w:p w14:paraId="5FC6BBB9" w14:textId="31393B38" w:rsidR="00122BAB" w:rsidRPr="00122BAB" w:rsidRDefault="00122BAB" w:rsidP="00122BAB">
      <w:pPr>
        <w:pStyle w:val="Body"/>
        <w:numPr>
          <w:ilvl w:val="0"/>
          <w:numId w:val="31"/>
        </w:numPr>
        <w:spacing w:after="0"/>
      </w:pPr>
      <w:proofErr w:type="spellStart"/>
      <w:r w:rsidRPr="00122BAB">
        <w:t>Ejidike</w:t>
      </w:r>
      <w:proofErr w:type="spellEnd"/>
      <w:r w:rsidRPr="00122BAB">
        <w:t xml:space="preserve">, I. P., </w:t>
      </w:r>
      <w:proofErr w:type="spellStart"/>
      <w:r w:rsidRPr="00122BAB">
        <w:t>Mtunzi</w:t>
      </w:r>
      <w:proofErr w:type="spellEnd"/>
      <w:r w:rsidRPr="00122BAB">
        <w:t xml:space="preserve">, F. M., Ledwaba, I., Phele, M. J., </w:t>
      </w:r>
      <w:proofErr w:type="spellStart"/>
      <w:r w:rsidRPr="00122BAB">
        <w:t>Ejidike</w:t>
      </w:r>
      <w:proofErr w:type="spellEnd"/>
      <w:r w:rsidRPr="00122BAB">
        <w:t xml:space="preserve">, O. M., Ogunleye, O., ... </w:t>
      </w:r>
      <w:r w:rsidR="009B1998">
        <w:t>and</w:t>
      </w:r>
      <w:r w:rsidRPr="00122BAB">
        <w:t xml:space="preserve"> Eze, M. O. (2023). </w:t>
      </w:r>
      <w:r w:rsidRPr="00122BAB">
        <w:rPr>
          <w:i/>
          <w:iCs/>
        </w:rPr>
        <w:t>Combretum</w:t>
      </w:r>
      <w:r w:rsidRPr="00122BAB">
        <w:t xml:space="preserve"> species around Africa as alternative medicine: Ethnopharmacological and ethnobotanical importance. </w:t>
      </w:r>
      <w:r w:rsidRPr="00122BAB">
        <w:rPr>
          <w:i/>
          <w:iCs/>
        </w:rPr>
        <w:t>Journal of Applied Pharmaceutical Science</w:t>
      </w:r>
      <w:r w:rsidRPr="00122BAB">
        <w:t>, 13(8), 012–029.</w:t>
      </w:r>
    </w:p>
    <w:p w14:paraId="661C9573" w14:textId="01F9D2B8" w:rsidR="00122BAB" w:rsidRPr="00122BAB" w:rsidRDefault="00122BAB" w:rsidP="00122BAB">
      <w:pPr>
        <w:pStyle w:val="Body"/>
        <w:numPr>
          <w:ilvl w:val="0"/>
          <w:numId w:val="31"/>
        </w:numPr>
        <w:spacing w:after="0"/>
      </w:pPr>
      <w:r w:rsidRPr="00122BAB">
        <w:t xml:space="preserve">Tine, Y., Sene, M., Gaye, C., Diallo, A., Ndiaye, B., Ndoye, I., </w:t>
      </w:r>
      <w:r w:rsidR="009B1998">
        <w:t>and</w:t>
      </w:r>
      <w:r w:rsidRPr="00122BAB">
        <w:t xml:space="preserve"> Wele, A. (2024). </w:t>
      </w:r>
      <w:r w:rsidRPr="00122BAB">
        <w:rPr>
          <w:i/>
          <w:iCs/>
        </w:rPr>
        <w:t xml:space="preserve">Combretum </w:t>
      </w:r>
      <w:proofErr w:type="spellStart"/>
      <w:r w:rsidRPr="00122BAB">
        <w:rPr>
          <w:i/>
          <w:iCs/>
        </w:rPr>
        <w:t>micranthum</w:t>
      </w:r>
      <w:proofErr w:type="spellEnd"/>
      <w:r w:rsidRPr="00122BAB">
        <w:t xml:space="preserve"> G. Don (</w:t>
      </w:r>
      <w:proofErr w:type="spellStart"/>
      <w:r w:rsidRPr="00122BAB">
        <w:t>Combretaceae</w:t>
      </w:r>
      <w:proofErr w:type="spellEnd"/>
      <w:r w:rsidRPr="00122BAB">
        <w:t xml:space="preserve">): A review on traditional uses, phytochemistry, pharmacology and toxicology. </w:t>
      </w:r>
      <w:r w:rsidRPr="00122BAB">
        <w:rPr>
          <w:i/>
          <w:iCs/>
        </w:rPr>
        <w:t>Chemistry and Biodiversity</w:t>
      </w:r>
      <w:r w:rsidRPr="00122BAB">
        <w:t>, 21(5), e202301606.</w:t>
      </w:r>
    </w:p>
    <w:p w14:paraId="719E5688" w14:textId="1E9EE7D8" w:rsidR="00122BAB" w:rsidRPr="00122BAB" w:rsidRDefault="00122BAB" w:rsidP="00122BAB">
      <w:pPr>
        <w:pStyle w:val="Body"/>
        <w:numPr>
          <w:ilvl w:val="0"/>
          <w:numId w:val="31"/>
        </w:numPr>
        <w:spacing w:after="0"/>
      </w:pPr>
      <w:r w:rsidRPr="00122BAB">
        <w:t xml:space="preserve">Taura, D., </w:t>
      </w:r>
      <w:proofErr w:type="spellStart"/>
      <w:r w:rsidRPr="00122BAB">
        <w:t>Arzai</w:t>
      </w:r>
      <w:proofErr w:type="spellEnd"/>
      <w:r w:rsidRPr="00122BAB">
        <w:t xml:space="preserve">, A., </w:t>
      </w:r>
      <w:r w:rsidR="009B1998">
        <w:t>and</w:t>
      </w:r>
      <w:r w:rsidRPr="00122BAB">
        <w:t xml:space="preserve"> </w:t>
      </w:r>
      <w:proofErr w:type="spellStart"/>
      <w:r w:rsidRPr="00122BAB">
        <w:t>Oyeyi</w:t>
      </w:r>
      <w:proofErr w:type="spellEnd"/>
      <w:r w:rsidRPr="00122BAB">
        <w:t xml:space="preserve">, T. (2009). Evaluation of antimicrobial activities of </w:t>
      </w:r>
      <w:r w:rsidRPr="00122BAB">
        <w:rPr>
          <w:i/>
          <w:iCs/>
        </w:rPr>
        <w:t xml:space="preserve">Combretum </w:t>
      </w:r>
      <w:proofErr w:type="spellStart"/>
      <w:r w:rsidRPr="00122BAB">
        <w:rPr>
          <w:i/>
          <w:iCs/>
        </w:rPr>
        <w:t>micranthum</w:t>
      </w:r>
      <w:proofErr w:type="spellEnd"/>
      <w:r w:rsidRPr="00122BAB">
        <w:t xml:space="preserve"> L. </w:t>
      </w:r>
      <w:proofErr w:type="spellStart"/>
      <w:r w:rsidRPr="00122BAB">
        <w:rPr>
          <w:i/>
          <w:iCs/>
        </w:rPr>
        <w:t>Bayero</w:t>
      </w:r>
      <w:proofErr w:type="spellEnd"/>
      <w:r w:rsidRPr="00122BAB">
        <w:rPr>
          <w:i/>
          <w:iCs/>
        </w:rPr>
        <w:t xml:space="preserve"> Journal of Pure and Applied Sciences</w:t>
      </w:r>
      <w:r w:rsidRPr="00122BAB">
        <w:t>, 2(1), 183–185.</w:t>
      </w:r>
    </w:p>
    <w:p w14:paraId="626AA5FA" w14:textId="77777777" w:rsidR="00122BAB" w:rsidRPr="00122BAB" w:rsidRDefault="00122BAB" w:rsidP="00122BAB">
      <w:pPr>
        <w:pStyle w:val="Body"/>
        <w:numPr>
          <w:ilvl w:val="0"/>
          <w:numId w:val="31"/>
        </w:numPr>
        <w:spacing w:after="0"/>
      </w:pPr>
      <w:r w:rsidRPr="00122BAB">
        <w:t>Ally, M. H. S. (2021). Antimicrobial properties of velvet bush willow (</w:t>
      </w:r>
      <w:r w:rsidRPr="00122BAB">
        <w:rPr>
          <w:i/>
          <w:iCs/>
        </w:rPr>
        <w:t>Combretum molle</w:t>
      </w:r>
      <w:r w:rsidRPr="00122BAB">
        <w:t xml:space="preserve">) crude bark extracts on selected bacteria species. </w:t>
      </w:r>
      <w:r w:rsidRPr="00122BAB">
        <w:rPr>
          <w:i/>
          <w:iCs/>
        </w:rPr>
        <w:t>International Journal of Medicinal Plants and Natural Products (IJMPNP)</w:t>
      </w:r>
      <w:r w:rsidRPr="00122BAB">
        <w:t>, 7(1), 28–34.</w:t>
      </w:r>
    </w:p>
    <w:p w14:paraId="306E4A5A" w14:textId="62BA5B2D" w:rsidR="00122BAB" w:rsidRPr="00122BAB" w:rsidRDefault="00122BAB" w:rsidP="00122BAB">
      <w:pPr>
        <w:pStyle w:val="Body"/>
        <w:numPr>
          <w:ilvl w:val="0"/>
          <w:numId w:val="31"/>
        </w:numPr>
        <w:spacing w:after="0"/>
      </w:pPr>
      <w:proofErr w:type="spellStart"/>
      <w:r w:rsidRPr="00122BAB">
        <w:t>Parusnath</w:t>
      </w:r>
      <w:proofErr w:type="spellEnd"/>
      <w:r w:rsidRPr="00122BAB">
        <w:t xml:space="preserve">, M., Naidoo, Y., Singh, M., Rihan, H., </w:t>
      </w:r>
      <w:r w:rsidR="009B1998">
        <w:t>and</w:t>
      </w:r>
      <w:r w:rsidRPr="00122BAB">
        <w:t xml:space="preserve"> </w:t>
      </w:r>
      <w:proofErr w:type="spellStart"/>
      <w:r w:rsidRPr="00122BAB">
        <w:t>Dewir</w:t>
      </w:r>
      <w:proofErr w:type="spellEnd"/>
      <w:r w:rsidRPr="00122BAB">
        <w:t xml:space="preserve">, Y. H. (2023). Phytochemical composition of </w:t>
      </w:r>
      <w:r w:rsidRPr="00122BAB">
        <w:rPr>
          <w:i/>
          <w:iCs/>
        </w:rPr>
        <w:t>Combretum molle</w:t>
      </w:r>
      <w:r w:rsidRPr="00122BAB">
        <w:t xml:space="preserve"> (R. Br. ex G. Don.) Engl. and Diels leaf and stem extracts. </w:t>
      </w:r>
      <w:r w:rsidRPr="00122BAB">
        <w:rPr>
          <w:i/>
          <w:iCs/>
        </w:rPr>
        <w:t>Plants</w:t>
      </w:r>
      <w:r w:rsidRPr="00122BAB">
        <w:t>, 12(8), 1702.</w:t>
      </w:r>
    </w:p>
    <w:p w14:paraId="12273311" w14:textId="58BE488C" w:rsidR="00122BAB" w:rsidRPr="00122BAB" w:rsidRDefault="00122BAB" w:rsidP="00122BAB">
      <w:pPr>
        <w:pStyle w:val="Body"/>
        <w:numPr>
          <w:ilvl w:val="0"/>
          <w:numId w:val="31"/>
        </w:numPr>
        <w:spacing w:after="0"/>
      </w:pPr>
      <w:r w:rsidRPr="00122BAB">
        <w:t xml:space="preserve">Ikpeazu, O. V., </w:t>
      </w:r>
      <w:proofErr w:type="spellStart"/>
      <w:r w:rsidRPr="00122BAB">
        <w:t>Otuokere</w:t>
      </w:r>
      <w:proofErr w:type="spellEnd"/>
      <w:r w:rsidRPr="00122BAB">
        <w:t xml:space="preserve">, I. E., </w:t>
      </w:r>
      <w:r w:rsidR="009B1998">
        <w:t>and</w:t>
      </w:r>
      <w:r w:rsidRPr="00122BAB">
        <w:t xml:space="preserve"> Igwe, K. K. (2020). GC–MS Analysis of Bioactive Compounds Present in Ethanol Extract of </w:t>
      </w:r>
      <w:r w:rsidRPr="00122BAB">
        <w:rPr>
          <w:i/>
          <w:iCs/>
        </w:rPr>
        <w:t xml:space="preserve">Combretum </w:t>
      </w:r>
      <w:proofErr w:type="spellStart"/>
      <w:r w:rsidRPr="00122BAB">
        <w:rPr>
          <w:i/>
          <w:iCs/>
        </w:rPr>
        <w:t>hispidum</w:t>
      </w:r>
      <w:proofErr w:type="spellEnd"/>
      <w:r w:rsidRPr="00122BAB">
        <w:t xml:space="preserve"> (Laws)(</w:t>
      </w:r>
      <w:proofErr w:type="spellStart"/>
      <w:r w:rsidRPr="00122BAB">
        <w:t>Combretaceae</w:t>
      </w:r>
      <w:proofErr w:type="spellEnd"/>
      <w:r w:rsidRPr="00122BAB">
        <w:t xml:space="preserve">) leaves. </w:t>
      </w:r>
      <w:r w:rsidRPr="00122BAB">
        <w:rPr>
          <w:i/>
          <w:iCs/>
        </w:rPr>
        <w:t>International Journal of Trend in Scientific Research and Development</w:t>
      </w:r>
      <w:r w:rsidRPr="00122BAB">
        <w:t>, 4(5), 307–313.</w:t>
      </w:r>
    </w:p>
    <w:p w14:paraId="04DEDAE3" w14:textId="5E977841" w:rsidR="00122BAB" w:rsidRPr="00122BAB" w:rsidRDefault="00122BAB" w:rsidP="00122BAB">
      <w:pPr>
        <w:pStyle w:val="Body"/>
        <w:numPr>
          <w:ilvl w:val="0"/>
          <w:numId w:val="31"/>
        </w:numPr>
        <w:spacing w:after="0"/>
      </w:pPr>
      <w:r w:rsidRPr="00122BAB">
        <w:lastRenderedPageBreak/>
        <w:t xml:space="preserve">Ikpeazu, O. V., </w:t>
      </w:r>
      <w:proofErr w:type="spellStart"/>
      <w:r w:rsidRPr="00122BAB">
        <w:t>Otuokere</w:t>
      </w:r>
      <w:proofErr w:type="spellEnd"/>
      <w:r w:rsidRPr="00122BAB">
        <w:t xml:space="preserve">, I. E., </w:t>
      </w:r>
      <w:r w:rsidR="009B1998">
        <w:t>and</w:t>
      </w:r>
      <w:r w:rsidRPr="00122BAB">
        <w:t xml:space="preserve"> Igwe, K. K. (2020). Gas Chromatography–Mass Spectrometric Analysis of Bioactive Compounds Present in Ethanol Extract of </w:t>
      </w:r>
      <w:r w:rsidRPr="00122BAB">
        <w:rPr>
          <w:i/>
          <w:iCs/>
        </w:rPr>
        <w:t xml:space="preserve">Combretum </w:t>
      </w:r>
      <w:proofErr w:type="spellStart"/>
      <w:r w:rsidRPr="00122BAB">
        <w:rPr>
          <w:i/>
          <w:iCs/>
        </w:rPr>
        <w:t>hispidum</w:t>
      </w:r>
      <w:proofErr w:type="spellEnd"/>
      <w:r w:rsidRPr="00122BAB">
        <w:t xml:space="preserve"> (Laws)(</w:t>
      </w:r>
      <w:proofErr w:type="spellStart"/>
      <w:r w:rsidRPr="00122BAB">
        <w:t>Combretaceae</w:t>
      </w:r>
      <w:proofErr w:type="spellEnd"/>
      <w:r w:rsidRPr="00122BAB">
        <w:t xml:space="preserve">) Root. </w:t>
      </w:r>
      <w:r w:rsidRPr="00122BAB">
        <w:rPr>
          <w:i/>
          <w:iCs/>
        </w:rPr>
        <w:t>Communication In Physical Sciences</w:t>
      </w:r>
      <w:r w:rsidRPr="00122BAB">
        <w:t>, 5(3), 325–337.</w:t>
      </w:r>
    </w:p>
    <w:p w14:paraId="747FE36B" w14:textId="7133396B" w:rsidR="00122BAB" w:rsidRPr="00122BAB" w:rsidRDefault="00122BAB" w:rsidP="00122BAB">
      <w:pPr>
        <w:pStyle w:val="Body"/>
        <w:numPr>
          <w:ilvl w:val="0"/>
          <w:numId w:val="31"/>
        </w:numPr>
        <w:spacing w:after="0"/>
      </w:pPr>
      <w:proofErr w:type="spellStart"/>
      <w:r w:rsidRPr="00122BAB">
        <w:t>Mathipa</w:t>
      </w:r>
      <w:proofErr w:type="spellEnd"/>
      <w:r w:rsidRPr="00122BAB">
        <w:t xml:space="preserve">, M. M., </w:t>
      </w:r>
      <w:proofErr w:type="spellStart"/>
      <w:r w:rsidRPr="00122BAB">
        <w:t>Mphosi</w:t>
      </w:r>
      <w:proofErr w:type="spellEnd"/>
      <w:r w:rsidRPr="00122BAB">
        <w:t xml:space="preserve">, M. S., </w:t>
      </w:r>
      <w:r w:rsidR="009B1998">
        <w:t>and</w:t>
      </w:r>
      <w:r w:rsidRPr="00122BAB">
        <w:t xml:space="preserve"> </w:t>
      </w:r>
      <w:proofErr w:type="spellStart"/>
      <w:r w:rsidRPr="00122BAB">
        <w:t>Masoko</w:t>
      </w:r>
      <w:proofErr w:type="spellEnd"/>
      <w:r w:rsidRPr="00122BAB">
        <w:t xml:space="preserve">, P. (2022). Phytochemical profile, antioxidant potential, proximate and trace elements composition of leaves, stems and ashes from 12 </w:t>
      </w:r>
      <w:r w:rsidRPr="00122BAB">
        <w:rPr>
          <w:i/>
          <w:iCs/>
        </w:rPr>
        <w:t>Combretum</w:t>
      </w:r>
      <w:r w:rsidRPr="00122BAB">
        <w:t xml:space="preserve"> spp. used as food additives. </w:t>
      </w:r>
      <w:r w:rsidRPr="00122BAB">
        <w:rPr>
          <w:i/>
          <w:iCs/>
        </w:rPr>
        <w:t>International Journal of Plant Biology</w:t>
      </w:r>
      <w:r w:rsidRPr="00122BAB">
        <w:t>, 13(4), 561–578.</w:t>
      </w:r>
    </w:p>
    <w:p w14:paraId="69447F79" w14:textId="77777777" w:rsidR="00122BAB" w:rsidRPr="00122BAB" w:rsidRDefault="00122BAB" w:rsidP="00122BAB">
      <w:pPr>
        <w:pStyle w:val="Body"/>
        <w:numPr>
          <w:ilvl w:val="0"/>
          <w:numId w:val="31"/>
        </w:numPr>
        <w:spacing w:after="0"/>
      </w:pPr>
      <w:r w:rsidRPr="00122BAB">
        <w:t xml:space="preserve">Harborne, A. J. (1998). </w:t>
      </w:r>
      <w:r w:rsidRPr="00122BAB">
        <w:rPr>
          <w:i/>
          <w:iCs/>
        </w:rPr>
        <w:t>Phytochemical methods: A guide to modern techniques of plant analysis</w:t>
      </w:r>
      <w:r w:rsidRPr="00122BAB">
        <w:t>. Springer Science and Business Media.</w:t>
      </w:r>
    </w:p>
    <w:p w14:paraId="03DB2BB0" w14:textId="79229FFB" w:rsidR="00122BAB" w:rsidRPr="00122BAB" w:rsidRDefault="00122BAB" w:rsidP="00122BAB">
      <w:pPr>
        <w:pStyle w:val="Body"/>
        <w:numPr>
          <w:ilvl w:val="0"/>
          <w:numId w:val="31"/>
        </w:numPr>
        <w:spacing w:after="0"/>
      </w:pPr>
      <w:r w:rsidRPr="00122BAB">
        <w:t xml:space="preserve">Deka, A., Kalita, J. C., Singh, Y. R., </w:t>
      </w:r>
      <w:r w:rsidR="009B1998">
        <w:t>and</w:t>
      </w:r>
      <w:r w:rsidRPr="00122BAB">
        <w:t xml:space="preserve"> Deka, M. (2012). Determination of </w:t>
      </w:r>
      <w:proofErr w:type="spellStart"/>
      <w:r w:rsidRPr="00122BAB">
        <w:t>estrogenicity</w:t>
      </w:r>
      <w:proofErr w:type="spellEnd"/>
      <w:r w:rsidRPr="00122BAB">
        <w:t xml:space="preserve"> of </w:t>
      </w:r>
      <w:proofErr w:type="spellStart"/>
      <w:r w:rsidRPr="00122BAB">
        <w:t>Asoca</w:t>
      </w:r>
      <w:proofErr w:type="spellEnd"/>
      <w:r w:rsidRPr="00122BAB">
        <w:t xml:space="preserve"> plant (</w:t>
      </w:r>
      <w:proofErr w:type="spellStart"/>
      <w:r w:rsidRPr="00122BAB">
        <w:rPr>
          <w:i/>
          <w:iCs/>
        </w:rPr>
        <w:t>Saraca</w:t>
      </w:r>
      <w:proofErr w:type="spellEnd"/>
      <w:r w:rsidRPr="00122BAB">
        <w:rPr>
          <w:i/>
          <w:iCs/>
        </w:rPr>
        <w:t xml:space="preserve"> </w:t>
      </w:r>
      <w:proofErr w:type="spellStart"/>
      <w:r w:rsidRPr="00122BAB">
        <w:rPr>
          <w:i/>
          <w:iCs/>
        </w:rPr>
        <w:t>asoca</w:t>
      </w:r>
      <w:proofErr w:type="spellEnd"/>
      <w:r w:rsidRPr="00122BAB">
        <w:t xml:space="preserve"> Linn.) in adult female ovariectomized mice. </w:t>
      </w:r>
      <w:r w:rsidRPr="00122BAB">
        <w:rPr>
          <w:i/>
          <w:iCs/>
        </w:rPr>
        <w:t>International Journal of Recent Scientific Research</w:t>
      </w:r>
      <w:r w:rsidRPr="00122BAB">
        <w:t>, 6, 7661–7664.</w:t>
      </w:r>
    </w:p>
    <w:p w14:paraId="0A27B38A" w14:textId="496A89A6" w:rsidR="00122BAB" w:rsidRPr="00122BAB" w:rsidRDefault="00122BAB" w:rsidP="00122BAB">
      <w:pPr>
        <w:pStyle w:val="Body"/>
        <w:numPr>
          <w:ilvl w:val="0"/>
          <w:numId w:val="31"/>
        </w:numPr>
        <w:spacing w:after="0"/>
      </w:pPr>
      <w:proofErr w:type="spellStart"/>
      <w:r w:rsidRPr="00122BAB">
        <w:t>Ikpeama</w:t>
      </w:r>
      <w:proofErr w:type="spellEnd"/>
      <w:r w:rsidRPr="00122BAB">
        <w:t xml:space="preserve">, A., Onwuka, G. I., </w:t>
      </w:r>
      <w:r w:rsidR="009B1998">
        <w:t>and</w:t>
      </w:r>
      <w:r w:rsidRPr="00122BAB">
        <w:t xml:space="preserve"> Nwankwo, C. (2014). Nutritional composition of turmeric (</w:t>
      </w:r>
      <w:r w:rsidRPr="00122BAB">
        <w:rPr>
          <w:i/>
          <w:iCs/>
        </w:rPr>
        <w:t>Curcuma longa</w:t>
      </w:r>
      <w:r w:rsidRPr="00122BAB">
        <w:t xml:space="preserve">) and its antimicrobial properties. </w:t>
      </w:r>
      <w:r w:rsidRPr="00122BAB">
        <w:rPr>
          <w:i/>
          <w:iCs/>
        </w:rPr>
        <w:t>International Journal of Scientific and Engineering Research</w:t>
      </w:r>
      <w:r w:rsidRPr="00122BAB">
        <w:t>, 5(10), 1085–1089.</w:t>
      </w:r>
    </w:p>
    <w:p w14:paraId="301F7C3E" w14:textId="158F1036" w:rsidR="00122BAB" w:rsidRPr="00122BAB" w:rsidRDefault="00122BAB" w:rsidP="00122BAB">
      <w:pPr>
        <w:pStyle w:val="Body"/>
        <w:numPr>
          <w:ilvl w:val="0"/>
          <w:numId w:val="31"/>
        </w:numPr>
        <w:spacing w:after="0"/>
      </w:pPr>
      <w:r w:rsidRPr="00122BAB">
        <w:t xml:space="preserve">Mgonja, F. R., </w:t>
      </w:r>
      <w:r w:rsidR="009B1998">
        <w:t>and</w:t>
      </w:r>
      <w:r w:rsidRPr="00122BAB">
        <w:t xml:space="preserve"> Ally, M. H. S. (2021). Assessment of antimicrobial activity of velvet bush willow (</w:t>
      </w:r>
      <w:r w:rsidRPr="00122BAB">
        <w:rPr>
          <w:i/>
          <w:iCs/>
        </w:rPr>
        <w:t>Combretum molle</w:t>
      </w:r>
      <w:r w:rsidRPr="00122BAB">
        <w:t xml:space="preserve">) crude bark extracts on selected bacteria species. </w:t>
      </w:r>
      <w:r w:rsidRPr="00122BAB">
        <w:rPr>
          <w:i/>
          <w:iCs/>
        </w:rPr>
        <w:t>[Unspecified Journal – Possibly same as ref 19]</w:t>
      </w:r>
      <w:r w:rsidRPr="00122BAB">
        <w:t>.</w:t>
      </w:r>
    </w:p>
    <w:p w14:paraId="42EE1876" w14:textId="02992844" w:rsidR="00122BAB" w:rsidRPr="00122BAB" w:rsidRDefault="00122BAB" w:rsidP="00122BAB">
      <w:pPr>
        <w:pStyle w:val="Body"/>
        <w:numPr>
          <w:ilvl w:val="0"/>
          <w:numId w:val="31"/>
        </w:numPr>
        <w:spacing w:after="0"/>
      </w:pPr>
      <w:proofErr w:type="spellStart"/>
      <w:r w:rsidRPr="00122BAB">
        <w:t>Dubale</w:t>
      </w:r>
      <w:proofErr w:type="spellEnd"/>
      <w:r w:rsidRPr="00122BAB">
        <w:t xml:space="preserve">, S., </w:t>
      </w:r>
      <w:proofErr w:type="spellStart"/>
      <w:r w:rsidRPr="00122BAB">
        <w:t>Kebebe</w:t>
      </w:r>
      <w:proofErr w:type="spellEnd"/>
      <w:r w:rsidRPr="00122BAB">
        <w:t xml:space="preserve">, D., </w:t>
      </w:r>
      <w:proofErr w:type="spellStart"/>
      <w:r w:rsidRPr="00122BAB">
        <w:t>Zeynudin</w:t>
      </w:r>
      <w:proofErr w:type="spellEnd"/>
      <w:r w:rsidRPr="00122BAB">
        <w:t xml:space="preserve">, A., Abdissa, N., </w:t>
      </w:r>
      <w:r w:rsidR="009B1998">
        <w:t>and</w:t>
      </w:r>
      <w:r w:rsidRPr="00122BAB">
        <w:t xml:space="preserve"> Suleman, S. (2023). Phytochemical screening and antimicrobial activity evaluation of selected medicinal plants in Ethiopia. </w:t>
      </w:r>
      <w:r w:rsidRPr="00122BAB">
        <w:rPr>
          <w:i/>
          <w:iCs/>
        </w:rPr>
        <w:t>Journal of Experimental Pharmacology</w:t>
      </w:r>
      <w:r w:rsidRPr="00122BAB">
        <w:t>, 51–62.</w:t>
      </w:r>
    </w:p>
    <w:p w14:paraId="432D3AB6" w14:textId="4EFBFBC1" w:rsidR="00122BAB" w:rsidRDefault="00122BAB" w:rsidP="00122BAB">
      <w:pPr>
        <w:pStyle w:val="Body"/>
        <w:numPr>
          <w:ilvl w:val="0"/>
          <w:numId w:val="31"/>
        </w:numPr>
        <w:spacing w:after="0"/>
      </w:pPr>
      <w:r w:rsidRPr="00122BAB">
        <w:t xml:space="preserve">Asres, K., Mazumder, A., </w:t>
      </w:r>
      <w:r w:rsidR="009B1998">
        <w:t>and</w:t>
      </w:r>
      <w:r w:rsidRPr="00122BAB">
        <w:t xml:space="preserve"> Bucar, F. (2006). Antibacterial and antifungal activities of extracts of </w:t>
      </w:r>
      <w:r w:rsidRPr="00122BAB">
        <w:rPr>
          <w:i/>
          <w:iCs/>
        </w:rPr>
        <w:t>Combretum molle</w:t>
      </w:r>
      <w:r w:rsidRPr="00122BAB">
        <w:t xml:space="preserve">. </w:t>
      </w:r>
      <w:r w:rsidRPr="00122BAB">
        <w:rPr>
          <w:i/>
          <w:iCs/>
        </w:rPr>
        <w:t>Ethiopian Medical Journal</w:t>
      </w:r>
      <w:r w:rsidRPr="00122BAB">
        <w:t>, 44(3), 269.</w:t>
      </w:r>
    </w:p>
    <w:p w14:paraId="0E6C1D91" w14:textId="2923DE40" w:rsidR="00297E20" w:rsidRPr="00124885" w:rsidRDefault="00297E20" w:rsidP="00122BAB">
      <w:pPr>
        <w:pStyle w:val="Body"/>
        <w:numPr>
          <w:ilvl w:val="0"/>
          <w:numId w:val="31"/>
        </w:numPr>
        <w:spacing w:after="0"/>
      </w:pPr>
      <w:r w:rsidRPr="00AA6BB8">
        <w:rPr>
          <w:lang w:val="en-GB"/>
        </w:rPr>
        <w:t xml:space="preserve">Bantho, S., Naidoo, Y., </w:t>
      </w:r>
      <w:proofErr w:type="spellStart"/>
      <w:r w:rsidRPr="00AA6BB8">
        <w:rPr>
          <w:lang w:val="en-GB"/>
        </w:rPr>
        <w:t>Dewir</w:t>
      </w:r>
      <w:proofErr w:type="spellEnd"/>
      <w:r w:rsidRPr="00AA6BB8">
        <w:rPr>
          <w:lang w:val="en-GB"/>
        </w:rPr>
        <w:t xml:space="preserve">, Y. H., </w:t>
      </w:r>
      <w:r w:rsidR="00E63BB7">
        <w:rPr>
          <w:lang w:val="en-GB"/>
        </w:rPr>
        <w:t>and</w:t>
      </w:r>
      <w:r w:rsidRPr="00AA6BB8">
        <w:rPr>
          <w:lang w:val="en-GB"/>
        </w:rPr>
        <w:t xml:space="preserve"> Singh, M. (2023). A review on the secretory structures, bioactive compounds and biological activities of selected Combretum species. </w:t>
      </w:r>
      <w:r w:rsidRPr="00297E20">
        <w:rPr>
          <w:i/>
          <w:iCs/>
          <w:lang w:val="en-GB"/>
        </w:rPr>
        <w:t>South African Journal of Botany</w:t>
      </w:r>
      <w:r w:rsidRPr="00AA6BB8">
        <w:rPr>
          <w:lang w:val="en-GB"/>
        </w:rPr>
        <w:t>, 158</w:t>
      </w:r>
      <w:r>
        <w:rPr>
          <w:lang w:val="en-GB"/>
        </w:rPr>
        <w:t>:</w:t>
      </w:r>
      <w:r w:rsidRPr="00AA6BB8">
        <w:rPr>
          <w:lang w:val="en-GB"/>
        </w:rPr>
        <w:t xml:space="preserve"> 18-30</w:t>
      </w:r>
    </w:p>
    <w:p w14:paraId="3620DF11" w14:textId="52175345" w:rsidR="00124885" w:rsidRDefault="00124885" w:rsidP="00124885">
      <w:pPr>
        <w:pStyle w:val="ListParagraph"/>
        <w:numPr>
          <w:ilvl w:val="0"/>
          <w:numId w:val="31"/>
        </w:numPr>
      </w:pPr>
      <w:proofErr w:type="spellStart"/>
      <w:r w:rsidRPr="0021783D">
        <w:t>Ayswarya</w:t>
      </w:r>
      <w:proofErr w:type="spellEnd"/>
      <w:r w:rsidRPr="0021783D">
        <w:t xml:space="preserve">, S., Radhakrishnan, M., </w:t>
      </w:r>
      <w:proofErr w:type="spellStart"/>
      <w:r w:rsidRPr="0021783D">
        <w:t>Manigundan</w:t>
      </w:r>
      <w:proofErr w:type="spellEnd"/>
      <w:r w:rsidRPr="0021783D">
        <w:t xml:space="preserve">, K., </w:t>
      </w:r>
      <w:proofErr w:type="spellStart"/>
      <w:r w:rsidRPr="0021783D">
        <w:t>Gopikrishnan</w:t>
      </w:r>
      <w:proofErr w:type="spellEnd"/>
      <w:r w:rsidRPr="0021783D">
        <w:t xml:space="preserve">, V., </w:t>
      </w:r>
      <w:r w:rsidR="00E63BB7">
        <w:t>and</w:t>
      </w:r>
      <w:r w:rsidRPr="0021783D">
        <w:t xml:space="preserve"> </w:t>
      </w:r>
      <w:proofErr w:type="spellStart"/>
      <w:r w:rsidRPr="0021783D">
        <w:t>Soytong</w:t>
      </w:r>
      <w:proofErr w:type="spellEnd"/>
      <w:r w:rsidRPr="0021783D">
        <w:t>, K. (2022). Antioxidant activity of 2, 4-di-tert-butylphenol isolated from plant growth promoting endophytic Streptomyces KCA-1.</w:t>
      </w:r>
      <w:r>
        <w:t xml:space="preserve"> </w:t>
      </w:r>
      <w:r w:rsidRPr="00124885">
        <w:rPr>
          <w:i/>
          <w:iCs/>
        </w:rPr>
        <w:t>International Journal of Agricultural Technology</w:t>
      </w:r>
      <w:r>
        <w:t>,</w:t>
      </w:r>
      <w:r w:rsidRPr="00124885">
        <w:t xml:space="preserve"> 18(6)</w:t>
      </w:r>
      <w:r>
        <w:t xml:space="preserve">, </w:t>
      </w:r>
      <w:r w:rsidRPr="00124885">
        <w:t>2343-2352</w:t>
      </w:r>
    </w:p>
    <w:p w14:paraId="261A5ADB" w14:textId="0D0880F4" w:rsidR="00124885" w:rsidRDefault="00124885" w:rsidP="00124885">
      <w:pPr>
        <w:pStyle w:val="ListParagraph"/>
        <w:numPr>
          <w:ilvl w:val="0"/>
          <w:numId w:val="31"/>
        </w:numPr>
      </w:pPr>
      <w:r w:rsidRPr="0021783D">
        <w:t xml:space="preserve">Yoon, B. K., Jackman, J. A., Valle-González, E. R., </w:t>
      </w:r>
      <w:r w:rsidR="00E63BB7">
        <w:t>and</w:t>
      </w:r>
      <w:r w:rsidRPr="0021783D">
        <w:t xml:space="preserve"> Cho, N. J. (2018). Antibacterial free fatty acids and monoglycerides: biological activities, experimental testing, and therapeutic applications. </w:t>
      </w:r>
      <w:r w:rsidRPr="00124885">
        <w:rPr>
          <w:i/>
          <w:iCs/>
        </w:rPr>
        <w:t>International journal of molecular sciences</w:t>
      </w:r>
      <w:r w:rsidRPr="0021783D">
        <w:t>, </w:t>
      </w:r>
      <w:r w:rsidRPr="00124885">
        <w:t>19</w:t>
      </w:r>
      <w:r w:rsidRPr="0021783D">
        <w:t>(4), 1114.</w:t>
      </w:r>
    </w:p>
    <w:p w14:paraId="5C1C4891" w14:textId="155F8AAD" w:rsidR="00124885" w:rsidRDefault="00124885" w:rsidP="00124885">
      <w:pPr>
        <w:pStyle w:val="ListParagraph"/>
        <w:numPr>
          <w:ilvl w:val="0"/>
          <w:numId w:val="31"/>
        </w:numPr>
      </w:pPr>
      <w:r w:rsidRPr="0021783D">
        <w:t xml:space="preserve">Zhao, F., Wang, P., Lucardi, R. D., Su, Z., </w:t>
      </w:r>
      <w:r w:rsidR="00E63BB7">
        <w:t>and</w:t>
      </w:r>
      <w:r w:rsidRPr="0021783D">
        <w:t xml:space="preserve"> Li, S. (2020). Natural sources and bioactivities of 2, 4-di-tert-butylphenol and its analogs. </w:t>
      </w:r>
      <w:r w:rsidRPr="00124885">
        <w:rPr>
          <w:i/>
          <w:iCs/>
        </w:rPr>
        <w:t>Toxins</w:t>
      </w:r>
      <w:r w:rsidRPr="0021783D">
        <w:t>, </w:t>
      </w:r>
      <w:r w:rsidRPr="00124885">
        <w:t>12</w:t>
      </w:r>
      <w:r w:rsidRPr="0021783D">
        <w:t>(1), 35.</w:t>
      </w:r>
    </w:p>
    <w:p w14:paraId="7E83FA39" w14:textId="678E235F" w:rsidR="00E63BB7" w:rsidRDefault="00E63BB7" w:rsidP="00124885">
      <w:pPr>
        <w:pStyle w:val="ListParagraph"/>
        <w:numPr>
          <w:ilvl w:val="0"/>
          <w:numId w:val="31"/>
        </w:numPr>
      </w:pPr>
      <w:proofErr w:type="spellStart"/>
      <w:r w:rsidRPr="00E63BB7">
        <w:t>Fatope</w:t>
      </w:r>
      <w:proofErr w:type="spellEnd"/>
      <w:r w:rsidRPr="00E63BB7">
        <w:t xml:space="preserve">, M. O., Ibrahim, H., </w:t>
      </w:r>
      <w:r>
        <w:t>and</w:t>
      </w:r>
      <w:r w:rsidRPr="00E63BB7">
        <w:t xml:space="preserve"> Takeda, Y. (1993). Screening of higher plants reputed as pesticides using the brine shrimp lethality assay. </w:t>
      </w:r>
      <w:r w:rsidRPr="00E63BB7">
        <w:rPr>
          <w:i/>
          <w:iCs/>
        </w:rPr>
        <w:t xml:space="preserve">International Journal of </w:t>
      </w:r>
      <w:r>
        <w:rPr>
          <w:i/>
          <w:iCs/>
        </w:rPr>
        <w:t>P</w:t>
      </w:r>
      <w:r w:rsidRPr="00E63BB7">
        <w:rPr>
          <w:i/>
          <w:iCs/>
        </w:rPr>
        <w:t>harmacognosy</w:t>
      </w:r>
      <w:r w:rsidRPr="00E63BB7">
        <w:t>, </w:t>
      </w:r>
      <w:r w:rsidRPr="00E63BB7">
        <w:rPr>
          <w:i/>
          <w:iCs/>
        </w:rPr>
        <w:t>31</w:t>
      </w:r>
      <w:r w:rsidRPr="00E63BB7">
        <w:t>(4), 250-254.</w:t>
      </w:r>
    </w:p>
    <w:p w14:paraId="1B8AC7D4" w14:textId="77777777" w:rsidR="00124885" w:rsidRPr="00124885" w:rsidRDefault="00124885" w:rsidP="00124885">
      <w:pPr>
        <w:pStyle w:val="Body"/>
        <w:spacing w:after="0"/>
        <w:ind w:left="720"/>
        <w:rPr>
          <w:i/>
          <w:iCs/>
        </w:rPr>
      </w:pPr>
    </w:p>
    <w:p w14:paraId="32E6E56A" w14:textId="77777777" w:rsidR="00790ADA" w:rsidRDefault="00790ADA" w:rsidP="00441B6F">
      <w:pPr>
        <w:pStyle w:val="Body"/>
        <w:spacing w:after="0"/>
        <w:rPr>
          <w:rFonts w:ascii="Arial" w:hAnsi="Arial" w:cs="Arial"/>
        </w:rPr>
      </w:pPr>
    </w:p>
    <w:p w14:paraId="7D07FAA2" w14:textId="77777777" w:rsidR="00B01FCD" w:rsidRPr="00FB3A86" w:rsidRDefault="00B01FCD" w:rsidP="00441B6F">
      <w:pPr>
        <w:pStyle w:val="Appendix"/>
        <w:spacing w:after="0"/>
        <w:jc w:val="both"/>
        <w:rPr>
          <w:rFonts w:ascii="Arial" w:hAnsi="Arial" w:cs="Arial"/>
          <w:b w:val="0"/>
        </w:rPr>
      </w:pPr>
    </w:p>
    <w:sectPr w:rsidR="00B01FCD" w:rsidRPr="00FB3A86" w:rsidSect="009B5DB5">
      <w:headerReference w:type="even" r:id="rId38"/>
      <w:headerReference w:type="default" r:id="rId39"/>
      <w:footerReference w:type="default" r:id="rId40"/>
      <w:headerReference w:type="first" r:id="rId4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D25A" w14:textId="77777777" w:rsidR="00A63089" w:rsidRDefault="00A63089" w:rsidP="00C37E61">
      <w:r>
        <w:separator/>
      </w:r>
    </w:p>
  </w:endnote>
  <w:endnote w:type="continuationSeparator" w:id="0">
    <w:p w14:paraId="5A8081E8" w14:textId="77777777" w:rsidR="00A63089" w:rsidRDefault="00A6308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35FD" w14:textId="77777777" w:rsidR="009B5DB5" w:rsidRDefault="009B5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7F77" w14:textId="77777777" w:rsidR="009B5DB5" w:rsidRDefault="009B5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E14A" w14:textId="4FEF24E4" w:rsidR="00754C9A" w:rsidRPr="009B5DB5" w:rsidRDefault="00754C9A" w:rsidP="009B5D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4238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885FD" w14:textId="77777777" w:rsidR="00A63089" w:rsidRDefault="00A63089" w:rsidP="00C37E61">
      <w:r>
        <w:separator/>
      </w:r>
    </w:p>
  </w:footnote>
  <w:footnote w:type="continuationSeparator" w:id="0">
    <w:p w14:paraId="2EB291DA" w14:textId="77777777" w:rsidR="00A63089" w:rsidRDefault="00A6308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0EC" w14:textId="63145B37" w:rsidR="009B5DB5" w:rsidRDefault="00000000">
    <w:pPr>
      <w:pStyle w:val="Header"/>
    </w:pPr>
    <w:r>
      <w:rPr>
        <w:noProof/>
      </w:rPr>
      <w:pict w14:anchorId="75EEB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568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AAB5" w14:textId="7853E5BD" w:rsidR="009B5DB5" w:rsidRDefault="00000000">
    <w:pPr>
      <w:pStyle w:val="Header"/>
    </w:pPr>
    <w:r>
      <w:rPr>
        <w:noProof/>
      </w:rPr>
      <w:pict w14:anchorId="4E283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568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88B6" w14:textId="1FD00AA8" w:rsidR="00296529" w:rsidRPr="00296529" w:rsidRDefault="00000000" w:rsidP="00296529">
    <w:pPr>
      <w:ind w:left="2160"/>
      <w:jc w:val="center"/>
      <w:rPr>
        <w:rFonts w:ascii="Times New Roman" w:eastAsia="Calibri" w:hAnsi="Times New Roman"/>
        <w:i/>
        <w:sz w:val="18"/>
        <w:szCs w:val="22"/>
      </w:rPr>
    </w:pPr>
    <w:r>
      <w:rPr>
        <w:noProof/>
      </w:rPr>
      <w:pict w14:anchorId="18C38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568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D5AB2F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90898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F87A5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17A89A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0016B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749AA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4B6D8" w14:textId="3C53C069" w:rsidR="009B5DB5" w:rsidRDefault="00000000">
    <w:pPr>
      <w:pStyle w:val="Header"/>
    </w:pPr>
    <w:r>
      <w:rPr>
        <w:noProof/>
      </w:rPr>
      <w:pict w14:anchorId="346FB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569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4684" w14:textId="5B61BF27" w:rsidR="009B5DB5" w:rsidRDefault="00000000">
    <w:pPr>
      <w:pStyle w:val="Header"/>
    </w:pPr>
    <w:r>
      <w:rPr>
        <w:noProof/>
      </w:rPr>
      <w:pict w14:anchorId="6E1C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569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F4D0" w14:textId="38FB7C9D" w:rsidR="009B5DB5" w:rsidRDefault="00000000">
    <w:pPr>
      <w:pStyle w:val="Header"/>
    </w:pPr>
    <w:r>
      <w:rPr>
        <w:noProof/>
      </w:rPr>
      <w:pict w14:anchorId="79792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2569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1834ACB"/>
    <w:multiLevelType w:val="multilevel"/>
    <w:tmpl w:val="0ECC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156844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3685080">
    <w:abstractNumId w:val="15"/>
  </w:num>
  <w:num w:numId="3" w16cid:durableId="1140733549">
    <w:abstractNumId w:val="24"/>
  </w:num>
  <w:num w:numId="4" w16cid:durableId="11611236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82230447">
    <w:abstractNumId w:val="7"/>
  </w:num>
  <w:num w:numId="6" w16cid:durableId="286087836">
    <w:abstractNumId w:val="6"/>
  </w:num>
  <w:num w:numId="7" w16cid:durableId="1417163842">
    <w:abstractNumId w:val="1"/>
  </w:num>
  <w:num w:numId="8" w16cid:durableId="291063526">
    <w:abstractNumId w:val="12"/>
  </w:num>
  <w:num w:numId="9" w16cid:durableId="1530800225">
    <w:abstractNumId w:val="26"/>
  </w:num>
  <w:num w:numId="10" w16cid:durableId="258409432">
    <w:abstractNumId w:val="2"/>
  </w:num>
  <w:num w:numId="11" w16cid:durableId="714429234">
    <w:abstractNumId w:val="19"/>
  </w:num>
  <w:num w:numId="12" w16cid:durableId="467746910">
    <w:abstractNumId w:val="3"/>
  </w:num>
  <w:num w:numId="13" w16cid:durableId="1168710031">
    <w:abstractNumId w:val="18"/>
  </w:num>
  <w:num w:numId="14" w16cid:durableId="366879516">
    <w:abstractNumId w:val="8"/>
  </w:num>
  <w:num w:numId="15" w16cid:durableId="741029140">
    <w:abstractNumId w:val="22"/>
  </w:num>
  <w:num w:numId="16" w16cid:durableId="1719669704">
    <w:abstractNumId w:val="5"/>
  </w:num>
  <w:num w:numId="17" w16cid:durableId="644353149">
    <w:abstractNumId w:val="23"/>
  </w:num>
  <w:num w:numId="18" w16cid:durableId="137649520">
    <w:abstractNumId w:val="14"/>
  </w:num>
  <w:num w:numId="19" w16cid:durableId="757596744">
    <w:abstractNumId w:val="29"/>
  </w:num>
  <w:num w:numId="20" w16cid:durableId="2083287333">
    <w:abstractNumId w:val="11"/>
  </w:num>
  <w:num w:numId="21" w16cid:durableId="251545071">
    <w:abstractNumId w:val="9"/>
  </w:num>
  <w:num w:numId="22" w16cid:durableId="1234201008">
    <w:abstractNumId w:val="13"/>
  </w:num>
  <w:num w:numId="23" w16cid:durableId="1453284814">
    <w:abstractNumId w:val="20"/>
  </w:num>
  <w:num w:numId="24" w16cid:durableId="131213012">
    <w:abstractNumId w:val="27"/>
  </w:num>
  <w:num w:numId="25" w16cid:durableId="1828591132">
    <w:abstractNumId w:val="4"/>
  </w:num>
  <w:num w:numId="26" w16cid:durableId="2023781099">
    <w:abstractNumId w:val="17"/>
  </w:num>
  <w:num w:numId="27" w16cid:durableId="1851917174">
    <w:abstractNumId w:val="21"/>
  </w:num>
  <w:num w:numId="28" w16cid:durableId="61950666">
    <w:abstractNumId w:val="28"/>
  </w:num>
  <w:num w:numId="29" w16cid:durableId="1576427622">
    <w:abstractNumId w:val="25"/>
  </w:num>
  <w:num w:numId="30" w16cid:durableId="84688993">
    <w:abstractNumId w:val="10"/>
  </w:num>
  <w:num w:numId="31" w16cid:durableId="1824544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2BAB"/>
    <w:rsid w:val="00123C9F"/>
    <w:rsid w:val="00124885"/>
    <w:rsid w:val="00126190"/>
    <w:rsid w:val="00130F17"/>
    <w:rsid w:val="001320BF"/>
    <w:rsid w:val="001605FD"/>
    <w:rsid w:val="00163BC4"/>
    <w:rsid w:val="00191062"/>
    <w:rsid w:val="00192B72"/>
    <w:rsid w:val="001A29D8"/>
    <w:rsid w:val="001A5CAA"/>
    <w:rsid w:val="001B0427"/>
    <w:rsid w:val="001D0FC5"/>
    <w:rsid w:val="001D3A51"/>
    <w:rsid w:val="001E10D2"/>
    <w:rsid w:val="001E25B4"/>
    <w:rsid w:val="001E44FE"/>
    <w:rsid w:val="001F4F73"/>
    <w:rsid w:val="00200595"/>
    <w:rsid w:val="00204835"/>
    <w:rsid w:val="00211136"/>
    <w:rsid w:val="00231920"/>
    <w:rsid w:val="0023195C"/>
    <w:rsid w:val="0024282C"/>
    <w:rsid w:val="00243BBA"/>
    <w:rsid w:val="002460DC"/>
    <w:rsid w:val="00250985"/>
    <w:rsid w:val="002556F6"/>
    <w:rsid w:val="00283105"/>
    <w:rsid w:val="00284C4C"/>
    <w:rsid w:val="00287E68"/>
    <w:rsid w:val="00296529"/>
    <w:rsid w:val="00297E20"/>
    <w:rsid w:val="002B27FB"/>
    <w:rsid w:val="002B685A"/>
    <w:rsid w:val="002C57D2"/>
    <w:rsid w:val="002E0D56"/>
    <w:rsid w:val="00315186"/>
    <w:rsid w:val="0033343E"/>
    <w:rsid w:val="003512C2"/>
    <w:rsid w:val="00366E00"/>
    <w:rsid w:val="00370588"/>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00F3"/>
    <w:rsid w:val="00486A28"/>
    <w:rsid w:val="004D305E"/>
    <w:rsid w:val="004D4277"/>
    <w:rsid w:val="004D4964"/>
    <w:rsid w:val="00502516"/>
    <w:rsid w:val="00505F06"/>
    <w:rsid w:val="00506828"/>
    <w:rsid w:val="0053056E"/>
    <w:rsid w:val="00546723"/>
    <w:rsid w:val="00554FDA"/>
    <w:rsid w:val="00594DF1"/>
    <w:rsid w:val="005C784C"/>
    <w:rsid w:val="005D17F6"/>
    <w:rsid w:val="005E5539"/>
    <w:rsid w:val="00602BF5"/>
    <w:rsid w:val="00617FDD"/>
    <w:rsid w:val="00633614"/>
    <w:rsid w:val="00633F68"/>
    <w:rsid w:val="006360B2"/>
    <w:rsid w:val="00636EB2"/>
    <w:rsid w:val="006375B8"/>
    <w:rsid w:val="0066510A"/>
    <w:rsid w:val="00673F9F"/>
    <w:rsid w:val="006824A7"/>
    <w:rsid w:val="00686953"/>
    <w:rsid w:val="00687DEA"/>
    <w:rsid w:val="00687E67"/>
    <w:rsid w:val="006967F7"/>
    <w:rsid w:val="006A250C"/>
    <w:rsid w:val="006B21D3"/>
    <w:rsid w:val="006B57D0"/>
    <w:rsid w:val="006B7A12"/>
    <w:rsid w:val="006D30FF"/>
    <w:rsid w:val="006D6940"/>
    <w:rsid w:val="006F11EC"/>
    <w:rsid w:val="0070082C"/>
    <w:rsid w:val="007369E6"/>
    <w:rsid w:val="00746E59"/>
    <w:rsid w:val="00754C9A"/>
    <w:rsid w:val="0075599A"/>
    <w:rsid w:val="00761D52"/>
    <w:rsid w:val="00761F0E"/>
    <w:rsid w:val="0077749E"/>
    <w:rsid w:val="00790ADA"/>
    <w:rsid w:val="007D2288"/>
    <w:rsid w:val="007E088F"/>
    <w:rsid w:val="007F7B32"/>
    <w:rsid w:val="00804BC2"/>
    <w:rsid w:val="0081431A"/>
    <w:rsid w:val="00824CAF"/>
    <w:rsid w:val="0083216F"/>
    <w:rsid w:val="00860000"/>
    <w:rsid w:val="00863BD3"/>
    <w:rsid w:val="008641ED"/>
    <w:rsid w:val="00866D66"/>
    <w:rsid w:val="008671C6"/>
    <w:rsid w:val="00875803"/>
    <w:rsid w:val="008B459E"/>
    <w:rsid w:val="008E13AE"/>
    <w:rsid w:val="008E1506"/>
    <w:rsid w:val="008E1E5D"/>
    <w:rsid w:val="008E710C"/>
    <w:rsid w:val="008F69D6"/>
    <w:rsid w:val="00902823"/>
    <w:rsid w:val="00915CA6"/>
    <w:rsid w:val="00927834"/>
    <w:rsid w:val="009500A6"/>
    <w:rsid w:val="00957C18"/>
    <w:rsid w:val="009659BA"/>
    <w:rsid w:val="00974B5E"/>
    <w:rsid w:val="00981DC6"/>
    <w:rsid w:val="00983040"/>
    <w:rsid w:val="00986490"/>
    <w:rsid w:val="009B1998"/>
    <w:rsid w:val="009B3FB9"/>
    <w:rsid w:val="009B5DB5"/>
    <w:rsid w:val="009C2465"/>
    <w:rsid w:val="009D35A0"/>
    <w:rsid w:val="009D7EB7"/>
    <w:rsid w:val="009E048A"/>
    <w:rsid w:val="009E08E9"/>
    <w:rsid w:val="009E3DB9"/>
    <w:rsid w:val="009E6E35"/>
    <w:rsid w:val="009F0EDA"/>
    <w:rsid w:val="00A03B96"/>
    <w:rsid w:val="00A05B19"/>
    <w:rsid w:val="00A11261"/>
    <w:rsid w:val="00A1134E"/>
    <w:rsid w:val="00A24E7E"/>
    <w:rsid w:val="00A258C3"/>
    <w:rsid w:val="00A347C0"/>
    <w:rsid w:val="00A51431"/>
    <w:rsid w:val="00A539AD"/>
    <w:rsid w:val="00A63089"/>
    <w:rsid w:val="00A94063"/>
    <w:rsid w:val="00AA6219"/>
    <w:rsid w:val="00AA74E0"/>
    <w:rsid w:val="00AB703F"/>
    <w:rsid w:val="00AC6BB8"/>
    <w:rsid w:val="00AE008F"/>
    <w:rsid w:val="00AE5103"/>
    <w:rsid w:val="00AF1226"/>
    <w:rsid w:val="00B01FCD"/>
    <w:rsid w:val="00B1776C"/>
    <w:rsid w:val="00B52583"/>
    <w:rsid w:val="00B52896"/>
    <w:rsid w:val="00B56594"/>
    <w:rsid w:val="00B65BB9"/>
    <w:rsid w:val="00B95236"/>
    <w:rsid w:val="00B96BD9"/>
    <w:rsid w:val="00B96CEE"/>
    <w:rsid w:val="00BA1B01"/>
    <w:rsid w:val="00BA2641"/>
    <w:rsid w:val="00BB37AA"/>
    <w:rsid w:val="00BC53A0"/>
    <w:rsid w:val="00BE62AD"/>
    <w:rsid w:val="00BE687E"/>
    <w:rsid w:val="00BF121F"/>
    <w:rsid w:val="00BF1F80"/>
    <w:rsid w:val="00C06D4A"/>
    <w:rsid w:val="00C166EF"/>
    <w:rsid w:val="00C17EB0"/>
    <w:rsid w:val="00C27F5F"/>
    <w:rsid w:val="00C30A0F"/>
    <w:rsid w:val="00C37E61"/>
    <w:rsid w:val="00C45653"/>
    <w:rsid w:val="00C70F1B"/>
    <w:rsid w:val="00C71A47"/>
    <w:rsid w:val="00C7464C"/>
    <w:rsid w:val="00C85588"/>
    <w:rsid w:val="00CA056A"/>
    <w:rsid w:val="00CC49E9"/>
    <w:rsid w:val="00CD6755"/>
    <w:rsid w:val="00CD6856"/>
    <w:rsid w:val="00CE0089"/>
    <w:rsid w:val="00CE793C"/>
    <w:rsid w:val="00CF193C"/>
    <w:rsid w:val="00D173F1"/>
    <w:rsid w:val="00D74CB0"/>
    <w:rsid w:val="00D8295D"/>
    <w:rsid w:val="00DC2A65"/>
    <w:rsid w:val="00DE15F0"/>
    <w:rsid w:val="00DE3865"/>
    <w:rsid w:val="00DE5663"/>
    <w:rsid w:val="00DE78AA"/>
    <w:rsid w:val="00E053D0"/>
    <w:rsid w:val="00E15994"/>
    <w:rsid w:val="00E3114E"/>
    <w:rsid w:val="00E31A70"/>
    <w:rsid w:val="00E35B02"/>
    <w:rsid w:val="00E527AB"/>
    <w:rsid w:val="00E63BB7"/>
    <w:rsid w:val="00E66496"/>
    <w:rsid w:val="00E66B35"/>
    <w:rsid w:val="00E66E10"/>
    <w:rsid w:val="00E6762F"/>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B474D"/>
    <w:rsid w:val="00FD36C8"/>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D4F3D8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800F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4800F3"/>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24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166080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5318892">
      <w:bodyDiv w:val="1"/>
      <w:marLeft w:val="0"/>
      <w:marRight w:val="0"/>
      <w:marTop w:val="0"/>
      <w:marBottom w:val="0"/>
      <w:divBdr>
        <w:top w:val="none" w:sz="0" w:space="0" w:color="auto"/>
        <w:left w:val="none" w:sz="0" w:space="0" w:color="auto"/>
        <w:bottom w:val="none" w:sz="0" w:space="0" w:color="auto"/>
        <w:right w:val="none" w:sz="0" w:space="0" w:color="auto"/>
      </w:divBdr>
    </w:div>
    <w:div w:id="1167987498">
      <w:bodyDiv w:val="1"/>
      <w:marLeft w:val="0"/>
      <w:marRight w:val="0"/>
      <w:marTop w:val="0"/>
      <w:marBottom w:val="0"/>
      <w:divBdr>
        <w:top w:val="none" w:sz="0" w:space="0" w:color="auto"/>
        <w:left w:val="none" w:sz="0" w:space="0" w:color="auto"/>
        <w:bottom w:val="none" w:sz="0" w:space="0" w:color="auto"/>
        <w:right w:val="none" w:sz="0" w:space="0" w:color="auto"/>
      </w:divBdr>
    </w:div>
    <w:div w:id="1436438379">
      <w:bodyDiv w:val="1"/>
      <w:marLeft w:val="0"/>
      <w:marRight w:val="0"/>
      <w:marTop w:val="0"/>
      <w:marBottom w:val="0"/>
      <w:divBdr>
        <w:top w:val="none" w:sz="0" w:space="0" w:color="auto"/>
        <w:left w:val="none" w:sz="0" w:space="0" w:color="auto"/>
        <w:bottom w:val="none" w:sz="0" w:space="0" w:color="auto"/>
        <w:right w:val="none" w:sz="0" w:space="0" w:color="auto"/>
      </w:divBdr>
    </w:div>
    <w:div w:id="161667087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5611653">
      <w:bodyDiv w:val="1"/>
      <w:marLeft w:val="0"/>
      <w:marRight w:val="0"/>
      <w:marTop w:val="0"/>
      <w:marBottom w:val="0"/>
      <w:divBdr>
        <w:top w:val="none" w:sz="0" w:space="0" w:color="auto"/>
        <w:left w:val="none" w:sz="0" w:space="0" w:color="auto"/>
        <w:bottom w:val="none" w:sz="0" w:space="0" w:color="auto"/>
        <w:right w:val="none" w:sz="0" w:space="0" w:color="auto"/>
      </w:divBdr>
    </w:div>
    <w:div w:id="1859734081">
      <w:bodyDiv w:val="1"/>
      <w:marLeft w:val="0"/>
      <w:marRight w:val="0"/>
      <w:marTop w:val="0"/>
      <w:marBottom w:val="0"/>
      <w:divBdr>
        <w:top w:val="none" w:sz="0" w:space="0" w:color="auto"/>
        <w:left w:val="none" w:sz="0" w:space="0" w:color="auto"/>
        <w:bottom w:val="none" w:sz="0" w:space="0" w:color="auto"/>
        <w:right w:val="none" w:sz="0" w:space="0" w:color="auto"/>
      </w:divBdr>
    </w:div>
    <w:div w:id="1861626085">
      <w:bodyDiv w:val="1"/>
      <w:marLeft w:val="0"/>
      <w:marRight w:val="0"/>
      <w:marTop w:val="0"/>
      <w:marBottom w:val="0"/>
      <w:divBdr>
        <w:top w:val="none" w:sz="0" w:space="0" w:color="auto"/>
        <w:left w:val="none" w:sz="0" w:space="0" w:color="auto"/>
        <w:bottom w:val="none" w:sz="0" w:space="0" w:color="auto"/>
        <w:right w:val="none" w:sz="0" w:space="0" w:color="auto"/>
      </w:divBdr>
    </w:div>
    <w:div w:id="193902437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0524997">
      <w:bodyDiv w:val="1"/>
      <w:marLeft w:val="0"/>
      <w:marRight w:val="0"/>
      <w:marTop w:val="0"/>
      <w:marBottom w:val="0"/>
      <w:divBdr>
        <w:top w:val="none" w:sz="0" w:space="0" w:color="auto"/>
        <w:left w:val="none" w:sz="0" w:space="0" w:color="auto"/>
        <w:bottom w:val="none" w:sz="0" w:space="0" w:color="auto"/>
        <w:right w:val="none" w:sz="0" w:space="0" w:color="auto"/>
      </w:divBdr>
    </w:div>
    <w:div w:id="2071876068">
      <w:bodyDiv w:val="1"/>
      <w:marLeft w:val="0"/>
      <w:marRight w:val="0"/>
      <w:marTop w:val="0"/>
      <w:marBottom w:val="0"/>
      <w:divBdr>
        <w:top w:val="none" w:sz="0" w:space="0" w:color="auto"/>
        <w:left w:val="none" w:sz="0" w:space="0" w:color="auto"/>
        <w:bottom w:val="none" w:sz="0" w:space="0" w:color="auto"/>
        <w:right w:val="none" w:sz="0" w:space="0" w:color="auto"/>
      </w:divBdr>
    </w:div>
    <w:div w:id="20790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eader" Target="header5.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yperlink" Target="https://www.theguardian.com/"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s://iucn.org/sites/default/files/2023-05/practice_c.medicinal-plants_final.pdf"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orldfloraonline.or/taxon/wfo-0001328093"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iris.who.int/bitstream/handle/10665/326299/WHO-HIS-SDS-2018.37-eng.pdf?sequence=1"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68B5-3994-47A7-8F8D-1FFFA0CE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198</TotalTime>
  <Pages>9</Pages>
  <Words>5048</Words>
  <Characters>28778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33759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Chinecherem Mba</cp:lastModifiedBy>
  <cp:revision>17</cp:revision>
  <cp:lastPrinted>1999-07-06T11:00:00Z</cp:lastPrinted>
  <dcterms:created xsi:type="dcterms:W3CDTF">2014-10-25T14:34:00Z</dcterms:created>
  <dcterms:modified xsi:type="dcterms:W3CDTF">2025-07-06T14:57:00Z</dcterms:modified>
</cp:coreProperties>
</file>