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849E" w14:textId="7F54B492" w:rsidR="00754C9A" w:rsidRDefault="008D5B84" w:rsidP="00441B6F">
      <w:pPr>
        <w:pStyle w:val="Title"/>
        <w:spacing w:after="0"/>
        <w:jc w:val="both"/>
        <w:rPr>
          <w:rFonts w:ascii="Arial" w:hAnsi="Arial" w:cs="Arial"/>
        </w:rPr>
      </w:pPr>
      <w:r w:rsidRPr="008D5B84">
        <w:rPr>
          <w:rFonts w:ascii="Arial" w:hAnsi="Arial" w:cs="Arial"/>
        </w:rPr>
        <w:t>Original Research Article</w:t>
      </w:r>
    </w:p>
    <w:p w14:paraId="5CF8F07C" w14:textId="77777777" w:rsidR="008D5B84" w:rsidRDefault="008D5B84" w:rsidP="00441B6F">
      <w:pPr>
        <w:pStyle w:val="Title"/>
        <w:spacing w:after="0"/>
        <w:jc w:val="both"/>
        <w:rPr>
          <w:rFonts w:ascii="Arial" w:hAnsi="Arial" w:cs="Arial"/>
        </w:rPr>
      </w:pPr>
    </w:p>
    <w:p w14:paraId="5DA59CBB" w14:textId="5E65902B" w:rsidR="00163BC4" w:rsidRPr="00163BC4" w:rsidRDefault="00815EFF" w:rsidP="00441B6F">
      <w:pPr>
        <w:pStyle w:val="Author"/>
        <w:spacing w:line="240" w:lineRule="auto"/>
        <w:rPr>
          <w:rFonts w:ascii="Arial" w:hAnsi="Arial" w:cs="Arial"/>
          <w:bCs/>
          <w:iCs/>
          <w:kern w:val="28"/>
          <w:sz w:val="36"/>
        </w:rPr>
      </w:pPr>
      <w:r w:rsidRPr="00815EFF">
        <w:rPr>
          <w:rFonts w:ascii="Arial" w:hAnsi="Arial" w:cs="Arial"/>
          <w:bCs/>
          <w:iCs/>
          <w:kern w:val="28"/>
          <w:sz w:val="36"/>
        </w:rPr>
        <w:t>The Effect of Financial Performance on Firm Value: The Moderating Role of Corporate Governance</w:t>
      </w:r>
      <w:r w:rsidR="00231920">
        <w:rPr>
          <w:rFonts w:ascii="Arial" w:hAnsi="Arial" w:cs="Arial"/>
          <w:bCs/>
          <w:iCs/>
          <w:kern w:val="28"/>
          <w:sz w:val="36"/>
        </w:rPr>
        <w:t xml:space="preserve"> </w:t>
      </w:r>
    </w:p>
    <w:p w14:paraId="357A8B2D" w14:textId="77777777" w:rsidR="00A258C3" w:rsidRPr="00790ADA" w:rsidRDefault="00A258C3" w:rsidP="00441B6F">
      <w:pPr>
        <w:pStyle w:val="Author"/>
        <w:spacing w:line="240" w:lineRule="auto"/>
        <w:jc w:val="both"/>
        <w:rPr>
          <w:rFonts w:ascii="Arial" w:hAnsi="Arial" w:cs="Arial"/>
          <w:sz w:val="36"/>
        </w:rPr>
      </w:pPr>
    </w:p>
    <w:p w14:paraId="77EEDD33" w14:textId="14D6F71F" w:rsidR="00B01FCD" w:rsidRPr="00FB3A86" w:rsidRDefault="00B01FCD" w:rsidP="00441B6F">
      <w:pPr>
        <w:pStyle w:val="Copyright"/>
        <w:spacing w:after="0" w:line="240" w:lineRule="auto"/>
        <w:jc w:val="both"/>
        <w:rPr>
          <w:rFonts w:ascii="Arial" w:hAnsi="Arial" w:cs="Arial"/>
        </w:rPr>
        <w:sectPr w:rsidR="00B01FCD" w:rsidRPr="00FB3A86" w:rsidSect="00045391">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p>
    <w:p w14:paraId="21A8DD8C" w14:textId="40B9B9B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6480C9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6423F3A" w14:textId="77777777" w:rsidTr="001E44FE">
        <w:tc>
          <w:tcPr>
            <w:tcW w:w="9576" w:type="dxa"/>
            <w:shd w:val="clear" w:color="auto" w:fill="F2F2F2"/>
          </w:tcPr>
          <w:p w14:paraId="695C1599" w14:textId="2527D97F" w:rsidR="00D02C2C" w:rsidRPr="00D02C2C" w:rsidRDefault="00D02C2C" w:rsidP="00441B6F">
            <w:pPr>
              <w:pStyle w:val="Body"/>
              <w:spacing w:after="0"/>
              <w:rPr>
                <w:rFonts w:ascii="Arial" w:eastAsia="Calibri" w:hAnsi="Arial" w:cs="Arial"/>
                <w:szCs w:val="22"/>
              </w:rPr>
            </w:pPr>
            <w:r>
              <w:rPr>
                <w:rFonts w:ascii="Arial" w:eastAsia="Calibri" w:hAnsi="Arial" w:cs="Arial"/>
                <w:b/>
                <w:bCs/>
                <w:szCs w:val="22"/>
              </w:rPr>
              <w:t xml:space="preserve">Aims: </w:t>
            </w:r>
            <w:r w:rsidRPr="00D02C2C">
              <w:rPr>
                <w:rFonts w:ascii="Arial" w:hAnsi="Arial" w:cs="Arial"/>
                <w:bCs/>
              </w:rPr>
              <w:t>This study aims to empirically examine the effect of financial performance, proxied by liquidity, leverage, activity, and profitability ratios, on firm value with corporate governance as a moderating variable.</w:t>
            </w:r>
          </w:p>
          <w:p w14:paraId="0111655B" w14:textId="1B5F62A2" w:rsidR="00D02C2C" w:rsidRDefault="00D02C2C" w:rsidP="00441B6F">
            <w:pPr>
              <w:pStyle w:val="Body"/>
              <w:spacing w:after="0"/>
              <w:rPr>
                <w:rFonts w:ascii="Arial" w:eastAsia="Calibri" w:hAnsi="Arial" w:cs="Arial"/>
                <w:b/>
                <w:bCs/>
                <w:szCs w:val="22"/>
              </w:rPr>
            </w:pPr>
            <w:r>
              <w:rPr>
                <w:rFonts w:ascii="Arial" w:eastAsia="Calibri" w:hAnsi="Arial" w:cs="Arial"/>
                <w:b/>
                <w:bCs/>
                <w:szCs w:val="22"/>
              </w:rPr>
              <w:t xml:space="preserve">Study design: </w:t>
            </w:r>
            <w:r w:rsidR="00BD103D" w:rsidRPr="00BD103D">
              <w:rPr>
                <w:rFonts w:ascii="Arial" w:eastAsia="Calibri" w:hAnsi="Arial" w:cs="Arial"/>
                <w:szCs w:val="22"/>
              </w:rPr>
              <w:t xml:space="preserve">This study uses quantitative methods with secondary data taken from the financial reports of energy sector companies </w:t>
            </w:r>
            <w:r w:rsidR="00BD103D">
              <w:rPr>
                <w:rFonts w:ascii="Arial" w:eastAsia="Calibri" w:hAnsi="Arial" w:cs="Arial"/>
                <w:szCs w:val="22"/>
              </w:rPr>
              <w:t>with</w:t>
            </w:r>
            <w:r w:rsidR="00BD103D" w:rsidRPr="00BD103D">
              <w:rPr>
                <w:rFonts w:ascii="Arial" w:eastAsia="Calibri" w:hAnsi="Arial" w:cs="Arial"/>
                <w:szCs w:val="22"/>
              </w:rPr>
              <w:t xml:space="preserve"> data collection techniques using purposive sampling.</w:t>
            </w:r>
          </w:p>
          <w:p w14:paraId="1831959A" w14:textId="5CAF014D" w:rsidR="00D02C2C" w:rsidRPr="00BD103D" w:rsidRDefault="00D02C2C" w:rsidP="00441B6F">
            <w:pPr>
              <w:pStyle w:val="Body"/>
              <w:spacing w:after="0"/>
              <w:rPr>
                <w:rFonts w:ascii="Arial" w:eastAsia="Calibri" w:hAnsi="Arial" w:cs="Arial"/>
                <w:szCs w:val="22"/>
              </w:rPr>
            </w:pPr>
            <w:r>
              <w:rPr>
                <w:rFonts w:ascii="Arial" w:eastAsia="Calibri" w:hAnsi="Arial" w:cs="Arial"/>
                <w:b/>
                <w:bCs/>
                <w:szCs w:val="22"/>
              </w:rPr>
              <w:t>Place and Duration of Study:</w:t>
            </w:r>
            <w:r w:rsidR="00BD103D">
              <w:rPr>
                <w:rFonts w:ascii="Arial" w:eastAsia="Calibri" w:hAnsi="Arial" w:cs="Arial"/>
                <w:b/>
                <w:bCs/>
                <w:szCs w:val="22"/>
              </w:rPr>
              <w:t xml:space="preserve"> </w:t>
            </w:r>
            <w:r w:rsidR="00326BA6" w:rsidRPr="00BD103D">
              <w:rPr>
                <w:rFonts w:ascii="Arial" w:eastAsia="Calibri" w:hAnsi="Arial" w:cs="Arial"/>
                <w:szCs w:val="22"/>
              </w:rPr>
              <w:t>The population</w:t>
            </w:r>
            <w:r w:rsidR="00BD103D" w:rsidRPr="00BD103D">
              <w:rPr>
                <w:rFonts w:ascii="Arial" w:eastAsia="Calibri" w:hAnsi="Arial" w:cs="Arial"/>
                <w:szCs w:val="22"/>
              </w:rPr>
              <w:t xml:space="preserve"> in this study are </w:t>
            </w:r>
            <w:r w:rsidR="00BD103D">
              <w:rPr>
                <w:rFonts w:ascii="Arial" w:eastAsia="Calibri" w:hAnsi="Arial" w:cs="Arial"/>
                <w:szCs w:val="22"/>
              </w:rPr>
              <w:t>energy sector</w:t>
            </w:r>
            <w:r w:rsidR="00BD103D" w:rsidRPr="00BD103D">
              <w:rPr>
                <w:rFonts w:ascii="Arial" w:eastAsia="Calibri" w:hAnsi="Arial" w:cs="Arial"/>
                <w:szCs w:val="22"/>
              </w:rPr>
              <w:t xml:space="preserve"> companies</w:t>
            </w:r>
            <w:r w:rsidR="00326BA6">
              <w:rPr>
                <w:rFonts w:ascii="Arial" w:eastAsia="Calibri" w:hAnsi="Arial" w:cs="Arial"/>
                <w:szCs w:val="22"/>
              </w:rPr>
              <w:t xml:space="preserve"> </w:t>
            </w:r>
            <w:r w:rsidR="00BD103D" w:rsidRPr="00BD103D">
              <w:rPr>
                <w:rFonts w:ascii="Arial" w:eastAsia="Calibri" w:hAnsi="Arial" w:cs="Arial"/>
                <w:szCs w:val="22"/>
              </w:rPr>
              <w:t>which are listed on the Indonesia Stock Exchange during 2019-202</w:t>
            </w:r>
            <w:r w:rsidR="00326BA6">
              <w:rPr>
                <w:rFonts w:ascii="Arial" w:eastAsia="Calibri" w:hAnsi="Arial" w:cs="Arial"/>
                <w:szCs w:val="22"/>
              </w:rPr>
              <w:t>3.</w:t>
            </w:r>
          </w:p>
          <w:p w14:paraId="41474394" w14:textId="2E609DCF" w:rsidR="00326BA6" w:rsidRDefault="00D02C2C" w:rsidP="00326BA6">
            <w:pPr>
              <w:pStyle w:val="Body"/>
              <w:spacing w:after="0"/>
              <w:rPr>
                <w:rFonts w:ascii="Arial" w:eastAsia="Calibri" w:hAnsi="Arial" w:cs="Arial"/>
                <w:szCs w:val="22"/>
              </w:rPr>
            </w:pPr>
            <w:r>
              <w:rPr>
                <w:rFonts w:ascii="Arial" w:eastAsia="Calibri" w:hAnsi="Arial" w:cs="Arial"/>
                <w:b/>
                <w:bCs/>
                <w:szCs w:val="22"/>
              </w:rPr>
              <w:t xml:space="preserve">Methodology: </w:t>
            </w:r>
            <w:r w:rsidR="00326BA6" w:rsidRPr="00326BA6">
              <w:rPr>
                <w:rFonts w:ascii="Arial" w:eastAsia="Calibri" w:hAnsi="Arial" w:cs="Arial"/>
                <w:szCs w:val="22"/>
              </w:rPr>
              <w:t xml:space="preserve">The data analysis technique </w:t>
            </w:r>
            <w:r w:rsidR="0045780F">
              <w:rPr>
                <w:rFonts w:ascii="Arial" w:eastAsia="Calibri" w:hAnsi="Arial" w:cs="Arial"/>
                <w:szCs w:val="22"/>
              </w:rPr>
              <w:t>is</w:t>
            </w:r>
            <w:r w:rsidRPr="00D02C2C">
              <w:rPr>
                <w:rFonts w:ascii="Arial" w:eastAsia="Calibri" w:hAnsi="Arial" w:cs="Arial"/>
                <w:szCs w:val="22"/>
              </w:rPr>
              <w:t xml:space="preserve"> Moderated</w:t>
            </w:r>
            <w:r>
              <w:rPr>
                <w:rFonts w:ascii="Arial" w:eastAsia="Calibri" w:hAnsi="Arial" w:cs="Arial"/>
                <w:szCs w:val="22"/>
              </w:rPr>
              <w:t xml:space="preserve"> </w:t>
            </w:r>
            <w:r w:rsidRPr="00D02C2C">
              <w:rPr>
                <w:rFonts w:ascii="Arial" w:eastAsia="Calibri" w:hAnsi="Arial" w:cs="Arial"/>
                <w:szCs w:val="22"/>
              </w:rPr>
              <w:t>Regression Analysis (MRA)</w:t>
            </w:r>
            <w:r w:rsidR="00326BA6">
              <w:rPr>
                <w:rFonts w:ascii="Arial" w:eastAsia="Calibri" w:hAnsi="Arial" w:cs="Arial"/>
                <w:szCs w:val="22"/>
              </w:rPr>
              <w:t xml:space="preserve"> </w:t>
            </w:r>
            <w:r w:rsidR="00326BA6" w:rsidRPr="00326BA6">
              <w:rPr>
                <w:rFonts w:ascii="Arial" w:eastAsia="Calibri" w:hAnsi="Arial" w:cs="Arial"/>
                <w:szCs w:val="22"/>
              </w:rPr>
              <w:t>with the aid of IBM SPSS Statistics 26</w:t>
            </w:r>
            <w:r w:rsidR="00326BA6">
              <w:rPr>
                <w:rFonts w:ascii="Arial" w:eastAsia="Calibri" w:hAnsi="Arial" w:cs="Arial"/>
                <w:szCs w:val="22"/>
              </w:rPr>
              <w:t>.</w:t>
            </w:r>
          </w:p>
          <w:p w14:paraId="27276E11" w14:textId="27E03EAD" w:rsidR="00CA5952" w:rsidRDefault="00D02C2C" w:rsidP="00E4165E">
            <w:pPr>
              <w:jc w:val="both"/>
              <w:rPr>
                <w:bCs/>
              </w:rPr>
            </w:pPr>
            <w:r>
              <w:rPr>
                <w:rFonts w:ascii="Arial" w:eastAsia="Calibri" w:hAnsi="Arial" w:cs="Arial"/>
                <w:b/>
                <w:bCs/>
                <w:szCs w:val="22"/>
              </w:rPr>
              <w:t xml:space="preserve">Results: </w:t>
            </w:r>
            <w:r w:rsidR="00CA5952" w:rsidRPr="00CA5952">
              <w:rPr>
                <w:rFonts w:ascii="Arial" w:eastAsia="Calibri" w:hAnsi="Arial" w:cs="Arial"/>
                <w:szCs w:val="22"/>
              </w:rPr>
              <w:t>The result of the analysis in this study found that</w:t>
            </w:r>
            <w:r w:rsidR="00E4165E">
              <w:rPr>
                <w:rFonts w:ascii="Arial" w:eastAsia="Calibri" w:hAnsi="Arial" w:cs="Arial"/>
                <w:szCs w:val="22"/>
              </w:rPr>
              <w:t xml:space="preserve"> financial performance with proxied by </w:t>
            </w:r>
            <w:r w:rsidR="00E4165E">
              <w:rPr>
                <w:bCs/>
              </w:rPr>
              <w:t>liquidity (</w:t>
            </w:r>
            <w:r w:rsidR="00E4165E" w:rsidRPr="00E4165E">
              <w:rPr>
                <w:bCs/>
              </w:rPr>
              <w:t>β</w:t>
            </w:r>
            <w:r w:rsidR="00E4165E">
              <w:rPr>
                <w:bCs/>
              </w:rPr>
              <w:t xml:space="preserve"> = -.063, p &lt; .05) and profitability (</w:t>
            </w:r>
            <w:r w:rsidR="00E4165E" w:rsidRPr="00E4165E">
              <w:rPr>
                <w:bCs/>
              </w:rPr>
              <w:t>β</w:t>
            </w:r>
            <w:r w:rsidR="00E4165E">
              <w:rPr>
                <w:bCs/>
              </w:rPr>
              <w:t xml:space="preserve"> = -.621, p &lt; .05) ratios </w:t>
            </w:r>
            <w:r w:rsidR="00E4165E" w:rsidRPr="00683CEF">
              <w:rPr>
                <w:bCs/>
              </w:rPr>
              <w:t>has a negative effect on firm value</w:t>
            </w:r>
            <w:r w:rsidR="00E4165E">
              <w:rPr>
                <w:bCs/>
              </w:rPr>
              <w:t>, but leverage (</w:t>
            </w:r>
            <w:r w:rsidR="00E4165E" w:rsidRPr="00E4165E">
              <w:rPr>
                <w:bCs/>
              </w:rPr>
              <w:t>β</w:t>
            </w:r>
            <w:r w:rsidR="00E4165E">
              <w:rPr>
                <w:bCs/>
              </w:rPr>
              <w:t xml:space="preserve"> = .124, p &gt; .05) and activity (</w:t>
            </w:r>
            <w:r w:rsidR="00E4165E" w:rsidRPr="00E4165E">
              <w:rPr>
                <w:bCs/>
              </w:rPr>
              <w:t>β</w:t>
            </w:r>
            <w:r w:rsidR="00E4165E">
              <w:rPr>
                <w:bCs/>
              </w:rPr>
              <w:t xml:space="preserve"> = .300, p &lt; .05) ratios</w:t>
            </w:r>
            <w:r w:rsidR="00E4165E" w:rsidRPr="00683CEF">
              <w:rPr>
                <w:bCs/>
              </w:rPr>
              <w:t xml:space="preserve"> has a </w:t>
            </w:r>
            <w:r w:rsidR="00E4165E">
              <w:rPr>
                <w:bCs/>
              </w:rPr>
              <w:t>positive</w:t>
            </w:r>
            <w:r w:rsidR="00E4165E" w:rsidRPr="00683CEF">
              <w:rPr>
                <w:bCs/>
              </w:rPr>
              <w:t xml:space="preserve"> effect on firm value</w:t>
            </w:r>
            <w:r w:rsidR="00E4165E">
              <w:rPr>
                <w:bCs/>
              </w:rPr>
              <w:t>,</w:t>
            </w:r>
            <w:r w:rsidR="00E4165E" w:rsidRPr="00683CEF">
              <w:rPr>
                <w:bCs/>
              </w:rPr>
              <w:t xml:space="preserve"> and </w:t>
            </w:r>
            <w:r w:rsidR="00E4165E">
              <w:rPr>
                <w:bCs/>
              </w:rPr>
              <w:t>corporate governance</w:t>
            </w:r>
            <w:r w:rsidR="00E4165E" w:rsidRPr="00683CEF">
              <w:rPr>
                <w:bCs/>
              </w:rPr>
              <w:t xml:space="preserve"> can moderate a firm value's liquidity, leverage, activity, and profitability ratios.</w:t>
            </w:r>
          </w:p>
          <w:p w14:paraId="372FF7CD" w14:textId="5A083445" w:rsidR="00505F06" w:rsidRPr="0045780F" w:rsidRDefault="0045780F" w:rsidP="0045780F">
            <w:pPr>
              <w:jc w:val="both"/>
              <w:rPr>
                <w:bCs/>
              </w:rPr>
            </w:pPr>
            <w:r>
              <w:rPr>
                <w:b/>
              </w:rPr>
              <w:t>Conclusion</w:t>
            </w:r>
            <w:r w:rsidR="00E4165E">
              <w:rPr>
                <w:b/>
              </w:rPr>
              <w:t xml:space="preserve">: </w:t>
            </w:r>
            <w:r w:rsidR="003E1161" w:rsidRPr="003E1161">
              <w:rPr>
                <w:rFonts w:ascii="Arial" w:eastAsia="Calibri" w:hAnsi="Arial" w:cs="Arial"/>
                <w:szCs w:val="22"/>
              </w:rPr>
              <w:t xml:space="preserve">This study concludes that financial performance can have a positive effect on </w:t>
            </w:r>
            <w:r>
              <w:rPr>
                <w:rFonts w:ascii="Arial" w:eastAsia="Calibri" w:hAnsi="Arial" w:cs="Arial"/>
                <w:szCs w:val="22"/>
              </w:rPr>
              <w:t>firm value</w:t>
            </w:r>
            <w:r w:rsidR="003E1161" w:rsidRPr="003E1161">
              <w:rPr>
                <w:rFonts w:ascii="Arial" w:eastAsia="Calibri" w:hAnsi="Arial" w:cs="Arial"/>
                <w:szCs w:val="22"/>
              </w:rPr>
              <w:t xml:space="preserve"> if companies use optimal debt and effective asset management. </w:t>
            </w:r>
            <w:r w:rsidR="0032160E">
              <w:rPr>
                <w:rFonts w:ascii="Arial" w:eastAsia="Calibri" w:hAnsi="Arial" w:cs="Arial"/>
                <w:szCs w:val="22"/>
              </w:rPr>
              <w:t>However</w:t>
            </w:r>
            <w:r w:rsidR="003E1161" w:rsidRPr="003E1161">
              <w:rPr>
                <w:rFonts w:ascii="Arial" w:eastAsia="Calibri" w:hAnsi="Arial" w:cs="Arial"/>
                <w:szCs w:val="22"/>
              </w:rPr>
              <w:t>, high levels of liquidity and profitability do not always increase company value, which may be due to inefficient use of resources or suboptimal reinvestment strategies. The presence of corporate governance has been shown to moderate the relationship between financial performance and company value, either strengthening or weakening that influence depending on the quality and effectiveness of the governance mechanisms implemented. These findings underscore the importance of governance structures in aligning managerial actions with shareholder interests and enhancing company value.</w:t>
            </w:r>
          </w:p>
        </w:tc>
      </w:tr>
    </w:tbl>
    <w:p w14:paraId="7680600B" w14:textId="77777777" w:rsidR="00636EB2" w:rsidRDefault="00636EB2" w:rsidP="00441B6F">
      <w:pPr>
        <w:pStyle w:val="Body"/>
        <w:spacing w:after="0"/>
        <w:rPr>
          <w:rFonts w:ascii="Arial" w:hAnsi="Arial" w:cs="Arial"/>
          <w:i/>
        </w:rPr>
      </w:pPr>
    </w:p>
    <w:p w14:paraId="35F18D3E" w14:textId="366F249A" w:rsidR="00BA76EC" w:rsidRDefault="00A24E7E" w:rsidP="00BA76EC">
      <w:pPr>
        <w:pStyle w:val="Body"/>
        <w:spacing w:after="0"/>
        <w:rPr>
          <w:rFonts w:ascii="Arial" w:hAnsi="Arial" w:cs="Arial"/>
          <w:i/>
          <w:sz w:val="18"/>
        </w:rPr>
      </w:pPr>
      <w:r>
        <w:rPr>
          <w:rFonts w:ascii="Arial" w:hAnsi="Arial" w:cs="Arial"/>
          <w:i/>
        </w:rPr>
        <w:t>Keywords:</w:t>
      </w:r>
      <w:r w:rsidR="00BA76EC">
        <w:rPr>
          <w:rFonts w:ascii="Arial" w:hAnsi="Arial" w:cs="Arial"/>
          <w:i/>
        </w:rPr>
        <w:t xml:space="preserve"> </w:t>
      </w:r>
      <w:r w:rsidR="00BA76EC" w:rsidRPr="00BA76EC">
        <w:rPr>
          <w:rFonts w:ascii="Arial" w:hAnsi="Arial" w:cs="Arial"/>
          <w:i/>
        </w:rPr>
        <w:t>corporate governance</w:t>
      </w:r>
      <w:r w:rsidR="004F7DA6">
        <w:rPr>
          <w:rFonts w:ascii="Arial" w:hAnsi="Arial" w:cs="Arial"/>
          <w:i/>
        </w:rPr>
        <w:t>;</w:t>
      </w:r>
      <w:r w:rsidR="00BA76EC" w:rsidRPr="00BA76EC">
        <w:rPr>
          <w:rFonts w:ascii="Arial" w:hAnsi="Arial" w:cs="Arial"/>
          <w:i/>
        </w:rPr>
        <w:t xml:space="preserve"> financial performance</w:t>
      </w:r>
      <w:r w:rsidR="004F7DA6">
        <w:rPr>
          <w:rFonts w:ascii="Arial" w:hAnsi="Arial" w:cs="Arial"/>
          <w:i/>
        </w:rPr>
        <w:t>;</w:t>
      </w:r>
      <w:r w:rsidR="00BA76EC" w:rsidRPr="00BA76EC">
        <w:rPr>
          <w:rFonts w:ascii="Arial" w:hAnsi="Arial" w:cs="Arial"/>
          <w:i/>
        </w:rPr>
        <w:t xml:space="preserve"> </w:t>
      </w:r>
      <w:r w:rsidR="00BA76EC">
        <w:rPr>
          <w:rFonts w:ascii="Arial" w:hAnsi="Arial" w:cs="Arial"/>
          <w:i/>
        </w:rPr>
        <w:t>firm</w:t>
      </w:r>
      <w:r w:rsidR="00BA76EC" w:rsidRPr="00BA76EC">
        <w:rPr>
          <w:rFonts w:ascii="Arial" w:hAnsi="Arial" w:cs="Arial"/>
          <w:i/>
        </w:rPr>
        <w:t xml:space="preserve"> value</w:t>
      </w:r>
      <w:r w:rsidR="004F7DA6">
        <w:rPr>
          <w:rFonts w:ascii="Arial" w:hAnsi="Arial" w:cs="Arial"/>
          <w:i/>
        </w:rPr>
        <w:t xml:space="preserve">; </w:t>
      </w:r>
      <w:r w:rsidR="004F7DA6" w:rsidRPr="004F7DA6">
        <w:rPr>
          <w:rFonts w:ascii="Arial" w:hAnsi="Arial" w:cs="Arial"/>
          <w:i/>
        </w:rPr>
        <w:t>energy stock exchange</w:t>
      </w:r>
    </w:p>
    <w:p w14:paraId="71BCC838" w14:textId="745066B7" w:rsidR="00B52896" w:rsidRDefault="00B52896" w:rsidP="00441B6F">
      <w:pPr>
        <w:pStyle w:val="Body"/>
        <w:spacing w:after="0"/>
        <w:rPr>
          <w:rFonts w:ascii="Arial" w:hAnsi="Arial" w:cs="Arial"/>
          <w:i/>
          <w:sz w:val="18"/>
        </w:rPr>
      </w:pPr>
    </w:p>
    <w:p w14:paraId="03F664BB" w14:textId="77777777" w:rsidR="00505F06" w:rsidRPr="00A24E7E" w:rsidRDefault="00505F06" w:rsidP="00441B6F">
      <w:pPr>
        <w:pStyle w:val="Body"/>
        <w:spacing w:after="0"/>
        <w:rPr>
          <w:rFonts w:ascii="Arial" w:hAnsi="Arial" w:cs="Arial"/>
          <w:i/>
        </w:rPr>
      </w:pPr>
    </w:p>
    <w:p w14:paraId="1E830B77" w14:textId="127973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5B8A2E" w14:textId="77777777" w:rsidR="00790ADA" w:rsidRPr="00FB3A86" w:rsidRDefault="00790ADA" w:rsidP="00441B6F">
      <w:pPr>
        <w:pStyle w:val="AbstHead"/>
        <w:spacing w:after="0"/>
        <w:jc w:val="both"/>
        <w:rPr>
          <w:rFonts w:ascii="Arial" w:hAnsi="Arial" w:cs="Arial"/>
        </w:rPr>
      </w:pPr>
    </w:p>
    <w:p w14:paraId="13AF7E85" w14:textId="77777777" w:rsidR="00BA76EC" w:rsidRPr="00BA76EC" w:rsidRDefault="00BA76EC" w:rsidP="00BA76EC">
      <w:pPr>
        <w:pStyle w:val="Body"/>
        <w:rPr>
          <w:rFonts w:ascii="Arial" w:hAnsi="Arial" w:cs="Arial"/>
        </w:rPr>
      </w:pPr>
      <w:r w:rsidRPr="00BA76EC">
        <w:rPr>
          <w:rFonts w:ascii="Arial" w:hAnsi="Arial" w:cs="Arial"/>
        </w:rPr>
        <w:t>The development of a company can be measured through various aspects, one of which is the enhancement of firm value. Firm value serves as a crucial indicator reflecting how well a company is managed and how effectively it generates profits. An increase in firm value indicates that a company is growing and has promising future prospects. Firm value is influenced by several aspects of financial performance, including liquidity, solvency, activity, and profitability. Each of these aspects offers a distinct perspective on a company’s performance and potential, and when combined, provides a comprehensive view of its value. Strong and sustainable financial performance can enhance the perceived value of a firm among investors, creditors, and other stakeholders. Financial performance can be measured in terms of liquidity, solvency, profitability, and activity.</w:t>
      </w:r>
    </w:p>
    <w:p w14:paraId="4E9581B7" w14:textId="4B8AD015" w:rsidR="00BA76EC" w:rsidRPr="00BA76EC" w:rsidRDefault="00BA76EC" w:rsidP="00BA76EC">
      <w:pPr>
        <w:pStyle w:val="Body"/>
        <w:rPr>
          <w:rFonts w:ascii="Arial" w:hAnsi="Arial" w:cs="Arial"/>
        </w:rPr>
      </w:pPr>
      <w:r w:rsidRPr="00BA76EC">
        <w:rPr>
          <w:rFonts w:ascii="Arial" w:hAnsi="Arial" w:cs="Arial"/>
        </w:rPr>
        <w:lastRenderedPageBreak/>
        <w:t xml:space="preserve">Liquidity is an essential aspect of financial management, describing a company's ability to meet its short-term obligations or liabilities that must be settled immediately. It not only enables a company to manage its liabilities effectively but also enhances its ability to seize growth opportunities, </w:t>
      </w:r>
      <w:proofErr w:type="spellStart"/>
      <w:r w:rsidRPr="00BA76EC">
        <w:rPr>
          <w:rFonts w:ascii="Arial" w:hAnsi="Arial" w:cs="Arial"/>
        </w:rPr>
        <w:t>ther</w:t>
      </w:r>
      <w:proofErr w:type="spellEnd"/>
      <w:r w:rsidR="00E4165E">
        <w:rPr>
          <w:rFonts w:ascii="Arial" w:hAnsi="Arial" w:cs="Arial"/>
        </w:rPr>
        <w:t xml:space="preserve">, p &lt; </w:t>
      </w:r>
      <w:proofErr w:type="spellStart"/>
      <w:r w:rsidRPr="00BA76EC">
        <w:rPr>
          <w:rFonts w:ascii="Arial" w:hAnsi="Arial" w:cs="Arial"/>
        </w:rPr>
        <w:t>eby</w:t>
      </w:r>
      <w:proofErr w:type="spellEnd"/>
      <w:r w:rsidRPr="00BA76EC">
        <w:rPr>
          <w:rFonts w:ascii="Arial" w:hAnsi="Arial" w:cs="Arial"/>
        </w:rPr>
        <w:t xml:space="preserve"> contributing to an increase in firm value. This is supported by previous research conducted by </w:t>
      </w:r>
      <w:proofErr w:type="spellStart"/>
      <w:r w:rsidRPr="00BA76EC">
        <w:rPr>
          <w:rFonts w:ascii="Arial" w:hAnsi="Arial" w:cs="Arial"/>
        </w:rPr>
        <w:t>Rifayani</w:t>
      </w:r>
      <w:proofErr w:type="spellEnd"/>
      <w:r w:rsidRPr="00BA76EC">
        <w:rPr>
          <w:rFonts w:ascii="Arial" w:hAnsi="Arial" w:cs="Arial"/>
        </w:rPr>
        <w:t xml:space="preserve"> and </w:t>
      </w:r>
      <w:proofErr w:type="spellStart"/>
      <w:r w:rsidRPr="00BA76EC">
        <w:rPr>
          <w:rFonts w:ascii="Arial" w:hAnsi="Arial" w:cs="Arial"/>
        </w:rPr>
        <w:t>Yunita</w:t>
      </w:r>
      <w:proofErr w:type="spellEnd"/>
      <w:r w:rsidRPr="00BA76EC">
        <w:rPr>
          <w:rFonts w:ascii="Arial" w:hAnsi="Arial" w:cs="Arial"/>
        </w:rPr>
        <w:t xml:space="preserve"> (2023), </w:t>
      </w:r>
      <w:proofErr w:type="spellStart"/>
      <w:r w:rsidRPr="00BA76EC">
        <w:rPr>
          <w:rFonts w:ascii="Arial" w:hAnsi="Arial" w:cs="Arial"/>
        </w:rPr>
        <w:t>Priatna</w:t>
      </w:r>
      <w:proofErr w:type="spellEnd"/>
      <w:r w:rsidRPr="00BA76EC">
        <w:rPr>
          <w:rFonts w:ascii="Arial" w:hAnsi="Arial" w:cs="Arial"/>
        </w:rPr>
        <w:t xml:space="preserve"> and </w:t>
      </w:r>
      <w:proofErr w:type="spellStart"/>
      <w:r w:rsidRPr="00BA76EC">
        <w:rPr>
          <w:rFonts w:ascii="Arial" w:hAnsi="Arial" w:cs="Arial"/>
        </w:rPr>
        <w:t>Sakir</w:t>
      </w:r>
      <w:proofErr w:type="spellEnd"/>
      <w:r w:rsidRPr="00BA76EC">
        <w:rPr>
          <w:rFonts w:ascii="Arial" w:hAnsi="Arial" w:cs="Arial"/>
        </w:rPr>
        <w:t xml:space="preserve"> (2023), and Dewi et al. (2022), which found that liquidity, as measured by the current ratio (CR), influences firm value. However, a study by Nazariah (2019) on the effect of financial ratios on firm value in manufacturing companies in the consumer goods sector listed on the Indonesia Stock Exchange (2012–2017) found that the CR had no significant effect on firm value.</w:t>
      </w:r>
    </w:p>
    <w:p w14:paraId="589E3BAC" w14:textId="40268313" w:rsidR="00BA76EC" w:rsidRPr="00BA76EC" w:rsidRDefault="00A2098D" w:rsidP="00BA76EC">
      <w:pPr>
        <w:pStyle w:val="Body"/>
        <w:rPr>
          <w:rFonts w:ascii="Arial" w:hAnsi="Arial" w:cs="Arial"/>
        </w:rPr>
      </w:pPr>
      <w:r>
        <w:rPr>
          <w:rFonts w:ascii="Arial" w:hAnsi="Arial" w:cs="Arial"/>
        </w:rPr>
        <w:t>“</w:t>
      </w:r>
      <w:r w:rsidR="00BA76EC" w:rsidRPr="00BA76EC">
        <w:rPr>
          <w:rFonts w:ascii="Arial" w:hAnsi="Arial" w:cs="Arial"/>
        </w:rPr>
        <w:t>Leverage significantly affects firm value through several channels. Financial leverage refers to the use of debt to finance business operations with the aim of increasing returns for shareholders. While leverage may amplify potential gains, it also increases risk</w:t>
      </w:r>
      <w:r>
        <w:rPr>
          <w:rFonts w:ascii="Arial" w:hAnsi="Arial" w:cs="Arial"/>
        </w:rPr>
        <w:t>”</w:t>
      </w:r>
      <w:r w:rsidR="00BA76EC" w:rsidRPr="00BA76EC">
        <w:rPr>
          <w:rFonts w:ascii="Arial" w:hAnsi="Arial" w:cs="Arial"/>
        </w:rPr>
        <w:t xml:space="preserve"> (Al </w:t>
      </w:r>
      <w:proofErr w:type="spellStart"/>
      <w:r w:rsidR="00BA76EC" w:rsidRPr="00BA76EC">
        <w:rPr>
          <w:rFonts w:ascii="Arial" w:hAnsi="Arial" w:cs="Arial"/>
        </w:rPr>
        <w:t>Fadihillah</w:t>
      </w:r>
      <w:proofErr w:type="spellEnd"/>
      <w:r w:rsidR="00BA76EC" w:rsidRPr="00BA76EC">
        <w:rPr>
          <w:rFonts w:ascii="Arial" w:hAnsi="Arial" w:cs="Arial"/>
        </w:rPr>
        <w:t xml:space="preserve"> &amp; Sri </w:t>
      </w:r>
      <w:proofErr w:type="spellStart"/>
      <w:r w:rsidR="00BA76EC" w:rsidRPr="00BA76EC">
        <w:rPr>
          <w:rFonts w:ascii="Arial" w:hAnsi="Arial" w:cs="Arial"/>
        </w:rPr>
        <w:t>Utiyati</w:t>
      </w:r>
      <w:proofErr w:type="spellEnd"/>
      <w:r w:rsidR="00BA76EC" w:rsidRPr="00BA76EC">
        <w:rPr>
          <w:rFonts w:ascii="Arial" w:hAnsi="Arial" w:cs="Arial"/>
        </w:rPr>
        <w:t>, 2022). Companies with high leverage may face reduced financial flexibility, limiting their capacity to fund new investments, expand, or weather adverse market conditions. This limitation may ultimately hinder growth and negatively impact firm value.</w:t>
      </w:r>
    </w:p>
    <w:p w14:paraId="4964086E" w14:textId="73052E3A" w:rsidR="00BA76EC" w:rsidRPr="00BA76EC" w:rsidRDefault="00A2098D" w:rsidP="00BA76EC">
      <w:pPr>
        <w:pStyle w:val="Body"/>
        <w:rPr>
          <w:rFonts w:ascii="Arial" w:hAnsi="Arial" w:cs="Arial"/>
        </w:rPr>
      </w:pPr>
      <w:r>
        <w:rPr>
          <w:rFonts w:ascii="Arial" w:hAnsi="Arial" w:cs="Arial"/>
        </w:rPr>
        <w:t>“</w:t>
      </w:r>
      <w:r w:rsidR="00BA76EC" w:rsidRPr="00BA76EC">
        <w:rPr>
          <w:rFonts w:ascii="Arial" w:hAnsi="Arial" w:cs="Arial"/>
        </w:rPr>
        <w:t>The activity ratio is a key indicator used to assess how efficiently a company utilizes its assets to generate sales or revenue. A higher activity ratio may indicate strong management and growth potential</w:t>
      </w:r>
      <w:r>
        <w:rPr>
          <w:rFonts w:ascii="Arial" w:hAnsi="Arial" w:cs="Arial"/>
        </w:rPr>
        <w:t>”</w:t>
      </w:r>
      <w:r w:rsidR="00BA76EC" w:rsidRPr="00BA76EC">
        <w:rPr>
          <w:rFonts w:ascii="Arial" w:hAnsi="Arial" w:cs="Arial"/>
        </w:rPr>
        <w:t xml:space="preserve"> (</w:t>
      </w:r>
      <w:proofErr w:type="spellStart"/>
      <w:r w:rsidR="00BA76EC" w:rsidRPr="00BA76EC">
        <w:rPr>
          <w:rFonts w:ascii="Arial" w:hAnsi="Arial" w:cs="Arial"/>
        </w:rPr>
        <w:t>Rifayani</w:t>
      </w:r>
      <w:proofErr w:type="spellEnd"/>
      <w:r w:rsidR="00BA76EC" w:rsidRPr="00BA76EC">
        <w:rPr>
          <w:rFonts w:ascii="Arial" w:hAnsi="Arial" w:cs="Arial"/>
        </w:rPr>
        <w:t xml:space="preserve"> &amp; </w:t>
      </w:r>
      <w:proofErr w:type="spellStart"/>
      <w:r w:rsidR="00BA76EC" w:rsidRPr="00BA76EC">
        <w:rPr>
          <w:rFonts w:ascii="Arial" w:hAnsi="Arial" w:cs="Arial"/>
        </w:rPr>
        <w:t>Yunita</w:t>
      </w:r>
      <w:proofErr w:type="spellEnd"/>
      <w:r w:rsidR="00BA76EC" w:rsidRPr="00BA76EC">
        <w:rPr>
          <w:rFonts w:ascii="Arial" w:hAnsi="Arial" w:cs="Arial"/>
        </w:rPr>
        <w:t xml:space="preserve">, 2023). </w:t>
      </w:r>
      <w:r>
        <w:rPr>
          <w:rFonts w:ascii="Arial" w:hAnsi="Arial" w:cs="Arial"/>
        </w:rPr>
        <w:t>“</w:t>
      </w:r>
      <w:r w:rsidR="00BA76EC" w:rsidRPr="00BA76EC">
        <w:rPr>
          <w:rFonts w:ascii="Arial" w:hAnsi="Arial" w:cs="Arial"/>
        </w:rPr>
        <w:t>However, it is important to note that extremely high activity ratios are not always favorable. For example, a very high inventory turnover ratio might indicate insufficient stock to meet demand, potentially leading to lost sales and decreased customer satisfaction</w:t>
      </w:r>
      <w:r>
        <w:rPr>
          <w:rFonts w:ascii="Arial" w:hAnsi="Arial" w:cs="Arial"/>
        </w:rPr>
        <w:t>”</w:t>
      </w:r>
      <w:r w:rsidR="00BA76EC" w:rsidRPr="00BA76EC">
        <w:rPr>
          <w:rFonts w:ascii="Arial" w:hAnsi="Arial" w:cs="Arial"/>
        </w:rPr>
        <w:t xml:space="preserve"> (</w:t>
      </w:r>
      <w:proofErr w:type="spellStart"/>
      <w:r w:rsidR="00BA76EC" w:rsidRPr="00BA76EC">
        <w:rPr>
          <w:rFonts w:ascii="Arial" w:hAnsi="Arial" w:cs="Arial"/>
        </w:rPr>
        <w:t>Nazariah</w:t>
      </w:r>
      <w:proofErr w:type="spellEnd"/>
      <w:r w:rsidR="00BA76EC" w:rsidRPr="00BA76EC">
        <w:rPr>
          <w:rFonts w:ascii="Arial" w:hAnsi="Arial" w:cs="Arial"/>
        </w:rPr>
        <w:t xml:space="preserve"> et al., 2019).</w:t>
      </w:r>
    </w:p>
    <w:p w14:paraId="1DA440B9" w14:textId="7C9AE7E5" w:rsidR="00BA76EC" w:rsidRPr="00BA76EC" w:rsidRDefault="00A2098D" w:rsidP="00BA76EC">
      <w:pPr>
        <w:pStyle w:val="Body"/>
        <w:rPr>
          <w:rFonts w:ascii="Arial" w:hAnsi="Arial" w:cs="Arial"/>
        </w:rPr>
      </w:pPr>
      <w:r>
        <w:rPr>
          <w:rFonts w:ascii="Arial" w:hAnsi="Arial" w:cs="Arial"/>
        </w:rPr>
        <w:t>“</w:t>
      </w:r>
      <w:r w:rsidR="00BA76EC" w:rsidRPr="00BA76EC">
        <w:rPr>
          <w:rFonts w:ascii="Arial" w:hAnsi="Arial" w:cs="Arial"/>
        </w:rPr>
        <w:t>Profitability is one of the primary indicators of a company’s financial health. Companies with high net profit margins (NPM) are generally perceived as more financially sound, as they demonstrate the ability to generate more profit from their revenues. This enhances investor confidence and may increase firm value</w:t>
      </w:r>
      <w:r>
        <w:rPr>
          <w:rFonts w:ascii="Arial" w:hAnsi="Arial" w:cs="Arial"/>
        </w:rPr>
        <w:t>”</w:t>
      </w:r>
      <w:r w:rsidR="00BA76EC" w:rsidRPr="00BA76EC">
        <w:rPr>
          <w:rFonts w:ascii="Arial" w:hAnsi="Arial" w:cs="Arial"/>
        </w:rPr>
        <w:t xml:space="preserve"> (</w:t>
      </w:r>
      <w:proofErr w:type="spellStart"/>
      <w:r w:rsidR="00BA76EC" w:rsidRPr="00BA76EC">
        <w:rPr>
          <w:rFonts w:ascii="Arial" w:hAnsi="Arial" w:cs="Arial"/>
        </w:rPr>
        <w:t>Rifayani</w:t>
      </w:r>
      <w:proofErr w:type="spellEnd"/>
      <w:r w:rsidR="00BA76EC" w:rsidRPr="00BA76EC">
        <w:rPr>
          <w:rFonts w:ascii="Arial" w:hAnsi="Arial" w:cs="Arial"/>
        </w:rPr>
        <w:t xml:space="preserve"> &amp; </w:t>
      </w:r>
      <w:proofErr w:type="spellStart"/>
      <w:r w:rsidR="00BA76EC" w:rsidRPr="00BA76EC">
        <w:rPr>
          <w:rFonts w:ascii="Arial" w:hAnsi="Arial" w:cs="Arial"/>
        </w:rPr>
        <w:t>Yunita</w:t>
      </w:r>
      <w:proofErr w:type="spellEnd"/>
      <w:r w:rsidR="00BA76EC" w:rsidRPr="00BA76EC">
        <w:rPr>
          <w:rFonts w:ascii="Arial" w:hAnsi="Arial" w:cs="Arial"/>
        </w:rPr>
        <w:t xml:space="preserve">, 2023). However, </w:t>
      </w:r>
      <w:proofErr w:type="spellStart"/>
      <w:r w:rsidR="00BA76EC" w:rsidRPr="00BA76EC">
        <w:rPr>
          <w:rFonts w:ascii="Arial" w:hAnsi="Arial" w:cs="Arial"/>
        </w:rPr>
        <w:t>Priatna</w:t>
      </w:r>
      <w:proofErr w:type="spellEnd"/>
      <w:r w:rsidR="00BA76EC" w:rsidRPr="00BA76EC">
        <w:rPr>
          <w:rFonts w:ascii="Arial" w:hAnsi="Arial" w:cs="Arial"/>
        </w:rPr>
        <w:t xml:space="preserve"> and </w:t>
      </w:r>
      <w:proofErr w:type="spellStart"/>
      <w:r w:rsidR="00BA76EC" w:rsidRPr="00BA76EC">
        <w:rPr>
          <w:rFonts w:ascii="Arial" w:hAnsi="Arial" w:cs="Arial"/>
        </w:rPr>
        <w:t>Sakir</w:t>
      </w:r>
      <w:proofErr w:type="spellEnd"/>
      <w:r w:rsidR="00BA76EC" w:rsidRPr="00BA76EC">
        <w:rPr>
          <w:rFonts w:ascii="Arial" w:hAnsi="Arial" w:cs="Arial"/>
        </w:rPr>
        <w:t xml:space="preserve"> (2023) argue that higher NPM may result in lower firm value. In contrast, lower NPM may lead to a higher firm value. This is because higher margins typically raise product or service prices, which can reduce competitiveness in the long term. Such conditions may deter investors who prefer companies with more competitive pricing.</w:t>
      </w:r>
    </w:p>
    <w:p w14:paraId="4153CE1A" w14:textId="45EEDB91" w:rsidR="00BA76EC" w:rsidRPr="00BA76EC" w:rsidRDefault="00BA76EC" w:rsidP="00BA76EC">
      <w:pPr>
        <w:pStyle w:val="Body"/>
        <w:rPr>
          <w:rFonts w:ascii="Arial" w:hAnsi="Arial" w:cs="Arial"/>
        </w:rPr>
      </w:pPr>
      <w:r w:rsidRPr="00BA76EC">
        <w:rPr>
          <w:rFonts w:ascii="Arial" w:hAnsi="Arial" w:cs="Arial"/>
        </w:rPr>
        <w:t>Good corporate governance plays a critical role in determining firm value. Corporate governance entails the application of principles such as transparency, accountability, and fairness. Implementing these principles enhances investor trust, which can stimulate investment and, in turn, boost the company's market value (</w:t>
      </w:r>
      <w:proofErr w:type="spellStart"/>
      <w:r w:rsidRPr="00BA76EC">
        <w:rPr>
          <w:rFonts w:ascii="Arial" w:hAnsi="Arial" w:cs="Arial"/>
        </w:rPr>
        <w:t>Saragih</w:t>
      </w:r>
      <w:proofErr w:type="spellEnd"/>
      <w:r w:rsidRPr="00BA76EC">
        <w:rPr>
          <w:rFonts w:ascii="Arial" w:hAnsi="Arial" w:cs="Arial"/>
        </w:rPr>
        <w:t xml:space="preserve"> &amp; Forever, 2024). </w:t>
      </w:r>
      <w:bookmarkStart w:id="0" w:name="_GoBack"/>
      <w:bookmarkEnd w:id="0"/>
      <w:r w:rsidRPr="00BA76EC">
        <w:rPr>
          <w:rFonts w:ascii="Arial" w:hAnsi="Arial" w:cs="Arial"/>
        </w:rPr>
        <w:t xml:space="preserve">However, corporate governance does not always strengthen or moderate the impact of financial performance on firm value. This was demonstrated by </w:t>
      </w:r>
      <w:proofErr w:type="spellStart"/>
      <w:r w:rsidRPr="00BA76EC">
        <w:rPr>
          <w:rFonts w:ascii="Arial" w:hAnsi="Arial" w:cs="Arial"/>
        </w:rPr>
        <w:t>Tzaniatuzaima</w:t>
      </w:r>
      <w:proofErr w:type="spellEnd"/>
      <w:r w:rsidRPr="00BA76EC">
        <w:rPr>
          <w:rFonts w:ascii="Arial" w:hAnsi="Arial" w:cs="Arial"/>
        </w:rPr>
        <w:t xml:space="preserve"> and </w:t>
      </w:r>
      <w:proofErr w:type="spellStart"/>
      <w:r w:rsidRPr="00BA76EC">
        <w:rPr>
          <w:rFonts w:ascii="Arial" w:hAnsi="Arial" w:cs="Arial"/>
        </w:rPr>
        <w:t>Maryanti</w:t>
      </w:r>
      <w:proofErr w:type="spellEnd"/>
      <w:r w:rsidRPr="00BA76EC">
        <w:rPr>
          <w:rFonts w:ascii="Arial" w:hAnsi="Arial" w:cs="Arial"/>
        </w:rPr>
        <w:t xml:space="preserve"> (2022), who studied the effect of CR, ROA, and DER on firm value with Good Corporate Governance as a moderating variable, and found that GCG could not significantly moderate the relationship between CR and ROA and firm value.</w:t>
      </w:r>
    </w:p>
    <w:p w14:paraId="66D0D828" w14:textId="15CA5540" w:rsidR="00BA76EC" w:rsidRDefault="00BA76EC" w:rsidP="00BA76EC">
      <w:pPr>
        <w:pStyle w:val="Body"/>
        <w:spacing w:after="0"/>
        <w:rPr>
          <w:rFonts w:ascii="Arial" w:hAnsi="Arial" w:cs="Arial"/>
        </w:rPr>
      </w:pPr>
      <w:r w:rsidRPr="00BA76EC">
        <w:rPr>
          <w:rFonts w:ascii="Arial" w:hAnsi="Arial" w:cs="Arial"/>
        </w:rPr>
        <w:t xml:space="preserve">This study focuses on companies in the energy sector listed on the Indonesia Stock Exchange (IDX). The energy sector includes some of the largest-cap companies on the IDX, and fluctuations in their stock prices can significantly influence the Jakarta Composite Index (IHSG). This is evident from data published by the IDX, which lists energy companies among the top contributors to IHSG movements. The focus on the energy sector and the inclusion of corporate governance—proxied by managerial ownership—as a moderating variable represent the novelty of this research. </w:t>
      </w:r>
    </w:p>
    <w:p w14:paraId="5101A0D3" w14:textId="66968F3C" w:rsidR="00B01FCD" w:rsidRDefault="00B01FCD" w:rsidP="00441B6F">
      <w:pPr>
        <w:pStyle w:val="Body"/>
        <w:spacing w:after="0"/>
        <w:rPr>
          <w:rFonts w:ascii="Arial" w:hAnsi="Arial" w:cs="Arial"/>
        </w:rPr>
      </w:pPr>
    </w:p>
    <w:p w14:paraId="4683AFB8" w14:textId="77777777" w:rsidR="00790ADA" w:rsidRPr="00FB3A86" w:rsidRDefault="00790ADA" w:rsidP="00441B6F">
      <w:pPr>
        <w:pStyle w:val="Body"/>
        <w:spacing w:after="0"/>
        <w:rPr>
          <w:rFonts w:ascii="Arial" w:hAnsi="Arial" w:cs="Arial"/>
        </w:rPr>
      </w:pPr>
    </w:p>
    <w:p w14:paraId="62A6E719" w14:textId="2277655F" w:rsidR="00E66E10" w:rsidRDefault="00902823" w:rsidP="00DE3414">
      <w:pPr>
        <w:pStyle w:val="AbstHead"/>
        <w:spacing w:after="0"/>
        <w:jc w:val="both"/>
        <w:rPr>
          <w:rFonts w:ascii="Arial" w:hAnsi="Arial" w:cs="Arial"/>
        </w:rPr>
      </w:pPr>
      <w:r>
        <w:rPr>
          <w:rFonts w:ascii="Arial" w:hAnsi="Arial" w:cs="Arial"/>
        </w:rPr>
        <w:lastRenderedPageBreak/>
        <w:t xml:space="preserve">2. </w:t>
      </w:r>
      <w:r w:rsidR="004F7DA6">
        <w:rPr>
          <w:rFonts w:ascii="Arial" w:hAnsi="Arial" w:cs="Arial"/>
        </w:rPr>
        <w:t xml:space="preserve">REVIEW OF </w:t>
      </w:r>
      <w:r w:rsidR="00DE3414" w:rsidRPr="00DE3414">
        <w:rPr>
          <w:rFonts w:ascii="Arial" w:hAnsi="Arial" w:cs="Arial"/>
        </w:rPr>
        <w:t xml:space="preserve">Literature </w:t>
      </w:r>
      <w:r w:rsidR="00DE3414">
        <w:rPr>
          <w:rFonts w:ascii="Arial" w:hAnsi="Arial" w:cs="Arial"/>
        </w:rPr>
        <w:t xml:space="preserve">and hypothesis </w:t>
      </w:r>
      <w:r w:rsidR="005E11F2">
        <w:rPr>
          <w:rFonts w:ascii="Arial" w:hAnsi="Arial" w:cs="Arial"/>
        </w:rPr>
        <w:t>DEVELOPMENT</w:t>
      </w:r>
    </w:p>
    <w:p w14:paraId="37FC947B" w14:textId="77777777" w:rsidR="00790ADA" w:rsidRPr="00FB3A86" w:rsidRDefault="00790ADA" w:rsidP="00441B6F">
      <w:pPr>
        <w:pStyle w:val="Body"/>
        <w:spacing w:after="0"/>
        <w:rPr>
          <w:rFonts w:ascii="Arial" w:hAnsi="Arial" w:cs="Arial"/>
        </w:rPr>
      </w:pPr>
    </w:p>
    <w:p w14:paraId="66E50E69" w14:textId="2828F2AC" w:rsidR="00DE3414"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4F7DA6">
        <w:rPr>
          <w:rFonts w:ascii="Arial" w:hAnsi="Arial" w:cs="Arial"/>
          <w:b/>
          <w:caps/>
          <w:sz w:val="22"/>
        </w:rPr>
        <w:t xml:space="preserve">REVIEW OF </w:t>
      </w:r>
      <w:r w:rsidR="00DE3414">
        <w:rPr>
          <w:rFonts w:ascii="Arial" w:hAnsi="Arial" w:cs="Arial"/>
          <w:b/>
          <w:caps/>
          <w:sz w:val="22"/>
        </w:rPr>
        <w:t>literature</w:t>
      </w:r>
    </w:p>
    <w:p w14:paraId="1CEC0673" w14:textId="77777777" w:rsidR="00DE3414" w:rsidRPr="005E6C4A" w:rsidRDefault="00DE3414" w:rsidP="00441B6F">
      <w:pPr>
        <w:pStyle w:val="Body"/>
        <w:spacing w:after="0"/>
        <w:rPr>
          <w:rFonts w:ascii="Arial" w:hAnsi="Arial" w:cs="Arial"/>
          <w:b/>
          <w:caps/>
          <w:szCs w:val="18"/>
        </w:rPr>
      </w:pPr>
    </w:p>
    <w:p w14:paraId="5EE7385A" w14:textId="77777777" w:rsidR="00DE3414" w:rsidRDefault="00AA74E0"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sidR="00DE3414">
        <w:rPr>
          <w:rFonts w:ascii="Arial" w:hAnsi="Arial" w:cs="Arial"/>
          <w:b/>
          <w:u w:val="single"/>
        </w:rPr>
        <w:t>Signaling Theory</w:t>
      </w:r>
    </w:p>
    <w:p w14:paraId="61950D49" w14:textId="77777777" w:rsidR="005E6C4A" w:rsidRDefault="005E6C4A" w:rsidP="00441B6F">
      <w:pPr>
        <w:pStyle w:val="Body"/>
        <w:spacing w:after="0"/>
        <w:rPr>
          <w:rFonts w:ascii="Arial" w:hAnsi="Arial" w:cs="Arial"/>
          <w:b/>
          <w:u w:val="single"/>
        </w:rPr>
      </w:pPr>
    </w:p>
    <w:p w14:paraId="1B1AE74E" w14:textId="3C5FDF67" w:rsidR="00AB3D24" w:rsidRDefault="00AB3D24" w:rsidP="00441B6F">
      <w:pPr>
        <w:pStyle w:val="Body"/>
        <w:spacing w:after="0"/>
        <w:rPr>
          <w:rFonts w:ascii="Arial" w:hAnsi="Arial" w:cs="Arial"/>
          <w:bCs/>
        </w:rPr>
      </w:pPr>
      <w:r w:rsidRPr="00AB3D24">
        <w:rPr>
          <w:rFonts w:ascii="Arial" w:hAnsi="Arial" w:cs="Arial"/>
          <w:bCs/>
        </w:rPr>
        <w:t>Signaling theory is based on the assumption that the information received by each party is asymmetric. The information disclosed by the company and received by investors will first be interpreted and analyzed to determine whether it is perceived as a positive signal (good news) or a negative signal (bad news) (Jaya et al., 2023:109).</w:t>
      </w:r>
    </w:p>
    <w:p w14:paraId="67C9EF5A" w14:textId="77777777" w:rsidR="00AB3D24" w:rsidRPr="00AB3D24" w:rsidRDefault="00AB3D24" w:rsidP="00441B6F">
      <w:pPr>
        <w:pStyle w:val="Body"/>
        <w:spacing w:after="0"/>
        <w:rPr>
          <w:rFonts w:ascii="Arial" w:hAnsi="Arial" w:cs="Arial"/>
          <w:bCs/>
        </w:rPr>
      </w:pPr>
    </w:p>
    <w:p w14:paraId="4AE01C3B" w14:textId="77777777" w:rsidR="00DE3414" w:rsidRDefault="00DE3414" w:rsidP="00441B6F">
      <w:pPr>
        <w:pStyle w:val="Body"/>
        <w:spacing w:after="0"/>
        <w:rPr>
          <w:rFonts w:ascii="Arial" w:hAnsi="Arial" w:cs="Arial"/>
          <w:b/>
          <w:u w:val="single"/>
        </w:rPr>
      </w:pPr>
      <w:r>
        <w:rPr>
          <w:rFonts w:ascii="Arial" w:hAnsi="Arial" w:cs="Arial"/>
          <w:b/>
          <w:u w:val="single"/>
        </w:rPr>
        <w:t>2.1.2 Agency Theory</w:t>
      </w:r>
    </w:p>
    <w:p w14:paraId="514D1BF4" w14:textId="77777777" w:rsidR="00AB3D24" w:rsidRDefault="00AB3D24" w:rsidP="00441B6F">
      <w:pPr>
        <w:pStyle w:val="Body"/>
        <w:spacing w:after="0"/>
        <w:rPr>
          <w:rFonts w:ascii="Arial" w:hAnsi="Arial" w:cs="Arial"/>
          <w:b/>
          <w:u w:val="single"/>
        </w:rPr>
      </w:pPr>
    </w:p>
    <w:p w14:paraId="6515F968" w14:textId="60289C81" w:rsidR="00AB3D24" w:rsidRDefault="00AB3D24" w:rsidP="00441B6F">
      <w:pPr>
        <w:pStyle w:val="Body"/>
        <w:spacing w:after="0"/>
        <w:rPr>
          <w:rFonts w:ascii="Arial" w:hAnsi="Arial" w:cs="Arial"/>
          <w:bCs/>
        </w:rPr>
      </w:pPr>
      <w:r w:rsidRPr="00AB3D24">
        <w:rPr>
          <w:rFonts w:ascii="Arial" w:hAnsi="Arial" w:cs="Arial"/>
          <w:bCs/>
        </w:rPr>
        <w:t>Agency theory, as proposed by Jensen and Meckling (1976) in Iqbal and Indira (2015), explains the relationship between a company's management as the agent and the owner of the company as the principal. Through accountability reports prepared by management as the agent, the principal receives the necessary information, which also serves as a tool to evaluate the agent's performance over a specific period.</w:t>
      </w:r>
    </w:p>
    <w:p w14:paraId="7FD3DED0" w14:textId="77777777" w:rsidR="00AB3D24" w:rsidRPr="00AB3D24" w:rsidRDefault="00AB3D24" w:rsidP="00441B6F">
      <w:pPr>
        <w:pStyle w:val="Body"/>
        <w:spacing w:after="0"/>
        <w:rPr>
          <w:rFonts w:ascii="Arial" w:hAnsi="Arial" w:cs="Arial"/>
          <w:bCs/>
        </w:rPr>
      </w:pPr>
    </w:p>
    <w:p w14:paraId="3EBD7021" w14:textId="77777777" w:rsidR="00DE3414" w:rsidRDefault="00DE3414" w:rsidP="00441B6F">
      <w:pPr>
        <w:pStyle w:val="Body"/>
        <w:spacing w:after="0"/>
        <w:rPr>
          <w:rFonts w:ascii="Arial" w:hAnsi="Arial" w:cs="Arial"/>
          <w:b/>
          <w:u w:val="single"/>
        </w:rPr>
      </w:pPr>
      <w:r>
        <w:rPr>
          <w:rFonts w:ascii="Arial" w:hAnsi="Arial" w:cs="Arial"/>
          <w:b/>
          <w:u w:val="single"/>
        </w:rPr>
        <w:t xml:space="preserve">2.1.3 </w:t>
      </w:r>
      <w:r w:rsidRPr="00DE3414">
        <w:rPr>
          <w:rFonts w:ascii="Arial" w:hAnsi="Arial" w:cs="Arial"/>
          <w:b/>
          <w:u w:val="single"/>
        </w:rPr>
        <w:t>Capital Structure Theory</w:t>
      </w:r>
    </w:p>
    <w:p w14:paraId="0363C3F3" w14:textId="77777777" w:rsidR="00AB3D24" w:rsidRDefault="00AB3D24" w:rsidP="00441B6F">
      <w:pPr>
        <w:pStyle w:val="Body"/>
        <w:spacing w:after="0"/>
        <w:rPr>
          <w:rFonts w:ascii="Arial" w:hAnsi="Arial" w:cs="Arial"/>
          <w:b/>
          <w:u w:val="single"/>
        </w:rPr>
      </w:pPr>
    </w:p>
    <w:p w14:paraId="5D87D0A0" w14:textId="05C5BFCA" w:rsidR="00AB3D24" w:rsidRDefault="00AB3D24" w:rsidP="00441B6F">
      <w:pPr>
        <w:pStyle w:val="Body"/>
        <w:spacing w:after="0"/>
        <w:rPr>
          <w:rFonts w:ascii="Arial" w:hAnsi="Arial" w:cs="Arial"/>
          <w:bCs/>
        </w:rPr>
      </w:pPr>
      <w:r w:rsidRPr="00AB3D24">
        <w:rPr>
          <w:rFonts w:ascii="Arial" w:hAnsi="Arial" w:cs="Arial"/>
          <w:bCs/>
        </w:rPr>
        <w:t xml:space="preserve">Capital Structure Theory, as introduced by Franco Modigliani and Merton Miller (1958) and cited by </w:t>
      </w:r>
      <w:proofErr w:type="spellStart"/>
      <w:r w:rsidRPr="00AB3D24">
        <w:rPr>
          <w:rFonts w:ascii="Arial" w:hAnsi="Arial" w:cs="Arial"/>
          <w:bCs/>
        </w:rPr>
        <w:t>Triyonowati</w:t>
      </w:r>
      <w:proofErr w:type="spellEnd"/>
      <w:r w:rsidRPr="00AB3D24">
        <w:rPr>
          <w:rFonts w:ascii="Arial" w:hAnsi="Arial" w:cs="Arial"/>
          <w:bCs/>
        </w:rPr>
        <w:t xml:space="preserve"> and Maryam (2022:54), explains whether changes in capital structure affect firm value, assuming that investment decisions and dividend policies remain constant. In other words, it examines whether replacing a portion of equity with debt, or vice versa, will alter the stock price, provided that the company does not change other financial decisions.</w:t>
      </w:r>
    </w:p>
    <w:p w14:paraId="47FBEF7E" w14:textId="77777777" w:rsidR="00AB3D24" w:rsidRPr="00AB3D24" w:rsidRDefault="00AB3D24" w:rsidP="00441B6F">
      <w:pPr>
        <w:pStyle w:val="Body"/>
        <w:spacing w:after="0"/>
        <w:rPr>
          <w:rFonts w:ascii="Arial" w:hAnsi="Arial" w:cs="Arial"/>
          <w:bCs/>
        </w:rPr>
      </w:pPr>
    </w:p>
    <w:p w14:paraId="5F764DD5" w14:textId="77777777" w:rsidR="00DE3414" w:rsidRDefault="00DE3414" w:rsidP="00441B6F">
      <w:pPr>
        <w:pStyle w:val="Body"/>
        <w:spacing w:after="0"/>
        <w:rPr>
          <w:rFonts w:ascii="Arial" w:hAnsi="Arial" w:cs="Arial"/>
          <w:b/>
          <w:u w:val="single"/>
        </w:rPr>
      </w:pPr>
      <w:r>
        <w:rPr>
          <w:rFonts w:ascii="Arial" w:hAnsi="Arial" w:cs="Arial"/>
          <w:b/>
          <w:u w:val="single"/>
        </w:rPr>
        <w:t xml:space="preserve">2.1.4 </w:t>
      </w:r>
      <w:r w:rsidRPr="00DE3414">
        <w:rPr>
          <w:rFonts w:ascii="Arial" w:hAnsi="Arial" w:cs="Arial"/>
          <w:b/>
          <w:u w:val="single"/>
        </w:rPr>
        <w:t>Firm Value</w:t>
      </w:r>
    </w:p>
    <w:p w14:paraId="3C52E62E" w14:textId="77777777" w:rsidR="00AB3D24" w:rsidRPr="00AB3D24" w:rsidRDefault="00AB3D24" w:rsidP="00441B6F">
      <w:pPr>
        <w:pStyle w:val="Body"/>
        <w:spacing w:after="0"/>
        <w:rPr>
          <w:rFonts w:ascii="Arial" w:hAnsi="Arial" w:cs="Arial"/>
          <w:bCs/>
        </w:rPr>
      </w:pPr>
    </w:p>
    <w:p w14:paraId="1D3538D8" w14:textId="208A543D" w:rsidR="00AB3D24" w:rsidRPr="00AB3D24" w:rsidRDefault="00AB3D24" w:rsidP="00441B6F">
      <w:pPr>
        <w:pStyle w:val="Body"/>
        <w:spacing w:after="0"/>
        <w:rPr>
          <w:rFonts w:ascii="Arial" w:hAnsi="Arial" w:cs="Arial"/>
          <w:bCs/>
        </w:rPr>
      </w:pPr>
      <w:proofErr w:type="spellStart"/>
      <w:r w:rsidRPr="00AB3D24">
        <w:rPr>
          <w:rFonts w:ascii="Arial" w:hAnsi="Arial" w:cs="Arial"/>
          <w:bCs/>
        </w:rPr>
        <w:t>Noerirawan</w:t>
      </w:r>
      <w:proofErr w:type="spellEnd"/>
      <w:r w:rsidRPr="00AB3D24">
        <w:rPr>
          <w:rFonts w:ascii="Arial" w:hAnsi="Arial" w:cs="Arial"/>
          <w:bCs/>
        </w:rPr>
        <w:t xml:space="preserve"> as cited in </w:t>
      </w:r>
      <w:proofErr w:type="spellStart"/>
      <w:r w:rsidRPr="00AB3D24">
        <w:rPr>
          <w:rFonts w:ascii="Arial" w:hAnsi="Arial" w:cs="Arial"/>
          <w:bCs/>
        </w:rPr>
        <w:t>Adnyana</w:t>
      </w:r>
      <w:proofErr w:type="spellEnd"/>
      <w:r w:rsidRPr="00AB3D24">
        <w:rPr>
          <w:rFonts w:ascii="Arial" w:hAnsi="Arial" w:cs="Arial"/>
          <w:bCs/>
        </w:rPr>
        <w:t xml:space="preserve"> (2021:21), firm value is defined as the condition achieved by a company that reflects public trust in the company, developed through a series of activities since its establishment. This value can be measured using the company’s stock price.</w:t>
      </w:r>
    </w:p>
    <w:p w14:paraId="0BF996B8" w14:textId="77777777" w:rsidR="00AB3D24" w:rsidRPr="00AB3D24" w:rsidRDefault="00AB3D24" w:rsidP="00441B6F">
      <w:pPr>
        <w:pStyle w:val="Body"/>
        <w:spacing w:after="0"/>
        <w:rPr>
          <w:rFonts w:ascii="Arial" w:hAnsi="Arial" w:cs="Arial"/>
          <w:bCs/>
        </w:rPr>
      </w:pPr>
    </w:p>
    <w:p w14:paraId="265932C9" w14:textId="0E2ADB8C" w:rsidR="00DE3414" w:rsidRDefault="00DE3414" w:rsidP="00441B6F">
      <w:pPr>
        <w:pStyle w:val="Body"/>
        <w:spacing w:after="0"/>
        <w:rPr>
          <w:rFonts w:ascii="Arial" w:hAnsi="Arial" w:cs="Arial"/>
          <w:b/>
          <w:u w:val="single"/>
        </w:rPr>
      </w:pPr>
      <w:r>
        <w:rPr>
          <w:rFonts w:ascii="Arial" w:hAnsi="Arial" w:cs="Arial"/>
          <w:b/>
          <w:u w:val="single"/>
        </w:rPr>
        <w:t xml:space="preserve">2.1.5 </w:t>
      </w:r>
      <w:r w:rsidRPr="00DE3414">
        <w:rPr>
          <w:rFonts w:ascii="Arial" w:hAnsi="Arial" w:cs="Arial"/>
          <w:b/>
          <w:u w:val="single"/>
        </w:rPr>
        <w:t>Financial Performance</w:t>
      </w:r>
    </w:p>
    <w:p w14:paraId="0CF8453B" w14:textId="77777777" w:rsidR="00AB3D24" w:rsidRDefault="00AB3D24" w:rsidP="00441B6F">
      <w:pPr>
        <w:pStyle w:val="Body"/>
        <w:spacing w:after="0"/>
        <w:rPr>
          <w:rFonts w:ascii="Arial" w:hAnsi="Arial" w:cs="Arial"/>
          <w:bCs/>
        </w:rPr>
      </w:pPr>
    </w:p>
    <w:p w14:paraId="77116E2F" w14:textId="52D86484" w:rsidR="00AB3D24" w:rsidRDefault="00AB3D24" w:rsidP="00441B6F">
      <w:pPr>
        <w:pStyle w:val="Body"/>
        <w:spacing w:after="0"/>
        <w:rPr>
          <w:rFonts w:ascii="Arial" w:hAnsi="Arial" w:cs="Arial"/>
          <w:bCs/>
        </w:rPr>
      </w:pPr>
      <w:r w:rsidRPr="00AB3D24">
        <w:rPr>
          <w:rFonts w:ascii="Arial" w:hAnsi="Arial" w:cs="Arial"/>
          <w:bCs/>
        </w:rPr>
        <w:t>Riswan, as cited in Darmawan (2020:2), states that financial performance is a depiction of the economic outcomes achieved by an entity during a specific period through activities carried out to generate profit effectively and efficiently. Good financial performance can be observed through liquidity, solvency, activity, and profitability, all of which indicate favorable results.</w:t>
      </w:r>
    </w:p>
    <w:p w14:paraId="082987E0" w14:textId="77777777" w:rsidR="00AB3D24" w:rsidRPr="00AB3D24" w:rsidRDefault="00AB3D24" w:rsidP="00441B6F">
      <w:pPr>
        <w:pStyle w:val="Body"/>
        <w:spacing w:after="0"/>
        <w:rPr>
          <w:rFonts w:ascii="Arial" w:hAnsi="Arial" w:cs="Arial"/>
          <w:bCs/>
        </w:rPr>
      </w:pPr>
    </w:p>
    <w:p w14:paraId="59916C2B" w14:textId="7E4E60B9" w:rsidR="00AA74E0" w:rsidRDefault="00DE3414" w:rsidP="00441B6F">
      <w:pPr>
        <w:pStyle w:val="Body"/>
        <w:spacing w:after="0"/>
        <w:rPr>
          <w:rFonts w:ascii="Arial" w:hAnsi="Arial" w:cs="Arial"/>
        </w:rPr>
      </w:pPr>
      <w:r>
        <w:rPr>
          <w:rFonts w:ascii="Arial" w:hAnsi="Arial" w:cs="Arial"/>
          <w:b/>
          <w:u w:val="single"/>
        </w:rPr>
        <w:t xml:space="preserve">2.1.6 </w:t>
      </w:r>
      <w:r w:rsidRPr="00DE3414">
        <w:rPr>
          <w:rFonts w:ascii="Arial" w:hAnsi="Arial" w:cs="Arial"/>
          <w:b/>
          <w:u w:val="single"/>
        </w:rPr>
        <w:t>Corporate Governance</w:t>
      </w:r>
      <w:r w:rsidR="00AA74E0" w:rsidRPr="00FB3A86">
        <w:rPr>
          <w:rFonts w:ascii="Arial" w:hAnsi="Arial" w:cs="Arial"/>
        </w:rPr>
        <w:t xml:space="preserve">  </w:t>
      </w:r>
    </w:p>
    <w:p w14:paraId="25DDA14A" w14:textId="77777777" w:rsidR="00AB3D24" w:rsidRDefault="00AB3D24" w:rsidP="00441B6F">
      <w:pPr>
        <w:pStyle w:val="Body"/>
        <w:spacing w:after="0"/>
        <w:rPr>
          <w:rFonts w:ascii="Arial" w:hAnsi="Arial" w:cs="Arial"/>
          <w:b/>
          <w:bCs/>
          <w:u w:val="single"/>
        </w:rPr>
      </w:pPr>
    </w:p>
    <w:p w14:paraId="1375FB26" w14:textId="187118DA" w:rsidR="00AB3D24" w:rsidRPr="00AB3D24" w:rsidRDefault="00AB3D24" w:rsidP="00441B6F">
      <w:pPr>
        <w:pStyle w:val="Body"/>
        <w:spacing w:after="0"/>
        <w:rPr>
          <w:rFonts w:ascii="Arial" w:hAnsi="Arial" w:cs="Arial"/>
        </w:rPr>
      </w:pPr>
      <w:proofErr w:type="spellStart"/>
      <w:r w:rsidRPr="00AB3D24">
        <w:rPr>
          <w:rFonts w:ascii="Arial" w:hAnsi="Arial" w:cs="Arial"/>
        </w:rPr>
        <w:t>Syofyan</w:t>
      </w:r>
      <w:proofErr w:type="spellEnd"/>
      <w:r w:rsidRPr="00AB3D24">
        <w:rPr>
          <w:rFonts w:ascii="Arial" w:hAnsi="Arial" w:cs="Arial"/>
        </w:rPr>
        <w:t xml:space="preserve"> (2021:104), corporate governance is a set of systems used to regulate, manage, and supervise the control processes of a corporation in order to create added value. It also serves as a form of accountability to stakeholders, employees, creditors, and the surrounding community, aiming to establish a clean, transparent, and professional managerial environment.</w:t>
      </w:r>
    </w:p>
    <w:p w14:paraId="5EE817E9" w14:textId="77777777" w:rsidR="005E11F2" w:rsidRDefault="005E11F2" w:rsidP="00441B6F">
      <w:pPr>
        <w:pStyle w:val="Body"/>
        <w:spacing w:after="0"/>
        <w:rPr>
          <w:rFonts w:ascii="Arial" w:hAnsi="Arial" w:cs="Arial"/>
        </w:rPr>
      </w:pPr>
    </w:p>
    <w:p w14:paraId="1EEA3226" w14:textId="40BD7A02" w:rsidR="005E11F2" w:rsidRDefault="005E11F2" w:rsidP="005E11F2">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5E11F2">
        <w:rPr>
          <w:rFonts w:ascii="Arial" w:hAnsi="Arial" w:cs="Arial"/>
          <w:b/>
          <w:caps/>
          <w:sz w:val="22"/>
        </w:rPr>
        <w:t xml:space="preserve">HYPOTHESIS </w:t>
      </w:r>
      <w:r>
        <w:rPr>
          <w:rFonts w:ascii="Arial" w:hAnsi="Arial" w:cs="Arial"/>
          <w:b/>
          <w:caps/>
          <w:sz w:val="22"/>
        </w:rPr>
        <w:t>DEVELOPMENT</w:t>
      </w:r>
    </w:p>
    <w:p w14:paraId="19928BD6" w14:textId="77777777" w:rsidR="005E11F2" w:rsidRDefault="005E11F2" w:rsidP="005E11F2">
      <w:pPr>
        <w:pStyle w:val="Body"/>
        <w:spacing w:after="0"/>
        <w:rPr>
          <w:rFonts w:ascii="Arial" w:hAnsi="Arial" w:cs="Arial"/>
          <w:b/>
          <w:caps/>
          <w:sz w:val="22"/>
        </w:rPr>
      </w:pPr>
    </w:p>
    <w:p w14:paraId="260B54C7" w14:textId="747D39FB" w:rsidR="005E11F2" w:rsidRDefault="005E11F2" w:rsidP="005E11F2">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5E11F2">
        <w:rPr>
          <w:rFonts w:ascii="Arial" w:hAnsi="Arial" w:cs="Arial"/>
          <w:b/>
          <w:u w:val="single"/>
        </w:rPr>
        <w:t>The Effect of Liquidity Ratio on Firm Value</w:t>
      </w:r>
    </w:p>
    <w:p w14:paraId="1F194249" w14:textId="77777777" w:rsidR="00AB3D24" w:rsidRDefault="00AB3D24" w:rsidP="005E11F2">
      <w:pPr>
        <w:pStyle w:val="Body"/>
        <w:spacing w:after="0"/>
        <w:rPr>
          <w:rFonts w:ascii="Arial" w:hAnsi="Arial" w:cs="Arial"/>
          <w:bCs/>
        </w:rPr>
      </w:pPr>
    </w:p>
    <w:p w14:paraId="5D860976" w14:textId="77777777" w:rsidR="00AB3D24" w:rsidRDefault="00AB3D24" w:rsidP="00AB3D24">
      <w:pPr>
        <w:pStyle w:val="Body"/>
        <w:spacing w:after="0"/>
        <w:rPr>
          <w:rFonts w:ascii="Arial" w:hAnsi="Arial" w:cs="Arial"/>
          <w:bCs/>
        </w:rPr>
      </w:pPr>
      <w:r w:rsidRPr="00AB3D24">
        <w:rPr>
          <w:rFonts w:ascii="Arial" w:hAnsi="Arial" w:cs="Arial"/>
          <w:bCs/>
        </w:rPr>
        <w:lastRenderedPageBreak/>
        <w:t xml:space="preserve">The liquidity ratio in this study is proxied by the current ratio. A high current ratio indicates better liquidity, meaning the company has sufficient resources to meet its obligations when they come due, without having to sacrifice long-term assets or seek additional financing. </w:t>
      </w:r>
      <w:proofErr w:type="spellStart"/>
      <w:r w:rsidRPr="00AB3D24">
        <w:rPr>
          <w:rFonts w:ascii="Arial" w:hAnsi="Arial" w:cs="Arial"/>
          <w:bCs/>
        </w:rPr>
        <w:t>Rifayani</w:t>
      </w:r>
      <w:proofErr w:type="spellEnd"/>
      <w:r w:rsidRPr="00AB3D24">
        <w:rPr>
          <w:rFonts w:ascii="Arial" w:hAnsi="Arial" w:cs="Arial"/>
          <w:bCs/>
        </w:rPr>
        <w:t xml:space="preserve"> and </w:t>
      </w:r>
      <w:proofErr w:type="spellStart"/>
      <w:r w:rsidRPr="00AB3D24">
        <w:rPr>
          <w:rFonts w:ascii="Arial" w:hAnsi="Arial" w:cs="Arial"/>
          <w:bCs/>
        </w:rPr>
        <w:t>Yunita</w:t>
      </w:r>
      <w:proofErr w:type="spellEnd"/>
      <w:r w:rsidRPr="00AB3D24">
        <w:rPr>
          <w:rFonts w:ascii="Arial" w:hAnsi="Arial" w:cs="Arial"/>
          <w:bCs/>
        </w:rPr>
        <w:t xml:space="preserve"> (2023), who examined the effect of the current ratio, return on equity, net profit margin, total assets turnover, and debt-to-assets ratio on firm value in the property and real estate sector listed on the IDX, found that the current ratio has a positive effect on firm value. Similarly, </w:t>
      </w:r>
      <w:proofErr w:type="spellStart"/>
      <w:r w:rsidRPr="00AB3D24">
        <w:rPr>
          <w:rFonts w:ascii="Arial" w:hAnsi="Arial" w:cs="Arial"/>
          <w:bCs/>
        </w:rPr>
        <w:t>Priatna</w:t>
      </w:r>
      <w:proofErr w:type="spellEnd"/>
      <w:r w:rsidRPr="00AB3D24">
        <w:rPr>
          <w:rFonts w:ascii="Arial" w:hAnsi="Arial" w:cs="Arial"/>
          <w:bCs/>
        </w:rPr>
        <w:t xml:space="preserve"> and </w:t>
      </w:r>
      <w:proofErr w:type="spellStart"/>
      <w:r w:rsidRPr="00AB3D24">
        <w:rPr>
          <w:rFonts w:ascii="Arial" w:hAnsi="Arial" w:cs="Arial"/>
          <w:bCs/>
        </w:rPr>
        <w:t>Sakir</w:t>
      </w:r>
      <w:proofErr w:type="spellEnd"/>
      <w:r w:rsidRPr="00AB3D24">
        <w:rPr>
          <w:rFonts w:ascii="Arial" w:hAnsi="Arial" w:cs="Arial"/>
          <w:bCs/>
        </w:rPr>
        <w:t xml:space="preserve"> (2023), in their study on the influence of capital structure policies and financial performance using a conventional model on firm value in the property and real estate sector of the IDX, also found that the current ratio positively affects firm value. Dewi et al. (2022), in their study on the effect of CR, DER, TATO, and ROA on PBV at PT </w:t>
      </w:r>
      <w:proofErr w:type="spellStart"/>
      <w:r w:rsidRPr="00AB3D24">
        <w:rPr>
          <w:rFonts w:ascii="Arial" w:hAnsi="Arial" w:cs="Arial"/>
          <w:bCs/>
        </w:rPr>
        <w:t>Indomobil</w:t>
      </w:r>
      <w:proofErr w:type="spellEnd"/>
      <w:r w:rsidRPr="00AB3D24">
        <w:rPr>
          <w:rFonts w:ascii="Arial" w:hAnsi="Arial" w:cs="Arial"/>
          <w:bCs/>
        </w:rPr>
        <w:t xml:space="preserve"> </w:t>
      </w:r>
      <w:proofErr w:type="spellStart"/>
      <w:r w:rsidRPr="00AB3D24">
        <w:rPr>
          <w:rFonts w:ascii="Arial" w:hAnsi="Arial" w:cs="Arial"/>
          <w:bCs/>
        </w:rPr>
        <w:t>Sukses</w:t>
      </w:r>
      <w:proofErr w:type="spellEnd"/>
      <w:r w:rsidRPr="00AB3D24">
        <w:rPr>
          <w:rFonts w:ascii="Arial" w:hAnsi="Arial" w:cs="Arial"/>
          <w:bCs/>
        </w:rPr>
        <w:t xml:space="preserve"> </w:t>
      </w:r>
      <w:proofErr w:type="spellStart"/>
      <w:r w:rsidRPr="00AB3D24">
        <w:rPr>
          <w:rFonts w:ascii="Arial" w:hAnsi="Arial" w:cs="Arial"/>
          <w:bCs/>
        </w:rPr>
        <w:t>Internasional</w:t>
      </w:r>
      <w:proofErr w:type="spellEnd"/>
      <w:r w:rsidRPr="00AB3D24">
        <w:rPr>
          <w:rFonts w:ascii="Arial" w:hAnsi="Arial" w:cs="Arial"/>
          <w:bCs/>
        </w:rPr>
        <w:t xml:space="preserve"> </w:t>
      </w:r>
      <w:proofErr w:type="spellStart"/>
      <w:r w:rsidRPr="00AB3D24">
        <w:rPr>
          <w:rFonts w:ascii="Arial" w:hAnsi="Arial" w:cs="Arial"/>
          <w:bCs/>
        </w:rPr>
        <w:t>Tbk</w:t>
      </w:r>
      <w:proofErr w:type="spellEnd"/>
      <w:r w:rsidRPr="00AB3D24">
        <w:rPr>
          <w:rFonts w:ascii="Arial" w:hAnsi="Arial" w:cs="Arial"/>
          <w:bCs/>
        </w:rPr>
        <w:t>, revealed that the current ratio has a positive influence on firm value. A higher current ratio reflects a more liquid company. A high current ratio indicates sufficient cash availability, which increases investor confidence, thereby enhancing the company’s reputation among investors and ultimately boosting its firm value. Based on the above discussion and previous research findings, the hypothesis proposed in this study is:</w:t>
      </w:r>
    </w:p>
    <w:p w14:paraId="1824984F" w14:textId="01A978A5" w:rsidR="00AB3D24" w:rsidRPr="00AB3D24" w:rsidRDefault="00AB3D24" w:rsidP="00AB3D24">
      <w:pPr>
        <w:pStyle w:val="Body"/>
        <w:spacing w:after="0"/>
        <w:rPr>
          <w:rFonts w:ascii="Arial" w:hAnsi="Arial" w:cs="Arial"/>
          <w:bCs/>
        </w:rPr>
      </w:pPr>
      <w:r w:rsidRPr="00AB3D24">
        <w:rPr>
          <w:rFonts w:ascii="Arial" w:hAnsi="Arial" w:cs="Arial"/>
          <w:bCs/>
        </w:rPr>
        <w:t>H1: The liquidity ratio has a positive effect on firm value.</w:t>
      </w:r>
    </w:p>
    <w:p w14:paraId="10119DDA" w14:textId="77777777" w:rsidR="00AB3D24" w:rsidRPr="00AB3D24" w:rsidRDefault="00AB3D24" w:rsidP="005E11F2">
      <w:pPr>
        <w:pStyle w:val="Body"/>
        <w:spacing w:after="0"/>
        <w:rPr>
          <w:rFonts w:ascii="Arial" w:hAnsi="Arial" w:cs="Arial"/>
          <w:bCs/>
        </w:rPr>
      </w:pPr>
    </w:p>
    <w:p w14:paraId="122A1B1C" w14:textId="3598608A" w:rsidR="005E11F2" w:rsidRDefault="005E11F2" w:rsidP="005E11F2">
      <w:pPr>
        <w:pStyle w:val="Body"/>
        <w:spacing w:after="0"/>
        <w:rPr>
          <w:rFonts w:ascii="Arial" w:hAnsi="Arial" w:cs="Arial"/>
          <w:b/>
          <w:u w:val="single"/>
        </w:rPr>
      </w:pPr>
      <w:r>
        <w:rPr>
          <w:rFonts w:ascii="Arial" w:hAnsi="Arial" w:cs="Arial"/>
          <w:b/>
          <w:u w:val="single"/>
        </w:rPr>
        <w:t xml:space="preserve">2.2.2 </w:t>
      </w:r>
      <w:r w:rsidRPr="005E11F2">
        <w:rPr>
          <w:rFonts w:ascii="Arial" w:hAnsi="Arial" w:cs="Arial"/>
          <w:b/>
          <w:u w:val="single"/>
        </w:rPr>
        <w:t>The Effect of Leverage Ratio on Firm Value</w:t>
      </w:r>
    </w:p>
    <w:p w14:paraId="4BD6FA77" w14:textId="77777777" w:rsidR="00AB3D24" w:rsidRDefault="00AB3D24" w:rsidP="005E11F2">
      <w:pPr>
        <w:pStyle w:val="Body"/>
        <w:spacing w:after="0"/>
        <w:rPr>
          <w:rFonts w:ascii="Arial" w:hAnsi="Arial" w:cs="Arial"/>
          <w:bCs/>
        </w:rPr>
      </w:pPr>
    </w:p>
    <w:p w14:paraId="2CE16BFB"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The leverage ratio in this study is proxied by the debt-to-assets ratio. A higher debt-to-assets ratio indicates a greater degree of leverage, which may increase risk for shareholders since debt obligations must be paid before equity. This elevated risk perception can negatively impact firm value, as investors may respond by reducing demand for the firm’s shares, driving prices down. </w:t>
      </w:r>
      <w:proofErr w:type="spellStart"/>
      <w:r w:rsidRPr="00AB3D24">
        <w:rPr>
          <w:rFonts w:ascii="Arial" w:hAnsi="Arial" w:cs="Arial"/>
          <w:bCs/>
        </w:rPr>
        <w:t>Yunita</w:t>
      </w:r>
      <w:proofErr w:type="spellEnd"/>
      <w:r w:rsidRPr="00AB3D24">
        <w:rPr>
          <w:rFonts w:ascii="Arial" w:hAnsi="Arial" w:cs="Arial"/>
          <w:bCs/>
        </w:rPr>
        <w:t xml:space="preserve"> and Halim (2023), in their study titled Effect of Intangible Assets, Leverage and Rate of Return on Assets and Their Effect on Company Value, found that the debt-to-assets ratio has a negative effect on firm value. Similarly, </w:t>
      </w:r>
      <w:proofErr w:type="spellStart"/>
      <w:r w:rsidRPr="00AB3D24">
        <w:rPr>
          <w:rFonts w:ascii="Arial" w:hAnsi="Arial" w:cs="Arial"/>
          <w:bCs/>
        </w:rPr>
        <w:t>Sabela</w:t>
      </w:r>
      <w:proofErr w:type="spellEnd"/>
      <w:r w:rsidRPr="00AB3D24">
        <w:rPr>
          <w:rFonts w:ascii="Arial" w:hAnsi="Arial" w:cs="Arial"/>
          <w:bCs/>
        </w:rPr>
        <w:t xml:space="preserve"> and </w:t>
      </w:r>
      <w:proofErr w:type="spellStart"/>
      <w:r w:rsidRPr="00AB3D24">
        <w:rPr>
          <w:rFonts w:ascii="Arial" w:hAnsi="Arial" w:cs="Arial"/>
          <w:bCs/>
        </w:rPr>
        <w:t>Purnamasari</w:t>
      </w:r>
      <w:proofErr w:type="spellEnd"/>
      <w:r w:rsidRPr="00AB3D24">
        <w:rPr>
          <w:rFonts w:ascii="Arial" w:hAnsi="Arial" w:cs="Arial"/>
          <w:bCs/>
        </w:rPr>
        <w:t xml:space="preserve"> (2023), in their research on The Role of GCG and ISR in Moderating Capital Structure and Company Growth on Firm Value, concluded that the debt-to-assets ratio negatively affects firm value. </w:t>
      </w:r>
      <w:proofErr w:type="spellStart"/>
      <w:r w:rsidRPr="00AB3D24">
        <w:rPr>
          <w:rFonts w:ascii="Arial" w:hAnsi="Arial" w:cs="Arial"/>
          <w:bCs/>
        </w:rPr>
        <w:t>Priatna</w:t>
      </w:r>
      <w:proofErr w:type="spellEnd"/>
      <w:r w:rsidRPr="00AB3D24">
        <w:rPr>
          <w:rFonts w:ascii="Arial" w:hAnsi="Arial" w:cs="Arial"/>
          <w:bCs/>
        </w:rPr>
        <w:t xml:space="preserve"> and </w:t>
      </w:r>
      <w:proofErr w:type="spellStart"/>
      <w:r w:rsidRPr="00AB3D24">
        <w:rPr>
          <w:rFonts w:ascii="Arial" w:hAnsi="Arial" w:cs="Arial"/>
          <w:bCs/>
        </w:rPr>
        <w:t>Sakir</w:t>
      </w:r>
      <w:proofErr w:type="spellEnd"/>
      <w:r w:rsidRPr="00AB3D24">
        <w:rPr>
          <w:rFonts w:ascii="Arial" w:hAnsi="Arial" w:cs="Arial"/>
          <w:bCs/>
        </w:rPr>
        <w:t xml:space="preserve"> (2023), in their analysis of the influence of capital structure policy and financial performance using a conventional model on firm value, also reported a negative impact of the debt-to-assets ratio on firm value. Based on these findings, the hypothesis proposed is:</w:t>
      </w:r>
    </w:p>
    <w:p w14:paraId="1528FBF8" w14:textId="5EF84C6E" w:rsidR="00AB3D24" w:rsidRDefault="00AB3D24" w:rsidP="00AB3D24">
      <w:pPr>
        <w:pStyle w:val="Body"/>
        <w:spacing w:after="0"/>
        <w:rPr>
          <w:rFonts w:ascii="Arial" w:hAnsi="Arial" w:cs="Arial"/>
          <w:bCs/>
        </w:rPr>
      </w:pPr>
      <w:r w:rsidRPr="00AB3D24">
        <w:rPr>
          <w:rFonts w:ascii="Arial" w:hAnsi="Arial" w:cs="Arial"/>
          <w:bCs/>
        </w:rPr>
        <w:t>H2: The leverage ratio has a negative effect on firm value.</w:t>
      </w:r>
    </w:p>
    <w:p w14:paraId="7232E8B5" w14:textId="77777777" w:rsidR="00AB3D24" w:rsidRPr="00AB3D24" w:rsidRDefault="00AB3D24" w:rsidP="005E11F2">
      <w:pPr>
        <w:pStyle w:val="Body"/>
        <w:spacing w:after="0"/>
        <w:rPr>
          <w:rFonts w:ascii="Arial" w:hAnsi="Arial" w:cs="Arial"/>
          <w:bCs/>
        </w:rPr>
      </w:pPr>
    </w:p>
    <w:p w14:paraId="146EC0B6" w14:textId="37810466" w:rsidR="005E11F2" w:rsidRDefault="005E11F2" w:rsidP="005E11F2">
      <w:pPr>
        <w:pStyle w:val="Body"/>
        <w:spacing w:after="0"/>
        <w:rPr>
          <w:rFonts w:ascii="Arial" w:hAnsi="Arial" w:cs="Arial"/>
          <w:b/>
          <w:u w:val="single"/>
        </w:rPr>
      </w:pPr>
      <w:r>
        <w:rPr>
          <w:rFonts w:ascii="Arial" w:hAnsi="Arial" w:cs="Arial"/>
          <w:b/>
          <w:u w:val="single"/>
        </w:rPr>
        <w:t xml:space="preserve">2.2.3 </w:t>
      </w:r>
      <w:r w:rsidRPr="005E11F2">
        <w:rPr>
          <w:rFonts w:ascii="Arial" w:hAnsi="Arial" w:cs="Arial"/>
          <w:b/>
          <w:u w:val="single"/>
        </w:rPr>
        <w:t>The Effect of Activity Ratio on Firm Value</w:t>
      </w:r>
    </w:p>
    <w:p w14:paraId="74526A45" w14:textId="77777777" w:rsidR="00AB3D24" w:rsidRDefault="00AB3D24" w:rsidP="005E11F2">
      <w:pPr>
        <w:pStyle w:val="Body"/>
        <w:spacing w:after="0"/>
        <w:rPr>
          <w:rFonts w:ascii="Arial" w:hAnsi="Arial" w:cs="Arial"/>
          <w:bCs/>
        </w:rPr>
      </w:pPr>
    </w:p>
    <w:p w14:paraId="39F52B42"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The activity ratio in this study is proxied by total assets turnover. A higher total assets turnover indicates the company is able to generate more sales from each unit of assets it owns, reflecting strong operational efficiency that can enhance firm value. </w:t>
      </w:r>
      <w:proofErr w:type="spellStart"/>
      <w:r w:rsidRPr="00AB3D24">
        <w:rPr>
          <w:rFonts w:ascii="Arial" w:hAnsi="Arial" w:cs="Arial"/>
          <w:bCs/>
        </w:rPr>
        <w:t>Rifayani</w:t>
      </w:r>
      <w:proofErr w:type="spellEnd"/>
      <w:r w:rsidRPr="00AB3D24">
        <w:rPr>
          <w:rFonts w:ascii="Arial" w:hAnsi="Arial" w:cs="Arial"/>
          <w:bCs/>
        </w:rPr>
        <w:t xml:space="preserve"> and </w:t>
      </w:r>
      <w:proofErr w:type="spellStart"/>
      <w:r w:rsidRPr="00AB3D24">
        <w:rPr>
          <w:rFonts w:ascii="Arial" w:hAnsi="Arial" w:cs="Arial"/>
          <w:bCs/>
        </w:rPr>
        <w:t>Yunita</w:t>
      </w:r>
      <w:proofErr w:type="spellEnd"/>
      <w:r w:rsidRPr="00AB3D24">
        <w:rPr>
          <w:rFonts w:ascii="Arial" w:hAnsi="Arial" w:cs="Arial"/>
          <w:bCs/>
        </w:rPr>
        <w:t xml:space="preserve"> (2023), in their study Effect of Current Ratio, Return on Equity, Net Profit Margin, Total Assets Turnover, and Debt to Assets Ratio on Firm Value, found that total assets turnover positively affects firm value. Dewi et al. (2022) also reported a similar outcome in their study on the influence of CR, DER, TATO, and ROA on PBV at PT </w:t>
      </w:r>
      <w:proofErr w:type="spellStart"/>
      <w:r w:rsidRPr="00AB3D24">
        <w:rPr>
          <w:rFonts w:ascii="Arial" w:hAnsi="Arial" w:cs="Arial"/>
          <w:bCs/>
        </w:rPr>
        <w:t>Indomobil</w:t>
      </w:r>
      <w:proofErr w:type="spellEnd"/>
      <w:r w:rsidRPr="00AB3D24">
        <w:rPr>
          <w:rFonts w:ascii="Arial" w:hAnsi="Arial" w:cs="Arial"/>
          <w:bCs/>
        </w:rPr>
        <w:t xml:space="preserve"> </w:t>
      </w:r>
      <w:proofErr w:type="spellStart"/>
      <w:r w:rsidRPr="00AB3D24">
        <w:rPr>
          <w:rFonts w:ascii="Arial" w:hAnsi="Arial" w:cs="Arial"/>
          <w:bCs/>
        </w:rPr>
        <w:t>Sukses</w:t>
      </w:r>
      <w:proofErr w:type="spellEnd"/>
      <w:r w:rsidRPr="00AB3D24">
        <w:rPr>
          <w:rFonts w:ascii="Arial" w:hAnsi="Arial" w:cs="Arial"/>
          <w:bCs/>
        </w:rPr>
        <w:t xml:space="preserve"> </w:t>
      </w:r>
      <w:proofErr w:type="spellStart"/>
      <w:r w:rsidRPr="00AB3D24">
        <w:rPr>
          <w:rFonts w:ascii="Arial" w:hAnsi="Arial" w:cs="Arial"/>
          <w:bCs/>
        </w:rPr>
        <w:t>Internasional</w:t>
      </w:r>
      <w:proofErr w:type="spellEnd"/>
      <w:r w:rsidRPr="00AB3D24">
        <w:rPr>
          <w:rFonts w:ascii="Arial" w:hAnsi="Arial" w:cs="Arial"/>
          <w:bCs/>
        </w:rPr>
        <w:t xml:space="preserve"> </w:t>
      </w:r>
      <w:proofErr w:type="spellStart"/>
      <w:r w:rsidRPr="00AB3D24">
        <w:rPr>
          <w:rFonts w:ascii="Arial" w:hAnsi="Arial" w:cs="Arial"/>
          <w:bCs/>
        </w:rPr>
        <w:t>Tbk</w:t>
      </w:r>
      <w:proofErr w:type="spellEnd"/>
      <w:r w:rsidRPr="00AB3D24">
        <w:rPr>
          <w:rFonts w:ascii="Arial" w:hAnsi="Arial" w:cs="Arial"/>
          <w:bCs/>
        </w:rPr>
        <w:t xml:space="preserve">. Likewise, </w:t>
      </w:r>
      <w:proofErr w:type="spellStart"/>
      <w:r w:rsidRPr="00AB3D24">
        <w:rPr>
          <w:rFonts w:ascii="Arial" w:hAnsi="Arial" w:cs="Arial"/>
          <w:bCs/>
        </w:rPr>
        <w:t>Simorangkir</w:t>
      </w:r>
      <w:proofErr w:type="spellEnd"/>
      <w:r w:rsidRPr="00AB3D24">
        <w:rPr>
          <w:rFonts w:ascii="Arial" w:hAnsi="Arial" w:cs="Arial"/>
          <w:bCs/>
        </w:rPr>
        <w:t xml:space="preserve"> and </w:t>
      </w:r>
      <w:proofErr w:type="spellStart"/>
      <w:r w:rsidRPr="00AB3D24">
        <w:rPr>
          <w:rFonts w:ascii="Arial" w:hAnsi="Arial" w:cs="Arial"/>
          <w:bCs/>
        </w:rPr>
        <w:t>Nurhasanah</w:t>
      </w:r>
      <w:proofErr w:type="spellEnd"/>
      <w:r w:rsidRPr="00AB3D24">
        <w:rPr>
          <w:rFonts w:ascii="Arial" w:hAnsi="Arial" w:cs="Arial"/>
          <w:bCs/>
        </w:rPr>
        <w:t xml:space="preserve"> (2021), in their research on liquidity, solvency, profitability, and activity ratios toward firm value among companies listed in the LQ45 index on the Indonesia Stock Exchange for the 2012–2015 period, found that total assets turnover has a positive influence on firm value. The higher the total assets turnover, the better the company’s asset utilization, which builds investor confidence and consequently improves firm value. Hence, the hypothesis proposed is:</w:t>
      </w:r>
    </w:p>
    <w:p w14:paraId="15C39D28" w14:textId="0D895939" w:rsidR="00AB3D24" w:rsidRDefault="00AB3D24" w:rsidP="00AB3D24">
      <w:pPr>
        <w:pStyle w:val="Body"/>
        <w:spacing w:after="0"/>
        <w:rPr>
          <w:rFonts w:ascii="Arial" w:hAnsi="Arial" w:cs="Arial"/>
          <w:bCs/>
        </w:rPr>
      </w:pPr>
      <w:r w:rsidRPr="00AB3D24">
        <w:rPr>
          <w:rFonts w:ascii="Arial" w:hAnsi="Arial" w:cs="Arial"/>
          <w:bCs/>
        </w:rPr>
        <w:t>H3: The activity ratio has a positive effect on firm value.</w:t>
      </w:r>
    </w:p>
    <w:p w14:paraId="53465646" w14:textId="77777777" w:rsidR="00AB3D24" w:rsidRPr="00AB3D24" w:rsidRDefault="00AB3D24" w:rsidP="005E11F2">
      <w:pPr>
        <w:pStyle w:val="Body"/>
        <w:spacing w:after="0"/>
        <w:rPr>
          <w:rFonts w:ascii="Arial" w:hAnsi="Arial" w:cs="Arial"/>
          <w:bCs/>
        </w:rPr>
      </w:pPr>
    </w:p>
    <w:p w14:paraId="096639BD" w14:textId="5B308B13" w:rsidR="005E11F2" w:rsidRDefault="005E11F2" w:rsidP="005E11F2">
      <w:pPr>
        <w:pStyle w:val="Body"/>
        <w:spacing w:after="0"/>
        <w:rPr>
          <w:rFonts w:ascii="Arial" w:hAnsi="Arial" w:cs="Arial"/>
          <w:b/>
          <w:u w:val="single"/>
        </w:rPr>
      </w:pPr>
      <w:r>
        <w:rPr>
          <w:rFonts w:ascii="Arial" w:hAnsi="Arial" w:cs="Arial"/>
          <w:b/>
          <w:u w:val="single"/>
        </w:rPr>
        <w:t xml:space="preserve">2.2.4 </w:t>
      </w:r>
      <w:r w:rsidRPr="005E11F2">
        <w:rPr>
          <w:rFonts w:ascii="Arial" w:hAnsi="Arial" w:cs="Arial"/>
          <w:b/>
          <w:u w:val="single"/>
        </w:rPr>
        <w:t>The Effect of Profitability Ratio on Firm Value</w:t>
      </w:r>
    </w:p>
    <w:p w14:paraId="3E20B6CE" w14:textId="77777777" w:rsidR="00AB3D24" w:rsidRDefault="00AB3D24" w:rsidP="005E11F2">
      <w:pPr>
        <w:pStyle w:val="Body"/>
        <w:spacing w:after="0"/>
        <w:rPr>
          <w:rFonts w:ascii="Arial" w:hAnsi="Arial" w:cs="Arial"/>
          <w:bCs/>
        </w:rPr>
      </w:pPr>
    </w:p>
    <w:p w14:paraId="544D0AF7"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The profitability ratio in this study is proxied by net profit margin. A high net profit margin indicates operational efficiency and the company’s ability to maximize its profit from sales. This attracts investors due to the potential for higher returns, which may lead to increased share prices. </w:t>
      </w:r>
      <w:proofErr w:type="spellStart"/>
      <w:r w:rsidRPr="00AB3D24">
        <w:rPr>
          <w:rFonts w:ascii="Arial" w:hAnsi="Arial" w:cs="Arial"/>
          <w:bCs/>
        </w:rPr>
        <w:t>Rifayani</w:t>
      </w:r>
      <w:proofErr w:type="spellEnd"/>
      <w:r w:rsidRPr="00AB3D24">
        <w:rPr>
          <w:rFonts w:ascii="Arial" w:hAnsi="Arial" w:cs="Arial"/>
          <w:bCs/>
        </w:rPr>
        <w:t xml:space="preserve"> and </w:t>
      </w:r>
      <w:proofErr w:type="spellStart"/>
      <w:r w:rsidRPr="00AB3D24">
        <w:rPr>
          <w:rFonts w:ascii="Arial" w:hAnsi="Arial" w:cs="Arial"/>
          <w:bCs/>
        </w:rPr>
        <w:t>Yunita</w:t>
      </w:r>
      <w:proofErr w:type="spellEnd"/>
      <w:r w:rsidRPr="00AB3D24">
        <w:rPr>
          <w:rFonts w:ascii="Arial" w:hAnsi="Arial" w:cs="Arial"/>
          <w:bCs/>
        </w:rPr>
        <w:t xml:space="preserve"> (2023), in their study, showed that net profit margin positively affects firm value. </w:t>
      </w:r>
      <w:proofErr w:type="spellStart"/>
      <w:r w:rsidRPr="00AB3D24">
        <w:rPr>
          <w:rFonts w:ascii="Arial" w:hAnsi="Arial" w:cs="Arial"/>
          <w:bCs/>
        </w:rPr>
        <w:t>Suartama</w:t>
      </w:r>
      <w:proofErr w:type="spellEnd"/>
      <w:r w:rsidRPr="00AB3D24">
        <w:rPr>
          <w:rFonts w:ascii="Arial" w:hAnsi="Arial" w:cs="Arial"/>
          <w:bCs/>
        </w:rPr>
        <w:t xml:space="preserve"> et al. (2023), in their research on The Influence of NPM, ROE, DER, DPR, and Asset Growth on Firm Value in LQ-45 Companies, also found a positive relationship. Likewise, Ali et al. (2021), in their study on the impact of profitability on firm value in the consumer goods sector listed on the IDX from 2017 to 2019, reported a positive effect of net profit margin on firm value. A higher net profit margin typically reflects stronger company performance and increases investor interest, which in turn enhances firm value. Based on the above, the proposed hypothesis is:</w:t>
      </w:r>
    </w:p>
    <w:p w14:paraId="1B69D160" w14:textId="2AAA8172" w:rsidR="00AB3D24" w:rsidRDefault="00AB3D24" w:rsidP="00AB3D24">
      <w:pPr>
        <w:pStyle w:val="Body"/>
        <w:spacing w:after="0"/>
        <w:rPr>
          <w:rFonts w:ascii="Arial" w:hAnsi="Arial" w:cs="Arial"/>
          <w:bCs/>
        </w:rPr>
      </w:pPr>
      <w:r w:rsidRPr="00AB3D24">
        <w:rPr>
          <w:rFonts w:ascii="Arial" w:hAnsi="Arial" w:cs="Arial"/>
          <w:bCs/>
        </w:rPr>
        <w:t>H4: The profitability ratio has a positive effect on firm value.</w:t>
      </w:r>
    </w:p>
    <w:p w14:paraId="74A352BA" w14:textId="77777777" w:rsidR="00AB3D24" w:rsidRPr="00AB3D24" w:rsidRDefault="00AB3D24" w:rsidP="005E11F2">
      <w:pPr>
        <w:pStyle w:val="Body"/>
        <w:spacing w:after="0"/>
        <w:rPr>
          <w:rFonts w:ascii="Arial" w:hAnsi="Arial" w:cs="Arial"/>
          <w:bCs/>
        </w:rPr>
      </w:pPr>
    </w:p>
    <w:p w14:paraId="6885C675" w14:textId="069597BA" w:rsidR="005E11F2" w:rsidRDefault="005E11F2" w:rsidP="005E11F2">
      <w:pPr>
        <w:pStyle w:val="Body"/>
        <w:spacing w:after="0"/>
        <w:rPr>
          <w:rFonts w:ascii="Arial" w:hAnsi="Arial" w:cs="Arial"/>
          <w:b/>
          <w:u w:val="single"/>
        </w:rPr>
      </w:pPr>
      <w:r>
        <w:rPr>
          <w:rFonts w:ascii="Arial" w:hAnsi="Arial" w:cs="Arial"/>
          <w:b/>
          <w:u w:val="single"/>
        </w:rPr>
        <w:t xml:space="preserve">2.2.5 </w:t>
      </w:r>
      <w:r w:rsidRPr="005E11F2">
        <w:rPr>
          <w:rFonts w:ascii="Arial" w:hAnsi="Arial" w:cs="Arial"/>
          <w:b/>
          <w:u w:val="single"/>
        </w:rPr>
        <w:t>The Effect of Liquidity Ratio on Firm Value Moderated by Corporate Governance</w:t>
      </w:r>
    </w:p>
    <w:p w14:paraId="68C8A7F6" w14:textId="77777777" w:rsidR="00AB3D24" w:rsidRDefault="00AB3D24" w:rsidP="005E11F2">
      <w:pPr>
        <w:pStyle w:val="Body"/>
        <w:spacing w:after="0"/>
        <w:rPr>
          <w:rFonts w:ascii="Arial" w:hAnsi="Arial" w:cs="Arial"/>
          <w:bCs/>
        </w:rPr>
      </w:pPr>
    </w:p>
    <w:p w14:paraId="7BE3C7BA"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Effective corporate governance can moderate the relationship between the current ratio and firm value. Therefore, it is important for companies not only to manage their assets and liabilities to maintain good liquidity but also to continually strengthen their governance standards. </w:t>
      </w:r>
      <w:proofErr w:type="spellStart"/>
      <w:r w:rsidRPr="00AB3D24">
        <w:rPr>
          <w:rFonts w:ascii="Arial" w:hAnsi="Arial" w:cs="Arial"/>
          <w:bCs/>
        </w:rPr>
        <w:t>Hadmojo</w:t>
      </w:r>
      <w:proofErr w:type="spellEnd"/>
      <w:r w:rsidRPr="00AB3D24">
        <w:rPr>
          <w:rFonts w:ascii="Arial" w:hAnsi="Arial" w:cs="Arial"/>
          <w:bCs/>
        </w:rPr>
        <w:t xml:space="preserve"> (2024), in his study The Influence of Profitability, Liquidity, Leverage, Company Size on Company Value with GCG as a Moderating Variable, found that corporate governance moderates the relationship between the current ratio and firm value. Ummah and Yuliana (2023), in their study on liquidity, profitability, gender diversity, company size, and firm value, also confirmed that corporate governance moderates this relationship. Similarly, Farhan et al. (2019), in their study on Indian pharmaceutical companies, found that investors consider corporate governance information in investment decisions, reinforcing its moderating role. Therefore, the hypothesis is:</w:t>
      </w:r>
    </w:p>
    <w:p w14:paraId="1BFD87DF" w14:textId="6C721C89" w:rsidR="00AB3D24" w:rsidRDefault="00AB3D24" w:rsidP="00AB3D24">
      <w:pPr>
        <w:pStyle w:val="Body"/>
        <w:spacing w:after="0"/>
        <w:rPr>
          <w:rFonts w:ascii="Arial" w:hAnsi="Arial" w:cs="Arial"/>
          <w:bCs/>
        </w:rPr>
      </w:pPr>
      <w:r w:rsidRPr="00AB3D24">
        <w:rPr>
          <w:rFonts w:ascii="Arial" w:hAnsi="Arial" w:cs="Arial"/>
          <w:bCs/>
        </w:rPr>
        <w:t>H5: Corporate governance moderates the effect of the liquidity ratio on firm value.</w:t>
      </w:r>
    </w:p>
    <w:p w14:paraId="0D35A598" w14:textId="77777777" w:rsidR="00AB3D24" w:rsidRPr="00AB3D24" w:rsidRDefault="00AB3D24" w:rsidP="005E11F2">
      <w:pPr>
        <w:pStyle w:val="Body"/>
        <w:spacing w:after="0"/>
        <w:rPr>
          <w:rFonts w:ascii="Arial" w:hAnsi="Arial" w:cs="Arial"/>
          <w:bCs/>
        </w:rPr>
      </w:pPr>
    </w:p>
    <w:p w14:paraId="20A93AD1" w14:textId="49E8D4BB" w:rsidR="005E11F2" w:rsidRDefault="005E11F2" w:rsidP="005E11F2">
      <w:pPr>
        <w:pStyle w:val="Body"/>
        <w:spacing w:after="0"/>
        <w:rPr>
          <w:rFonts w:ascii="Arial" w:hAnsi="Arial" w:cs="Arial"/>
          <w:b/>
          <w:u w:val="single"/>
        </w:rPr>
      </w:pPr>
      <w:r>
        <w:rPr>
          <w:rFonts w:ascii="Arial" w:hAnsi="Arial" w:cs="Arial"/>
          <w:b/>
          <w:u w:val="single"/>
        </w:rPr>
        <w:t xml:space="preserve">2.2.6 </w:t>
      </w:r>
      <w:r w:rsidRPr="005E11F2">
        <w:rPr>
          <w:rFonts w:ascii="Arial" w:hAnsi="Arial" w:cs="Arial"/>
          <w:b/>
          <w:u w:val="single"/>
        </w:rPr>
        <w:t>The Effect of Leverage Ratio on Firm Value Moderated by Corporate Governance</w:t>
      </w:r>
    </w:p>
    <w:p w14:paraId="7F358509" w14:textId="5D48E452" w:rsidR="00AB3D24" w:rsidRDefault="00AB3D24" w:rsidP="005E11F2">
      <w:pPr>
        <w:pStyle w:val="Body"/>
        <w:spacing w:after="0"/>
        <w:rPr>
          <w:rFonts w:ascii="Arial" w:hAnsi="Arial" w:cs="Arial"/>
          <w:bCs/>
        </w:rPr>
      </w:pPr>
    </w:p>
    <w:p w14:paraId="35C9D852"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Good corporate governance practices can boost investor confidence and mitigate concerns related to high leverage. When investors trust that a firm is well-managed, they may perceive its use of debt as a strategic tool for long-term growth rather than a short-term necessity. Strong governance can reduce the negative effects of a high debt-to-assets ratio by assuring stakeholders that the firm has a sound plan for managing leverage. This is supported by research from </w:t>
      </w:r>
      <w:proofErr w:type="spellStart"/>
      <w:r w:rsidRPr="00AB3D24">
        <w:rPr>
          <w:rFonts w:ascii="Arial" w:hAnsi="Arial" w:cs="Arial"/>
          <w:bCs/>
        </w:rPr>
        <w:t>Harnida</w:t>
      </w:r>
      <w:proofErr w:type="spellEnd"/>
      <w:r w:rsidRPr="00AB3D24">
        <w:rPr>
          <w:rFonts w:ascii="Arial" w:hAnsi="Arial" w:cs="Arial"/>
          <w:bCs/>
        </w:rPr>
        <w:t xml:space="preserve"> et al. (2021), </w:t>
      </w:r>
      <w:proofErr w:type="spellStart"/>
      <w:r w:rsidRPr="00AB3D24">
        <w:rPr>
          <w:rFonts w:ascii="Arial" w:hAnsi="Arial" w:cs="Arial"/>
          <w:bCs/>
        </w:rPr>
        <w:t>Widyowati</w:t>
      </w:r>
      <w:proofErr w:type="spellEnd"/>
      <w:r w:rsidRPr="00AB3D24">
        <w:rPr>
          <w:rFonts w:ascii="Arial" w:hAnsi="Arial" w:cs="Arial"/>
          <w:bCs/>
        </w:rPr>
        <w:t xml:space="preserve"> and Rani (2022), and Chandra and </w:t>
      </w:r>
      <w:proofErr w:type="spellStart"/>
      <w:r w:rsidRPr="00AB3D24">
        <w:rPr>
          <w:rFonts w:ascii="Arial" w:hAnsi="Arial" w:cs="Arial"/>
          <w:bCs/>
        </w:rPr>
        <w:t>Rusliati</w:t>
      </w:r>
      <w:proofErr w:type="spellEnd"/>
      <w:r w:rsidRPr="00AB3D24">
        <w:rPr>
          <w:rFonts w:ascii="Arial" w:hAnsi="Arial" w:cs="Arial"/>
          <w:bCs/>
        </w:rPr>
        <w:t xml:space="preserve"> (2019), all of which found that corporate governance moderates the relationship between leverage and firm value. Thus, the hypothesis is:</w:t>
      </w:r>
    </w:p>
    <w:p w14:paraId="4C50F488" w14:textId="1B7C9962" w:rsidR="00AB3D24" w:rsidRDefault="00AB3D24" w:rsidP="00AB3D24">
      <w:pPr>
        <w:pStyle w:val="Body"/>
        <w:spacing w:after="0"/>
        <w:rPr>
          <w:rFonts w:ascii="Arial" w:hAnsi="Arial" w:cs="Arial"/>
          <w:bCs/>
        </w:rPr>
      </w:pPr>
      <w:r w:rsidRPr="00AB3D24">
        <w:rPr>
          <w:rFonts w:ascii="Arial" w:hAnsi="Arial" w:cs="Arial"/>
          <w:bCs/>
        </w:rPr>
        <w:t>H6: Corporate governance moderates the effect of leverage ratio on firm value.</w:t>
      </w:r>
    </w:p>
    <w:p w14:paraId="0A085C90" w14:textId="77777777" w:rsidR="00AB3D24" w:rsidRPr="00AB3D24" w:rsidRDefault="00AB3D24" w:rsidP="005E11F2">
      <w:pPr>
        <w:pStyle w:val="Body"/>
        <w:spacing w:after="0"/>
        <w:rPr>
          <w:rFonts w:ascii="Arial" w:hAnsi="Arial" w:cs="Arial"/>
          <w:bCs/>
        </w:rPr>
      </w:pPr>
    </w:p>
    <w:p w14:paraId="5ABD0984" w14:textId="511B0DF6" w:rsidR="005E11F2" w:rsidRDefault="005E11F2" w:rsidP="005E11F2">
      <w:pPr>
        <w:pStyle w:val="Body"/>
        <w:spacing w:after="0"/>
        <w:rPr>
          <w:rFonts w:ascii="Arial" w:hAnsi="Arial" w:cs="Arial"/>
          <w:b/>
          <w:u w:val="single"/>
        </w:rPr>
      </w:pPr>
      <w:r>
        <w:rPr>
          <w:rFonts w:ascii="Arial" w:hAnsi="Arial" w:cs="Arial"/>
          <w:b/>
          <w:u w:val="single"/>
        </w:rPr>
        <w:t xml:space="preserve">2.2.7 </w:t>
      </w:r>
      <w:r w:rsidRPr="005E11F2">
        <w:rPr>
          <w:rFonts w:ascii="Arial" w:hAnsi="Arial" w:cs="Arial"/>
          <w:b/>
          <w:u w:val="single"/>
        </w:rPr>
        <w:t>The Effect of Activity Ratio on Firm Value Moderated by Corporate Governance</w:t>
      </w:r>
    </w:p>
    <w:p w14:paraId="09A844C9" w14:textId="77777777" w:rsidR="00AB3D24" w:rsidRDefault="00AB3D24" w:rsidP="005E11F2">
      <w:pPr>
        <w:pStyle w:val="Body"/>
        <w:spacing w:after="0"/>
        <w:rPr>
          <w:rFonts w:ascii="Arial" w:hAnsi="Arial" w:cs="Arial"/>
          <w:bCs/>
        </w:rPr>
      </w:pPr>
    </w:p>
    <w:p w14:paraId="3093213F"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Effective corporate governance can strengthen the relationship between total assets turnover and firm value, as it reassures investors that operational efficiency is a result of responsible strategic decisions. Strong governance also facilitates better communication and long-term planning, which promotes sustainable growth and further enhances firm value. </w:t>
      </w:r>
      <w:proofErr w:type="spellStart"/>
      <w:r w:rsidRPr="00AB3D24">
        <w:rPr>
          <w:rFonts w:ascii="Arial" w:hAnsi="Arial" w:cs="Arial"/>
          <w:bCs/>
        </w:rPr>
        <w:t>Harnida</w:t>
      </w:r>
      <w:proofErr w:type="spellEnd"/>
      <w:r w:rsidRPr="00AB3D24">
        <w:rPr>
          <w:rFonts w:ascii="Arial" w:hAnsi="Arial" w:cs="Arial"/>
          <w:bCs/>
        </w:rPr>
        <w:t xml:space="preserve"> et al. (2021) and </w:t>
      </w:r>
      <w:proofErr w:type="spellStart"/>
      <w:r w:rsidRPr="00AB3D24">
        <w:rPr>
          <w:rFonts w:ascii="Arial" w:hAnsi="Arial" w:cs="Arial"/>
          <w:bCs/>
        </w:rPr>
        <w:t>Hudzaifah</w:t>
      </w:r>
      <w:proofErr w:type="spellEnd"/>
      <w:r w:rsidRPr="00AB3D24">
        <w:rPr>
          <w:rFonts w:ascii="Arial" w:hAnsi="Arial" w:cs="Arial"/>
          <w:bCs/>
        </w:rPr>
        <w:t xml:space="preserve"> et al. (2024) found that corporate governance significantly moderates the relationship between total assets turnover and firm value. Based on these findings, the hypothesis is:</w:t>
      </w:r>
    </w:p>
    <w:p w14:paraId="44E26060" w14:textId="176F3AFE" w:rsidR="00AB3D24" w:rsidRDefault="00AB3D24" w:rsidP="00AB3D24">
      <w:pPr>
        <w:pStyle w:val="Body"/>
        <w:spacing w:after="0"/>
        <w:rPr>
          <w:rFonts w:ascii="Arial" w:hAnsi="Arial" w:cs="Arial"/>
          <w:bCs/>
        </w:rPr>
      </w:pPr>
      <w:r w:rsidRPr="00AB3D24">
        <w:rPr>
          <w:rFonts w:ascii="Arial" w:hAnsi="Arial" w:cs="Arial"/>
          <w:bCs/>
        </w:rPr>
        <w:t>H7: Corporate governance moderates the effect of the activity ratio on firm value.</w:t>
      </w:r>
    </w:p>
    <w:p w14:paraId="23CA5E21" w14:textId="77777777" w:rsidR="00AB3D24" w:rsidRPr="00AB3D24" w:rsidRDefault="00AB3D24" w:rsidP="005E11F2">
      <w:pPr>
        <w:pStyle w:val="Body"/>
        <w:spacing w:after="0"/>
        <w:rPr>
          <w:rFonts w:ascii="Arial" w:hAnsi="Arial" w:cs="Arial"/>
          <w:bCs/>
        </w:rPr>
      </w:pPr>
    </w:p>
    <w:p w14:paraId="0C4A873E" w14:textId="466E164B" w:rsidR="005E11F2" w:rsidRDefault="005E11F2" w:rsidP="005E11F2">
      <w:pPr>
        <w:pStyle w:val="Body"/>
        <w:spacing w:after="0"/>
        <w:ind w:left="540" w:hanging="540"/>
        <w:rPr>
          <w:rFonts w:ascii="Arial" w:hAnsi="Arial" w:cs="Arial"/>
          <w:b/>
          <w:u w:val="single"/>
        </w:rPr>
      </w:pPr>
      <w:r>
        <w:rPr>
          <w:rFonts w:ascii="Arial" w:hAnsi="Arial" w:cs="Arial"/>
          <w:b/>
          <w:u w:val="single"/>
        </w:rPr>
        <w:lastRenderedPageBreak/>
        <w:t xml:space="preserve">2.2.8 </w:t>
      </w:r>
      <w:r w:rsidRPr="005E11F2">
        <w:rPr>
          <w:rFonts w:ascii="Arial" w:hAnsi="Arial" w:cs="Arial"/>
          <w:b/>
          <w:u w:val="single"/>
        </w:rPr>
        <w:t>The Effect of Profitability Ratio on Firm Value Moderated by Corporate Governance</w:t>
      </w:r>
    </w:p>
    <w:p w14:paraId="1B2B2673" w14:textId="77777777" w:rsidR="005E11F2" w:rsidRDefault="005E11F2" w:rsidP="00441B6F">
      <w:pPr>
        <w:pStyle w:val="Body"/>
        <w:spacing w:after="0"/>
        <w:rPr>
          <w:rFonts w:ascii="Arial" w:hAnsi="Arial" w:cs="Arial"/>
          <w:bCs/>
        </w:rPr>
      </w:pPr>
    </w:p>
    <w:p w14:paraId="10D0E397" w14:textId="77777777" w:rsidR="00AB3D24" w:rsidRPr="00AB3D24" w:rsidRDefault="00AB3D24" w:rsidP="00AB3D24">
      <w:pPr>
        <w:pStyle w:val="Body"/>
        <w:spacing w:after="0"/>
        <w:rPr>
          <w:rFonts w:ascii="Arial" w:hAnsi="Arial" w:cs="Arial"/>
          <w:bCs/>
        </w:rPr>
      </w:pPr>
      <w:r w:rsidRPr="00AB3D24">
        <w:rPr>
          <w:rFonts w:ascii="Arial" w:hAnsi="Arial" w:cs="Arial"/>
          <w:bCs/>
        </w:rPr>
        <w:t xml:space="preserve">Corporate governance reinforces the positive interpretation of high net profit margins, indicating that profits are earned through sound and reliable business practices. Strong governance also helps mitigate investor concerns about future financial or operational issues by ensuring better risk management and market navigation. </w:t>
      </w:r>
      <w:proofErr w:type="spellStart"/>
      <w:r w:rsidRPr="00AB3D24">
        <w:rPr>
          <w:rFonts w:ascii="Arial" w:hAnsi="Arial" w:cs="Arial"/>
          <w:bCs/>
        </w:rPr>
        <w:t>Saragih</w:t>
      </w:r>
      <w:proofErr w:type="spellEnd"/>
      <w:r w:rsidRPr="00AB3D24">
        <w:rPr>
          <w:rFonts w:ascii="Arial" w:hAnsi="Arial" w:cs="Arial"/>
          <w:bCs/>
        </w:rPr>
        <w:t xml:space="preserve"> and Forever (2024), </w:t>
      </w:r>
      <w:proofErr w:type="spellStart"/>
      <w:r w:rsidRPr="00AB3D24">
        <w:rPr>
          <w:rFonts w:ascii="Arial" w:hAnsi="Arial" w:cs="Arial"/>
          <w:bCs/>
        </w:rPr>
        <w:t>Hadmojo</w:t>
      </w:r>
      <w:proofErr w:type="spellEnd"/>
      <w:r w:rsidRPr="00AB3D24">
        <w:rPr>
          <w:rFonts w:ascii="Arial" w:hAnsi="Arial" w:cs="Arial"/>
          <w:bCs/>
        </w:rPr>
        <w:t xml:space="preserve"> (2024), and </w:t>
      </w:r>
      <w:proofErr w:type="spellStart"/>
      <w:r w:rsidRPr="00AB3D24">
        <w:rPr>
          <w:rFonts w:ascii="Arial" w:hAnsi="Arial" w:cs="Arial"/>
          <w:bCs/>
        </w:rPr>
        <w:t>Suartama</w:t>
      </w:r>
      <w:proofErr w:type="spellEnd"/>
      <w:r w:rsidRPr="00AB3D24">
        <w:rPr>
          <w:rFonts w:ascii="Arial" w:hAnsi="Arial" w:cs="Arial"/>
          <w:bCs/>
        </w:rPr>
        <w:t xml:space="preserve"> et al. (2023) all support the conclusion that corporate governance moderates the relationship between profitability and firm value. Investors view high profitability as sustainable and backed by robust governance practices. Thus, the final hypothesis is:</w:t>
      </w:r>
    </w:p>
    <w:p w14:paraId="12DF424C" w14:textId="38B7C590" w:rsidR="00AB3D24" w:rsidRDefault="00AB3D24" w:rsidP="00AB3D24">
      <w:pPr>
        <w:pStyle w:val="Body"/>
        <w:spacing w:after="0"/>
        <w:rPr>
          <w:rFonts w:ascii="Arial" w:hAnsi="Arial" w:cs="Arial"/>
          <w:bCs/>
        </w:rPr>
      </w:pPr>
      <w:r w:rsidRPr="00AB3D24">
        <w:rPr>
          <w:rFonts w:ascii="Arial" w:hAnsi="Arial" w:cs="Arial"/>
          <w:bCs/>
        </w:rPr>
        <w:t>H8: Corporate governance moderates the effect of profitability ratio on firm value.</w:t>
      </w:r>
    </w:p>
    <w:p w14:paraId="0D211114" w14:textId="77777777" w:rsidR="00AB3D24" w:rsidRPr="00AB3D24" w:rsidRDefault="00AB3D24" w:rsidP="00441B6F">
      <w:pPr>
        <w:pStyle w:val="Body"/>
        <w:spacing w:after="0"/>
        <w:rPr>
          <w:rFonts w:ascii="Arial" w:hAnsi="Arial" w:cs="Arial"/>
          <w:bCs/>
        </w:rPr>
      </w:pPr>
    </w:p>
    <w:p w14:paraId="6BDA96F6" w14:textId="77777777" w:rsidR="004C6D94" w:rsidRDefault="004C6D94" w:rsidP="00441B6F">
      <w:pPr>
        <w:pStyle w:val="Head1"/>
        <w:spacing w:after="0"/>
        <w:jc w:val="both"/>
        <w:rPr>
          <w:rFonts w:ascii="Arial" w:hAnsi="Arial" w:cs="Arial"/>
        </w:rPr>
      </w:pPr>
      <w:r>
        <w:rPr>
          <w:rFonts w:ascii="Arial" w:hAnsi="Arial" w:cs="Arial"/>
        </w:rPr>
        <w:t>3. RESEARCH METHODS</w:t>
      </w:r>
    </w:p>
    <w:p w14:paraId="3DE187B1" w14:textId="77777777" w:rsidR="004C6D94" w:rsidRDefault="004C6D94" w:rsidP="00441B6F">
      <w:pPr>
        <w:pStyle w:val="Head1"/>
        <w:spacing w:after="0"/>
        <w:jc w:val="both"/>
        <w:rPr>
          <w:rFonts w:ascii="Arial" w:hAnsi="Arial" w:cs="Arial"/>
          <w:b w:val="0"/>
          <w:bCs/>
        </w:rPr>
      </w:pPr>
    </w:p>
    <w:p w14:paraId="079BBA22" w14:textId="01C41595" w:rsidR="004C6D94" w:rsidRDefault="004C6D94" w:rsidP="004C6D94">
      <w:pPr>
        <w:pStyle w:val="Body"/>
        <w:spacing w:after="0"/>
        <w:rPr>
          <w:rFonts w:ascii="Arial" w:hAnsi="Arial" w:cs="Arial"/>
          <w:bCs/>
        </w:rPr>
      </w:pPr>
      <w:r w:rsidRPr="004C6D94">
        <w:rPr>
          <w:rFonts w:ascii="Arial" w:hAnsi="Arial" w:cs="Arial"/>
          <w:bCs/>
        </w:rPr>
        <w:t xml:space="preserve">The population in this study consists of 87 energy sector companies listed on the Indonesia Stock Exchange (IDX) during the 2019–2023 period. The sample was selected using purposive sampling, resulting in 31 companies and a total of 154 observations that met the following sampling criteria: </w:t>
      </w:r>
    </w:p>
    <w:p w14:paraId="5BDF07DC" w14:textId="77777777" w:rsidR="004C6D94" w:rsidRDefault="004C6D94" w:rsidP="004C6D94">
      <w:pPr>
        <w:pStyle w:val="Body"/>
        <w:spacing w:after="0"/>
        <w:rPr>
          <w:rFonts w:ascii="Arial" w:hAnsi="Arial" w:cs="Arial"/>
          <w:bCs/>
        </w:rPr>
      </w:pPr>
    </w:p>
    <w:p w14:paraId="3B034A26" w14:textId="45E0D382" w:rsidR="00541A3B" w:rsidRDefault="00541A3B" w:rsidP="00541A3B">
      <w:pPr>
        <w:tabs>
          <w:tab w:val="left" w:pos="1080"/>
        </w:tabs>
        <w:jc w:val="center"/>
        <w:rPr>
          <w:rFonts w:ascii="Arial" w:hAnsi="Arial"/>
          <w:b/>
        </w:rPr>
      </w:pPr>
      <w:r>
        <w:rPr>
          <w:rFonts w:ascii="Arial" w:hAnsi="Arial"/>
          <w:b/>
        </w:rPr>
        <w:t xml:space="preserve">Table 1. </w:t>
      </w:r>
      <w:r w:rsidRPr="00541A3B">
        <w:rPr>
          <w:rFonts w:ascii="Arial" w:hAnsi="Arial"/>
          <w:b/>
        </w:rPr>
        <w:t>Sample Selection Process Based on Criteria</w:t>
      </w:r>
    </w:p>
    <w:p w14:paraId="28971A48" w14:textId="77777777" w:rsidR="00541A3B" w:rsidRDefault="00541A3B" w:rsidP="00541A3B">
      <w:pPr>
        <w:tabs>
          <w:tab w:val="left" w:pos="1080"/>
        </w:tabs>
        <w:jc w:val="center"/>
        <w:rPr>
          <w:rFonts w:ascii="Arial" w:hAnsi="Arial"/>
          <w:b/>
        </w:rPr>
      </w:pPr>
    </w:p>
    <w:tbl>
      <w:tblPr>
        <w:tblW w:w="8181" w:type="dxa"/>
        <w:jc w:val="center"/>
        <w:tblBorders>
          <w:top w:val="single" w:sz="4" w:space="0" w:color="auto"/>
        </w:tblBorders>
        <w:tblLook w:val="04A0" w:firstRow="1" w:lastRow="0" w:firstColumn="1" w:lastColumn="0" w:noHBand="0" w:noVBand="1"/>
      </w:tblPr>
      <w:tblGrid>
        <w:gridCol w:w="7281"/>
        <w:gridCol w:w="900"/>
      </w:tblGrid>
      <w:tr w:rsidR="00541A3B" w:rsidRPr="00541A3B" w14:paraId="3E42EDDA" w14:textId="77777777" w:rsidTr="00A7596C">
        <w:trPr>
          <w:trHeight w:val="291"/>
          <w:jc w:val="center"/>
        </w:trPr>
        <w:tc>
          <w:tcPr>
            <w:tcW w:w="7281" w:type="dxa"/>
            <w:tcBorders>
              <w:top w:val="single" w:sz="4" w:space="0" w:color="auto"/>
              <w:bottom w:val="single" w:sz="4" w:space="0" w:color="auto"/>
            </w:tcBorders>
            <w:shd w:val="clear" w:color="auto" w:fill="auto"/>
          </w:tcPr>
          <w:p w14:paraId="5E21640A" w14:textId="77777777" w:rsidR="00541A3B" w:rsidRPr="00541A3B" w:rsidRDefault="00541A3B" w:rsidP="00541A3B">
            <w:pPr>
              <w:jc w:val="both"/>
              <w:rPr>
                <w:rFonts w:ascii="Arial" w:hAnsi="Arial"/>
                <w:b/>
              </w:rPr>
            </w:pPr>
            <w:r w:rsidRPr="00541A3B">
              <w:rPr>
                <w:rFonts w:ascii="Arial" w:hAnsi="Arial"/>
                <w:b/>
              </w:rPr>
              <w:t>Research Sample Data</w:t>
            </w:r>
          </w:p>
        </w:tc>
        <w:tc>
          <w:tcPr>
            <w:tcW w:w="900" w:type="dxa"/>
            <w:tcBorders>
              <w:top w:val="single" w:sz="4" w:space="0" w:color="auto"/>
              <w:bottom w:val="single" w:sz="4" w:space="0" w:color="auto"/>
            </w:tcBorders>
            <w:shd w:val="clear" w:color="auto" w:fill="auto"/>
          </w:tcPr>
          <w:p w14:paraId="4207BF4E" w14:textId="77777777" w:rsidR="00541A3B" w:rsidRPr="00541A3B" w:rsidRDefault="00541A3B" w:rsidP="00541A3B">
            <w:pPr>
              <w:jc w:val="both"/>
              <w:rPr>
                <w:rFonts w:ascii="Arial" w:hAnsi="Arial"/>
                <w:b/>
              </w:rPr>
            </w:pPr>
            <w:r w:rsidRPr="00541A3B">
              <w:rPr>
                <w:rFonts w:ascii="Arial" w:hAnsi="Arial"/>
                <w:b/>
              </w:rPr>
              <w:t>Total</w:t>
            </w:r>
          </w:p>
        </w:tc>
      </w:tr>
      <w:tr w:rsidR="00541A3B" w:rsidRPr="00386E68" w14:paraId="0C8CD74F" w14:textId="77777777" w:rsidTr="00A7596C">
        <w:trPr>
          <w:trHeight w:val="44"/>
          <w:jc w:val="center"/>
        </w:trPr>
        <w:tc>
          <w:tcPr>
            <w:tcW w:w="7281" w:type="dxa"/>
            <w:tcBorders>
              <w:top w:val="single" w:sz="4" w:space="0" w:color="auto"/>
            </w:tcBorders>
            <w:shd w:val="clear" w:color="auto" w:fill="auto"/>
          </w:tcPr>
          <w:p w14:paraId="28AB87DB" w14:textId="77777777" w:rsidR="00541A3B" w:rsidRPr="00541A3B" w:rsidRDefault="00541A3B" w:rsidP="00541A3B">
            <w:pPr>
              <w:jc w:val="both"/>
              <w:rPr>
                <w:rFonts w:ascii="Arial" w:hAnsi="Arial"/>
              </w:rPr>
            </w:pPr>
            <w:r w:rsidRPr="00541A3B">
              <w:rPr>
                <w:rFonts w:ascii="Arial" w:hAnsi="Arial"/>
              </w:rPr>
              <w:t>Energy sector companies listed on the Indonesia Stock Exchange</w:t>
            </w:r>
          </w:p>
        </w:tc>
        <w:tc>
          <w:tcPr>
            <w:tcW w:w="900" w:type="dxa"/>
            <w:tcBorders>
              <w:top w:val="single" w:sz="4" w:space="0" w:color="auto"/>
            </w:tcBorders>
            <w:shd w:val="clear" w:color="auto" w:fill="auto"/>
          </w:tcPr>
          <w:p w14:paraId="5787B739" w14:textId="77777777" w:rsidR="00541A3B" w:rsidRPr="00541A3B" w:rsidRDefault="00541A3B" w:rsidP="00541A3B">
            <w:pPr>
              <w:contextualSpacing/>
              <w:jc w:val="center"/>
              <w:rPr>
                <w:rFonts w:ascii="Arial" w:hAnsi="Arial"/>
              </w:rPr>
            </w:pPr>
            <w:r w:rsidRPr="00541A3B">
              <w:rPr>
                <w:rFonts w:ascii="Arial" w:hAnsi="Arial"/>
              </w:rPr>
              <w:t>87</w:t>
            </w:r>
          </w:p>
        </w:tc>
      </w:tr>
      <w:tr w:rsidR="00541A3B" w:rsidRPr="00386E68" w14:paraId="4365E139" w14:textId="77777777" w:rsidTr="00A7596C">
        <w:trPr>
          <w:trHeight w:val="44"/>
          <w:jc w:val="center"/>
        </w:trPr>
        <w:tc>
          <w:tcPr>
            <w:tcW w:w="7281" w:type="dxa"/>
            <w:shd w:val="clear" w:color="auto" w:fill="auto"/>
          </w:tcPr>
          <w:p w14:paraId="122C9DC3" w14:textId="77777777" w:rsidR="00541A3B" w:rsidRPr="00A7596C" w:rsidRDefault="00541A3B" w:rsidP="00541A3B">
            <w:pPr>
              <w:jc w:val="both"/>
              <w:rPr>
                <w:rFonts w:ascii="Arial" w:hAnsi="Arial"/>
                <w:b/>
                <w:bCs/>
              </w:rPr>
            </w:pPr>
            <w:r w:rsidRPr="00A7596C">
              <w:rPr>
                <w:rFonts w:ascii="Arial" w:hAnsi="Arial"/>
                <w:b/>
                <w:bCs/>
              </w:rPr>
              <w:t>Less:</w:t>
            </w:r>
          </w:p>
          <w:p w14:paraId="54ACEDD2"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delisted from the IDX</w:t>
            </w:r>
          </w:p>
          <w:p w14:paraId="092C8309" w14:textId="77777777" w:rsidR="00541A3B" w:rsidRPr="00541A3B" w:rsidRDefault="00541A3B" w:rsidP="00541A3B">
            <w:pPr>
              <w:pStyle w:val="ListParagraph"/>
              <w:numPr>
                <w:ilvl w:val="0"/>
                <w:numId w:val="31"/>
              </w:numPr>
              <w:spacing w:after="0" w:line="240" w:lineRule="auto"/>
              <w:ind w:left="174" w:right="-18" w:hanging="192"/>
              <w:jc w:val="both"/>
              <w:rPr>
                <w:rFonts w:ascii="Arial" w:hAnsi="Arial"/>
                <w:sz w:val="20"/>
                <w:szCs w:val="20"/>
                <w:lang w:eastAsia="en-US"/>
              </w:rPr>
            </w:pPr>
            <w:r w:rsidRPr="00541A3B">
              <w:rPr>
                <w:rFonts w:ascii="Arial" w:hAnsi="Arial"/>
                <w:sz w:val="20"/>
                <w:szCs w:val="20"/>
                <w:lang w:eastAsia="en-US"/>
              </w:rPr>
              <w:t>Energy companies that did not publish complete financial reports for the period 2019–2023</w:t>
            </w:r>
          </w:p>
          <w:p w14:paraId="0BAB9969"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listed after 2019</w:t>
            </w:r>
          </w:p>
          <w:p w14:paraId="5128F9E8" w14:textId="77777777"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without managerial share ownership</w:t>
            </w:r>
          </w:p>
          <w:p w14:paraId="2C080BEE" w14:textId="258B7989" w:rsidR="00541A3B" w:rsidRPr="00541A3B" w:rsidRDefault="00541A3B" w:rsidP="00541A3B">
            <w:pPr>
              <w:pStyle w:val="ListParagraph"/>
              <w:numPr>
                <w:ilvl w:val="0"/>
                <w:numId w:val="31"/>
              </w:numPr>
              <w:spacing w:after="0" w:line="240" w:lineRule="auto"/>
              <w:ind w:left="174" w:right="-166" w:hanging="192"/>
              <w:jc w:val="both"/>
              <w:rPr>
                <w:rFonts w:ascii="Arial" w:hAnsi="Arial"/>
                <w:sz w:val="20"/>
                <w:szCs w:val="20"/>
                <w:lang w:eastAsia="en-US"/>
              </w:rPr>
            </w:pPr>
            <w:r w:rsidRPr="00541A3B">
              <w:rPr>
                <w:rFonts w:ascii="Arial" w:hAnsi="Arial"/>
                <w:sz w:val="20"/>
                <w:szCs w:val="20"/>
                <w:lang w:eastAsia="en-US"/>
              </w:rPr>
              <w:t>Energy companies with no revenue from sales</w:t>
            </w:r>
            <w:r w:rsidR="0032160E">
              <w:rPr>
                <w:rFonts w:ascii="Arial" w:hAnsi="Arial"/>
                <w:sz w:val="20"/>
                <w:szCs w:val="20"/>
                <w:lang w:eastAsia="en-US"/>
              </w:rPr>
              <w:t xml:space="preserve"> &gt; 1 year</w:t>
            </w:r>
          </w:p>
        </w:tc>
        <w:tc>
          <w:tcPr>
            <w:tcW w:w="900" w:type="dxa"/>
            <w:shd w:val="clear" w:color="auto" w:fill="auto"/>
          </w:tcPr>
          <w:p w14:paraId="4BBE6A59" w14:textId="77777777" w:rsidR="00541A3B" w:rsidRPr="00541A3B" w:rsidRDefault="00541A3B" w:rsidP="00541A3B">
            <w:pPr>
              <w:contextualSpacing/>
              <w:jc w:val="center"/>
              <w:rPr>
                <w:rFonts w:ascii="Arial" w:hAnsi="Arial"/>
              </w:rPr>
            </w:pPr>
          </w:p>
          <w:p w14:paraId="6302BDB5" w14:textId="77777777" w:rsidR="00541A3B" w:rsidRPr="00541A3B" w:rsidRDefault="00541A3B" w:rsidP="00541A3B">
            <w:pPr>
              <w:contextualSpacing/>
              <w:jc w:val="center"/>
              <w:rPr>
                <w:rFonts w:ascii="Arial" w:hAnsi="Arial"/>
              </w:rPr>
            </w:pPr>
            <w:r w:rsidRPr="00541A3B">
              <w:rPr>
                <w:rFonts w:ascii="Arial" w:hAnsi="Arial"/>
              </w:rPr>
              <w:t>(5)</w:t>
            </w:r>
          </w:p>
          <w:p w14:paraId="7B34BFBD" w14:textId="77777777" w:rsidR="00541A3B" w:rsidRDefault="00541A3B" w:rsidP="00541A3B">
            <w:pPr>
              <w:contextualSpacing/>
              <w:jc w:val="center"/>
              <w:rPr>
                <w:rFonts w:ascii="Arial" w:hAnsi="Arial"/>
              </w:rPr>
            </w:pPr>
            <w:r w:rsidRPr="00541A3B">
              <w:rPr>
                <w:rFonts w:ascii="Arial" w:hAnsi="Arial"/>
              </w:rPr>
              <w:t>(1)</w:t>
            </w:r>
          </w:p>
          <w:p w14:paraId="2B4A36FE" w14:textId="77777777" w:rsidR="00A7596C" w:rsidRPr="00541A3B" w:rsidRDefault="00A7596C" w:rsidP="00541A3B">
            <w:pPr>
              <w:contextualSpacing/>
              <w:jc w:val="center"/>
              <w:rPr>
                <w:rFonts w:ascii="Arial" w:hAnsi="Arial"/>
              </w:rPr>
            </w:pPr>
          </w:p>
          <w:p w14:paraId="31ACA096" w14:textId="77777777" w:rsidR="00541A3B" w:rsidRPr="00541A3B" w:rsidRDefault="00541A3B" w:rsidP="00541A3B">
            <w:pPr>
              <w:contextualSpacing/>
              <w:jc w:val="center"/>
              <w:rPr>
                <w:rFonts w:ascii="Arial" w:hAnsi="Arial"/>
              </w:rPr>
            </w:pPr>
            <w:r w:rsidRPr="00541A3B">
              <w:rPr>
                <w:rFonts w:ascii="Arial" w:hAnsi="Arial"/>
              </w:rPr>
              <w:t>(23)</w:t>
            </w:r>
          </w:p>
          <w:p w14:paraId="469955C3" w14:textId="77777777" w:rsidR="00541A3B" w:rsidRPr="00541A3B" w:rsidRDefault="00541A3B" w:rsidP="00541A3B">
            <w:pPr>
              <w:contextualSpacing/>
              <w:jc w:val="center"/>
              <w:rPr>
                <w:rFonts w:ascii="Arial" w:hAnsi="Arial"/>
              </w:rPr>
            </w:pPr>
            <w:r w:rsidRPr="00541A3B">
              <w:rPr>
                <w:rFonts w:ascii="Arial" w:hAnsi="Arial"/>
              </w:rPr>
              <w:t>(26)</w:t>
            </w:r>
          </w:p>
          <w:p w14:paraId="037BE752" w14:textId="77777777" w:rsidR="00541A3B" w:rsidRPr="00541A3B" w:rsidRDefault="00541A3B" w:rsidP="00541A3B">
            <w:pPr>
              <w:contextualSpacing/>
              <w:jc w:val="center"/>
              <w:rPr>
                <w:rFonts w:ascii="Arial" w:hAnsi="Arial"/>
              </w:rPr>
            </w:pPr>
            <w:r w:rsidRPr="00541A3B">
              <w:rPr>
                <w:rFonts w:ascii="Arial" w:hAnsi="Arial"/>
              </w:rPr>
              <w:t>(1)</w:t>
            </w:r>
          </w:p>
        </w:tc>
      </w:tr>
      <w:tr w:rsidR="00541A3B" w:rsidRPr="00386E68" w14:paraId="2EA671DF" w14:textId="77777777" w:rsidTr="00A7596C">
        <w:trPr>
          <w:trHeight w:val="44"/>
          <w:jc w:val="center"/>
        </w:trPr>
        <w:tc>
          <w:tcPr>
            <w:tcW w:w="7281" w:type="dxa"/>
            <w:shd w:val="clear" w:color="auto" w:fill="auto"/>
          </w:tcPr>
          <w:p w14:paraId="367E1688" w14:textId="77777777" w:rsidR="00541A3B" w:rsidRPr="00541A3B" w:rsidRDefault="00541A3B" w:rsidP="00541A3B">
            <w:pPr>
              <w:jc w:val="both"/>
              <w:rPr>
                <w:rFonts w:ascii="Arial" w:hAnsi="Arial"/>
              </w:rPr>
            </w:pPr>
            <w:r w:rsidRPr="00541A3B">
              <w:rPr>
                <w:rFonts w:ascii="Arial" w:hAnsi="Arial"/>
              </w:rPr>
              <w:t>Number of sample companies</w:t>
            </w:r>
          </w:p>
        </w:tc>
        <w:tc>
          <w:tcPr>
            <w:tcW w:w="900" w:type="dxa"/>
            <w:shd w:val="clear" w:color="auto" w:fill="auto"/>
          </w:tcPr>
          <w:p w14:paraId="1E333C8B" w14:textId="77777777" w:rsidR="00541A3B" w:rsidRPr="00541A3B" w:rsidRDefault="00541A3B" w:rsidP="00541A3B">
            <w:pPr>
              <w:contextualSpacing/>
              <w:jc w:val="center"/>
              <w:rPr>
                <w:rFonts w:ascii="Arial" w:hAnsi="Arial"/>
              </w:rPr>
            </w:pPr>
            <w:r w:rsidRPr="00541A3B">
              <w:rPr>
                <w:rFonts w:ascii="Arial" w:hAnsi="Arial"/>
              </w:rPr>
              <w:t>31</w:t>
            </w:r>
          </w:p>
        </w:tc>
      </w:tr>
      <w:tr w:rsidR="00541A3B" w:rsidRPr="00386E68" w14:paraId="3733685E" w14:textId="77777777" w:rsidTr="00A7596C">
        <w:trPr>
          <w:trHeight w:val="44"/>
          <w:jc w:val="center"/>
        </w:trPr>
        <w:tc>
          <w:tcPr>
            <w:tcW w:w="7281" w:type="dxa"/>
            <w:shd w:val="clear" w:color="auto" w:fill="auto"/>
          </w:tcPr>
          <w:p w14:paraId="426B3587" w14:textId="20290265" w:rsidR="00541A3B" w:rsidRPr="00541A3B" w:rsidRDefault="00541A3B" w:rsidP="00541A3B">
            <w:pPr>
              <w:jc w:val="both"/>
              <w:rPr>
                <w:rFonts w:ascii="Arial" w:hAnsi="Arial"/>
              </w:rPr>
            </w:pPr>
            <w:r w:rsidRPr="00541A3B">
              <w:rPr>
                <w:rFonts w:ascii="Arial" w:hAnsi="Arial"/>
              </w:rPr>
              <w:t xml:space="preserve">Observation period 2019 </w:t>
            </w:r>
            <w:r w:rsidR="0032160E">
              <w:rPr>
                <w:rFonts w:ascii="Arial" w:hAnsi="Arial"/>
              </w:rPr>
              <w:t>–</w:t>
            </w:r>
            <w:r w:rsidRPr="00541A3B">
              <w:rPr>
                <w:rFonts w:ascii="Arial" w:hAnsi="Arial"/>
              </w:rPr>
              <w:t xml:space="preserve"> 2023</w:t>
            </w:r>
          </w:p>
        </w:tc>
        <w:tc>
          <w:tcPr>
            <w:tcW w:w="900" w:type="dxa"/>
            <w:shd w:val="clear" w:color="auto" w:fill="auto"/>
          </w:tcPr>
          <w:p w14:paraId="25F15AC1" w14:textId="77777777" w:rsidR="00541A3B" w:rsidRPr="00541A3B" w:rsidRDefault="00541A3B" w:rsidP="00541A3B">
            <w:pPr>
              <w:contextualSpacing/>
              <w:jc w:val="center"/>
              <w:rPr>
                <w:rFonts w:ascii="Arial" w:hAnsi="Arial"/>
              </w:rPr>
            </w:pPr>
            <w:r w:rsidRPr="00541A3B">
              <w:rPr>
                <w:rFonts w:ascii="Arial" w:hAnsi="Arial"/>
              </w:rPr>
              <w:t>5</w:t>
            </w:r>
          </w:p>
        </w:tc>
      </w:tr>
      <w:tr w:rsidR="00541A3B" w:rsidRPr="00386E68" w14:paraId="40000931" w14:textId="77777777" w:rsidTr="00A7596C">
        <w:trPr>
          <w:trHeight w:val="44"/>
          <w:jc w:val="center"/>
        </w:trPr>
        <w:tc>
          <w:tcPr>
            <w:tcW w:w="7281" w:type="dxa"/>
            <w:tcBorders>
              <w:bottom w:val="nil"/>
            </w:tcBorders>
            <w:shd w:val="clear" w:color="auto" w:fill="auto"/>
          </w:tcPr>
          <w:p w14:paraId="4A37B836" w14:textId="77777777" w:rsidR="00541A3B" w:rsidRPr="00541A3B" w:rsidRDefault="00541A3B" w:rsidP="00541A3B">
            <w:pPr>
              <w:jc w:val="both"/>
              <w:rPr>
                <w:rFonts w:ascii="Arial" w:hAnsi="Arial"/>
              </w:rPr>
            </w:pPr>
            <w:r w:rsidRPr="00541A3B">
              <w:rPr>
                <w:rFonts w:ascii="Arial" w:hAnsi="Arial"/>
              </w:rPr>
              <w:t>Number of observations</w:t>
            </w:r>
          </w:p>
        </w:tc>
        <w:tc>
          <w:tcPr>
            <w:tcW w:w="900" w:type="dxa"/>
            <w:tcBorders>
              <w:bottom w:val="nil"/>
            </w:tcBorders>
            <w:shd w:val="clear" w:color="auto" w:fill="auto"/>
          </w:tcPr>
          <w:p w14:paraId="56A2D631" w14:textId="77777777" w:rsidR="00541A3B" w:rsidRPr="00541A3B" w:rsidRDefault="00541A3B" w:rsidP="00541A3B">
            <w:pPr>
              <w:jc w:val="center"/>
              <w:rPr>
                <w:rFonts w:ascii="Arial" w:hAnsi="Arial"/>
              </w:rPr>
            </w:pPr>
            <w:r w:rsidRPr="00541A3B">
              <w:rPr>
                <w:rFonts w:ascii="Arial" w:hAnsi="Arial"/>
              </w:rPr>
              <w:t>155</w:t>
            </w:r>
          </w:p>
        </w:tc>
      </w:tr>
      <w:tr w:rsidR="00541A3B" w:rsidRPr="00386E68" w14:paraId="06FB3ECE" w14:textId="77777777" w:rsidTr="00A7596C">
        <w:trPr>
          <w:trHeight w:val="44"/>
          <w:jc w:val="center"/>
        </w:trPr>
        <w:tc>
          <w:tcPr>
            <w:tcW w:w="7281" w:type="dxa"/>
            <w:tcBorders>
              <w:top w:val="nil"/>
              <w:bottom w:val="single" w:sz="4" w:space="0" w:color="auto"/>
            </w:tcBorders>
            <w:shd w:val="clear" w:color="auto" w:fill="auto"/>
          </w:tcPr>
          <w:p w14:paraId="5C6D6C26" w14:textId="77777777" w:rsidR="00541A3B" w:rsidRPr="00A7596C" w:rsidRDefault="00541A3B" w:rsidP="00541A3B">
            <w:pPr>
              <w:jc w:val="both"/>
              <w:rPr>
                <w:rFonts w:ascii="Arial" w:hAnsi="Arial"/>
                <w:b/>
                <w:bCs/>
              </w:rPr>
            </w:pPr>
            <w:r w:rsidRPr="00A7596C">
              <w:rPr>
                <w:rFonts w:ascii="Arial" w:hAnsi="Arial"/>
                <w:b/>
                <w:bCs/>
              </w:rPr>
              <w:t xml:space="preserve">Less : </w:t>
            </w:r>
          </w:p>
          <w:p w14:paraId="6CDAD55A" w14:textId="5DE13E12" w:rsidR="00541A3B" w:rsidRPr="00541A3B" w:rsidRDefault="00541A3B" w:rsidP="00541A3B">
            <w:pPr>
              <w:pStyle w:val="ListParagraph"/>
              <w:numPr>
                <w:ilvl w:val="0"/>
                <w:numId w:val="32"/>
              </w:numPr>
              <w:spacing w:after="0" w:line="240" w:lineRule="auto"/>
              <w:ind w:left="168" w:right="-166" w:hanging="186"/>
              <w:contextualSpacing w:val="0"/>
              <w:jc w:val="both"/>
              <w:rPr>
                <w:rFonts w:ascii="Arial" w:hAnsi="Arial"/>
                <w:sz w:val="20"/>
                <w:szCs w:val="20"/>
                <w:lang w:eastAsia="en-US"/>
              </w:rPr>
            </w:pPr>
            <w:r w:rsidRPr="00541A3B">
              <w:rPr>
                <w:rFonts w:ascii="Arial" w:hAnsi="Arial"/>
                <w:sz w:val="20"/>
                <w:szCs w:val="20"/>
                <w:lang w:eastAsia="en-US"/>
              </w:rPr>
              <w:t>Energy companies with no revenue from sales</w:t>
            </w:r>
            <w:r w:rsidR="0032160E">
              <w:rPr>
                <w:rFonts w:ascii="Arial" w:hAnsi="Arial"/>
                <w:sz w:val="20"/>
                <w:szCs w:val="20"/>
                <w:lang w:eastAsia="en-US"/>
              </w:rPr>
              <w:t xml:space="preserve"> </w:t>
            </w:r>
            <w:r w:rsidR="0032160E">
              <w:rPr>
                <w:rFonts w:ascii="Arial" w:hAnsi="Arial" w:cs="Arial"/>
                <w:sz w:val="20"/>
                <w:szCs w:val="20"/>
                <w:lang w:eastAsia="en-US"/>
              </w:rPr>
              <w:t>≤</w:t>
            </w:r>
            <w:r w:rsidR="0032160E">
              <w:rPr>
                <w:rFonts w:ascii="Arial" w:hAnsi="Arial"/>
                <w:sz w:val="20"/>
                <w:szCs w:val="20"/>
                <w:lang w:eastAsia="en-US"/>
              </w:rPr>
              <w:t xml:space="preserve"> 1 year</w:t>
            </w:r>
          </w:p>
        </w:tc>
        <w:tc>
          <w:tcPr>
            <w:tcW w:w="900" w:type="dxa"/>
            <w:tcBorders>
              <w:top w:val="nil"/>
              <w:bottom w:val="single" w:sz="4" w:space="0" w:color="auto"/>
            </w:tcBorders>
            <w:shd w:val="clear" w:color="auto" w:fill="auto"/>
          </w:tcPr>
          <w:p w14:paraId="2237DEF3" w14:textId="77777777" w:rsidR="00541A3B" w:rsidRPr="00541A3B" w:rsidRDefault="00541A3B" w:rsidP="00541A3B">
            <w:pPr>
              <w:jc w:val="center"/>
              <w:rPr>
                <w:rFonts w:ascii="Arial" w:hAnsi="Arial"/>
              </w:rPr>
            </w:pPr>
          </w:p>
          <w:p w14:paraId="5470D07D" w14:textId="77777777" w:rsidR="00541A3B" w:rsidRPr="00541A3B" w:rsidRDefault="00541A3B" w:rsidP="00541A3B">
            <w:pPr>
              <w:jc w:val="center"/>
              <w:rPr>
                <w:rFonts w:ascii="Arial" w:hAnsi="Arial"/>
              </w:rPr>
            </w:pPr>
            <w:r w:rsidRPr="00541A3B">
              <w:rPr>
                <w:rFonts w:ascii="Arial" w:hAnsi="Arial"/>
              </w:rPr>
              <w:t>(1)</w:t>
            </w:r>
          </w:p>
        </w:tc>
      </w:tr>
      <w:tr w:rsidR="00541A3B" w:rsidRPr="00386E68" w14:paraId="4695CB25" w14:textId="77777777" w:rsidTr="00A7596C">
        <w:trPr>
          <w:trHeight w:val="44"/>
          <w:jc w:val="center"/>
        </w:trPr>
        <w:tc>
          <w:tcPr>
            <w:tcW w:w="7281" w:type="dxa"/>
            <w:tcBorders>
              <w:top w:val="single" w:sz="4" w:space="0" w:color="auto"/>
              <w:bottom w:val="single" w:sz="4" w:space="0" w:color="auto"/>
            </w:tcBorders>
            <w:shd w:val="clear" w:color="auto" w:fill="auto"/>
          </w:tcPr>
          <w:p w14:paraId="6FA50DD2" w14:textId="77777777" w:rsidR="00541A3B" w:rsidRPr="00A7596C" w:rsidRDefault="00541A3B" w:rsidP="00541A3B">
            <w:pPr>
              <w:jc w:val="both"/>
              <w:rPr>
                <w:rFonts w:ascii="Arial" w:hAnsi="Arial"/>
                <w:b/>
                <w:bCs/>
              </w:rPr>
            </w:pPr>
            <w:r w:rsidRPr="00A7596C">
              <w:rPr>
                <w:rFonts w:ascii="Arial" w:hAnsi="Arial"/>
                <w:b/>
                <w:bCs/>
              </w:rPr>
              <w:t>The final number of observations analyzed</w:t>
            </w:r>
          </w:p>
        </w:tc>
        <w:tc>
          <w:tcPr>
            <w:tcW w:w="900" w:type="dxa"/>
            <w:tcBorders>
              <w:top w:val="single" w:sz="4" w:space="0" w:color="auto"/>
              <w:bottom w:val="single" w:sz="4" w:space="0" w:color="auto"/>
            </w:tcBorders>
            <w:shd w:val="clear" w:color="auto" w:fill="auto"/>
          </w:tcPr>
          <w:p w14:paraId="2A1018D7" w14:textId="77777777" w:rsidR="00541A3B" w:rsidRPr="00541A3B" w:rsidRDefault="00541A3B" w:rsidP="00541A3B">
            <w:pPr>
              <w:jc w:val="center"/>
              <w:rPr>
                <w:rFonts w:ascii="Arial" w:hAnsi="Arial"/>
              </w:rPr>
            </w:pPr>
            <w:r w:rsidRPr="00541A3B">
              <w:rPr>
                <w:rFonts w:ascii="Arial" w:hAnsi="Arial"/>
              </w:rPr>
              <w:t>154</w:t>
            </w:r>
          </w:p>
        </w:tc>
      </w:tr>
    </w:tbl>
    <w:p w14:paraId="7451FF56" w14:textId="77777777" w:rsidR="00541A3B" w:rsidRPr="00A7596C" w:rsidRDefault="00541A3B" w:rsidP="00A7596C">
      <w:pPr>
        <w:tabs>
          <w:tab w:val="left" w:pos="1080"/>
        </w:tabs>
        <w:jc w:val="center"/>
        <w:rPr>
          <w:rFonts w:ascii="Arial" w:hAnsi="Arial"/>
          <w:b/>
          <w:sz w:val="18"/>
          <w:szCs w:val="18"/>
        </w:rPr>
      </w:pPr>
    </w:p>
    <w:p w14:paraId="6275AD0A" w14:textId="77777777" w:rsidR="00A7596C" w:rsidRDefault="00A7596C" w:rsidP="00607285">
      <w:pPr>
        <w:widowControl w:val="0"/>
        <w:pBdr>
          <w:top w:val="nil"/>
          <w:left w:val="nil"/>
          <w:bottom w:val="nil"/>
          <w:right w:val="nil"/>
          <w:between w:val="nil"/>
        </w:pBdr>
        <w:jc w:val="both"/>
        <w:rPr>
          <w:rFonts w:ascii="Arial" w:hAnsi="Arial" w:cs="Arial"/>
          <w:color w:val="000000"/>
        </w:rPr>
      </w:pPr>
      <w:r w:rsidRPr="00A7596C">
        <w:rPr>
          <w:rFonts w:ascii="Arial" w:hAnsi="Arial" w:cs="Arial"/>
          <w:color w:val="000000"/>
        </w:rPr>
        <w:t>This study employs four independent variables, namely liquidity (CR), leverage (DAR), activity (TATO), and profitability (NPM). The dependent variable is firm value (PBV), while the moderating variable is corporate governance (KM). The operational definitions of the variables used in this research are presented in Table 2 below:</w:t>
      </w:r>
    </w:p>
    <w:p w14:paraId="0467D51F"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577C3CF6" w14:textId="77777777" w:rsidR="00A7596C" w:rsidRDefault="00A7596C" w:rsidP="00A7596C">
      <w:pPr>
        <w:widowControl w:val="0"/>
        <w:pBdr>
          <w:top w:val="nil"/>
          <w:left w:val="nil"/>
          <w:bottom w:val="nil"/>
          <w:right w:val="nil"/>
          <w:between w:val="nil"/>
        </w:pBdr>
        <w:jc w:val="center"/>
        <w:rPr>
          <w:rFonts w:ascii="Arial" w:hAnsi="Arial" w:cs="Arial"/>
          <w:b/>
          <w:bCs/>
          <w:color w:val="000000"/>
        </w:rPr>
      </w:pPr>
      <w:r w:rsidRPr="00A7596C">
        <w:rPr>
          <w:rFonts w:ascii="Arial" w:hAnsi="Arial" w:cs="Arial"/>
          <w:b/>
          <w:bCs/>
          <w:color w:val="000000"/>
        </w:rPr>
        <w:t>Table 2. Operational Definition of Variables</w:t>
      </w:r>
    </w:p>
    <w:p w14:paraId="284455DC" w14:textId="77777777" w:rsidR="00A7596C" w:rsidRPr="00A7596C" w:rsidRDefault="00A7596C" w:rsidP="00A7596C">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1728"/>
        <w:gridCol w:w="2866"/>
        <w:gridCol w:w="3627"/>
      </w:tblGrid>
      <w:tr w:rsidR="00A7596C" w:rsidRPr="00A7596C" w14:paraId="089DFA25" w14:textId="77777777" w:rsidTr="00A7596C">
        <w:trPr>
          <w:jc w:val="center"/>
        </w:trPr>
        <w:tc>
          <w:tcPr>
            <w:tcW w:w="1728" w:type="dxa"/>
            <w:tcBorders>
              <w:top w:val="single" w:sz="4" w:space="0" w:color="auto"/>
              <w:bottom w:val="single" w:sz="4" w:space="0" w:color="auto"/>
            </w:tcBorders>
            <w:shd w:val="clear" w:color="auto" w:fill="auto"/>
          </w:tcPr>
          <w:p w14:paraId="543B8B86" w14:textId="60B15942" w:rsidR="00A7596C" w:rsidRPr="00A7596C" w:rsidRDefault="00375A21" w:rsidP="00A7596C">
            <w:pPr>
              <w:widowControl w:val="0"/>
              <w:jc w:val="center"/>
              <w:rPr>
                <w:rFonts w:ascii="Arial" w:hAnsi="Arial" w:cs="Arial"/>
                <w:b/>
                <w:bCs/>
                <w:color w:val="000000"/>
              </w:rPr>
            </w:pPr>
            <w:r w:rsidRPr="00A7596C">
              <w:rPr>
                <w:rFonts w:ascii="Arial" w:hAnsi="Arial" w:cs="Arial"/>
                <w:b/>
                <w:bCs/>
                <w:color w:val="000000"/>
              </w:rPr>
              <w:t>Variable</w:t>
            </w:r>
          </w:p>
        </w:tc>
        <w:tc>
          <w:tcPr>
            <w:tcW w:w="2866" w:type="dxa"/>
            <w:tcBorders>
              <w:top w:val="single" w:sz="4" w:space="0" w:color="auto"/>
              <w:bottom w:val="single" w:sz="4" w:space="0" w:color="auto"/>
            </w:tcBorders>
            <w:shd w:val="clear" w:color="auto" w:fill="auto"/>
          </w:tcPr>
          <w:p w14:paraId="0B646B93"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Proxy</w:t>
            </w:r>
          </w:p>
        </w:tc>
        <w:tc>
          <w:tcPr>
            <w:tcW w:w="3627" w:type="dxa"/>
            <w:tcBorders>
              <w:top w:val="single" w:sz="4" w:space="0" w:color="auto"/>
              <w:bottom w:val="single" w:sz="4" w:space="0" w:color="auto"/>
            </w:tcBorders>
            <w:shd w:val="clear" w:color="auto" w:fill="auto"/>
          </w:tcPr>
          <w:p w14:paraId="267F9C5A"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Indicator</w:t>
            </w:r>
          </w:p>
        </w:tc>
      </w:tr>
      <w:tr w:rsidR="00A7596C" w:rsidRPr="00A7596C" w14:paraId="439B4638" w14:textId="77777777" w:rsidTr="00A7596C">
        <w:trPr>
          <w:jc w:val="center"/>
        </w:trPr>
        <w:tc>
          <w:tcPr>
            <w:tcW w:w="1728" w:type="dxa"/>
            <w:tcBorders>
              <w:top w:val="single" w:sz="4" w:space="0" w:color="auto"/>
              <w:bottom w:val="nil"/>
            </w:tcBorders>
            <w:shd w:val="clear" w:color="auto" w:fill="auto"/>
          </w:tcPr>
          <w:p w14:paraId="2F9221ED"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Liquidity</w:t>
            </w:r>
          </w:p>
        </w:tc>
        <w:tc>
          <w:tcPr>
            <w:tcW w:w="2866" w:type="dxa"/>
            <w:tcBorders>
              <w:top w:val="single" w:sz="4" w:space="0" w:color="auto"/>
              <w:bottom w:val="nil"/>
            </w:tcBorders>
            <w:shd w:val="clear" w:color="auto" w:fill="auto"/>
          </w:tcPr>
          <w:p w14:paraId="142C5BB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Current ratio (CR)</w:t>
            </w:r>
          </w:p>
        </w:tc>
        <w:tc>
          <w:tcPr>
            <w:tcW w:w="3627" w:type="dxa"/>
            <w:tcBorders>
              <w:top w:val="single" w:sz="4" w:space="0" w:color="auto"/>
              <w:bottom w:val="nil"/>
            </w:tcBorders>
            <w:shd w:val="clear" w:color="auto" w:fill="auto"/>
          </w:tcPr>
          <w:p w14:paraId="04C6399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CR = Current Assets / Current Liabilities</w:t>
            </w:r>
          </w:p>
        </w:tc>
      </w:tr>
      <w:tr w:rsidR="00A7596C" w:rsidRPr="00A7596C" w14:paraId="7B8A6B39" w14:textId="77777777" w:rsidTr="00A7596C">
        <w:trPr>
          <w:jc w:val="center"/>
        </w:trPr>
        <w:tc>
          <w:tcPr>
            <w:tcW w:w="1728" w:type="dxa"/>
            <w:tcBorders>
              <w:top w:val="nil"/>
              <w:bottom w:val="nil"/>
            </w:tcBorders>
            <w:shd w:val="clear" w:color="auto" w:fill="auto"/>
          </w:tcPr>
          <w:p w14:paraId="36E1A451" w14:textId="77777777" w:rsidR="00A7596C" w:rsidRPr="00A7596C" w:rsidRDefault="00A7596C" w:rsidP="00A7596C">
            <w:pPr>
              <w:widowControl w:val="0"/>
              <w:jc w:val="both"/>
              <w:rPr>
                <w:rFonts w:ascii="Arial" w:hAnsi="Arial" w:cs="Arial"/>
                <w:b/>
                <w:bCs/>
                <w:i/>
                <w:iCs/>
                <w:color w:val="000000"/>
              </w:rPr>
            </w:pPr>
            <w:r w:rsidRPr="00A7596C">
              <w:rPr>
                <w:rFonts w:ascii="Arial" w:hAnsi="Arial" w:cs="Arial"/>
                <w:color w:val="000000"/>
              </w:rPr>
              <w:t>Leverage</w:t>
            </w:r>
          </w:p>
        </w:tc>
        <w:tc>
          <w:tcPr>
            <w:tcW w:w="2866" w:type="dxa"/>
            <w:tcBorders>
              <w:top w:val="nil"/>
              <w:bottom w:val="nil"/>
            </w:tcBorders>
            <w:shd w:val="clear" w:color="auto" w:fill="auto"/>
          </w:tcPr>
          <w:p w14:paraId="09698654"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Debt to asset ratio (DAR)</w:t>
            </w:r>
          </w:p>
        </w:tc>
        <w:tc>
          <w:tcPr>
            <w:tcW w:w="3627" w:type="dxa"/>
            <w:tcBorders>
              <w:top w:val="nil"/>
              <w:bottom w:val="nil"/>
            </w:tcBorders>
            <w:shd w:val="clear" w:color="auto" w:fill="auto"/>
          </w:tcPr>
          <w:p w14:paraId="3053024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DAR = Total Liabilities / Total Assets</w:t>
            </w:r>
          </w:p>
        </w:tc>
      </w:tr>
      <w:tr w:rsidR="00A7596C" w:rsidRPr="00A7596C" w14:paraId="3034B51E" w14:textId="77777777" w:rsidTr="00A7596C">
        <w:trPr>
          <w:jc w:val="center"/>
        </w:trPr>
        <w:tc>
          <w:tcPr>
            <w:tcW w:w="1728" w:type="dxa"/>
            <w:tcBorders>
              <w:top w:val="nil"/>
              <w:bottom w:val="nil"/>
            </w:tcBorders>
            <w:shd w:val="clear" w:color="auto" w:fill="auto"/>
          </w:tcPr>
          <w:p w14:paraId="08407454"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Activity</w:t>
            </w:r>
          </w:p>
        </w:tc>
        <w:tc>
          <w:tcPr>
            <w:tcW w:w="2866" w:type="dxa"/>
            <w:tcBorders>
              <w:top w:val="nil"/>
              <w:bottom w:val="nil"/>
            </w:tcBorders>
            <w:shd w:val="clear" w:color="auto" w:fill="auto"/>
          </w:tcPr>
          <w:p w14:paraId="2BBB6F7E"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Total asset turnover (TATO)</w:t>
            </w:r>
          </w:p>
        </w:tc>
        <w:tc>
          <w:tcPr>
            <w:tcW w:w="3627" w:type="dxa"/>
            <w:tcBorders>
              <w:top w:val="nil"/>
              <w:bottom w:val="nil"/>
            </w:tcBorders>
            <w:shd w:val="clear" w:color="auto" w:fill="auto"/>
          </w:tcPr>
          <w:p w14:paraId="50B0F85C"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TATO = Sales / Average Total Assets</w:t>
            </w:r>
          </w:p>
        </w:tc>
      </w:tr>
      <w:tr w:rsidR="00A7596C" w:rsidRPr="00A7596C" w14:paraId="65170902" w14:textId="77777777" w:rsidTr="00A7596C">
        <w:trPr>
          <w:jc w:val="center"/>
        </w:trPr>
        <w:tc>
          <w:tcPr>
            <w:tcW w:w="1728" w:type="dxa"/>
            <w:tcBorders>
              <w:top w:val="nil"/>
              <w:bottom w:val="nil"/>
            </w:tcBorders>
            <w:shd w:val="clear" w:color="auto" w:fill="auto"/>
          </w:tcPr>
          <w:p w14:paraId="7115159D"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Profitability</w:t>
            </w:r>
          </w:p>
        </w:tc>
        <w:tc>
          <w:tcPr>
            <w:tcW w:w="2866" w:type="dxa"/>
            <w:tcBorders>
              <w:top w:val="nil"/>
              <w:bottom w:val="nil"/>
            </w:tcBorders>
            <w:shd w:val="clear" w:color="auto" w:fill="auto"/>
          </w:tcPr>
          <w:p w14:paraId="50EB207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Net profit margin (NPM)</w:t>
            </w:r>
          </w:p>
        </w:tc>
        <w:tc>
          <w:tcPr>
            <w:tcW w:w="3627" w:type="dxa"/>
            <w:tcBorders>
              <w:top w:val="nil"/>
              <w:bottom w:val="nil"/>
            </w:tcBorders>
            <w:shd w:val="clear" w:color="auto" w:fill="auto"/>
          </w:tcPr>
          <w:p w14:paraId="67488B5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NPM = Net Profit / Net Sales</w:t>
            </w:r>
          </w:p>
        </w:tc>
      </w:tr>
      <w:tr w:rsidR="00A7596C" w:rsidRPr="00A7596C" w14:paraId="6F24B91E" w14:textId="77777777" w:rsidTr="00A7596C">
        <w:trPr>
          <w:jc w:val="center"/>
        </w:trPr>
        <w:tc>
          <w:tcPr>
            <w:tcW w:w="1728" w:type="dxa"/>
            <w:tcBorders>
              <w:top w:val="nil"/>
              <w:bottom w:val="nil"/>
            </w:tcBorders>
            <w:shd w:val="clear" w:color="auto" w:fill="auto"/>
          </w:tcPr>
          <w:p w14:paraId="3FC18198" w14:textId="77777777" w:rsidR="00A7596C" w:rsidRPr="00A7596C" w:rsidRDefault="00A7596C" w:rsidP="00A7596C">
            <w:pPr>
              <w:widowControl w:val="0"/>
              <w:jc w:val="both"/>
              <w:rPr>
                <w:rFonts w:ascii="Arial" w:hAnsi="Arial" w:cs="Arial"/>
                <w:b/>
                <w:bCs/>
                <w:color w:val="000000"/>
              </w:rPr>
            </w:pPr>
            <w:r w:rsidRPr="00A7596C">
              <w:rPr>
                <w:rFonts w:ascii="Arial" w:hAnsi="Arial" w:cs="Arial"/>
                <w:color w:val="000000"/>
              </w:rPr>
              <w:t>Firm Value</w:t>
            </w:r>
          </w:p>
        </w:tc>
        <w:tc>
          <w:tcPr>
            <w:tcW w:w="2866" w:type="dxa"/>
            <w:tcBorders>
              <w:top w:val="nil"/>
              <w:bottom w:val="nil"/>
            </w:tcBorders>
            <w:shd w:val="clear" w:color="auto" w:fill="auto"/>
          </w:tcPr>
          <w:p w14:paraId="7D958553"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Price Book Value (PBV)</w:t>
            </w:r>
          </w:p>
        </w:tc>
        <w:tc>
          <w:tcPr>
            <w:tcW w:w="3627" w:type="dxa"/>
            <w:tcBorders>
              <w:top w:val="nil"/>
              <w:bottom w:val="nil"/>
            </w:tcBorders>
            <w:shd w:val="clear" w:color="auto" w:fill="auto"/>
          </w:tcPr>
          <w:p w14:paraId="6C28AA93"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PBV = Stock Price / (Total Equity / Number of Outstanding Shares)</w:t>
            </w:r>
          </w:p>
        </w:tc>
      </w:tr>
      <w:tr w:rsidR="00A7596C" w:rsidRPr="00A7596C" w14:paraId="72B6C819" w14:textId="77777777" w:rsidTr="00A7596C">
        <w:trPr>
          <w:jc w:val="center"/>
        </w:trPr>
        <w:tc>
          <w:tcPr>
            <w:tcW w:w="1728" w:type="dxa"/>
            <w:tcBorders>
              <w:top w:val="nil"/>
            </w:tcBorders>
            <w:shd w:val="clear" w:color="auto" w:fill="auto"/>
          </w:tcPr>
          <w:p w14:paraId="6EDEAD81" w14:textId="77777777" w:rsidR="00A7596C" w:rsidRPr="00A7596C" w:rsidRDefault="00A7596C" w:rsidP="00A7596C">
            <w:pPr>
              <w:widowControl w:val="0"/>
              <w:jc w:val="both"/>
              <w:rPr>
                <w:rFonts w:ascii="Arial" w:hAnsi="Arial" w:cs="Arial"/>
                <w:b/>
                <w:bCs/>
                <w:i/>
                <w:iCs/>
                <w:color w:val="000000"/>
              </w:rPr>
            </w:pPr>
            <w:r w:rsidRPr="00A7596C">
              <w:rPr>
                <w:rFonts w:ascii="Arial" w:hAnsi="Arial" w:cs="Arial"/>
                <w:i/>
                <w:iCs/>
                <w:color w:val="000000"/>
              </w:rPr>
              <w:lastRenderedPageBreak/>
              <w:t>Co</w:t>
            </w:r>
            <w:r w:rsidRPr="00A7596C">
              <w:rPr>
                <w:rFonts w:ascii="Arial" w:hAnsi="Arial" w:cs="Arial"/>
                <w:color w:val="000000"/>
              </w:rPr>
              <w:t>rporate Governance</w:t>
            </w:r>
          </w:p>
        </w:tc>
        <w:tc>
          <w:tcPr>
            <w:tcW w:w="2866" w:type="dxa"/>
            <w:tcBorders>
              <w:top w:val="nil"/>
            </w:tcBorders>
            <w:shd w:val="clear" w:color="auto" w:fill="auto"/>
          </w:tcPr>
          <w:p w14:paraId="6FB3269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Managerial Ownership (KM)</w:t>
            </w:r>
          </w:p>
        </w:tc>
        <w:tc>
          <w:tcPr>
            <w:tcW w:w="3627" w:type="dxa"/>
            <w:tcBorders>
              <w:top w:val="nil"/>
            </w:tcBorders>
            <w:shd w:val="clear" w:color="auto" w:fill="auto"/>
          </w:tcPr>
          <w:p w14:paraId="46DBA0D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KM = Number of Managerial Shares / Total Outstanding Shares</w:t>
            </w:r>
          </w:p>
        </w:tc>
      </w:tr>
    </w:tbl>
    <w:p w14:paraId="69275F6A"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26845AEC" w14:textId="77777777" w:rsidR="00A7596C" w:rsidRPr="00A7596C" w:rsidRDefault="00A7596C" w:rsidP="00607285">
      <w:pPr>
        <w:widowControl w:val="0"/>
        <w:pBdr>
          <w:top w:val="nil"/>
          <w:left w:val="nil"/>
          <w:bottom w:val="nil"/>
          <w:right w:val="nil"/>
          <w:between w:val="nil"/>
        </w:pBdr>
        <w:jc w:val="both"/>
        <w:rPr>
          <w:rFonts w:ascii="Arial" w:hAnsi="Arial" w:cs="Arial"/>
          <w:color w:val="000000"/>
        </w:rPr>
      </w:pPr>
      <w:r w:rsidRPr="00A7596C">
        <w:rPr>
          <w:rFonts w:ascii="Arial" w:hAnsi="Arial" w:cs="Arial"/>
          <w:color w:val="000000"/>
        </w:rPr>
        <w:t>The moderated regression analysis in this study is used to determine whether corporate governance (CG) can strengthen the influence of the independent variables—liquidity ratio (CR), leverage ratio (DAR), activity ratio (TATO), and profitability ratio (NPM)—on the dependent variable, firm value (PBV). The moderated regression model used in this research is as follows:</w:t>
      </w:r>
    </w:p>
    <w:p w14:paraId="3EA0DB6A" w14:textId="77777777" w:rsidR="00A7596C" w:rsidRPr="00A7596C" w:rsidRDefault="00A7596C" w:rsidP="00A7596C">
      <w:pPr>
        <w:widowControl w:val="0"/>
        <w:pBdr>
          <w:top w:val="nil"/>
          <w:left w:val="nil"/>
          <w:bottom w:val="nil"/>
          <w:right w:val="nil"/>
          <w:between w:val="nil"/>
        </w:pBdr>
        <w:ind w:firstLine="202"/>
        <w:jc w:val="both"/>
        <w:rPr>
          <w:rFonts w:ascii="Arial" w:hAnsi="Arial" w:cs="Arial"/>
          <w:color w:val="000000"/>
        </w:rPr>
      </w:pPr>
    </w:p>
    <w:p w14:paraId="3C0E3684" w14:textId="69C40FD0" w:rsidR="00A7596C" w:rsidRDefault="00A7596C" w:rsidP="00A7596C">
      <w:pPr>
        <w:widowControl w:val="0"/>
        <w:pBdr>
          <w:top w:val="nil"/>
          <w:left w:val="nil"/>
          <w:bottom w:val="nil"/>
          <w:right w:val="nil"/>
          <w:between w:val="nil"/>
        </w:pBdr>
        <w:ind w:left="720" w:hanging="720"/>
        <w:jc w:val="both"/>
        <w:rPr>
          <w:rFonts w:ascii="Arial" w:hAnsi="Arial" w:cs="Arial"/>
          <w:color w:val="000000"/>
        </w:rPr>
      </w:pPr>
      <w:r w:rsidRPr="00A7596C">
        <w:rPr>
          <w:rFonts w:ascii="Arial" w:hAnsi="Arial" w:cs="Arial"/>
          <w:color w:val="000000"/>
        </w:rPr>
        <w:t>PBV = α + β1 CR + β 2 DAR + β 3 TATO + β 4 NPM + β 5 CR*CG + β 6 DAR*CG + β 7 TATO*CG + β 8 NPM*CG</w:t>
      </w:r>
      <w:r w:rsidRPr="00A7596C">
        <w:rPr>
          <w:rFonts w:ascii="Arial" w:hAnsi="Arial" w:cs="Arial"/>
          <w:sz w:val="18"/>
          <w:szCs w:val="18"/>
        </w:rPr>
        <w:t xml:space="preserve"> </w:t>
      </w:r>
      <w:r w:rsidRPr="00A7596C">
        <w:rPr>
          <w:rFonts w:ascii="Arial" w:hAnsi="Arial" w:cs="Arial"/>
          <w:color w:val="000000"/>
        </w:rPr>
        <w:t>……………………………………………………………………………………</w:t>
      </w:r>
      <w:r>
        <w:rPr>
          <w:rFonts w:ascii="Arial" w:hAnsi="Arial" w:cs="Arial"/>
          <w:color w:val="000000"/>
        </w:rPr>
        <w:t>………...</w:t>
      </w:r>
      <w:r w:rsidRPr="00A7596C">
        <w:rPr>
          <w:rFonts w:ascii="Arial" w:hAnsi="Arial" w:cs="Arial"/>
          <w:color w:val="000000"/>
        </w:rPr>
        <w:t xml:space="preserve"> (1)</w:t>
      </w:r>
    </w:p>
    <w:p w14:paraId="69A1DBEB" w14:textId="77777777" w:rsidR="00A7596C" w:rsidRPr="00A7596C" w:rsidRDefault="00A7596C" w:rsidP="00A7596C">
      <w:pPr>
        <w:widowControl w:val="0"/>
        <w:pBdr>
          <w:top w:val="nil"/>
          <w:left w:val="nil"/>
          <w:bottom w:val="nil"/>
          <w:right w:val="nil"/>
          <w:between w:val="nil"/>
        </w:pBdr>
        <w:ind w:left="720" w:hanging="720"/>
        <w:jc w:val="both"/>
        <w:rPr>
          <w:rFonts w:ascii="Arial" w:hAnsi="Arial" w:cs="Arial"/>
          <w:color w:val="000000"/>
        </w:rPr>
      </w:pPr>
    </w:p>
    <w:p w14:paraId="084E4AF6" w14:textId="77777777" w:rsidR="00A7596C" w:rsidRPr="00A7596C" w:rsidRDefault="00A7596C" w:rsidP="00A7596C">
      <w:pPr>
        <w:jc w:val="both"/>
        <w:rPr>
          <w:rFonts w:ascii="Arial" w:hAnsi="Arial" w:cs="Arial"/>
          <w:color w:val="000000"/>
        </w:rPr>
      </w:pPr>
      <w:r w:rsidRPr="00A7596C">
        <w:rPr>
          <w:rFonts w:ascii="Arial" w:hAnsi="Arial" w:cs="Arial"/>
          <w:color w:val="000000"/>
        </w:rPr>
        <w:t>Description:</w:t>
      </w:r>
    </w:p>
    <w:p w14:paraId="3E9E6D26" w14:textId="77777777" w:rsidR="00A7596C" w:rsidRPr="00A7596C" w:rsidRDefault="00A7596C" w:rsidP="00A7596C">
      <w:pPr>
        <w:jc w:val="both"/>
        <w:rPr>
          <w:rFonts w:ascii="Arial" w:hAnsi="Arial" w:cs="Arial"/>
          <w:color w:val="000000"/>
        </w:rPr>
      </w:pPr>
      <w:r w:rsidRPr="00A7596C">
        <w:rPr>
          <w:rFonts w:ascii="Arial" w:hAnsi="Arial" w:cs="Arial"/>
          <w:color w:val="000000"/>
          <w:lang w:val="sv-SE"/>
        </w:rPr>
        <w:t>α</w:t>
      </w:r>
      <w:r w:rsidRPr="00A7596C">
        <w:rPr>
          <w:rFonts w:ascii="Arial" w:hAnsi="Arial" w:cs="Arial"/>
          <w:color w:val="000000"/>
        </w:rPr>
        <w:t xml:space="preserve">: Constant; </w:t>
      </w:r>
      <w:r w:rsidRPr="00A7596C">
        <w:rPr>
          <w:rFonts w:ascii="Arial" w:hAnsi="Arial" w:cs="Arial"/>
          <w:color w:val="000000"/>
          <w:lang w:val="sv-SE"/>
        </w:rPr>
        <w:t>β</w:t>
      </w:r>
      <w:r w:rsidRPr="00A7596C">
        <w:rPr>
          <w:rFonts w:ascii="Arial" w:hAnsi="Arial" w:cs="Arial"/>
          <w:color w:val="000000"/>
        </w:rPr>
        <w:t>: Regression coefficient; PBV: Firm value; CR: Liquidity ratio; DAR: Leverage ratio; TATO: Activity ratio; NPM: Profitability ratio; CG: Corporate Governance; CR*CG: Interaction between CR and CG; DAR*CG: Interaction between DAR and CG; TATO*CG: Interaction between TATO and CG; NPM*CG: Interaction between NPM and CG.</w:t>
      </w:r>
    </w:p>
    <w:p w14:paraId="5ECE23F8" w14:textId="77777777" w:rsidR="00A7596C" w:rsidRPr="00A7596C" w:rsidRDefault="00A7596C" w:rsidP="00A7596C">
      <w:pPr>
        <w:jc w:val="both"/>
        <w:rPr>
          <w:rFonts w:ascii="Arial" w:hAnsi="Arial" w:cs="Arial"/>
          <w:color w:val="000000"/>
        </w:rPr>
      </w:pPr>
    </w:p>
    <w:p w14:paraId="2546C0C7" w14:textId="77777777" w:rsidR="00A7596C" w:rsidRPr="00A7596C" w:rsidRDefault="00A7596C" w:rsidP="00607285">
      <w:pPr>
        <w:widowControl w:val="0"/>
        <w:pBdr>
          <w:top w:val="nil"/>
          <w:left w:val="nil"/>
          <w:bottom w:val="nil"/>
          <w:right w:val="nil"/>
          <w:between w:val="nil"/>
        </w:pBdr>
        <w:jc w:val="both"/>
        <w:rPr>
          <w:rFonts w:ascii="Arial" w:hAnsi="Arial" w:cs="Arial"/>
        </w:rPr>
      </w:pPr>
      <w:r w:rsidRPr="00A7596C">
        <w:rPr>
          <w:rFonts w:ascii="Arial" w:hAnsi="Arial" w:cs="Arial"/>
          <w:color w:val="000000"/>
        </w:rPr>
        <w:t>Hypothesis testing in this study involves classical assumption tests, model feasibility test (F-test), coefficient of determination test (R²), and t-test. The classical assumption tests are intended to ensure that the regression model meets the BLUE criteria (Best Linear Unbiased Estimator). A regression model that satisfies the BLUE criteria is considered a reliable and trustworthy estimator—meaning it is unbiased, consistent, normally distributed, and efficient. The model feasibility test (F-test) is used to determine whether the moderating variable is appropriate in strengthening or weakening the relationship between independent and dependent variables. The coefficient of determination (R²) measures how well the model explains the variance in the dependent variable. The t-test is used to examine the effect of each independent variable on the dependent variable.</w:t>
      </w:r>
    </w:p>
    <w:p w14:paraId="08405539" w14:textId="77777777" w:rsidR="00541A3B" w:rsidRPr="00DC3180" w:rsidRDefault="00541A3B" w:rsidP="00541A3B">
      <w:pPr>
        <w:tabs>
          <w:tab w:val="left" w:pos="1080"/>
        </w:tabs>
        <w:jc w:val="both"/>
        <w:rPr>
          <w:rFonts w:ascii="Arial" w:hAnsi="Arial"/>
          <w:b/>
        </w:rPr>
      </w:pPr>
    </w:p>
    <w:p w14:paraId="7D731AB5" w14:textId="2E4F189D" w:rsidR="00902823" w:rsidRDefault="004C6D94"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43D49A59" w14:textId="77777777" w:rsidR="00790ADA" w:rsidRPr="00FB3A86" w:rsidRDefault="00790ADA" w:rsidP="00441B6F">
      <w:pPr>
        <w:pStyle w:val="Head1"/>
        <w:spacing w:after="0"/>
        <w:jc w:val="both"/>
        <w:rPr>
          <w:rFonts w:ascii="Arial" w:hAnsi="Arial" w:cs="Arial"/>
        </w:rPr>
      </w:pPr>
    </w:p>
    <w:p w14:paraId="3BFB8940" w14:textId="1CA0DFAC" w:rsidR="00607285" w:rsidRDefault="00607285" w:rsidP="00607285">
      <w:pPr>
        <w:pStyle w:val="Body"/>
        <w:spacing w:after="0"/>
        <w:rPr>
          <w:rFonts w:ascii="Arial" w:hAnsi="Arial" w:cs="Arial"/>
          <w:b/>
          <w:caps/>
          <w:sz w:val="22"/>
        </w:rPr>
      </w:pPr>
      <w:r>
        <w:rPr>
          <w:rFonts w:ascii="Arial" w:hAnsi="Arial" w:cs="Arial"/>
          <w:b/>
          <w:caps/>
          <w:sz w:val="22"/>
        </w:rPr>
        <w:t>4</w:t>
      </w:r>
      <w:r w:rsidRPr="00C30A0F">
        <w:rPr>
          <w:rFonts w:ascii="Arial" w:hAnsi="Arial" w:cs="Arial"/>
          <w:b/>
          <w:caps/>
          <w:sz w:val="22"/>
        </w:rPr>
        <w:t xml:space="preserve">.1 </w:t>
      </w:r>
      <w:r>
        <w:rPr>
          <w:rFonts w:ascii="Arial" w:hAnsi="Arial" w:cs="Arial"/>
          <w:b/>
          <w:caps/>
          <w:sz w:val="22"/>
        </w:rPr>
        <w:t>RESULTS</w:t>
      </w:r>
    </w:p>
    <w:p w14:paraId="47EB2743" w14:textId="77777777" w:rsidR="00607285" w:rsidRDefault="00607285" w:rsidP="00441B6F">
      <w:pPr>
        <w:pStyle w:val="Body"/>
        <w:spacing w:after="0"/>
        <w:rPr>
          <w:rFonts w:ascii="Arial" w:hAnsi="Arial" w:cs="Arial"/>
        </w:rPr>
      </w:pPr>
    </w:p>
    <w:p w14:paraId="6A835E9F" w14:textId="24C73EE8" w:rsidR="00E12746" w:rsidRPr="00607285" w:rsidRDefault="00E12746" w:rsidP="00E12746">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.1.</w:t>
      </w:r>
      <w:r>
        <w:rPr>
          <w:rFonts w:ascii="Arial" w:hAnsi="Arial" w:cs="Arial"/>
          <w:b/>
          <w:u w:val="single"/>
        </w:rPr>
        <w:t>1</w:t>
      </w:r>
      <w:r w:rsidRPr="00902823">
        <w:rPr>
          <w:rFonts w:ascii="Arial" w:hAnsi="Arial" w:cs="Arial"/>
          <w:b/>
          <w:u w:val="single"/>
        </w:rPr>
        <w:t xml:space="preserve"> </w:t>
      </w:r>
      <w:r w:rsidRPr="00E12746">
        <w:rPr>
          <w:rFonts w:ascii="Arial" w:hAnsi="Arial" w:cs="Arial"/>
          <w:b/>
          <w:u w:val="single"/>
        </w:rPr>
        <w:t>Descriptive Statistic</w:t>
      </w:r>
    </w:p>
    <w:p w14:paraId="4CD1DAF1" w14:textId="77777777" w:rsidR="00E12746" w:rsidRDefault="00E12746" w:rsidP="00E12746">
      <w:pPr>
        <w:widowControl w:val="0"/>
        <w:pBdr>
          <w:top w:val="nil"/>
          <w:left w:val="nil"/>
          <w:bottom w:val="nil"/>
          <w:right w:val="nil"/>
          <w:between w:val="nil"/>
        </w:pBdr>
        <w:jc w:val="both"/>
        <w:rPr>
          <w:rFonts w:ascii="Arial" w:hAnsi="Arial" w:cs="Arial"/>
          <w:bCs/>
          <w:noProof/>
          <w:color w:val="000000"/>
          <w:lang w:val="id-ID"/>
        </w:rPr>
      </w:pPr>
    </w:p>
    <w:p w14:paraId="264727A4" w14:textId="1A97AD97" w:rsidR="00A7596C" w:rsidRDefault="00A7596C" w:rsidP="00441B6F">
      <w:pPr>
        <w:pStyle w:val="Body"/>
        <w:spacing w:after="0"/>
        <w:rPr>
          <w:rFonts w:ascii="Arial" w:hAnsi="Arial" w:cs="Arial"/>
        </w:rPr>
      </w:pPr>
      <w:r w:rsidRPr="00A7596C">
        <w:rPr>
          <w:rFonts w:ascii="Arial" w:hAnsi="Arial" w:cs="Arial"/>
        </w:rPr>
        <w:t>This observation is systematically presented through descriptive statistical analysis, including the mean, minimum, maximum, and standard deviation values (</w:t>
      </w:r>
      <w:proofErr w:type="spellStart"/>
      <w:r w:rsidRPr="00A7596C">
        <w:rPr>
          <w:rFonts w:ascii="Arial" w:hAnsi="Arial" w:cs="Arial"/>
        </w:rPr>
        <w:t>Sugiyono</w:t>
      </w:r>
      <w:proofErr w:type="spellEnd"/>
      <w:r w:rsidRPr="00A7596C">
        <w:rPr>
          <w:rFonts w:ascii="Arial" w:hAnsi="Arial" w:cs="Arial"/>
        </w:rPr>
        <w:t>, 2019:206). The results of the descriptive statistical analysis obtained from data processing are presented in the following table:</w:t>
      </w:r>
    </w:p>
    <w:p w14:paraId="6758A7EA" w14:textId="77777777" w:rsidR="00A7596C" w:rsidRDefault="00A7596C" w:rsidP="00441B6F">
      <w:pPr>
        <w:pStyle w:val="Body"/>
        <w:spacing w:after="0"/>
        <w:rPr>
          <w:rFonts w:ascii="Arial" w:hAnsi="Arial" w:cs="Arial"/>
        </w:rPr>
      </w:pPr>
    </w:p>
    <w:p w14:paraId="3ADE8433" w14:textId="77777777" w:rsidR="00A7596C" w:rsidRDefault="00A7596C" w:rsidP="00A7596C">
      <w:pPr>
        <w:widowControl w:val="0"/>
        <w:pBdr>
          <w:top w:val="nil"/>
          <w:left w:val="nil"/>
          <w:bottom w:val="nil"/>
          <w:right w:val="nil"/>
          <w:between w:val="nil"/>
        </w:pBdr>
        <w:jc w:val="center"/>
        <w:rPr>
          <w:rFonts w:ascii="Arial" w:hAnsi="Arial" w:cs="Arial"/>
          <w:b/>
          <w:bCs/>
          <w:color w:val="000000"/>
        </w:rPr>
      </w:pPr>
      <w:r w:rsidRPr="00A7596C">
        <w:rPr>
          <w:rFonts w:ascii="Arial" w:hAnsi="Arial" w:cs="Arial"/>
          <w:b/>
          <w:bCs/>
          <w:color w:val="000000"/>
        </w:rPr>
        <w:t>Table 3. Descriptive Statistics</w:t>
      </w:r>
    </w:p>
    <w:p w14:paraId="460F5DD9" w14:textId="77777777" w:rsidR="00A7596C" w:rsidRPr="00A7596C" w:rsidRDefault="00A7596C" w:rsidP="00A7596C">
      <w:pPr>
        <w:widowControl w:val="0"/>
        <w:pBdr>
          <w:top w:val="nil"/>
          <w:left w:val="nil"/>
          <w:bottom w:val="nil"/>
          <w:right w:val="nil"/>
          <w:between w:val="nil"/>
        </w:pBdr>
        <w:jc w:val="center"/>
        <w:rPr>
          <w:rFonts w:ascii="Arial" w:hAnsi="Arial" w:cs="Arial"/>
          <w:b/>
          <w:bCs/>
          <w:color w:val="000000"/>
        </w:rPr>
      </w:pPr>
    </w:p>
    <w:tbl>
      <w:tblPr>
        <w:tblW w:w="0" w:type="auto"/>
        <w:jc w:val="center"/>
        <w:tblLayout w:type="fixed"/>
        <w:tblLook w:val="04A0" w:firstRow="1" w:lastRow="0" w:firstColumn="1" w:lastColumn="0" w:noHBand="0" w:noVBand="1"/>
      </w:tblPr>
      <w:tblGrid>
        <w:gridCol w:w="1116"/>
        <w:gridCol w:w="810"/>
        <w:gridCol w:w="900"/>
        <w:gridCol w:w="900"/>
        <w:gridCol w:w="990"/>
        <w:gridCol w:w="1170"/>
      </w:tblGrid>
      <w:tr w:rsidR="00A7596C" w:rsidRPr="00EA2AB2" w14:paraId="4E23AD0A" w14:textId="77777777" w:rsidTr="00A7596C">
        <w:trPr>
          <w:jc w:val="center"/>
        </w:trPr>
        <w:tc>
          <w:tcPr>
            <w:tcW w:w="1116" w:type="dxa"/>
            <w:tcBorders>
              <w:top w:val="single" w:sz="4" w:space="0" w:color="auto"/>
              <w:bottom w:val="single" w:sz="4" w:space="0" w:color="auto"/>
            </w:tcBorders>
            <w:shd w:val="clear" w:color="auto" w:fill="auto"/>
            <w:vAlign w:val="center"/>
          </w:tcPr>
          <w:p w14:paraId="05825FB7"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Variable</w:t>
            </w:r>
          </w:p>
        </w:tc>
        <w:tc>
          <w:tcPr>
            <w:tcW w:w="810" w:type="dxa"/>
            <w:tcBorders>
              <w:top w:val="single" w:sz="4" w:space="0" w:color="auto"/>
              <w:bottom w:val="single" w:sz="4" w:space="0" w:color="auto"/>
            </w:tcBorders>
            <w:shd w:val="clear" w:color="auto" w:fill="auto"/>
            <w:vAlign w:val="center"/>
          </w:tcPr>
          <w:p w14:paraId="759E9205"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N</w:t>
            </w:r>
          </w:p>
        </w:tc>
        <w:tc>
          <w:tcPr>
            <w:tcW w:w="900" w:type="dxa"/>
            <w:tcBorders>
              <w:top w:val="single" w:sz="4" w:space="0" w:color="auto"/>
              <w:bottom w:val="single" w:sz="4" w:space="0" w:color="auto"/>
            </w:tcBorders>
            <w:shd w:val="clear" w:color="auto" w:fill="auto"/>
            <w:vAlign w:val="center"/>
          </w:tcPr>
          <w:p w14:paraId="5F54BFE7"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Min</w:t>
            </w:r>
          </w:p>
        </w:tc>
        <w:tc>
          <w:tcPr>
            <w:tcW w:w="900" w:type="dxa"/>
            <w:tcBorders>
              <w:top w:val="single" w:sz="4" w:space="0" w:color="auto"/>
              <w:bottom w:val="single" w:sz="4" w:space="0" w:color="auto"/>
            </w:tcBorders>
            <w:shd w:val="clear" w:color="auto" w:fill="auto"/>
            <w:vAlign w:val="center"/>
          </w:tcPr>
          <w:p w14:paraId="5152E4F2"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Max</w:t>
            </w:r>
          </w:p>
        </w:tc>
        <w:tc>
          <w:tcPr>
            <w:tcW w:w="990" w:type="dxa"/>
            <w:tcBorders>
              <w:top w:val="single" w:sz="4" w:space="0" w:color="auto"/>
              <w:bottom w:val="single" w:sz="4" w:space="0" w:color="auto"/>
            </w:tcBorders>
            <w:shd w:val="clear" w:color="auto" w:fill="auto"/>
            <w:vAlign w:val="center"/>
          </w:tcPr>
          <w:p w14:paraId="7426048F"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Mean</w:t>
            </w:r>
          </w:p>
        </w:tc>
        <w:tc>
          <w:tcPr>
            <w:tcW w:w="1170" w:type="dxa"/>
            <w:tcBorders>
              <w:top w:val="single" w:sz="4" w:space="0" w:color="auto"/>
              <w:bottom w:val="single" w:sz="4" w:space="0" w:color="auto"/>
            </w:tcBorders>
            <w:shd w:val="clear" w:color="auto" w:fill="auto"/>
            <w:vAlign w:val="center"/>
          </w:tcPr>
          <w:p w14:paraId="7189CA52" w14:textId="77777777" w:rsidR="00A7596C" w:rsidRPr="00A7596C" w:rsidRDefault="00A7596C" w:rsidP="00A7596C">
            <w:pPr>
              <w:widowControl w:val="0"/>
              <w:jc w:val="center"/>
              <w:rPr>
                <w:rFonts w:ascii="Arial" w:hAnsi="Arial" w:cs="Arial"/>
                <w:b/>
                <w:bCs/>
                <w:color w:val="000000"/>
              </w:rPr>
            </w:pPr>
            <w:r w:rsidRPr="00A7596C">
              <w:rPr>
                <w:rFonts w:ascii="Arial" w:hAnsi="Arial" w:cs="Arial"/>
                <w:b/>
                <w:bCs/>
                <w:color w:val="000000"/>
              </w:rPr>
              <w:t>Std. Dev</w:t>
            </w:r>
          </w:p>
        </w:tc>
      </w:tr>
      <w:tr w:rsidR="00A7596C" w:rsidRPr="00EA2AB2" w14:paraId="0B53589F" w14:textId="77777777" w:rsidTr="00A7596C">
        <w:trPr>
          <w:jc w:val="center"/>
        </w:trPr>
        <w:tc>
          <w:tcPr>
            <w:tcW w:w="1116" w:type="dxa"/>
            <w:tcBorders>
              <w:top w:val="single" w:sz="4" w:space="0" w:color="auto"/>
            </w:tcBorders>
            <w:shd w:val="clear" w:color="auto" w:fill="auto"/>
          </w:tcPr>
          <w:p w14:paraId="49B23F3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CR</w:t>
            </w:r>
          </w:p>
        </w:tc>
        <w:tc>
          <w:tcPr>
            <w:tcW w:w="810" w:type="dxa"/>
            <w:tcBorders>
              <w:top w:val="single" w:sz="4" w:space="0" w:color="auto"/>
            </w:tcBorders>
            <w:shd w:val="clear" w:color="auto" w:fill="auto"/>
          </w:tcPr>
          <w:p w14:paraId="562FC7A4"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tcBorders>
              <w:top w:val="single" w:sz="4" w:space="0" w:color="auto"/>
            </w:tcBorders>
            <w:shd w:val="clear" w:color="auto" w:fill="auto"/>
          </w:tcPr>
          <w:p w14:paraId="020AD44B" w14:textId="16DCD944"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014</w:t>
            </w:r>
          </w:p>
        </w:tc>
        <w:tc>
          <w:tcPr>
            <w:tcW w:w="900" w:type="dxa"/>
            <w:tcBorders>
              <w:top w:val="single" w:sz="4" w:space="0" w:color="auto"/>
            </w:tcBorders>
            <w:shd w:val="clear" w:color="auto" w:fill="auto"/>
          </w:tcPr>
          <w:p w14:paraId="747F026E"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14.880</w:t>
            </w:r>
          </w:p>
        </w:tc>
        <w:tc>
          <w:tcPr>
            <w:tcW w:w="990" w:type="dxa"/>
            <w:tcBorders>
              <w:top w:val="single" w:sz="4" w:space="0" w:color="auto"/>
            </w:tcBorders>
            <w:shd w:val="clear" w:color="auto" w:fill="auto"/>
          </w:tcPr>
          <w:p w14:paraId="478D3737"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2.23404</w:t>
            </w:r>
          </w:p>
        </w:tc>
        <w:tc>
          <w:tcPr>
            <w:tcW w:w="1170" w:type="dxa"/>
            <w:tcBorders>
              <w:top w:val="single" w:sz="4" w:space="0" w:color="auto"/>
            </w:tcBorders>
            <w:shd w:val="clear" w:color="auto" w:fill="auto"/>
          </w:tcPr>
          <w:p w14:paraId="0F8C102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2.027381</w:t>
            </w:r>
          </w:p>
        </w:tc>
      </w:tr>
      <w:tr w:rsidR="00A7596C" w:rsidRPr="00EA2AB2" w14:paraId="7441C9F9" w14:textId="77777777" w:rsidTr="00A7596C">
        <w:trPr>
          <w:jc w:val="center"/>
        </w:trPr>
        <w:tc>
          <w:tcPr>
            <w:tcW w:w="1116" w:type="dxa"/>
            <w:shd w:val="clear" w:color="auto" w:fill="auto"/>
          </w:tcPr>
          <w:p w14:paraId="177B79B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DAR</w:t>
            </w:r>
          </w:p>
        </w:tc>
        <w:tc>
          <w:tcPr>
            <w:tcW w:w="810" w:type="dxa"/>
            <w:shd w:val="clear" w:color="auto" w:fill="auto"/>
          </w:tcPr>
          <w:p w14:paraId="76F8626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31E3E0DC" w14:textId="05BFCBB8" w:rsidR="00A7596C" w:rsidRPr="00A7596C" w:rsidRDefault="00A7596C" w:rsidP="00A7596C">
            <w:pPr>
              <w:widowControl w:val="0"/>
              <w:jc w:val="both"/>
              <w:rPr>
                <w:rFonts w:ascii="Arial" w:hAnsi="Arial" w:cs="Arial"/>
                <w:color w:val="000000"/>
              </w:rPr>
            </w:pPr>
            <w:r w:rsidRPr="00A7596C">
              <w:rPr>
                <w:rFonts w:ascii="Arial" w:hAnsi="Arial" w:cs="Arial"/>
                <w:color w:val="000000"/>
              </w:rPr>
              <w:t>-</w:t>
            </w:r>
            <w:r w:rsidR="000F34E2">
              <w:rPr>
                <w:rFonts w:ascii="Arial" w:hAnsi="Arial" w:cs="Arial"/>
                <w:color w:val="000000"/>
              </w:rPr>
              <w:t>.</w:t>
            </w:r>
            <w:r w:rsidRPr="00A7596C">
              <w:rPr>
                <w:rFonts w:ascii="Arial" w:hAnsi="Arial" w:cs="Arial"/>
                <w:color w:val="000000"/>
              </w:rPr>
              <w:t>652</w:t>
            </w:r>
          </w:p>
        </w:tc>
        <w:tc>
          <w:tcPr>
            <w:tcW w:w="900" w:type="dxa"/>
            <w:shd w:val="clear" w:color="auto" w:fill="auto"/>
          </w:tcPr>
          <w:p w14:paraId="0E3630DD"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15.047</w:t>
            </w:r>
          </w:p>
        </w:tc>
        <w:tc>
          <w:tcPr>
            <w:tcW w:w="990" w:type="dxa"/>
            <w:shd w:val="clear" w:color="auto" w:fill="auto"/>
          </w:tcPr>
          <w:p w14:paraId="4FFD5910"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1.72042</w:t>
            </w:r>
          </w:p>
        </w:tc>
        <w:tc>
          <w:tcPr>
            <w:tcW w:w="1170" w:type="dxa"/>
            <w:shd w:val="clear" w:color="auto" w:fill="auto"/>
          </w:tcPr>
          <w:p w14:paraId="454E9F4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2.304675</w:t>
            </w:r>
          </w:p>
        </w:tc>
      </w:tr>
      <w:tr w:rsidR="00A7596C" w:rsidRPr="00EA2AB2" w14:paraId="04DFE3A7" w14:textId="77777777" w:rsidTr="00A7596C">
        <w:trPr>
          <w:jc w:val="center"/>
        </w:trPr>
        <w:tc>
          <w:tcPr>
            <w:tcW w:w="1116" w:type="dxa"/>
            <w:shd w:val="clear" w:color="auto" w:fill="auto"/>
          </w:tcPr>
          <w:p w14:paraId="1AEE4B79"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TATO</w:t>
            </w:r>
          </w:p>
        </w:tc>
        <w:tc>
          <w:tcPr>
            <w:tcW w:w="810" w:type="dxa"/>
            <w:shd w:val="clear" w:color="auto" w:fill="auto"/>
          </w:tcPr>
          <w:p w14:paraId="42D217BB"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10E5324F" w14:textId="058B2158"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116</w:t>
            </w:r>
          </w:p>
        </w:tc>
        <w:tc>
          <w:tcPr>
            <w:tcW w:w="900" w:type="dxa"/>
            <w:shd w:val="clear" w:color="auto" w:fill="auto"/>
          </w:tcPr>
          <w:p w14:paraId="43C7BE37"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6.284</w:t>
            </w:r>
          </w:p>
        </w:tc>
        <w:tc>
          <w:tcPr>
            <w:tcW w:w="990" w:type="dxa"/>
            <w:shd w:val="clear" w:color="auto" w:fill="auto"/>
          </w:tcPr>
          <w:p w14:paraId="60D922B0" w14:textId="7A6157A3"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77351</w:t>
            </w:r>
          </w:p>
        </w:tc>
        <w:tc>
          <w:tcPr>
            <w:tcW w:w="1170" w:type="dxa"/>
            <w:shd w:val="clear" w:color="auto" w:fill="auto"/>
          </w:tcPr>
          <w:p w14:paraId="0514AA8F" w14:textId="610A93F2"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691952</w:t>
            </w:r>
          </w:p>
        </w:tc>
      </w:tr>
      <w:tr w:rsidR="00A7596C" w:rsidRPr="00EA2AB2" w14:paraId="40B852E6" w14:textId="77777777" w:rsidTr="00A7596C">
        <w:trPr>
          <w:jc w:val="center"/>
        </w:trPr>
        <w:tc>
          <w:tcPr>
            <w:tcW w:w="1116" w:type="dxa"/>
            <w:shd w:val="clear" w:color="auto" w:fill="auto"/>
          </w:tcPr>
          <w:p w14:paraId="1C2D3DE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NPM</w:t>
            </w:r>
          </w:p>
        </w:tc>
        <w:tc>
          <w:tcPr>
            <w:tcW w:w="810" w:type="dxa"/>
            <w:shd w:val="clear" w:color="auto" w:fill="auto"/>
          </w:tcPr>
          <w:p w14:paraId="0EABD42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70F5C55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-1.410</w:t>
            </w:r>
          </w:p>
        </w:tc>
        <w:tc>
          <w:tcPr>
            <w:tcW w:w="900" w:type="dxa"/>
            <w:shd w:val="clear" w:color="auto" w:fill="auto"/>
          </w:tcPr>
          <w:p w14:paraId="1FA05BCC" w14:textId="76626C68" w:rsidR="00A7596C" w:rsidRPr="00A7596C" w:rsidRDefault="000F34E2" w:rsidP="00A7596C">
            <w:pPr>
              <w:widowControl w:val="0"/>
              <w:ind w:left="-111"/>
              <w:jc w:val="center"/>
              <w:rPr>
                <w:rFonts w:ascii="Arial" w:hAnsi="Arial" w:cs="Arial"/>
                <w:color w:val="000000"/>
              </w:rPr>
            </w:pPr>
            <w:r>
              <w:rPr>
                <w:rFonts w:ascii="Arial" w:hAnsi="Arial" w:cs="Arial"/>
                <w:color w:val="000000"/>
              </w:rPr>
              <w:t>.</w:t>
            </w:r>
            <w:r w:rsidR="00A7596C" w:rsidRPr="00A7596C">
              <w:rPr>
                <w:rFonts w:ascii="Arial" w:hAnsi="Arial" w:cs="Arial"/>
                <w:color w:val="000000"/>
              </w:rPr>
              <w:t>813</w:t>
            </w:r>
          </w:p>
        </w:tc>
        <w:tc>
          <w:tcPr>
            <w:tcW w:w="990" w:type="dxa"/>
            <w:shd w:val="clear" w:color="auto" w:fill="auto"/>
          </w:tcPr>
          <w:p w14:paraId="65EE55C8" w14:textId="636505EA"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04823</w:t>
            </w:r>
          </w:p>
        </w:tc>
        <w:tc>
          <w:tcPr>
            <w:tcW w:w="1170" w:type="dxa"/>
            <w:shd w:val="clear" w:color="auto" w:fill="auto"/>
          </w:tcPr>
          <w:p w14:paraId="035DCE19" w14:textId="7358D9BB"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266824</w:t>
            </w:r>
          </w:p>
        </w:tc>
      </w:tr>
      <w:tr w:rsidR="00A7596C" w:rsidRPr="00EA2AB2" w14:paraId="330930C4" w14:textId="77777777" w:rsidTr="00A7596C">
        <w:trPr>
          <w:jc w:val="center"/>
        </w:trPr>
        <w:tc>
          <w:tcPr>
            <w:tcW w:w="1116" w:type="dxa"/>
            <w:shd w:val="clear" w:color="auto" w:fill="auto"/>
          </w:tcPr>
          <w:p w14:paraId="7A5115C5"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PBV</w:t>
            </w:r>
          </w:p>
        </w:tc>
        <w:tc>
          <w:tcPr>
            <w:tcW w:w="810" w:type="dxa"/>
            <w:shd w:val="clear" w:color="auto" w:fill="auto"/>
          </w:tcPr>
          <w:p w14:paraId="13BD2D11"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shd w:val="clear" w:color="auto" w:fill="auto"/>
          </w:tcPr>
          <w:p w14:paraId="5B769A73" w14:textId="210DF14B"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064</w:t>
            </w:r>
          </w:p>
        </w:tc>
        <w:tc>
          <w:tcPr>
            <w:tcW w:w="900" w:type="dxa"/>
            <w:shd w:val="clear" w:color="auto" w:fill="auto"/>
          </w:tcPr>
          <w:p w14:paraId="70100D3C" w14:textId="77777777" w:rsidR="00A7596C" w:rsidRPr="00A7596C" w:rsidRDefault="00A7596C" w:rsidP="00A7596C">
            <w:pPr>
              <w:widowControl w:val="0"/>
              <w:ind w:left="-111"/>
              <w:jc w:val="center"/>
              <w:rPr>
                <w:rFonts w:ascii="Arial" w:hAnsi="Arial" w:cs="Arial"/>
                <w:color w:val="000000"/>
              </w:rPr>
            </w:pPr>
            <w:r w:rsidRPr="00A7596C">
              <w:rPr>
                <w:rFonts w:ascii="Arial" w:hAnsi="Arial" w:cs="Arial"/>
                <w:color w:val="000000"/>
              </w:rPr>
              <w:t>85.200</w:t>
            </w:r>
          </w:p>
        </w:tc>
        <w:tc>
          <w:tcPr>
            <w:tcW w:w="990" w:type="dxa"/>
            <w:shd w:val="clear" w:color="auto" w:fill="auto"/>
          </w:tcPr>
          <w:p w14:paraId="32D8A05F"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2.64563</w:t>
            </w:r>
          </w:p>
        </w:tc>
        <w:tc>
          <w:tcPr>
            <w:tcW w:w="1170" w:type="dxa"/>
            <w:shd w:val="clear" w:color="auto" w:fill="auto"/>
          </w:tcPr>
          <w:p w14:paraId="3B8D33CE"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7.887428</w:t>
            </w:r>
          </w:p>
        </w:tc>
      </w:tr>
      <w:tr w:rsidR="00A7596C" w:rsidRPr="00EA2AB2" w14:paraId="0B2D8C27" w14:textId="77777777" w:rsidTr="00A7596C">
        <w:trPr>
          <w:jc w:val="center"/>
        </w:trPr>
        <w:tc>
          <w:tcPr>
            <w:tcW w:w="1116" w:type="dxa"/>
            <w:tcBorders>
              <w:bottom w:val="single" w:sz="4" w:space="0" w:color="auto"/>
            </w:tcBorders>
            <w:shd w:val="clear" w:color="auto" w:fill="auto"/>
          </w:tcPr>
          <w:p w14:paraId="02A09B42"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CG</w:t>
            </w:r>
          </w:p>
        </w:tc>
        <w:tc>
          <w:tcPr>
            <w:tcW w:w="810" w:type="dxa"/>
            <w:tcBorders>
              <w:bottom w:val="single" w:sz="4" w:space="0" w:color="auto"/>
            </w:tcBorders>
            <w:shd w:val="clear" w:color="auto" w:fill="auto"/>
          </w:tcPr>
          <w:p w14:paraId="6670F476" w14:textId="77777777" w:rsidR="00A7596C" w:rsidRPr="00A7596C" w:rsidRDefault="00A7596C" w:rsidP="00A7596C">
            <w:pPr>
              <w:widowControl w:val="0"/>
              <w:jc w:val="both"/>
              <w:rPr>
                <w:rFonts w:ascii="Arial" w:hAnsi="Arial" w:cs="Arial"/>
                <w:color w:val="000000"/>
              </w:rPr>
            </w:pPr>
            <w:r w:rsidRPr="00A7596C">
              <w:rPr>
                <w:rFonts w:ascii="Arial" w:hAnsi="Arial" w:cs="Arial"/>
                <w:color w:val="000000"/>
              </w:rPr>
              <w:t>154</w:t>
            </w:r>
          </w:p>
        </w:tc>
        <w:tc>
          <w:tcPr>
            <w:tcW w:w="900" w:type="dxa"/>
            <w:tcBorders>
              <w:bottom w:val="single" w:sz="4" w:space="0" w:color="auto"/>
            </w:tcBorders>
            <w:shd w:val="clear" w:color="auto" w:fill="auto"/>
          </w:tcPr>
          <w:p w14:paraId="165F49A2" w14:textId="0FF50163"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000</w:t>
            </w:r>
          </w:p>
        </w:tc>
        <w:tc>
          <w:tcPr>
            <w:tcW w:w="900" w:type="dxa"/>
            <w:tcBorders>
              <w:bottom w:val="single" w:sz="4" w:space="0" w:color="auto"/>
            </w:tcBorders>
            <w:shd w:val="clear" w:color="auto" w:fill="auto"/>
          </w:tcPr>
          <w:p w14:paraId="60989282" w14:textId="362A0536" w:rsidR="00A7596C" w:rsidRPr="00A7596C" w:rsidRDefault="000F34E2" w:rsidP="00A7596C">
            <w:pPr>
              <w:widowControl w:val="0"/>
              <w:ind w:left="-111"/>
              <w:jc w:val="center"/>
              <w:rPr>
                <w:rFonts w:ascii="Arial" w:hAnsi="Arial" w:cs="Arial"/>
                <w:color w:val="000000"/>
              </w:rPr>
            </w:pPr>
            <w:r>
              <w:rPr>
                <w:rFonts w:ascii="Arial" w:hAnsi="Arial" w:cs="Arial"/>
                <w:color w:val="000000"/>
              </w:rPr>
              <w:t>.</w:t>
            </w:r>
            <w:r w:rsidR="00A7596C" w:rsidRPr="00A7596C">
              <w:rPr>
                <w:rFonts w:ascii="Arial" w:hAnsi="Arial" w:cs="Arial"/>
                <w:color w:val="000000"/>
              </w:rPr>
              <w:t>676</w:t>
            </w:r>
          </w:p>
        </w:tc>
        <w:tc>
          <w:tcPr>
            <w:tcW w:w="990" w:type="dxa"/>
            <w:tcBorders>
              <w:bottom w:val="single" w:sz="4" w:space="0" w:color="auto"/>
            </w:tcBorders>
            <w:shd w:val="clear" w:color="auto" w:fill="auto"/>
          </w:tcPr>
          <w:p w14:paraId="58396A14" w14:textId="525794E5"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09628</w:t>
            </w:r>
          </w:p>
        </w:tc>
        <w:tc>
          <w:tcPr>
            <w:tcW w:w="1170" w:type="dxa"/>
            <w:tcBorders>
              <w:bottom w:val="single" w:sz="4" w:space="0" w:color="auto"/>
            </w:tcBorders>
            <w:shd w:val="clear" w:color="auto" w:fill="auto"/>
          </w:tcPr>
          <w:p w14:paraId="2DA76DD7" w14:textId="378E2C96" w:rsidR="00A7596C" w:rsidRPr="00A7596C" w:rsidRDefault="000F34E2" w:rsidP="00A7596C">
            <w:pPr>
              <w:widowControl w:val="0"/>
              <w:jc w:val="both"/>
              <w:rPr>
                <w:rFonts w:ascii="Arial" w:hAnsi="Arial" w:cs="Arial"/>
                <w:color w:val="000000"/>
              </w:rPr>
            </w:pPr>
            <w:r>
              <w:rPr>
                <w:rFonts w:ascii="Arial" w:hAnsi="Arial" w:cs="Arial"/>
                <w:color w:val="000000"/>
              </w:rPr>
              <w:t>.</w:t>
            </w:r>
            <w:r w:rsidR="00A7596C" w:rsidRPr="00A7596C">
              <w:rPr>
                <w:rFonts w:ascii="Arial" w:hAnsi="Arial" w:cs="Arial"/>
                <w:color w:val="000000"/>
              </w:rPr>
              <w:t>149618</w:t>
            </w:r>
          </w:p>
        </w:tc>
      </w:tr>
    </w:tbl>
    <w:p w14:paraId="317AEAFD" w14:textId="77777777" w:rsidR="00A7596C" w:rsidRDefault="00A7596C" w:rsidP="00441B6F">
      <w:pPr>
        <w:pStyle w:val="Body"/>
        <w:spacing w:after="0"/>
        <w:rPr>
          <w:rFonts w:ascii="Arial" w:hAnsi="Arial" w:cs="Arial"/>
        </w:rPr>
      </w:pPr>
    </w:p>
    <w:p w14:paraId="30C79DFA" w14:textId="4887E89A" w:rsidR="000F34E2" w:rsidRP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The current ratio (CR) shows a minimum value of </w:t>
      </w:r>
      <w:r>
        <w:rPr>
          <w:rFonts w:ascii="Arial" w:hAnsi="Arial" w:cs="Arial"/>
          <w:color w:val="000000"/>
        </w:rPr>
        <w:t>.</w:t>
      </w:r>
      <w:r w:rsidRPr="000F34E2">
        <w:rPr>
          <w:rFonts w:ascii="Arial" w:hAnsi="Arial" w:cs="Arial"/>
          <w:color w:val="000000"/>
        </w:rPr>
        <w:t>14 and a maximum value of 14.88</w:t>
      </w:r>
      <w:r>
        <w:rPr>
          <w:rFonts w:ascii="Arial" w:hAnsi="Arial" w:cs="Arial"/>
          <w:color w:val="000000"/>
        </w:rPr>
        <w:t>.</w:t>
      </w:r>
      <w:r w:rsidRPr="000F34E2">
        <w:rPr>
          <w:rFonts w:ascii="Arial" w:hAnsi="Arial" w:cs="Arial"/>
          <w:color w:val="000000"/>
        </w:rPr>
        <w:t xml:space="preserve"> The average value obtained is 2.23404, indicating that, on average, current assets are 2.23 times </w:t>
      </w:r>
      <w:r w:rsidRPr="000F34E2">
        <w:rPr>
          <w:rFonts w:ascii="Arial" w:hAnsi="Arial" w:cs="Arial"/>
          <w:color w:val="000000"/>
        </w:rPr>
        <w:lastRenderedPageBreak/>
        <w:t>greater than current liabilities. The standard deviation is 2.027381, suggesting relatively low variation among energy companies during the 2019–2023 period. The debt to asset ratio (DAR) has a minimum value of -</w:t>
      </w:r>
      <w:r>
        <w:rPr>
          <w:rFonts w:ascii="Arial" w:hAnsi="Arial" w:cs="Arial"/>
          <w:color w:val="000000"/>
        </w:rPr>
        <w:t>.</w:t>
      </w:r>
      <w:r w:rsidRPr="000F34E2">
        <w:rPr>
          <w:rFonts w:ascii="Arial" w:hAnsi="Arial" w:cs="Arial"/>
          <w:color w:val="000000"/>
        </w:rPr>
        <w:t xml:space="preserve">652 and a maximum value of 15.047. The mean value of 1.72042 indicates that, on average, total liabilities are 1.72 times greater than total assets. The standard deviation of 2.304675 indicates a relatively high level of variation. The total asset turnover (TATO) ranges from a minimum of .116 to a maximum of 6.284. The average turnover is .77351, suggesting that, on average, asset turnover is .77 times relative to sales. The standard deviation of </w:t>
      </w:r>
      <w:r>
        <w:rPr>
          <w:rFonts w:ascii="Arial" w:hAnsi="Arial" w:cs="Arial"/>
          <w:color w:val="000000"/>
        </w:rPr>
        <w:t>.</w:t>
      </w:r>
      <w:r w:rsidRPr="000F34E2">
        <w:rPr>
          <w:rFonts w:ascii="Arial" w:hAnsi="Arial" w:cs="Arial"/>
          <w:color w:val="000000"/>
        </w:rPr>
        <w:t xml:space="preserve">691952 indicates low variation among the companies. The net profit margin (NPM) shows a minimum of -1.410 and a maximum of .813. The mean value of .04823 indicates strong capability in generating net profit. The standard deviation of .266824 suggests a relatively high degree of variation. The price to book value (PBV) has a minimum value of </w:t>
      </w:r>
      <w:r>
        <w:rPr>
          <w:rFonts w:ascii="Arial" w:hAnsi="Arial" w:cs="Arial"/>
          <w:color w:val="000000"/>
        </w:rPr>
        <w:t>.</w:t>
      </w:r>
      <w:r w:rsidRPr="000F34E2">
        <w:rPr>
          <w:rFonts w:ascii="Arial" w:hAnsi="Arial" w:cs="Arial"/>
          <w:color w:val="000000"/>
        </w:rPr>
        <w:t>064 and a maximum of 85.20</w:t>
      </w:r>
      <w:r>
        <w:rPr>
          <w:rFonts w:ascii="Arial" w:hAnsi="Arial" w:cs="Arial"/>
          <w:color w:val="000000"/>
        </w:rPr>
        <w:t>.</w:t>
      </w:r>
      <w:r w:rsidRPr="000F34E2">
        <w:rPr>
          <w:rFonts w:ascii="Arial" w:hAnsi="Arial" w:cs="Arial"/>
          <w:color w:val="000000"/>
        </w:rPr>
        <w:t xml:space="preserve"> The mean value of 2.64563 indicates that, on average, the company’s stock price is 2.65 times higher than its book value. The standard deviation of 7.887428 reflects a high level of variation. Corporate governance, as measured by managerial ownership, has a minimum value of </w:t>
      </w:r>
      <w:r>
        <w:rPr>
          <w:rFonts w:ascii="Arial" w:hAnsi="Arial" w:cs="Arial"/>
          <w:color w:val="000000"/>
        </w:rPr>
        <w:t>.</w:t>
      </w:r>
      <w:r w:rsidRPr="000F34E2">
        <w:rPr>
          <w:rFonts w:ascii="Arial" w:hAnsi="Arial" w:cs="Arial"/>
          <w:color w:val="000000"/>
        </w:rPr>
        <w:t xml:space="preserve">000 and a maximum value of </w:t>
      </w:r>
      <w:r>
        <w:rPr>
          <w:rFonts w:ascii="Arial" w:hAnsi="Arial" w:cs="Arial"/>
          <w:color w:val="000000"/>
        </w:rPr>
        <w:t>.</w:t>
      </w:r>
      <w:r w:rsidRPr="000F34E2">
        <w:rPr>
          <w:rFonts w:ascii="Arial" w:hAnsi="Arial" w:cs="Arial"/>
          <w:color w:val="000000"/>
        </w:rPr>
        <w:t xml:space="preserve">676. The average value is </w:t>
      </w:r>
      <w:r>
        <w:rPr>
          <w:rFonts w:ascii="Arial" w:hAnsi="Arial" w:cs="Arial"/>
          <w:color w:val="000000"/>
        </w:rPr>
        <w:t>.</w:t>
      </w:r>
      <w:r w:rsidRPr="000F34E2">
        <w:rPr>
          <w:rFonts w:ascii="Arial" w:hAnsi="Arial" w:cs="Arial"/>
          <w:color w:val="000000"/>
        </w:rPr>
        <w:t xml:space="preserve">09628, indicating the proportion of shares held by management. The standard deviation of </w:t>
      </w:r>
      <w:r>
        <w:rPr>
          <w:rFonts w:ascii="Arial" w:hAnsi="Arial" w:cs="Arial"/>
          <w:color w:val="000000"/>
        </w:rPr>
        <w:t>.</w:t>
      </w:r>
      <w:r w:rsidRPr="000F34E2">
        <w:rPr>
          <w:rFonts w:ascii="Arial" w:hAnsi="Arial" w:cs="Arial"/>
          <w:color w:val="000000"/>
        </w:rPr>
        <w:t>149618 reflects a high variation across firms.</w:t>
      </w:r>
    </w:p>
    <w:p w14:paraId="001575D3" w14:textId="77777777" w:rsidR="00607285" w:rsidRDefault="00607285" w:rsidP="00607285">
      <w:pPr>
        <w:widowControl w:val="0"/>
        <w:pBdr>
          <w:top w:val="nil"/>
          <w:left w:val="nil"/>
          <w:bottom w:val="nil"/>
          <w:right w:val="nil"/>
          <w:between w:val="nil"/>
        </w:pBdr>
        <w:jc w:val="both"/>
        <w:rPr>
          <w:rFonts w:ascii="Arial" w:hAnsi="Arial" w:cs="Arial"/>
          <w:bCs/>
          <w:noProof/>
          <w:color w:val="000000"/>
          <w:lang w:val="id-ID"/>
        </w:rPr>
      </w:pPr>
    </w:p>
    <w:p w14:paraId="450EAB42" w14:textId="11F20376" w:rsidR="00607285" w:rsidRPr="00607285" w:rsidRDefault="00607285" w:rsidP="00607285">
      <w:pPr>
        <w:pStyle w:val="Body"/>
        <w:spacing w:after="0"/>
        <w:rPr>
          <w:rFonts w:ascii="Arial" w:hAnsi="Arial" w:cs="Arial"/>
          <w:b/>
          <w:u w:val="single"/>
        </w:rPr>
      </w:pPr>
      <w:r>
        <w:rPr>
          <w:rFonts w:ascii="Arial" w:hAnsi="Arial" w:cs="Arial"/>
          <w:b/>
          <w:u w:val="single"/>
        </w:rPr>
        <w:t>4</w:t>
      </w:r>
      <w:r w:rsidRPr="00902823">
        <w:rPr>
          <w:rFonts w:ascii="Arial" w:hAnsi="Arial" w:cs="Arial"/>
          <w:b/>
          <w:u w:val="single"/>
        </w:rPr>
        <w:t>.1.</w:t>
      </w:r>
      <w:r w:rsidR="00E12746">
        <w:rPr>
          <w:rFonts w:ascii="Arial" w:hAnsi="Arial" w:cs="Arial"/>
          <w:b/>
          <w:u w:val="single"/>
        </w:rPr>
        <w:t>2</w:t>
      </w:r>
      <w:r w:rsidRPr="00902823">
        <w:rPr>
          <w:rFonts w:ascii="Arial" w:hAnsi="Arial" w:cs="Arial"/>
          <w:b/>
          <w:u w:val="single"/>
        </w:rPr>
        <w:t xml:space="preserve"> </w:t>
      </w:r>
      <w:r>
        <w:rPr>
          <w:rFonts w:ascii="Arial" w:hAnsi="Arial" w:cs="Arial"/>
          <w:b/>
          <w:u w:val="single"/>
        </w:rPr>
        <w:t>Classical Assumption Test</w:t>
      </w:r>
    </w:p>
    <w:p w14:paraId="0738E646" w14:textId="77777777" w:rsidR="00607285" w:rsidRDefault="00607285" w:rsidP="00607285">
      <w:pPr>
        <w:widowControl w:val="0"/>
        <w:pBdr>
          <w:top w:val="nil"/>
          <w:left w:val="nil"/>
          <w:bottom w:val="nil"/>
          <w:right w:val="nil"/>
          <w:between w:val="nil"/>
        </w:pBdr>
        <w:jc w:val="both"/>
        <w:rPr>
          <w:rFonts w:ascii="Arial" w:hAnsi="Arial" w:cs="Arial"/>
          <w:bCs/>
          <w:noProof/>
          <w:color w:val="000000"/>
          <w:lang w:val="id-ID"/>
        </w:rPr>
      </w:pPr>
    </w:p>
    <w:p w14:paraId="75043ADC" w14:textId="30105B93" w:rsidR="000F34E2" w:rsidRDefault="00607285" w:rsidP="00607285">
      <w:pPr>
        <w:widowControl w:val="0"/>
        <w:pBdr>
          <w:top w:val="nil"/>
          <w:left w:val="nil"/>
          <w:bottom w:val="nil"/>
          <w:right w:val="nil"/>
          <w:between w:val="nil"/>
        </w:pBdr>
        <w:jc w:val="both"/>
        <w:rPr>
          <w:rFonts w:ascii="Arial" w:hAnsi="Arial" w:cs="Arial"/>
          <w:bCs/>
          <w:noProof/>
          <w:color w:val="000000"/>
          <w:lang w:val="id-ID"/>
        </w:rPr>
      </w:pPr>
      <w:r>
        <w:rPr>
          <w:rFonts w:ascii="Arial" w:hAnsi="Arial" w:cs="Arial"/>
          <w:bCs/>
          <w:noProof/>
          <w:color w:val="000000"/>
          <w:lang w:val="id-ID"/>
        </w:rPr>
        <w:t>C</w:t>
      </w:r>
      <w:r w:rsidR="000F34E2" w:rsidRPr="000F34E2">
        <w:rPr>
          <w:rFonts w:ascii="Arial" w:hAnsi="Arial" w:cs="Arial"/>
          <w:bCs/>
          <w:noProof/>
          <w:color w:val="000000"/>
          <w:lang w:val="id-ID"/>
        </w:rPr>
        <w:t>lassic</w:t>
      </w:r>
      <w:r>
        <w:rPr>
          <w:rFonts w:ascii="Arial" w:hAnsi="Arial" w:cs="Arial"/>
          <w:bCs/>
          <w:noProof/>
          <w:color w:val="000000"/>
          <w:lang w:val="id-ID"/>
        </w:rPr>
        <w:t>al</w:t>
      </w:r>
      <w:r w:rsidR="000F34E2" w:rsidRPr="000F34E2">
        <w:rPr>
          <w:rFonts w:ascii="Arial" w:hAnsi="Arial" w:cs="Arial"/>
          <w:bCs/>
          <w:noProof/>
          <w:color w:val="000000"/>
          <w:lang w:val="id-ID"/>
        </w:rPr>
        <w:t xml:space="preserve"> assumption test is carried out which consist of normality test, multicollinearity test,</w:t>
      </w:r>
      <w:r w:rsidR="000F34E2" w:rsidRPr="000F34E2">
        <w:rPr>
          <w:rFonts w:ascii="Arial" w:hAnsi="Arial" w:cs="Arial"/>
          <w:color w:val="000000"/>
        </w:rPr>
        <w:t xml:space="preserve"> </w:t>
      </w:r>
      <w:r w:rsidR="000F34E2" w:rsidRPr="000F34E2">
        <w:rPr>
          <w:rFonts w:ascii="Arial" w:hAnsi="Arial" w:cs="Arial"/>
          <w:bCs/>
          <w:noProof/>
          <w:color w:val="000000"/>
          <w:lang w:val="id-ID"/>
        </w:rPr>
        <w:t>heteroscedasticity test, and autocorrelation test. There is an explanation regarding the results of the classical assumptions in this research.</w:t>
      </w:r>
    </w:p>
    <w:p w14:paraId="367091CB" w14:textId="77777777" w:rsidR="000F34E2" w:rsidRPr="000F34E2" w:rsidRDefault="000F34E2" w:rsidP="000F34E2">
      <w:pPr>
        <w:widowControl w:val="0"/>
        <w:pBdr>
          <w:top w:val="nil"/>
          <w:left w:val="nil"/>
          <w:bottom w:val="nil"/>
          <w:right w:val="nil"/>
          <w:between w:val="nil"/>
        </w:pBdr>
        <w:ind w:firstLine="202"/>
        <w:jc w:val="both"/>
        <w:rPr>
          <w:rFonts w:ascii="Arial" w:hAnsi="Arial" w:cs="Arial"/>
          <w:color w:val="000000"/>
        </w:rPr>
      </w:pPr>
    </w:p>
    <w:p w14:paraId="3E530F38" w14:textId="77777777" w:rsidR="000F34E2" w:rsidRDefault="000F34E2" w:rsidP="000F34E2">
      <w:pPr>
        <w:widowControl w:val="0"/>
        <w:pBdr>
          <w:top w:val="nil"/>
          <w:left w:val="nil"/>
          <w:bottom w:val="nil"/>
          <w:right w:val="nil"/>
          <w:between w:val="nil"/>
        </w:pBdr>
        <w:jc w:val="center"/>
        <w:rPr>
          <w:rFonts w:ascii="Arial" w:hAnsi="Arial" w:cs="Arial"/>
          <w:b/>
          <w:bCs/>
          <w:color w:val="000000"/>
        </w:rPr>
      </w:pPr>
      <w:r w:rsidRPr="000F34E2">
        <w:rPr>
          <w:rFonts w:ascii="Arial" w:hAnsi="Arial" w:cs="Arial"/>
          <w:b/>
          <w:bCs/>
          <w:color w:val="000000"/>
        </w:rPr>
        <w:t>Table 4. One-Sample Kolmogorov-Smirnov Test</w:t>
      </w:r>
    </w:p>
    <w:p w14:paraId="0063D25D" w14:textId="77777777" w:rsidR="000F34E2" w:rsidRPr="000F34E2" w:rsidRDefault="000F34E2" w:rsidP="000F34E2">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50"/>
        <w:gridCol w:w="2610"/>
      </w:tblGrid>
      <w:tr w:rsidR="000F34E2" w:rsidRPr="000F34E2" w14:paraId="14A125E8" w14:textId="77777777" w:rsidTr="001D03F3">
        <w:trPr>
          <w:jc w:val="center"/>
        </w:trPr>
        <w:tc>
          <w:tcPr>
            <w:tcW w:w="2250" w:type="dxa"/>
            <w:tcBorders>
              <w:top w:val="single" w:sz="4" w:space="0" w:color="auto"/>
              <w:bottom w:val="single" w:sz="4" w:space="0" w:color="auto"/>
            </w:tcBorders>
            <w:shd w:val="clear" w:color="auto" w:fill="auto"/>
          </w:tcPr>
          <w:p w14:paraId="137BB695" w14:textId="77777777" w:rsidR="000F34E2" w:rsidRPr="000F34E2" w:rsidRDefault="000F34E2" w:rsidP="000F34E2">
            <w:pPr>
              <w:widowControl w:val="0"/>
              <w:ind w:firstLine="360"/>
              <w:jc w:val="center"/>
              <w:rPr>
                <w:rFonts w:ascii="Arial" w:hAnsi="Arial" w:cs="Arial"/>
                <w:color w:val="000000"/>
              </w:rPr>
            </w:pPr>
          </w:p>
        </w:tc>
        <w:tc>
          <w:tcPr>
            <w:tcW w:w="2610" w:type="dxa"/>
            <w:tcBorders>
              <w:top w:val="single" w:sz="4" w:space="0" w:color="auto"/>
              <w:bottom w:val="single" w:sz="4" w:space="0" w:color="auto"/>
            </w:tcBorders>
            <w:shd w:val="clear" w:color="auto" w:fill="auto"/>
          </w:tcPr>
          <w:p w14:paraId="0C182070" w14:textId="77777777" w:rsidR="000F34E2" w:rsidRPr="000F34E2" w:rsidRDefault="000F34E2" w:rsidP="000F34E2">
            <w:pPr>
              <w:widowControl w:val="0"/>
              <w:rPr>
                <w:rFonts w:ascii="Arial" w:hAnsi="Arial" w:cs="Arial"/>
                <w:b/>
                <w:bCs/>
                <w:color w:val="000000"/>
              </w:rPr>
            </w:pPr>
            <w:r w:rsidRPr="000F34E2">
              <w:rPr>
                <w:rFonts w:ascii="Arial" w:hAnsi="Arial" w:cs="Arial"/>
                <w:b/>
                <w:bCs/>
                <w:color w:val="000000"/>
              </w:rPr>
              <w:t>Unstandardized Residual</w:t>
            </w:r>
          </w:p>
        </w:tc>
      </w:tr>
      <w:tr w:rsidR="000F34E2" w:rsidRPr="000F34E2" w14:paraId="76B252C7" w14:textId="77777777" w:rsidTr="001D03F3">
        <w:trPr>
          <w:jc w:val="center"/>
        </w:trPr>
        <w:tc>
          <w:tcPr>
            <w:tcW w:w="2250" w:type="dxa"/>
            <w:tcBorders>
              <w:top w:val="single" w:sz="4" w:space="0" w:color="auto"/>
            </w:tcBorders>
            <w:shd w:val="clear" w:color="auto" w:fill="auto"/>
          </w:tcPr>
          <w:p w14:paraId="0537F81F" w14:textId="77777777" w:rsidR="000F34E2" w:rsidRPr="000F34E2" w:rsidRDefault="000F34E2" w:rsidP="000F34E2">
            <w:pPr>
              <w:widowControl w:val="0"/>
              <w:rPr>
                <w:rFonts w:ascii="Arial" w:hAnsi="Arial" w:cs="Arial"/>
                <w:color w:val="000000"/>
              </w:rPr>
            </w:pPr>
            <w:proofErr w:type="spellStart"/>
            <w:proofErr w:type="gramStart"/>
            <w:r w:rsidRPr="000F34E2">
              <w:rPr>
                <w:rFonts w:ascii="Arial" w:hAnsi="Arial" w:cs="Arial"/>
                <w:i/>
                <w:iCs/>
                <w:color w:val="000000"/>
              </w:rPr>
              <w:t>Asymp</w:t>
            </w:r>
            <w:proofErr w:type="spellEnd"/>
            <w:r w:rsidRPr="000F34E2">
              <w:rPr>
                <w:rFonts w:ascii="Arial" w:hAnsi="Arial" w:cs="Arial"/>
                <w:i/>
                <w:iCs/>
                <w:color w:val="000000"/>
              </w:rPr>
              <w:t>..</w:t>
            </w:r>
            <w:proofErr w:type="gramEnd"/>
            <w:r w:rsidRPr="000F34E2">
              <w:rPr>
                <w:rFonts w:ascii="Arial" w:hAnsi="Arial" w:cs="Arial"/>
                <w:color w:val="000000"/>
              </w:rPr>
              <w:t xml:space="preserve"> </w:t>
            </w:r>
            <w:r w:rsidRPr="000F34E2">
              <w:rPr>
                <w:rFonts w:ascii="Arial" w:hAnsi="Arial" w:cs="Arial"/>
                <w:i/>
                <w:iCs/>
                <w:color w:val="000000"/>
              </w:rPr>
              <w:t>Sig.</w:t>
            </w:r>
            <w:r w:rsidRPr="000F34E2">
              <w:rPr>
                <w:rFonts w:ascii="Arial" w:hAnsi="Arial" w:cs="Arial"/>
                <w:color w:val="000000"/>
              </w:rPr>
              <w:t xml:space="preserve"> (2-tailed)</w:t>
            </w:r>
          </w:p>
        </w:tc>
        <w:tc>
          <w:tcPr>
            <w:tcW w:w="2610" w:type="dxa"/>
            <w:tcBorders>
              <w:top w:val="single" w:sz="4" w:space="0" w:color="auto"/>
            </w:tcBorders>
            <w:shd w:val="clear" w:color="auto" w:fill="auto"/>
          </w:tcPr>
          <w:p w14:paraId="4F3671A3" w14:textId="77777777" w:rsidR="000F34E2" w:rsidRPr="000F34E2" w:rsidRDefault="000F34E2" w:rsidP="000F34E2">
            <w:pPr>
              <w:widowControl w:val="0"/>
              <w:jc w:val="center"/>
              <w:rPr>
                <w:rFonts w:ascii="Arial" w:hAnsi="Arial" w:cs="Arial"/>
                <w:color w:val="000000"/>
              </w:rPr>
            </w:pPr>
            <w:r w:rsidRPr="000F34E2">
              <w:rPr>
                <w:rFonts w:ascii="Arial" w:hAnsi="Arial" w:cs="Arial"/>
                <w:color w:val="000000"/>
              </w:rPr>
              <w:t>.200</w:t>
            </w:r>
          </w:p>
        </w:tc>
      </w:tr>
    </w:tbl>
    <w:p w14:paraId="60571AF4" w14:textId="77777777" w:rsidR="00607285" w:rsidRDefault="00607285" w:rsidP="00607285">
      <w:pPr>
        <w:widowControl w:val="0"/>
        <w:pBdr>
          <w:top w:val="nil"/>
          <w:left w:val="nil"/>
          <w:bottom w:val="nil"/>
          <w:right w:val="nil"/>
          <w:between w:val="nil"/>
        </w:pBdr>
        <w:jc w:val="both"/>
        <w:rPr>
          <w:rFonts w:ascii="Arial" w:hAnsi="Arial" w:cs="Arial"/>
          <w:color w:val="000000"/>
        </w:rPr>
      </w:pPr>
    </w:p>
    <w:p w14:paraId="59ABD9CC" w14:textId="74CC654C"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Based on Table 4, the </w:t>
      </w:r>
      <w:proofErr w:type="spellStart"/>
      <w:r w:rsidRPr="000F34E2">
        <w:rPr>
          <w:rFonts w:ascii="Arial" w:hAnsi="Arial" w:cs="Arial"/>
          <w:color w:val="000000"/>
        </w:rPr>
        <w:t>Asymp</w:t>
      </w:r>
      <w:proofErr w:type="spellEnd"/>
      <w:r w:rsidRPr="000F34E2">
        <w:rPr>
          <w:rFonts w:ascii="Arial" w:hAnsi="Arial" w:cs="Arial"/>
          <w:color w:val="000000"/>
        </w:rPr>
        <w:t xml:space="preserve">. Sig. (2-tailed) value is </w:t>
      </w:r>
      <w:r>
        <w:rPr>
          <w:rFonts w:ascii="Arial" w:hAnsi="Arial" w:cs="Arial"/>
          <w:color w:val="000000"/>
        </w:rPr>
        <w:t>.</w:t>
      </w:r>
      <w:r w:rsidRPr="000F34E2">
        <w:rPr>
          <w:rFonts w:ascii="Arial" w:hAnsi="Arial" w:cs="Arial"/>
          <w:color w:val="000000"/>
        </w:rPr>
        <w:t xml:space="preserve">200 &gt; </w:t>
      </w:r>
      <w:r>
        <w:rPr>
          <w:rFonts w:ascii="Arial" w:hAnsi="Arial" w:cs="Arial"/>
          <w:color w:val="000000"/>
        </w:rPr>
        <w:t>0.</w:t>
      </w:r>
      <w:r w:rsidRPr="000F34E2">
        <w:rPr>
          <w:rFonts w:ascii="Arial" w:hAnsi="Arial" w:cs="Arial"/>
          <w:bCs/>
          <w:noProof/>
          <w:color w:val="000000"/>
          <w:lang w:val="id-ID"/>
        </w:rPr>
        <w:t>05</w:t>
      </w:r>
      <w:r>
        <w:rPr>
          <w:rFonts w:ascii="Arial" w:hAnsi="Arial" w:cs="Arial"/>
          <w:bCs/>
          <w:noProof/>
          <w:color w:val="000000"/>
          <w:lang w:val="id-ID"/>
        </w:rPr>
        <w:t>.</w:t>
      </w:r>
      <w:r w:rsidRPr="000F34E2">
        <w:rPr>
          <w:rFonts w:ascii="Arial" w:hAnsi="Arial" w:cs="Arial"/>
          <w:color w:val="000000"/>
        </w:rPr>
        <w:t xml:space="preserve"> This indicates that the data are normally distributed and meet the assumption of normality.</w:t>
      </w:r>
    </w:p>
    <w:p w14:paraId="62635B51" w14:textId="77777777" w:rsidR="000F34E2" w:rsidRPr="000F34E2" w:rsidRDefault="000F34E2" w:rsidP="000F34E2">
      <w:pPr>
        <w:widowControl w:val="0"/>
        <w:pBdr>
          <w:top w:val="nil"/>
          <w:left w:val="nil"/>
          <w:bottom w:val="nil"/>
          <w:right w:val="nil"/>
          <w:between w:val="nil"/>
        </w:pBdr>
        <w:ind w:firstLine="202"/>
        <w:jc w:val="both"/>
        <w:rPr>
          <w:rFonts w:ascii="Arial" w:hAnsi="Arial" w:cs="Arial"/>
          <w:color w:val="000000"/>
        </w:rPr>
      </w:pPr>
    </w:p>
    <w:p w14:paraId="30CF5C4C" w14:textId="77777777" w:rsidR="000F34E2" w:rsidRDefault="000F34E2" w:rsidP="000F34E2">
      <w:pPr>
        <w:widowControl w:val="0"/>
        <w:pBdr>
          <w:top w:val="nil"/>
          <w:left w:val="nil"/>
          <w:bottom w:val="nil"/>
          <w:right w:val="nil"/>
          <w:between w:val="nil"/>
        </w:pBdr>
        <w:jc w:val="center"/>
        <w:rPr>
          <w:rFonts w:ascii="Arial" w:hAnsi="Arial" w:cs="Arial"/>
          <w:b/>
          <w:bCs/>
          <w:color w:val="000000"/>
        </w:rPr>
      </w:pPr>
      <w:r w:rsidRPr="000F34E2">
        <w:rPr>
          <w:rFonts w:ascii="Arial" w:hAnsi="Arial" w:cs="Arial"/>
          <w:b/>
          <w:bCs/>
          <w:color w:val="000000"/>
          <w:lang w:val="sv-SE"/>
        </w:rPr>
        <w:t>Table</w:t>
      </w:r>
      <w:r w:rsidRPr="000F34E2">
        <w:rPr>
          <w:rFonts w:ascii="Arial" w:hAnsi="Arial" w:cs="Arial"/>
          <w:color w:val="000000"/>
          <w:lang w:val="sv-SE"/>
        </w:rPr>
        <w:t xml:space="preserve"> </w:t>
      </w:r>
      <w:r w:rsidRPr="000F34E2">
        <w:rPr>
          <w:rFonts w:ascii="Arial" w:hAnsi="Arial" w:cs="Arial"/>
          <w:b/>
          <w:bCs/>
          <w:color w:val="000000"/>
          <w:lang w:val="sv-SE"/>
        </w:rPr>
        <w:t>5</w:t>
      </w:r>
      <w:r w:rsidRPr="000F34E2">
        <w:rPr>
          <w:rFonts w:ascii="Arial" w:hAnsi="Arial" w:cs="Arial"/>
          <w:color w:val="000000"/>
          <w:lang w:val="sv-SE"/>
        </w:rPr>
        <w:t xml:space="preserve">. </w:t>
      </w:r>
      <w:r w:rsidRPr="000F34E2">
        <w:rPr>
          <w:rFonts w:ascii="Arial" w:hAnsi="Arial" w:cs="Arial"/>
          <w:b/>
          <w:bCs/>
          <w:color w:val="000000"/>
        </w:rPr>
        <w:t>Multicollinearity Test</w:t>
      </w:r>
    </w:p>
    <w:p w14:paraId="634C7FC3" w14:textId="77777777" w:rsidR="000F34E2" w:rsidRPr="000F34E2" w:rsidRDefault="000F34E2" w:rsidP="000F34E2">
      <w:pPr>
        <w:widowControl w:val="0"/>
        <w:pBdr>
          <w:top w:val="nil"/>
          <w:left w:val="nil"/>
          <w:bottom w:val="nil"/>
          <w:right w:val="nil"/>
          <w:between w:val="nil"/>
        </w:pBdr>
        <w:jc w:val="center"/>
        <w:rPr>
          <w:rFonts w:ascii="Arial" w:hAnsi="Arial" w:cs="Arial"/>
          <w:color w:val="00000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995"/>
        <w:gridCol w:w="1161"/>
        <w:gridCol w:w="1011"/>
      </w:tblGrid>
      <w:tr w:rsidR="000F34E2" w:rsidRPr="000F34E2" w14:paraId="2FDD2BC5" w14:textId="77777777" w:rsidTr="001D03F3">
        <w:trPr>
          <w:jc w:val="center"/>
        </w:trPr>
        <w:tc>
          <w:tcPr>
            <w:tcW w:w="961" w:type="dxa"/>
            <w:tcBorders>
              <w:top w:val="single" w:sz="4" w:space="0" w:color="auto"/>
              <w:bottom w:val="single" w:sz="4" w:space="0" w:color="auto"/>
            </w:tcBorders>
            <w:shd w:val="clear" w:color="auto" w:fill="auto"/>
          </w:tcPr>
          <w:p w14:paraId="1E14ACBF" w14:textId="77777777" w:rsidR="000F34E2" w:rsidRPr="000F34E2" w:rsidRDefault="000F34E2" w:rsidP="000F34E2">
            <w:pPr>
              <w:jc w:val="both"/>
              <w:rPr>
                <w:rFonts w:ascii="Arial" w:hAnsi="Arial" w:cs="Arial"/>
                <w:b/>
                <w:bCs/>
                <w:color w:val="000000"/>
                <w:lang w:val="sv-SE" w:eastAsia="en-SG"/>
              </w:rPr>
            </w:pPr>
            <w:r w:rsidRPr="000F34E2">
              <w:rPr>
                <w:rFonts w:ascii="Arial" w:hAnsi="Arial" w:cs="Arial"/>
                <w:b/>
                <w:bCs/>
                <w:color w:val="000000"/>
                <w:lang w:val="sv-SE" w:eastAsia="en-SG"/>
              </w:rPr>
              <w:t>Variable</w:t>
            </w:r>
          </w:p>
        </w:tc>
        <w:tc>
          <w:tcPr>
            <w:tcW w:w="1147" w:type="dxa"/>
            <w:tcBorders>
              <w:top w:val="single" w:sz="4" w:space="0" w:color="auto"/>
              <w:bottom w:val="single" w:sz="4" w:space="0" w:color="auto"/>
            </w:tcBorders>
            <w:shd w:val="clear" w:color="auto" w:fill="auto"/>
          </w:tcPr>
          <w:p w14:paraId="1A33ECC3" w14:textId="77777777" w:rsidR="000F34E2" w:rsidRPr="000F34E2" w:rsidRDefault="000F34E2" w:rsidP="000F34E2">
            <w:pPr>
              <w:jc w:val="center"/>
              <w:rPr>
                <w:rFonts w:ascii="Arial" w:hAnsi="Arial" w:cs="Arial"/>
                <w:b/>
                <w:bCs/>
                <w:color w:val="000000"/>
                <w:lang w:val="sv-SE" w:eastAsia="en-SG"/>
              </w:rPr>
            </w:pPr>
            <w:r w:rsidRPr="000F34E2">
              <w:rPr>
                <w:rFonts w:ascii="Arial" w:hAnsi="Arial" w:cs="Arial"/>
                <w:b/>
                <w:bCs/>
                <w:color w:val="000000"/>
                <w:lang w:val="sv-SE" w:eastAsia="en-SG"/>
              </w:rPr>
              <w:t>Tolerance</w:t>
            </w:r>
          </w:p>
        </w:tc>
        <w:tc>
          <w:tcPr>
            <w:tcW w:w="1011" w:type="dxa"/>
            <w:tcBorders>
              <w:top w:val="single" w:sz="4" w:space="0" w:color="auto"/>
              <w:bottom w:val="single" w:sz="4" w:space="0" w:color="auto"/>
            </w:tcBorders>
            <w:shd w:val="clear" w:color="auto" w:fill="auto"/>
          </w:tcPr>
          <w:p w14:paraId="550EB25B" w14:textId="77777777" w:rsidR="000F34E2" w:rsidRPr="000F34E2" w:rsidRDefault="000F34E2" w:rsidP="000F34E2">
            <w:pPr>
              <w:jc w:val="center"/>
              <w:rPr>
                <w:rFonts w:ascii="Arial" w:hAnsi="Arial" w:cs="Arial"/>
                <w:b/>
                <w:bCs/>
                <w:color w:val="000000"/>
                <w:lang w:val="sv-SE" w:eastAsia="en-SG"/>
              </w:rPr>
            </w:pPr>
            <w:r w:rsidRPr="000F34E2">
              <w:rPr>
                <w:rFonts w:ascii="Arial" w:hAnsi="Arial" w:cs="Arial"/>
                <w:b/>
                <w:bCs/>
                <w:color w:val="000000"/>
                <w:lang w:val="sv-SE" w:eastAsia="en-SG"/>
              </w:rPr>
              <w:t>VIF</w:t>
            </w:r>
          </w:p>
        </w:tc>
      </w:tr>
      <w:tr w:rsidR="000F34E2" w:rsidRPr="000F34E2" w14:paraId="3D1E4975" w14:textId="77777777" w:rsidTr="001D03F3">
        <w:trPr>
          <w:jc w:val="center"/>
        </w:trPr>
        <w:tc>
          <w:tcPr>
            <w:tcW w:w="961" w:type="dxa"/>
            <w:tcBorders>
              <w:top w:val="single" w:sz="4" w:space="0" w:color="auto"/>
            </w:tcBorders>
            <w:shd w:val="clear" w:color="auto" w:fill="auto"/>
          </w:tcPr>
          <w:p w14:paraId="52E4EED2"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CR</w:t>
            </w:r>
          </w:p>
        </w:tc>
        <w:tc>
          <w:tcPr>
            <w:tcW w:w="1147" w:type="dxa"/>
            <w:tcBorders>
              <w:top w:val="single" w:sz="4" w:space="0" w:color="auto"/>
            </w:tcBorders>
            <w:shd w:val="clear" w:color="auto" w:fill="auto"/>
          </w:tcPr>
          <w:p w14:paraId="33AAC85B" w14:textId="39AE3D48"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894</w:t>
            </w:r>
          </w:p>
        </w:tc>
        <w:tc>
          <w:tcPr>
            <w:tcW w:w="1011" w:type="dxa"/>
            <w:tcBorders>
              <w:top w:val="single" w:sz="4" w:space="0" w:color="auto"/>
            </w:tcBorders>
            <w:shd w:val="clear" w:color="auto" w:fill="auto"/>
          </w:tcPr>
          <w:p w14:paraId="39D50B46"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1.119</w:t>
            </w:r>
          </w:p>
        </w:tc>
      </w:tr>
      <w:tr w:rsidR="000F34E2" w:rsidRPr="000F34E2" w14:paraId="307EA3EF" w14:textId="77777777" w:rsidTr="001D03F3">
        <w:trPr>
          <w:jc w:val="center"/>
        </w:trPr>
        <w:tc>
          <w:tcPr>
            <w:tcW w:w="961" w:type="dxa"/>
            <w:shd w:val="clear" w:color="auto" w:fill="auto"/>
          </w:tcPr>
          <w:p w14:paraId="4DF4DCDA"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DAR</w:t>
            </w:r>
          </w:p>
        </w:tc>
        <w:tc>
          <w:tcPr>
            <w:tcW w:w="1147" w:type="dxa"/>
            <w:shd w:val="clear" w:color="auto" w:fill="auto"/>
          </w:tcPr>
          <w:p w14:paraId="45C97EBF" w14:textId="60E6F171"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850</w:t>
            </w:r>
          </w:p>
        </w:tc>
        <w:tc>
          <w:tcPr>
            <w:tcW w:w="1011" w:type="dxa"/>
            <w:shd w:val="clear" w:color="auto" w:fill="auto"/>
          </w:tcPr>
          <w:p w14:paraId="5E104046"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1.176</w:t>
            </w:r>
          </w:p>
        </w:tc>
      </w:tr>
      <w:tr w:rsidR="000F34E2" w:rsidRPr="000F34E2" w14:paraId="09D8BE65" w14:textId="77777777" w:rsidTr="001D03F3">
        <w:trPr>
          <w:jc w:val="center"/>
        </w:trPr>
        <w:tc>
          <w:tcPr>
            <w:tcW w:w="961" w:type="dxa"/>
            <w:shd w:val="clear" w:color="auto" w:fill="auto"/>
          </w:tcPr>
          <w:p w14:paraId="0563CDE3"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TATO</w:t>
            </w:r>
          </w:p>
        </w:tc>
        <w:tc>
          <w:tcPr>
            <w:tcW w:w="1147" w:type="dxa"/>
            <w:shd w:val="clear" w:color="auto" w:fill="auto"/>
          </w:tcPr>
          <w:p w14:paraId="60DE2A92" w14:textId="47B3FDB0"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923</w:t>
            </w:r>
          </w:p>
        </w:tc>
        <w:tc>
          <w:tcPr>
            <w:tcW w:w="1011" w:type="dxa"/>
            <w:shd w:val="clear" w:color="auto" w:fill="auto"/>
          </w:tcPr>
          <w:p w14:paraId="46140A37"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1.084</w:t>
            </w:r>
          </w:p>
        </w:tc>
      </w:tr>
      <w:tr w:rsidR="000F34E2" w:rsidRPr="000F34E2" w14:paraId="449AD2A7" w14:textId="77777777" w:rsidTr="001D03F3">
        <w:trPr>
          <w:jc w:val="center"/>
        </w:trPr>
        <w:tc>
          <w:tcPr>
            <w:tcW w:w="961" w:type="dxa"/>
            <w:shd w:val="clear" w:color="auto" w:fill="auto"/>
          </w:tcPr>
          <w:p w14:paraId="5B0CD712"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NPM</w:t>
            </w:r>
          </w:p>
        </w:tc>
        <w:tc>
          <w:tcPr>
            <w:tcW w:w="1147" w:type="dxa"/>
            <w:shd w:val="clear" w:color="auto" w:fill="auto"/>
          </w:tcPr>
          <w:p w14:paraId="16A3B817" w14:textId="39771AEF"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852</w:t>
            </w:r>
          </w:p>
        </w:tc>
        <w:tc>
          <w:tcPr>
            <w:tcW w:w="1011" w:type="dxa"/>
            <w:shd w:val="clear" w:color="auto" w:fill="auto"/>
          </w:tcPr>
          <w:p w14:paraId="21DA0913"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1.174</w:t>
            </w:r>
          </w:p>
        </w:tc>
      </w:tr>
      <w:tr w:rsidR="000F34E2" w:rsidRPr="000F34E2" w14:paraId="5245AA2A" w14:textId="77777777" w:rsidTr="001D03F3">
        <w:trPr>
          <w:jc w:val="center"/>
        </w:trPr>
        <w:tc>
          <w:tcPr>
            <w:tcW w:w="961" w:type="dxa"/>
            <w:shd w:val="clear" w:color="auto" w:fill="auto"/>
          </w:tcPr>
          <w:p w14:paraId="029025B7" w14:textId="77777777" w:rsidR="000F34E2" w:rsidRPr="000F34E2" w:rsidRDefault="000F34E2" w:rsidP="000F34E2">
            <w:pPr>
              <w:jc w:val="both"/>
              <w:rPr>
                <w:rFonts w:ascii="Arial" w:hAnsi="Arial" w:cs="Arial"/>
                <w:color w:val="000000"/>
                <w:lang w:val="sv-SE" w:eastAsia="en-SG"/>
              </w:rPr>
            </w:pPr>
            <w:r w:rsidRPr="000F34E2">
              <w:rPr>
                <w:rFonts w:ascii="Arial" w:hAnsi="Arial" w:cs="Arial"/>
                <w:color w:val="000000"/>
                <w:lang w:val="sv-SE" w:eastAsia="en-SG"/>
              </w:rPr>
              <w:t>CG</w:t>
            </w:r>
          </w:p>
        </w:tc>
        <w:tc>
          <w:tcPr>
            <w:tcW w:w="1147" w:type="dxa"/>
            <w:shd w:val="clear" w:color="auto" w:fill="auto"/>
          </w:tcPr>
          <w:p w14:paraId="6F03972C" w14:textId="28103412" w:rsidR="000F34E2" w:rsidRPr="000F34E2" w:rsidRDefault="000F34E2" w:rsidP="000F34E2">
            <w:pPr>
              <w:jc w:val="center"/>
              <w:rPr>
                <w:rFonts w:ascii="Arial" w:hAnsi="Arial" w:cs="Arial"/>
                <w:color w:val="000000"/>
                <w:lang w:val="sv-SE" w:eastAsia="en-SG"/>
              </w:rPr>
            </w:pPr>
            <w:r>
              <w:rPr>
                <w:rFonts w:ascii="Arial" w:hAnsi="Arial" w:cs="Arial"/>
                <w:color w:val="000000"/>
                <w:lang w:val="sv-SE" w:eastAsia="en-SG"/>
              </w:rPr>
              <w:t>.</w:t>
            </w:r>
            <w:r w:rsidRPr="000F34E2">
              <w:rPr>
                <w:rFonts w:ascii="Arial" w:hAnsi="Arial" w:cs="Arial"/>
                <w:color w:val="000000"/>
                <w:lang w:val="sv-SE" w:eastAsia="en-SG"/>
              </w:rPr>
              <w:t>987</w:t>
            </w:r>
          </w:p>
        </w:tc>
        <w:tc>
          <w:tcPr>
            <w:tcW w:w="1011" w:type="dxa"/>
            <w:shd w:val="clear" w:color="auto" w:fill="auto"/>
          </w:tcPr>
          <w:p w14:paraId="77CB6DF1" w14:textId="77777777" w:rsidR="000F34E2" w:rsidRPr="000F34E2" w:rsidRDefault="000F34E2" w:rsidP="000F34E2">
            <w:pPr>
              <w:jc w:val="center"/>
              <w:rPr>
                <w:rFonts w:ascii="Arial" w:hAnsi="Arial" w:cs="Arial"/>
                <w:color w:val="000000"/>
                <w:lang w:val="sv-SE" w:eastAsia="en-SG"/>
              </w:rPr>
            </w:pPr>
            <w:r w:rsidRPr="000F34E2">
              <w:rPr>
                <w:rFonts w:ascii="Arial" w:hAnsi="Arial" w:cs="Arial"/>
                <w:color w:val="000000"/>
                <w:lang w:val="sv-SE" w:eastAsia="en-SG"/>
              </w:rPr>
              <w:t>1.014</w:t>
            </w:r>
          </w:p>
        </w:tc>
      </w:tr>
    </w:tbl>
    <w:p w14:paraId="559DF196" w14:textId="77777777" w:rsidR="000F34E2" w:rsidRPr="000F34E2" w:rsidRDefault="000F34E2" w:rsidP="000F34E2">
      <w:pPr>
        <w:widowControl w:val="0"/>
        <w:pBdr>
          <w:top w:val="nil"/>
          <w:left w:val="nil"/>
          <w:bottom w:val="nil"/>
          <w:right w:val="nil"/>
          <w:between w:val="nil"/>
        </w:pBdr>
        <w:ind w:firstLine="360"/>
        <w:jc w:val="both"/>
        <w:rPr>
          <w:rFonts w:ascii="Arial" w:hAnsi="Arial" w:cs="Arial"/>
          <w:color w:val="000000"/>
        </w:rPr>
      </w:pPr>
    </w:p>
    <w:p w14:paraId="2749E9A6" w14:textId="4DFFEADF"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Table 5 indicates each independent variables and the moderating variable have tolerance values &gt; </w:t>
      </w:r>
      <w:r>
        <w:rPr>
          <w:rFonts w:ascii="Arial" w:hAnsi="Arial" w:cs="Arial"/>
          <w:color w:val="000000"/>
        </w:rPr>
        <w:t>0.</w:t>
      </w:r>
      <w:r w:rsidRPr="000F34E2">
        <w:rPr>
          <w:rFonts w:ascii="Arial" w:hAnsi="Arial" w:cs="Arial"/>
          <w:color w:val="000000"/>
        </w:rPr>
        <w:t>1 and VIF values &lt; 1</w:t>
      </w:r>
      <w:r>
        <w:rPr>
          <w:rFonts w:ascii="Arial" w:hAnsi="Arial" w:cs="Arial"/>
          <w:color w:val="000000"/>
        </w:rPr>
        <w:t>0</w:t>
      </w:r>
      <w:r w:rsidRPr="000F34E2">
        <w:rPr>
          <w:rFonts w:ascii="Arial" w:hAnsi="Arial" w:cs="Arial"/>
          <w:color w:val="000000"/>
        </w:rPr>
        <w:t xml:space="preserve"> This means that there is no correlation among the independent variables, and thus no multicollinearity exists in the model.</w:t>
      </w:r>
    </w:p>
    <w:p w14:paraId="1ED20DC0" w14:textId="77777777" w:rsidR="00607285" w:rsidRPr="000F34E2" w:rsidRDefault="00607285" w:rsidP="000F34E2">
      <w:pPr>
        <w:widowControl w:val="0"/>
        <w:pBdr>
          <w:top w:val="nil"/>
          <w:left w:val="nil"/>
          <w:bottom w:val="nil"/>
          <w:right w:val="nil"/>
          <w:between w:val="nil"/>
        </w:pBdr>
        <w:ind w:firstLine="202"/>
        <w:jc w:val="both"/>
        <w:rPr>
          <w:rFonts w:ascii="Arial" w:hAnsi="Arial" w:cs="Arial"/>
          <w:color w:val="000000"/>
        </w:rPr>
      </w:pPr>
    </w:p>
    <w:p w14:paraId="59955D32" w14:textId="77777777" w:rsidR="000F34E2" w:rsidRDefault="000F34E2" w:rsidP="000F34E2">
      <w:pPr>
        <w:widowControl w:val="0"/>
        <w:pBdr>
          <w:top w:val="nil"/>
          <w:left w:val="nil"/>
          <w:bottom w:val="nil"/>
          <w:right w:val="nil"/>
          <w:between w:val="nil"/>
        </w:pBdr>
        <w:ind w:firstLine="360"/>
        <w:jc w:val="center"/>
        <w:rPr>
          <w:rFonts w:ascii="Arial" w:hAnsi="Arial" w:cs="Arial"/>
          <w:b/>
          <w:bCs/>
          <w:color w:val="000000"/>
        </w:rPr>
      </w:pPr>
      <w:r w:rsidRPr="000F34E2">
        <w:rPr>
          <w:rFonts w:ascii="Arial" w:hAnsi="Arial" w:cs="Arial"/>
          <w:b/>
          <w:bCs/>
          <w:color w:val="000000"/>
        </w:rPr>
        <w:t>Table 6</w:t>
      </w:r>
      <w:r w:rsidRPr="000F34E2">
        <w:rPr>
          <w:rFonts w:ascii="Arial" w:hAnsi="Arial" w:cs="Arial"/>
          <w:color w:val="000000"/>
        </w:rPr>
        <w:t xml:space="preserve">. </w:t>
      </w:r>
      <w:r w:rsidRPr="000F34E2">
        <w:rPr>
          <w:rFonts w:ascii="Arial" w:hAnsi="Arial" w:cs="Arial"/>
          <w:b/>
          <w:bCs/>
          <w:color w:val="000000"/>
        </w:rPr>
        <w:t>Heteroscedasticity Test</w:t>
      </w:r>
    </w:p>
    <w:p w14:paraId="1EC6D20A" w14:textId="77777777" w:rsidR="00607285" w:rsidRPr="000F34E2" w:rsidRDefault="00607285" w:rsidP="000F34E2">
      <w:pPr>
        <w:widowControl w:val="0"/>
        <w:pBdr>
          <w:top w:val="nil"/>
          <w:left w:val="nil"/>
          <w:bottom w:val="nil"/>
          <w:right w:val="nil"/>
          <w:between w:val="nil"/>
        </w:pBdr>
        <w:ind w:firstLine="360"/>
        <w:jc w:val="center"/>
        <w:rPr>
          <w:rFonts w:ascii="Arial" w:hAnsi="Arial" w:cs="Arial"/>
          <w:color w:val="000000"/>
        </w:rPr>
      </w:pPr>
    </w:p>
    <w:tbl>
      <w:tblPr>
        <w:tblW w:w="5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169"/>
        <w:gridCol w:w="1774"/>
        <w:gridCol w:w="821"/>
      </w:tblGrid>
      <w:tr w:rsidR="000F34E2" w:rsidRPr="000F34E2" w14:paraId="344D2A6F" w14:textId="77777777" w:rsidTr="00607285">
        <w:trPr>
          <w:jc w:val="center"/>
        </w:trPr>
        <w:tc>
          <w:tcPr>
            <w:tcW w:w="1705" w:type="dxa"/>
            <w:tcBorders>
              <w:bottom w:val="single" w:sz="4" w:space="0" w:color="auto"/>
            </w:tcBorders>
            <w:shd w:val="clear" w:color="auto" w:fill="auto"/>
            <w:vAlign w:val="center"/>
          </w:tcPr>
          <w:p w14:paraId="5225237A" w14:textId="77777777" w:rsidR="000F34E2" w:rsidRPr="000F34E2" w:rsidRDefault="000F34E2" w:rsidP="000F34E2">
            <w:pPr>
              <w:ind w:right="-73"/>
              <w:jc w:val="both"/>
              <w:rPr>
                <w:rFonts w:ascii="Arial" w:hAnsi="Arial" w:cs="Arial"/>
                <w:b/>
                <w:bCs/>
                <w:lang w:val="es-ES"/>
              </w:rPr>
            </w:pPr>
            <w:proofErr w:type="spellStart"/>
            <w:r w:rsidRPr="000F34E2">
              <w:rPr>
                <w:rFonts w:ascii="Arial" w:hAnsi="Arial" w:cs="Arial"/>
                <w:color w:val="000000"/>
              </w:rPr>
              <w:t>Obs</w:t>
            </w:r>
            <w:proofErr w:type="spellEnd"/>
            <w:r w:rsidRPr="000F34E2">
              <w:rPr>
                <w:rFonts w:ascii="Arial" w:hAnsi="Arial" w:cs="Arial"/>
                <w:color w:val="000000"/>
              </w:rPr>
              <w:t>*R-</w:t>
            </w:r>
            <w:r w:rsidRPr="000F34E2">
              <w:rPr>
                <w:rFonts w:ascii="Arial" w:hAnsi="Arial" w:cs="Arial"/>
                <w:color w:val="000000"/>
                <w:lang w:val="sv-SE" w:eastAsia="en-SG"/>
              </w:rPr>
              <w:t>squared</w:t>
            </w:r>
          </w:p>
        </w:tc>
        <w:tc>
          <w:tcPr>
            <w:tcW w:w="1169" w:type="dxa"/>
            <w:tcBorders>
              <w:bottom w:val="single" w:sz="4" w:space="0" w:color="auto"/>
            </w:tcBorders>
            <w:shd w:val="clear" w:color="auto" w:fill="auto"/>
            <w:vAlign w:val="center"/>
          </w:tcPr>
          <w:p w14:paraId="75CED0C4" w14:textId="1589EA2B" w:rsidR="000F34E2" w:rsidRPr="000F34E2" w:rsidRDefault="000F34E2" w:rsidP="000F34E2">
            <w:pPr>
              <w:jc w:val="center"/>
              <w:rPr>
                <w:rFonts w:ascii="Arial" w:hAnsi="Arial" w:cs="Arial"/>
                <w:b/>
                <w:bCs/>
                <w:lang w:val="es-ES"/>
              </w:rPr>
            </w:pPr>
            <w:r w:rsidRPr="000F34E2">
              <w:rPr>
                <w:rFonts w:ascii="Arial" w:hAnsi="Arial" w:cs="Arial"/>
                <w:color w:val="000000"/>
              </w:rPr>
              <w:t>1</w:t>
            </w:r>
            <w:r>
              <w:rPr>
                <w:rFonts w:ascii="Arial" w:hAnsi="Arial" w:cs="Arial"/>
                <w:color w:val="000000"/>
              </w:rPr>
              <w:t>0  .</w:t>
            </w:r>
            <w:r w:rsidRPr="000F34E2">
              <w:rPr>
                <w:rFonts w:ascii="Arial" w:hAnsi="Arial" w:cs="Arial"/>
                <w:color w:val="000000"/>
                <w:lang w:val="sv-SE" w:eastAsia="en-SG"/>
              </w:rPr>
              <w:t>25207</w:t>
            </w:r>
          </w:p>
        </w:tc>
        <w:tc>
          <w:tcPr>
            <w:tcW w:w="1774" w:type="dxa"/>
            <w:tcBorders>
              <w:bottom w:val="single" w:sz="4" w:space="0" w:color="auto"/>
            </w:tcBorders>
            <w:shd w:val="clear" w:color="auto" w:fill="auto"/>
            <w:vAlign w:val="center"/>
          </w:tcPr>
          <w:p w14:paraId="1A2BDA0E" w14:textId="77777777" w:rsidR="000F34E2" w:rsidRPr="000F34E2" w:rsidRDefault="000F34E2" w:rsidP="000F34E2">
            <w:pPr>
              <w:jc w:val="both"/>
              <w:rPr>
                <w:rFonts w:ascii="Arial" w:hAnsi="Arial" w:cs="Arial"/>
                <w:b/>
                <w:bCs/>
                <w:lang w:val="es-ES"/>
              </w:rPr>
            </w:pPr>
            <w:r w:rsidRPr="000F34E2">
              <w:rPr>
                <w:rFonts w:ascii="Arial" w:hAnsi="Arial" w:cs="Arial"/>
                <w:color w:val="000000"/>
                <w:lang w:val="sv-SE" w:eastAsia="en-SG"/>
              </w:rPr>
              <w:t>Prob</w:t>
            </w:r>
            <w:r w:rsidRPr="000F34E2">
              <w:rPr>
                <w:rFonts w:ascii="Arial" w:hAnsi="Arial" w:cs="Arial"/>
                <w:color w:val="000000"/>
              </w:rPr>
              <w:t>. Chi-Square</w:t>
            </w:r>
          </w:p>
        </w:tc>
        <w:tc>
          <w:tcPr>
            <w:tcW w:w="821" w:type="dxa"/>
            <w:tcBorders>
              <w:bottom w:val="single" w:sz="4" w:space="0" w:color="auto"/>
            </w:tcBorders>
            <w:shd w:val="clear" w:color="auto" w:fill="auto"/>
            <w:vAlign w:val="center"/>
          </w:tcPr>
          <w:p w14:paraId="1F58FF77" w14:textId="4382BF49" w:rsidR="000F34E2" w:rsidRPr="000F34E2" w:rsidRDefault="000F34E2" w:rsidP="000F34E2">
            <w:pPr>
              <w:jc w:val="center"/>
              <w:rPr>
                <w:rFonts w:ascii="Arial" w:hAnsi="Arial" w:cs="Arial"/>
                <w:b/>
                <w:bCs/>
                <w:lang w:val="es-ES"/>
              </w:rPr>
            </w:pPr>
            <w:r>
              <w:rPr>
                <w:rFonts w:ascii="Arial" w:hAnsi="Arial" w:cs="Arial"/>
                <w:color w:val="000000"/>
              </w:rPr>
              <w:t>.</w:t>
            </w:r>
            <w:r w:rsidRPr="000F34E2">
              <w:rPr>
                <w:rFonts w:ascii="Arial" w:hAnsi="Arial" w:cs="Arial"/>
                <w:color w:val="000000"/>
              </w:rPr>
              <w:t>0684</w:t>
            </w:r>
          </w:p>
        </w:tc>
      </w:tr>
    </w:tbl>
    <w:p w14:paraId="0F61B2A1" w14:textId="77777777" w:rsidR="000F34E2" w:rsidRPr="000F34E2" w:rsidRDefault="000F34E2" w:rsidP="000F34E2">
      <w:pPr>
        <w:widowControl w:val="0"/>
        <w:pBdr>
          <w:top w:val="nil"/>
          <w:left w:val="nil"/>
          <w:bottom w:val="nil"/>
          <w:right w:val="nil"/>
          <w:between w:val="nil"/>
        </w:pBdr>
        <w:ind w:firstLine="360"/>
        <w:jc w:val="center"/>
        <w:rPr>
          <w:rFonts w:ascii="Arial" w:hAnsi="Arial" w:cs="Arial"/>
          <w:color w:val="000000"/>
        </w:rPr>
      </w:pPr>
    </w:p>
    <w:p w14:paraId="320E76D9" w14:textId="778F3BE3" w:rsid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Based on table 6, the Prob. Chi-Square </w:t>
      </w:r>
      <w:proofErr w:type="spellStart"/>
      <w:r w:rsidRPr="000F34E2">
        <w:rPr>
          <w:rFonts w:ascii="Arial" w:hAnsi="Arial" w:cs="Arial"/>
          <w:color w:val="000000"/>
        </w:rPr>
        <w:t>Obs</w:t>
      </w:r>
      <w:proofErr w:type="spellEnd"/>
      <w:r w:rsidRPr="000F34E2">
        <w:rPr>
          <w:rFonts w:ascii="Arial" w:hAnsi="Arial" w:cs="Arial"/>
          <w:color w:val="000000"/>
        </w:rPr>
        <w:t xml:space="preserve">*R-Square value of </w:t>
      </w:r>
      <w:r>
        <w:rPr>
          <w:rFonts w:ascii="Arial" w:hAnsi="Arial" w:cs="Arial"/>
          <w:color w:val="000000"/>
        </w:rPr>
        <w:t>.</w:t>
      </w:r>
      <w:r w:rsidRPr="000F34E2">
        <w:rPr>
          <w:rFonts w:ascii="Arial" w:hAnsi="Arial" w:cs="Arial"/>
          <w:color w:val="000000"/>
        </w:rPr>
        <w:t xml:space="preserve">0684 &gt; </w:t>
      </w:r>
      <w:r w:rsidR="00607285">
        <w:rPr>
          <w:rFonts w:ascii="Arial" w:hAnsi="Arial" w:cs="Arial"/>
          <w:color w:val="000000"/>
        </w:rPr>
        <w:t>0</w:t>
      </w:r>
      <w:r>
        <w:rPr>
          <w:rFonts w:ascii="Arial" w:hAnsi="Arial" w:cs="Arial"/>
          <w:color w:val="000000"/>
        </w:rPr>
        <w:t>.</w:t>
      </w:r>
      <w:r w:rsidRPr="000F34E2">
        <w:rPr>
          <w:rFonts w:ascii="Arial" w:hAnsi="Arial" w:cs="Arial"/>
          <w:color w:val="000000"/>
        </w:rPr>
        <w:t>05, this means that the regression model does not contain heteroscedasticity.</w:t>
      </w:r>
    </w:p>
    <w:p w14:paraId="3E139D18" w14:textId="77777777" w:rsidR="00607285" w:rsidRPr="000F34E2" w:rsidRDefault="00607285" w:rsidP="000F34E2">
      <w:pPr>
        <w:widowControl w:val="0"/>
        <w:pBdr>
          <w:top w:val="nil"/>
          <w:left w:val="nil"/>
          <w:bottom w:val="nil"/>
          <w:right w:val="nil"/>
          <w:between w:val="nil"/>
        </w:pBdr>
        <w:ind w:firstLine="202"/>
        <w:jc w:val="both"/>
        <w:rPr>
          <w:rFonts w:ascii="Arial" w:hAnsi="Arial" w:cs="Arial"/>
          <w:color w:val="000000"/>
        </w:rPr>
      </w:pPr>
    </w:p>
    <w:p w14:paraId="6FF22AB0" w14:textId="77777777" w:rsidR="000F34E2" w:rsidRDefault="000F34E2" w:rsidP="000F34E2">
      <w:pPr>
        <w:widowControl w:val="0"/>
        <w:pBdr>
          <w:top w:val="nil"/>
          <w:left w:val="nil"/>
          <w:bottom w:val="nil"/>
          <w:right w:val="nil"/>
          <w:between w:val="nil"/>
        </w:pBdr>
        <w:ind w:firstLine="360"/>
        <w:jc w:val="center"/>
        <w:rPr>
          <w:rFonts w:ascii="Arial" w:hAnsi="Arial" w:cs="Arial"/>
          <w:b/>
          <w:bCs/>
          <w:color w:val="000000"/>
        </w:rPr>
      </w:pPr>
      <w:r w:rsidRPr="000F34E2">
        <w:rPr>
          <w:rFonts w:ascii="Arial" w:hAnsi="Arial" w:cs="Arial"/>
          <w:b/>
          <w:bCs/>
          <w:color w:val="000000"/>
          <w:lang w:val="sv-SE"/>
        </w:rPr>
        <w:t>Table 7.</w:t>
      </w:r>
      <w:r w:rsidRPr="000F34E2">
        <w:rPr>
          <w:rFonts w:ascii="Arial" w:hAnsi="Arial" w:cs="Arial"/>
          <w:color w:val="000000"/>
          <w:lang w:val="sv-SE"/>
        </w:rPr>
        <w:t xml:space="preserve"> </w:t>
      </w:r>
      <w:r w:rsidRPr="000F34E2">
        <w:rPr>
          <w:rFonts w:ascii="Arial" w:hAnsi="Arial" w:cs="Arial"/>
          <w:b/>
          <w:bCs/>
          <w:color w:val="000000"/>
        </w:rPr>
        <w:t>Autocorrelation Test</w:t>
      </w:r>
    </w:p>
    <w:p w14:paraId="5063B5C1" w14:textId="77777777" w:rsidR="00607285" w:rsidRPr="000F34E2" w:rsidRDefault="00607285" w:rsidP="000F34E2">
      <w:pPr>
        <w:widowControl w:val="0"/>
        <w:pBdr>
          <w:top w:val="nil"/>
          <w:left w:val="nil"/>
          <w:bottom w:val="nil"/>
          <w:right w:val="nil"/>
          <w:between w:val="nil"/>
        </w:pBdr>
        <w:ind w:firstLine="360"/>
        <w:jc w:val="center"/>
        <w:rPr>
          <w:rFonts w:ascii="Arial" w:hAnsi="Arial" w:cs="Arial"/>
          <w:color w:val="00000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3240"/>
      </w:tblGrid>
      <w:tr w:rsidR="000F34E2" w:rsidRPr="000F34E2" w14:paraId="3F8D5A0A" w14:textId="77777777" w:rsidTr="001D03F3">
        <w:trPr>
          <w:jc w:val="center"/>
        </w:trPr>
        <w:tc>
          <w:tcPr>
            <w:tcW w:w="2610" w:type="dxa"/>
            <w:shd w:val="clear" w:color="auto" w:fill="auto"/>
          </w:tcPr>
          <w:p w14:paraId="385C8332" w14:textId="77777777" w:rsidR="000F34E2" w:rsidRPr="000F34E2" w:rsidRDefault="000F34E2" w:rsidP="000F34E2">
            <w:pPr>
              <w:widowControl w:val="0"/>
              <w:jc w:val="center"/>
              <w:rPr>
                <w:rFonts w:ascii="Arial" w:hAnsi="Arial" w:cs="Arial"/>
                <w:b/>
                <w:bCs/>
              </w:rPr>
            </w:pPr>
            <w:r w:rsidRPr="000F34E2">
              <w:rPr>
                <w:rFonts w:ascii="Arial" w:hAnsi="Arial" w:cs="Arial"/>
                <w:b/>
                <w:bCs/>
              </w:rPr>
              <w:t>Durbin Watson</w:t>
            </w:r>
          </w:p>
        </w:tc>
        <w:tc>
          <w:tcPr>
            <w:tcW w:w="3240" w:type="dxa"/>
            <w:shd w:val="clear" w:color="auto" w:fill="auto"/>
          </w:tcPr>
          <w:p w14:paraId="5021E650" w14:textId="77777777" w:rsidR="000F34E2" w:rsidRPr="000F34E2" w:rsidRDefault="000F34E2" w:rsidP="000F34E2">
            <w:pPr>
              <w:widowControl w:val="0"/>
              <w:jc w:val="center"/>
              <w:rPr>
                <w:rFonts w:ascii="Arial" w:hAnsi="Arial" w:cs="Arial"/>
                <w:b/>
                <w:bCs/>
              </w:rPr>
            </w:pPr>
            <w:r w:rsidRPr="000F34E2">
              <w:rPr>
                <w:rFonts w:ascii="Arial" w:hAnsi="Arial" w:cs="Arial"/>
                <w:b/>
                <w:bCs/>
              </w:rPr>
              <w:t>Description</w:t>
            </w:r>
          </w:p>
        </w:tc>
      </w:tr>
      <w:tr w:rsidR="000F34E2" w:rsidRPr="000F34E2" w14:paraId="2AF03EB6" w14:textId="77777777" w:rsidTr="001D03F3">
        <w:trPr>
          <w:jc w:val="center"/>
        </w:trPr>
        <w:tc>
          <w:tcPr>
            <w:tcW w:w="2610" w:type="dxa"/>
            <w:shd w:val="clear" w:color="auto" w:fill="auto"/>
          </w:tcPr>
          <w:p w14:paraId="2CC3F658" w14:textId="77777777" w:rsidR="000F34E2" w:rsidRPr="000F34E2" w:rsidRDefault="000F34E2" w:rsidP="000F34E2">
            <w:pPr>
              <w:widowControl w:val="0"/>
              <w:jc w:val="center"/>
              <w:rPr>
                <w:rFonts w:ascii="Arial" w:hAnsi="Arial" w:cs="Arial"/>
              </w:rPr>
            </w:pPr>
            <w:r w:rsidRPr="000F34E2">
              <w:rPr>
                <w:rFonts w:ascii="Arial" w:hAnsi="Arial" w:cs="Arial"/>
              </w:rPr>
              <w:t>1.956</w:t>
            </w:r>
          </w:p>
        </w:tc>
        <w:tc>
          <w:tcPr>
            <w:tcW w:w="3240" w:type="dxa"/>
            <w:shd w:val="clear" w:color="auto" w:fill="auto"/>
          </w:tcPr>
          <w:p w14:paraId="74CE5719" w14:textId="77777777" w:rsidR="000F34E2" w:rsidRPr="000F34E2" w:rsidRDefault="000F34E2" w:rsidP="000F34E2">
            <w:pPr>
              <w:widowControl w:val="0"/>
              <w:jc w:val="center"/>
              <w:rPr>
                <w:rFonts w:ascii="Arial" w:hAnsi="Arial" w:cs="Arial"/>
              </w:rPr>
            </w:pPr>
            <w:r w:rsidRPr="000F34E2">
              <w:rPr>
                <w:rFonts w:ascii="Arial" w:hAnsi="Arial" w:cs="Arial"/>
              </w:rPr>
              <w:t>No Autocorrelation</w:t>
            </w:r>
          </w:p>
        </w:tc>
      </w:tr>
    </w:tbl>
    <w:p w14:paraId="5DA2A3DB" w14:textId="77777777" w:rsidR="000F34E2" w:rsidRPr="000F34E2" w:rsidRDefault="000F34E2" w:rsidP="000F34E2">
      <w:pPr>
        <w:widowControl w:val="0"/>
        <w:pBdr>
          <w:top w:val="nil"/>
          <w:left w:val="nil"/>
          <w:bottom w:val="nil"/>
          <w:right w:val="nil"/>
          <w:between w:val="nil"/>
        </w:pBdr>
        <w:ind w:firstLine="360"/>
        <w:jc w:val="center"/>
        <w:rPr>
          <w:rFonts w:ascii="Arial" w:hAnsi="Arial" w:cs="Arial"/>
          <w:color w:val="000000"/>
        </w:rPr>
      </w:pPr>
    </w:p>
    <w:p w14:paraId="4374FD4C" w14:textId="77777777" w:rsidR="000F34E2" w:rsidRPr="000F34E2" w:rsidRDefault="000F34E2" w:rsidP="00607285">
      <w:pPr>
        <w:widowControl w:val="0"/>
        <w:pBdr>
          <w:top w:val="nil"/>
          <w:left w:val="nil"/>
          <w:bottom w:val="nil"/>
          <w:right w:val="nil"/>
          <w:between w:val="nil"/>
        </w:pBdr>
        <w:jc w:val="both"/>
        <w:rPr>
          <w:rFonts w:ascii="Arial" w:hAnsi="Arial" w:cs="Arial"/>
          <w:color w:val="000000"/>
        </w:rPr>
      </w:pPr>
      <w:r w:rsidRPr="000F34E2">
        <w:rPr>
          <w:rFonts w:ascii="Arial" w:hAnsi="Arial" w:cs="Arial"/>
          <w:color w:val="000000"/>
        </w:rPr>
        <w:t xml:space="preserve">The results of the data analysis show that the Durbin-Watson value in the regression model is 1.956, which lies between </w:t>
      </w:r>
      <w:proofErr w:type="spellStart"/>
      <w:r w:rsidRPr="000F34E2">
        <w:rPr>
          <w:rFonts w:ascii="Arial" w:hAnsi="Arial" w:cs="Arial"/>
          <w:color w:val="000000"/>
        </w:rPr>
        <w:t>dU</w:t>
      </w:r>
      <w:proofErr w:type="spellEnd"/>
      <w:r w:rsidRPr="000F34E2">
        <w:rPr>
          <w:rFonts w:ascii="Arial" w:hAnsi="Arial" w:cs="Arial"/>
          <w:color w:val="000000"/>
        </w:rPr>
        <w:t xml:space="preserve"> and (4 – </w:t>
      </w:r>
      <w:proofErr w:type="spellStart"/>
      <w:r w:rsidRPr="000F34E2">
        <w:rPr>
          <w:rFonts w:ascii="Arial" w:hAnsi="Arial" w:cs="Arial"/>
          <w:color w:val="000000"/>
        </w:rPr>
        <w:t>dU</w:t>
      </w:r>
      <w:proofErr w:type="spellEnd"/>
      <w:r w:rsidRPr="000F34E2">
        <w:rPr>
          <w:rFonts w:ascii="Arial" w:hAnsi="Arial" w:cs="Arial"/>
          <w:color w:val="000000"/>
        </w:rPr>
        <w:t xml:space="preserve">) or 1.8040 &lt; 1.956 &lt; 4 – </w:t>
      </w:r>
      <w:proofErr w:type="spellStart"/>
      <w:r w:rsidRPr="000F34E2">
        <w:rPr>
          <w:rFonts w:ascii="Arial" w:hAnsi="Arial" w:cs="Arial"/>
          <w:color w:val="000000"/>
        </w:rPr>
        <w:t>dU</w:t>
      </w:r>
      <w:proofErr w:type="spellEnd"/>
      <w:r w:rsidRPr="000F34E2">
        <w:rPr>
          <w:rFonts w:ascii="Arial" w:hAnsi="Arial" w:cs="Arial"/>
          <w:color w:val="000000"/>
        </w:rPr>
        <w:t>, it can be concluded that no autocorrelation is present in the regression model, meaning there is no correlation among the disturbance (error) terms.</w:t>
      </w:r>
    </w:p>
    <w:p w14:paraId="76B07C72" w14:textId="77777777" w:rsidR="00A7596C" w:rsidRDefault="00A7596C" w:rsidP="00441B6F">
      <w:pPr>
        <w:pStyle w:val="Body"/>
        <w:spacing w:after="0"/>
        <w:rPr>
          <w:rFonts w:ascii="Arial" w:hAnsi="Arial" w:cs="Arial"/>
        </w:rPr>
      </w:pPr>
    </w:p>
    <w:p w14:paraId="3A32E922" w14:textId="48A6CA95" w:rsidR="00607285" w:rsidRDefault="00607285" w:rsidP="00441B6F">
      <w:pPr>
        <w:pStyle w:val="Body"/>
        <w:spacing w:after="0"/>
        <w:rPr>
          <w:rFonts w:ascii="Arial" w:hAnsi="Arial" w:cs="Arial"/>
        </w:rPr>
      </w:pPr>
      <w:r>
        <w:rPr>
          <w:rFonts w:ascii="Arial" w:hAnsi="Arial" w:cs="Arial"/>
          <w:b/>
          <w:u w:val="single"/>
        </w:rPr>
        <w:t>4</w:t>
      </w:r>
      <w:r w:rsidRPr="00902823">
        <w:rPr>
          <w:rFonts w:ascii="Arial" w:hAnsi="Arial" w:cs="Arial"/>
          <w:b/>
          <w:u w:val="single"/>
        </w:rPr>
        <w:t>.1.</w:t>
      </w:r>
      <w:r w:rsidR="00E12746">
        <w:rPr>
          <w:rFonts w:ascii="Arial" w:hAnsi="Arial" w:cs="Arial"/>
          <w:b/>
          <w:u w:val="single"/>
        </w:rPr>
        <w:t>3</w:t>
      </w:r>
      <w:r w:rsidRPr="00902823">
        <w:rPr>
          <w:rFonts w:ascii="Arial" w:hAnsi="Arial" w:cs="Arial"/>
          <w:b/>
          <w:u w:val="single"/>
        </w:rPr>
        <w:t xml:space="preserve"> </w:t>
      </w:r>
      <w:r w:rsidRPr="00607285">
        <w:rPr>
          <w:rFonts w:ascii="Arial" w:hAnsi="Arial" w:cs="Arial"/>
          <w:b/>
          <w:u w:val="single"/>
        </w:rPr>
        <w:t xml:space="preserve">Moderated </w:t>
      </w:r>
      <w:proofErr w:type="spellStart"/>
      <w:r w:rsidRPr="00607285">
        <w:rPr>
          <w:rFonts w:ascii="Arial" w:hAnsi="Arial" w:cs="Arial"/>
          <w:b/>
          <w:u w:val="single"/>
        </w:rPr>
        <w:t>Regresion</w:t>
      </w:r>
      <w:proofErr w:type="spellEnd"/>
      <w:r w:rsidRPr="00607285">
        <w:rPr>
          <w:rFonts w:ascii="Arial" w:hAnsi="Arial" w:cs="Arial"/>
          <w:b/>
          <w:u w:val="single"/>
        </w:rPr>
        <w:t xml:space="preserve"> Analysis</w:t>
      </w:r>
    </w:p>
    <w:p w14:paraId="47A83BD5" w14:textId="77777777" w:rsidR="00A7596C" w:rsidRDefault="00A7596C" w:rsidP="00441B6F">
      <w:pPr>
        <w:pStyle w:val="Body"/>
        <w:spacing w:after="0"/>
        <w:rPr>
          <w:rFonts w:ascii="Arial" w:hAnsi="Arial" w:cs="Arial"/>
        </w:rPr>
      </w:pPr>
    </w:p>
    <w:p w14:paraId="4D6705C6" w14:textId="77777777" w:rsidR="00607285" w:rsidRDefault="00607285" w:rsidP="00607285">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Moderated regression analysis is used to determine whether corporate governance can strengthen the influence of financial performance on firm value. The results of the regression equation using moderated regression analysis are as follows:</w:t>
      </w:r>
    </w:p>
    <w:p w14:paraId="39751CB4" w14:textId="77777777" w:rsidR="00607285" w:rsidRPr="00607285" w:rsidRDefault="00607285" w:rsidP="00607285">
      <w:pPr>
        <w:widowControl w:val="0"/>
        <w:pBdr>
          <w:top w:val="nil"/>
          <w:left w:val="nil"/>
          <w:bottom w:val="nil"/>
          <w:right w:val="nil"/>
          <w:between w:val="nil"/>
        </w:pBdr>
        <w:jc w:val="both"/>
        <w:rPr>
          <w:rFonts w:ascii="Arial" w:hAnsi="Arial" w:cs="Arial"/>
          <w:color w:val="000000"/>
        </w:rPr>
      </w:pPr>
    </w:p>
    <w:p w14:paraId="045566BB"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lang w:val="sv-SE"/>
        </w:rPr>
        <w:t>Table 8</w:t>
      </w:r>
      <w:r w:rsidRPr="00607285">
        <w:rPr>
          <w:rFonts w:ascii="Arial" w:hAnsi="Arial" w:cs="Arial"/>
          <w:color w:val="000000"/>
          <w:lang w:val="sv-SE"/>
        </w:rPr>
        <w:t xml:space="preserve">. </w:t>
      </w:r>
      <w:r w:rsidRPr="00607285">
        <w:rPr>
          <w:rFonts w:ascii="Arial" w:hAnsi="Arial" w:cs="Arial"/>
          <w:b/>
          <w:bCs/>
          <w:color w:val="000000"/>
        </w:rPr>
        <w:t xml:space="preserve">Moderated </w:t>
      </w:r>
      <w:proofErr w:type="spellStart"/>
      <w:r w:rsidRPr="00607285">
        <w:rPr>
          <w:rFonts w:ascii="Arial" w:hAnsi="Arial" w:cs="Arial"/>
          <w:b/>
          <w:bCs/>
          <w:color w:val="000000"/>
        </w:rPr>
        <w:t>Regresion</w:t>
      </w:r>
      <w:proofErr w:type="spellEnd"/>
      <w:r w:rsidRPr="00607285">
        <w:rPr>
          <w:rFonts w:ascii="Arial" w:hAnsi="Arial" w:cs="Arial"/>
          <w:b/>
          <w:bCs/>
          <w:color w:val="000000"/>
        </w:rPr>
        <w:t xml:space="preserve"> Analysis</w:t>
      </w:r>
    </w:p>
    <w:p w14:paraId="603078D4"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tbl>
      <w:tblPr>
        <w:tblStyle w:val="Tesis"/>
        <w:tblW w:w="8100" w:type="dxa"/>
        <w:jc w:val="center"/>
        <w:tblLayout w:type="fixed"/>
        <w:tblLook w:val="0000" w:firstRow="0" w:lastRow="0" w:firstColumn="0" w:lastColumn="0" w:noHBand="0" w:noVBand="0"/>
      </w:tblPr>
      <w:tblGrid>
        <w:gridCol w:w="360"/>
        <w:gridCol w:w="1350"/>
        <w:gridCol w:w="1170"/>
        <w:gridCol w:w="1260"/>
        <w:gridCol w:w="1620"/>
        <w:gridCol w:w="1260"/>
        <w:gridCol w:w="1080"/>
      </w:tblGrid>
      <w:tr w:rsidR="00607285" w:rsidRPr="00607285" w14:paraId="67457262"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10" w:type="dxa"/>
            <w:gridSpan w:val="2"/>
            <w:vMerge w:val="restart"/>
            <w:tcBorders>
              <w:top w:val="single" w:sz="4" w:space="0" w:color="auto"/>
              <w:bottom w:val="single" w:sz="4" w:space="0" w:color="auto"/>
            </w:tcBorders>
          </w:tcPr>
          <w:p w14:paraId="5B52D9B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Model</w:t>
            </w:r>
          </w:p>
        </w:tc>
        <w:tc>
          <w:tcPr>
            <w:tcW w:w="2430" w:type="dxa"/>
            <w:gridSpan w:val="2"/>
            <w:tcBorders>
              <w:top w:val="single" w:sz="4" w:space="0" w:color="auto"/>
              <w:bottom w:val="single" w:sz="4" w:space="0" w:color="auto"/>
            </w:tcBorders>
          </w:tcPr>
          <w:p w14:paraId="14763944"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single" w:sz="4" w:space="0" w:color="auto"/>
            </w:tcBorders>
          </w:tcPr>
          <w:p w14:paraId="167F90A4"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Standardized Coefficients</w:t>
            </w:r>
          </w:p>
        </w:tc>
        <w:tc>
          <w:tcPr>
            <w:tcW w:w="1260" w:type="dxa"/>
            <w:vMerge w:val="restart"/>
            <w:tcBorders>
              <w:top w:val="single" w:sz="4" w:space="0" w:color="auto"/>
              <w:bottom w:val="single" w:sz="4" w:space="0" w:color="auto"/>
            </w:tcBorders>
          </w:tcPr>
          <w:p w14:paraId="36DC9A20"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t</w:t>
            </w:r>
          </w:p>
        </w:tc>
        <w:tc>
          <w:tcPr>
            <w:cnfStyle w:val="000010000000" w:firstRow="0" w:lastRow="0" w:firstColumn="0" w:lastColumn="0" w:oddVBand="1" w:evenVBand="0" w:oddHBand="0" w:evenHBand="0" w:firstRowFirstColumn="0" w:firstRowLastColumn="0" w:lastRowFirstColumn="0" w:lastRowLastColumn="0"/>
            <w:tcW w:w="1080" w:type="dxa"/>
            <w:vMerge w:val="restart"/>
            <w:tcBorders>
              <w:top w:val="single" w:sz="4" w:space="0" w:color="auto"/>
              <w:bottom w:val="none" w:sz="0" w:space="0" w:color="auto"/>
            </w:tcBorders>
          </w:tcPr>
          <w:p w14:paraId="4811A075"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i/>
                <w:iCs/>
                <w:sz w:val="20"/>
                <w:szCs w:val="20"/>
              </w:rPr>
              <w:t>Sig.</w:t>
            </w:r>
          </w:p>
        </w:tc>
      </w:tr>
      <w:tr w:rsidR="00607285" w:rsidRPr="00607285" w14:paraId="0764E01A" w14:textId="77777777" w:rsidTr="001D03F3">
        <w:trPr>
          <w:jc w:val="center"/>
        </w:trPr>
        <w:tc>
          <w:tcPr>
            <w:tcW w:w="1710" w:type="dxa"/>
            <w:gridSpan w:val="2"/>
            <w:vMerge/>
            <w:tcBorders>
              <w:top w:val="single" w:sz="4" w:space="0" w:color="auto"/>
              <w:bottom w:val="single" w:sz="4" w:space="0" w:color="auto"/>
            </w:tcBorders>
          </w:tcPr>
          <w:p w14:paraId="6E41F72F" w14:textId="77777777" w:rsidR="00607285" w:rsidRPr="00607285" w:rsidRDefault="00607285" w:rsidP="00607285">
            <w:pPr>
              <w:autoSpaceDE w:val="0"/>
              <w:autoSpaceDN w:val="0"/>
              <w:adjustRightInd w:val="0"/>
              <w:ind w:firstLine="3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170" w:type="dxa"/>
            <w:tcBorders>
              <w:top w:val="single" w:sz="4" w:space="0" w:color="auto"/>
              <w:bottom w:val="single" w:sz="4" w:space="0" w:color="auto"/>
            </w:tcBorders>
          </w:tcPr>
          <w:p w14:paraId="73B4C14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tcBorders>
              <w:top w:val="single" w:sz="4" w:space="0" w:color="auto"/>
              <w:bottom w:val="single" w:sz="4" w:space="0" w:color="auto"/>
            </w:tcBorders>
          </w:tcPr>
          <w:p w14:paraId="7866CC20" w14:textId="77777777" w:rsidR="00607285" w:rsidRPr="00607285" w:rsidRDefault="00607285" w:rsidP="00607285">
            <w:pPr>
              <w:autoSpaceDE w:val="0"/>
              <w:autoSpaceDN w:val="0"/>
              <w:adjustRightInd w:val="0"/>
              <w:ind w:right="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Std. Error</w:t>
            </w:r>
          </w:p>
        </w:tc>
        <w:tc>
          <w:tcPr>
            <w:tcW w:w="1620" w:type="dxa"/>
            <w:tcBorders>
              <w:top w:val="single" w:sz="4" w:space="0" w:color="auto"/>
              <w:bottom w:val="single" w:sz="4" w:space="0" w:color="auto"/>
            </w:tcBorders>
          </w:tcPr>
          <w:p w14:paraId="1AB1EF06"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vMerge/>
            <w:tcBorders>
              <w:top w:val="single" w:sz="4" w:space="0" w:color="auto"/>
              <w:bottom w:val="single" w:sz="4" w:space="0" w:color="auto"/>
            </w:tcBorders>
          </w:tcPr>
          <w:p w14:paraId="372B7559" w14:textId="77777777" w:rsidR="00607285" w:rsidRPr="00607285" w:rsidRDefault="00607285" w:rsidP="00607285">
            <w:pPr>
              <w:autoSpaceDE w:val="0"/>
              <w:autoSpaceDN w:val="0"/>
              <w:adjustRightInd w:val="0"/>
              <w:ind w:firstLine="360"/>
              <w:jc w:val="center"/>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080" w:type="dxa"/>
            <w:vMerge/>
            <w:tcBorders>
              <w:bottom w:val="single" w:sz="4" w:space="0" w:color="auto"/>
            </w:tcBorders>
          </w:tcPr>
          <w:p w14:paraId="1941ABB4" w14:textId="77777777" w:rsidR="00607285" w:rsidRPr="00607285" w:rsidRDefault="00607285" w:rsidP="00607285">
            <w:pPr>
              <w:autoSpaceDE w:val="0"/>
              <w:autoSpaceDN w:val="0"/>
              <w:adjustRightInd w:val="0"/>
              <w:ind w:firstLine="360"/>
              <w:jc w:val="center"/>
              <w:rPr>
                <w:rFonts w:ascii="Arial" w:hAnsi="Arial" w:cs="Arial"/>
                <w:b/>
                <w:bCs/>
                <w:sz w:val="20"/>
                <w:szCs w:val="20"/>
              </w:rPr>
            </w:pPr>
          </w:p>
        </w:tc>
      </w:tr>
      <w:tr w:rsidR="00607285" w:rsidRPr="00607285" w14:paraId="149AA89C"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val="restart"/>
            <w:tcBorders>
              <w:top w:val="single" w:sz="4" w:space="0" w:color="auto"/>
              <w:bottom w:val="none" w:sz="0" w:space="0" w:color="auto"/>
            </w:tcBorders>
          </w:tcPr>
          <w:p w14:paraId="43F5F267" w14:textId="77777777" w:rsidR="00607285" w:rsidRPr="00607285" w:rsidRDefault="00607285" w:rsidP="00607285">
            <w:pPr>
              <w:autoSpaceDE w:val="0"/>
              <w:autoSpaceDN w:val="0"/>
              <w:adjustRightInd w:val="0"/>
              <w:ind w:right="60" w:firstLine="360"/>
              <w:rPr>
                <w:rFonts w:ascii="Arial" w:hAnsi="Arial" w:cs="Arial"/>
                <w:sz w:val="20"/>
                <w:szCs w:val="20"/>
              </w:rPr>
            </w:pPr>
            <w:r w:rsidRPr="00607285">
              <w:rPr>
                <w:rFonts w:ascii="Arial" w:hAnsi="Arial" w:cs="Arial"/>
                <w:sz w:val="20"/>
                <w:szCs w:val="20"/>
              </w:rPr>
              <w:t>1</w:t>
            </w:r>
          </w:p>
        </w:tc>
        <w:tc>
          <w:tcPr>
            <w:tcW w:w="1350" w:type="dxa"/>
            <w:tcBorders>
              <w:top w:val="single" w:sz="4" w:space="0" w:color="auto"/>
              <w:bottom w:val="none" w:sz="0" w:space="0" w:color="auto"/>
            </w:tcBorders>
          </w:tcPr>
          <w:p w14:paraId="4D6132A8"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(Constant)</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bottom w:val="none" w:sz="0" w:space="0" w:color="auto"/>
            </w:tcBorders>
          </w:tcPr>
          <w:p w14:paraId="24E13DAF"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-.092</w:t>
            </w:r>
          </w:p>
        </w:tc>
        <w:tc>
          <w:tcPr>
            <w:tcW w:w="1260" w:type="dxa"/>
            <w:tcBorders>
              <w:top w:val="single" w:sz="4" w:space="0" w:color="auto"/>
              <w:bottom w:val="none" w:sz="0" w:space="0" w:color="auto"/>
            </w:tcBorders>
          </w:tcPr>
          <w:p w14:paraId="70083691"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.038</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none" w:sz="0" w:space="0" w:color="auto"/>
            </w:tcBorders>
          </w:tcPr>
          <w:p w14:paraId="06224A45" w14:textId="77777777" w:rsidR="00607285" w:rsidRPr="00607285" w:rsidRDefault="00607285" w:rsidP="00607285">
            <w:pPr>
              <w:autoSpaceDE w:val="0"/>
              <w:autoSpaceDN w:val="0"/>
              <w:adjustRightInd w:val="0"/>
              <w:ind w:firstLine="360"/>
              <w:rPr>
                <w:rFonts w:ascii="Arial" w:hAnsi="Arial" w:cs="Arial"/>
                <w:sz w:val="20"/>
                <w:szCs w:val="20"/>
              </w:rPr>
            </w:pPr>
          </w:p>
        </w:tc>
        <w:tc>
          <w:tcPr>
            <w:tcW w:w="1260" w:type="dxa"/>
            <w:tcBorders>
              <w:top w:val="single" w:sz="4" w:space="0" w:color="auto"/>
              <w:bottom w:val="none" w:sz="0" w:space="0" w:color="auto"/>
            </w:tcBorders>
          </w:tcPr>
          <w:p w14:paraId="6C87FAA0"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-2.447</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bottom w:val="none" w:sz="0" w:space="0" w:color="auto"/>
            </w:tcBorders>
          </w:tcPr>
          <w:p w14:paraId="37A6C9DB"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.016</w:t>
            </w:r>
          </w:p>
        </w:tc>
      </w:tr>
      <w:tr w:rsidR="00607285" w:rsidRPr="00607285" w14:paraId="3334798B" w14:textId="77777777" w:rsidTr="001D03F3">
        <w:trPr>
          <w:jc w:val="center"/>
        </w:trPr>
        <w:tc>
          <w:tcPr>
            <w:tcW w:w="360" w:type="dxa"/>
            <w:vMerge/>
          </w:tcPr>
          <w:p w14:paraId="0C43182E"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05035656"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w:t>
            </w:r>
          </w:p>
        </w:tc>
        <w:tc>
          <w:tcPr>
            <w:tcW w:w="1170" w:type="dxa"/>
          </w:tcPr>
          <w:p w14:paraId="6C13C881"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-.063</w:t>
            </w:r>
          </w:p>
        </w:tc>
        <w:tc>
          <w:tcPr>
            <w:tcW w:w="1260" w:type="dxa"/>
          </w:tcPr>
          <w:p w14:paraId="4DFFDD98"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.010</w:t>
            </w:r>
          </w:p>
        </w:tc>
        <w:tc>
          <w:tcPr>
            <w:tcW w:w="1620" w:type="dxa"/>
          </w:tcPr>
          <w:p w14:paraId="6BE4FD3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-.228</w:t>
            </w:r>
          </w:p>
        </w:tc>
        <w:tc>
          <w:tcPr>
            <w:tcW w:w="1260" w:type="dxa"/>
          </w:tcPr>
          <w:p w14:paraId="4AD3F20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-6.289</w:t>
            </w:r>
          </w:p>
        </w:tc>
        <w:tc>
          <w:tcPr>
            <w:tcW w:w="1080" w:type="dxa"/>
          </w:tcPr>
          <w:p w14:paraId="3FF849D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2405BEB1"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7F27A02F"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2E393159"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6326E9FD"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.124</w:t>
            </w:r>
          </w:p>
        </w:tc>
        <w:tc>
          <w:tcPr>
            <w:tcW w:w="1260" w:type="dxa"/>
            <w:tcBorders>
              <w:bottom w:val="none" w:sz="0" w:space="0" w:color="auto"/>
            </w:tcBorders>
          </w:tcPr>
          <w:p w14:paraId="66EB73C3"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.009</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71C4EC6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.508</w:t>
            </w:r>
          </w:p>
        </w:tc>
        <w:tc>
          <w:tcPr>
            <w:tcW w:w="1260" w:type="dxa"/>
            <w:tcBorders>
              <w:bottom w:val="none" w:sz="0" w:space="0" w:color="auto"/>
            </w:tcBorders>
          </w:tcPr>
          <w:p w14:paraId="2AAE598E"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13.559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7DAE552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233D008E" w14:textId="77777777" w:rsidTr="001D03F3">
        <w:trPr>
          <w:jc w:val="center"/>
        </w:trPr>
        <w:tc>
          <w:tcPr>
            <w:tcW w:w="360" w:type="dxa"/>
            <w:vMerge/>
          </w:tcPr>
          <w:p w14:paraId="0B715A28"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169C5972"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w:t>
            </w:r>
          </w:p>
        </w:tc>
        <w:tc>
          <w:tcPr>
            <w:tcW w:w="1170" w:type="dxa"/>
          </w:tcPr>
          <w:p w14:paraId="072024A3"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.300</w:t>
            </w:r>
          </w:p>
        </w:tc>
        <w:tc>
          <w:tcPr>
            <w:tcW w:w="1260" w:type="dxa"/>
          </w:tcPr>
          <w:p w14:paraId="772A39D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.025</w:t>
            </w:r>
          </w:p>
        </w:tc>
        <w:tc>
          <w:tcPr>
            <w:tcW w:w="1620" w:type="dxa"/>
          </w:tcPr>
          <w:p w14:paraId="29FA930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.368</w:t>
            </w:r>
          </w:p>
        </w:tc>
        <w:tc>
          <w:tcPr>
            <w:tcW w:w="1260" w:type="dxa"/>
          </w:tcPr>
          <w:p w14:paraId="0CE82361"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11.792</w:t>
            </w:r>
          </w:p>
        </w:tc>
        <w:tc>
          <w:tcPr>
            <w:tcW w:w="1080" w:type="dxa"/>
          </w:tcPr>
          <w:p w14:paraId="40A208EB"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5365617B"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764B119D"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38EF9F8F"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5BC8FD9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-.621</w:t>
            </w:r>
          </w:p>
        </w:tc>
        <w:tc>
          <w:tcPr>
            <w:tcW w:w="1260" w:type="dxa"/>
            <w:tcBorders>
              <w:bottom w:val="none" w:sz="0" w:space="0" w:color="auto"/>
            </w:tcBorders>
          </w:tcPr>
          <w:p w14:paraId="48B5CFD1"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.075</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01F25AB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-.294</w:t>
            </w:r>
          </w:p>
        </w:tc>
        <w:tc>
          <w:tcPr>
            <w:tcW w:w="1260" w:type="dxa"/>
            <w:tcBorders>
              <w:bottom w:val="none" w:sz="0" w:space="0" w:color="auto"/>
            </w:tcBorders>
          </w:tcPr>
          <w:p w14:paraId="498F1DD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-8.269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27952AD"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03F80164" w14:textId="77777777" w:rsidTr="001D03F3">
        <w:trPr>
          <w:jc w:val="center"/>
        </w:trPr>
        <w:tc>
          <w:tcPr>
            <w:tcW w:w="360" w:type="dxa"/>
            <w:vMerge/>
          </w:tcPr>
          <w:p w14:paraId="7359931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4E6C7FF1"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CR_CG</w:t>
            </w:r>
          </w:p>
        </w:tc>
        <w:tc>
          <w:tcPr>
            <w:tcW w:w="1170" w:type="dxa"/>
          </w:tcPr>
          <w:p w14:paraId="33752F5F"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-.252</w:t>
            </w:r>
          </w:p>
        </w:tc>
        <w:tc>
          <w:tcPr>
            <w:tcW w:w="1260" w:type="dxa"/>
          </w:tcPr>
          <w:p w14:paraId="31A71BC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.071</w:t>
            </w:r>
          </w:p>
        </w:tc>
        <w:tc>
          <w:tcPr>
            <w:tcW w:w="1620" w:type="dxa"/>
          </w:tcPr>
          <w:p w14:paraId="72E1EAC6"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-.172</w:t>
            </w:r>
          </w:p>
        </w:tc>
        <w:tc>
          <w:tcPr>
            <w:tcW w:w="1260" w:type="dxa"/>
          </w:tcPr>
          <w:p w14:paraId="5FF8985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-3.539</w:t>
            </w:r>
          </w:p>
        </w:tc>
        <w:tc>
          <w:tcPr>
            <w:tcW w:w="1080" w:type="dxa"/>
          </w:tcPr>
          <w:p w14:paraId="5EF8A5A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.001</w:t>
            </w:r>
          </w:p>
        </w:tc>
      </w:tr>
      <w:tr w:rsidR="00607285" w:rsidRPr="00607285" w14:paraId="69BECFFE"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5C5A0742"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04D55615"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DAR_CG</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075414B6"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-.338</w:t>
            </w:r>
          </w:p>
        </w:tc>
        <w:tc>
          <w:tcPr>
            <w:tcW w:w="1260" w:type="dxa"/>
            <w:tcBorders>
              <w:bottom w:val="none" w:sz="0" w:space="0" w:color="auto"/>
            </w:tcBorders>
          </w:tcPr>
          <w:p w14:paraId="3FAB3C9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.066</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2741639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-.194</w:t>
            </w:r>
          </w:p>
        </w:tc>
        <w:tc>
          <w:tcPr>
            <w:tcW w:w="1260" w:type="dxa"/>
            <w:tcBorders>
              <w:bottom w:val="none" w:sz="0" w:space="0" w:color="auto"/>
            </w:tcBorders>
          </w:tcPr>
          <w:p w14:paraId="1295C0A4"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-5.102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60C1CF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32FD5155" w14:textId="77777777" w:rsidTr="001D03F3">
        <w:trPr>
          <w:jc w:val="center"/>
        </w:trPr>
        <w:tc>
          <w:tcPr>
            <w:tcW w:w="360" w:type="dxa"/>
            <w:vMerge/>
          </w:tcPr>
          <w:p w14:paraId="583E34F0"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350" w:type="dxa"/>
          </w:tcPr>
          <w:p w14:paraId="6581CA14"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TATO_CG</w:t>
            </w:r>
          </w:p>
        </w:tc>
        <w:tc>
          <w:tcPr>
            <w:tcW w:w="1170" w:type="dxa"/>
          </w:tcPr>
          <w:p w14:paraId="3F325AE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.345</w:t>
            </w:r>
          </w:p>
        </w:tc>
        <w:tc>
          <w:tcPr>
            <w:tcW w:w="1260" w:type="dxa"/>
          </w:tcPr>
          <w:p w14:paraId="09D515A6"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.167</w:t>
            </w:r>
          </w:p>
        </w:tc>
        <w:tc>
          <w:tcPr>
            <w:tcW w:w="1620" w:type="dxa"/>
          </w:tcPr>
          <w:p w14:paraId="4EAC45B7"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.111</w:t>
            </w:r>
          </w:p>
        </w:tc>
        <w:tc>
          <w:tcPr>
            <w:tcW w:w="1260" w:type="dxa"/>
          </w:tcPr>
          <w:p w14:paraId="41FB511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2.061</w:t>
            </w:r>
          </w:p>
        </w:tc>
        <w:tc>
          <w:tcPr>
            <w:tcW w:w="1080" w:type="dxa"/>
          </w:tcPr>
          <w:p w14:paraId="61632131"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.041</w:t>
            </w:r>
          </w:p>
        </w:tc>
      </w:tr>
      <w:tr w:rsidR="00607285" w:rsidRPr="00607285" w14:paraId="41A715F6"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0" w:type="dxa"/>
            <w:vMerge/>
            <w:tcBorders>
              <w:bottom w:val="none" w:sz="0" w:space="0" w:color="auto"/>
            </w:tcBorders>
          </w:tcPr>
          <w:p w14:paraId="3B25FF5F" w14:textId="77777777" w:rsidR="00607285" w:rsidRPr="00607285" w:rsidRDefault="00607285" w:rsidP="00607285">
            <w:pPr>
              <w:autoSpaceDE w:val="0"/>
              <w:autoSpaceDN w:val="0"/>
              <w:adjustRightInd w:val="0"/>
              <w:ind w:firstLine="360"/>
              <w:rPr>
                <w:rFonts w:ascii="Arial" w:hAnsi="Arial" w:cs="Arial"/>
                <w:sz w:val="20"/>
                <w:szCs w:val="20"/>
              </w:rPr>
            </w:pPr>
          </w:p>
        </w:tc>
        <w:tc>
          <w:tcPr>
            <w:tcW w:w="1350" w:type="dxa"/>
            <w:tcBorders>
              <w:bottom w:val="none" w:sz="0" w:space="0" w:color="auto"/>
            </w:tcBorders>
          </w:tcPr>
          <w:p w14:paraId="3BC2C304"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NPM_CG</w:t>
            </w:r>
          </w:p>
        </w:tc>
        <w:tc>
          <w:tcPr>
            <w:cnfStyle w:val="000010000000" w:firstRow="0" w:lastRow="0" w:firstColumn="0" w:lastColumn="0" w:oddVBand="1" w:evenVBand="0" w:oddHBand="0" w:evenHBand="0" w:firstRowFirstColumn="0" w:firstRowLastColumn="0" w:lastRowFirstColumn="0" w:lastRowLastColumn="0"/>
            <w:tcW w:w="1170" w:type="dxa"/>
            <w:tcBorders>
              <w:bottom w:val="none" w:sz="0" w:space="0" w:color="auto"/>
            </w:tcBorders>
          </w:tcPr>
          <w:p w14:paraId="39C052AF"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8.658</w:t>
            </w:r>
          </w:p>
        </w:tc>
        <w:tc>
          <w:tcPr>
            <w:tcW w:w="1260" w:type="dxa"/>
            <w:tcBorders>
              <w:bottom w:val="none" w:sz="0" w:space="0" w:color="auto"/>
            </w:tcBorders>
          </w:tcPr>
          <w:p w14:paraId="2230E270"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.533</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486B948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.735</w:t>
            </w:r>
          </w:p>
        </w:tc>
        <w:tc>
          <w:tcPr>
            <w:tcW w:w="1260" w:type="dxa"/>
            <w:tcBorders>
              <w:bottom w:val="none" w:sz="0" w:space="0" w:color="auto"/>
            </w:tcBorders>
          </w:tcPr>
          <w:p w14:paraId="622D5DC6"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16.232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01735C4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bl>
    <w:p w14:paraId="42024ADF"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p w14:paraId="2811E3FB" w14:textId="01B72C96" w:rsidR="00607285" w:rsidRPr="00607285" w:rsidRDefault="00607285" w:rsidP="00607285">
      <w:pPr>
        <w:pStyle w:val="Body"/>
        <w:spacing w:after="0"/>
        <w:rPr>
          <w:rFonts w:ascii="Arial" w:hAnsi="Arial" w:cs="Arial"/>
        </w:rPr>
      </w:pPr>
      <w:r w:rsidRPr="00607285">
        <w:rPr>
          <w:rFonts w:ascii="Arial" w:hAnsi="Arial" w:cs="Arial"/>
          <w:color w:val="000000"/>
        </w:rPr>
        <w:t xml:space="preserve">The liquidity regression coefficient (CR) has a negative value of - </w:t>
      </w:r>
      <w:r>
        <w:rPr>
          <w:rFonts w:ascii="Arial" w:hAnsi="Arial" w:cs="Arial"/>
          <w:color w:val="000000"/>
        </w:rPr>
        <w:t>.</w:t>
      </w:r>
      <w:r w:rsidRPr="00607285">
        <w:rPr>
          <w:rFonts w:ascii="Arial" w:hAnsi="Arial" w:cs="Arial"/>
          <w:color w:val="000000"/>
        </w:rPr>
        <w:t xml:space="preserve">063, indicating that there is an opposite relationship between liquidity and firm value. The leverage regression coefficient (DAR) has a positive value of </w:t>
      </w:r>
      <w:r>
        <w:rPr>
          <w:rFonts w:ascii="Arial" w:hAnsi="Arial" w:cs="Arial"/>
          <w:color w:val="000000"/>
        </w:rPr>
        <w:t>.</w:t>
      </w:r>
      <w:r w:rsidRPr="00607285">
        <w:rPr>
          <w:rFonts w:ascii="Arial" w:hAnsi="Arial" w:cs="Arial"/>
          <w:color w:val="000000"/>
        </w:rPr>
        <w:t xml:space="preserve">124, indicating that there is a unidirectional relationship between leverage and firm value. The activity regression coefficient (TATO) is positive at </w:t>
      </w:r>
      <w:r>
        <w:rPr>
          <w:rFonts w:ascii="Arial" w:hAnsi="Arial" w:cs="Arial"/>
          <w:color w:val="000000"/>
        </w:rPr>
        <w:t>.</w:t>
      </w:r>
      <w:r w:rsidRPr="00607285">
        <w:rPr>
          <w:rFonts w:ascii="Arial" w:hAnsi="Arial" w:cs="Arial"/>
          <w:color w:val="000000"/>
        </w:rPr>
        <w:t xml:space="preserve">300, indicating that there is a unidirectional relationship between activity and firm value. The profitability regression coefficient (NPM) is negative at - </w:t>
      </w:r>
      <w:r>
        <w:rPr>
          <w:rFonts w:ascii="Arial" w:hAnsi="Arial" w:cs="Arial"/>
          <w:color w:val="000000"/>
        </w:rPr>
        <w:t>.</w:t>
      </w:r>
      <w:r w:rsidRPr="00607285">
        <w:rPr>
          <w:rFonts w:ascii="Arial" w:hAnsi="Arial" w:cs="Arial"/>
          <w:color w:val="000000"/>
        </w:rPr>
        <w:t>6210, indicating that there is an opposite relationship between liquidity and firm value. The regression coefficient of liquidity (CR) and corporate governance (CG) is negative -</w:t>
      </w:r>
      <w:r>
        <w:rPr>
          <w:rFonts w:ascii="Arial" w:hAnsi="Arial" w:cs="Arial"/>
          <w:color w:val="000000"/>
        </w:rPr>
        <w:t>.</w:t>
      </w:r>
      <w:r w:rsidRPr="00607285">
        <w:rPr>
          <w:rFonts w:ascii="Arial" w:hAnsi="Arial" w:cs="Arial"/>
          <w:color w:val="000000"/>
        </w:rPr>
        <w:t>252, indicating that there is an opposite relationship between liquidity (CR) and corporate governance (CG) with firm value. The leverage (DAR) and corporate governance (CG) regression coefficient is negative -</w:t>
      </w:r>
      <w:r>
        <w:rPr>
          <w:rFonts w:ascii="Arial" w:hAnsi="Arial" w:cs="Arial"/>
          <w:color w:val="000000"/>
        </w:rPr>
        <w:t>.</w:t>
      </w:r>
      <w:r w:rsidRPr="00607285">
        <w:rPr>
          <w:rFonts w:ascii="Arial" w:hAnsi="Arial" w:cs="Arial"/>
          <w:color w:val="000000"/>
        </w:rPr>
        <w:t xml:space="preserve">338, indicating that there is an opposite relationship between leverage (DAR) and corporate governance (CG) with firm value. The regression coefficient of activity (TATO) and corporate governance (CG) is positive at </w:t>
      </w:r>
      <w:r>
        <w:rPr>
          <w:rFonts w:ascii="Arial" w:hAnsi="Arial" w:cs="Arial"/>
          <w:color w:val="000000"/>
        </w:rPr>
        <w:t>.</w:t>
      </w:r>
      <w:r w:rsidRPr="00607285">
        <w:rPr>
          <w:rFonts w:ascii="Arial" w:hAnsi="Arial" w:cs="Arial"/>
          <w:color w:val="000000"/>
        </w:rPr>
        <w:t>345, indicating that there is a unidirectional relationship between activity (TATO) and corporate governance (CG) with firm value. The regression coefficient of profitability (NPM) and corporate governance (CG) is positive at 8.658, indicating that there is a unidirectional relationship between profitability (NPM) and corporate governance (CG) with firm value.</w:t>
      </w:r>
    </w:p>
    <w:p w14:paraId="1EF313C4" w14:textId="77777777" w:rsidR="00607285" w:rsidRDefault="00607285" w:rsidP="00441B6F">
      <w:pPr>
        <w:pStyle w:val="Body"/>
        <w:spacing w:after="0"/>
        <w:rPr>
          <w:rFonts w:ascii="Arial" w:hAnsi="Arial" w:cs="Arial"/>
        </w:rPr>
      </w:pPr>
    </w:p>
    <w:p w14:paraId="3E8E2B05" w14:textId="62EB2851" w:rsidR="00607285" w:rsidRDefault="00607285" w:rsidP="00441B6F">
      <w:pPr>
        <w:pStyle w:val="Body"/>
        <w:spacing w:after="0"/>
        <w:rPr>
          <w:rFonts w:ascii="Arial" w:hAnsi="Arial" w:cs="Arial"/>
        </w:rPr>
      </w:pPr>
      <w:r>
        <w:rPr>
          <w:rFonts w:ascii="Arial" w:hAnsi="Arial" w:cs="Arial"/>
          <w:b/>
          <w:u w:val="single"/>
        </w:rPr>
        <w:t>4</w:t>
      </w:r>
      <w:r w:rsidRPr="00902823">
        <w:rPr>
          <w:rFonts w:ascii="Arial" w:hAnsi="Arial" w:cs="Arial"/>
          <w:b/>
          <w:u w:val="single"/>
        </w:rPr>
        <w:t>.1.</w:t>
      </w:r>
      <w:r w:rsidR="00E12746">
        <w:rPr>
          <w:rFonts w:ascii="Arial" w:hAnsi="Arial" w:cs="Arial"/>
          <w:b/>
          <w:u w:val="single"/>
        </w:rPr>
        <w:t>4</w:t>
      </w:r>
      <w:r w:rsidRPr="00902823">
        <w:rPr>
          <w:rFonts w:ascii="Arial" w:hAnsi="Arial" w:cs="Arial"/>
          <w:b/>
          <w:u w:val="single"/>
        </w:rPr>
        <w:t xml:space="preserve"> </w:t>
      </w:r>
      <w:r w:rsidRPr="00607285">
        <w:rPr>
          <w:rFonts w:ascii="Arial" w:hAnsi="Arial" w:cs="Arial"/>
          <w:b/>
          <w:u w:val="single"/>
        </w:rPr>
        <w:t>Hypothesis Testing</w:t>
      </w:r>
    </w:p>
    <w:p w14:paraId="6AC84074" w14:textId="77777777" w:rsidR="00607285" w:rsidRDefault="00607285" w:rsidP="00441B6F">
      <w:pPr>
        <w:pStyle w:val="Body"/>
        <w:spacing w:after="0"/>
        <w:rPr>
          <w:rFonts w:ascii="Arial" w:hAnsi="Arial" w:cs="Arial"/>
        </w:rPr>
      </w:pPr>
    </w:p>
    <w:p w14:paraId="48E5EC9F" w14:textId="45DED469" w:rsidR="00607285" w:rsidRDefault="00607285" w:rsidP="00441B6F">
      <w:pPr>
        <w:pStyle w:val="Body"/>
        <w:spacing w:after="0"/>
        <w:rPr>
          <w:rFonts w:ascii="Arial" w:hAnsi="Arial" w:cs="Arial"/>
        </w:rPr>
      </w:pPr>
      <w:r w:rsidRPr="00A7596C">
        <w:rPr>
          <w:rFonts w:ascii="Arial" w:hAnsi="Arial" w:cs="Arial"/>
          <w:color w:val="000000"/>
        </w:rPr>
        <w:t>Hypothesis testing in this study involves model feasibility test (F-test), coefficient of determination test (R²), and t-test.</w:t>
      </w:r>
      <w:r>
        <w:rPr>
          <w:rFonts w:ascii="Arial" w:hAnsi="Arial" w:cs="Arial"/>
          <w:color w:val="000000"/>
        </w:rPr>
        <w:t xml:space="preserve"> </w:t>
      </w:r>
      <w:r w:rsidRPr="00607285">
        <w:rPr>
          <w:rFonts w:ascii="Arial" w:hAnsi="Arial" w:cs="Arial"/>
          <w:color w:val="000000"/>
        </w:rPr>
        <w:t>The results of the regression equation using moderated regression analysis are as follows:</w:t>
      </w:r>
    </w:p>
    <w:p w14:paraId="7A088AF8" w14:textId="77777777" w:rsidR="00607285" w:rsidRDefault="00607285" w:rsidP="00441B6F">
      <w:pPr>
        <w:pStyle w:val="Body"/>
        <w:spacing w:after="0"/>
        <w:rPr>
          <w:rFonts w:ascii="Arial" w:hAnsi="Arial" w:cs="Arial"/>
        </w:rPr>
      </w:pPr>
    </w:p>
    <w:p w14:paraId="48828CD3"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rPr>
        <w:t>Table 9</w:t>
      </w:r>
      <w:r w:rsidRPr="00607285">
        <w:rPr>
          <w:rFonts w:ascii="Arial" w:hAnsi="Arial" w:cs="Arial"/>
          <w:color w:val="000000"/>
        </w:rPr>
        <w:t xml:space="preserve">. </w:t>
      </w:r>
      <w:r w:rsidRPr="00607285">
        <w:rPr>
          <w:rFonts w:ascii="Arial" w:hAnsi="Arial" w:cs="Arial"/>
          <w:b/>
          <w:bCs/>
          <w:color w:val="000000"/>
        </w:rPr>
        <w:t>Feasibility Test (F-Test)</w:t>
      </w:r>
    </w:p>
    <w:p w14:paraId="0DB052EE" w14:textId="77777777" w:rsidR="00607285" w:rsidRPr="00607285" w:rsidRDefault="00607285" w:rsidP="00607285">
      <w:pPr>
        <w:widowControl w:val="0"/>
        <w:pBdr>
          <w:top w:val="nil"/>
          <w:left w:val="nil"/>
          <w:bottom w:val="nil"/>
          <w:right w:val="nil"/>
          <w:between w:val="nil"/>
        </w:pBdr>
        <w:ind w:firstLine="360"/>
        <w:jc w:val="center"/>
        <w:rPr>
          <w:rFonts w:ascii="Arial" w:hAnsi="Arial" w:cs="Arial"/>
          <w:color w:val="000000"/>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6"/>
        <w:gridCol w:w="1350"/>
        <w:gridCol w:w="2334"/>
      </w:tblGrid>
      <w:tr w:rsidR="00607285" w:rsidRPr="00607285" w14:paraId="33E3DC96" w14:textId="77777777" w:rsidTr="001D03F3">
        <w:trPr>
          <w:jc w:val="center"/>
        </w:trPr>
        <w:tc>
          <w:tcPr>
            <w:tcW w:w="1356" w:type="dxa"/>
            <w:shd w:val="clear" w:color="auto" w:fill="auto"/>
          </w:tcPr>
          <w:p w14:paraId="53615278" w14:textId="77777777" w:rsidR="00607285" w:rsidRPr="00607285" w:rsidRDefault="00607285" w:rsidP="00607285">
            <w:pPr>
              <w:ind w:firstLine="360"/>
              <w:rPr>
                <w:rFonts w:ascii="Arial" w:eastAsia="Calibri" w:hAnsi="Arial" w:cs="Arial"/>
                <w:b/>
                <w:bCs/>
                <w:lang w:val="sv-SE"/>
              </w:rPr>
            </w:pPr>
            <w:r w:rsidRPr="00607285">
              <w:rPr>
                <w:rFonts w:ascii="Arial" w:eastAsia="Calibri" w:hAnsi="Arial" w:cs="Arial"/>
                <w:b/>
                <w:bCs/>
                <w:lang w:val="sv-SE"/>
              </w:rPr>
              <w:t>F</w:t>
            </w:r>
          </w:p>
        </w:tc>
        <w:tc>
          <w:tcPr>
            <w:tcW w:w="1350" w:type="dxa"/>
            <w:shd w:val="clear" w:color="auto" w:fill="auto"/>
          </w:tcPr>
          <w:p w14:paraId="57A59AF0" w14:textId="77777777" w:rsidR="00607285" w:rsidRPr="00607285" w:rsidRDefault="00607285" w:rsidP="00607285">
            <w:pPr>
              <w:ind w:firstLine="360"/>
              <w:rPr>
                <w:rFonts w:ascii="Arial" w:eastAsia="Calibri" w:hAnsi="Arial" w:cs="Arial"/>
                <w:b/>
                <w:bCs/>
                <w:lang w:val="sv-SE"/>
              </w:rPr>
            </w:pPr>
            <w:r w:rsidRPr="00607285">
              <w:rPr>
                <w:rFonts w:ascii="Arial" w:eastAsia="Calibri" w:hAnsi="Arial" w:cs="Arial"/>
                <w:b/>
                <w:bCs/>
                <w:lang w:val="sv-SE"/>
              </w:rPr>
              <w:t>Sig</w:t>
            </w:r>
          </w:p>
        </w:tc>
        <w:tc>
          <w:tcPr>
            <w:tcW w:w="2334" w:type="dxa"/>
            <w:shd w:val="clear" w:color="auto" w:fill="auto"/>
          </w:tcPr>
          <w:p w14:paraId="0735BEC2" w14:textId="77777777" w:rsidR="00607285" w:rsidRPr="00607285" w:rsidRDefault="00607285" w:rsidP="00607285">
            <w:pPr>
              <w:jc w:val="center"/>
              <w:rPr>
                <w:rFonts w:ascii="Arial" w:eastAsia="Calibri" w:hAnsi="Arial" w:cs="Arial"/>
                <w:b/>
                <w:bCs/>
                <w:lang w:val="sv-SE"/>
              </w:rPr>
            </w:pPr>
            <w:r w:rsidRPr="00607285">
              <w:rPr>
                <w:rFonts w:ascii="Arial" w:eastAsia="Calibri" w:hAnsi="Arial" w:cs="Arial"/>
                <w:b/>
                <w:bCs/>
                <w:lang w:val="sv-SE"/>
              </w:rPr>
              <w:t>Description</w:t>
            </w:r>
          </w:p>
        </w:tc>
      </w:tr>
      <w:tr w:rsidR="00607285" w:rsidRPr="00607285" w14:paraId="3C57C0D2" w14:textId="77777777" w:rsidTr="001D03F3">
        <w:trPr>
          <w:jc w:val="center"/>
        </w:trPr>
        <w:tc>
          <w:tcPr>
            <w:tcW w:w="1356" w:type="dxa"/>
            <w:shd w:val="clear" w:color="auto" w:fill="auto"/>
          </w:tcPr>
          <w:p w14:paraId="4792449A" w14:textId="77777777" w:rsidR="00607285" w:rsidRPr="00607285" w:rsidRDefault="00607285" w:rsidP="00607285">
            <w:pPr>
              <w:ind w:firstLine="360"/>
              <w:jc w:val="center"/>
              <w:rPr>
                <w:rFonts w:ascii="Arial" w:eastAsia="Calibri" w:hAnsi="Arial" w:cs="Arial"/>
                <w:lang w:val="sv-SE"/>
              </w:rPr>
            </w:pPr>
            <w:r w:rsidRPr="00607285">
              <w:rPr>
                <w:rFonts w:ascii="Arial" w:eastAsia="Calibri" w:hAnsi="Arial" w:cs="Arial"/>
                <w:lang w:val="sv-SE"/>
              </w:rPr>
              <w:t>135.936</w:t>
            </w:r>
          </w:p>
        </w:tc>
        <w:tc>
          <w:tcPr>
            <w:tcW w:w="1350" w:type="dxa"/>
            <w:shd w:val="clear" w:color="auto" w:fill="auto"/>
          </w:tcPr>
          <w:p w14:paraId="515EA72E" w14:textId="2BF6D91E" w:rsidR="00607285" w:rsidRPr="00607285" w:rsidRDefault="00607285" w:rsidP="00607285">
            <w:pPr>
              <w:ind w:firstLine="360"/>
              <w:jc w:val="center"/>
              <w:rPr>
                <w:rFonts w:ascii="Arial" w:eastAsia="Calibri" w:hAnsi="Arial" w:cs="Arial"/>
                <w:lang w:val="sv-SE"/>
              </w:rPr>
            </w:pPr>
            <w:r w:rsidRPr="00607285">
              <w:rPr>
                <w:rFonts w:ascii="Arial" w:eastAsia="Calibri" w:hAnsi="Arial" w:cs="Arial"/>
                <w:lang w:val="sv-SE"/>
              </w:rPr>
              <w:t>.000</w:t>
            </w:r>
          </w:p>
        </w:tc>
        <w:tc>
          <w:tcPr>
            <w:tcW w:w="2334" w:type="dxa"/>
            <w:shd w:val="clear" w:color="auto" w:fill="auto"/>
          </w:tcPr>
          <w:p w14:paraId="37406461" w14:textId="77777777" w:rsidR="00607285" w:rsidRPr="00607285" w:rsidRDefault="00607285" w:rsidP="00607285">
            <w:pPr>
              <w:jc w:val="center"/>
              <w:rPr>
                <w:rFonts w:ascii="Arial" w:eastAsia="Calibri" w:hAnsi="Arial" w:cs="Arial"/>
                <w:lang w:val="sv-SE"/>
              </w:rPr>
            </w:pPr>
            <w:r w:rsidRPr="00607285">
              <w:rPr>
                <w:rFonts w:ascii="Arial" w:eastAsia="Calibri" w:hAnsi="Arial" w:cs="Arial"/>
                <w:lang w:val="sv-SE"/>
              </w:rPr>
              <w:t>Appropriate for use</w:t>
            </w:r>
          </w:p>
        </w:tc>
      </w:tr>
    </w:tbl>
    <w:p w14:paraId="0D8CFB21" w14:textId="77777777" w:rsidR="00607285" w:rsidRPr="00607285" w:rsidRDefault="00607285" w:rsidP="00607285">
      <w:pPr>
        <w:widowControl w:val="0"/>
        <w:pBdr>
          <w:top w:val="nil"/>
          <w:left w:val="nil"/>
          <w:bottom w:val="nil"/>
          <w:right w:val="nil"/>
          <w:between w:val="nil"/>
        </w:pBdr>
        <w:ind w:firstLine="360"/>
        <w:jc w:val="both"/>
        <w:rPr>
          <w:rFonts w:ascii="Arial" w:hAnsi="Arial" w:cs="Arial"/>
          <w:color w:val="000000"/>
        </w:rPr>
      </w:pPr>
    </w:p>
    <w:p w14:paraId="748AD55C" w14:textId="74FA3B9D" w:rsidR="00607285" w:rsidRPr="00607285" w:rsidRDefault="00607285" w:rsidP="00434601">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The results of the model feasibility test (F test) have a calculated F value of 135.936 with a significant value of .000 &lt;0.05. This indicates that the regression model is statistically valid and appropriate for use.</w:t>
      </w:r>
    </w:p>
    <w:p w14:paraId="0D28295B" w14:textId="77777777" w:rsidR="00607285" w:rsidRDefault="00607285" w:rsidP="00607285">
      <w:pPr>
        <w:widowControl w:val="0"/>
        <w:pBdr>
          <w:top w:val="nil"/>
          <w:left w:val="nil"/>
          <w:bottom w:val="nil"/>
          <w:right w:val="nil"/>
          <w:between w:val="nil"/>
        </w:pBdr>
        <w:jc w:val="center"/>
        <w:rPr>
          <w:rFonts w:ascii="Arial" w:hAnsi="Arial" w:cs="Arial"/>
          <w:b/>
          <w:bCs/>
          <w:color w:val="000000"/>
        </w:rPr>
      </w:pPr>
      <w:r w:rsidRPr="00607285">
        <w:rPr>
          <w:rFonts w:ascii="Arial" w:hAnsi="Arial" w:cs="Arial"/>
          <w:b/>
          <w:bCs/>
          <w:color w:val="000000"/>
        </w:rPr>
        <w:t xml:space="preserve">Table 10. Coefficient of </w:t>
      </w:r>
      <w:proofErr w:type="spellStart"/>
      <w:r w:rsidRPr="00607285">
        <w:rPr>
          <w:rFonts w:ascii="Arial" w:hAnsi="Arial" w:cs="Arial"/>
          <w:b/>
          <w:bCs/>
          <w:color w:val="000000"/>
        </w:rPr>
        <w:t>DeterminationTest</w:t>
      </w:r>
      <w:proofErr w:type="spellEnd"/>
      <w:r w:rsidRPr="00607285">
        <w:rPr>
          <w:rFonts w:ascii="Arial" w:hAnsi="Arial" w:cs="Arial"/>
          <w:b/>
          <w:bCs/>
          <w:color w:val="000000"/>
        </w:rPr>
        <w:t xml:space="preserve"> (R</w:t>
      </w:r>
      <w:r w:rsidRPr="00607285">
        <w:rPr>
          <w:rFonts w:ascii="Arial" w:hAnsi="Arial" w:cs="Arial"/>
          <w:b/>
          <w:bCs/>
          <w:color w:val="000000"/>
          <w:vertAlign w:val="superscript"/>
        </w:rPr>
        <w:t>2</w:t>
      </w:r>
      <w:r w:rsidRPr="00607285">
        <w:rPr>
          <w:rFonts w:ascii="Arial" w:hAnsi="Arial" w:cs="Arial"/>
          <w:b/>
          <w:bCs/>
          <w:color w:val="000000"/>
        </w:rPr>
        <w:t xml:space="preserve"> Test)</w:t>
      </w:r>
    </w:p>
    <w:p w14:paraId="44C33140" w14:textId="77777777" w:rsidR="00434601" w:rsidRPr="00607285" w:rsidRDefault="00434601" w:rsidP="00607285">
      <w:pPr>
        <w:widowControl w:val="0"/>
        <w:pBdr>
          <w:top w:val="nil"/>
          <w:left w:val="nil"/>
          <w:bottom w:val="nil"/>
          <w:right w:val="nil"/>
          <w:between w:val="nil"/>
        </w:pBdr>
        <w:jc w:val="center"/>
        <w:rPr>
          <w:rFonts w:ascii="Arial" w:hAnsi="Arial" w:cs="Arial"/>
          <w:b/>
          <w:bCs/>
          <w:color w:val="000000"/>
        </w:rPr>
      </w:pPr>
    </w:p>
    <w:tbl>
      <w:tblPr>
        <w:tblW w:w="675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170"/>
        <w:gridCol w:w="1800"/>
        <w:gridCol w:w="2880"/>
      </w:tblGrid>
      <w:tr w:rsidR="00607285" w:rsidRPr="00607285" w14:paraId="62130854" w14:textId="77777777" w:rsidTr="001D03F3">
        <w:trPr>
          <w:jc w:val="center"/>
        </w:trPr>
        <w:tc>
          <w:tcPr>
            <w:tcW w:w="900" w:type="dxa"/>
            <w:shd w:val="clear" w:color="auto" w:fill="auto"/>
          </w:tcPr>
          <w:p w14:paraId="58C73025"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R</w:t>
            </w:r>
          </w:p>
        </w:tc>
        <w:tc>
          <w:tcPr>
            <w:tcW w:w="1170" w:type="dxa"/>
            <w:shd w:val="clear" w:color="auto" w:fill="auto"/>
          </w:tcPr>
          <w:p w14:paraId="6C8EDC19"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R Square</w:t>
            </w:r>
          </w:p>
        </w:tc>
        <w:tc>
          <w:tcPr>
            <w:tcW w:w="1800" w:type="dxa"/>
            <w:shd w:val="clear" w:color="auto" w:fill="auto"/>
          </w:tcPr>
          <w:p w14:paraId="3F9E910F"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Adj. R Square</w:t>
            </w:r>
          </w:p>
        </w:tc>
        <w:tc>
          <w:tcPr>
            <w:tcW w:w="2880" w:type="dxa"/>
            <w:shd w:val="clear" w:color="auto" w:fill="auto"/>
          </w:tcPr>
          <w:p w14:paraId="412FCE88" w14:textId="77777777" w:rsidR="00607285" w:rsidRPr="00607285" w:rsidRDefault="00607285" w:rsidP="00607285">
            <w:pPr>
              <w:autoSpaceDE w:val="0"/>
              <w:autoSpaceDN w:val="0"/>
              <w:adjustRightInd w:val="0"/>
              <w:ind w:right="60"/>
              <w:jc w:val="center"/>
              <w:rPr>
                <w:rFonts w:ascii="Arial" w:hAnsi="Arial" w:cs="Arial"/>
                <w:b/>
                <w:bCs/>
              </w:rPr>
            </w:pPr>
            <w:r w:rsidRPr="00607285">
              <w:rPr>
                <w:rFonts w:ascii="Arial" w:hAnsi="Arial" w:cs="Arial"/>
                <w:b/>
                <w:bCs/>
              </w:rPr>
              <w:t>Std. Error of the Estimate</w:t>
            </w:r>
          </w:p>
        </w:tc>
      </w:tr>
      <w:tr w:rsidR="00607285" w:rsidRPr="00607285" w14:paraId="39F61677" w14:textId="77777777" w:rsidTr="001D03F3">
        <w:trPr>
          <w:jc w:val="center"/>
        </w:trPr>
        <w:tc>
          <w:tcPr>
            <w:tcW w:w="900" w:type="dxa"/>
            <w:shd w:val="clear" w:color="auto" w:fill="auto"/>
          </w:tcPr>
          <w:p w14:paraId="0F335EF4" w14:textId="77777777" w:rsidR="00607285" w:rsidRPr="00607285" w:rsidRDefault="00607285" w:rsidP="00607285">
            <w:pPr>
              <w:autoSpaceDE w:val="0"/>
              <w:autoSpaceDN w:val="0"/>
              <w:adjustRightInd w:val="0"/>
              <w:ind w:right="60"/>
              <w:jc w:val="right"/>
              <w:rPr>
                <w:rFonts w:ascii="Arial" w:hAnsi="Arial" w:cs="Arial"/>
              </w:rPr>
            </w:pPr>
            <w:r w:rsidRPr="00607285">
              <w:rPr>
                <w:rFonts w:ascii="Arial" w:hAnsi="Arial" w:cs="Arial"/>
              </w:rPr>
              <w:t>.939</w:t>
            </w:r>
            <w:r w:rsidRPr="00607285">
              <w:rPr>
                <w:rFonts w:ascii="Arial" w:hAnsi="Arial" w:cs="Arial"/>
                <w:vertAlign w:val="superscript"/>
              </w:rPr>
              <w:t>a</w:t>
            </w:r>
          </w:p>
        </w:tc>
        <w:tc>
          <w:tcPr>
            <w:tcW w:w="1170" w:type="dxa"/>
            <w:shd w:val="clear" w:color="auto" w:fill="auto"/>
          </w:tcPr>
          <w:p w14:paraId="40CE615A" w14:textId="77777777" w:rsidR="00607285" w:rsidRPr="00607285" w:rsidRDefault="00607285" w:rsidP="00607285">
            <w:pPr>
              <w:autoSpaceDE w:val="0"/>
              <w:autoSpaceDN w:val="0"/>
              <w:adjustRightInd w:val="0"/>
              <w:ind w:right="60"/>
              <w:jc w:val="right"/>
              <w:rPr>
                <w:rFonts w:ascii="Arial" w:hAnsi="Arial" w:cs="Arial"/>
              </w:rPr>
            </w:pPr>
            <w:r w:rsidRPr="00607285">
              <w:rPr>
                <w:rFonts w:ascii="Arial" w:hAnsi="Arial" w:cs="Arial"/>
              </w:rPr>
              <w:t>.882</w:t>
            </w:r>
          </w:p>
        </w:tc>
        <w:tc>
          <w:tcPr>
            <w:tcW w:w="1800" w:type="dxa"/>
            <w:shd w:val="clear" w:color="auto" w:fill="auto"/>
          </w:tcPr>
          <w:p w14:paraId="487981B4" w14:textId="77777777" w:rsidR="00607285" w:rsidRPr="00607285" w:rsidRDefault="00607285" w:rsidP="00607285">
            <w:pPr>
              <w:autoSpaceDE w:val="0"/>
              <w:autoSpaceDN w:val="0"/>
              <w:adjustRightInd w:val="0"/>
              <w:ind w:right="60" w:firstLine="360"/>
              <w:jc w:val="right"/>
              <w:rPr>
                <w:rFonts w:ascii="Arial" w:hAnsi="Arial" w:cs="Arial"/>
              </w:rPr>
            </w:pPr>
            <w:r w:rsidRPr="00607285">
              <w:rPr>
                <w:rFonts w:ascii="Arial" w:hAnsi="Arial" w:cs="Arial"/>
              </w:rPr>
              <w:t>.876</w:t>
            </w:r>
          </w:p>
        </w:tc>
        <w:tc>
          <w:tcPr>
            <w:tcW w:w="2880" w:type="dxa"/>
            <w:shd w:val="clear" w:color="auto" w:fill="auto"/>
          </w:tcPr>
          <w:p w14:paraId="78719F38" w14:textId="77777777" w:rsidR="00607285" w:rsidRPr="00607285" w:rsidRDefault="00607285" w:rsidP="00607285">
            <w:pPr>
              <w:autoSpaceDE w:val="0"/>
              <w:autoSpaceDN w:val="0"/>
              <w:adjustRightInd w:val="0"/>
              <w:ind w:right="60" w:firstLine="360"/>
              <w:jc w:val="right"/>
              <w:rPr>
                <w:rFonts w:ascii="Arial" w:hAnsi="Arial" w:cs="Arial"/>
              </w:rPr>
            </w:pPr>
            <w:r w:rsidRPr="00607285">
              <w:rPr>
                <w:rFonts w:ascii="Arial" w:hAnsi="Arial" w:cs="Arial"/>
              </w:rPr>
              <w:t>.198526</w:t>
            </w:r>
          </w:p>
        </w:tc>
      </w:tr>
    </w:tbl>
    <w:p w14:paraId="6BF3C95E" w14:textId="77777777" w:rsidR="00434601" w:rsidRDefault="00434601" w:rsidP="00434601">
      <w:pPr>
        <w:widowControl w:val="0"/>
        <w:pBdr>
          <w:top w:val="nil"/>
          <w:left w:val="nil"/>
          <w:bottom w:val="nil"/>
          <w:right w:val="nil"/>
          <w:between w:val="nil"/>
        </w:pBdr>
        <w:jc w:val="both"/>
        <w:rPr>
          <w:rFonts w:ascii="Arial" w:hAnsi="Arial" w:cs="Arial"/>
          <w:color w:val="000000"/>
        </w:rPr>
      </w:pPr>
    </w:p>
    <w:p w14:paraId="1A0C8699" w14:textId="2857094D" w:rsidR="00607285" w:rsidRDefault="00607285" w:rsidP="00434601">
      <w:pPr>
        <w:widowControl w:val="0"/>
        <w:pBdr>
          <w:top w:val="nil"/>
          <w:left w:val="nil"/>
          <w:bottom w:val="nil"/>
          <w:right w:val="nil"/>
          <w:between w:val="nil"/>
        </w:pBdr>
        <w:jc w:val="both"/>
        <w:rPr>
          <w:rFonts w:ascii="Arial" w:hAnsi="Arial" w:cs="Arial"/>
          <w:color w:val="000000"/>
        </w:rPr>
      </w:pPr>
      <w:r w:rsidRPr="00607285">
        <w:rPr>
          <w:rFonts w:ascii="Arial" w:hAnsi="Arial" w:cs="Arial"/>
          <w:color w:val="000000"/>
        </w:rPr>
        <w:t>Based on the table above, the R Square (R²) value is .882, or 88.2%. This indicates a very strong relationship between the independent variables and the dependent variable, where 88.2% of the variation in firm value can be explained by the model, while the remaining 11.8% is influenced by other factors not examined in this study.</w:t>
      </w:r>
    </w:p>
    <w:p w14:paraId="27BB347C" w14:textId="77777777" w:rsidR="00434601" w:rsidRPr="00607285" w:rsidRDefault="00434601" w:rsidP="00434601">
      <w:pPr>
        <w:widowControl w:val="0"/>
        <w:pBdr>
          <w:top w:val="nil"/>
          <w:left w:val="nil"/>
          <w:bottom w:val="nil"/>
          <w:right w:val="nil"/>
          <w:between w:val="nil"/>
        </w:pBdr>
        <w:jc w:val="both"/>
        <w:rPr>
          <w:rFonts w:ascii="Arial" w:hAnsi="Arial" w:cs="Arial"/>
          <w:color w:val="000000"/>
        </w:rPr>
      </w:pPr>
    </w:p>
    <w:p w14:paraId="6D945CFE" w14:textId="77777777" w:rsidR="00607285" w:rsidRDefault="00607285" w:rsidP="00607285">
      <w:pPr>
        <w:widowControl w:val="0"/>
        <w:pBdr>
          <w:top w:val="nil"/>
          <w:left w:val="nil"/>
          <w:bottom w:val="nil"/>
          <w:right w:val="nil"/>
          <w:between w:val="nil"/>
        </w:pBdr>
        <w:ind w:firstLine="360"/>
        <w:jc w:val="center"/>
        <w:rPr>
          <w:rFonts w:ascii="Arial" w:hAnsi="Arial" w:cs="Arial"/>
          <w:b/>
          <w:bCs/>
          <w:color w:val="000000"/>
        </w:rPr>
      </w:pPr>
      <w:r w:rsidRPr="00607285">
        <w:rPr>
          <w:rFonts w:ascii="Arial" w:hAnsi="Arial" w:cs="Arial"/>
          <w:b/>
          <w:bCs/>
          <w:color w:val="000000"/>
        </w:rPr>
        <w:t>Table 11</w:t>
      </w:r>
      <w:r w:rsidRPr="00607285">
        <w:rPr>
          <w:rFonts w:ascii="Arial" w:hAnsi="Arial" w:cs="Arial"/>
          <w:color w:val="000000"/>
        </w:rPr>
        <w:t xml:space="preserve">. </w:t>
      </w:r>
      <w:r w:rsidRPr="00607285">
        <w:rPr>
          <w:rFonts w:ascii="Arial" w:hAnsi="Arial" w:cs="Arial"/>
          <w:b/>
          <w:bCs/>
          <w:color w:val="000000"/>
        </w:rPr>
        <w:t>Hypothesis Test (t-Test)</w:t>
      </w:r>
    </w:p>
    <w:p w14:paraId="5133E6BA" w14:textId="77777777" w:rsidR="00434601" w:rsidRPr="00607285" w:rsidRDefault="00434601" w:rsidP="00607285">
      <w:pPr>
        <w:widowControl w:val="0"/>
        <w:pBdr>
          <w:top w:val="nil"/>
          <w:left w:val="nil"/>
          <w:bottom w:val="nil"/>
          <w:right w:val="nil"/>
          <w:between w:val="nil"/>
        </w:pBdr>
        <w:ind w:firstLine="360"/>
        <w:jc w:val="center"/>
        <w:rPr>
          <w:rFonts w:ascii="Arial" w:hAnsi="Arial" w:cs="Arial"/>
          <w:color w:val="000000"/>
        </w:rPr>
      </w:pPr>
    </w:p>
    <w:tbl>
      <w:tblPr>
        <w:tblStyle w:val="Tesis"/>
        <w:tblW w:w="8550" w:type="dxa"/>
        <w:jc w:val="center"/>
        <w:tblLayout w:type="fixed"/>
        <w:tblLook w:val="0000" w:firstRow="0" w:lastRow="0" w:firstColumn="0" w:lastColumn="0" w:noHBand="0" w:noVBand="0"/>
      </w:tblPr>
      <w:tblGrid>
        <w:gridCol w:w="355"/>
        <w:gridCol w:w="1800"/>
        <w:gridCol w:w="1175"/>
        <w:gridCol w:w="1260"/>
        <w:gridCol w:w="1620"/>
        <w:gridCol w:w="1260"/>
        <w:gridCol w:w="1080"/>
      </w:tblGrid>
      <w:tr w:rsidR="00607285" w:rsidRPr="00607285" w14:paraId="56B5DDA4"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55" w:type="dxa"/>
            <w:gridSpan w:val="2"/>
            <w:vMerge w:val="restart"/>
            <w:tcBorders>
              <w:top w:val="single" w:sz="4" w:space="0" w:color="auto"/>
              <w:bottom w:val="single" w:sz="4" w:space="0" w:color="auto"/>
            </w:tcBorders>
          </w:tcPr>
          <w:p w14:paraId="6FC06C10" w14:textId="77777777" w:rsidR="00607285" w:rsidRPr="00607285" w:rsidRDefault="00607285" w:rsidP="00607285">
            <w:pPr>
              <w:autoSpaceDE w:val="0"/>
              <w:autoSpaceDN w:val="0"/>
              <w:adjustRightInd w:val="0"/>
              <w:ind w:right="60" w:firstLine="360"/>
              <w:rPr>
                <w:rFonts w:ascii="Arial" w:hAnsi="Arial" w:cs="Arial"/>
                <w:b/>
                <w:bCs/>
                <w:sz w:val="20"/>
                <w:szCs w:val="20"/>
              </w:rPr>
            </w:pPr>
            <w:r w:rsidRPr="00607285">
              <w:rPr>
                <w:rFonts w:ascii="Arial" w:hAnsi="Arial" w:cs="Arial"/>
                <w:b/>
                <w:bCs/>
                <w:sz w:val="20"/>
                <w:szCs w:val="20"/>
              </w:rPr>
              <w:t>Model</w:t>
            </w:r>
          </w:p>
        </w:tc>
        <w:tc>
          <w:tcPr>
            <w:tcW w:w="2435" w:type="dxa"/>
            <w:gridSpan w:val="2"/>
            <w:tcBorders>
              <w:top w:val="single" w:sz="4" w:space="0" w:color="auto"/>
              <w:bottom w:val="single" w:sz="4" w:space="0" w:color="auto"/>
            </w:tcBorders>
          </w:tcPr>
          <w:p w14:paraId="43FEA251"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single" w:sz="4" w:space="0" w:color="auto"/>
            </w:tcBorders>
          </w:tcPr>
          <w:p w14:paraId="1AA5C4AF" w14:textId="77777777" w:rsidR="00607285" w:rsidRPr="00607285" w:rsidRDefault="00607285" w:rsidP="00607285">
            <w:pPr>
              <w:autoSpaceDE w:val="0"/>
              <w:autoSpaceDN w:val="0"/>
              <w:adjustRightInd w:val="0"/>
              <w:ind w:right="60"/>
              <w:rPr>
                <w:rFonts w:ascii="Arial" w:hAnsi="Arial" w:cs="Arial"/>
                <w:b/>
                <w:bCs/>
                <w:sz w:val="20"/>
                <w:szCs w:val="20"/>
              </w:rPr>
            </w:pPr>
            <w:r w:rsidRPr="00607285">
              <w:rPr>
                <w:rFonts w:ascii="Arial" w:hAnsi="Arial" w:cs="Arial"/>
                <w:b/>
                <w:bCs/>
                <w:sz w:val="20"/>
                <w:szCs w:val="20"/>
              </w:rPr>
              <w:t>Standardized Coefficients</w:t>
            </w:r>
          </w:p>
        </w:tc>
        <w:tc>
          <w:tcPr>
            <w:tcW w:w="1260" w:type="dxa"/>
            <w:vMerge w:val="restart"/>
            <w:tcBorders>
              <w:top w:val="single" w:sz="4" w:space="0" w:color="auto"/>
            </w:tcBorders>
          </w:tcPr>
          <w:p w14:paraId="64773D72" w14:textId="77777777" w:rsidR="00607285" w:rsidRPr="00607285" w:rsidRDefault="00607285" w:rsidP="00607285">
            <w:pPr>
              <w:autoSpaceDE w:val="0"/>
              <w:autoSpaceDN w:val="0"/>
              <w:adjustRightInd w:val="0"/>
              <w:ind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t</w:t>
            </w:r>
          </w:p>
        </w:tc>
        <w:tc>
          <w:tcPr>
            <w:cnfStyle w:val="000010000000" w:firstRow="0" w:lastRow="0" w:firstColumn="0" w:lastColumn="0" w:oddVBand="1" w:evenVBand="0" w:oddHBand="0" w:evenHBand="0" w:firstRowFirstColumn="0" w:firstRowLastColumn="0" w:lastRowFirstColumn="0" w:lastRowLastColumn="0"/>
            <w:tcW w:w="1080" w:type="dxa"/>
            <w:vMerge w:val="restart"/>
            <w:tcBorders>
              <w:top w:val="single" w:sz="4" w:space="0" w:color="auto"/>
            </w:tcBorders>
          </w:tcPr>
          <w:p w14:paraId="4D7D3061"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i/>
                <w:iCs/>
                <w:sz w:val="20"/>
                <w:szCs w:val="20"/>
              </w:rPr>
              <w:t>Sig.</w:t>
            </w:r>
          </w:p>
        </w:tc>
      </w:tr>
      <w:tr w:rsidR="00607285" w:rsidRPr="00607285" w14:paraId="289FE835" w14:textId="77777777" w:rsidTr="001D03F3">
        <w:trPr>
          <w:jc w:val="center"/>
        </w:trPr>
        <w:tc>
          <w:tcPr>
            <w:tcW w:w="2155" w:type="dxa"/>
            <w:gridSpan w:val="2"/>
            <w:vMerge/>
            <w:tcBorders>
              <w:top w:val="single" w:sz="4" w:space="0" w:color="auto"/>
              <w:bottom w:val="single" w:sz="4" w:space="0" w:color="auto"/>
            </w:tcBorders>
          </w:tcPr>
          <w:p w14:paraId="1A04C5B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175" w:type="dxa"/>
            <w:tcBorders>
              <w:top w:val="single" w:sz="4" w:space="0" w:color="auto"/>
              <w:bottom w:val="single" w:sz="4" w:space="0" w:color="auto"/>
            </w:tcBorders>
          </w:tcPr>
          <w:p w14:paraId="44215E29" w14:textId="77777777" w:rsidR="00607285" w:rsidRPr="00607285" w:rsidRDefault="00607285" w:rsidP="00607285">
            <w:pPr>
              <w:autoSpaceDE w:val="0"/>
              <w:autoSpaceDN w:val="0"/>
              <w:adjustRightInd w:val="0"/>
              <w:ind w:right="60"/>
              <w:rPr>
                <w:rFonts w:ascii="Arial" w:hAnsi="Arial" w:cs="Arial"/>
                <w:b/>
                <w:bCs/>
                <w:sz w:val="20"/>
                <w:szCs w:val="20"/>
              </w:rPr>
            </w:pPr>
            <w:r w:rsidRPr="00607285">
              <w:rPr>
                <w:rFonts w:ascii="Arial" w:hAnsi="Arial" w:cs="Arial"/>
                <w:b/>
                <w:bCs/>
                <w:sz w:val="20"/>
                <w:szCs w:val="20"/>
              </w:rPr>
              <w:t>B</w:t>
            </w:r>
          </w:p>
        </w:tc>
        <w:tc>
          <w:tcPr>
            <w:tcW w:w="1260" w:type="dxa"/>
            <w:tcBorders>
              <w:top w:val="single" w:sz="4" w:space="0" w:color="auto"/>
              <w:bottom w:val="single" w:sz="4" w:space="0" w:color="auto"/>
            </w:tcBorders>
          </w:tcPr>
          <w:p w14:paraId="4F262795" w14:textId="77777777" w:rsidR="00607285" w:rsidRPr="00607285" w:rsidRDefault="00607285" w:rsidP="00607285">
            <w:pPr>
              <w:autoSpaceDE w:val="0"/>
              <w:autoSpaceDN w:val="0"/>
              <w:adjustRightInd w:val="0"/>
              <w:ind w:right="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r w:rsidRPr="00607285">
              <w:rPr>
                <w:rFonts w:ascii="Arial" w:hAnsi="Arial" w:cs="Arial"/>
                <w:b/>
                <w:bCs/>
                <w:sz w:val="20"/>
                <w:szCs w:val="20"/>
              </w:rPr>
              <w:t>Std. Error</w:t>
            </w:r>
          </w:p>
        </w:tc>
        <w:tc>
          <w:tcPr>
            <w:tcW w:w="1620" w:type="dxa"/>
            <w:tcBorders>
              <w:top w:val="single" w:sz="4" w:space="0" w:color="auto"/>
              <w:bottom w:val="single" w:sz="4" w:space="0" w:color="auto"/>
            </w:tcBorders>
          </w:tcPr>
          <w:p w14:paraId="05C94D0F" w14:textId="77777777" w:rsidR="00607285" w:rsidRPr="00607285" w:rsidRDefault="00607285" w:rsidP="00607285">
            <w:pPr>
              <w:autoSpaceDE w:val="0"/>
              <w:autoSpaceDN w:val="0"/>
              <w:adjustRightInd w:val="0"/>
              <w:ind w:right="60"/>
              <w:jc w:val="center"/>
              <w:rPr>
                <w:rFonts w:ascii="Arial" w:hAnsi="Arial" w:cs="Arial"/>
                <w:b/>
                <w:bCs/>
                <w:sz w:val="20"/>
                <w:szCs w:val="20"/>
              </w:rPr>
            </w:pPr>
            <w:r w:rsidRPr="00607285">
              <w:rPr>
                <w:rFonts w:ascii="Arial" w:hAnsi="Arial" w:cs="Arial"/>
                <w:b/>
                <w:bCs/>
                <w:sz w:val="20"/>
                <w:szCs w:val="20"/>
              </w:rPr>
              <w:t>B</w:t>
            </w:r>
          </w:p>
        </w:tc>
        <w:tc>
          <w:tcPr>
            <w:tcW w:w="1260" w:type="dxa"/>
            <w:vMerge/>
            <w:tcBorders>
              <w:bottom w:val="single" w:sz="4" w:space="0" w:color="auto"/>
            </w:tcBorders>
          </w:tcPr>
          <w:p w14:paraId="169DE855"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b/>
                <w:bCs/>
                <w:sz w:val="20"/>
                <w:szCs w:val="20"/>
              </w:rPr>
            </w:pPr>
          </w:p>
        </w:tc>
        <w:tc>
          <w:tcPr>
            <w:tcW w:w="1080" w:type="dxa"/>
            <w:vMerge/>
            <w:tcBorders>
              <w:bottom w:val="single" w:sz="4" w:space="0" w:color="auto"/>
            </w:tcBorders>
          </w:tcPr>
          <w:p w14:paraId="42E6BAFA" w14:textId="77777777" w:rsidR="00607285" w:rsidRPr="00607285" w:rsidRDefault="00607285" w:rsidP="00607285">
            <w:pPr>
              <w:autoSpaceDE w:val="0"/>
              <w:autoSpaceDN w:val="0"/>
              <w:adjustRightInd w:val="0"/>
              <w:ind w:firstLine="360"/>
              <w:rPr>
                <w:rFonts w:ascii="Arial" w:hAnsi="Arial" w:cs="Arial"/>
                <w:b/>
                <w:bCs/>
                <w:sz w:val="20"/>
                <w:szCs w:val="20"/>
              </w:rPr>
            </w:pPr>
          </w:p>
        </w:tc>
      </w:tr>
      <w:tr w:rsidR="00607285" w:rsidRPr="00607285" w14:paraId="307255C0"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val="restart"/>
            <w:tcBorders>
              <w:top w:val="single" w:sz="4" w:space="0" w:color="auto"/>
              <w:bottom w:val="none" w:sz="0" w:space="0" w:color="auto"/>
            </w:tcBorders>
          </w:tcPr>
          <w:p w14:paraId="199BF580" w14:textId="77777777" w:rsidR="00607285" w:rsidRPr="00607285" w:rsidRDefault="00607285" w:rsidP="00607285">
            <w:pPr>
              <w:autoSpaceDE w:val="0"/>
              <w:autoSpaceDN w:val="0"/>
              <w:adjustRightInd w:val="0"/>
              <w:ind w:right="60"/>
              <w:rPr>
                <w:rFonts w:ascii="Arial" w:hAnsi="Arial" w:cs="Arial"/>
                <w:sz w:val="20"/>
                <w:szCs w:val="20"/>
              </w:rPr>
            </w:pPr>
          </w:p>
        </w:tc>
        <w:tc>
          <w:tcPr>
            <w:tcW w:w="1800" w:type="dxa"/>
            <w:tcBorders>
              <w:top w:val="single" w:sz="4" w:space="0" w:color="auto"/>
              <w:bottom w:val="none" w:sz="0" w:space="0" w:color="auto"/>
            </w:tcBorders>
          </w:tcPr>
          <w:p w14:paraId="0F25E47A"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(Constant)</w:t>
            </w:r>
          </w:p>
        </w:tc>
        <w:tc>
          <w:tcPr>
            <w:cnfStyle w:val="000010000000" w:firstRow="0" w:lastRow="0" w:firstColumn="0" w:lastColumn="0" w:oddVBand="1" w:evenVBand="0" w:oddHBand="0" w:evenHBand="0" w:firstRowFirstColumn="0" w:firstRowLastColumn="0" w:lastRowFirstColumn="0" w:lastRowLastColumn="0"/>
            <w:tcW w:w="1175" w:type="dxa"/>
            <w:tcBorders>
              <w:top w:val="single" w:sz="4" w:space="0" w:color="auto"/>
              <w:bottom w:val="none" w:sz="0" w:space="0" w:color="auto"/>
            </w:tcBorders>
          </w:tcPr>
          <w:p w14:paraId="3BBADFE8"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-.092</w:t>
            </w:r>
          </w:p>
        </w:tc>
        <w:tc>
          <w:tcPr>
            <w:tcW w:w="1260" w:type="dxa"/>
            <w:tcBorders>
              <w:top w:val="single" w:sz="4" w:space="0" w:color="auto"/>
              <w:bottom w:val="none" w:sz="0" w:space="0" w:color="auto"/>
            </w:tcBorders>
          </w:tcPr>
          <w:p w14:paraId="0B2C9AFB"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.038</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auto"/>
              <w:bottom w:val="none" w:sz="0" w:space="0" w:color="auto"/>
            </w:tcBorders>
          </w:tcPr>
          <w:p w14:paraId="49423E8A" w14:textId="77777777" w:rsidR="00607285" w:rsidRPr="00607285" w:rsidRDefault="00607285" w:rsidP="00607285">
            <w:pPr>
              <w:autoSpaceDE w:val="0"/>
              <w:autoSpaceDN w:val="0"/>
              <w:adjustRightInd w:val="0"/>
              <w:ind w:firstLine="360"/>
              <w:rPr>
                <w:rFonts w:ascii="Arial" w:hAnsi="Arial" w:cs="Arial"/>
                <w:sz w:val="20"/>
                <w:szCs w:val="20"/>
              </w:rPr>
            </w:pPr>
          </w:p>
        </w:tc>
        <w:tc>
          <w:tcPr>
            <w:tcW w:w="1260" w:type="dxa"/>
            <w:tcBorders>
              <w:top w:val="single" w:sz="4" w:space="0" w:color="auto"/>
              <w:bottom w:val="none" w:sz="0" w:space="0" w:color="auto"/>
            </w:tcBorders>
          </w:tcPr>
          <w:p w14:paraId="0D66062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-2.447</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bottom w:val="none" w:sz="0" w:space="0" w:color="auto"/>
            </w:tcBorders>
          </w:tcPr>
          <w:p w14:paraId="1E07E89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.016</w:t>
            </w:r>
          </w:p>
        </w:tc>
      </w:tr>
      <w:tr w:rsidR="00607285" w:rsidRPr="00607285" w14:paraId="4AA319B9" w14:textId="77777777" w:rsidTr="001D03F3">
        <w:trPr>
          <w:jc w:val="center"/>
        </w:trPr>
        <w:tc>
          <w:tcPr>
            <w:tcW w:w="355" w:type="dxa"/>
            <w:vMerge/>
          </w:tcPr>
          <w:p w14:paraId="2D507461"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028D679D"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w:t>
            </w:r>
          </w:p>
        </w:tc>
        <w:tc>
          <w:tcPr>
            <w:tcW w:w="1175" w:type="dxa"/>
          </w:tcPr>
          <w:p w14:paraId="05CC924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-.063</w:t>
            </w:r>
          </w:p>
        </w:tc>
        <w:tc>
          <w:tcPr>
            <w:tcW w:w="1260" w:type="dxa"/>
          </w:tcPr>
          <w:p w14:paraId="1413A581"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.010</w:t>
            </w:r>
          </w:p>
        </w:tc>
        <w:tc>
          <w:tcPr>
            <w:tcW w:w="1620" w:type="dxa"/>
          </w:tcPr>
          <w:p w14:paraId="50C100D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-.228</w:t>
            </w:r>
          </w:p>
        </w:tc>
        <w:tc>
          <w:tcPr>
            <w:tcW w:w="1260" w:type="dxa"/>
          </w:tcPr>
          <w:p w14:paraId="1749676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-6.289</w:t>
            </w:r>
          </w:p>
        </w:tc>
        <w:tc>
          <w:tcPr>
            <w:tcW w:w="1080" w:type="dxa"/>
          </w:tcPr>
          <w:p w14:paraId="760F790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62B0E17A"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6E1EA4BF"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28A32BB9"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6D1274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.124</w:t>
            </w:r>
          </w:p>
        </w:tc>
        <w:tc>
          <w:tcPr>
            <w:tcW w:w="1260" w:type="dxa"/>
            <w:tcBorders>
              <w:bottom w:val="none" w:sz="0" w:space="0" w:color="auto"/>
            </w:tcBorders>
          </w:tcPr>
          <w:p w14:paraId="70DBDAA7"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.009</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3D60240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.508</w:t>
            </w:r>
          </w:p>
        </w:tc>
        <w:tc>
          <w:tcPr>
            <w:tcW w:w="1260" w:type="dxa"/>
            <w:tcBorders>
              <w:bottom w:val="none" w:sz="0" w:space="0" w:color="auto"/>
            </w:tcBorders>
          </w:tcPr>
          <w:p w14:paraId="2C5378B6"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13.559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94AB93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32B33363" w14:textId="77777777" w:rsidTr="001D03F3">
        <w:trPr>
          <w:jc w:val="center"/>
        </w:trPr>
        <w:tc>
          <w:tcPr>
            <w:tcW w:w="355" w:type="dxa"/>
            <w:vMerge/>
          </w:tcPr>
          <w:p w14:paraId="36C6E561"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075A8ED6"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w:t>
            </w:r>
          </w:p>
        </w:tc>
        <w:tc>
          <w:tcPr>
            <w:tcW w:w="1175" w:type="dxa"/>
          </w:tcPr>
          <w:p w14:paraId="38265DFE"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.300</w:t>
            </w:r>
          </w:p>
        </w:tc>
        <w:tc>
          <w:tcPr>
            <w:tcW w:w="1260" w:type="dxa"/>
          </w:tcPr>
          <w:p w14:paraId="32F0A03B"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.025</w:t>
            </w:r>
          </w:p>
        </w:tc>
        <w:tc>
          <w:tcPr>
            <w:tcW w:w="1620" w:type="dxa"/>
          </w:tcPr>
          <w:p w14:paraId="543FD1CC"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.368</w:t>
            </w:r>
          </w:p>
        </w:tc>
        <w:tc>
          <w:tcPr>
            <w:tcW w:w="1260" w:type="dxa"/>
          </w:tcPr>
          <w:p w14:paraId="2F605B33"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11.792</w:t>
            </w:r>
          </w:p>
        </w:tc>
        <w:tc>
          <w:tcPr>
            <w:tcW w:w="1080" w:type="dxa"/>
          </w:tcPr>
          <w:p w14:paraId="1E977012"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.000</w:t>
            </w:r>
          </w:p>
        </w:tc>
      </w:tr>
      <w:tr w:rsidR="00607285" w:rsidRPr="00607285" w14:paraId="5CE2DDB0"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1FC7366E"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387FEF28"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F06992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-.621</w:t>
            </w:r>
          </w:p>
        </w:tc>
        <w:tc>
          <w:tcPr>
            <w:tcW w:w="1260" w:type="dxa"/>
            <w:tcBorders>
              <w:bottom w:val="none" w:sz="0" w:space="0" w:color="auto"/>
            </w:tcBorders>
          </w:tcPr>
          <w:p w14:paraId="5B2EAC9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.075</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28A0BA09"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-.294</w:t>
            </w:r>
          </w:p>
        </w:tc>
        <w:tc>
          <w:tcPr>
            <w:tcW w:w="1260" w:type="dxa"/>
            <w:tcBorders>
              <w:bottom w:val="none" w:sz="0" w:space="0" w:color="auto"/>
            </w:tcBorders>
          </w:tcPr>
          <w:p w14:paraId="390DAB2F"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-8.269</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5C6D019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669C6B32" w14:textId="77777777" w:rsidTr="001D03F3">
        <w:trPr>
          <w:jc w:val="center"/>
        </w:trPr>
        <w:tc>
          <w:tcPr>
            <w:tcW w:w="355" w:type="dxa"/>
            <w:vMerge/>
          </w:tcPr>
          <w:p w14:paraId="065F8EFE"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1AFD68E3"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CR_CG</w:t>
            </w:r>
          </w:p>
        </w:tc>
        <w:tc>
          <w:tcPr>
            <w:tcW w:w="1175" w:type="dxa"/>
          </w:tcPr>
          <w:p w14:paraId="06AD924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-.252</w:t>
            </w:r>
          </w:p>
        </w:tc>
        <w:tc>
          <w:tcPr>
            <w:tcW w:w="1260" w:type="dxa"/>
          </w:tcPr>
          <w:p w14:paraId="4BD2528A"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.071</w:t>
            </w:r>
          </w:p>
        </w:tc>
        <w:tc>
          <w:tcPr>
            <w:tcW w:w="1620" w:type="dxa"/>
          </w:tcPr>
          <w:p w14:paraId="5EB5454F"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-.172</w:t>
            </w:r>
          </w:p>
        </w:tc>
        <w:tc>
          <w:tcPr>
            <w:tcW w:w="1260" w:type="dxa"/>
          </w:tcPr>
          <w:p w14:paraId="6B30C4FC"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-3.539</w:t>
            </w:r>
          </w:p>
        </w:tc>
        <w:tc>
          <w:tcPr>
            <w:tcW w:w="1080" w:type="dxa"/>
          </w:tcPr>
          <w:p w14:paraId="4901D6DB"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.001</w:t>
            </w:r>
          </w:p>
        </w:tc>
      </w:tr>
      <w:tr w:rsidR="00607285" w:rsidRPr="00607285" w14:paraId="39CEF8ED"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19C93CA0"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58278956"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DAR_CG</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7FCC7F7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-.338</w:t>
            </w:r>
          </w:p>
        </w:tc>
        <w:tc>
          <w:tcPr>
            <w:tcW w:w="1260" w:type="dxa"/>
            <w:tcBorders>
              <w:bottom w:val="none" w:sz="0" w:space="0" w:color="auto"/>
            </w:tcBorders>
          </w:tcPr>
          <w:p w14:paraId="634295D3"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.066</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0C7AB644"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-.194</w:t>
            </w:r>
          </w:p>
        </w:tc>
        <w:tc>
          <w:tcPr>
            <w:tcW w:w="1260" w:type="dxa"/>
            <w:tcBorders>
              <w:bottom w:val="none" w:sz="0" w:space="0" w:color="auto"/>
            </w:tcBorders>
          </w:tcPr>
          <w:p w14:paraId="5AAF16C8"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-5.102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0A09ECD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r w:rsidR="00607285" w:rsidRPr="00607285" w14:paraId="76F57664" w14:textId="77777777" w:rsidTr="001D03F3">
        <w:trPr>
          <w:jc w:val="center"/>
        </w:trPr>
        <w:tc>
          <w:tcPr>
            <w:tcW w:w="355" w:type="dxa"/>
            <w:vMerge/>
          </w:tcPr>
          <w:p w14:paraId="54305E42" w14:textId="77777777" w:rsidR="00607285" w:rsidRPr="00607285" w:rsidRDefault="00607285" w:rsidP="00607285">
            <w:pPr>
              <w:autoSpaceDE w:val="0"/>
              <w:autoSpaceDN w:val="0"/>
              <w:adjustRightInd w:val="0"/>
              <w:ind w:firstLine="360"/>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p>
        </w:tc>
        <w:tc>
          <w:tcPr>
            <w:tcW w:w="1800" w:type="dxa"/>
          </w:tcPr>
          <w:p w14:paraId="5E9CF2BA" w14:textId="77777777" w:rsidR="00607285" w:rsidRPr="00607285" w:rsidRDefault="00607285" w:rsidP="00607285">
            <w:pPr>
              <w:autoSpaceDE w:val="0"/>
              <w:autoSpaceDN w:val="0"/>
              <w:adjustRightInd w:val="0"/>
              <w:ind w:right="60"/>
              <w:rPr>
                <w:rFonts w:ascii="Arial" w:hAnsi="Arial" w:cs="Arial"/>
                <w:sz w:val="20"/>
                <w:szCs w:val="20"/>
              </w:rPr>
            </w:pPr>
            <w:r w:rsidRPr="00607285">
              <w:rPr>
                <w:rFonts w:ascii="Arial" w:hAnsi="Arial" w:cs="Arial"/>
                <w:sz w:val="20"/>
                <w:szCs w:val="20"/>
              </w:rPr>
              <w:t>TATO_CG</w:t>
            </w:r>
          </w:p>
        </w:tc>
        <w:tc>
          <w:tcPr>
            <w:tcW w:w="1175" w:type="dxa"/>
          </w:tcPr>
          <w:p w14:paraId="4618A0DD"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.345</w:t>
            </w:r>
          </w:p>
        </w:tc>
        <w:tc>
          <w:tcPr>
            <w:tcW w:w="1260" w:type="dxa"/>
          </w:tcPr>
          <w:p w14:paraId="39E00937"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.167</w:t>
            </w:r>
          </w:p>
        </w:tc>
        <w:tc>
          <w:tcPr>
            <w:tcW w:w="1620" w:type="dxa"/>
          </w:tcPr>
          <w:p w14:paraId="62CE4F08"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.111</w:t>
            </w:r>
          </w:p>
        </w:tc>
        <w:tc>
          <w:tcPr>
            <w:tcW w:w="1260" w:type="dxa"/>
          </w:tcPr>
          <w:p w14:paraId="1FBACDC2"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2.061</w:t>
            </w:r>
          </w:p>
        </w:tc>
        <w:tc>
          <w:tcPr>
            <w:tcW w:w="1080" w:type="dxa"/>
          </w:tcPr>
          <w:p w14:paraId="5C745BE0" w14:textId="77777777" w:rsidR="00607285" w:rsidRPr="00607285" w:rsidRDefault="00607285" w:rsidP="00607285">
            <w:pPr>
              <w:autoSpaceDE w:val="0"/>
              <w:autoSpaceDN w:val="0"/>
              <w:adjustRightInd w:val="0"/>
              <w:ind w:right="60" w:firstLine="360"/>
              <w:jc w:val="right"/>
              <w:cnfStyle w:val="000010000000" w:firstRow="0" w:lastRow="0" w:firstColumn="0" w:lastColumn="0" w:oddVBand="1" w:evenVBand="0" w:oddHBand="0" w:evenHBand="0" w:firstRowFirstColumn="0" w:firstRowLastColumn="0" w:lastRowFirstColumn="0" w:lastRowLastColumn="0"/>
              <w:rPr>
                <w:rFonts w:ascii="Arial" w:hAnsi="Arial" w:cs="Arial"/>
                <w:sz w:val="20"/>
                <w:szCs w:val="20"/>
              </w:rPr>
            </w:pPr>
            <w:r w:rsidRPr="00607285">
              <w:rPr>
                <w:rFonts w:ascii="Arial" w:hAnsi="Arial" w:cs="Arial"/>
                <w:sz w:val="20"/>
                <w:szCs w:val="20"/>
              </w:rPr>
              <w:t>.041</w:t>
            </w:r>
          </w:p>
        </w:tc>
      </w:tr>
      <w:tr w:rsidR="00607285" w:rsidRPr="00607285" w14:paraId="243D017B" w14:textId="77777777" w:rsidTr="001D03F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5" w:type="dxa"/>
            <w:vMerge/>
            <w:tcBorders>
              <w:bottom w:val="none" w:sz="0" w:space="0" w:color="auto"/>
            </w:tcBorders>
          </w:tcPr>
          <w:p w14:paraId="41CBC840" w14:textId="77777777" w:rsidR="00607285" w:rsidRPr="00607285" w:rsidRDefault="00607285" w:rsidP="00607285">
            <w:pPr>
              <w:autoSpaceDE w:val="0"/>
              <w:autoSpaceDN w:val="0"/>
              <w:adjustRightInd w:val="0"/>
              <w:ind w:firstLine="360"/>
              <w:rPr>
                <w:rFonts w:ascii="Arial" w:hAnsi="Arial" w:cs="Arial"/>
                <w:sz w:val="20"/>
                <w:szCs w:val="20"/>
              </w:rPr>
            </w:pPr>
          </w:p>
        </w:tc>
        <w:tc>
          <w:tcPr>
            <w:tcW w:w="1800" w:type="dxa"/>
            <w:tcBorders>
              <w:bottom w:val="none" w:sz="0" w:space="0" w:color="auto"/>
            </w:tcBorders>
          </w:tcPr>
          <w:p w14:paraId="41CE04B5" w14:textId="77777777" w:rsidR="00607285" w:rsidRPr="00607285" w:rsidRDefault="00607285" w:rsidP="00607285">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NPM_CG</w:t>
            </w:r>
          </w:p>
        </w:tc>
        <w:tc>
          <w:tcPr>
            <w:cnfStyle w:val="000010000000" w:firstRow="0" w:lastRow="0" w:firstColumn="0" w:lastColumn="0" w:oddVBand="1" w:evenVBand="0" w:oddHBand="0" w:evenHBand="0" w:firstRowFirstColumn="0" w:firstRowLastColumn="0" w:lastRowFirstColumn="0" w:lastRowLastColumn="0"/>
            <w:tcW w:w="1175" w:type="dxa"/>
            <w:tcBorders>
              <w:bottom w:val="none" w:sz="0" w:space="0" w:color="auto"/>
            </w:tcBorders>
          </w:tcPr>
          <w:p w14:paraId="17977C3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8.658</w:t>
            </w:r>
          </w:p>
        </w:tc>
        <w:tc>
          <w:tcPr>
            <w:tcW w:w="1260" w:type="dxa"/>
            <w:tcBorders>
              <w:bottom w:val="none" w:sz="0" w:space="0" w:color="auto"/>
            </w:tcBorders>
          </w:tcPr>
          <w:p w14:paraId="2984B8AC"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.533</w:t>
            </w:r>
          </w:p>
        </w:tc>
        <w:tc>
          <w:tcPr>
            <w:cnfStyle w:val="000010000000" w:firstRow="0" w:lastRow="0" w:firstColumn="0" w:lastColumn="0" w:oddVBand="1" w:evenVBand="0" w:oddHBand="0" w:evenHBand="0" w:firstRowFirstColumn="0" w:firstRowLastColumn="0" w:lastRowFirstColumn="0" w:lastRowLastColumn="0"/>
            <w:tcW w:w="1620" w:type="dxa"/>
            <w:tcBorders>
              <w:bottom w:val="none" w:sz="0" w:space="0" w:color="auto"/>
            </w:tcBorders>
          </w:tcPr>
          <w:p w14:paraId="63AD79E5"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.735</w:t>
            </w:r>
          </w:p>
        </w:tc>
        <w:tc>
          <w:tcPr>
            <w:tcW w:w="1260" w:type="dxa"/>
            <w:tcBorders>
              <w:bottom w:val="none" w:sz="0" w:space="0" w:color="auto"/>
            </w:tcBorders>
          </w:tcPr>
          <w:p w14:paraId="112A371D" w14:textId="77777777" w:rsidR="00607285" w:rsidRPr="00607285" w:rsidRDefault="00607285" w:rsidP="00607285">
            <w:pPr>
              <w:autoSpaceDE w:val="0"/>
              <w:autoSpaceDN w:val="0"/>
              <w:adjustRightInd w:val="0"/>
              <w:ind w:right="60" w:firstLine="36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07285">
              <w:rPr>
                <w:rFonts w:ascii="Arial" w:hAnsi="Arial" w:cs="Arial"/>
                <w:sz w:val="20"/>
                <w:szCs w:val="20"/>
              </w:rPr>
              <w:t>16.232</w:t>
            </w:r>
          </w:p>
        </w:tc>
        <w:tc>
          <w:tcPr>
            <w:cnfStyle w:val="000010000000" w:firstRow="0" w:lastRow="0" w:firstColumn="0" w:lastColumn="0" w:oddVBand="1" w:evenVBand="0" w:oddHBand="0" w:evenHBand="0" w:firstRowFirstColumn="0" w:firstRowLastColumn="0" w:lastRowFirstColumn="0" w:lastRowLastColumn="0"/>
            <w:tcW w:w="1080" w:type="dxa"/>
            <w:tcBorders>
              <w:bottom w:val="none" w:sz="0" w:space="0" w:color="auto"/>
            </w:tcBorders>
          </w:tcPr>
          <w:p w14:paraId="1B90FCC0" w14:textId="77777777" w:rsidR="00607285" w:rsidRPr="00607285" w:rsidRDefault="00607285" w:rsidP="00607285">
            <w:pPr>
              <w:autoSpaceDE w:val="0"/>
              <w:autoSpaceDN w:val="0"/>
              <w:adjustRightInd w:val="0"/>
              <w:ind w:right="60" w:firstLine="360"/>
              <w:jc w:val="right"/>
              <w:rPr>
                <w:rFonts w:ascii="Arial" w:hAnsi="Arial" w:cs="Arial"/>
                <w:sz w:val="20"/>
                <w:szCs w:val="20"/>
              </w:rPr>
            </w:pPr>
            <w:r w:rsidRPr="00607285">
              <w:rPr>
                <w:rFonts w:ascii="Arial" w:hAnsi="Arial" w:cs="Arial"/>
                <w:sz w:val="20"/>
                <w:szCs w:val="20"/>
              </w:rPr>
              <w:t>.000</w:t>
            </w:r>
          </w:p>
        </w:tc>
      </w:tr>
    </w:tbl>
    <w:p w14:paraId="698A7E64" w14:textId="77777777" w:rsidR="00434601" w:rsidRDefault="00434601" w:rsidP="00434601">
      <w:pPr>
        <w:widowControl w:val="0"/>
        <w:pBdr>
          <w:top w:val="nil"/>
          <w:left w:val="nil"/>
          <w:bottom w:val="nil"/>
          <w:right w:val="nil"/>
          <w:between w:val="nil"/>
        </w:pBdr>
        <w:jc w:val="both"/>
        <w:rPr>
          <w:rFonts w:ascii="Arial" w:hAnsi="Arial" w:cs="Arial"/>
          <w:color w:val="000000"/>
        </w:rPr>
      </w:pPr>
    </w:p>
    <w:p w14:paraId="551ECAE1" w14:textId="2DC13E94" w:rsidR="00607285" w:rsidRPr="00607285" w:rsidRDefault="00607285" w:rsidP="00434601">
      <w:pPr>
        <w:widowControl w:val="0"/>
        <w:pBdr>
          <w:top w:val="nil"/>
          <w:left w:val="nil"/>
          <w:bottom w:val="nil"/>
          <w:right w:val="nil"/>
          <w:between w:val="nil"/>
        </w:pBdr>
        <w:jc w:val="both"/>
        <w:rPr>
          <w:rFonts w:ascii="Arial" w:hAnsi="Arial" w:cs="Arial"/>
        </w:rPr>
      </w:pPr>
      <w:r w:rsidRPr="00607285">
        <w:rPr>
          <w:rFonts w:ascii="Arial" w:hAnsi="Arial" w:cs="Arial"/>
          <w:color w:val="000000"/>
        </w:rPr>
        <w:t>Based on Table 11, it can be seen that there is a partial effect of financial performance on firm value, as indicated by the significance values of each proxy being 0.000 &lt; 0.050. The same thing also happens to the moderating interactions between financial performance and firm value show significant values &lt; 0.050, indicating that corporate governance successfully moderates the effect of financial performance on firm value.</w:t>
      </w:r>
    </w:p>
    <w:p w14:paraId="1F6E99E1" w14:textId="77777777" w:rsidR="00607285" w:rsidRDefault="00607285" w:rsidP="00441B6F">
      <w:pPr>
        <w:pStyle w:val="Body"/>
        <w:spacing w:after="0"/>
        <w:rPr>
          <w:rFonts w:ascii="Arial" w:hAnsi="Arial" w:cs="Arial"/>
        </w:rPr>
      </w:pPr>
    </w:p>
    <w:p w14:paraId="1B1F9F08" w14:textId="5689D4BC" w:rsidR="00434601" w:rsidRDefault="00434601" w:rsidP="00434601">
      <w:pPr>
        <w:pStyle w:val="Body"/>
        <w:spacing w:after="0"/>
        <w:rPr>
          <w:rFonts w:ascii="Arial" w:hAnsi="Arial" w:cs="Arial"/>
          <w:b/>
          <w:caps/>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 DISCUSSION</w:t>
      </w:r>
    </w:p>
    <w:p w14:paraId="461AE77C" w14:textId="21321B41" w:rsidR="00434601" w:rsidRDefault="00434601" w:rsidP="00434601">
      <w:pPr>
        <w:pStyle w:val="Body"/>
        <w:spacing w:after="0"/>
        <w:rPr>
          <w:rFonts w:ascii="Arial" w:hAnsi="Arial" w:cs="Arial"/>
          <w:b/>
          <w:caps/>
          <w:sz w:val="22"/>
        </w:rPr>
      </w:pPr>
    </w:p>
    <w:p w14:paraId="7B45BFAD" w14:textId="43A99887" w:rsidR="00607285" w:rsidRDefault="00434601" w:rsidP="00434601">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5E11F2">
        <w:rPr>
          <w:rFonts w:ascii="Arial" w:hAnsi="Arial" w:cs="Arial"/>
          <w:b/>
          <w:u w:val="single"/>
        </w:rPr>
        <w:t>The Effect of Liquidity Ratio on Firm Value</w:t>
      </w:r>
    </w:p>
    <w:p w14:paraId="5D3D8E33" w14:textId="77777777" w:rsidR="00607285" w:rsidRDefault="00607285" w:rsidP="00434601">
      <w:pPr>
        <w:pStyle w:val="Body"/>
        <w:spacing w:after="0"/>
        <w:rPr>
          <w:rFonts w:ascii="Arial" w:hAnsi="Arial" w:cs="Arial"/>
        </w:rPr>
      </w:pPr>
    </w:p>
    <w:p w14:paraId="045A80DF" w14:textId="403BC7E5"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liquidity (CR)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with a negative regression coefficient of -</w:t>
      </w:r>
      <w:r>
        <w:rPr>
          <w:rFonts w:ascii="Arial" w:hAnsi="Arial" w:cs="Arial"/>
        </w:rPr>
        <w:t>.</w:t>
      </w:r>
      <w:r w:rsidRPr="00434601">
        <w:rPr>
          <w:rFonts w:ascii="Arial" w:hAnsi="Arial" w:cs="Arial"/>
        </w:rPr>
        <w:t xml:space="preserve">63. This indicates that liquidity, as measured by the current ratio (CR), has a negative effect on firm value and means that hypothesis 1 which states "Liquidity ratio has a positive effect on firm value," is rejected. This means that the company’s ability to pay short-term liabilities through its current assets does not contribute to an increase in firm value. As a result, current ratio information is insufficient for investors to assess the company’s current and future financial condition. This can be caused by the company's lack of optimality in utilizing its current assets. The results of this study are in line </w:t>
      </w:r>
      <w:r w:rsidRPr="00434601">
        <w:rPr>
          <w:rFonts w:ascii="Arial" w:hAnsi="Arial" w:cs="Arial"/>
        </w:rPr>
        <w:lastRenderedPageBreak/>
        <w:t xml:space="preserve">with </w:t>
      </w:r>
      <w:proofErr w:type="spellStart"/>
      <w:r w:rsidRPr="00434601">
        <w:rPr>
          <w:rFonts w:ascii="Arial" w:hAnsi="Arial" w:cs="Arial"/>
        </w:rPr>
        <w:t>Tsaniatuzaima</w:t>
      </w:r>
      <w:proofErr w:type="spellEnd"/>
      <w:r w:rsidRPr="00434601">
        <w:rPr>
          <w:rFonts w:ascii="Arial" w:hAnsi="Arial" w:cs="Arial"/>
        </w:rPr>
        <w:t xml:space="preserve"> and </w:t>
      </w:r>
      <w:proofErr w:type="spellStart"/>
      <w:r w:rsidRPr="00434601">
        <w:rPr>
          <w:rFonts w:ascii="Arial" w:hAnsi="Arial" w:cs="Arial"/>
        </w:rPr>
        <w:t>Maryanti</w:t>
      </w:r>
      <w:proofErr w:type="spellEnd"/>
      <w:r w:rsidRPr="00434601">
        <w:rPr>
          <w:rFonts w:ascii="Arial" w:hAnsi="Arial" w:cs="Arial"/>
        </w:rPr>
        <w:t xml:space="preserve"> (2022) and Nazariah, et al. (2019) which state that liquidity has a negative effect on firm value.</w:t>
      </w:r>
    </w:p>
    <w:p w14:paraId="1F0E8C35" w14:textId="77777777" w:rsidR="00434601" w:rsidRPr="00434601" w:rsidRDefault="00434601" w:rsidP="00434601">
      <w:pPr>
        <w:pStyle w:val="Body"/>
        <w:spacing w:after="0"/>
        <w:rPr>
          <w:rFonts w:ascii="Arial" w:hAnsi="Arial" w:cs="Arial"/>
        </w:rPr>
      </w:pPr>
    </w:p>
    <w:p w14:paraId="0C2592A4" w14:textId="3593047F" w:rsidR="00434601" w:rsidRDefault="00434601" w:rsidP="00434601">
      <w:pPr>
        <w:pStyle w:val="Body"/>
        <w:spacing w:after="0"/>
        <w:rPr>
          <w:rFonts w:ascii="Arial" w:hAnsi="Arial" w:cs="Arial"/>
          <w:b/>
          <w:u w:val="single"/>
        </w:rPr>
      </w:pPr>
      <w:r>
        <w:rPr>
          <w:rFonts w:ascii="Arial" w:hAnsi="Arial" w:cs="Arial"/>
          <w:b/>
          <w:u w:val="single"/>
        </w:rPr>
        <w:t xml:space="preserve">4.2.2 </w:t>
      </w:r>
      <w:r w:rsidRPr="00434601">
        <w:rPr>
          <w:rFonts w:ascii="Arial" w:hAnsi="Arial" w:cs="Arial"/>
          <w:b/>
          <w:u w:val="single"/>
        </w:rPr>
        <w:t>The Effect of Leverage Ratio on Firm Value</w:t>
      </w:r>
    </w:p>
    <w:p w14:paraId="605A9F66" w14:textId="77777777" w:rsidR="00434601" w:rsidRPr="00434601" w:rsidRDefault="00434601" w:rsidP="00434601">
      <w:pPr>
        <w:pStyle w:val="Body"/>
        <w:spacing w:after="0"/>
        <w:rPr>
          <w:rFonts w:ascii="Arial" w:hAnsi="Arial" w:cs="Arial"/>
          <w:b/>
          <w:u w:val="single"/>
        </w:rPr>
      </w:pPr>
    </w:p>
    <w:p w14:paraId="187758B3" w14:textId="56F92F25"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leverage (DAR) is </w:t>
      </w:r>
      <w:r>
        <w:rPr>
          <w:rFonts w:ascii="Arial" w:hAnsi="Arial" w:cs="Arial"/>
        </w:rPr>
        <w:t>.</w:t>
      </w:r>
      <w:r w:rsidRPr="00434601">
        <w:rPr>
          <w:rFonts w:ascii="Arial" w:hAnsi="Arial" w:cs="Arial"/>
        </w:rPr>
        <w:t xml:space="preserve">000 &lt; </w:t>
      </w:r>
      <w:r>
        <w:rPr>
          <w:rFonts w:ascii="Arial" w:hAnsi="Arial" w:cs="Arial"/>
        </w:rPr>
        <w:t>.</w:t>
      </w:r>
      <w:r w:rsidRPr="00434601">
        <w:rPr>
          <w:rFonts w:ascii="Arial" w:hAnsi="Arial" w:cs="Arial"/>
        </w:rPr>
        <w:t xml:space="preserve">05 with a positive regression coefficient of </w:t>
      </w:r>
      <w:r>
        <w:rPr>
          <w:rFonts w:ascii="Arial" w:hAnsi="Arial" w:cs="Arial"/>
        </w:rPr>
        <w:t>.</w:t>
      </w:r>
      <w:r w:rsidRPr="00434601">
        <w:rPr>
          <w:rFonts w:ascii="Arial" w:hAnsi="Arial" w:cs="Arial"/>
        </w:rPr>
        <w:t xml:space="preserve">124. This indicates that leverage, as measured by the Debt to Asset Ratio (DAR), has a positive effect on firm value. and means that hypothesis 2 which states “The leverage ratio has a negative effect on firm value”, is rejected. This means that proper debt management with the assets owned will help the company be able to pay its debts on time. This can attract potential investors because they think that investing in the company is guaranteed to be safe, which in turn affects the increase in firm value. These results are consistent with the findings of </w:t>
      </w:r>
      <w:proofErr w:type="spellStart"/>
      <w:r w:rsidRPr="00434601">
        <w:rPr>
          <w:rFonts w:ascii="Arial" w:hAnsi="Arial" w:cs="Arial"/>
        </w:rPr>
        <w:t>Sofiani</w:t>
      </w:r>
      <w:proofErr w:type="spellEnd"/>
      <w:r w:rsidRPr="00434601">
        <w:rPr>
          <w:rFonts w:ascii="Arial" w:hAnsi="Arial" w:cs="Arial"/>
        </w:rPr>
        <w:t xml:space="preserve"> and Enda Mora </w:t>
      </w:r>
      <w:proofErr w:type="spellStart"/>
      <w:r w:rsidRPr="00434601">
        <w:rPr>
          <w:rFonts w:ascii="Arial" w:hAnsi="Arial" w:cs="Arial"/>
        </w:rPr>
        <w:t>Siregar</w:t>
      </w:r>
      <w:proofErr w:type="spellEnd"/>
      <w:r w:rsidRPr="00434601">
        <w:rPr>
          <w:rFonts w:ascii="Arial" w:hAnsi="Arial" w:cs="Arial"/>
        </w:rPr>
        <w:t xml:space="preserve"> (2022) and </w:t>
      </w:r>
      <w:proofErr w:type="spellStart"/>
      <w:r w:rsidRPr="00434601">
        <w:rPr>
          <w:rFonts w:ascii="Arial" w:hAnsi="Arial" w:cs="Arial"/>
        </w:rPr>
        <w:t>Ayuningrum</w:t>
      </w:r>
      <w:proofErr w:type="spellEnd"/>
      <w:r w:rsidRPr="00434601">
        <w:rPr>
          <w:rFonts w:ascii="Arial" w:hAnsi="Arial" w:cs="Arial"/>
        </w:rPr>
        <w:t xml:space="preserve"> et al. (2021), who also found that DAR has a positive effect on firm value.</w:t>
      </w:r>
    </w:p>
    <w:p w14:paraId="35928A91" w14:textId="77777777" w:rsidR="00434601" w:rsidRPr="00434601" w:rsidRDefault="00434601" w:rsidP="00434601">
      <w:pPr>
        <w:pStyle w:val="Body"/>
        <w:spacing w:after="0"/>
        <w:rPr>
          <w:rFonts w:ascii="Arial" w:hAnsi="Arial" w:cs="Arial"/>
        </w:rPr>
      </w:pPr>
    </w:p>
    <w:p w14:paraId="51DAB7B7" w14:textId="11CFE2B1"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4.2.3 The Effect of Activity Ratio on Firm Value</w:t>
      </w:r>
    </w:p>
    <w:p w14:paraId="22434632" w14:textId="77777777" w:rsidR="00434601" w:rsidRDefault="00434601" w:rsidP="00434601">
      <w:pPr>
        <w:pStyle w:val="Body"/>
        <w:spacing w:after="0"/>
        <w:rPr>
          <w:rFonts w:ascii="Arial" w:hAnsi="Arial" w:cs="Arial"/>
        </w:rPr>
      </w:pPr>
    </w:p>
    <w:p w14:paraId="4EC6B58E" w14:textId="75BAEFCA"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activity (TATO)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 xml:space="preserve">05 with a positive regression coefficient of </w:t>
      </w:r>
      <w:r>
        <w:rPr>
          <w:rFonts w:ascii="Arial" w:hAnsi="Arial" w:cs="Arial"/>
        </w:rPr>
        <w:t>.</w:t>
      </w:r>
      <w:r w:rsidRPr="00434601">
        <w:rPr>
          <w:rFonts w:ascii="Arial" w:hAnsi="Arial" w:cs="Arial"/>
        </w:rPr>
        <w:t>30</w:t>
      </w:r>
      <w:r>
        <w:rPr>
          <w:rFonts w:ascii="Arial" w:hAnsi="Arial" w:cs="Arial"/>
        </w:rPr>
        <w:t>.</w:t>
      </w:r>
      <w:r w:rsidRPr="00434601">
        <w:rPr>
          <w:rFonts w:ascii="Arial" w:hAnsi="Arial" w:cs="Arial"/>
        </w:rPr>
        <w:t xml:space="preserve"> This indicates that activity, as measured by Total Asset Turnover (TATO), has a positive effect on firm value. and means hypothesis 3 which states “Activity ratio has a positive effect on firm value”, is accepted. This implies that the more effectively the company uses assets to obtain the desired sales, the greater the company's profit is expected. The better the company's performance will have an impact on the increase in stock prices which will further increase the company's value. This is supported by research by </w:t>
      </w:r>
      <w:proofErr w:type="spellStart"/>
      <w:r w:rsidRPr="00434601">
        <w:rPr>
          <w:rFonts w:ascii="Arial" w:hAnsi="Arial" w:cs="Arial"/>
        </w:rPr>
        <w:t>Rifayani</w:t>
      </w:r>
      <w:proofErr w:type="spellEnd"/>
      <w:r w:rsidRPr="00434601">
        <w:rPr>
          <w:rFonts w:ascii="Arial" w:hAnsi="Arial" w:cs="Arial"/>
        </w:rPr>
        <w:t xml:space="preserve"> and </w:t>
      </w:r>
      <w:proofErr w:type="spellStart"/>
      <w:r w:rsidRPr="00434601">
        <w:rPr>
          <w:rFonts w:ascii="Arial" w:hAnsi="Arial" w:cs="Arial"/>
        </w:rPr>
        <w:t>Yunita</w:t>
      </w:r>
      <w:proofErr w:type="spellEnd"/>
      <w:r w:rsidRPr="00434601">
        <w:rPr>
          <w:rFonts w:ascii="Arial" w:hAnsi="Arial" w:cs="Arial"/>
        </w:rPr>
        <w:t xml:space="preserve"> (2023) and </w:t>
      </w:r>
      <w:proofErr w:type="spellStart"/>
      <w:r w:rsidRPr="00434601">
        <w:rPr>
          <w:rFonts w:ascii="Arial" w:hAnsi="Arial" w:cs="Arial"/>
        </w:rPr>
        <w:t>Hertina</w:t>
      </w:r>
      <w:proofErr w:type="spellEnd"/>
      <w:r w:rsidRPr="00434601">
        <w:rPr>
          <w:rFonts w:ascii="Arial" w:hAnsi="Arial" w:cs="Arial"/>
        </w:rPr>
        <w:t xml:space="preserve"> (2021) showing that TATO has a positive effect on firm value.</w:t>
      </w:r>
    </w:p>
    <w:p w14:paraId="382FECC4" w14:textId="77777777" w:rsidR="00434601" w:rsidRPr="00434601" w:rsidRDefault="00434601" w:rsidP="00434601">
      <w:pPr>
        <w:pStyle w:val="Body"/>
        <w:spacing w:after="0"/>
        <w:rPr>
          <w:rFonts w:ascii="Arial" w:hAnsi="Arial" w:cs="Arial"/>
        </w:rPr>
      </w:pPr>
    </w:p>
    <w:p w14:paraId="219AEF6D" w14:textId="1D7A6446" w:rsidR="00434601" w:rsidRPr="00434601" w:rsidRDefault="00434601" w:rsidP="00434601">
      <w:pPr>
        <w:pStyle w:val="Body"/>
        <w:spacing w:after="0"/>
        <w:rPr>
          <w:rFonts w:ascii="Arial" w:hAnsi="Arial" w:cs="Arial"/>
          <w:b/>
          <w:bCs/>
          <w:u w:val="single"/>
        </w:rPr>
      </w:pPr>
      <w:r>
        <w:rPr>
          <w:rFonts w:ascii="Arial" w:hAnsi="Arial" w:cs="Arial"/>
          <w:b/>
          <w:bCs/>
          <w:u w:val="single"/>
        </w:rPr>
        <w:t xml:space="preserve">4.2.4 </w:t>
      </w:r>
      <w:r w:rsidRPr="00434601">
        <w:rPr>
          <w:rFonts w:ascii="Arial" w:hAnsi="Arial" w:cs="Arial"/>
          <w:b/>
          <w:bCs/>
          <w:u w:val="single"/>
        </w:rPr>
        <w:t>The Effect of Profitability Ratio on Firm Value</w:t>
      </w:r>
    </w:p>
    <w:p w14:paraId="3CFF87A6" w14:textId="77777777" w:rsidR="00434601" w:rsidRDefault="00434601" w:rsidP="00434601">
      <w:pPr>
        <w:pStyle w:val="Body"/>
        <w:spacing w:after="0"/>
        <w:rPr>
          <w:rFonts w:ascii="Arial" w:hAnsi="Arial" w:cs="Arial"/>
        </w:rPr>
      </w:pPr>
    </w:p>
    <w:p w14:paraId="4FDFE25E" w14:textId="78907D99"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of profitability (NPM)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05 with a negative regression coefficient of -</w:t>
      </w:r>
      <w:r>
        <w:rPr>
          <w:rFonts w:ascii="Arial" w:hAnsi="Arial" w:cs="Arial"/>
        </w:rPr>
        <w:t>.</w:t>
      </w:r>
      <w:r w:rsidRPr="00434601">
        <w:rPr>
          <w:rFonts w:ascii="Arial" w:hAnsi="Arial" w:cs="Arial"/>
        </w:rPr>
        <w:t xml:space="preserve">621. This suggests that profitability, as measured by Net Profit Margin (NPM), has a negative effect on firm value and means that hypothesis 4 which states “Profitability ratio has a positive effect on firm value”, is rejected. This implies that changes in profitability do not directly influence investor assessments because they are not considered key variables and consider other factors outside of profitability. This supports research by </w:t>
      </w:r>
      <w:proofErr w:type="spellStart"/>
      <w:r w:rsidRPr="00434601">
        <w:rPr>
          <w:rFonts w:ascii="Arial" w:hAnsi="Arial" w:cs="Arial"/>
        </w:rPr>
        <w:t>Saragih</w:t>
      </w:r>
      <w:proofErr w:type="spellEnd"/>
      <w:r w:rsidRPr="00434601">
        <w:rPr>
          <w:rFonts w:ascii="Arial" w:hAnsi="Arial" w:cs="Arial"/>
        </w:rPr>
        <w:t xml:space="preserve"> and Forever (2024) and </w:t>
      </w:r>
      <w:proofErr w:type="spellStart"/>
      <w:r w:rsidRPr="00434601">
        <w:rPr>
          <w:rFonts w:ascii="Arial" w:hAnsi="Arial" w:cs="Arial"/>
        </w:rPr>
        <w:t>Priatna</w:t>
      </w:r>
      <w:proofErr w:type="spellEnd"/>
      <w:r w:rsidRPr="00434601">
        <w:rPr>
          <w:rFonts w:ascii="Arial" w:hAnsi="Arial" w:cs="Arial"/>
        </w:rPr>
        <w:t xml:space="preserve"> and </w:t>
      </w:r>
      <w:proofErr w:type="spellStart"/>
      <w:r w:rsidRPr="00434601">
        <w:rPr>
          <w:rFonts w:ascii="Arial" w:hAnsi="Arial" w:cs="Arial"/>
        </w:rPr>
        <w:t>Sakir</w:t>
      </w:r>
      <w:proofErr w:type="spellEnd"/>
      <w:r w:rsidRPr="00434601">
        <w:rPr>
          <w:rFonts w:ascii="Arial" w:hAnsi="Arial" w:cs="Arial"/>
        </w:rPr>
        <w:t xml:space="preserve"> (2023) which explain that NPM has no effect on firm value.</w:t>
      </w:r>
    </w:p>
    <w:p w14:paraId="5AFC0BB6" w14:textId="77777777" w:rsidR="00434601" w:rsidRPr="00434601" w:rsidRDefault="00434601" w:rsidP="00434601">
      <w:pPr>
        <w:pStyle w:val="Body"/>
        <w:spacing w:after="0"/>
        <w:rPr>
          <w:rFonts w:ascii="Arial" w:hAnsi="Arial" w:cs="Arial"/>
        </w:rPr>
      </w:pPr>
    </w:p>
    <w:p w14:paraId="125A1D9C" w14:textId="2BCCE259"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4.2.5 The Effect of Liquidity Ratio on Firm Value Moderated by Corporate Governance</w:t>
      </w:r>
    </w:p>
    <w:p w14:paraId="65E4CB82" w14:textId="77777777" w:rsidR="00434601" w:rsidRDefault="00434601" w:rsidP="00434601">
      <w:pPr>
        <w:pStyle w:val="Body"/>
        <w:spacing w:after="0"/>
        <w:rPr>
          <w:rFonts w:ascii="Arial" w:hAnsi="Arial" w:cs="Arial"/>
        </w:rPr>
      </w:pPr>
    </w:p>
    <w:p w14:paraId="262EB101" w14:textId="0E42970A"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liquidity (CR) and corporate governance (CG) is </w:t>
      </w:r>
      <w:r>
        <w:rPr>
          <w:rFonts w:ascii="Arial" w:hAnsi="Arial" w:cs="Arial"/>
        </w:rPr>
        <w:t>.</w:t>
      </w:r>
      <w:r w:rsidRPr="00434601">
        <w:rPr>
          <w:rFonts w:ascii="Arial" w:hAnsi="Arial" w:cs="Arial"/>
        </w:rPr>
        <w:t xml:space="preserve">001 &lt; </w:t>
      </w:r>
      <w:r>
        <w:rPr>
          <w:rFonts w:ascii="Arial" w:hAnsi="Arial" w:cs="Arial"/>
        </w:rPr>
        <w:t>0.</w:t>
      </w:r>
      <w:r w:rsidRPr="00434601">
        <w:rPr>
          <w:rFonts w:ascii="Arial" w:hAnsi="Arial" w:cs="Arial"/>
        </w:rPr>
        <w:t xml:space="preserve">05. This indicates that corporate governance, as measured by managerial ownership, moderates the effect of liquidity—measured by the current ratio (CR)—on firm value. Therefore, Hypothesis 5, which states that “Corporate governance moderates the effect of liquidity ratio on firm value,” is accepted. This means that companies applying strong corporate governance principles help shareholders better understand liquidity, enabling more informed investment decisions and reducing risks that could harm shareholders, ultimately enhancing firm value. This finding is in line with </w:t>
      </w:r>
      <w:proofErr w:type="spellStart"/>
      <w:r w:rsidRPr="00434601">
        <w:rPr>
          <w:rFonts w:ascii="Arial" w:hAnsi="Arial" w:cs="Arial"/>
        </w:rPr>
        <w:t>Hadmojo</w:t>
      </w:r>
      <w:proofErr w:type="spellEnd"/>
      <w:r w:rsidRPr="00434601">
        <w:rPr>
          <w:rFonts w:ascii="Arial" w:hAnsi="Arial" w:cs="Arial"/>
        </w:rPr>
        <w:t xml:space="preserve"> (2024) and Latifah and </w:t>
      </w:r>
      <w:proofErr w:type="spellStart"/>
      <w:r w:rsidRPr="00434601">
        <w:rPr>
          <w:rFonts w:ascii="Arial" w:hAnsi="Arial" w:cs="Arial"/>
        </w:rPr>
        <w:t>Rochiyah</w:t>
      </w:r>
      <w:proofErr w:type="spellEnd"/>
      <w:r w:rsidRPr="00434601">
        <w:rPr>
          <w:rFonts w:ascii="Arial" w:hAnsi="Arial" w:cs="Arial"/>
        </w:rPr>
        <w:t xml:space="preserve"> (2017), which found that corporate governance moderates the relationship between liquidity and firm value.</w:t>
      </w:r>
    </w:p>
    <w:p w14:paraId="68494A34" w14:textId="77777777" w:rsidR="00434601" w:rsidRPr="00434601" w:rsidRDefault="00434601" w:rsidP="00434601">
      <w:pPr>
        <w:pStyle w:val="Body"/>
        <w:spacing w:after="0"/>
        <w:rPr>
          <w:rFonts w:ascii="Arial" w:hAnsi="Arial" w:cs="Arial"/>
        </w:rPr>
      </w:pPr>
    </w:p>
    <w:p w14:paraId="5EB09ABC" w14:textId="149641BC"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4.2.6 The Effect of Leverage Ratio on Firm Value Moderated by Corporate Governance</w:t>
      </w:r>
    </w:p>
    <w:p w14:paraId="35B3BBC0" w14:textId="77777777" w:rsidR="00434601" w:rsidRDefault="00434601" w:rsidP="00434601">
      <w:pPr>
        <w:pStyle w:val="Body"/>
        <w:spacing w:after="0"/>
        <w:rPr>
          <w:rFonts w:ascii="Arial" w:hAnsi="Arial" w:cs="Arial"/>
        </w:rPr>
      </w:pPr>
    </w:p>
    <w:p w14:paraId="382D0314" w14:textId="46074335" w:rsidR="00434601" w:rsidRPr="00434601" w:rsidRDefault="00434601" w:rsidP="00434601">
      <w:pPr>
        <w:pStyle w:val="Body"/>
        <w:spacing w:after="0"/>
        <w:rPr>
          <w:rFonts w:ascii="Arial" w:hAnsi="Arial" w:cs="Arial"/>
        </w:rPr>
      </w:pPr>
      <w:r w:rsidRPr="00434601">
        <w:rPr>
          <w:rFonts w:ascii="Arial" w:hAnsi="Arial" w:cs="Arial"/>
        </w:rPr>
        <w:lastRenderedPageBreak/>
        <w:t xml:space="preserve">Based on the test results, the significance value for the interaction between leverage (DAR) and corporate governance (CG)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 xml:space="preserve">05. This implies that corporate governance, measured by managerial ownership, effectively moderates the influence of leverage—measured by the debt to asset ratio (DAR)—on firm value. Therefore, Hypothesis 6, which states that “Corporate governance moderates the effect of leverage ratio on firm value,” is accepted. This suggests that corporate governance ensures that companies utilize debt appropriately for productive and accountable purposes. As a result, the company can accelerate its growth and increase market value through higher investment returns. These results are consistent with the findings of </w:t>
      </w:r>
      <w:proofErr w:type="spellStart"/>
      <w:r w:rsidRPr="00434601">
        <w:rPr>
          <w:rFonts w:ascii="Arial" w:hAnsi="Arial" w:cs="Arial"/>
        </w:rPr>
        <w:t>Sabela</w:t>
      </w:r>
      <w:proofErr w:type="spellEnd"/>
      <w:r w:rsidRPr="00434601">
        <w:rPr>
          <w:rFonts w:ascii="Arial" w:hAnsi="Arial" w:cs="Arial"/>
        </w:rPr>
        <w:t xml:space="preserve"> and </w:t>
      </w:r>
      <w:proofErr w:type="spellStart"/>
      <w:r w:rsidRPr="00434601">
        <w:rPr>
          <w:rFonts w:ascii="Arial" w:hAnsi="Arial" w:cs="Arial"/>
        </w:rPr>
        <w:t>Purnamasari</w:t>
      </w:r>
      <w:proofErr w:type="spellEnd"/>
      <w:r w:rsidRPr="00434601">
        <w:rPr>
          <w:rFonts w:ascii="Arial" w:hAnsi="Arial" w:cs="Arial"/>
        </w:rPr>
        <w:t xml:space="preserve"> (2023) and </w:t>
      </w:r>
      <w:proofErr w:type="spellStart"/>
      <w:r w:rsidRPr="00434601">
        <w:rPr>
          <w:rFonts w:ascii="Arial" w:hAnsi="Arial" w:cs="Arial"/>
        </w:rPr>
        <w:t>Widyowati</w:t>
      </w:r>
      <w:proofErr w:type="spellEnd"/>
      <w:r w:rsidRPr="00434601">
        <w:rPr>
          <w:rFonts w:ascii="Arial" w:hAnsi="Arial" w:cs="Arial"/>
        </w:rPr>
        <w:t xml:space="preserve"> and Rani (2022), which showed that corporate governance moderates the relationship between leverage and firm value.</w:t>
      </w:r>
    </w:p>
    <w:p w14:paraId="31DBD582" w14:textId="77777777" w:rsidR="00434601" w:rsidRPr="00434601" w:rsidRDefault="00434601" w:rsidP="00434601">
      <w:pPr>
        <w:pStyle w:val="Body"/>
        <w:spacing w:after="0"/>
        <w:rPr>
          <w:rFonts w:ascii="Arial" w:hAnsi="Arial" w:cs="Arial"/>
        </w:rPr>
      </w:pPr>
    </w:p>
    <w:p w14:paraId="599A9B64" w14:textId="6996AAED" w:rsidR="00434601" w:rsidRPr="00434601" w:rsidRDefault="00434601" w:rsidP="00434601">
      <w:pPr>
        <w:pStyle w:val="Body"/>
        <w:spacing w:after="0"/>
        <w:rPr>
          <w:rFonts w:ascii="Arial" w:hAnsi="Arial" w:cs="Arial"/>
          <w:b/>
          <w:bCs/>
          <w:u w:val="single"/>
        </w:rPr>
      </w:pPr>
      <w:r w:rsidRPr="00434601">
        <w:rPr>
          <w:rFonts w:ascii="Arial" w:hAnsi="Arial" w:cs="Arial"/>
          <w:b/>
          <w:bCs/>
          <w:u w:val="single"/>
        </w:rPr>
        <w:t>4.2.7 The Effect of Activity Ratio on Firm Value Moderated by Corporate Governance</w:t>
      </w:r>
    </w:p>
    <w:p w14:paraId="498B44BE" w14:textId="77777777" w:rsidR="00434601" w:rsidRDefault="00434601" w:rsidP="00434601">
      <w:pPr>
        <w:pStyle w:val="Body"/>
        <w:spacing w:after="0"/>
        <w:rPr>
          <w:rFonts w:ascii="Arial" w:hAnsi="Arial" w:cs="Arial"/>
        </w:rPr>
      </w:pPr>
    </w:p>
    <w:p w14:paraId="1B4829E4" w14:textId="2CAF4E3D" w:rsidR="00434601" w:rsidRPr="00434601"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activity (TATO) and corporate governance (CG) is </w:t>
      </w:r>
      <w:r>
        <w:rPr>
          <w:rFonts w:ascii="Arial" w:hAnsi="Arial" w:cs="Arial"/>
        </w:rPr>
        <w:t>.</w:t>
      </w:r>
      <w:r w:rsidRPr="00434601">
        <w:rPr>
          <w:rFonts w:ascii="Arial" w:hAnsi="Arial" w:cs="Arial"/>
        </w:rPr>
        <w:t xml:space="preserve">041 &lt; </w:t>
      </w:r>
      <w:r>
        <w:rPr>
          <w:rFonts w:ascii="Arial" w:hAnsi="Arial" w:cs="Arial"/>
        </w:rPr>
        <w:t>0.</w:t>
      </w:r>
      <w:r w:rsidRPr="00434601">
        <w:rPr>
          <w:rFonts w:ascii="Arial" w:hAnsi="Arial" w:cs="Arial"/>
        </w:rPr>
        <w:t xml:space="preserve">05. This indicates that corporate governance, as measured by managerial ownership, moderates the effect of activity—measured by total asset turnover (TATO)—on firm value. Therefore, Hypothesis 7, which states that “Corporate governance moderates the effect of activity ratio on firm value,” is accepted. This means that the faster asset turnover supports increased sales revenue, resulting in higher company profits. This condition is strengthened by the existence of corporate governance, which is proxied by managerial ownership, which has the same objectives as the company owner so that the disclosure of financial statement information is transparent and reliable. Such transparency attracts investors and contributes to increasing firm value. This research is supported by </w:t>
      </w:r>
      <w:proofErr w:type="spellStart"/>
      <w:r w:rsidRPr="00434601">
        <w:rPr>
          <w:rFonts w:ascii="Arial" w:hAnsi="Arial" w:cs="Arial"/>
        </w:rPr>
        <w:t>Aprianingrum</w:t>
      </w:r>
      <w:proofErr w:type="spellEnd"/>
      <w:r w:rsidRPr="00434601">
        <w:rPr>
          <w:rFonts w:ascii="Arial" w:hAnsi="Arial" w:cs="Arial"/>
        </w:rPr>
        <w:t xml:space="preserve"> and </w:t>
      </w:r>
      <w:proofErr w:type="spellStart"/>
      <w:r w:rsidRPr="00434601">
        <w:rPr>
          <w:rFonts w:ascii="Arial" w:hAnsi="Arial" w:cs="Arial"/>
        </w:rPr>
        <w:t>Imanda</w:t>
      </w:r>
      <w:proofErr w:type="spellEnd"/>
      <w:r w:rsidRPr="00434601">
        <w:rPr>
          <w:rFonts w:ascii="Arial" w:hAnsi="Arial" w:cs="Arial"/>
        </w:rPr>
        <w:t xml:space="preserve"> (2022) and </w:t>
      </w:r>
      <w:proofErr w:type="spellStart"/>
      <w:r w:rsidRPr="00434601">
        <w:rPr>
          <w:rFonts w:ascii="Arial" w:hAnsi="Arial" w:cs="Arial"/>
        </w:rPr>
        <w:t>Hudzaifah</w:t>
      </w:r>
      <w:proofErr w:type="spellEnd"/>
      <w:r w:rsidRPr="00434601">
        <w:rPr>
          <w:rFonts w:ascii="Arial" w:hAnsi="Arial" w:cs="Arial"/>
        </w:rPr>
        <w:t xml:space="preserve"> et al. (2024), who found that good corporate governance has a significant positive moderating effect on the relationship between TATO and financial performance.</w:t>
      </w:r>
    </w:p>
    <w:p w14:paraId="3A7BCC25" w14:textId="77777777" w:rsidR="00434601" w:rsidRPr="00434601" w:rsidRDefault="00434601" w:rsidP="00434601">
      <w:pPr>
        <w:pStyle w:val="Body"/>
        <w:spacing w:after="0"/>
        <w:rPr>
          <w:rFonts w:ascii="Arial" w:hAnsi="Arial" w:cs="Arial"/>
        </w:rPr>
      </w:pPr>
    </w:p>
    <w:p w14:paraId="3A5389BF" w14:textId="79B06F5A" w:rsidR="00434601" w:rsidRPr="00434601" w:rsidRDefault="00434601" w:rsidP="00434601">
      <w:pPr>
        <w:pStyle w:val="Body"/>
        <w:spacing w:after="0"/>
        <w:ind w:left="630" w:hanging="630"/>
        <w:rPr>
          <w:rFonts w:ascii="Arial" w:hAnsi="Arial" w:cs="Arial"/>
          <w:b/>
          <w:bCs/>
          <w:u w:val="single"/>
        </w:rPr>
      </w:pPr>
      <w:r w:rsidRPr="00434601">
        <w:rPr>
          <w:rFonts w:ascii="Arial" w:hAnsi="Arial" w:cs="Arial"/>
          <w:b/>
          <w:bCs/>
          <w:u w:val="single"/>
        </w:rPr>
        <w:t>4.2.8 The Effect of Profitability Ratio on Firm Value Moderated by Corporate Governance</w:t>
      </w:r>
    </w:p>
    <w:p w14:paraId="71CEB20F" w14:textId="77777777" w:rsidR="00434601" w:rsidRDefault="00434601" w:rsidP="00434601">
      <w:pPr>
        <w:pStyle w:val="Body"/>
        <w:spacing w:after="0"/>
        <w:rPr>
          <w:rFonts w:ascii="Arial" w:hAnsi="Arial" w:cs="Arial"/>
        </w:rPr>
      </w:pPr>
    </w:p>
    <w:p w14:paraId="2D3A4659" w14:textId="20D9A2CE" w:rsidR="00C30A0F" w:rsidRDefault="00434601" w:rsidP="00434601">
      <w:pPr>
        <w:pStyle w:val="Body"/>
        <w:spacing w:after="0"/>
        <w:rPr>
          <w:rFonts w:ascii="Arial" w:hAnsi="Arial" w:cs="Arial"/>
        </w:rPr>
      </w:pPr>
      <w:r w:rsidRPr="00434601">
        <w:rPr>
          <w:rFonts w:ascii="Arial" w:hAnsi="Arial" w:cs="Arial"/>
        </w:rPr>
        <w:t xml:space="preserve">Based on the test results, the significance value for the interaction between profitability (NPM) and corporate governance (CG) is </w:t>
      </w:r>
      <w:r>
        <w:rPr>
          <w:rFonts w:ascii="Arial" w:hAnsi="Arial" w:cs="Arial"/>
        </w:rPr>
        <w:t>.</w:t>
      </w:r>
      <w:r w:rsidRPr="00434601">
        <w:rPr>
          <w:rFonts w:ascii="Arial" w:hAnsi="Arial" w:cs="Arial"/>
        </w:rPr>
        <w:t xml:space="preserve">000 &lt; </w:t>
      </w:r>
      <w:r>
        <w:rPr>
          <w:rFonts w:ascii="Arial" w:hAnsi="Arial" w:cs="Arial"/>
        </w:rPr>
        <w:t>0.</w:t>
      </w:r>
      <w:r w:rsidRPr="00434601">
        <w:rPr>
          <w:rFonts w:ascii="Arial" w:hAnsi="Arial" w:cs="Arial"/>
        </w:rPr>
        <w:t xml:space="preserve">05. This indicates that corporate governance, as measured by managerial ownership, moderates the effect of profitability—measured by net profit margin (NPM)—on firm value. Therefore, Hypothesis 8, which states that “Corporate governance moderates the effect of profitability ratio on firm value,” is </w:t>
      </w:r>
      <w:proofErr w:type="spellStart"/>
      <w:r w:rsidRPr="00434601">
        <w:rPr>
          <w:rFonts w:ascii="Arial" w:hAnsi="Arial" w:cs="Arial"/>
        </w:rPr>
        <w:t>accepted.This</w:t>
      </w:r>
      <w:proofErr w:type="spellEnd"/>
      <w:r w:rsidRPr="00434601">
        <w:rPr>
          <w:rFonts w:ascii="Arial" w:hAnsi="Arial" w:cs="Arial"/>
        </w:rPr>
        <w:t xml:space="preserve"> suggests that a high NPM can increase firm value, especially when supported by strong corporate governance. In such cases, the company can maintain financial stability and enhance investor confidence, ultimately reinforcing the positive relationship between profitability and firm value. This result is consistent with the studies by </w:t>
      </w:r>
      <w:proofErr w:type="spellStart"/>
      <w:r w:rsidRPr="00434601">
        <w:rPr>
          <w:rFonts w:ascii="Arial" w:hAnsi="Arial" w:cs="Arial"/>
        </w:rPr>
        <w:t>Saragih</w:t>
      </w:r>
      <w:proofErr w:type="spellEnd"/>
      <w:r w:rsidRPr="00434601">
        <w:rPr>
          <w:rFonts w:ascii="Arial" w:hAnsi="Arial" w:cs="Arial"/>
        </w:rPr>
        <w:t xml:space="preserve"> and Forever (2024) and </w:t>
      </w:r>
      <w:proofErr w:type="spellStart"/>
      <w:r w:rsidRPr="00434601">
        <w:rPr>
          <w:rFonts w:ascii="Arial" w:hAnsi="Arial" w:cs="Arial"/>
        </w:rPr>
        <w:t>Tricahyani</w:t>
      </w:r>
      <w:proofErr w:type="spellEnd"/>
      <w:r w:rsidRPr="00434601">
        <w:rPr>
          <w:rFonts w:ascii="Arial" w:hAnsi="Arial" w:cs="Arial"/>
        </w:rPr>
        <w:t xml:space="preserve"> and </w:t>
      </w:r>
      <w:proofErr w:type="spellStart"/>
      <w:r w:rsidRPr="00434601">
        <w:rPr>
          <w:rFonts w:ascii="Arial" w:hAnsi="Arial" w:cs="Arial"/>
        </w:rPr>
        <w:t>Martinus</w:t>
      </w:r>
      <w:proofErr w:type="spellEnd"/>
      <w:r w:rsidRPr="00434601">
        <w:rPr>
          <w:rFonts w:ascii="Arial" w:hAnsi="Arial" w:cs="Arial"/>
        </w:rPr>
        <w:t xml:space="preserve"> (2024), although the latter also noted that managerial ownership may not always sustain the effect of NPM on firm value.</w:t>
      </w:r>
      <w:r w:rsidR="00C30A0F" w:rsidRPr="00FB3A86">
        <w:rPr>
          <w:rFonts w:ascii="Arial" w:hAnsi="Arial" w:cs="Arial"/>
        </w:rPr>
        <w:t xml:space="preserve"> </w:t>
      </w:r>
    </w:p>
    <w:p w14:paraId="2FA98C0A" w14:textId="77777777" w:rsidR="00E053D0" w:rsidRDefault="00E053D0" w:rsidP="00434601">
      <w:pPr>
        <w:pStyle w:val="Body"/>
        <w:spacing w:after="0"/>
        <w:rPr>
          <w:rFonts w:ascii="Arial" w:hAnsi="Arial" w:cs="Arial"/>
        </w:rPr>
      </w:pPr>
    </w:p>
    <w:p w14:paraId="166E2EF5" w14:textId="77777777" w:rsidR="00790ADA" w:rsidRPr="00FB3A86" w:rsidRDefault="00790ADA" w:rsidP="00434601">
      <w:pPr>
        <w:pStyle w:val="Body"/>
        <w:spacing w:after="0"/>
        <w:rPr>
          <w:rFonts w:ascii="Arial" w:hAnsi="Arial" w:cs="Arial"/>
        </w:rPr>
      </w:pPr>
    </w:p>
    <w:p w14:paraId="1C0C1F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2FE165" w14:textId="77777777" w:rsidR="00790ADA" w:rsidRPr="00FB3A86" w:rsidRDefault="00790ADA" w:rsidP="00441B6F">
      <w:pPr>
        <w:pStyle w:val="ConcHead"/>
        <w:spacing w:after="0"/>
        <w:jc w:val="both"/>
        <w:rPr>
          <w:rFonts w:ascii="Arial" w:hAnsi="Arial" w:cs="Arial"/>
        </w:rPr>
      </w:pPr>
    </w:p>
    <w:p w14:paraId="636DD890" w14:textId="77777777" w:rsidR="003927EE" w:rsidRDefault="003927EE" w:rsidP="003927EE">
      <w:pPr>
        <w:pStyle w:val="Body"/>
        <w:spacing w:after="0"/>
        <w:rPr>
          <w:rFonts w:ascii="Arial" w:hAnsi="Arial" w:cs="Arial"/>
        </w:rPr>
      </w:pPr>
      <w:r w:rsidRPr="003927EE">
        <w:rPr>
          <w:rFonts w:ascii="Arial" w:hAnsi="Arial" w:cs="Arial"/>
        </w:rPr>
        <w:t>This study aims to obtain empirical evidence regarding the effect of financial performance on firm value with corporate governance as a moderating variable. Based on the results of the research conducted, the following conclusions can be drawn</w:t>
      </w:r>
      <w:r>
        <w:rPr>
          <w:rFonts w:ascii="Arial" w:hAnsi="Arial" w:cs="Arial"/>
        </w:rPr>
        <w:t>:</w:t>
      </w:r>
    </w:p>
    <w:p w14:paraId="369E3C53" w14:textId="77777777" w:rsidR="003927EE" w:rsidRDefault="003927EE" w:rsidP="003927EE">
      <w:pPr>
        <w:pStyle w:val="Body"/>
        <w:spacing w:after="0"/>
        <w:rPr>
          <w:rFonts w:ascii="Arial" w:hAnsi="Arial" w:cs="Arial"/>
        </w:rPr>
      </w:pPr>
    </w:p>
    <w:p w14:paraId="1E0ACB24" w14:textId="77777777" w:rsidR="003927EE" w:rsidRDefault="003927EE" w:rsidP="003927EE">
      <w:pPr>
        <w:pStyle w:val="Body"/>
        <w:numPr>
          <w:ilvl w:val="0"/>
          <w:numId w:val="33"/>
        </w:numPr>
        <w:spacing w:after="0"/>
        <w:rPr>
          <w:rFonts w:ascii="Arial" w:hAnsi="Arial" w:cs="Arial"/>
        </w:rPr>
      </w:pPr>
      <w:r w:rsidRPr="003927EE">
        <w:rPr>
          <w:rFonts w:ascii="Arial" w:hAnsi="Arial" w:cs="Arial"/>
        </w:rPr>
        <w:t>Liquidity ratio, proxied by the Current Ratio, has a negative effect on firm value.</w:t>
      </w:r>
    </w:p>
    <w:p w14:paraId="7EC9A0A3" w14:textId="77777777" w:rsidR="003927EE" w:rsidRDefault="003927EE" w:rsidP="003927EE">
      <w:pPr>
        <w:pStyle w:val="Body"/>
        <w:numPr>
          <w:ilvl w:val="0"/>
          <w:numId w:val="33"/>
        </w:numPr>
        <w:spacing w:after="0"/>
        <w:rPr>
          <w:rFonts w:ascii="Arial" w:hAnsi="Arial" w:cs="Arial"/>
        </w:rPr>
      </w:pPr>
      <w:r w:rsidRPr="003927EE">
        <w:rPr>
          <w:rFonts w:ascii="Arial" w:hAnsi="Arial" w:cs="Arial"/>
        </w:rPr>
        <w:t>Leverage ratio, proxied by the Debt to Asset Ratio, has a positive effect on firm value.</w:t>
      </w:r>
    </w:p>
    <w:p w14:paraId="0EAE2C67" w14:textId="77777777" w:rsidR="003927EE" w:rsidRDefault="003927EE" w:rsidP="003927EE">
      <w:pPr>
        <w:pStyle w:val="Body"/>
        <w:numPr>
          <w:ilvl w:val="0"/>
          <w:numId w:val="33"/>
        </w:numPr>
        <w:spacing w:after="0"/>
        <w:rPr>
          <w:rFonts w:ascii="Arial" w:hAnsi="Arial" w:cs="Arial"/>
        </w:rPr>
      </w:pPr>
      <w:r w:rsidRPr="003927EE">
        <w:rPr>
          <w:rFonts w:ascii="Arial" w:hAnsi="Arial" w:cs="Arial"/>
        </w:rPr>
        <w:lastRenderedPageBreak/>
        <w:t>Activity ratio, proxied by the Total Asset Turnover, has a positive effect on firm value.</w:t>
      </w:r>
    </w:p>
    <w:p w14:paraId="6D02C511" w14:textId="77777777" w:rsidR="003927EE" w:rsidRDefault="003927EE" w:rsidP="003927EE">
      <w:pPr>
        <w:pStyle w:val="Body"/>
        <w:numPr>
          <w:ilvl w:val="0"/>
          <w:numId w:val="33"/>
        </w:numPr>
        <w:spacing w:after="0"/>
        <w:rPr>
          <w:rFonts w:ascii="Arial" w:hAnsi="Arial" w:cs="Arial"/>
        </w:rPr>
      </w:pPr>
      <w:r w:rsidRPr="003927EE">
        <w:rPr>
          <w:rFonts w:ascii="Arial" w:hAnsi="Arial" w:cs="Arial"/>
        </w:rPr>
        <w:t>Profitability ratio, proxied by the Net Profit Margin, has a negative effect on firm value.</w:t>
      </w:r>
    </w:p>
    <w:p w14:paraId="56CB2061"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liquidity ratio and firm value.</w:t>
      </w:r>
    </w:p>
    <w:p w14:paraId="28C8711F"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leverage ratio and firm value.</w:t>
      </w:r>
    </w:p>
    <w:p w14:paraId="76DC9913" w14:textId="77777777"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activity ratio and firm value.</w:t>
      </w:r>
    </w:p>
    <w:p w14:paraId="57B9455A" w14:textId="5AA7EA83" w:rsidR="003927EE" w:rsidRDefault="003927EE" w:rsidP="003927EE">
      <w:pPr>
        <w:pStyle w:val="Body"/>
        <w:numPr>
          <w:ilvl w:val="0"/>
          <w:numId w:val="33"/>
        </w:numPr>
        <w:spacing w:after="0"/>
        <w:rPr>
          <w:rFonts w:ascii="Arial" w:hAnsi="Arial" w:cs="Arial"/>
        </w:rPr>
      </w:pPr>
      <w:r w:rsidRPr="003927EE">
        <w:rPr>
          <w:rFonts w:ascii="Arial" w:hAnsi="Arial" w:cs="Arial"/>
        </w:rPr>
        <w:t>Corporate governance moderates the relationship between the profitability ratio and firm value.</w:t>
      </w:r>
    </w:p>
    <w:p w14:paraId="3B756D6E" w14:textId="77777777" w:rsidR="003927EE" w:rsidRPr="003927EE" w:rsidRDefault="003927EE" w:rsidP="003927EE">
      <w:pPr>
        <w:pStyle w:val="Body"/>
        <w:spacing w:after="0"/>
        <w:ind w:left="720"/>
        <w:rPr>
          <w:rFonts w:ascii="Arial" w:hAnsi="Arial" w:cs="Arial"/>
        </w:rPr>
      </w:pPr>
    </w:p>
    <w:p w14:paraId="314A3798" w14:textId="2C90AB97" w:rsidR="0032160E" w:rsidRDefault="0032160E" w:rsidP="0032160E">
      <w:pPr>
        <w:pStyle w:val="Body"/>
        <w:spacing w:after="0"/>
        <w:rPr>
          <w:rFonts w:ascii="Arial" w:eastAsia="Calibri" w:hAnsi="Arial" w:cs="Arial"/>
          <w:szCs w:val="22"/>
        </w:rPr>
      </w:pPr>
      <w:r>
        <w:rPr>
          <w:rFonts w:ascii="Arial" w:eastAsia="Calibri" w:hAnsi="Arial" w:cs="Arial"/>
          <w:szCs w:val="22"/>
        </w:rPr>
        <w:t xml:space="preserve">The </w:t>
      </w:r>
      <w:r w:rsidRPr="003E1161">
        <w:rPr>
          <w:rFonts w:ascii="Arial" w:eastAsia="Calibri" w:hAnsi="Arial" w:cs="Arial"/>
          <w:szCs w:val="22"/>
        </w:rPr>
        <w:t xml:space="preserve">financial performance can have a positive effect on </w:t>
      </w:r>
      <w:r>
        <w:rPr>
          <w:rFonts w:ascii="Arial" w:eastAsia="Calibri" w:hAnsi="Arial" w:cs="Arial"/>
          <w:szCs w:val="22"/>
        </w:rPr>
        <w:t>firm value</w:t>
      </w:r>
      <w:r w:rsidRPr="003E1161">
        <w:rPr>
          <w:rFonts w:ascii="Arial" w:eastAsia="Calibri" w:hAnsi="Arial" w:cs="Arial"/>
          <w:szCs w:val="22"/>
        </w:rPr>
        <w:t xml:space="preserve"> if companies use optimal debt and effective asset management. </w:t>
      </w:r>
      <w:r>
        <w:rPr>
          <w:rFonts w:ascii="Arial" w:eastAsia="Calibri" w:hAnsi="Arial" w:cs="Arial"/>
          <w:szCs w:val="22"/>
        </w:rPr>
        <w:t>However</w:t>
      </w:r>
      <w:r w:rsidRPr="003E1161">
        <w:rPr>
          <w:rFonts w:ascii="Arial" w:eastAsia="Calibri" w:hAnsi="Arial" w:cs="Arial"/>
          <w:szCs w:val="22"/>
        </w:rPr>
        <w:t>, high levels of liquidity and profitability do not always increase company value, which may be due to inefficient use of resources or suboptimal reinvestment strategies. The presence of corporate governance has been shown to moderate the relationship between financial performance and company value, either strengthening or weakening that influence depending on the quality and effectiveness of the governance mechanisms implemented. These findings underscore the importance of governance structures in aligning managerial actions with shareholder interests and enhancing company value.</w:t>
      </w:r>
    </w:p>
    <w:p w14:paraId="2BBA31A4" w14:textId="77777777" w:rsidR="0032160E" w:rsidRDefault="0032160E" w:rsidP="0032160E">
      <w:pPr>
        <w:pStyle w:val="Body"/>
        <w:spacing w:after="0"/>
        <w:rPr>
          <w:rFonts w:ascii="Arial" w:hAnsi="Arial" w:cs="Arial"/>
        </w:rPr>
      </w:pPr>
    </w:p>
    <w:p w14:paraId="79A6808F" w14:textId="6ED30A97" w:rsidR="003927EE" w:rsidRPr="003927EE" w:rsidRDefault="003927EE" w:rsidP="003927EE">
      <w:pPr>
        <w:pStyle w:val="Body"/>
        <w:rPr>
          <w:rFonts w:ascii="Arial" w:hAnsi="Arial" w:cs="Arial"/>
        </w:rPr>
      </w:pPr>
      <w:r w:rsidRPr="003927EE">
        <w:rPr>
          <w:rFonts w:ascii="Arial" w:hAnsi="Arial" w:cs="Arial"/>
        </w:rPr>
        <w:t>This study is limited to companies in the energy sector; therefore, the findings cannot be generalized to other sectors listed on the Indonesia Stock Exchange (IDX). The observation period is also limited to the years 2019–2023. In addition, many companies do not have managerial ownership, which is one of the proxies used to assess corporate governance. The overall contribution of financial performance variables to firm value in this study is 88.2%, meaning that 11.8% is explained by other variables not included in this model.</w:t>
      </w:r>
    </w:p>
    <w:p w14:paraId="40D7E76E" w14:textId="039ED940" w:rsidR="003927EE" w:rsidRDefault="003927EE" w:rsidP="003927EE">
      <w:pPr>
        <w:pStyle w:val="Body"/>
        <w:spacing w:after="0"/>
        <w:rPr>
          <w:rFonts w:ascii="Arial" w:hAnsi="Arial" w:cs="Arial"/>
        </w:rPr>
      </w:pPr>
      <w:r w:rsidRPr="003927EE">
        <w:rPr>
          <w:rFonts w:ascii="Arial" w:hAnsi="Arial" w:cs="Arial"/>
        </w:rPr>
        <w:t>Future research is expected to broaden the scope by analyzing companies from various sectors at the national, regional, or international levels to obtain more comprehensive results. It is also recommended that future studies extend the observation period or use alternative proxies to examine the relationships between variables from other perspectives, such as institutional ownership, audit committee, stock price, or firm size.</w:t>
      </w:r>
    </w:p>
    <w:p w14:paraId="49854791" w14:textId="781E4741" w:rsidR="00860000" w:rsidRDefault="00860000" w:rsidP="00441B6F">
      <w:pPr>
        <w:pStyle w:val="ReferHead"/>
        <w:spacing w:after="0"/>
        <w:jc w:val="both"/>
        <w:rPr>
          <w:rFonts w:ascii="Arial" w:hAnsi="Arial" w:cs="Arial"/>
        </w:rPr>
      </w:pPr>
    </w:p>
    <w:p w14:paraId="3CA07A21" w14:textId="737A2505" w:rsidR="00BE7C6C" w:rsidRPr="00FD6430" w:rsidRDefault="00BE7C6C" w:rsidP="00441B6F">
      <w:pPr>
        <w:pStyle w:val="ReferHead"/>
        <w:spacing w:after="0"/>
        <w:jc w:val="both"/>
        <w:rPr>
          <w:rFonts w:ascii="Arial" w:hAnsi="Arial" w:cs="Arial"/>
          <w:bCs/>
        </w:rPr>
      </w:pPr>
    </w:p>
    <w:p w14:paraId="00D6F7E7" w14:textId="77777777" w:rsidR="00BE7C6C" w:rsidRPr="00FD6430" w:rsidRDefault="00BE7C6C" w:rsidP="00DA1A2C">
      <w:pPr>
        <w:spacing w:after="200" w:line="276" w:lineRule="auto"/>
        <w:jc w:val="both"/>
        <w:rPr>
          <w:rFonts w:ascii="Arial" w:eastAsia="Calibri" w:hAnsi="Arial" w:cs="Arial"/>
          <w:b/>
          <w:bCs/>
          <w:kern w:val="2"/>
          <w:highlight w:val="yellow"/>
        </w:rPr>
      </w:pPr>
      <w:r w:rsidRPr="00FD6430">
        <w:rPr>
          <w:rFonts w:ascii="Arial" w:eastAsia="Calibri" w:hAnsi="Arial" w:cs="Arial"/>
          <w:b/>
          <w:bCs/>
          <w:kern w:val="2"/>
          <w:highlight w:val="yellow"/>
        </w:rPr>
        <w:t>Disclaimer (Artificial intelligence)</w:t>
      </w:r>
    </w:p>
    <w:p w14:paraId="33E215E6" w14:textId="1E4EB75F" w:rsidR="00BE7C6C" w:rsidRPr="00DA1A2C" w:rsidRDefault="00DA1A2C" w:rsidP="00DA1A2C">
      <w:pPr>
        <w:spacing w:after="200" w:line="276" w:lineRule="auto"/>
        <w:jc w:val="both"/>
        <w:rPr>
          <w:rFonts w:ascii="Arial" w:eastAsia="Calibri" w:hAnsi="Arial" w:cs="Arial"/>
          <w:kern w:val="2"/>
        </w:rPr>
      </w:pPr>
      <w:r w:rsidRPr="00DA1A2C">
        <w:rPr>
          <w:rFonts w:ascii="Arial" w:eastAsia="Calibri" w:hAnsi="Arial" w:cs="Arial"/>
          <w:kern w:val="2"/>
        </w:rPr>
        <w:t>Author’s Statement on AI Usage</w:t>
      </w:r>
    </w:p>
    <w:p w14:paraId="079FFDF5" w14:textId="4F4C222F" w:rsidR="00F17910" w:rsidRDefault="00F17910" w:rsidP="00DA1A2C">
      <w:pPr>
        <w:spacing w:line="276" w:lineRule="auto"/>
        <w:jc w:val="both"/>
        <w:rPr>
          <w:rFonts w:ascii="Arial" w:eastAsia="Calibri" w:hAnsi="Arial" w:cs="Arial"/>
          <w:kern w:val="2"/>
        </w:rPr>
      </w:pPr>
      <w:r w:rsidRPr="00F17910">
        <w:rPr>
          <w:rFonts w:ascii="Arial" w:eastAsia="Calibri" w:hAnsi="Arial" w:cs="Arial"/>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C84030" w14:textId="77777777" w:rsidR="00F17910" w:rsidRDefault="00F17910" w:rsidP="00DA1A2C">
      <w:pPr>
        <w:spacing w:line="276" w:lineRule="auto"/>
        <w:jc w:val="both"/>
        <w:rPr>
          <w:rFonts w:ascii="Arial" w:eastAsia="Calibri" w:hAnsi="Arial" w:cs="Arial"/>
          <w:kern w:val="2"/>
        </w:rPr>
      </w:pPr>
    </w:p>
    <w:p w14:paraId="044CAAFA" w14:textId="7E546B29" w:rsidR="00DA1A2C" w:rsidRPr="00DA1A2C" w:rsidRDefault="00DA1A2C" w:rsidP="00DA1A2C">
      <w:pPr>
        <w:spacing w:line="276" w:lineRule="auto"/>
        <w:jc w:val="both"/>
        <w:rPr>
          <w:rFonts w:ascii="Arial" w:eastAsia="Calibri" w:hAnsi="Arial" w:cs="Arial"/>
          <w:kern w:val="2"/>
        </w:rPr>
      </w:pPr>
      <w:r w:rsidRPr="00DA1A2C">
        <w:rPr>
          <w:rFonts w:ascii="Arial" w:eastAsia="Calibri" w:hAnsi="Arial" w:cs="Arial"/>
          <w:kern w:val="2"/>
        </w:rPr>
        <w:t>The author acknowledges the use of ChatGPT, a large language model developed by OpenAI, to support the translation of this manuscript from Bahasa Indonesia to English. The tool was used solely for language translation and academic tone adjustment purposes. All original content, arguments, and interpretations remain entirely the work of the author.</w:t>
      </w:r>
    </w:p>
    <w:p w14:paraId="0C47DC44" w14:textId="77777777" w:rsidR="00DA1A2C" w:rsidRPr="00DA1A2C" w:rsidRDefault="00DA1A2C" w:rsidP="00DA1A2C">
      <w:pPr>
        <w:spacing w:line="276" w:lineRule="auto"/>
        <w:jc w:val="both"/>
        <w:rPr>
          <w:rFonts w:ascii="Arial" w:eastAsia="Calibri" w:hAnsi="Arial" w:cs="Arial"/>
          <w:kern w:val="2"/>
        </w:rPr>
      </w:pPr>
      <w:r w:rsidRPr="00DA1A2C">
        <w:rPr>
          <w:rFonts w:ascii="Arial" w:eastAsia="Calibri" w:hAnsi="Arial" w:cs="Arial"/>
          <w:kern w:val="2"/>
        </w:rPr>
        <w:t>The specific AI tool used was:</w:t>
      </w:r>
    </w:p>
    <w:p w14:paraId="3BD9CCF5" w14:textId="77777777" w:rsidR="00DA1A2C" w:rsidRPr="00DA1A2C" w:rsidRDefault="00DA1A2C" w:rsidP="00DA1A2C">
      <w:pPr>
        <w:numPr>
          <w:ilvl w:val="0"/>
          <w:numId w:val="35"/>
        </w:numPr>
        <w:spacing w:line="276" w:lineRule="auto"/>
        <w:jc w:val="both"/>
        <w:rPr>
          <w:rFonts w:ascii="Arial" w:eastAsia="Calibri" w:hAnsi="Arial" w:cs="Arial"/>
          <w:kern w:val="2"/>
        </w:rPr>
      </w:pPr>
      <w:r w:rsidRPr="00DA1A2C">
        <w:rPr>
          <w:rFonts w:ascii="Arial" w:eastAsia="Calibri" w:hAnsi="Arial" w:cs="Arial"/>
          <w:b/>
          <w:bCs/>
          <w:kern w:val="2"/>
        </w:rPr>
        <w:t>Name</w:t>
      </w:r>
      <w:r w:rsidRPr="00DA1A2C">
        <w:rPr>
          <w:rFonts w:ascii="Arial" w:eastAsia="Calibri" w:hAnsi="Arial" w:cs="Arial"/>
          <w:kern w:val="2"/>
        </w:rPr>
        <w:t>: ChatGPT</w:t>
      </w:r>
    </w:p>
    <w:p w14:paraId="2D98ABF2" w14:textId="77777777" w:rsidR="00DA1A2C" w:rsidRPr="00DA1A2C" w:rsidRDefault="00DA1A2C" w:rsidP="00DA1A2C">
      <w:pPr>
        <w:numPr>
          <w:ilvl w:val="0"/>
          <w:numId w:val="35"/>
        </w:numPr>
        <w:spacing w:line="276" w:lineRule="auto"/>
        <w:jc w:val="both"/>
        <w:rPr>
          <w:rFonts w:ascii="Arial" w:eastAsia="Calibri" w:hAnsi="Arial" w:cs="Arial"/>
          <w:kern w:val="2"/>
        </w:rPr>
      </w:pPr>
      <w:r w:rsidRPr="00DA1A2C">
        <w:rPr>
          <w:rFonts w:ascii="Arial" w:eastAsia="Calibri" w:hAnsi="Arial" w:cs="Arial"/>
          <w:b/>
          <w:bCs/>
          <w:kern w:val="2"/>
        </w:rPr>
        <w:lastRenderedPageBreak/>
        <w:t>Version/Model</w:t>
      </w:r>
      <w:r w:rsidRPr="00DA1A2C">
        <w:rPr>
          <w:rFonts w:ascii="Arial" w:eastAsia="Calibri" w:hAnsi="Arial" w:cs="Arial"/>
          <w:kern w:val="2"/>
        </w:rPr>
        <w:t>: GPT-4o (OpenAI's GPT-4 Omni model, July 2025 release)</w:t>
      </w:r>
    </w:p>
    <w:p w14:paraId="55092DB1" w14:textId="77777777" w:rsidR="00DA1A2C" w:rsidRPr="00DA1A2C" w:rsidRDefault="00DA1A2C" w:rsidP="00DA1A2C">
      <w:pPr>
        <w:numPr>
          <w:ilvl w:val="0"/>
          <w:numId w:val="35"/>
        </w:numPr>
        <w:spacing w:line="276" w:lineRule="auto"/>
        <w:jc w:val="both"/>
        <w:rPr>
          <w:rFonts w:ascii="Arial" w:eastAsia="Calibri" w:hAnsi="Arial" w:cs="Arial"/>
          <w:kern w:val="2"/>
        </w:rPr>
      </w:pPr>
      <w:r w:rsidRPr="00DA1A2C">
        <w:rPr>
          <w:rFonts w:ascii="Arial" w:eastAsia="Calibri" w:hAnsi="Arial" w:cs="Arial"/>
          <w:b/>
          <w:bCs/>
          <w:kern w:val="2"/>
        </w:rPr>
        <w:t>Source</w:t>
      </w:r>
      <w:r w:rsidRPr="00DA1A2C">
        <w:rPr>
          <w:rFonts w:ascii="Arial" w:eastAsia="Calibri" w:hAnsi="Arial" w:cs="Arial"/>
          <w:kern w:val="2"/>
        </w:rPr>
        <w:t>: Accessed through OpenAI’s official platform (</w:t>
      </w:r>
      <w:hyperlink r:id="rId12" w:tgtFrame="_new" w:history="1">
        <w:r w:rsidRPr="00DA1A2C">
          <w:rPr>
            <w:rStyle w:val="Hyperlink"/>
            <w:rFonts w:ascii="Arial" w:eastAsia="Calibri" w:hAnsi="Arial" w:cs="Arial"/>
            <w:kern w:val="2"/>
          </w:rPr>
          <w:t>https://chat.openai.com</w:t>
        </w:r>
      </w:hyperlink>
      <w:r w:rsidRPr="00DA1A2C">
        <w:rPr>
          <w:rFonts w:ascii="Arial" w:eastAsia="Calibri" w:hAnsi="Arial" w:cs="Arial"/>
          <w:kern w:val="2"/>
        </w:rPr>
        <w:t>)</w:t>
      </w:r>
    </w:p>
    <w:p w14:paraId="0832FF6E" w14:textId="77777777" w:rsidR="00FD6430" w:rsidRPr="00FD6430" w:rsidRDefault="00DA1A2C" w:rsidP="00FD6430">
      <w:pPr>
        <w:jc w:val="both"/>
        <w:rPr>
          <w:rFonts w:ascii="Arial" w:eastAsia="Calibri" w:hAnsi="Arial" w:cs="Arial"/>
          <w:kern w:val="2"/>
        </w:rPr>
      </w:pPr>
      <w:r w:rsidRPr="00FD6430">
        <w:rPr>
          <w:rFonts w:ascii="Arial" w:eastAsia="Calibri" w:hAnsi="Arial" w:cs="Arial"/>
          <w:kern w:val="2"/>
        </w:rPr>
        <w:t>The following prompts were used during the translation process:</w:t>
      </w:r>
    </w:p>
    <w:p w14:paraId="47CAD1F3" w14:textId="04B261F6" w:rsidR="00FD6430" w:rsidRPr="00F44F73" w:rsidRDefault="00DA1A2C" w:rsidP="00FD6430">
      <w:pPr>
        <w:pStyle w:val="ListParagraph"/>
        <w:numPr>
          <w:ilvl w:val="0"/>
          <w:numId w:val="37"/>
        </w:numPr>
        <w:jc w:val="both"/>
        <w:rPr>
          <w:rFonts w:ascii="Arial" w:eastAsia="Calibri" w:hAnsi="Arial" w:cs="Arial"/>
          <w:i/>
          <w:iCs/>
          <w:kern w:val="2"/>
          <w:sz w:val="20"/>
          <w:szCs w:val="20"/>
          <w:lang w:val="sv-SE"/>
        </w:rPr>
      </w:pPr>
      <w:r w:rsidRPr="00F44F73">
        <w:rPr>
          <w:rFonts w:ascii="Arial" w:eastAsia="Calibri" w:hAnsi="Arial" w:cs="Arial"/>
          <w:i/>
          <w:iCs/>
          <w:kern w:val="2"/>
          <w:sz w:val="20"/>
          <w:szCs w:val="20"/>
          <w:lang w:val="sv-SE"/>
        </w:rPr>
        <w:t>"Terjemahkan bagian ini ke dalam Bahasa Inggris akademi</w:t>
      </w:r>
      <w:r w:rsidR="00FD6430" w:rsidRPr="00F44F73">
        <w:rPr>
          <w:rFonts w:ascii="Arial" w:eastAsia="Calibri" w:hAnsi="Arial" w:cs="Arial"/>
          <w:i/>
          <w:iCs/>
          <w:kern w:val="2"/>
          <w:sz w:val="20"/>
          <w:szCs w:val="20"/>
          <w:lang w:val="sv-SE"/>
        </w:rPr>
        <w:t>s</w:t>
      </w:r>
      <w:r w:rsidRPr="00F44F73">
        <w:rPr>
          <w:rFonts w:ascii="Arial" w:eastAsia="Calibri" w:hAnsi="Arial" w:cs="Arial"/>
          <w:i/>
          <w:iCs/>
          <w:kern w:val="2"/>
          <w:sz w:val="20"/>
          <w:szCs w:val="20"/>
          <w:lang w:val="sv-SE"/>
        </w:rPr>
        <w:t>."</w:t>
      </w:r>
    </w:p>
    <w:p w14:paraId="74A49FBF" w14:textId="3D0777C7" w:rsidR="00FD6430" w:rsidRPr="00FD6430" w:rsidRDefault="00FD6430" w:rsidP="00FD6430">
      <w:pPr>
        <w:pStyle w:val="ListParagraph"/>
        <w:jc w:val="both"/>
        <w:rPr>
          <w:rFonts w:ascii="Arial" w:eastAsia="Calibri" w:hAnsi="Arial" w:cs="Arial"/>
          <w:kern w:val="2"/>
          <w:sz w:val="20"/>
          <w:szCs w:val="20"/>
        </w:rPr>
      </w:pPr>
      <w:r w:rsidRPr="00FD6430">
        <w:rPr>
          <w:rFonts w:ascii="Arial" w:eastAsia="Calibri" w:hAnsi="Arial" w:cs="Arial"/>
          <w:kern w:val="2"/>
          <w:sz w:val="20"/>
          <w:szCs w:val="20"/>
        </w:rPr>
        <w:t>”</w:t>
      </w:r>
      <w:r w:rsidRPr="00FD6430">
        <w:t xml:space="preserve"> </w:t>
      </w:r>
      <w:r w:rsidRPr="00FD6430">
        <w:rPr>
          <w:rFonts w:ascii="Arial" w:eastAsia="Calibri" w:hAnsi="Arial" w:cs="Arial"/>
          <w:kern w:val="2"/>
          <w:sz w:val="20"/>
          <w:szCs w:val="20"/>
        </w:rPr>
        <w:t>Translate this section into academic English.</w:t>
      </w:r>
      <w:r>
        <w:rPr>
          <w:rFonts w:ascii="Arial" w:eastAsia="Calibri" w:hAnsi="Arial" w:cs="Arial"/>
          <w:kern w:val="2"/>
          <w:sz w:val="20"/>
          <w:szCs w:val="20"/>
        </w:rPr>
        <w:t>”</w:t>
      </w:r>
    </w:p>
    <w:p w14:paraId="5C2AC3C7" w14:textId="11A9DD84" w:rsidR="00DA1A2C" w:rsidRPr="00F44F73" w:rsidRDefault="00DA1A2C" w:rsidP="00FD6430">
      <w:pPr>
        <w:pStyle w:val="ListParagraph"/>
        <w:numPr>
          <w:ilvl w:val="0"/>
          <w:numId w:val="37"/>
        </w:numPr>
        <w:jc w:val="both"/>
        <w:rPr>
          <w:rFonts w:ascii="Arial" w:eastAsia="Calibri" w:hAnsi="Arial" w:cs="Arial"/>
          <w:i/>
          <w:iCs/>
          <w:kern w:val="2"/>
          <w:sz w:val="20"/>
          <w:szCs w:val="20"/>
          <w:lang w:val="sv-SE"/>
        </w:rPr>
      </w:pPr>
      <w:r w:rsidRPr="00F44F73">
        <w:rPr>
          <w:rFonts w:ascii="Arial" w:eastAsia="Calibri" w:hAnsi="Arial" w:cs="Arial"/>
          <w:i/>
          <w:iCs/>
          <w:kern w:val="2"/>
          <w:sz w:val="20"/>
          <w:szCs w:val="20"/>
          <w:lang w:val="sv-SE"/>
        </w:rPr>
        <w:t>"Pertahankan makna asli sambil memperbaiki pilihan kata."</w:t>
      </w:r>
    </w:p>
    <w:p w14:paraId="16ACFAFE" w14:textId="15D69D29" w:rsidR="00FD6430" w:rsidRPr="00FD6430" w:rsidRDefault="00FD6430" w:rsidP="00FD6430">
      <w:pPr>
        <w:pStyle w:val="ListParagraph"/>
        <w:jc w:val="both"/>
        <w:rPr>
          <w:rFonts w:ascii="Arial" w:eastAsia="Calibri" w:hAnsi="Arial" w:cs="Arial"/>
          <w:kern w:val="2"/>
          <w:sz w:val="20"/>
          <w:szCs w:val="20"/>
        </w:rPr>
      </w:pPr>
      <w:r w:rsidRPr="00FD6430">
        <w:rPr>
          <w:rFonts w:ascii="Arial" w:eastAsia="Calibri" w:hAnsi="Arial" w:cs="Arial"/>
          <w:kern w:val="2"/>
          <w:sz w:val="20"/>
          <w:szCs w:val="20"/>
        </w:rPr>
        <w:t>”</w:t>
      </w:r>
      <w:r w:rsidRPr="00FD6430">
        <w:t xml:space="preserve"> </w:t>
      </w:r>
      <w:r w:rsidRPr="00FD6430">
        <w:rPr>
          <w:rFonts w:ascii="Arial" w:eastAsia="Calibri" w:hAnsi="Arial" w:cs="Arial"/>
          <w:kern w:val="2"/>
          <w:sz w:val="20"/>
          <w:szCs w:val="20"/>
        </w:rPr>
        <w:t>Retain the original meaning while improving the word choice.</w:t>
      </w:r>
      <w:r>
        <w:rPr>
          <w:rFonts w:ascii="Arial" w:eastAsia="Calibri" w:hAnsi="Arial" w:cs="Arial"/>
          <w:kern w:val="2"/>
          <w:sz w:val="20"/>
          <w:szCs w:val="20"/>
        </w:rPr>
        <w:t>”</w:t>
      </w:r>
    </w:p>
    <w:p w14:paraId="6FA59962" w14:textId="77777777" w:rsidR="00DA1A2C" w:rsidRDefault="00DA1A2C" w:rsidP="00DA1A2C">
      <w:pPr>
        <w:spacing w:line="276" w:lineRule="auto"/>
        <w:jc w:val="both"/>
        <w:rPr>
          <w:rFonts w:ascii="Arial" w:eastAsia="Calibri" w:hAnsi="Arial" w:cs="Arial"/>
          <w:kern w:val="2"/>
        </w:rPr>
      </w:pPr>
      <w:r w:rsidRPr="00DA1A2C">
        <w:rPr>
          <w:rFonts w:ascii="Arial" w:eastAsia="Calibri" w:hAnsi="Arial" w:cs="Arial"/>
          <w:kern w:val="2"/>
        </w:rPr>
        <w:t>All outputs generated by ChatGPT were carefully reviewed, edited, and finalized by the author to ensure accuracy, clarity, and alignment with the intended academic meaning.</w:t>
      </w:r>
    </w:p>
    <w:p w14:paraId="59004100" w14:textId="77777777" w:rsidR="00FD6430" w:rsidRDefault="00FD6430" w:rsidP="00DA1A2C">
      <w:pPr>
        <w:spacing w:line="276" w:lineRule="auto"/>
        <w:jc w:val="both"/>
        <w:rPr>
          <w:rFonts w:ascii="Arial" w:eastAsia="Calibri" w:hAnsi="Arial" w:cs="Arial"/>
          <w:kern w:val="2"/>
        </w:rPr>
      </w:pPr>
    </w:p>
    <w:p w14:paraId="6951AFDA" w14:textId="2281D64E" w:rsidR="00FD6430" w:rsidRDefault="00FD6430" w:rsidP="00DA1A2C">
      <w:pPr>
        <w:spacing w:line="276" w:lineRule="auto"/>
        <w:jc w:val="both"/>
        <w:rPr>
          <w:rFonts w:ascii="Arial" w:eastAsia="Calibri" w:hAnsi="Arial" w:cs="Arial"/>
          <w:kern w:val="2"/>
        </w:rPr>
      </w:pPr>
      <w:r>
        <w:rPr>
          <w:rFonts w:ascii="Arial" w:eastAsia="Calibri" w:hAnsi="Arial" w:cs="Arial"/>
          <w:kern w:val="2"/>
        </w:rPr>
        <w:t>Best Regards,</w:t>
      </w:r>
    </w:p>
    <w:p w14:paraId="33953C9A" w14:textId="29B6EB3A" w:rsidR="00DA1A2C" w:rsidRDefault="00FD6430" w:rsidP="00E12746">
      <w:pPr>
        <w:spacing w:line="276" w:lineRule="auto"/>
        <w:jc w:val="both"/>
        <w:rPr>
          <w:rFonts w:ascii="Arial" w:eastAsia="Calibri" w:hAnsi="Arial" w:cs="Arial"/>
          <w:kern w:val="2"/>
        </w:rPr>
      </w:pPr>
      <w:r>
        <w:rPr>
          <w:rFonts w:ascii="Arial" w:eastAsia="Calibri" w:hAnsi="Arial" w:cs="Arial"/>
          <w:kern w:val="2"/>
        </w:rPr>
        <w:t xml:space="preserve">Raisa </w:t>
      </w:r>
      <w:proofErr w:type="spellStart"/>
      <w:r>
        <w:rPr>
          <w:rFonts w:ascii="Arial" w:eastAsia="Calibri" w:hAnsi="Arial" w:cs="Arial"/>
          <w:kern w:val="2"/>
        </w:rPr>
        <w:t>Septiningdya</w:t>
      </w:r>
      <w:proofErr w:type="spellEnd"/>
      <w:r>
        <w:rPr>
          <w:rFonts w:ascii="Arial" w:eastAsia="Calibri" w:hAnsi="Arial" w:cs="Arial"/>
          <w:kern w:val="2"/>
        </w:rPr>
        <w:t xml:space="preserve"> </w:t>
      </w:r>
      <w:proofErr w:type="spellStart"/>
      <w:r>
        <w:rPr>
          <w:rFonts w:ascii="Arial" w:eastAsia="Calibri" w:hAnsi="Arial" w:cs="Arial"/>
          <w:kern w:val="2"/>
        </w:rPr>
        <w:t>Mas’ud</w:t>
      </w:r>
      <w:proofErr w:type="spellEnd"/>
      <w:r>
        <w:rPr>
          <w:rFonts w:ascii="Arial" w:eastAsia="Calibri" w:hAnsi="Arial" w:cs="Arial"/>
          <w:kern w:val="2"/>
        </w:rPr>
        <w:t xml:space="preserve"> (Ms.)</w:t>
      </w:r>
    </w:p>
    <w:p w14:paraId="42214968" w14:textId="77777777" w:rsidR="00E12746" w:rsidRPr="00E12746" w:rsidRDefault="00E12746" w:rsidP="00E12746">
      <w:pPr>
        <w:spacing w:line="276" w:lineRule="auto"/>
        <w:jc w:val="both"/>
        <w:rPr>
          <w:rFonts w:ascii="Arial" w:eastAsia="Calibri" w:hAnsi="Arial" w:cs="Arial"/>
          <w:kern w:val="2"/>
        </w:rPr>
      </w:pPr>
    </w:p>
    <w:p w14:paraId="2FEB1346" w14:textId="77777777" w:rsidR="00BE7C6C" w:rsidRDefault="00BE7C6C" w:rsidP="00441B6F">
      <w:pPr>
        <w:pStyle w:val="ReferHead"/>
        <w:spacing w:after="0"/>
        <w:jc w:val="both"/>
        <w:rPr>
          <w:rFonts w:ascii="Arial" w:hAnsi="Arial" w:cs="Arial"/>
        </w:rPr>
      </w:pPr>
    </w:p>
    <w:p w14:paraId="191755A1" w14:textId="77777777" w:rsidR="00B01FCD" w:rsidRPr="00381D6F" w:rsidRDefault="00B01FCD" w:rsidP="00441B6F">
      <w:pPr>
        <w:pStyle w:val="ReferHead"/>
        <w:spacing w:after="0"/>
        <w:jc w:val="both"/>
        <w:rPr>
          <w:rFonts w:ascii="Arial" w:hAnsi="Arial" w:cs="Arial"/>
        </w:rPr>
      </w:pPr>
      <w:r w:rsidRPr="00381D6F">
        <w:rPr>
          <w:rFonts w:ascii="Arial" w:hAnsi="Arial" w:cs="Arial"/>
        </w:rPr>
        <w:t>References</w:t>
      </w:r>
    </w:p>
    <w:p w14:paraId="2F3CADB3" w14:textId="77777777" w:rsidR="00790ADA" w:rsidRPr="00381D6F" w:rsidRDefault="00790ADA" w:rsidP="00441B6F">
      <w:pPr>
        <w:pStyle w:val="ReferHead"/>
        <w:spacing w:after="0"/>
        <w:jc w:val="both"/>
        <w:rPr>
          <w:rFonts w:ascii="Arial" w:hAnsi="Arial" w:cs="Arial"/>
        </w:rPr>
      </w:pPr>
    </w:p>
    <w:p w14:paraId="30F0C06D" w14:textId="77777777" w:rsidR="00453938" w:rsidRPr="00F44F73" w:rsidRDefault="00381D6F" w:rsidP="00453938">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lang w:val="en-GB"/>
        </w:rPr>
        <w:t xml:space="preserve">Ab Halim, M. S., M Haniff, M. S., Mat </w:t>
      </w:r>
      <w:proofErr w:type="spellStart"/>
      <w:r w:rsidRPr="00F44F73">
        <w:rPr>
          <w:rFonts w:ascii="Helvetica" w:hAnsi="Helvetica" w:cs="Helvetica"/>
          <w:sz w:val="20"/>
          <w:szCs w:val="20"/>
          <w:lang w:val="en-GB"/>
        </w:rPr>
        <w:t>Junoh</w:t>
      </w:r>
      <w:proofErr w:type="spellEnd"/>
      <w:r w:rsidRPr="00F44F73">
        <w:rPr>
          <w:rFonts w:ascii="Helvetica" w:hAnsi="Helvetica" w:cs="Helvetica"/>
          <w:sz w:val="20"/>
          <w:szCs w:val="20"/>
          <w:lang w:val="en-GB"/>
        </w:rPr>
        <w:t xml:space="preserve">, M. Z., &amp; Osman, A. (2014). Financial Performance and the Management Issues of Bumiputera Construction Firms in the Malaysian Construction Industry. Journal of Scientific Research and Reports, 3(9), 1190–1202. </w:t>
      </w:r>
      <w:hyperlink r:id="rId13" w:history="1">
        <w:r w:rsidRPr="00F44F73">
          <w:rPr>
            <w:rStyle w:val="Hyperlink"/>
            <w:rFonts w:ascii="Helvetica" w:hAnsi="Helvetica" w:cs="Helvetica"/>
            <w:sz w:val="20"/>
            <w:szCs w:val="20"/>
          </w:rPr>
          <w:t>https://doi.org/10.9734/JSRR/2014/8418</w:t>
        </w:r>
      </w:hyperlink>
      <w:r w:rsidRPr="00F44F73">
        <w:rPr>
          <w:rStyle w:val="Hyperlink"/>
          <w:rFonts w:ascii="Helvetica" w:hAnsi="Helvetica" w:cs="Helvetica"/>
          <w:sz w:val="20"/>
          <w:szCs w:val="20"/>
        </w:rPr>
        <w:t xml:space="preserve"> </w:t>
      </w:r>
    </w:p>
    <w:p w14:paraId="461472E7" w14:textId="4C5E3AD9" w:rsidR="00453938" w:rsidRPr="00F44F73" w:rsidRDefault="00C875A5" w:rsidP="00453938">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Adnyana</w:t>
      </w:r>
      <w:proofErr w:type="spellEnd"/>
      <w:r w:rsidRPr="00F44F73">
        <w:rPr>
          <w:rFonts w:ascii="Helvetica" w:hAnsi="Helvetica" w:cs="Helvetica"/>
          <w:sz w:val="20"/>
          <w:szCs w:val="20"/>
        </w:rPr>
        <w:t xml:space="preserve">, I. M. </w:t>
      </w:r>
      <w:r w:rsidR="00474D9F" w:rsidRPr="00F44F73">
        <w:rPr>
          <w:rFonts w:ascii="Helvetica" w:hAnsi="Helvetica" w:cs="Helvetica"/>
          <w:sz w:val="20"/>
          <w:szCs w:val="20"/>
        </w:rPr>
        <w:t xml:space="preserve">(2021). </w:t>
      </w:r>
      <w:r w:rsidRPr="00F44F73">
        <w:rPr>
          <w:rFonts w:ascii="Helvetica" w:hAnsi="Helvetica" w:cs="Helvetica"/>
          <w:sz w:val="20"/>
          <w:szCs w:val="20"/>
        </w:rPr>
        <w:t xml:space="preserve">Investment and Portfolio Management. </w:t>
      </w:r>
      <w:r w:rsidRPr="00F44F73">
        <w:rPr>
          <w:rFonts w:ascii="Helvetica" w:hAnsi="Helvetica" w:cs="Helvetica"/>
          <w:sz w:val="20"/>
          <w:szCs w:val="20"/>
          <w:lang w:val="sv-SE"/>
        </w:rPr>
        <w:t>Jakarta</w:t>
      </w:r>
      <w:r w:rsidR="00453938" w:rsidRPr="00F44F73">
        <w:rPr>
          <w:rFonts w:ascii="Helvetica" w:hAnsi="Helvetica" w:cs="Helvetica"/>
          <w:sz w:val="20"/>
          <w:szCs w:val="20"/>
          <w:lang w:val="sv-SE"/>
        </w:rPr>
        <w:t>: LPU-UNAS</w:t>
      </w:r>
      <w:r w:rsidR="00474D9F" w:rsidRPr="00F44F73">
        <w:rPr>
          <w:rFonts w:ascii="Helvetica" w:hAnsi="Helvetica" w:cs="Helvetica"/>
          <w:sz w:val="20"/>
          <w:szCs w:val="20"/>
          <w:lang w:val="sv-SE"/>
        </w:rPr>
        <w:t>.</w:t>
      </w:r>
    </w:p>
    <w:p w14:paraId="3BE809D4" w14:textId="42DA96B8"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Al </w:t>
      </w:r>
      <w:proofErr w:type="spellStart"/>
      <w:r w:rsidRPr="00F44F73">
        <w:rPr>
          <w:rFonts w:ascii="Helvetica" w:hAnsi="Helvetica" w:cs="Helvetica"/>
          <w:sz w:val="20"/>
          <w:szCs w:val="20"/>
        </w:rPr>
        <w:t>Fadihillah</w:t>
      </w:r>
      <w:proofErr w:type="spellEnd"/>
      <w:r w:rsidRPr="00F44F73">
        <w:rPr>
          <w:rFonts w:ascii="Helvetica" w:hAnsi="Helvetica" w:cs="Helvetica"/>
          <w:sz w:val="20"/>
          <w:szCs w:val="20"/>
        </w:rPr>
        <w:t xml:space="preserve">, Kevin Adhi </w:t>
      </w:r>
      <w:proofErr w:type="spellStart"/>
      <w:r w:rsidRPr="00F44F73">
        <w:rPr>
          <w:rFonts w:ascii="Helvetica" w:hAnsi="Helvetica" w:cs="Helvetica"/>
          <w:sz w:val="20"/>
          <w:szCs w:val="20"/>
        </w:rPr>
        <w:t>Pramana</w:t>
      </w:r>
      <w:proofErr w:type="spellEnd"/>
      <w:r w:rsidRPr="00F44F73">
        <w:rPr>
          <w:rFonts w:ascii="Helvetica" w:hAnsi="Helvetica" w:cs="Helvetica"/>
          <w:sz w:val="20"/>
          <w:szCs w:val="20"/>
        </w:rPr>
        <w:t xml:space="preserve">, and Sri </w:t>
      </w:r>
      <w:proofErr w:type="spellStart"/>
      <w:r w:rsidRPr="00F44F73">
        <w:rPr>
          <w:rFonts w:ascii="Helvetica" w:hAnsi="Helvetica" w:cs="Helvetica"/>
          <w:sz w:val="20"/>
          <w:szCs w:val="20"/>
        </w:rPr>
        <w:t>Utiyati</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 xml:space="preserve">(2022). </w:t>
      </w:r>
      <w:r w:rsidRPr="00F44F73">
        <w:rPr>
          <w:rFonts w:ascii="Helvetica" w:hAnsi="Helvetica" w:cs="Helvetica"/>
          <w:sz w:val="20"/>
          <w:szCs w:val="20"/>
        </w:rPr>
        <w:t>The Effect of Company Size, Liquidity, Leverage, and Activity on Firm Value. Journal of Management Science and Research.</w:t>
      </w:r>
      <w:r w:rsidR="00474D9F" w:rsidRPr="00F44F73">
        <w:rPr>
          <w:rFonts w:ascii="Helvetica" w:hAnsi="Helvetica" w:cs="Helvetica"/>
          <w:sz w:val="20"/>
          <w:szCs w:val="20"/>
        </w:rPr>
        <w:t xml:space="preserve"> </w:t>
      </w:r>
      <w:r w:rsidRPr="00F44F73">
        <w:rPr>
          <w:rFonts w:ascii="Helvetica" w:hAnsi="Helvetica" w:cs="Helvetica"/>
          <w:sz w:val="20"/>
          <w:szCs w:val="20"/>
        </w:rPr>
        <w:t>11(9)</w:t>
      </w:r>
      <w:r w:rsidR="00442BD5" w:rsidRPr="00F44F73">
        <w:rPr>
          <w:rFonts w:ascii="Helvetica" w:hAnsi="Helvetica" w:cs="Helvetica"/>
          <w:sz w:val="20"/>
          <w:szCs w:val="20"/>
        </w:rPr>
        <w:t xml:space="preserve">, </w:t>
      </w:r>
      <w:r w:rsidRPr="00F44F73">
        <w:rPr>
          <w:rFonts w:ascii="Helvetica" w:hAnsi="Helvetica" w:cs="Helvetica"/>
          <w:sz w:val="20"/>
          <w:szCs w:val="20"/>
        </w:rPr>
        <w:t>1-16. Retrieved from</w:t>
      </w:r>
      <w:r w:rsidR="00453938" w:rsidRPr="00F44F73">
        <w:rPr>
          <w:rFonts w:ascii="Helvetica" w:hAnsi="Helvetica" w:cs="Helvetica"/>
          <w:sz w:val="20"/>
          <w:szCs w:val="20"/>
        </w:rPr>
        <w:t xml:space="preserve"> </w:t>
      </w:r>
      <w:hyperlink r:id="rId14" w:history="1">
        <w:r w:rsidR="00453938" w:rsidRPr="00F44F73">
          <w:rPr>
            <w:rStyle w:val="Hyperlink"/>
            <w:rFonts w:ascii="Helvetica" w:hAnsi="Helvetica" w:cs="Helvetica"/>
            <w:sz w:val="20"/>
            <w:szCs w:val="20"/>
          </w:rPr>
          <w:t>https://jurnalmahasiswa.stiesia.ac.id/index.php/jirm/article/view/4889</w:t>
        </w:r>
      </w:hyperlink>
    </w:p>
    <w:p w14:paraId="4CB99A48" w14:textId="1DCB98D3"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Ali, J., R. </w:t>
      </w:r>
      <w:proofErr w:type="spellStart"/>
      <w:r w:rsidRPr="00F44F73">
        <w:rPr>
          <w:rFonts w:ascii="Helvetica" w:hAnsi="Helvetica" w:cs="Helvetica"/>
          <w:sz w:val="20"/>
          <w:szCs w:val="20"/>
        </w:rPr>
        <w:t>Faroji</w:t>
      </w:r>
      <w:proofErr w:type="spellEnd"/>
      <w:r w:rsidRPr="00F44F73">
        <w:rPr>
          <w:rFonts w:ascii="Helvetica" w:hAnsi="Helvetica" w:cs="Helvetica"/>
          <w:sz w:val="20"/>
          <w:szCs w:val="20"/>
        </w:rPr>
        <w:t xml:space="preserve">, and O. Ali. </w:t>
      </w:r>
      <w:r w:rsidR="00131C9C" w:rsidRPr="00F44F73">
        <w:rPr>
          <w:rFonts w:ascii="Helvetica" w:hAnsi="Helvetica" w:cs="Helvetica"/>
          <w:sz w:val="20"/>
          <w:szCs w:val="20"/>
        </w:rPr>
        <w:t xml:space="preserve">(2021). </w:t>
      </w:r>
      <w:r w:rsidRPr="00F44F73">
        <w:rPr>
          <w:rFonts w:ascii="Helvetica" w:hAnsi="Helvetica" w:cs="Helvetica"/>
          <w:sz w:val="20"/>
          <w:szCs w:val="20"/>
        </w:rPr>
        <w:t>The Effect of Profitability on Firm Value (An Empirical Study of Consumer Goods Industry Companies on the Indonesia Stock Exchange 2017-2019). Journal of Civilization Balance. 1(2)</w:t>
      </w:r>
      <w:r w:rsidR="00442BD5" w:rsidRPr="00F44F73">
        <w:rPr>
          <w:rFonts w:ascii="Helvetica" w:hAnsi="Helvetica" w:cs="Helvetica"/>
          <w:sz w:val="20"/>
          <w:szCs w:val="20"/>
        </w:rPr>
        <w:t xml:space="preserve">, </w:t>
      </w:r>
      <w:r w:rsidRPr="00F44F73">
        <w:rPr>
          <w:rFonts w:ascii="Helvetica" w:hAnsi="Helvetica" w:cs="Helvetica"/>
          <w:sz w:val="20"/>
          <w:szCs w:val="20"/>
        </w:rPr>
        <w:t>128-135.</w:t>
      </w:r>
      <w:r w:rsidR="00474D9F" w:rsidRPr="00F44F73">
        <w:rPr>
          <w:rFonts w:ascii="Helvetica" w:hAnsi="Helvetica" w:cs="Helvetica"/>
          <w:sz w:val="20"/>
          <w:szCs w:val="20"/>
        </w:rPr>
        <w:t xml:space="preserve"> </w:t>
      </w:r>
      <w:hyperlink r:id="rId15" w:history="1">
        <w:r w:rsidR="00474D9F" w:rsidRPr="00F44F73">
          <w:rPr>
            <w:rStyle w:val="Hyperlink"/>
            <w:rFonts w:ascii="Helvetica" w:hAnsi="Helvetica" w:cs="Helvetica"/>
            <w:sz w:val="20"/>
            <w:szCs w:val="20"/>
          </w:rPr>
          <w:t>https://doi.org/10.55182/jnp.v1i2.36</w:t>
        </w:r>
      </w:hyperlink>
    </w:p>
    <w:p w14:paraId="32622BCC" w14:textId="219D37E9" w:rsidR="00453938" w:rsidRPr="00F44F73" w:rsidRDefault="00C875A5" w:rsidP="00C875A5">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Aprianingrum</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Ulfi</w:t>
      </w:r>
      <w:proofErr w:type="spellEnd"/>
      <w:r w:rsidRPr="00F44F73">
        <w:rPr>
          <w:rFonts w:ascii="Helvetica" w:hAnsi="Helvetica" w:cs="Helvetica"/>
          <w:sz w:val="20"/>
          <w:szCs w:val="20"/>
        </w:rPr>
        <w:t xml:space="preserve">., and </w:t>
      </w:r>
      <w:proofErr w:type="spellStart"/>
      <w:r w:rsidRPr="00F44F73">
        <w:rPr>
          <w:rFonts w:ascii="Helvetica" w:hAnsi="Helvetica" w:cs="Helvetica"/>
          <w:sz w:val="20"/>
          <w:szCs w:val="20"/>
        </w:rPr>
        <w:t>Imanda</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Firmantyas</w:t>
      </w:r>
      <w:proofErr w:type="spellEnd"/>
      <w:r w:rsidRPr="00F44F73">
        <w:rPr>
          <w:rFonts w:ascii="Helvetica" w:hAnsi="Helvetica" w:cs="Helvetica"/>
          <w:sz w:val="20"/>
          <w:szCs w:val="20"/>
        </w:rPr>
        <w:t xml:space="preserve"> Putri Pertiwi. </w:t>
      </w:r>
      <w:r w:rsidR="00131C9C" w:rsidRPr="00F44F73">
        <w:rPr>
          <w:rFonts w:ascii="Helvetica" w:hAnsi="Helvetica" w:cs="Helvetica"/>
          <w:sz w:val="20"/>
          <w:szCs w:val="20"/>
        </w:rPr>
        <w:t xml:space="preserve">(2022). </w:t>
      </w:r>
      <w:r w:rsidRPr="00F44F73">
        <w:rPr>
          <w:rFonts w:ascii="Helvetica" w:hAnsi="Helvetica" w:cs="Helvetica"/>
          <w:sz w:val="20"/>
          <w:szCs w:val="20"/>
        </w:rPr>
        <w:t xml:space="preserve">Analysis of Factors Determining Profit Growth with Corporate Governance as a Moderating Variable (A Study of Manufacturing Companies Listed on ISSI 2018-2020). Accounting and Finance Studies. </w:t>
      </w:r>
      <w:r w:rsidRPr="00F44F73">
        <w:rPr>
          <w:rFonts w:ascii="Helvetica" w:hAnsi="Helvetica" w:cs="Helvetica"/>
          <w:sz w:val="20"/>
          <w:szCs w:val="20"/>
          <w:lang w:val="sv-SE"/>
        </w:rPr>
        <w:t>2(1)</w:t>
      </w:r>
      <w:r w:rsidR="00442BD5" w:rsidRPr="00F44F73">
        <w:rPr>
          <w:rFonts w:ascii="Helvetica" w:hAnsi="Helvetica" w:cs="Helvetica"/>
          <w:sz w:val="20"/>
          <w:szCs w:val="20"/>
          <w:lang w:val="sv-SE"/>
        </w:rPr>
        <w:t xml:space="preserve">, </w:t>
      </w:r>
      <w:r w:rsidRPr="00F44F73">
        <w:rPr>
          <w:rFonts w:ascii="Helvetica" w:hAnsi="Helvetica" w:cs="Helvetica"/>
          <w:sz w:val="20"/>
          <w:szCs w:val="20"/>
          <w:lang w:val="sv-SE"/>
        </w:rPr>
        <w:t xml:space="preserve">1-20. </w:t>
      </w:r>
      <w:r w:rsidR="00131C9C" w:rsidRPr="00F44F73">
        <w:rPr>
          <w:rFonts w:ascii="Helvetica" w:hAnsi="Helvetica" w:cs="Helvetica"/>
          <w:sz w:val="20"/>
          <w:szCs w:val="20"/>
          <w:lang w:val="sv-SE"/>
        </w:rPr>
        <w:fldChar w:fldCharType="begin"/>
      </w:r>
      <w:r w:rsidR="00131C9C" w:rsidRPr="00F44F73">
        <w:rPr>
          <w:rFonts w:ascii="Helvetica" w:hAnsi="Helvetica" w:cs="Helvetica"/>
          <w:sz w:val="20"/>
          <w:szCs w:val="20"/>
          <w:lang w:val="sv-SE"/>
        </w:rPr>
        <w:instrText>HYPERLINK "https://doi.org/10.47153/afs21.2622022"</w:instrText>
      </w:r>
      <w:r w:rsidR="00131C9C" w:rsidRPr="00F44F73">
        <w:rPr>
          <w:rFonts w:ascii="Helvetica" w:hAnsi="Helvetica" w:cs="Helvetica"/>
          <w:sz w:val="20"/>
          <w:szCs w:val="20"/>
          <w:lang w:val="sv-SE"/>
        </w:rPr>
        <w:fldChar w:fldCharType="separate"/>
      </w:r>
      <w:r w:rsidR="00131C9C" w:rsidRPr="00F44F73">
        <w:rPr>
          <w:rStyle w:val="Hyperlink"/>
          <w:rFonts w:ascii="Helvetica" w:hAnsi="Helvetica" w:cs="Helvetica"/>
          <w:sz w:val="20"/>
          <w:szCs w:val="20"/>
          <w:lang w:val="sv-SE"/>
        </w:rPr>
        <w:t>https://doi.org/10.47153/afs21.2622022</w:t>
      </w:r>
      <w:r w:rsidR="00131C9C" w:rsidRPr="00F44F73">
        <w:rPr>
          <w:rFonts w:ascii="Helvetica" w:hAnsi="Helvetica" w:cs="Helvetica"/>
          <w:sz w:val="20"/>
          <w:szCs w:val="20"/>
          <w:lang w:val="sv-SE"/>
        </w:rPr>
        <w:fldChar w:fldCharType="end"/>
      </w:r>
    </w:p>
    <w:p w14:paraId="197C8537" w14:textId="702F0FC7"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lang w:val="sv-SE"/>
        </w:rPr>
        <w:t>Ayuningrum, Intan Abriani., et al.</w:t>
      </w:r>
      <w:r w:rsidR="00131C9C" w:rsidRPr="00F44F73">
        <w:rPr>
          <w:rFonts w:ascii="Helvetica" w:hAnsi="Helvetica" w:cs="Helvetica"/>
          <w:sz w:val="20"/>
          <w:szCs w:val="20"/>
          <w:lang w:val="sv-SE"/>
        </w:rPr>
        <w:t xml:space="preserve"> </w:t>
      </w:r>
      <w:r w:rsidR="00131C9C" w:rsidRPr="00F44F73">
        <w:rPr>
          <w:rFonts w:ascii="Helvetica" w:hAnsi="Helvetica" w:cs="Helvetica"/>
          <w:sz w:val="20"/>
          <w:szCs w:val="20"/>
        </w:rPr>
        <w:t>(2021).</w:t>
      </w:r>
      <w:r w:rsidRPr="00F44F73">
        <w:rPr>
          <w:rFonts w:ascii="Helvetica" w:hAnsi="Helvetica" w:cs="Helvetica"/>
          <w:sz w:val="20"/>
          <w:szCs w:val="20"/>
        </w:rPr>
        <w:t xml:space="preserve"> The Effect of Debt to Assets Ratio, Firm Size, Return on Assets, and Sales Growth on Price to Book Value (A Study of Food and Beverage Companies Listed on the Indonesia Stock Exchange 2013-2017). Business Economics and Entrepreneurship.</w:t>
      </w:r>
      <w:r w:rsidR="00131C9C" w:rsidRPr="00F44F73">
        <w:rPr>
          <w:rFonts w:ascii="Helvetica" w:hAnsi="Helvetica" w:cs="Helvetica"/>
          <w:sz w:val="20"/>
          <w:szCs w:val="20"/>
        </w:rPr>
        <w:t xml:space="preserve"> </w:t>
      </w:r>
      <w:r w:rsidRPr="00F44F73">
        <w:rPr>
          <w:rFonts w:ascii="Helvetica" w:hAnsi="Helvetica" w:cs="Helvetica"/>
          <w:sz w:val="20"/>
          <w:szCs w:val="20"/>
        </w:rPr>
        <w:t>10(1)</w:t>
      </w:r>
      <w:r w:rsidR="00442BD5" w:rsidRPr="00F44F73">
        <w:rPr>
          <w:rFonts w:ascii="Helvetica" w:hAnsi="Helvetica" w:cs="Helvetica"/>
          <w:sz w:val="20"/>
          <w:szCs w:val="20"/>
        </w:rPr>
        <w:t xml:space="preserve">, </w:t>
      </w:r>
      <w:r w:rsidRPr="00F44F73">
        <w:rPr>
          <w:rFonts w:ascii="Helvetica" w:hAnsi="Helvetica" w:cs="Helvetica"/>
          <w:sz w:val="20"/>
          <w:szCs w:val="20"/>
        </w:rPr>
        <w:t xml:space="preserve">17-28. Retrieved from </w:t>
      </w:r>
      <w:hyperlink r:id="rId16" w:history="1">
        <w:r w:rsidR="00453938" w:rsidRPr="00F44F73">
          <w:rPr>
            <w:rStyle w:val="Hyperlink"/>
            <w:rFonts w:ascii="Helvetica" w:hAnsi="Helvetica" w:cs="Helvetica"/>
            <w:sz w:val="20"/>
            <w:szCs w:val="20"/>
          </w:rPr>
          <w:t>https://jurnal.usahidsolo.ac.id/index.php/IAB/article/view/991</w:t>
        </w:r>
      </w:hyperlink>
    </w:p>
    <w:p w14:paraId="1535D271" w14:textId="30153AA5"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Chandra, A. L., and E. </w:t>
      </w:r>
      <w:proofErr w:type="spellStart"/>
      <w:r w:rsidRPr="00F44F73">
        <w:rPr>
          <w:rFonts w:ascii="Helvetica" w:hAnsi="Helvetica" w:cs="Helvetica"/>
          <w:sz w:val="20"/>
          <w:szCs w:val="20"/>
        </w:rPr>
        <w:t>Rusliati</w:t>
      </w:r>
      <w:proofErr w:type="spellEnd"/>
      <w:r w:rsidRPr="00F44F73">
        <w:rPr>
          <w:rFonts w:ascii="Helvetica" w:hAnsi="Helvetica" w:cs="Helvetica"/>
          <w:sz w:val="20"/>
          <w:szCs w:val="20"/>
        </w:rPr>
        <w:t xml:space="preserve">. </w:t>
      </w:r>
      <w:r w:rsidR="00131C9C" w:rsidRPr="00F44F73">
        <w:rPr>
          <w:rFonts w:ascii="Helvetica" w:hAnsi="Helvetica" w:cs="Helvetica"/>
          <w:sz w:val="20"/>
          <w:szCs w:val="20"/>
        </w:rPr>
        <w:t xml:space="preserve">(2019). </w:t>
      </w:r>
      <w:r w:rsidRPr="00F44F73">
        <w:rPr>
          <w:rFonts w:ascii="Helvetica" w:hAnsi="Helvetica" w:cs="Helvetica"/>
          <w:sz w:val="20"/>
          <w:szCs w:val="20"/>
        </w:rPr>
        <w:t>Financial Leverage and Liquidity on Good Corporate Governance and Stock Return. Journal of Contemporary Accounting Research.</w:t>
      </w:r>
      <w:r w:rsidR="00131C9C" w:rsidRPr="00F44F73">
        <w:rPr>
          <w:rFonts w:ascii="Helvetica" w:hAnsi="Helvetica" w:cs="Helvetica"/>
          <w:sz w:val="20"/>
          <w:szCs w:val="20"/>
        </w:rPr>
        <w:t xml:space="preserve"> </w:t>
      </w:r>
      <w:r w:rsidRPr="00F44F73">
        <w:rPr>
          <w:rFonts w:ascii="Helvetica" w:hAnsi="Helvetica" w:cs="Helvetica"/>
          <w:sz w:val="20"/>
          <w:szCs w:val="20"/>
        </w:rPr>
        <w:t>11(2)</w:t>
      </w:r>
      <w:r w:rsidR="00442BD5" w:rsidRPr="00F44F73">
        <w:rPr>
          <w:rFonts w:ascii="Helvetica" w:hAnsi="Helvetica" w:cs="Helvetica"/>
          <w:sz w:val="20"/>
          <w:szCs w:val="20"/>
        </w:rPr>
        <w:t xml:space="preserve">, </w:t>
      </w:r>
      <w:r w:rsidRPr="00F44F73">
        <w:rPr>
          <w:rFonts w:ascii="Helvetica" w:hAnsi="Helvetica" w:cs="Helvetica"/>
          <w:sz w:val="20"/>
          <w:szCs w:val="20"/>
        </w:rPr>
        <w:t>78-87.</w:t>
      </w:r>
      <w:r w:rsidR="00453938" w:rsidRPr="00F44F73">
        <w:rPr>
          <w:rFonts w:ascii="Helvetica" w:hAnsi="Helvetica" w:cs="Helvetica"/>
          <w:sz w:val="20"/>
          <w:szCs w:val="20"/>
        </w:rPr>
        <w:t xml:space="preserve"> </w:t>
      </w:r>
      <w:hyperlink r:id="rId17" w:history="1">
        <w:r w:rsidR="00453938" w:rsidRPr="00F44F73">
          <w:rPr>
            <w:rStyle w:val="Hyperlink"/>
            <w:rFonts w:ascii="Helvetica" w:hAnsi="Helvetica" w:cs="Helvetica"/>
            <w:sz w:val="20"/>
            <w:szCs w:val="20"/>
          </w:rPr>
          <w:t>https://doi.org/10.23969/jrak.v11i2.3146</w:t>
        </w:r>
      </w:hyperlink>
    </w:p>
    <w:p w14:paraId="7B77402C" w14:textId="78955BA1"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Darmawan. </w:t>
      </w:r>
      <w:r w:rsidR="00131C9C" w:rsidRPr="00F44F73">
        <w:rPr>
          <w:rFonts w:ascii="Helvetica" w:hAnsi="Helvetica" w:cs="Helvetica"/>
          <w:sz w:val="20"/>
          <w:szCs w:val="20"/>
        </w:rPr>
        <w:t xml:space="preserve">(2020). </w:t>
      </w:r>
      <w:r w:rsidRPr="00F44F73">
        <w:rPr>
          <w:rFonts w:ascii="Helvetica" w:hAnsi="Helvetica" w:cs="Helvetica"/>
          <w:sz w:val="20"/>
          <w:szCs w:val="20"/>
        </w:rPr>
        <w:t>Basics of Understanding Ratios and Financial Statements. Yogyakarta: UNY Press</w:t>
      </w:r>
      <w:r w:rsidR="00453938" w:rsidRPr="00F44F73">
        <w:rPr>
          <w:rFonts w:ascii="Helvetica" w:hAnsi="Helvetica" w:cs="Helvetica"/>
          <w:sz w:val="20"/>
          <w:szCs w:val="20"/>
        </w:rPr>
        <w:t>.</w:t>
      </w:r>
    </w:p>
    <w:p w14:paraId="261277A5" w14:textId="5F45C6FE"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Dewi, K. W., E. </w:t>
      </w:r>
      <w:proofErr w:type="spellStart"/>
      <w:r w:rsidRPr="00F44F73">
        <w:rPr>
          <w:rFonts w:ascii="Helvetica" w:hAnsi="Helvetica" w:cs="Helvetica"/>
          <w:sz w:val="20"/>
          <w:szCs w:val="20"/>
        </w:rPr>
        <w:t>Herlinawati</w:t>
      </w:r>
      <w:proofErr w:type="spellEnd"/>
      <w:r w:rsidRPr="00F44F73">
        <w:rPr>
          <w:rFonts w:ascii="Helvetica" w:hAnsi="Helvetica" w:cs="Helvetica"/>
          <w:sz w:val="20"/>
          <w:szCs w:val="20"/>
        </w:rPr>
        <w:t xml:space="preserve">, A. </w:t>
      </w:r>
      <w:proofErr w:type="spellStart"/>
      <w:r w:rsidRPr="00F44F73">
        <w:rPr>
          <w:rFonts w:ascii="Helvetica" w:hAnsi="Helvetica" w:cs="Helvetica"/>
          <w:sz w:val="20"/>
          <w:szCs w:val="20"/>
        </w:rPr>
        <w:t>Suryaningprang</w:t>
      </w:r>
      <w:proofErr w:type="spellEnd"/>
      <w:r w:rsidRPr="00F44F73">
        <w:rPr>
          <w:rFonts w:ascii="Helvetica" w:hAnsi="Helvetica" w:cs="Helvetica"/>
          <w:sz w:val="20"/>
          <w:szCs w:val="20"/>
        </w:rPr>
        <w:t xml:space="preserve">, and Y. </w:t>
      </w:r>
      <w:proofErr w:type="spellStart"/>
      <w:r w:rsidRPr="00F44F73">
        <w:rPr>
          <w:rFonts w:ascii="Helvetica" w:hAnsi="Helvetica" w:cs="Helvetica"/>
          <w:sz w:val="20"/>
          <w:szCs w:val="20"/>
        </w:rPr>
        <w:t>Sudaryo</w:t>
      </w:r>
      <w:proofErr w:type="spellEnd"/>
      <w:r w:rsidRPr="00F44F73">
        <w:rPr>
          <w:rFonts w:ascii="Helvetica" w:hAnsi="Helvetica" w:cs="Helvetica"/>
          <w:sz w:val="20"/>
          <w:szCs w:val="20"/>
        </w:rPr>
        <w:t>.</w:t>
      </w:r>
      <w:r w:rsidR="00AD23B0" w:rsidRPr="00F44F73">
        <w:rPr>
          <w:rFonts w:ascii="Helvetica" w:hAnsi="Helvetica" w:cs="Helvetica"/>
          <w:sz w:val="20"/>
          <w:szCs w:val="20"/>
        </w:rPr>
        <w:t xml:space="preserve"> (2022).</w:t>
      </w:r>
      <w:r w:rsidRPr="00F44F73">
        <w:rPr>
          <w:rFonts w:ascii="Helvetica" w:hAnsi="Helvetica" w:cs="Helvetica"/>
          <w:sz w:val="20"/>
          <w:szCs w:val="20"/>
        </w:rPr>
        <w:t xml:space="preserve"> The Effect of CR, DER, TATO, and ROA on PBV at PT </w:t>
      </w:r>
      <w:proofErr w:type="spellStart"/>
      <w:r w:rsidRPr="00F44F73">
        <w:rPr>
          <w:rFonts w:ascii="Helvetica" w:hAnsi="Helvetica" w:cs="Helvetica"/>
          <w:sz w:val="20"/>
          <w:szCs w:val="20"/>
        </w:rPr>
        <w:t>Indomobil</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Sukses</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Internasional</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Tbk</w:t>
      </w:r>
      <w:proofErr w:type="spellEnd"/>
      <w:r w:rsidRPr="00F44F73">
        <w:rPr>
          <w:rFonts w:ascii="Helvetica" w:hAnsi="Helvetica" w:cs="Helvetica"/>
          <w:sz w:val="20"/>
          <w:szCs w:val="20"/>
        </w:rPr>
        <w:t xml:space="preserve">. Journal </w:t>
      </w:r>
      <w:r w:rsidRPr="00F44F73">
        <w:rPr>
          <w:rFonts w:ascii="Helvetica" w:hAnsi="Helvetica" w:cs="Helvetica"/>
          <w:sz w:val="20"/>
          <w:szCs w:val="20"/>
        </w:rPr>
        <w:lastRenderedPageBreak/>
        <w:t>of Business Finance and Economic (JBFE). 3(2)</w:t>
      </w:r>
      <w:r w:rsidR="00442BD5" w:rsidRPr="00F44F73">
        <w:rPr>
          <w:rFonts w:ascii="Helvetica" w:hAnsi="Helvetica" w:cs="Helvetica"/>
          <w:sz w:val="20"/>
          <w:szCs w:val="20"/>
        </w:rPr>
        <w:t xml:space="preserve">, </w:t>
      </w:r>
      <w:r w:rsidRPr="00F44F73">
        <w:rPr>
          <w:rFonts w:ascii="Helvetica" w:hAnsi="Helvetica" w:cs="Helvetica"/>
          <w:sz w:val="20"/>
          <w:szCs w:val="20"/>
        </w:rPr>
        <w:t>269-283.</w:t>
      </w:r>
      <w:hyperlink r:id="rId18" w:history="1">
        <w:r w:rsidR="00AD23B0" w:rsidRPr="00F44F73">
          <w:rPr>
            <w:rStyle w:val="Hyperlink"/>
            <w:rFonts w:ascii="Helvetica" w:hAnsi="Helvetica" w:cs="Helvetica"/>
            <w:sz w:val="20"/>
            <w:szCs w:val="20"/>
          </w:rPr>
          <w:t>https://doi.org/10.32585/jbfe.v3i2.3476</w:t>
        </w:r>
      </w:hyperlink>
    </w:p>
    <w:p w14:paraId="63969F2F" w14:textId="55FEB995" w:rsidR="00453938" w:rsidRPr="00F44F73" w:rsidRDefault="00C875A5" w:rsidP="00C875A5">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Farhan, N. H.S., E. </w:t>
      </w:r>
      <w:proofErr w:type="spellStart"/>
      <w:r w:rsidRPr="00F44F73">
        <w:rPr>
          <w:rFonts w:ascii="Helvetica" w:hAnsi="Helvetica" w:cs="Helvetica"/>
          <w:sz w:val="20"/>
          <w:szCs w:val="20"/>
        </w:rPr>
        <w:t>Alhomidi</w:t>
      </w:r>
      <w:proofErr w:type="spellEnd"/>
      <w:r w:rsidRPr="00F44F73">
        <w:rPr>
          <w:rFonts w:ascii="Helvetica" w:hAnsi="Helvetica" w:cs="Helvetica"/>
          <w:sz w:val="20"/>
          <w:szCs w:val="20"/>
        </w:rPr>
        <w:t xml:space="preserve">., F. A. </w:t>
      </w:r>
      <w:proofErr w:type="spellStart"/>
      <w:r w:rsidRPr="00F44F73">
        <w:rPr>
          <w:rFonts w:ascii="Helvetica" w:hAnsi="Helvetica" w:cs="Helvetica"/>
          <w:sz w:val="20"/>
          <w:szCs w:val="20"/>
        </w:rPr>
        <w:t>Almaqtari</w:t>
      </w:r>
      <w:proofErr w:type="spellEnd"/>
      <w:r w:rsidRPr="00F44F73">
        <w:rPr>
          <w:rFonts w:ascii="Helvetica" w:hAnsi="Helvetica" w:cs="Helvetica"/>
          <w:sz w:val="20"/>
          <w:szCs w:val="20"/>
        </w:rPr>
        <w:t>., and M. I. Tabash.</w:t>
      </w:r>
      <w:r w:rsidR="00AD23B0" w:rsidRPr="00F44F73">
        <w:rPr>
          <w:rFonts w:ascii="Helvetica" w:hAnsi="Helvetica" w:cs="Helvetica"/>
          <w:sz w:val="20"/>
          <w:szCs w:val="20"/>
        </w:rPr>
        <w:t xml:space="preserve"> (2019).</w:t>
      </w:r>
      <w:r w:rsidRPr="00F44F73">
        <w:rPr>
          <w:rFonts w:ascii="Helvetica" w:hAnsi="Helvetica" w:cs="Helvetica"/>
          <w:sz w:val="20"/>
          <w:szCs w:val="20"/>
        </w:rPr>
        <w:t xml:space="preserve"> Does Corporate governance Moderate the Relationship between Liquidity Ratios and Financial Performance? Evidence from Indian Pharmaceutical Companies. Academic Journal of Interdisciplinary Studies.</w:t>
      </w:r>
      <w:r w:rsidR="00453938" w:rsidRPr="00F44F73">
        <w:rPr>
          <w:rFonts w:ascii="Helvetica" w:hAnsi="Helvetica" w:cs="Helvetica"/>
          <w:sz w:val="20"/>
          <w:szCs w:val="20"/>
        </w:rPr>
        <w:t xml:space="preserve"> </w:t>
      </w:r>
      <w:r w:rsidRPr="00F44F73">
        <w:rPr>
          <w:rFonts w:ascii="Helvetica" w:hAnsi="Helvetica" w:cs="Helvetica"/>
          <w:sz w:val="20"/>
          <w:szCs w:val="20"/>
        </w:rPr>
        <w:t>8(3)</w:t>
      </w:r>
      <w:r w:rsidR="00442BD5" w:rsidRPr="00F44F73">
        <w:rPr>
          <w:rFonts w:ascii="Helvetica" w:hAnsi="Helvetica" w:cs="Helvetica"/>
          <w:sz w:val="20"/>
          <w:szCs w:val="20"/>
        </w:rPr>
        <w:t>,</w:t>
      </w:r>
      <w:r w:rsidRPr="00F44F73">
        <w:rPr>
          <w:rFonts w:ascii="Helvetica" w:hAnsi="Helvetica" w:cs="Helvetica"/>
          <w:sz w:val="20"/>
          <w:szCs w:val="20"/>
        </w:rPr>
        <w:t xml:space="preserve"> 144-157.</w:t>
      </w:r>
      <w:r w:rsidR="00453938" w:rsidRPr="00F44F73">
        <w:rPr>
          <w:rFonts w:ascii="Helvetica" w:hAnsi="Helvetica" w:cs="Helvetica"/>
          <w:sz w:val="20"/>
          <w:szCs w:val="20"/>
        </w:rPr>
        <w:t xml:space="preserve"> </w:t>
      </w:r>
      <w:hyperlink r:id="rId19" w:history="1">
        <w:r w:rsidR="00453938" w:rsidRPr="00F44F73">
          <w:rPr>
            <w:rStyle w:val="Hyperlink"/>
            <w:rFonts w:ascii="Helvetica" w:hAnsi="Helvetica" w:cs="Helvetica"/>
            <w:sz w:val="20"/>
            <w:szCs w:val="20"/>
          </w:rPr>
          <w:t>https://doi.org/10.36941/ajis</w:t>
        </w:r>
      </w:hyperlink>
    </w:p>
    <w:p w14:paraId="36B79FBE" w14:textId="455D1E6B" w:rsidR="00453938" w:rsidRPr="00F44F73" w:rsidRDefault="00C875A5" w:rsidP="00C875A5">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Hadmojo</w:t>
      </w:r>
      <w:proofErr w:type="spellEnd"/>
      <w:r w:rsidRPr="00F44F73">
        <w:rPr>
          <w:rFonts w:ascii="Helvetica" w:hAnsi="Helvetica" w:cs="Helvetica"/>
          <w:sz w:val="20"/>
          <w:szCs w:val="20"/>
        </w:rPr>
        <w:t>, M. P. T.</w:t>
      </w:r>
      <w:r w:rsidR="00AD23B0" w:rsidRPr="00F44F73">
        <w:rPr>
          <w:rFonts w:ascii="Helvetica" w:hAnsi="Helvetica" w:cs="Helvetica"/>
          <w:sz w:val="20"/>
          <w:szCs w:val="20"/>
        </w:rPr>
        <w:t xml:space="preserve"> (2024).</w:t>
      </w:r>
      <w:r w:rsidRPr="00F44F73">
        <w:rPr>
          <w:rFonts w:ascii="Helvetica" w:hAnsi="Helvetica" w:cs="Helvetica"/>
          <w:sz w:val="20"/>
          <w:szCs w:val="20"/>
        </w:rPr>
        <w:t xml:space="preserve"> The Influence of Profitability, Liquidity, Leverage, Company Size on Company Value with GCG as a Moderating Variable. International Journal of Engineering Inventions. 13(7)</w:t>
      </w:r>
      <w:r w:rsidR="00442BD5" w:rsidRPr="00F44F73">
        <w:rPr>
          <w:rFonts w:ascii="Helvetica" w:hAnsi="Helvetica" w:cs="Helvetica"/>
          <w:sz w:val="20"/>
          <w:szCs w:val="20"/>
        </w:rPr>
        <w:t xml:space="preserve">, </w:t>
      </w:r>
      <w:r w:rsidRPr="00F44F73">
        <w:rPr>
          <w:rFonts w:ascii="Helvetica" w:hAnsi="Helvetica" w:cs="Helvetica"/>
          <w:sz w:val="20"/>
          <w:szCs w:val="20"/>
        </w:rPr>
        <w:t xml:space="preserve">28-41. Retrieved from </w:t>
      </w:r>
      <w:hyperlink r:id="rId20" w:history="1">
        <w:r w:rsidR="00453938" w:rsidRPr="00F44F73">
          <w:rPr>
            <w:rStyle w:val="Hyperlink"/>
            <w:rFonts w:ascii="Helvetica" w:hAnsi="Helvetica" w:cs="Helvetica"/>
            <w:sz w:val="20"/>
            <w:szCs w:val="20"/>
          </w:rPr>
          <w:t>https://www.ijeijournal.com/papers/Vol13-Issue7/13072841.pdf</w:t>
        </w:r>
      </w:hyperlink>
    </w:p>
    <w:p w14:paraId="1731C937" w14:textId="4EE2BA44" w:rsidR="00453938" w:rsidRPr="00F44F73" w:rsidRDefault="00C875A5" w:rsidP="00C875A5">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Harnida</w:t>
      </w:r>
      <w:proofErr w:type="spellEnd"/>
      <w:r w:rsidRPr="00F44F73">
        <w:rPr>
          <w:rFonts w:ascii="Helvetica" w:hAnsi="Helvetica" w:cs="Helvetica"/>
          <w:sz w:val="20"/>
          <w:szCs w:val="20"/>
        </w:rPr>
        <w:t xml:space="preserve">, M., R. Zulfikar., S. </w:t>
      </w:r>
      <w:proofErr w:type="spellStart"/>
      <w:r w:rsidRPr="00F44F73">
        <w:rPr>
          <w:rFonts w:ascii="Helvetica" w:hAnsi="Helvetica" w:cs="Helvetica"/>
          <w:sz w:val="20"/>
          <w:szCs w:val="20"/>
        </w:rPr>
        <w:t>Mardah</w:t>
      </w:r>
      <w:proofErr w:type="spellEnd"/>
      <w:r w:rsidRPr="00F44F73">
        <w:rPr>
          <w:rFonts w:ascii="Helvetica" w:hAnsi="Helvetica" w:cs="Helvetica"/>
          <w:sz w:val="20"/>
          <w:szCs w:val="20"/>
        </w:rPr>
        <w:t>., and D. T. Rahman.</w:t>
      </w:r>
      <w:r w:rsidR="00AD23B0" w:rsidRPr="00F44F73">
        <w:rPr>
          <w:rFonts w:ascii="Helvetica" w:hAnsi="Helvetica" w:cs="Helvetica"/>
          <w:sz w:val="20"/>
          <w:szCs w:val="20"/>
        </w:rPr>
        <w:t xml:space="preserve"> (2021).</w:t>
      </w:r>
      <w:r w:rsidRPr="00F44F73">
        <w:rPr>
          <w:rFonts w:ascii="Helvetica" w:hAnsi="Helvetica" w:cs="Helvetica"/>
          <w:sz w:val="20"/>
          <w:szCs w:val="20"/>
        </w:rPr>
        <w:t xml:space="preserve"> Managerial Ownership, Financial Performance and Firm Value: Evidence from Consumers Goods Companies Listed in Indonesia Stock Exchange. International Journal </w:t>
      </w:r>
      <w:proofErr w:type="gramStart"/>
      <w:r w:rsidRPr="00F44F73">
        <w:rPr>
          <w:rFonts w:ascii="Helvetica" w:hAnsi="Helvetica" w:cs="Helvetica"/>
          <w:sz w:val="20"/>
          <w:szCs w:val="20"/>
        </w:rPr>
        <w:t>Of</w:t>
      </w:r>
      <w:proofErr w:type="gramEnd"/>
      <w:r w:rsidRPr="00F44F73">
        <w:rPr>
          <w:rFonts w:ascii="Helvetica" w:hAnsi="Helvetica" w:cs="Helvetica"/>
          <w:sz w:val="20"/>
          <w:szCs w:val="20"/>
        </w:rPr>
        <w:t xml:space="preserve"> Science, Technology and Management. 2(3)</w:t>
      </w:r>
      <w:r w:rsidR="00442BD5" w:rsidRPr="00F44F73">
        <w:rPr>
          <w:rFonts w:ascii="Helvetica" w:hAnsi="Helvetica" w:cs="Helvetica"/>
          <w:sz w:val="20"/>
          <w:szCs w:val="20"/>
        </w:rPr>
        <w:t xml:space="preserve">, </w:t>
      </w:r>
      <w:r w:rsidRPr="00F44F73">
        <w:rPr>
          <w:rFonts w:ascii="Helvetica" w:hAnsi="Helvetica" w:cs="Helvetica"/>
          <w:sz w:val="20"/>
          <w:szCs w:val="20"/>
        </w:rPr>
        <w:t>791-801.</w:t>
      </w:r>
      <w:r w:rsidR="00453938" w:rsidRPr="00F44F73">
        <w:rPr>
          <w:rFonts w:ascii="Helvetica" w:hAnsi="Helvetica" w:cs="Helvetica"/>
          <w:sz w:val="20"/>
          <w:szCs w:val="20"/>
        </w:rPr>
        <w:t xml:space="preserve"> </w:t>
      </w:r>
      <w:hyperlink r:id="rId21" w:history="1">
        <w:r w:rsidR="00453938" w:rsidRPr="00F44F73">
          <w:rPr>
            <w:rStyle w:val="Hyperlink"/>
            <w:rFonts w:ascii="Helvetica" w:hAnsi="Helvetica" w:cs="Helvetica"/>
            <w:sz w:val="20"/>
            <w:szCs w:val="20"/>
          </w:rPr>
          <w:t>https://doi.org/10.46729/ijstm.v2i3.206</w:t>
        </w:r>
      </w:hyperlink>
    </w:p>
    <w:p w14:paraId="1A2AFFDB" w14:textId="3058E550" w:rsidR="00453938" w:rsidRPr="00F44F73" w:rsidRDefault="00C875A5" w:rsidP="00E96A18">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Hertina</w:t>
      </w:r>
      <w:proofErr w:type="spellEnd"/>
      <w:r w:rsidRPr="00F44F73">
        <w:rPr>
          <w:rFonts w:ascii="Helvetica" w:hAnsi="Helvetica" w:cs="Helvetica"/>
          <w:sz w:val="20"/>
          <w:szCs w:val="20"/>
        </w:rPr>
        <w:t xml:space="preserve">, Dede., and </w:t>
      </w:r>
      <w:proofErr w:type="spellStart"/>
      <w:r w:rsidRPr="00F44F73">
        <w:rPr>
          <w:rFonts w:ascii="Helvetica" w:hAnsi="Helvetica" w:cs="Helvetica"/>
          <w:sz w:val="20"/>
          <w:szCs w:val="20"/>
        </w:rPr>
        <w:t>Stepanus</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Sinaga</w:t>
      </w:r>
      <w:proofErr w:type="spellEnd"/>
      <w:r w:rsidRPr="00F44F73">
        <w:rPr>
          <w:rFonts w:ascii="Helvetica" w:hAnsi="Helvetica" w:cs="Helvetica"/>
          <w:sz w:val="20"/>
          <w:szCs w:val="20"/>
        </w:rPr>
        <w:t xml:space="preserve">. </w:t>
      </w:r>
      <w:r w:rsidR="00AD23B0" w:rsidRPr="00F44F73">
        <w:rPr>
          <w:rFonts w:ascii="Helvetica" w:hAnsi="Helvetica" w:cs="Helvetica"/>
          <w:sz w:val="20"/>
          <w:szCs w:val="20"/>
        </w:rPr>
        <w:t xml:space="preserve">(2021). </w:t>
      </w:r>
      <w:r w:rsidRPr="00F44F73">
        <w:rPr>
          <w:rFonts w:ascii="Helvetica" w:hAnsi="Helvetica" w:cs="Helvetica"/>
          <w:sz w:val="20"/>
          <w:szCs w:val="20"/>
        </w:rPr>
        <w:t>Analysis of Financial Ratio to Company Value. Review Of International Geographical Education. 11(7)</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3490-3500. Retrieved from </w:t>
      </w:r>
      <w:hyperlink r:id="rId22" w:history="1">
        <w:r w:rsidR="00453938" w:rsidRPr="00F44F73">
          <w:rPr>
            <w:rStyle w:val="Hyperlink"/>
            <w:rFonts w:ascii="Helvetica" w:hAnsi="Helvetica" w:cs="Helvetica"/>
            <w:sz w:val="20"/>
            <w:szCs w:val="20"/>
          </w:rPr>
          <w:t>https://rigeo.org/menu-script/index.php/rigeo/article/view/2610</w:t>
        </w:r>
      </w:hyperlink>
    </w:p>
    <w:p w14:paraId="2CA693D5" w14:textId="294DF799" w:rsidR="00453938"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Hudzaifah</w:t>
      </w:r>
      <w:proofErr w:type="spellEnd"/>
      <w:r w:rsidRPr="00F44F73">
        <w:rPr>
          <w:rFonts w:ascii="Helvetica" w:hAnsi="Helvetica" w:cs="Helvetica"/>
          <w:sz w:val="20"/>
          <w:szCs w:val="20"/>
        </w:rPr>
        <w:t xml:space="preserve">, I., Erlina, and P. </w:t>
      </w:r>
      <w:proofErr w:type="spellStart"/>
      <w:r w:rsidRPr="00F44F73">
        <w:rPr>
          <w:rFonts w:ascii="Helvetica" w:hAnsi="Helvetica" w:cs="Helvetica"/>
          <w:sz w:val="20"/>
          <w:szCs w:val="20"/>
        </w:rPr>
        <w:t>Gultom</w:t>
      </w:r>
      <w:proofErr w:type="spellEnd"/>
      <w:r w:rsidRPr="00F44F73">
        <w:rPr>
          <w:rFonts w:ascii="Helvetica" w:hAnsi="Helvetica" w:cs="Helvetica"/>
          <w:sz w:val="20"/>
          <w:szCs w:val="20"/>
        </w:rPr>
        <w:t>.</w:t>
      </w:r>
      <w:r w:rsidR="00AD23B0" w:rsidRPr="00F44F73">
        <w:rPr>
          <w:rFonts w:ascii="Helvetica" w:hAnsi="Helvetica" w:cs="Helvetica"/>
          <w:sz w:val="20"/>
          <w:szCs w:val="20"/>
        </w:rPr>
        <w:t xml:space="preserve"> (2024).</w:t>
      </w:r>
      <w:r w:rsidRPr="00F44F73">
        <w:rPr>
          <w:rFonts w:ascii="Helvetica" w:hAnsi="Helvetica" w:cs="Helvetica"/>
          <w:sz w:val="20"/>
          <w:szCs w:val="20"/>
        </w:rPr>
        <w:t xml:space="preserve"> The Influence of Firm Size, Capital Structure, Total Assets Turnover Ratio, and Liquidity on Financial Performance with Good Corporate Governance as a Moderating Variable in Food and Beverage Sub-Sector Manufacturing Companies Listed on the IDX 2016-2022. International Journal of Research and Review. 11(1)</w:t>
      </w:r>
      <w:r w:rsidR="0075767C" w:rsidRPr="00F44F73">
        <w:rPr>
          <w:rFonts w:ascii="Helvetica" w:hAnsi="Helvetica" w:cs="Helvetica"/>
          <w:sz w:val="20"/>
          <w:szCs w:val="20"/>
        </w:rPr>
        <w:t>,</w:t>
      </w:r>
      <w:r w:rsidRPr="00F44F73">
        <w:rPr>
          <w:rFonts w:ascii="Helvetica" w:hAnsi="Helvetica" w:cs="Helvetica"/>
          <w:sz w:val="20"/>
          <w:szCs w:val="20"/>
        </w:rPr>
        <w:t xml:space="preserve"> 71-84.</w:t>
      </w:r>
      <w:r w:rsidR="00453938" w:rsidRPr="00F44F73">
        <w:rPr>
          <w:rFonts w:ascii="Helvetica" w:hAnsi="Helvetica" w:cs="Helvetica"/>
          <w:sz w:val="20"/>
          <w:szCs w:val="20"/>
        </w:rPr>
        <w:t xml:space="preserve"> </w:t>
      </w:r>
      <w:hyperlink r:id="rId23" w:history="1">
        <w:r w:rsidR="00453938" w:rsidRPr="00F44F73">
          <w:rPr>
            <w:rStyle w:val="Hyperlink"/>
            <w:rFonts w:ascii="Helvetica" w:hAnsi="Helvetica" w:cs="Helvetica"/>
            <w:sz w:val="20"/>
            <w:szCs w:val="20"/>
          </w:rPr>
          <w:t>https://doi.org/10.52403/ijrr.20240109</w:t>
        </w:r>
      </w:hyperlink>
    </w:p>
    <w:p w14:paraId="606D4725" w14:textId="0C49C459" w:rsidR="00AD23B0" w:rsidRPr="00F44F73" w:rsidRDefault="00C875A5" w:rsidP="00C875A5">
      <w:pPr>
        <w:pStyle w:val="ListParagraph"/>
        <w:numPr>
          <w:ilvl w:val="0"/>
          <w:numId w:val="34"/>
        </w:numPr>
        <w:ind w:left="360"/>
        <w:jc w:val="both"/>
        <w:rPr>
          <w:rFonts w:ascii="Helvetica" w:hAnsi="Helvetica" w:cs="Helvetica"/>
          <w:sz w:val="20"/>
          <w:szCs w:val="20"/>
        </w:rPr>
      </w:pPr>
      <w:r w:rsidRPr="00F44F73">
        <w:rPr>
          <w:rFonts w:ascii="Helvetica" w:hAnsi="Helvetica" w:cs="Helvetica"/>
          <w:sz w:val="20"/>
          <w:szCs w:val="20"/>
        </w:rPr>
        <w:t xml:space="preserve">Iqbal, Muhammad, and Indira </w:t>
      </w:r>
      <w:proofErr w:type="spellStart"/>
      <w:r w:rsidRPr="00F44F73">
        <w:rPr>
          <w:rFonts w:ascii="Helvetica" w:hAnsi="Helvetica" w:cs="Helvetica"/>
          <w:sz w:val="20"/>
          <w:szCs w:val="20"/>
        </w:rPr>
        <w:t>Januarti</w:t>
      </w:r>
      <w:proofErr w:type="spellEnd"/>
      <w:r w:rsidRPr="00F44F73">
        <w:rPr>
          <w:rFonts w:ascii="Helvetica" w:hAnsi="Helvetica" w:cs="Helvetica"/>
          <w:sz w:val="20"/>
          <w:szCs w:val="20"/>
        </w:rPr>
        <w:t xml:space="preserve">. </w:t>
      </w:r>
      <w:r w:rsidR="00AD23B0" w:rsidRPr="00F44F73">
        <w:rPr>
          <w:rFonts w:ascii="Helvetica" w:hAnsi="Helvetica" w:cs="Helvetica"/>
          <w:sz w:val="20"/>
          <w:szCs w:val="20"/>
        </w:rPr>
        <w:t xml:space="preserve">(2015). </w:t>
      </w:r>
      <w:r w:rsidRPr="00F44F73">
        <w:rPr>
          <w:rFonts w:ascii="Helvetica" w:hAnsi="Helvetica" w:cs="Helvetica"/>
          <w:sz w:val="20"/>
          <w:szCs w:val="20"/>
        </w:rPr>
        <w:t xml:space="preserve">The Effect of Audit Assignment Period and Public Accounting Firm Specialization on Audit Quality - A Study Using the Earnings Surprise Benchmark Approach. </w:t>
      </w:r>
      <w:proofErr w:type="spellStart"/>
      <w:r w:rsidRPr="00F44F73">
        <w:rPr>
          <w:rFonts w:ascii="Helvetica" w:hAnsi="Helvetica" w:cs="Helvetica"/>
          <w:sz w:val="20"/>
          <w:szCs w:val="20"/>
        </w:rPr>
        <w:t>Diponegoro</w:t>
      </w:r>
      <w:proofErr w:type="spellEnd"/>
      <w:r w:rsidRPr="00F44F73">
        <w:rPr>
          <w:rFonts w:ascii="Helvetica" w:hAnsi="Helvetica" w:cs="Helvetica"/>
          <w:sz w:val="20"/>
          <w:szCs w:val="20"/>
        </w:rPr>
        <w:t xml:space="preserve"> Journal of Accounting.</w:t>
      </w:r>
      <w:r w:rsidR="00AD23B0" w:rsidRPr="00F44F73">
        <w:rPr>
          <w:rFonts w:ascii="Helvetica" w:hAnsi="Helvetica" w:cs="Helvetica"/>
          <w:sz w:val="20"/>
          <w:szCs w:val="20"/>
        </w:rPr>
        <w:t xml:space="preserve"> </w:t>
      </w:r>
      <w:r w:rsidRPr="00F44F73">
        <w:rPr>
          <w:rFonts w:ascii="Helvetica" w:hAnsi="Helvetica" w:cs="Helvetica"/>
          <w:sz w:val="20"/>
          <w:szCs w:val="20"/>
        </w:rPr>
        <w:t>4(4)</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1-18. Retrieved from </w:t>
      </w:r>
      <w:hyperlink r:id="rId24" w:history="1">
        <w:r w:rsidR="00AD23B0" w:rsidRPr="00F44F73">
          <w:rPr>
            <w:rStyle w:val="Hyperlink"/>
            <w:rFonts w:ascii="Helvetica" w:hAnsi="Helvetica" w:cs="Helvetica"/>
            <w:sz w:val="20"/>
            <w:szCs w:val="20"/>
          </w:rPr>
          <w:t>https://ejournal3.undip.ac.id/index.php/accounting/article/view/9579</w:t>
        </w:r>
      </w:hyperlink>
    </w:p>
    <w:p w14:paraId="7261C9BB" w14:textId="47C16D2B" w:rsidR="00AD23B0" w:rsidRPr="00F44F73" w:rsidRDefault="00C875A5" w:rsidP="00C875A5">
      <w:pPr>
        <w:pStyle w:val="ListParagraph"/>
        <w:numPr>
          <w:ilvl w:val="0"/>
          <w:numId w:val="34"/>
        </w:numPr>
        <w:ind w:left="360"/>
        <w:jc w:val="both"/>
        <w:rPr>
          <w:rFonts w:ascii="Helvetica" w:hAnsi="Helvetica" w:cs="Helvetica"/>
          <w:sz w:val="20"/>
          <w:szCs w:val="20"/>
        </w:rPr>
      </w:pPr>
      <w:r w:rsidRPr="00F44F73">
        <w:rPr>
          <w:rFonts w:ascii="Helvetica" w:hAnsi="Helvetica" w:cs="Helvetica"/>
          <w:sz w:val="20"/>
          <w:szCs w:val="20"/>
        </w:rPr>
        <w:t xml:space="preserve">Jaya, A., S. </w:t>
      </w:r>
      <w:proofErr w:type="spellStart"/>
      <w:r w:rsidRPr="00F44F73">
        <w:rPr>
          <w:rFonts w:ascii="Helvetica" w:hAnsi="Helvetica" w:cs="Helvetica"/>
          <w:sz w:val="20"/>
          <w:szCs w:val="20"/>
        </w:rPr>
        <w:t>Kuswandi</w:t>
      </w:r>
      <w:proofErr w:type="spellEnd"/>
      <w:r w:rsidRPr="00F44F73">
        <w:rPr>
          <w:rFonts w:ascii="Helvetica" w:hAnsi="Helvetica" w:cs="Helvetica"/>
          <w:sz w:val="20"/>
          <w:szCs w:val="20"/>
        </w:rPr>
        <w:t xml:space="preserve">, C. W. </w:t>
      </w:r>
      <w:proofErr w:type="spellStart"/>
      <w:r w:rsidRPr="00F44F73">
        <w:rPr>
          <w:rFonts w:ascii="Helvetica" w:hAnsi="Helvetica" w:cs="Helvetica"/>
          <w:sz w:val="20"/>
          <w:szCs w:val="20"/>
        </w:rPr>
        <w:t>Prasetyandari</w:t>
      </w:r>
      <w:proofErr w:type="spellEnd"/>
      <w:r w:rsidRPr="00F44F73">
        <w:rPr>
          <w:rFonts w:ascii="Helvetica" w:hAnsi="Helvetica" w:cs="Helvetica"/>
          <w:sz w:val="20"/>
          <w:szCs w:val="20"/>
        </w:rPr>
        <w:t xml:space="preserve">, I. </w:t>
      </w:r>
      <w:proofErr w:type="spellStart"/>
      <w:r w:rsidRPr="00F44F73">
        <w:rPr>
          <w:rFonts w:ascii="Helvetica" w:hAnsi="Helvetica" w:cs="Helvetica"/>
          <w:sz w:val="20"/>
          <w:szCs w:val="20"/>
        </w:rPr>
        <w:t>Baidlowi</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Mardiana</w:t>
      </w:r>
      <w:proofErr w:type="spellEnd"/>
      <w:r w:rsidRPr="00F44F73">
        <w:rPr>
          <w:rFonts w:ascii="Helvetica" w:hAnsi="Helvetica" w:cs="Helvetica"/>
          <w:sz w:val="20"/>
          <w:szCs w:val="20"/>
        </w:rPr>
        <w:t>, Y. Ardana, A</w:t>
      </w:r>
      <w:r w:rsidR="00AD23B0" w:rsidRPr="00F44F73">
        <w:rPr>
          <w:rFonts w:ascii="Helvetica" w:hAnsi="Helvetica" w:cs="Helvetica"/>
          <w:sz w:val="20"/>
          <w:szCs w:val="20"/>
        </w:rPr>
        <w:t xml:space="preserve">. </w:t>
      </w:r>
      <w:proofErr w:type="spellStart"/>
      <w:r w:rsidRPr="00F44F73">
        <w:rPr>
          <w:rFonts w:ascii="Helvetica" w:hAnsi="Helvetica" w:cs="Helvetica"/>
          <w:sz w:val="20"/>
          <w:szCs w:val="20"/>
        </w:rPr>
        <w:t>Sunandes</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Nurlina</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Panus</w:t>
      </w:r>
      <w:proofErr w:type="spellEnd"/>
      <w:r w:rsidRPr="00F44F73">
        <w:rPr>
          <w:rFonts w:ascii="Helvetica" w:hAnsi="Helvetica" w:cs="Helvetica"/>
          <w:sz w:val="20"/>
          <w:szCs w:val="20"/>
        </w:rPr>
        <w:t xml:space="preserve">, and M. </w:t>
      </w:r>
      <w:proofErr w:type="spellStart"/>
      <w:r w:rsidRPr="00F44F73">
        <w:rPr>
          <w:rFonts w:ascii="Helvetica" w:hAnsi="Helvetica" w:cs="Helvetica"/>
          <w:sz w:val="20"/>
          <w:szCs w:val="20"/>
        </w:rPr>
        <w:t>Muchsidin</w:t>
      </w:r>
      <w:proofErr w:type="spellEnd"/>
      <w:r w:rsidRPr="00F44F73">
        <w:rPr>
          <w:rFonts w:ascii="Helvetica" w:hAnsi="Helvetica" w:cs="Helvetica"/>
          <w:sz w:val="20"/>
          <w:szCs w:val="20"/>
        </w:rPr>
        <w:t>.</w:t>
      </w:r>
      <w:r w:rsidR="00AD23B0" w:rsidRPr="00F44F73">
        <w:rPr>
          <w:rFonts w:ascii="Helvetica" w:hAnsi="Helvetica" w:cs="Helvetica"/>
          <w:sz w:val="20"/>
          <w:szCs w:val="20"/>
        </w:rPr>
        <w:t xml:space="preserve"> (2023). </w:t>
      </w:r>
      <w:r w:rsidRPr="00F44F73">
        <w:rPr>
          <w:rFonts w:ascii="Helvetica" w:hAnsi="Helvetica" w:cs="Helvetica"/>
          <w:sz w:val="20"/>
          <w:szCs w:val="20"/>
        </w:rPr>
        <w:t>Financial Management. Padang: Global Technology Executive.</w:t>
      </w:r>
    </w:p>
    <w:p w14:paraId="020C8A21" w14:textId="24315703" w:rsidR="00474D9F" w:rsidRPr="00F44F73" w:rsidRDefault="00C875A5" w:rsidP="00C875A5">
      <w:pPr>
        <w:pStyle w:val="ListParagraph"/>
        <w:numPr>
          <w:ilvl w:val="0"/>
          <w:numId w:val="34"/>
        </w:numPr>
        <w:ind w:left="360"/>
        <w:jc w:val="both"/>
        <w:rPr>
          <w:rFonts w:ascii="Helvetica" w:hAnsi="Helvetica" w:cs="Helvetica"/>
          <w:sz w:val="20"/>
          <w:szCs w:val="20"/>
        </w:rPr>
      </w:pPr>
      <w:r w:rsidRPr="00F44F73">
        <w:rPr>
          <w:rFonts w:ascii="Helvetica" w:hAnsi="Helvetica" w:cs="Helvetica"/>
          <w:sz w:val="20"/>
          <w:szCs w:val="20"/>
        </w:rPr>
        <w:t xml:space="preserve">Nazariah, Maisur, and A. </w:t>
      </w:r>
      <w:proofErr w:type="spellStart"/>
      <w:r w:rsidRPr="00F44F73">
        <w:rPr>
          <w:rFonts w:ascii="Helvetica" w:hAnsi="Helvetica" w:cs="Helvetica"/>
          <w:sz w:val="20"/>
          <w:szCs w:val="20"/>
        </w:rPr>
        <w:t>Masytari</w:t>
      </w:r>
      <w:proofErr w:type="spellEnd"/>
      <w:r w:rsidRPr="00F44F73">
        <w:rPr>
          <w:rFonts w:ascii="Helvetica" w:hAnsi="Helvetica" w:cs="Helvetica"/>
          <w:sz w:val="20"/>
          <w:szCs w:val="20"/>
        </w:rPr>
        <w:t xml:space="preserve">. </w:t>
      </w:r>
      <w:r w:rsidR="00AD23B0" w:rsidRPr="00F44F73">
        <w:rPr>
          <w:rFonts w:ascii="Helvetica" w:hAnsi="Helvetica" w:cs="Helvetica"/>
          <w:sz w:val="20"/>
          <w:szCs w:val="20"/>
        </w:rPr>
        <w:t xml:space="preserve">(2019). </w:t>
      </w:r>
      <w:r w:rsidRPr="00F44F73">
        <w:rPr>
          <w:rFonts w:ascii="Helvetica" w:hAnsi="Helvetica" w:cs="Helvetica"/>
          <w:sz w:val="20"/>
          <w:szCs w:val="20"/>
        </w:rPr>
        <w:t xml:space="preserve">The Effect of Financial Ratios on Firm Value (Manufacturing Companies in the Consumer Goods Industry Sector Listed on the Indonesian Stock Exchange 2013-2017). </w:t>
      </w:r>
      <w:proofErr w:type="spellStart"/>
      <w:r w:rsidRPr="00F44F73">
        <w:rPr>
          <w:rFonts w:ascii="Helvetica" w:hAnsi="Helvetica" w:cs="Helvetica"/>
          <w:sz w:val="20"/>
          <w:szCs w:val="20"/>
        </w:rPr>
        <w:t>Jurnal</w:t>
      </w:r>
      <w:proofErr w:type="spellEnd"/>
      <w:r w:rsidRPr="00F44F73">
        <w:rPr>
          <w:rFonts w:ascii="Helvetica" w:hAnsi="Helvetica" w:cs="Helvetica"/>
          <w:sz w:val="20"/>
          <w:szCs w:val="20"/>
        </w:rPr>
        <w:t xml:space="preserve"> Real </w:t>
      </w:r>
      <w:proofErr w:type="spellStart"/>
      <w:r w:rsidRPr="00F44F73">
        <w:rPr>
          <w:rFonts w:ascii="Helvetica" w:hAnsi="Helvetica" w:cs="Helvetica"/>
          <w:sz w:val="20"/>
          <w:szCs w:val="20"/>
        </w:rPr>
        <w:t>Riset</w:t>
      </w:r>
      <w:proofErr w:type="spellEnd"/>
      <w:r w:rsidRPr="00F44F73">
        <w:rPr>
          <w:rFonts w:ascii="Helvetica" w:hAnsi="Helvetica" w:cs="Helvetica"/>
          <w:sz w:val="20"/>
          <w:szCs w:val="20"/>
        </w:rPr>
        <w:t xml:space="preserve"> (JRR). 1(2)</w:t>
      </w:r>
      <w:r w:rsidR="0075767C" w:rsidRPr="00F44F73">
        <w:rPr>
          <w:rFonts w:ascii="Helvetica" w:hAnsi="Helvetica" w:cs="Helvetica"/>
          <w:sz w:val="20"/>
          <w:szCs w:val="20"/>
        </w:rPr>
        <w:t>,</w:t>
      </w:r>
      <w:r w:rsidRPr="00F44F73">
        <w:rPr>
          <w:rFonts w:ascii="Helvetica" w:hAnsi="Helvetica" w:cs="Helvetica"/>
          <w:sz w:val="20"/>
          <w:szCs w:val="20"/>
        </w:rPr>
        <w:t xml:space="preserve"> 61-69. </w:t>
      </w:r>
      <w:hyperlink r:id="rId25" w:history="1">
        <w:r w:rsidR="00474D9F" w:rsidRPr="00F44F73">
          <w:rPr>
            <w:rStyle w:val="Hyperlink"/>
            <w:rFonts w:ascii="Helvetica" w:hAnsi="Helvetica" w:cs="Helvetica"/>
            <w:sz w:val="20"/>
            <w:szCs w:val="20"/>
          </w:rPr>
          <w:t>https://doi.org/10.47647/jrr.v1i2.146</w:t>
        </w:r>
      </w:hyperlink>
    </w:p>
    <w:p w14:paraId="7E180DD8" w14:textId="78189BE7"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Priatna</w:t>
      </w:r>
      <w:proofErr w:type="spellEnd"/>
      <w:r w:rsidRPr="00F44F73">
        <w:rPr>
          <w:rFonts w:ascii="Helvetica" w:hAnsi="Helvetica" w:cs="Helvetica"/>
          <w:sz w:val="20"/>
          <w:szCs w:val="20"/>
        </w:rPr>
        <w:t xml:space="preserve">, A., and A. Sakir. </w:t>
      </w:r>
      <w:r w:rsidR="00474D9F" w:rsidRPr="00F44F73">
        <w:rPr>
          <w:rFonts w:ascii="Helvetica" w:hAnsi="Helvetica" w:cs="Helvetica"/>
          <w:sz w:val="20"/>
          <w:szCs w:val="20"/>
        </w:rPr>
        <w:t>(</w:t>
      </w:r>
      <w:r w:rsidRPr="00F44F73">
        <w:rPr>
          <w:rFonts w:ascii="Helvetica" w:hAnsi="Helvetica" w:cs="Helvetica"/>
          <w:sz w:val="20"/>
          <w:szCs w:val="20"/>
        </w:rPr>
        <w:t>2023</w:t>
      </w:r>
      <w:r w:rsidR="00474D9F" w:rsidRPr="00F44F73">
        <w:rPr>
          <w:rFonts w:ascii="Helvetica" w:hAnsi="Helvetica" w:cs="Helvetica"/>
          <w:sz w:val="20"/>
          <w:szCs w:val="20"/>
        </w:rPr>
        <w:t>)</w:t>
      </w:r>
      <w:r w:rsidRPr="00F44F73">
        <w:rPr>
          <w:rFonts w:ascii="Helvetica" w:hAnsi="Helvetica" w:cs="Helvetica"/>
          <w:sz w:val="20"/>
          <w:szCs w:val="20"/>
        </w:rPr>
        <w:t>. Analysis of the Effect of Capital Structure Policy and Financial Performance Using a Conventional Model on Firm Value. Scientific Journal of Management Economics Students. 8(4)</w:t>
      </w:r>
      <w:r w:rsidR="0075767C" w:rsidRPr="00F44F73">
        <w:rPr>
          <w:rFonts w:ascii="Helvetica" w:hAnsi="Helvetica" w:cs="Helvetica"/>
          <w:sz w:val="20"/>
          <w:szCs w:val="20"/>
        </w:rPr>
        <w:t>,</w:t>
      </w:r>
      <w:r w:rsidRPr="00F44F73">
        <w:rPr>
          <w:rFonts w:ascii="Helvetica" w:hAnsi="Helvetica" w:cs="Helvetica"/>
          <w:sz w:val="20"/>
          <w:szCs w:val="20"/>
        </w:rPr>
        <w:t xml:space="preserve"> 907-927. Retrieved from </w:t>
      </w:r>
      <w:hyperlink r:id="rId26" w:history="1">
        <w:r w:rsidR="00474D9F" w:rsidRPr="00F44F73">
          <w:rPr>
            <w:rStyle w:val="Hyperlink"/>
            <w:rFonts w:ascii="Helvetica" w:hAnsi="Helvetica" w:cs="Helvetica"/>
            <w:sz w:val="20"/>
            <w:szCs w:val="20"/>
          </w:rPr>
          <w:t>https://jim.usk.ac.id/EKM/article/view/26694/pdf</w:t>
        </w:r>
      </w:hyperlink>
    </w:p>
    <w:p w14:paraId="59F130D9" w14:textId="460FCD59"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Rifayani</w:t>
      </w:r>
      <w:proofErr w:type="spellEnd"/>
      <w:r w:rsidRPr="00F44F73">
        <w:rPr>
          <w:rFonts w:ascii="Helvetica" w:hAnsi="Helvetica" w:cs="Helvetica"/>
          <w:sz w:val="20"/>
          <w:szCs w:val="20"/>
        </w:rPr>
        <w:t xml:space="preserve">, D and I. </w:t>
      </w:r>
      <w:proofErr w:type="spellStart"/>
      <w:r w:rsidRPr="00F44F73">
        <w:rPr>
          <w:rFonts w:ascii="Helvetica" w:hAnsi="Helvetica" w:cs="Helvetica"/>
          <w:sz w:val="20"/>
          <w:szCs w:val="20"/>
        </w:rPr>
        <w:t>Yunita</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2023</w:t>
      </w:r>
      <w:r w:rsidR="00474D9F" w:rsidRPr="00F44F73">
        <w:rPr>
          <w:rFonts w:ascii="Helvetica" w:hAnsi="Helvetica" w:cs="Helvetica"/>
          <w:sz w:val="20"/>
          <w:szCs w:val="20"/>
        </w:rPr>
        <w:t>)</w:t>
      </w:r>
      <w:r w:rsidRPr="00F44F73">
        <w:rPr>
          <w:rFonts w:ascii="Helvetica" w:hAnsi="Helvetica" w:cs="Helvetica"/>
          <w:sz w:val="20"/>
          <w:szCs w:val="20"/>
        </w:rPr>
        <w:t>. Effect of Current Ratio, Return on Equity, Net Profit Margin, Total Assets Turnover, and Debt to Assets Ratio on Firm Value. Journal of Economics. 12(4)</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357-366. Retrieved from </w:t>
      </w:r>
      <w:hyperlink r:id="rId27" w:history="1">
        <w:r w:rsidR="00474D9F" w:rsidRPr="00F44F73">
          <w:rPr>
            <w:rStyle w:val="Hyperlink"/>
            <w:rFonts w:ascii="Helvetica" w:hAnsi="Helvetica" w:cs="Helvetica"/>
            <w:sz w:val="20"/>
            <w:szCs w:val="20"/>
          </w:rPr>
          <w:t>http://ejournal.seaninstitute.or.id/index.php/Ekonomi/article/view/2566</w:t>
        </w:r>
      </w:hyperlink>
    </w:p>
    <w:p w14:paraId="510BA0D0" w14:textId="090747BF" w:rsidR="0075767C" w:rsidRPr="00F44F73" w:rsidRDefault="00C875A5" w:rsidP="002B2451">
      <w:pPr>
        <w:pStyle w:val="ListParagraph"/>
        <w:numPr>
          <w:ilvl w:val="0"/>
          <w:numId w:val="34"/>
        </w:numPr>
        <w:ind w:left="360"/>
        <w:jc w:val="both"/>
        <w:rPr>
          <w:rFonts w:ascii="Helvetica" w:hAnsi="Helvetica" w:cs="Helvetica"/>
          <w:sz w:val="20"/>
          <w:szCs w:val="20"/>
        </w:rPr>
      </w:pPr>
      <w:r w:rsidRPr="00F44F73">
        <w:rPr>
          <w:rFonts w:ascii="Helvetica" w:hAnsi="Helvetica" w:cs="Helvetica"/>
          <w:sz w:val="20"/>
          <w:szCs w:val="20"/>
          <w:lang w:val="sv-SE"/>
        </w:rPr>
        <w:t xml:space="preserve">Sabela, D. A., &amp; Purnamasari, P. E. (2023). </w:t>
      </w:r>
      <w:r w:rsidRPr="00F44F73">
        <w:rPr>
          <w:rFonts w:ascii="Helvetica" w:hAnsi="Helvetica" w:cs="Helvetica"/>
          <w:sz w:val="20"/>
          <w:szCs w:val="20"/>
        </w:rPr>
        <w:t xml:space="preserve">The Role of GCG and ISR in Moderating Capital Structure and Corporate Growth on Firm Value. Journal of Management and Business (JOMB), 5(2), 964–975. </w:t>
      </w:r>
      <w:hyperlink r:id="rId28" w:history="1">
        <w:r w:rsidR="0075767C" w:rsidRPr="00F44F73">
          <w:rPr>
            <w:rStyle w:val="Hyperlink"/>
            <w:rFonts w:ascii="Helvetica" w:hAnsi="Helvetica" w:cs="Helvetica"/>
            <w:sz w:val="20"/>
            <w:szCs w:val="20"/>
          </w:rPr>
          <w:t>https://doi.org/10.31539/jomb.v5i2.6193</w:t>
        </w:r>
      </w:hyperlink>
      <w:r w:rsidR="0075767C" w:rsidRPr="00F44F73">
        <w:rPr>
          <w:rFonts w:ascii="Helvetica" w:hAnsi="Helvetica" w:cs="Helvetica"/>
          <w:sz w:val="20"/>
          <w:szCs w:val="20"/>
        </w:rPr>
        <w:t xml:space="preserve"> </w:t>
      </w:r>
    </w:p>
    <w:p w14:paraId="072CE0F4" w14:textId="35EC9B39" w:rsidR="00474D9F" w:rsidRPr="00F44F73" w:rsidRDefault="00C875A5" w:rsidP="002B2451">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lastRenderedPageBreak/>
        <w:t>Saragih</w:t>
      </w:r>
      <w:proofErr w:type="spellEnd"/>
      <w:r w:rsidRPr="00F44F73">
        <w:rPr>
          <w:rFonts w:ascii="Helvetica" w:hAnsi="Helvetica" w:cs="Helvetica"/>
          <w:sz w:val="20"/>
          <w:szCs w:val="20"/>
        </w:rPr>
        <w:t xml:space="preserve">, A. E., and F. Forever. </w:t>
      </w:r>
      <w:r w:rsidR="00474D9F" w:rsidRPr="00F44F73">
        <w:rPr>
          <w:rFonts w:ascii="Helvetica" w:hAnsi="Helvetica" w:cs="Helvetica"/>
          <w:sz w:val="20"/>
          <w:szCs w:val="20"/>
        </w:rPr>
        <w:t>(</w:t>
      </w:r>
      <w:r w:rsidRPr="00F44F73">
        <w:rPr>
          <w:rFonts w:ascii="Helvetica" w:hAnsi="Helvetica" w:cs="Helvetica"/>
          <w:sz w:val="20"/>
          <w:szCs w:val="20"/>
        </w:rPr>
        <w:t>2024</w:t>
      </w:r>
      <w:r w:rsidR="00474D9F" w:rsidRPr="00F44F73">
        <w:rPr>
          <w:rFonts w:ascii="Helvetica" w:hAnsi="Helvetica" w:cs="Helvetica"/>
          <w:sz w:val="20"/>
          <w:szCs w:val="20"/>
        </w:rPr>
        <w:t>)</w:t>
      </w:r>
      <w:r w:rsidRPr="00F44F73">
        <w:rPr>
          <w:rFonts w:ascii="Helvetica" w:hAnsi="Helvetica" w:cs="Helvetica"/>
          <w:sz w:val="20"/>
          <w:szCs w:val="20"/>
        </w:rPr>
        <w:t>. The Effect of Financial Performance on Firm Value, Moderated by Good Corporate Governance. Journal of Economics and Sharia Economics. 7(1)</w:t>
      </w:r>
      <w:r w:rsidR="0075767C" w:rsidRPr="00F44F73">
        <w:rPr>
          <w:rFonts w:ascii="Helvetica" w:hAnsi="Helvetica" w:cs="Helvetica"/>
          <w:sz w:val="20"/>
          <w:szCs w:val="20"/>
        </w:rPr>
        <w:t>,</w:t>
      </w:r>
      <w:r w:rsidRPr="00F44F73">
        <w:rPr>
          <w:rFonts w:ascii="Helvetica" w:hAnsi="Helvetica" w:cs="Helvetica"/>
          <w:sz w:val="20"/>
          <w:szCs w:val="20"/>
        </w:rPr>
        <w:t xml:space="preserve"> 871-885. </w:t>
      </w:r>
      <w:hyperlink r:id="rId29" w:history="1">
        <w:r w:rsidR="00474D9F" w:rsidRPr="00F44F73">
          <w:rPr>
            <w:rStyle w:val="Hyperlink"/>
            <w:rFonts w:ascii="Helvetica" w:hAnsi="Helvetica" w:cs="Helvetica"/>
            <w:sz w:val="20"/>
            <w:szCs w:val="20"/>
          </w:rPr>
          <w:t>https://doi.org/10.36778/jesya.v7i1.1501</w:t>
        </w:r>
      </w:hyperlink>
    </w:p>
    <w:p w14:paraId="449C3753" w14:textId="2D4405E7"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Simorangkir</w:t>
      </w:r>
      <w:proofErr w:type="spellEnd"/>
      <w:r w:rsidRPr="00F44F73">
        <w:rPr>
          <w:rFonts w:ascii="Helvetica" w:hAnsi="Helvetica" w:cs="Helvetica"/>
          <w:sz w:val="20"/>
          <w:szCs w:val="20"/>
        </w:rPr>
        <w:t xml:space="preserve">, B. S., and N. </w:t>
      </w:r>
      <w:proofErr w:type="spellStart"/>
      <w:r w:rsidRPr="00F44F73">
        <w:rPr>
          <w:rFonts w:ascii="Helvetica" w:hAnsi="Helvetica" w:cs="Helvetica"/>
          <w:sz w:val="20"/>
          <w:szCs w:val="20"/>
        </w:rPr>
        <w:t>Nurhasanah</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2021</w:t>
      </w:r>
      <w:r w:rsidR="00474D9F" w:rsidRPr="00F44F73">
        <w:rPr>
          <w:rFonts w:ascii="Helvetica" w:hAnsi="Helvetica" w:cs="Helvetica"/>
          <w:sz w:val="20"/>
          <w:szCs w:val="20"/>
        </w:rPr>
        <w:t>)</w:t>
      </w:r>
      <w:r w:rsidRPr="00F44F73">
        <w:rPr>
          <w:rFonts w:ascii="Helvetica" w:hAnsi="Helvetica" w:cs="Helvetica"/>
          <w:sz w:val="20"/>
          <w:szCs w:val="20"/>
        </w:rPr>
        <w:t>. Analysis of the Effect of Liquidity, Solvency, Profitability, and Activity Ratios on Firm Value in Companies Listed in the LQ45 Index on the Indonesia Stock Exchange for the 2012-2015 Period. Syntax Literate: Indonesian Scientific Journal. 6(4)</w:t>
      </w:r>
      <w:r w:rsidR="0075767C" w:rsidRPr="00F44F73">
        <w:rPr>
          <w:rFonts w:ascii="Helvetica" w:hAnsi="Helvetica" w:cs="Helvetica"/>
          <w:sz w:val="20"/>
          <w:szCs w:val="20"/>
        </w:rPr>
        <w:t>,</w:t>
      </w:r>
      <w:r w:rsidRPr="00F44F73">
        <w:rPr>
          <w:rFonts w:ascii="Helvetica" w:hAnsi="Helvetica" w:cs="Helvetica"/>
          <w:sz w:val="20"/>
          <w:szCs w:val="20"/>
        </w:rPr>
        <w:t xml:space="preserve"> 1616-1633. </w:t>
      </w:r>
      <w:hyperlink r:id="rId30" w:history="1">
        <w:r w:rsidR="00474D9F" w:rsidRPr="00F44F73">
          <w:rPr>
            <w:rStyle w:val="Hyperlink"/>
            <w:rFonts w:ascii="Helvetica" w:hAnsi="Helvetica" w:cs="Helvetica"/>
            <w:sz w:val="20"/>
            <w:szCs w:val="20"/>
          </w:rPr>
          <w:t>https://doi.org/10.36418/syntax-literate.v6i4.2234</w:t>
        </w:r>
      </w:hyperlink>
    </w:p>
    <w:p w14:paraId="7ADAAA98" w14:textId="77B96333"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Siregar</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Respina</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2016</w:t>
      </w:r>
      <w:r w:rsidR="00474D9F" w:rsidRPr="00F44F73">
        <w:rPr>
          <w:rFonts w:ascii="Helvetica" w:hAnsi="Helvetica" w:cs="Helvetica"/>
          <w:sz w:val="20"/>
          <w:szCs w:val="20"/>
        </w:rPr>
        <w:t>)</w:t>
      </w:r>
      <w:r w:rsidRPr="00F44F73">
        <w:rPr>
          <w:rFonts w:ascii="Helvetica" w:hAnsi="Helvetica" w:cs="Helvetica"/>
          <w:sz w:val="20"/>
          <w:szCs w:val="20"/>
        </w:rPr>
        <w:t xml:space="preserve">. The Effect of Leverage and Profitability on Firm Value at PT Unilever Indonesia, </w:t>
      </w:r>
      <w:proofErr w:type="spellStart"/>
      <w:r w:rsidRPr="00F44F73">
        <w:rPr>
          <w:rFonts w:ascii="Helvetica" w:hAnsi="Helvetica" w:cs="Helvetica"/>
          <w:sz w:val="20"/>
          <w:szCs w:val="20"/>
        </w:rPr>
        <w:t>Tbk</w:t>
      </w:r>
      <w:proofErr w:type="spellEnd"/>
      <w:r w:rsidRPr="00F44F73">
        <w:rPr>
          <w:rFonts w:ascii="Helvetica" w:hAnsi="Helvetica" w:cs="Helvetica"/>
          <w:sz w:val="20"/>
          <w:szCs w:val="20"/>
        </w:rPr>
        <w:t>., Listed on the Indonesia Stock Exchange. Financial. 2(1)</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1-7. Retrieved from </w:t>
      </w:r>
      <w:hyperlink r:id="rId31" w:history="1">
        <w:r w:rsidR="00474D9F" w:rsidRPr="00F44F73">
          <w:rPr>
            <w:rStyle w:val="Hyperlink"/>
            <w:rFonts w:ascii="Helvetica" w:hAnsi="Helvetica" w:cs="Helvetica"/>
            <w:sz w:val="20"/>
            <w:szCs w:val="20"/>
          </w:rPr>
          <w:t>https://stiesultanagung.ac.id/downlot.php?file=Financial+Juni+2016.pdf</w:t>
        </w:r>
      </w:hyperlink>
    </w:p>
    <w:p w14:paraId="063448DB" w14:textId="286C3498"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Suartama</w:t>
      </w:r>
      <w:proofErr w:type="spellEnd"/>
      <w:r w:rsidRPr="00F44F73">
        <w:rPr>
          <w:rFonts w:ascii="Helvetica" w:hAnsi="Helvetica" w:cs="Helvetica"/>
          <w:sz w:val="20"/>
          <w:szCs w:val="20"/>
        </w:rPr>
        <w:t xml:space="preserve">, I. G. A., I. D. M. </w:t>
      </w:r>
      <w:proofErr w:type="spellStart"/>
      <w:r w:rsidRPr="00F44F73">
        <w:rPr>
          <w:rFonts w:ascii="Helvetica" w:hAnsi="Helvetica" w:cs="Helvetica"/>
          <w:sz w:val="20"/>
          <w:szCs w:val="20"/>
        </w:rPr>
        <w:t>Endiana</w:t>
      </w:r>
      <w:proofErr w:type="spellEnd"/>
      <w:r w:rsidRPr="00F44F73">
        <w:rPr>
          <w:rFonts w:ascii="Helvetica" w:hAnsi="Helvetica" w:cs="Helvetica"/>
          <w:sz w:val="20"/>
          <w:szCs w:val="20"/>
        </w:rPr>
        <w:t xml:space="preserve">., and P. D. </w:t>
      </w:r>
      <w:proofErr w:type="spellStart"/>
      <w:r w:rsidRPr="00F44F73">
        <w:rPr>
          <w:rFonts w:ascii="Helvetica" w:hAnsi="Helvetica" w:cs="Helvetica"/>
          <w:sz w:val="20"/>
          <w:szCs w:val="20"/>
        </w:rPr>
        <w:t>Kumalasari</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2023</w:t>
      </w:r>
      <w:r w:rsidR="00474D9F" w:rsidRPr="00F44F73">
        <w:rPr>
          <w:rFonts w:ascii="Helvetica" w:hAnsi="Helvetica" w:cs="Helvetica"/>
          <w:sz w:val="20"/>
          <w:szCs w:val="20"/>
        </w:rPr>
        <w:t>)</w:t>
      </w:r>
      <w:r w:rsidRPr="00F44F73">
        <w:rPr>
          <w:rFonts w:ascii="Helvetica" w:hAnsi="Helvetica" w:cs="Helvetica"/>
          <w:sz w:val="20"/>
          <w:szCs w:val="20"/>
        </w:rPr>
        <w:t>. The Effect of NPM, ROE, DER, DPR, and Asset Growth on Firm Value at LQ-45 Companies. Collection of Accounting Student Research Results (Kharisma). 5(3)</w:t>
      </w:r>
      <w:r w:rsidR="0075767C" w:rsidRPr="00F44F73">
        <w:rPr>
          <w:rFonts w:ascii="Helvetica" w:hAnsi="Helvetica" w:cs="Helvetica"/>
          <w:sz w:val="20"/>
          <w:szCs w:val="20"/>
        </w:rPr>
        <w:t>,</w:t>
      </w:r>
      <w:r w:rsidRPr="00F44F73">
        <w:rPr>
          <w:rFonts w:ascii="Helvetica" w:hAnsi="Helvetica" w:cs="Helvetica"/>
          <w:sz w:val="20"/>
          <w:szCs w:val="20"/>
        </w:rPr>
        <w:t xml:space="preserve"> 577-588. Retrieved from </w:t>
      </w:r>
      <w:hyperlink r:id="rId32" w:history="1">
        <w:r w:rsidR="00474D9F" w:rsidRPr="00F44F73">
          <w:rPr>
            <w:rStyle w:val="Hyperlink"/>
            <w:rFonts w:ascii="Helvetica" w:hAnsi="Helvetica" w:cs="Helvetica"/>
            <w:sz w:val="20"/>
            <w:szCs w:val="20"/>
          </w:rPr>
          <w:t>https://e-journal.unmas.ac.id/index.php/kharisma/article/view/8388</w:t>
        </w:r>
      </w:hyperlink>
    </w:p>
    <w:p w14:paraId="658FDD1A" w14:textId="77777777" w:rsidR="00474D9F" w:rsidRPr="00F44F73" w:rsidRDefault="00C875A5" w:rsidP="000A029B">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Sugiyono</w:t>
      </w:r>
      <w:proofErr w:type="spellEnd"/>
      <w:r w:rsidRPr="00F44F73">
        <w:rPr>
          <w:rFonts w:ascii="Helvetica" w:hAnsi="Helvetica" w:cs="Helvetica"/>
          <w:sz w:val="20"/>
          <w:szCs w:val="20"/>
        </w:rPr>
        <w:t xml:space="preserve">, A. and E. Untung. </w:t>
      </w:r>
      <w:r w:rsidR="00474D9F" w:rsidRPr="00F44F73">
        <w:rPr>
          <w:rFonts w:ascii="Helvetica" w:hAnsi="Helvetica" w:cs="Helvetica"/>
          <w:sz w:val="20"/>
          <w:szCs w:val="20"/>
        </w:rPr>
        <w:t>(</w:t>
      </w:r>
      <w:r w:rsidRPr="00F44F73">
        <w:rPr>
          <w:rFonts w:ascii="Helvetica" w:hAnsi="Helvetica" w:cs="Helvetica"/>
          <w:sz w:val="20"/>
          <w:szCs w:val="20"/>
        </w:rPr>
        <w:t>2019</w:t>
      </w:r>
      <w:r w:rsidR="00474D9F" w:rsidRPr="00F44F73">
        <w:rPr>
          <w:rFonts w:ascii="Helvetica" w:hAnsi="Helvetica" w:cs="Helvetica"/>
          <w:sz w:val="20"/>
          <w:szCs w:val="20"/>
        </w:rPr>
        <w:t>)</w:t>
      </w:r>
      <w:r w:rsidRPr="00F44F73">
        <w:rPr>
          <w:rFonts w:ascii="Helvetica" w:hAnsi="Helvetica" w:cs="Helvetica"/>
          <w:sz w:val="20"/>
          <w:szCs w:val="20"/>
        </w:rPr>
        <w:t xml:space="preserve">. Practical Guide to Basic Financial Statement Analysis. </w:t>
      </w:r>
      <w:r w:rsidR="00474D9F" w:rsidRPr="00F44F73">
        <w:rPr>
          <w:rFonts w:ascii="Helvetica" w:hAnsi="Helvetica" w:cs="Helvetica"/>
          <w:sz w:val="20"/>
          <w:szCs w:val="20"/>
        </w:rPr>
        <w:t xml:space="preserve">Jakarta: </w:t>
      </w:r>
      <w:proofErr w:type="spellStart"/>
      <w:r w:rsidRPr="00F44F73">
        <w:rPr>
          <w:rFonts w:ascii="Helvetica" w:hAnsi="Helvetica" w:cs="Helvetica"/>
          <w:sz w:val="20"/>
          <w:szCs w:val="20"/>
        </w:rPr>
        <w:t>Grasindo</w:t>
      </w:r>
      <w:proofErr w:type="spellEnd"/>
      <w:r w:rsidRPr="00F44F73">
        <w:rPr>
          <w:rFonts w:ascii="Helvetica" w:hAnsi="Helvetica" w:cs="Helvetica"/>
          <w:sz w:val="20"/>
          <w:szCs w:val="20"/>
        </w:rPr>
        <w:t xml:space="preserve">. </w:t>
      </w:r>
    </w:p>
    <w:p w14:paraId="3E74DF63" w14:textId="77777777" w:rsidR="00474D9F" w:rsidRPr="00F44F73" w:rsidRDefault="00C875A5" w:rsidP="008A741C">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Sugiyono</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2018</w:t>
      </w:r>
      <w:r w:rsidR="00474D9F" w:rsidRPr="00F44F73">
        <w:rPr>
          <w:rFonts w:ascii="Helvetica" w:hAnsi="Helvetica" w:cs="Helvetica"/>
          <w:sz w:val="20"/>
          <w:szCs w:val="20"/>
        </w:rPr>
        <w:t>)</w:t>
      </w:r>
      <w:r w:rsidRPr="00F44F73">
        <w:rPr>
          <w:rFonts w:ascii="Helvetica" w:hAnsi="Helvetica" w:cs="Helvetica"/>
          <w:sz w:val="20"/>
          <w:szCs w:val="20"/>
        </w:rPr>
        <w:t xml:space="preserve">. Quantitative, Qualitative, and R&amp;D Research Methods. Bandung: </w:t>
      </w:r>
      <w:proofErr w:type="spellStart"/>
      <w:r w:rsidRPr="00F44F73">
        <w:rPr>
          <w:rFonts w:ascii="Helvetica" w:hAnsi="Helvetica" w:cs="Helvetica"/>
          <w:sz w:val="20"/>
          <w:szCs w:val="20"/>
        </w:rPr>
        <w:t>Alfabeta</w:t>
      </w:r>
      <w:proofErr w:type="spellEnd"/>
      <w:r w:rsidRPr="00F44F73">
        <w:rPr>
          <w:rFonts w:ascii="Helvetica" w:hAnsi="Helvetica" w:cs="Helvetica"/>
          <w:sz w:val="20"/>
          <w:szCs w:val="20"/>
        </w:rPr>
        <w:t>.</w:t>
      </w:r>
    </w:p>
    <w:p w14:paraId="14E24FEC" w14:textId="77777777"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Syofyan</w:t>
      </w:r>
      <w:proofErr w:type="spellEnd"/>
      <w:r w:rsidRPr="00F44F73">
        <w:rPr>
          <w:rFonts w:ascii="Helvetica" w:hAnsi="Helvetica" w:cs="Helvetica"/>
          <w:sz w:val="20"/>
          <w:szCs w:val="20"/>
        </w:rPr>
        <w:t xml:space="preserve">, E. </w:t>
      </w:r>
      <w:r w:rsidR="00474D9F" w:rsidRPr="00F44F73">
        <w:rPr>
          <w:rFonts w:ascii="Helvetica" w:hAnsi="Helvetica" w:cs="Helvetica"/>
          <w:sz w:val="20"/>
          <w:szCs w:val="20"/>
        </w:rPr>
        <w:t>(</w:t>
      </w:r>
      <w:r w:rsidRPr="00F44F73">
        <w:rPr>
          <w:rFonts w:ascii="Helvetica" w:hAnsi="Helvetica" w:cs="Helvetica"/>
          <w:sz w:val="20"/>
          <w:szCs w:val="20"/>
        </w:rPr>
        <w:t>2021</w:t>
      </w:r>
      <w:r w:rsidR="00474D9F" w:rsidRPr="00F44F73">
        <w:rPr>
          <w:rFonts w:ascii="Helvetica" w:hAnsi="Helvetica" w:cs="Helvetica"/>
          <w:sz w:val="20"/>
          <w:szCs w:val="20"/>
        </w:rPr>
        <w:t>)</w:t>
      </w:r>
      <w:r w:rsidRPr="00F44F73">
        <w:rPr>
          <w:rFonts w:ascii="Helvetica" w:hAnsi="Helvetica" w:cs="Helvetica"/>
          <w:sz w:val="20"/>
          <w:szCs w:val="20"/>
        </w:rPr>
        <w:t>. Good Corporate Governance (GCG). Malang: UNISMA Press.</w:t>
      </w:r>
    </w:p>
    <w:p w14:paraId="34AF56BD" w14:textId="125FEE9D"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Trichyani</w:t>
      </w:r>
      <w:proofErr w:type="spellEnd"/>
      <w:r w:rsidRPr="00F44F73">
        <w:rPr>
          <w:rFonts w:ascii="Helvetica" w:hAnsi="Helvetica" w:cs="Helvetica"/>
          <w:sz w:val="20"/>
          <w:szCs w:val="20"/>
        </w:rPr>
        <w:t xml:space="preserve">, and </w:t>
      </w:r>
      <w:proofErr w:type="spellStart"/>
      <w:r w:rsidRPr="00F44F73">
        <w:rPr>
          <w:rFonts w:ascii="Helvetica" w:hAnsi="Helvetica" w:cs="Helvetica"/>
          <w:sz w:val="20"/>
          <w:szCs w:val="20"/>
        </w:rPr>
        <w:t>Martinus</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Budiantara</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2024</w:t>
      </w:r>
      <w:r w:rsidR="00474D9F" w:rsidRPr="00F44F73">
        <w:rPr>
          <w:rFonts w:ascii="Helvetica" w:hAnsi="Helvetica" w:cs="Helvetica"/>
          <w:sz w:val="20"/>
          <w:szCs w:val="20"/>
        </w:rPr>
        <w:t>)</w:t>
      </w:r>
      <w:r w:rsidRPr="00F44F73">
        <w:rPr>
          <w:rFonts w:ascii="Helvetica" w:hAnsi="Helvetica" w:cs="Helvetica"/>
          <w:sz w:val="20"/>
          <w:szCs w:val="20"/>
        </w:rPr>
        <w:t>. The Effect of Debt to Equity Ratio (DER) and Net Profit Margin (NPM), with Good Corporate Governance as a Moderating Variable on the Value of Infrastructure Sector Companies Listed on the Indonesian Stock Exchange (IDX) 2020–2023. EKUILNOMI: Journal of Development Economics. 6(3)</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580–593. </w:t>
      </w:r>
      <w:hyperlink r:id="rId33" w:history="1">
        <w:r w:rsidR="00474D9F" w:rsidRPr="00F44F73">
          <w:rPr>
            <w:rStyle w:val="Hyperlink"/>
            <w:rFonts w:ascii="Helvetica" w:hAnsi="Helvetica" w:cs="Helvetica"/>
            <w:sz w:val="20"/>
            <w:szCs w:val="20"/>
          </w:rPr>
          <w:t>https://doi.org/10.36985/83y6ms06</w:t>
        </w:r>
      </w:hyperlink>
    </w:p>
    <w:p w14:paraId="15694164" w14:textId="77777777"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Triyonowati</w:t>
      </w:r>
      <w:proofErr w:type="spellEnd"/>
      <w:r w:rsidRPr="00F44F73">
        <w:rPr>
          <w:rFonts w:ascii="Helvetica" w:hAnsi="Helvetica" w:cs="Helvetica"/>
          <w:sz w:val="20"/>
          <w:szCs w:val="20"/>
        </w:rPr>
        <w:t xml:space="preserve"> and D. Maryam. </w:t>
      </w:r>
      <w:r w:rsidR="00474D9F" w:rsidRPr="00F44F73">
        <w:rPr>
          <w:rFonts w:ascii="Helvetica" w:hAnsi="Helvetica" w:cs="Helvetica"/>
          <w:sz w:val="20"/>
          <w:szCs w:val="20"/>
        </w:rPr>
        <w:t>(</w:t>
      </w:r>
      <w:r w:rsidRPr="00F44F73">
        <w:rPr>
          <w:rFonts w:ascii="Helvetica" w:hAnsi="Helvetica" w:cs="Helvetica"/>
          <w:sz w:val="20"/>
          <w:szCs w:val="20"/>
        </w:rPr>
        <w:t>2022</w:t>
      </w:r>
      <w:r w:rsidR="00474D9F" w:rsidRPr="00F44F73">
        <w:rPr>
          <w:rFonts w:ascii="Helvetica" w:hAnsi="Helvetica" w:cs="Helvetica"/>
          <w:sz w:val="20"/>
          <w:szCs w:val="20"/>
        </w:rPr>
        <w:t>)</w:t>
      </w:r>
      <w:r w:rsidRPr="00F44F73">
        <w:rPr>
          <w:rFonts w:ascii="Helvetica" w:hAnsi="Helvetica" w:cs="Helvetica"/>
          <w:sz w:val="20"/>
          <w:szCs w:val="20"/>
        </w:rPr>
        <w:t xml:space="preserve">. Financial Management II. </w:t>
      </w:r>
      <w:proofErr w:type="spellStart"/>
      <w:r w:rsidRPr="00F44F73">
        <w:rPr>
          <w:rFonts w:ascii="Helvetica" w:hAnsi="Helvetica" w:cs="Helvetica"/>
          <w:sz w:val="20"/>
          <w:szCs w:val="20"/>
        </w:rPr>
        <w:t>Sidoarjo</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Indomedia</w:t>
      </w:r>
      <w:proofErr w:type="spellEnd"/>
      <w:r w:rsidRPr="00F44F73">
        <w:rPr>
          <w:rFonts w:ascii="Helvetica" w:hAnsi="Helvetica" w:cs="Helvetica"/>
          <w:sz w:val="20"/>
          <w:szCs w:val="20"/>
        </w:rPr>
        <w:t xml:space="preserve"> </w:t>
      </w:r>
      <w:proofErr w:type="spellStart"/>
      <w:r w:rsidRPr="00F44F73">
        <w:rPr>
          <w:rFonts w:ascii="Helvetica" w:hAnsi="Helvetica" w:cs="Helvetica"/>
          <w:sz w:val="20"/>
          <w:szCs w:val="20"/>
        </w:rPr>
        <w:t>Pustaka</w:t>
      </w:r>
      <w:proofErr w:type="spellEnd"/>
      <w:r w:rsidRPr="00F44F73">
        <w:rPr>
          <w:rFonts w:ascii="Helvetica" w:hAnsi="Helvetica" w:cs="Helvetica"/>
          <w:sz w:val="20"/>
          <w:szCs w:val="20"/>
        </w:rPr>
        <w:t>.</w:t>
      </w:r>
    </w:p>
    <w:p w14:paraId="125E6535" w14:textId="7B0FEE7D" w:rsidR="00474D9F" w:rsidRPr="00F44F73" w:rsidRDefault="00C875A5" w:rsidP="00C875A5">
      <w:pPr>
        <w:pStyle w:val="ListParagraph"/>
        <w:numPr>
          <w:ilvl w:val="0"/>
          <w:numId w:val="34"/>
        </w:numPr>
        <w:ind w:left="360"/>
        <w:jc w:val="both"/>
        <w:rPr>
          <w:rFonts w:ascii="Helvetica" w:hAnsi="Helvetica" w:cs="Helvetica"/>
          <w:sz w:val="20"/>
          <w:szCs w:val="20"/>
        </w:rPr>
      </w:pPr>
      <w:proofErr w:type="spellStart"/>
      <w:r w:rsidRPr="00F44F73">
        <w:rPr>
          <w:rFonts w:ascii="Helvetica" w:hAnsi="Helvetica" w:cs="Helvetica"/>
          <w:sz w:val="20"/>
          <w:szCs w:val="20"/>
        </w:rPr>
        <w:t>Tsaniatuzaima</w:t>
      </w:r>
      <w:proofErr w:type="spellEnd"/>
      <w:r w:rsidRPr="00F44F73">
        <w:rPr>
          <w:rFonts w:ascii="Helvetica" w:hAnsi="Helvetica" w:cs="Helvetica"/>
          <w:sz w:val="20"/>
          <w:szCs w:val="20"/>
        </w:rPr>
        <w:t xml:space="preserve">, Q., and E. </w:t>
      </w:r>
      <w:proofErr w:type="spellStart"/>
      <w:r w:rsidRPr="00F44F73">
        <w:rPr>
          <w:rFonts w:ascii="Helvetica" w:hAnsi="Helvetica" w:cs="Helvetica"/>
          <w:sz w:val="20"/>
          <w:szCs w:val="20"/>
        </w:rPr>
        <w:t>Maryanti</w:t>
      </w:r>
      <w:proofErr w:type="spellEnd"/>
      <w:r w:rsidRPr="00F44F73">
        <w:rPr>
          <w:rFonts w:ascii="Helvetica" w:hAnsi="Helvetica" w:cs="Helvetica"/>
          <w:sz w:val="20"/>
          <w:szCs w:val="20"/>
        </w:rPr>
        <w:t xml:space="preserve">. </w:t>
      </w:r>
      <w:r w:rsidR="00474D9F" w:rsidRPr="00F44F73">
        <w:rPr>
          <w:rFonts w:ascii="Helvetica" w:hAnsi="Helvetica" w:cs="Helvetica"/>
          <w:sz w:val="20"/>
          <w:szCs w:val="20"/>
        </w:rPr>
        <w:t>(</w:t>
      </w:r>
      <w:r w:rsidRPr="00F44F73">
        <w:rPr>
          <w:rFonts w:ascii="Helvetica" w:hAnsi="Helvetica" w:cs="Helvetica"/>
          <w:sz w:val="20"/>
          <w:szCs w:val="20"/>
        </w:rPr>
        <w:t>2022</w:t>
      </w:r>
      <w:r w:rsidR="00474D9F" w:rsidRPr="00F44F73">
        <w:rPr>
          <w:rFonts w:ascii="Helvetica" w:hAnsi="Helvetica" w:cs="Helvetica"/>
          <w:sz w:val="20"/>
          <w:szCs w:val="20"/>
        </w:rPr>
        <w:t>)</w:t>
      </w:r>
      <w:r w:rsidRPr="00F44F73">
        <w:rPr>
          <w:rFonts w:ascii="Helvetica" w:hAnsi="Helvetica" w:cs="Helvetica"/>
          <w:sz w:val="20"/>
          <w:szCs w:val="20"/>
        </w:rPr>
        <w:t>. The Effect of CR, ROA, and DER on Firm Value with Good Corporate Governance as a Moderating Variable. Owner: Research and Accounting Journal. 6(3)</w:t>
      </w:r>
      <w:r w:rsidR="0075767C" w:rsidRPr="00F44F73">
        <w:rPr>
          <w:rFonts w:ascii="Helvetica" w:hAnsi="Helvetica" w:cs="Helvetica"/>
          <w:sz w:val="20"/>
          <w:szCs w:val="20"/>
        </w:rPr>
        <w:t>,</w:t>
      </w:r>
      <w:r w:rsidRPr="00F44F73">
        <w:rPr>
          <w:rFonts w:ascii="Helvetica" w:hAnsi="Helvetica" w:cs="Helvetica"/>
          <w:sz w:val="20"/>
          <w:szCs w:val="20"/>
        </w:rPr>
        <w:t xml:space="preserve"> 2253-2265. </w:t>
      </w:r>
      <w:hyperlink r:id="rId34" w:history="1">
        <w:r w:rsidR="00474D9F" w:rsidRPr="00F44F73">
          <w:rPr>
            <w:rStyle w:val="Hyperlink"/>
            <w:rFonts w:ascii="Helvetica" w:hAnsi="Helvetica" w:cs="Helvetica"/>
            <w:sz w:val="20"/>
            <w:szCs w:val="20"/>
          </w:rPr>
          <w:t>https://doi.org/10.33395/owner.v6i3.880</w:t>
        </w:r>
      </w:hyperlink>
    </w:p>
    <w:p w14:paraId="5F2C6C1F" w14:textId="121B2B7D" w:rsidR="00474D9F" w:rsidRPr="00F44F73" w:rsidRDefault="00C875A5" w:rsidP="00347C67">
      <w:pPr>
        <w:pStyle w:val="ListParagraph"/>
        <w:numPr>
          <w:ilvl w:val="0"/>
          <w:numId w:val="34"/>
        </w:numPr>
        <w:ind w:left="360"/>
        <w:jc w:val="both"/>
        <w:rPr>
          <w:rFonts w:ascii="Helvetica" w:hAnsi="Helvetica" w:cs="Helvetica"/>
          <w:sz w:val="20"/>
          <w:szCs w:val="20"/>
          <w:lang w:val="en-GB"/>
        </w:rPr>
      </w:pPr>
      <w:r w:rsidRPr="00F44F73">
        <w:rPr>
          <w:rFonts w:ascii="Helvetica" w:hAnsi="Helvetica" w:cs="Helvetica"/>
          <w:sz w:val="20"/>
          <w:szCs w:val="20"/>
        </w:rPr>
        <w:t xml:space="preserve">Ummah, D. R., and I. Yuliana. </w:t>
      </w:r>
      <w:r w:rsidR="00474D9F" w:rsidRPr="00F44F73">
        <w:rPr>
          <w:rFonts w:ascii="Helvetica" w:hAnsi="Helvetica" w:cs="Helvetica"/>
          <w:sz w:val="20"/>
          <w:szCs w:val="20"/>
        </w:rPr>
        <w:t>(</w:t>
      </w:r>
      <w:r w:rsidRPr="00F44F73">
        <w:rPr>
          <w:rFonts w:ascii="Helvetica" w:hAnsi="Helvetica" w:cs="Helvetica"/>
          <w:sz w:val="20"/>
          <w:szCs w:val="20"/>
        </w:rPr>
        <w:t>2023</w:t>
      </w:r>
      <w:r w:rsidR="00474D9F" w:rsidRPr="00F44F73">
        <w:rPr>
          <w:rFonts w:ascii="Helvetica" w:hAnsi="Helvetica" w:cs="Helvetica"/>
          <w:sz w:val="20"/>
          <w:szCs w:val="20"/>
        </w:rPr>
        <w:t>)</w:t>
      </w:r>
      <w:r w:rsidRPr="00F44F73">
        <w:rPr>
          <w:rFonts w:ascii="Helvetica" w:hAnsi="Helvetica" w:cs="Helvetica"/>
          <w:sz w:val="20"/>
          <w:szCs w:val="20"/>
        </w:rPr>
        <w:t>. Liquidity Relations, Current Ratio, Profitability, Gender Diversity, Company Size, and Company Value: Studies in Indonesia. Journal of Finance and Banking. 27(1)</w:t>
      </w:r>
      <w:r w:rsidR="0075767C" w:rsidRPr="00F44F73">
        <w:rPr>
          <w:rFonts w:ascii="Helvetica" w:hAnsi="Helvetica" w:cs="Helvetica"/>
          <w:sz w:val="20"/>
          <w:szCs w:val="20"/>
        </w:rPr>
        <w:t xml:space="preserve">, </w:t>
      </w:r>
      <w:r w:rsidRPr="00F44F73">
        <w:rPr>
          <w:rFonts w:ascii="Helvetica" w:hAnsi="Helvetica" w:cs="Helvetica"/>
          <w:sz w:val="20"/>
          <w:szCs w:val="20"/>
        </w:rPr>
        <w:t xml:space="preserve">81-95. </w:t>
      </w:r>
      <w:hyperlink r:id="rId35" w:history="1">
        <w:r w:rsidR="00474D9F" w:rsidRPr="00F44F73">
          <w:rPr>
            <w:rStyle w:val="Hyperlink"/>
            <w:rFonts w:ascii="Helvetica" w:hAnsi="Helvetica" w:cs="Helvetica"/>
            <w:sz w:val="20"/>
            <w:szCs w:val="20"/>
          </w:rPr>
          <w:t>https://doi.org/10.26905/jkdp.v27i1.9169</w:t>
        </w:r>
      </w:hyperlink>
    </w:p>
    <w:p w14:paraId="265DD1B1" w14:textId="1F1DF7B7" w:rsidR="00E12746" w:rsidRPr="00F44F73" w:rsidRDefault="00381D6F" w:rsidP="00F414B3">
      <w:pPr>
        <w:pStyle w:val="ListParagraph"/>
        <w:numPr>
          <w:ilvl w:val="0"/>
          <w:numId w:val="34"/>
        </w:numPr>
        <w:ind w:left="360"/>
        <w:jc w:val="both"/>
        <w:rPr>
          <w:rStyle w:val="Hyperlink"/>
          <w:rFonts w:ascii="Helvetica" w:hAnsi="Helvetica" w:cs="Helvetica"/>
          <w:sz w:val="20"/>
          <w:szCs w:val="20"/>
        </w:rPr>
      </w:pPr>
      <w:r w:rsidRPr="00F44F73">
        <w:rPr>
          <w:rFonts w:ascii="Helvetica" w:hAnsi="Helvetica" w:cs="Helvetica"/>
          <w:sz w:val="20"/>
          <w:szCs w:val="20"/>
        </w:rPr>
        <w:t xml:space="preserve">Utami, S. W. (2023). The Effect of Financial Performance and Capital Structure on Company Value </w:t>
      </w:r>
      <w:r w:rsidR="00E12746" w:rsidRPr="00F44F73">
        <w:rPr>
          <w:rFonts w:ascii="Helvetica" w:hAnsi="Helvetica" w:cs="Helvetica"/>
          <w:sz w:val="20"/>
          <w:szCs w:val="20"/>
        </w:rPr>
        <w:t>with</w:t>
      </w:r>
      <w:r w:rsidRPr="00F44F73">
        <w:rPr>
          <w:rFonts w:ascii="Helvetica" w:hAnsi="Helvetica" w:cs="Helvetica"/>
          <w:sz w:val="20"/>
          <w:szCs w:val="20"/>
        </w:rPr>
        <w:t xml:space="preserve"> Company Size as a Moderation Variable. Asian Journal of Economics, Business and Accounting, 23(24), 112–123. </w:t>
      </w:r>
      <w:hyperlink r:id="rId36" w:history="1">
        <w:r w:rsidRPr="00F44F73">
          <w:rPr>
            <w:rStyle w:val="Hyperlink"/>
            <w:rFonts w:ascii="Helvetica" w:hAnsi="Helvetica" w:cs="Helvetica"/>
            <w:sz w:val="20"/>
            <w:szCs w:val="20"/>
          </w:rPr>
          <w:t>https://doi.org/10.9734/ajeba/2023/v23i241191</w:t>
        </w:r>
      </w:hyperlink>
    </w:p>
    <w:p w14:paraId="1CF8ACE1" w14:textId="464A2AEE" w:rsidR="00474D9F" w:rsidRPr="00F44F73" w:rsidRDefault="00C875A5" w:rsidP="00F414B3">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Widyowati</w:t>
      </w:r>
      <w:proofErr w:type="spellEnd"/>
      <w:r w:rsidRPr="00F44F73">
        <w:rPr>
          <w:rFonts w:ascii="Helvetica" w:hAnsi="Helvetica" w:cs="Helvetica"/>
          <w:sz w:val="20"/>
          <w:szCs w:val="20"/>
        </w:rPr>
        <w:t xml:space="preserve">, L. A., and I. H. R. Rani. </w:t>
      </w:r>
      <w:r w:rsidR="00474D9F" w:rsidRPr="00F44F73">
        <w:rPr>
          <w:rFonts w:ascii="Helvetica" w:hAnsi="Helvetica" w:cs="Helvetica"/>
          <w:sz w:val="20"/>
          <w:szCs w:val="20"/>
        </w:rPr>
        <w:t>(</w:t>
      </w:r>
      <w:r w:rsidRPr="00F44F73">
        <w:rPr>
          <w:rFonts w:ascii="Helvetica" w:hAnsi="Helvetica" w:cs="Helvetica"/>
          <w:sz w:val="20"/>
          <w:szCs w:val="20"/>
        </w:rPr>
        <w:t>2022</w:t>
      </w:r>
      <w:r w:rsidR="00474D9F" w:rsidRPr="00F44F73">
        <w:rPr>
          <w:rFonts w:ascii="Helvetica" w:hAnsi="Helvetica" w:cs="Helvetica"/>
          <w:sz w:val="20"/>
          <w:szCs w:val="20"/>
        </w:rPr>
        <w:t>)</w:t>
      </w:r>
      <w:r w:rsidRPr="00F44F73">
        <w:rPr>
          <w:rFonts w:ascii="Helvetica" w:hAnsi="Helvetica" w:cs="Helvetica"/>
          <w:sz w:val="20"/>
          <w:szCs w:val="20"/>
        </w:rPr>
        <w:t>. Financial Performance and Corporate Value Relationship: Does Good Corporate Governance Matter. Quantitative Economics and Management Studies (QEMS). 3(3)</w:t>
      </w:r>
      <w:r w:rsidR="00474D9F" w:rsidRPr="00F44F73">
        <w:rPr>
          <w:rFonts w:ascii="Helvetica" w:hAnsi="Helvetica" w:cs="Helvetica"/>
          <w:sz w:val="20"/>
          <w:szCs w:val="20"/>
        </w:rPr>
        <w:t>,</w:t>
      </w:r>
      <w:r w:rsidRPr="00F44F73">
        <w:rPr>
          <w:rFonts w:ascii="Helvetica" w:hAnsi="Helvetica" w:cs="Helvetica"/>
          <w:sz w:val="20"/>
          <w:szCs w:val="20"/>
        </w:rPr>
        <w:t xml:space="preserve"> 333-341. </w:t>
      </w:r>
      <w:hyperlink r:id="rId37" w:history="1">
        <w:r w:rsidR="00474D9F" w:rsidRPr="00F44F73">
          <w:rPr>
            <w:rStyle w:val="Hyperlink"/>
            <w:rFonts w:ascii="Helvetica" w:hAnsi="Helvetica" w:cs="Helvetica"/>
            <w:sz w:val="20"/>
            <w:szCs w:val="20"/>
          </w:rPr>
          <w:t>https://doi.org/10.35877/454RI.qems92</w:t>
        </w:r>
      </w:hyperlink>
    </w:p>
    <w:p w14:paraId="43217349" w14:textId="638470F0" w:rsidR="003927EE" w:rsidRPr="00F44F73" w:rsidRDefault="00C875A5" w:rsidP="00474D9F">
      <w:pPr>
        <w:pStyle w:val="ListParagraph"/>
        <w:numPr>
          <w:ilvl w:val="0"/>
          <w:numId w:val="34"/>
        </w:numPr>
        <w:ind w:left="360"/>
        <w:jc w:val="both"/>
        <w:rPr>
          <w:rFonts w:ascii="Helvetica" w:hAnsi="Helvetica" w:cs="Helvetica"/>
          <w:sz w:val="20"/>
          <w:szCs w:val="20"/>
          <w:lang w:val="en-GB"/>
        </w:rPr>
      </w:pPr>
      <w:proofErr w:type="spellStart"/>
      <w:r w:rsidRPr="00F44F73">
        <w:rPr>
          <w:rFonts w:ascii="Helvetica" w:hAnsi="Helvetica" w:cs="Helvetica"/>
          <w:sz w:val="20"/>
          <w:szCs w:val="20"/>
        </w:rPr>
        <w:t>Yunita</w:t>
      </w:r>
      <w:proofErr w:type="spellEnd"/>
      <w:r w:rsidRPr="00F44F73">
        <w:rPr>
          <w:rFonts w:ascii="Helvetica" w:hAnsi="Helvetica" w:cs="Helvetica"/>
          <w:sz w:val="20"/>
          <w:szCs w:val="20"/>
        </w:rPr>
        <w:t xml:space="preserve">, N and S. Halim. </w:t>
      </w:r>
      <w:r w:rsidR="00474D9F" w:rsidRPr="00F44F73">
        <w:rPr>
          <w:rFonts w:ascii="Helvetica" w:hAnsi="Helvetica" w:cs="Helvetica"/>
          <w:sz w:val="20"/>
          <w:szCs w:val="20"/>
        </w:rPr>
        <w:t>(</w:t>
      </w:r>
      <w:r w:rsidRPr="00F44F73">
        <w:rPr>
          <w:rFonts w:ascii="Helvetica" w:hAnsi="Helvetica" w:cs="Helvetica"/>
          <w:sz w:val="20"/>
          <w:szCs w:val="20"/>
        </w:rPr>
        <w:t>2023</w:t>
      </w:r>
      <w:r w:rsidR="00474D9F" w:rsidRPr="00F44F73">
        <w:rPr>
          <w:rFonts w:ascii="Helvetica" w:hAnsi="Helvetica" w:cs="Helvetica"/>
          <w:sz w:val="20"/>
          <w:szCs w:val="20"/>
        </w:rPr>
        <w:t>)</w:t>
      </w:r>
      <w:r w:rsidRPr="00F44F73">
        <w:rPr>
          <w:rFonts w:ascii="Helvetica" w:hAnsi="Helvetica" w:cs="Helvetica"/>
          <w:sz w:val="20"/>
          <w:szCs w:val="20"/>
        </w:rPr>
        <w:t xml:space="preserve">. Effect of Intangible Assets, Leverage and Rate of Return on Assets and Their Effect on Company Value. Literature For Social Impact </w:t>
      </w:r>
      <w:r w:rsidR="00E12746" w:rsidRPr="00F44F73">
        <w:rPr>
          <w:rFonts w:ascii="Helvetica" w:hAnsi="Helvetica" w:cs="Helvetica"/>
          <w:sz w:val="20"/>
          <w:szCs w:val="20"/>
        </w:rPr>
        <w:t>and</w:t>
      </w:r>
      <w:r w:rsidRPr="00F44F73">
        <w:rPr>
          <w:rFonts w:ascii="Helvetica" w:hAnsi="Helvetica" w:cs="Helvetica"/>
          <w:sz w:val="20"/>
          <w:szCs w:val="20"/>
        </w:rPr>
        <w:t xml:space="preserve"> Cultural Studies. 5(1)</w:t>
      </w:r>
      <w:r w:rsidR="00474D9F" w:rsidRPr="00F44F73">
        <w:rPr>
          <w:rFonts w:ascii="Helvetica" w:hAnsi="Helvetica" w:cs="Helvetica"/>
          <w:sz w:val="20"/>
          <w:szCs w:val="20"/>
        </w:rPr>
        <w:t>,</w:t>
      </w:r>
      <w:r w:rsidRPr="00F44F73">
        <w:rPr>
          <w:rFonts w:ascii="Helvetica" w:hAnsi="Helvetica" w:cs="Helvetica"/>
          <w:sz w:val="20"/>
          <w:szCs w:val="20"/>
        </w:rPr>
        <w:t xml:space="preserve"> 46-55. </w:t>
      </w:r>
      <w:hyperlink r:id="rId38" w:history="1">
        <w:r w:rsidR="00E12746" w:rsidRPr="00F44F73">
          <w:rPr>
            <w:rStyle w:val="Hyperlink"/>
            <w:rFonts w:ascii="Helvetica" w:hAnsi="Helvetica" w:cs="Helvetica"/>
            <w:sz w:val="20"/>
            <w:szCs w:val="20"/>
          </w:rPr>
          <w:t>https://doi.org/10.37010/lit.v5i1.936</w:t>
        </w:r>
      </w:hyperlink>
      <w:r w:rsidR="00E12746" w:rsidRPr="00F44F73">
        <w:rPr>
          <w:rFonts w:ascii="Helvetica" w:hAnsi="Helvetica" w:cs="Helvetica"/>
          <w:sz w:val="20"/>
          <w:szCs w:val="20"/>
        </w:rPr>
        <w:t xml:space="preserve"> </w:t>
      </w:r>
    </w:p>
    <w:sectPr w:rsidR="003927EE" w:rsidRPr="00F44F73" w:rsidSect="0004539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0632" w14:textId="77777777" w:rsidR="005B29C4" w:rsidRDefault="005B29C4" w:rsidP="00C37E61">
      <w:r>
        <w:separator/>
      </w:r>
    </w:p>
  </w:endnote>
  <w:endnote w:type="continuationSeparator" w:id="0">
    <w:p w14:paraId="6B38064F" w14:textId="77777777" w:rsidR="005B29C4" w:rsidRDefault="005B29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2DE9" w14:textId="77777777" w:rsidR="009E048A" w:rsidRDefault="009E048A">
    <w:pPr>
      <w:pStyle w:val="Footer"/>
      <w:rPr>
        <w:rFonts w:ascii="Arial" w:hAnsi="Arial" w:cs="Arial"/>
        <w:sz w:val="16"/>
      </w:rPr>
    </w:pPr>
  </w:p>
  <w:p w14:paraId="098948A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B4A54D" w14:textId="77777777" w:rsidR="009E048A" w:rsidRDefault="009E048A">
    <w:pPr>
      <w:pStyle w:val="Footer"/>
      <w:rPr>
        <w:rFonts w:ascii="Arial" w:hAnsi="Arial" w:cs="Arial"/>
        <w:sz w:val="16"/>
      </w:rPr>
    </w:pPr>
  </w:p>
  <w:p w14:paraId="1736602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48D6" w14:textId="77777777" w:rsidR="005B29C4" w:rsidRDefault="005B29C4" w:rsidP="00C37E61">
      <w:r>
        <w:separator/>
      </w:r>
    </w:p>
  </w:footnote>
  <w:footnote w:type="continuationSeparator" w:id="0">
    <w:p w14:paraId="5B41F3CD" w14:textId="77777777" w:rsidR="005B29C4" w:rsidRDefault="005B29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4D76" w14:textId="28476430" w:rsidR="00CD5C6E" w:rsidRDefault="005B29C4">
    <w:pPr>
      <w:pStyle w:val="Header"/>
    </w:pPr>
    <w:r>
      <w:rPr>
        <w:noProof/>
      </w:rPr>
      <w:pict w14:anchorId="01294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44A7" w14:textId="56215FB8" w:rsidR="00CD5C6E" w:rsidRDefault="005B29C4">
    <w:pPr>
      <w:pStyle w:val="Header"/>
    </w:pPr>
    <w:r>
      <w:rPr>
        <w:noProof/>
      </w:rPr>
      <w:pict w14:anchorId="6420B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FB4D" w14:textId="4FFC16AF" w:rsidR="00296529" w:rsidRPr="00296529" w:rsidRDefault="005B29C4" w:rsidP="00296529">
    <w:pPr>
      <w:ind w:left="2160"/>
      <w:jc w:val="center"/>
      <w:rPr>
        <w:rFonts w:ascii="Times New Roman" w:eastAsia="Calibri" w:hAnsi="Times New Roman"/>
        <w:i/>
        <w:sz w:val="18"/>
        <w:szCs w:val="22"/>
      </w:rPr>
    </w:pPr>
    <w:r>
      <w:rPr>
        <w:noProof/>
      </w:rPr>
      <w:pict w14:anchorId="6322F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94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4D9C6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760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F7CC7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6CB00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AAB7F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6159D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A461ED"/>
    <w:multiLevelType w:val="hybridMultilevel"/>
    <w:tmpl w:val="314CBECA"/>
    <w:lvl w:ilvl="0" w:tplc="3D14BBE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C24DEE"/>
    <w:multiLevelType w:val="multilevel"/>
    <w:tmpl w:val="F8C080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3A3EFC"/>
    <w:multiLevelType w:val="multilevel"/>
    <w:tmpl w:val="265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B7020"/>
    <w:multiLevelType w:val="hybridMultilevel"/>
    <w:tmpl w:val="50E6D6D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A84602"/>
    <w:multiLevelType w:val="hybridMultilevel"/>
    <w:tmpl w:val="D2580C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B7244"/>
    <w:multiLevelType w:val="hybridMultilevel"/>
    <w:tmpl w:val="D2580CE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90D4167"/>
    <w:multiLevelType w:val="hybridMultilevel"/>
    <w:tmpl w:val="794A9A5E"/>
    <w:lvl w:ilvl="0" w:tplc="3D14BBE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4"/>
  </w:num>
  <w:num w:numId="12">
    <w:abstractNumId w:val="4"/>
  </w:num>
  <w:num w:numId="13">
    <w:abstractNumId w:val="23"/>
  </w:num>
  <w:num w:numId="14">
    <w:abstractNumId w:val="11"/>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2"/>
  </w:num>
  <w:num w:numId="22">
    <w:abstractNumId w:val="17"/>
  </w:num>
  <w:num w:numId="23">
    <w:abstractNumId w:val="25"/>
  </w:num>
  <w:num w:numId="24">
    <w:abstractNumId w:val="33"/>
  </w:num>
  <w:num w:numId="25">
    <w:abstractNumId w:val="5"/>
  </w:num>
  <w:num w:numId="26">
    <w:abstractNumId w:val="22"/>
  </w:num>
  <w:num w:numId="27">
    <w:abstractNumId w:val="26"/>
  </w:num>
  <w:num w:numId="28">
    <w:abstractNumId w:val="34"/>
  </w:num>
  <w:num w:numId="29">
    <w:abstractNumId w:val="30"/>
  </w:num>
  <w:num w:numId="30">
    <w:abstractNumId w:val="13"/>
  </w:num>
  <w:num w:numId="31">
    <w:abstractNumId w:val="8"/>
  </w:num>
  <w:num w:numId="32">
    <w:abstractNumId w:val="19"/>
  </w:num>
  <w:num w:numId="33">
    <w:abstractNumId w:val="14"/>
  </w:num>
  <w:num w:numId="34">
    <w:abstractNumId w:val="20"/>
  </w:num>
  <w:num w:numId="35">
    <w:abstractNumId w:val="9"/>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391"/>
    <w:rsid w:val="0004579C"/>
    <w:rsid w:val="000A47FA"/>
    <w:rsid w:val="000A65D3"/>
    <w:rsid w:val="000B1E33"/>
    <w:rsid w:val="000D689F"/>
    <w:rsid w:val="000E7B7B"/>
    <w:rsid w:val="000E7D62"/>
    <w:rsid w:val="000F34E2"/>
    <w:rsid w:val="00103357"/>
    <w:rsid w:val="00123C9F"/>
    <w:rsid w:val="00126190"/>
    <w:rsid w:val="001265D6"/>
    <w:rsid w:val="00130F17"/>
    <w:rsid w:val="00131C9C"/>
    <w:rsid w:val="001320BF"/>
    <w:rsid w:val="00142D5C"/>
    <w:rsid w:val="00163BC4"/>
    <w:rsid w:val="00164C1B"/>
    <w:rsid w:val="00191062"/>
    <w:rsid w:val="00192B72"/>
    <w:rsid w:val="001A29D8"/>
    <w:rsid w:val="001A5CAA"/>
    <w:rsid w:val="001B0427"/>
    <w:rsid w:val="001B415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160E"/>
    <w:rsid w:val="00326BA6"/>
    <w:rsid w:val="0033343E"/>
    <w:rsid w:val="003512C2"/>
    <w:rsid w:val="00371FB6"/>
    <w:rsid w:val="00375A21"/>
    <w:rsid w:val="003763C1"/>
    <w:rsid w:val="00376BBE"/>
    <w:rsid w:val="00381D6F"/>
    <w:rsid w:val="0039224F"/>
    <w:rsid w:val="003927EE"/>
    <w:rsid w:val="003A43A4"/>
    <w:rsid w:val="003A7E18"/>
    <w:rsid w:val="003C4C86"/>
    <w:rsid w:val="003C6258"/>
    <w:rsid w:val="003E1161"/>
    <w:rsid w:val="003E2904"/>
    <w:rsid w:val="00401927"/>
    <w:rsid w:val="0041027F"/>
    <w:rsid w:val="00412475"/>
    <w:rsid w:val="00423789"/>
    <w:rsid w:val="00434601"/>
    <w:rsid w:val="00440F43"/>
    <w:rsid w:val="00441B6F"/>
    <w:rsid w:val="00442BD5"/>
    <w:rsid w:val="00446221"/>
    <w:rsid w:val="00450E62"/>
    <w:rsid w:val="00452B3D"/>
    <w:rsid w:val="00453938"/>
    <w:rsid w:val="004539DB"/>
    <w:rsid w:val="0045780F"/>
    <w:rsid w:val="00471A80"/>
    <w:rsid w:val="00474D9F"/>
    <w:rsid w:val="004C6D94"/>
    <w:rsid w:val="004D305E"/>
    <w:rsid w:val="004D4277"/>
    <w:rsid w:val="004F7DA6"/>
    <w:rsid w:val="00502516"/>
    <w:rsid w:val="00505F06"/>
    <w:rsid w:val="00506828"/>
    <w:rsid w:val="00511CD5"/>
    <w:rsid w:val="0053056E"/>
    <w:rsid w:val="00541A3B"/>
    <w:rsid w:val="00554FDA"/>
    <w:rsid w:val="00572265"/>
    <w:rsid w:val="005B29C4"/>
    <w:rsid w:val="005B4469"/>
    <w:rsid w:val="005C784C"/>
    <w:rsid w:val="005D17F6"/>
    <w:rsid w:val="005E11F2"/>
    <w:rsid w:val="005E5539"/>
    <w:rsid w:val="005E6C4A"/>
    <w:rsid w:val="00602BF5"/>
    <w:rsid w:val="00607285"/>
    <w:rsid w:val="00617FDD"/>
    <w:rsid w:val="00633614"/>
    <w:rsid w:val="00633F68"/>
    <w:rsid w:val="00636EB2"/>
    <w:rsid w:val="006375B8"/>
    <w:rsid w:val="0065666B"/>
    <w:rsid w:val="0066510A"/>
    <w:rsid w:val="00673F9F"/>
    <w:rsid w:val="00686953"/>
    <w:rsid w:val="00687DEA"/>
    <w:rsid w:val="00687E67"/>
    <w:rsid w:val="006967F7"/>
    <w:rsid w:val="006A250C"/>
    <w:rsid w:val="006A333E"/>
    <w:rsid w:val="006B21D3"/>
    <w:rsid w:val="006B57D0"/>
    <w:rsid w:val="006D30FF"/>
    <w:rsid w:val="006D6940"/>
    <w:rsid w:val="006E34AD"/>
    <w:rsid w:val="006F11EC"/>
    <w:rsid w:val="0070082C"/>
    <w:rsid w:val="007369E6"/>
    <w:rsid w:val="00746E59"/>
    <w:rsid w:val="00754C9A"/>
    <w:rsid w:val="0075599A"/>
    <w:rsid w:val="0075767C"/>
    <w:rsid w:val="00761D52"/>
    <w:rsid w:val="0077749E"/>
    <w:rsid w:val="00785B00"/>
    <w:rsid w:val="00790ADA"/>
    <w:rsid w:val="00791EA2"/>
    <w:rsid w:val="007D2288"/>
    <w:rsid w:val="007E088F"/>
    <w:rsid w:val="007E3FED"/>
    <w:rsid w:val="007F7B32"/>
    <w:rsid w:val="00804BC2"/>
    <w:rsid w:val="0081431A"/>
    <w:rsid w:val="00815EFF"/>
    <w:rsid w:val="0083216F"/>
    <w:rsid w:val="00833256"/>
    <w:rsid w:val="00846C40"/>
    <w:rsid w:val="00860000"/>
    <w:rsid w:val="00863BD3"/>
    <w:rsid w:val="008641ED"/>
    <w:rsid w:val="00866D66"/>
    <w:rsid w:val="008671C6"/>
    <w:rsid w:val="00875803"/>
    <w:rsid w:val="008B459E"/>
    <w:rsid w:val="008D5B84"/>
    <w:rsid w:val="008E13AE"/>
    <w:rsid w:val="008E1506"/>
    <w:rsid w:val="008E710C"/>
    <w:rsid w:val="008F1636"/>
    <w:rsid w:val="008F69D6"/>
    <w:rsid w:val="00902823"/>
    <w:rsid w:val="00915CA6"/>
    <w:rsid w:val="00927834"/>
    <w:rsid w:val="009500A6"/>
    <w:rsid w:val="00957C18"/>
    <w:rsid w:val="009659BA"/>
    <w:rsid w:val="00983040"/>
    <w:rsid w:val="009A744A"/>
    <w:rsid w:val="009B3FB9"/>
    <w:rsid w:val="009C2465"/>
    <w:rsid w:val="009D35A0"/>
    <w:rsid w:val="009D7EB7"/>
    <w:rsid w:val="009E048A"/>
    <w:rsid w:val="009E08E9"/>
    <w:rsid w:val="009E3DB9"/>
    <w:rsid w:val="009E6E35"/>
    <w:rsid w:val="009F0EDA"/>
    <w:rsid w:val="00A03B96"/>
    <w:rsid w:val="00A05B19"/>
    <w:rsid w:val="00A1134E"/>
    <w:rsid w:val="00A2098D"/>
    <w:rsid w:val="00A24E7E"/>
    <w:rsid w:val="00A258C3"/>
    <w:rsid w:val="00A347C0"/>
    <w:rsid w:val="00A51431"/>
    <w:rsid w:val="00A539AD"/>
    <w:rsid w:val="00A7596C"/>
    <w:rsid w:val="00A94063"/>
    <w:rsid w:val="00AA6219"/>
    <w:rsid w:val="00AA74E0"/>
    <w:rsid w:val="00AB3D24"/>
    <w:rsid w:val="00AB703F"/>
    <w:rsid w:val="00AC3202"/>
    <w:rsid w:val="00AC6BB8"/>
    <w:rsid w:val="00AD23B0"/>
    <w:rsid w:val="00AE008F"/>
    <w:rsid w:val="00B01FCD"/>
    <w:rsid w:val="00B1776C"/>
    <w:rsid w:val="00B52583"/>
    <w:rsid w:val="00B52896"/>
    <w:rsid w:val="00B95236"/>
    <w:rsid w:val="00B96BD9"/>
    <w:rsid w:val="00BA1B01"/>
    <w:rsid w:val="00BA2641"/>
    <w:rsid w:val="00BA76EC"/>
    <w:rsid w:val="00BB37AA"/>
    <w:rsid w:val="00BC53A0"/>
    <w:rsid w:val="00BD103D"/>
    <w:rsid w:val="00BE62AD"/>
    <w:rsid w:val="00BE7C6C"/>
    <w:rsid w:val="00BF121F"/>
    <w:rsid w:val="00BF1F80"/>
    <w:rsid w:val="00C166EF"/>
    <w:rsid w:val="00C17EB0"/>
    <w:rsid w:val="00C27F5F"/>
    <w:rsid w:val="00C30A0F"/>
    <w:rsid w:val="00C37E61"/>
    <w:rsid w:val="00C40C72"/>
    <w:rsid w:val="00C70F1B"/>
    <w:rsid w:val="00C71A47"/>
    <w:rsid w:val="00C7464C"/>
    <w:rsid w:val="00C80C71"/>
    <w:rsid w:val="00C85588"/>
    <w:rsid w:val="00C875A5"/>
    <w:rsid w:val="00CA5952"/>
    <w:rsid w:val="00CD5C6E"/>
    <w:rsid w:val="00CD6755"/>
    <w:rsid w:val="00CD6856"/>
    <w:rsid w:val="00CE0089"/>
    <w:rsid w:val="00CE793C"/>
    <w:rsid w:val="00CF193C"/>
    <w:rsid w:val="00D02C2C"/>
    <w:rsid w:val="00D173F1"/>
    <w:rsid w:val="00D74CB0"/>
    <w:rsid w:val="00D8295D"/>
    <w:rsid w:val="00DA1A2C"/>
    <w:rsid w:val="00DC2A65"/>
    <w:rsid w:val="00DE15F0"/>
    <w:rsid w:val="00DE3414"/>
    <w:rsid w:val="00DE5663"/>
    <w:rsid w:val="00DE78AA"/>
    <w:rsid w:val="00E053D0"/>
    <w:rsid w:val="00E12746"/>
    <w:rsid w:val="00E15994"/>
    <w:rsid w:val="00E3114E"/>
    <w:rsid w:val="00E31A70"/>
    <w:rsid w:val="00E35B02"/>
    <w:rsid w:val="00E4165E"/>
    <w:rsid w:val="00E625FE"/>
    <w:rsid w:val="00E66496"/>
    <w:rsid w:val="00E66B35"/>
    <w:rsid w:val="00E66E10"/>
    <w:rsid w:val="00E769F6"/>
    <w:rsid w:val="00E8407C"/>
    <w:rsid w:val="00E84F3C"/>
    <w:rsid w:val="00EA012C"/>
    <w:rsid w:val="00EC6A55"/>
    <w:rsid w:val="00ED0288"/>
    <w:rsid w:val="00ED34D6"/>
    <w:rsid w:val="00EE52CB"/>
    <w:rsid w:val="00EF581D"/>
    <w:rsid w:val="00EF7FD8"/>
    <w:rsid w:val="00F06F59"/>
    <w:rsid w:val="00F17910"/>
    <w:rsid w:val="00F17988"/>
    <w:rsid w:val="00F44F73"/>
    <w:rsid w:val="00F469F0"/>
    <w:rsid w:val="00F53273"/>
    <w:rsid w:val="00F6132D"/>
    <w:rsid w:val="00F755E4"/>
    <w:rsid w:val="00F77D02"/>
    <w:rsid w:val="00F96548"/>
    <w:rsid w:val="00FB3A86"/>
    <w:rsid w:val="00FD36C8"/>
    <w:rsid w:val="00FD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242D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aliases w:val="Body of text,Colorful List - Accent 11,spasi 2 taiiii,skripsi,Body Text Char1,Char Char2,List Paragraph2,List Paragraph1,Paragraf ISI,Header Char1,Dot pt,F5 List Paragraph,List Paragraph Char Char Char,Indicator Text,Numbered Para 1,ANNEX"/>
    <w:basedOn w:val="Normal"/>
    <w:link w:val="ListParagraphChar"/>
    <w:uiPriority w:val="34"/>
    <w:qFormat/>
    <w:rsid w:val="00541A3B"/>
    <w:pPr>
      <w:spacing w:after="200" w:line="276" w:lineRule="auto"/>
      <w:ind w:left="720"/>
      <w:contextualSpacing/>
    </w:pPr>
    <w:rPr>
      <w:rFonts w:ascii="Calibri" w:hAnsi="Calibri"/>
      <w:sz w:val="22"/>
      <w:szCs w:val="22"/>
      <w:lang w:eastAsia="ja-JP"/>
    </w:rPr>
  </w:style>
  <w:style w:type="character" w:customStyle="1" w:styleId="ListParagraphChar">
    <w:name w:val="List Paragraph Char"/>
    <w:aliases w:val="Body of text Char,Colorful List - Accent 11 Char,spasi 2 taiiii Char,skripsi Char,Body Text Char1 Char,Char Char2 Char,List Paragraph2 Char,List Paragraph1 Char,Paragraf ISI Char,Header Char1 Char,Dot pt Char,F5 List Paragraph Char"/>
    <w:link w:val="ListParagraph"/>
    <w:uiPriority w:val="34"/>
    <w:qFormat/>
    <w:rsid w:val="00541A3B"/>
    <w:rPr>
      <w:rFonts w:ascii="Calibri" w:hAnsi="Calibri"/>
      <w:sz w:val="22"/>
      <w:szCs w:val="22"/>
      <w:lang w:eastAsia="ja-JP"/>
    </w:rPr>
  </w:style>
  <w:style w:type="paragraph" w:styleId="NormalWeb">
    <w:name w:val="Normal (Web)"/>
    <w:basedOn w:val="Normal"/>
    <w:uiPriority w:val="99"/>
    <w:semiHidden/>
    <w:unhideWhenUsed/>
    <w:rsid w:val="00607285"/>
    <w:pPr>
      <w:spacing w:before="100" w:beforeAutospacing="1" w:after="100" w:afterAutospacing="1"/>
    </w:pPr>
    <w:rPr>
      <w:rFonts w:ascii="Times New Roman" w:hAnsi="Times New Roman"/>
      <w:sz w:val="24"/>
      <w:szCs w:val="24"/>
      <w:lang w:val="en-ID" w:eastAsia="en-ID"/>
    </w:rPr>
  </w:style>
  <w:style w:type="table" w:customStyle="1" w:styleId="Tesis">
    <w:name w:val="Tesis"/>
    <w:basedOn w:val="TableNormal"/>
    <w:uiPriority w:val="99"/>
    <w:rsid w:val="00607285"/>
    <w:rPr>
      <w:rFonts w:eastAsiaTheme="minorHAnsi" w:cstheme="minorBidi"/>
      <w:sz w:val="24"/>
      <w:szCs w:val="22"/>
    </w:rPr>
    <w:tblPr>
      <w:tblStyleRowBandSize w:val="1"/>
      <w:tblStyleColBandSize w:val="1"/>
      <w:tblBorders>
        <w:top w:val="single" w:sz="4" w:space="0" w:color="auto"/>
        <w:bottom w:val="single" w:sz="4" w:space="0" w:color="auto"/>
      </w:tblBorders>
    </w:tblPr>
    <w:tblStylePr w:type="firstRow">
      <w:tblPr/>
      <w:tcPr>
        <w:tcBorders>
          <w:bottom w:val="single" w:sz="4" w:space="0" w:color="auto"/>
        </w:tcBorders>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Vert">
      <w:tblPr/>
      <w:tcPr>
        <w:tcBorders>
          <w:bottom w:val="single" w:sz="4" w:space="0" w:color="auto"/>
        </w:tcBorders>
      </w:tcPr>
    </w:tblStylePr>
    <w:tblStylePr w:type="band1Horz">
      <w:tblPr/>
      <w:tcPr>
        <w:tcBorders>
          <w:bottom w:val="nil"/>
        </w:tcBorders>
      </w:tcPr>
    </w:tblStylePr>
    <w:tblStylePr w:type="nwCell">
      <w:tblPr/>
      <w:tcPr>
        <w:tcBorders>
          <w:bottom w:val="single" w:sz="4" w:space="0" w:color="auto"/>
        </w:tcBorders>
      </w:tcPr>
    </w:tblStylePr>
  </w:style>
  <w:style w:type="paragraph" w:styleId="FootnoteText">
    <w:name w:val="footnote text"/>
    <w:basedOn w:val="Normal"/>
    <w:link w:val="FootnoteTextChar"/>
    <w:semiHidden/>
    <w:unhideWhenUsed/>
    <w:rsid w:val="00E625FE"/>
  </w:style>
  <w:style w:type="character" w:customStyle="1" w:styleId="FootnoteTextChar">
    <w:name w:val="Footnote Text Char"/>
    <w:basedOn w:val="DefaultParagraphFont"/>
    <w:link w:val="FootnoteText"/>
    <w:semiHidden/>
    <w:rsid w:val="00E625FE"/>
    <w:rPr>
      <w:rFonts w:ascii="Helvetica" w:hAnsi="Helvetica"/>
    </w:rPr>
  </w:style>
  <w:style w:type="character" w:styleId="FootnoteReference">
    <w:name w:val="footnote reference"/>
    <w:basedOn w:val="DefaultParagraphFont"/>
    <w:semiHidden/>
    <w:unhideWhenUsed/>
    <w:rsid w:val="00E625FE"/>
    <w:rPr>
      <w:vertAlign w:val="superscript"/>
    </w:rPr>
  </w:style>
  <w:style w:type="character" w:styleId="UnresolvedMention">
    <w:name w:val="Unresolved Mention"/>
    <w:basedOn w:val="DefaultParagraphFont"/>
    <w:uiPriority w:val="99"/>
    <w:semiHidden/>
    <w:unhideWhenUsed/>
    <w:rsid w:val="0045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59760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34848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JSRR/2014/8418" TargetMode="External"/><Relationship Id="rId18" Type="http://schemas.openxmlformats.org/officeDocument/2006/relationships/hyperlink" Target="https://doi.org/10.32585/jbfe.v3i2.3476" TargetMode="External"/><Relationship Id="rId26" Type="http://schemas.openxmlformats.org/officeDocument/2006/relationships/hyperlink" Target="https://jim.usk.ac.id/EKM/article/view/26694/pdf" TargetMode="External"/><Relationship Id="rId39" Type="http://schemas.openxmlformats.org/officeDocument/2006/relationships/fontTable" Target="fontTable.xml"/><Relationship Id="rId21" Type="http://schemas.openxmlformats.org/officeDocument/2006/relationships/hyperlink" Target="https://doi.org/10.46729/ijstm.v2i3.206" TargetMode="External"/><Relationship Id="rId34" Type="http://schemas.openxmlformats.org/officeDocument/2006/relationships/hyperlink" Target="https://doi.org/10.33395/owner.v6i3.880" TargetMode="External"/><Relationship Id="rId7" Type="http://schemas.openxmlformats.org/officeDocument/2006/relationships/endnotes" Target="endnotes.xml"/><Relationship Id="rId12" Type="http://schemas.openxmlformats.org/officeDocument/2006/relationships/hyperlink" Target="https://chat.openai.com" TargetMode="External"/><Relationship Id="rId17" Type="http://schemas.openxmlformats.org/officeDocument/2006/relationships/hyperlink" Target="https://doi.org/10.23969/jrak.v11i2.3146" TargetMode="External"/><Relationship Id="rId25" Type="http://schemas.openxmlformats.org/officeDocument/2006/relationships/hyperlink" Target="https://doi.org/10.47647/jrr.v1i2.146" TargetMode="External"/><Relationship Id="rId33" Type="http://schemas.openxmlformats.org/officeDocument/2006/relationships/hyperlink" Target="https://doi.org/10.36985/83y6ms06" TargetMode="External"/><Relationship Id="rId38" Type="http://schemas.openxmlformats.org/officeDocument/2006/relationships/hyperlink" Target="https://doi.org/10.37010/lit.v5i1.936" TargetMode="External"/><Relationship Id="rId2" Type="http://schemas.openxmlformats.org/officeDocument/2006/relationships/numbering" Target="numbering.xml"/><Relationship Id="rId16" Type="http://schemas.openxmlformats.org/officeDocument/2006/relationships/hyperlink" Target="https://jurnal.usahidsolo.ac.id/index.php/IAB/article/view/991" TargetMode="External"/><Relationship Id="rId20" Type="http://schemas.openxmlformats.org/officeDocument/2006/relationships/hyperlink" Target="https://www.ijeijournal.com/papers/Vol13-Issue7/13072841.pdf" TargetMode="External"/><Relationship Id="rId29" Type="http://schemas.openxmlformats.org/officeDocument/2006/relationships/hyperlink" Target="https://doi.org/10.36778/jesya.v7i1.1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journal3.undip.ac.id/index.php/accounting/article/view/9579" TargetMode="External"/><Relationship Id="rId32" Type="http://schemas.openxmlformats.org/officeDocument/2006/relationships/hyperlink" Target="https://e-journal.unmas.ac.id/index.php/kharisma/article/view/8388" TargetMode="External"/><Relationship Id="rId37" Type="http://schemas.openxmlformats.org/officeDocument/2006/relationships/hyperlink" Target="https://doi.org/10.35877/454RI.qems9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5182/jnp.v1i2.36" TargetMode="External"/><Relationship Id="rId23" Type="http://schemas.openxmlformats.org/officeDocument/2006/relationships/hyperlink" Target="https://doi.org/10.52403/ijrr.20240109" TargetMode="External"/><Relationship Id="rId28" Type="http://schemas.openxmlformats.org/officeDocument/2006/relationships/hyperlink" Target="https://doi.org/10.31539/jomb.v5i2.6193" TargetMode="External"/><Relationship Id="rId36" Type="http://schemas.openxmlformats.org/officeDocument/2006/relationships/hyperlink" Target="https://doi.org/10.9734/ajeba/2023/v23i241191" TargetMode="External"/><Relationship Id="rId10" Type="http://schemas.openxmlformats.org/officeDocument/2006/relationships/header" Target="header3.xml"/><Relationship Id="rId19" Type="http://schemas.openxmlformats.org/officeDocument/2006/relationships/hyperlink" Target="https://doi.org/10.36941/ajis" TargetMode="External"/><Relationship Id="rId31" Type="http://schemas.openxmlformats.org/officeDocument/2006/relationships/hyperlink" Target="https://stiesultanagung.ac.id/downlot.php?file=Financial+Juni+2016.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urnalmahasiswa.stiesia.ac.id/index.php/jirm/article/view/4889" TargetMode="External"/><Relationship Id="rId22" Type="http://schemas.openxmlformats.org/officeDocument/2006/relationships/hyperlink" Target="https://rigeo.org/menu-script/index.php/rigeo/article/view/2610" TargetMode="External"/><Relationship Id="rId27" Type="http://schemas.openxmlformats.org/officeDocument/2006/relationships/hyperlink" Target="http://ejournal.seaninstitute.or.id/index.php/Ekonomi/article/view/2566" TargetMode="External"/><Relationship Id="rId30" Type="http://schemas.openxmlformats.org/officeDocument/2006/relationships/hyperlink" Target="https://doi.org/10.36418/syntax-literate.v6i4.2234" TargetMode="External"/><Relationship Id="rId35" Type="http://schemas.openxmlformats.org/officeDocument/2006/relationships/hyperlink" Target="https://doi.org/10.26905/jkdp.v27i1.9169"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90F6-6C83-4F9A-949E-66A7858C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474</TotalTime>
  <Pages>16</Pages>
  <Words>7702</Words>
  <Characters>43903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51502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30</cp:revision>
  <cp:lastPrinted>1999-07-06T11:00:00Z</cp:lastPrinted>
  <dcterms:created xsi:type="dcterms:W3CDTF">2014-10-25T14:34:00Z</dcterms:created>
  <dcterms:modified xsi:type="dcterms:W3CDTF">2025-07-26T07:32:00Z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aa71e7ba-06bd-3730-aec9-0b9715205830</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