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2B24" w14:textId="562BE271" w:rsidR="00045E0B" w:rsidRDefault="006A5B78" w:rsidP="00D77E67">
      <w:pPr>
        <w:spacing w:after="0" w:line="240" w:lineRule="auto"/>
        <w:jc w:val="center"/>
        <w:rPr>
          <w:rFonts w:ascii="Arial" w:hAnsi="Arial" w:cs="Arial"/>
          <w:b/>
          <w:bCs/>
          <w:sz w:val="28"/>
          <w:szCs w:val="28"/>
        </w:rPr>
      </w:pPr>
      <w:r w:rsidRPr="006A5B78">
        <w:rPr>
          <w:rFonts w:ascii="Arial" w:hAnsi="Arial" w:cs="Arial"/>
          <w:b/>
          <w:bCs/>
          <w:sz w:val="28"/>
          <w:szCs w:val="28"/>
          <w:highlight w:val="yellow"/>
        </w:rPr>
        <w:t xml:space="preserve">The Mediating Role of Perceived Public Service Quality in the Influence of Sectoral Budget Allocations on Human Development Index in </w:t>
      </w:r>
      <w:proofErr w:type="spellStart"/>
      <w:r w:rsidRPr="006A5B78">
        <w:rPr>
          <w:rFonts w:ascii="Arial" w:hAnsi="Arial" w:cs="Arial"/>
          <w:b/>
          <w:bCs/>
          <w:sz w:val="28"/>
          <w:szCs w:val="28"/>
          <w:highlight w:val="yellow"/>
        </w:rPr>
        <w:t>Langkat</w:t>
      </w:r>
      <w:proofErr w:type="spellEnd"/>
      <w:r w:rsidRPr="006A5B78">
        <w:rPr>
          <w:rFonts w:ascii="Arial" w:hAnsi="Arial" w:cs="Arial"/>
          <w:b/>
          <w:bCs/>
          <w:sz w:val="28"/>
          <w:szCs w:val="28"/>
          <w:highlight w:val="yellow"/>
        </w:rPr>
        <w:t xml:space="preserve"> Regency, Indonesia</w:t>
      </w:r>
    </w:p>
    <w:p w14:paraId="50A1E5DC" w14:textId="1D1AB791" w:rsidR="00187619" w:rsidRDefault="00187619" w:rsidP="002A4F24">
      <w:pPr>
        <w:spacing w:after="0" w:line="240" w:lineRule="auto"/>
        <w:jc w:val="center"/>
        <w:outlineLvl w:val="0"/>
      </w:pPr>
    </w:p>
    <w:p w14:paraId="2500FDAF" w14:textId="3210EB68" w:rsidR="002D3605" w:rsidRDefault="002D3605" w:rsidP="002A4F24">
      <w:pPr>
        <w:spacing w:after="0" w:line="240" w:lineRule="auto"/>
        <w:jc w:val="center"/>
        <w:outlineLvl w:val="0"/>
      </w:pPr>
    </w:p>
    <w:p w14:paraId="4E23BD89" w14:textId="77777777" w:rsidR="002D3605" w:rsidRDefault="002D3605" w:rsidP="002A4F24">
      <w:pPr>
        <w:spacing w:after="0" w:line="240" w:lineRule="auto"/>
        <w:jc w:val="center"/>
        <w:outlineLvl w:val="0"/>
      </w:pPr>
    </w:p>
    <w:p w14:paraId="1617C78E" w14:textId="77777777" w:rsidR="002A4F24" w:rsidRPr="00101FB6" w:rsidRDefault="002A4F24" w:rsidP="002A4F24">
      <w:pPr>
        <w:spacing w:after="0" w:line="240" w:lineRule="auto"/>
        <w:jc w:val="center"/>
        <w:outlineLvl w:val="0"/>
        <w:rPr>
          <w:rFonts w:ascii="Arial" w:hAnsi="Arial" w:cs="Arial"/>
        </w:rPr>
      </w:pPr>
    </w:p>
    <w:p w14:paraId="49093252" w14:textId="00DC4278" w:rsidR="00E26E1E" w:rsidRPr="00101FB6" w:rsidRDefault="008E65AB" w:rsidP="00E26E1E">
      <w:pPr>
        <w:spacing w:after="120" w:line="240" w:lineRule="auto"/>
        <w:jc w:val="center"/>
        <w:rPr>
          <w:rFonts w:ascii="Arial" w:hAnsi="Arial" w:cs="Arial"/>
          <w:b/>
          <w:bCs/>
        </w:rPr>
      </w:pPr>
      <w:r w:rsidRPr="00101FB6">
        <w:rPr>
          <w:rFonts w:ascii="Arial" w:hAnsi="Arial" w:cs="Arial"/>
          <w:b/>
          <w:bCs/>
        </w:rPr>
        <w:t>Abstract</w:t>
      </w:r>
    </w:p>
    <w:p w14:paraId="3C6178BF" w14:textId="05A637E5" w:rsidR="00045E0B" w:rsidRPr="00952BDE" w:rsidRDefault="006A5B78" w:rsidP="00075AE4">
      <w:pPr>
        <w:spacing w:after="120" w:line="240" w:lineRule="auto"/>
        <w:jc w:val="both"/>
        <w:rPr>
          <w:rFonts w:ascii="Arial" w:hAnsi="Arial" w:cs="Arial"/>
        </w:rPr>
      </w:pPr>
      <w:r w:rsidRPr="006A5B78">
        <w:rPr>
          <w:rFonts w:ascii="Arial" w:hAnsi="Arial" w:cs="Arial"/>
          <w:highlight w:val="yellow"/>
        </w:rPr>
        <w:t xml:space="preserve">This study examines how perceived public service quality mediates the influence of sectoral budget allocations—specifically in education, health, and infrastructure—on the Human Development Index (HDI) in </w:t>
      </w:r>
      <w:proofErr w:type="spellStart"/>
      <w:r w:rsidRPr="006A5B78">
        <w:rPr>
          <w:rFonts w:ascii="Arial" w:hAnsi="Arial" w:cs="Arial"/>
          <w:highlight w:val="yellow"/>
        </w:rPr>
        <w:t>Langkat</w:t>
      </w:r>
      <w:proofErr w:type="spellEnd"/>
      <w:r w:rsidRPr="006A5B78">
        <w:rPr>
          <w:rFonts w:ascii="Arial" w:hAnsi="Arial" w:cs="Arial"/>
          <w:highlight w:val="yellow"/>
        </w:rPr>
        <w:t xml:space="preserve"> Regency, North Sumatra, Indonesia. Despite steady increases in budget allocations, </w:t>
      </w:r>
      <w:proofErr w:type="spellStart"/>
      <w:r w:rsidRPr="006A5B78">
        <w:rPr>
          <w:rFonts w:ascii="Arial" w:hAnsi="Arial" w:cs="Arial"/>
          <w:highlight w:val="yellow"/>
        </w:rPr>
        <w:t>Langkat’s</w:t>
      </w:r>
      <w:proofErr w:type="spellEnd"/>
      <w:r w:rsidRPr="006A5B78">
        <w:rPr>
          <w:rFonts w:ascii="Arial" w:hAnsi="Arial" w:cs="Arial"/>
          <w:highlight w:val="yellow"/>
        </w:rPr>
        <w:t xml:space="preserve"> HDI progress remains slow compared to its regional counterparts. The study employs a quantitative explanatory design using Partial Least Squares Structural Equation Modeling (PLS-SEM) with 115 stakeholders from key government sectors, using data collected during the 2023 fiscal year. The SERVQUAL model is adopted to measure service quality across five dimensions. Findings reveal that while sectoral expenditures do not directly improve HDI, they significantly enhance service quality, which in turn positively affects HDI outcomes. The results suggest that effective public service delivery is essential to converting fiscal resources into human development gains. This study offers practical insights for regional governance reforms in developing countries</w:t>
      </w:r>
      <w:r w:rsidR="00045E0B" w:rsidRPr="00952BDE">
        <w:rPr>
          <w:rFonts w:ascii="Arial" w:hAnsi="Arial" w:cs="Arial"/>
        </w:rPr>
        <w:t>.</w:t>
      </w:r>
    </w:p>
    <w:p w14:paraId="16D8ED83" w14:textId="0F0DF386" w:rsidR="008E65AB" w:rsidRPr="00952BDE" w:rsidRDefault="008E65AB" w:rsidP="00075AE4">
      <w:pPr>
        <w:spacing w:after="120" w:line="240" w:lineRule="auto"/>
        <w:jc w:val="both"/>
        <w:rPr>
          <w:rFonts w:ascii="Arial" w:hAnsi="Arial" w:cs="Arial"/>
        </w:rPr>
      </w:pPr>
      <w:r w:rsidRPr="00101FB6">
        <w:rPr>
          <w:rFonts w:ascii="Arial" w:hAnsi="Arial" w:cs="Arial"/>
          <w:b/>
          <w:bCs/>
        </w:rPr>
        <w:t>Keywords:</w:t>
      </w:r>
      <w:r w:rsidRPr="00101FB6">
        <w:rPr>
          <w:rFonts w:ascii="Arial" w:hAnsi="Arial" w:cs="Arial"/>
        </w:rPr>
        <w:t xml:space="preserve"> </w:t>
      </w:r>
      <w:r w:rsidR="00045E0B" w:rsidRPr="00952BDE">
        <w:rPr>
          <w:rFonts w:ascii="Arial" w:hAnsi="Arial" w:cs="Arial"/>
        </w:rPr>
        <w:t xml:space="preserve">Human Development Index, Public Budget, Education Spending, Infrastructure, Service Quality, Mediation, PLS-SEM, </w:t>
      </w:r>
    </w:p>
    <w:p w14:paraId="26772C2A" w14:textId="77777777" w:rsidR="008E65AB" w:rsidRPr="00101FB6" w:rsidRDefault="008E65AB" w:rsidP="00075AE4">
      <w:pPr>
        <w:spacing w:after="120" w:line="240" w:lineRule="auto"/>
        <w:jc w:val="both"/>
        <w:rPr>
          <w:rFonts w:ascii="Arial" w:hAnsi="Arial" w:cs="Arial"/>
        </w:rPr>
      </w:pPr>
    </w:p>
    <w:p w14:paraId="47E4980B" w14:textId="183FEDE7" w:rsidR="008E65AB"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Introduction</w:t>
      </w:r>
    </w:p>
    <w:p w14:paraId="2BF7E3E5" w14:textId="31C69C0A"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The decentralization framework in Indonesia has granted substantial fiscal autonomy to regional governments, with the objective of improving human development outcomes at the local level. However, empirical studies show that increases in public expenditure do not always translate into improvements in the Human Development Index (HDI), particularly when public service delivery mechanisms remain inefficient (</w:t>
      </w:r>
      <w:proofErr w:type="spellStart"/>
      <w:r w:rsidRPr="00C90EA9">
        <w:rPr>
          <w:rFonts w:ascii="Arial" w:hAnsi="Arial" w:cs="Arial"/>
          <w:highlight w:val="yellow"/>
        </w:rPr>
        <w:t>Amru</w:t>
      </w:r>
      <w:proofErr w:type="spellEnd"/>
      <w:r w:rsidRPr="00C90EA9">
        <w:rPr>
          <w:rFonts w:ascii="Arial" w:hAnsi="Arial" w:cs="Arial"/>
          <w:highlight w:val="yellow"/>
        </w:rPr>
        <w:t xml:space="preserve"> &amp; </w:t>
      </w:r>
      <w:proofErr w:type="spellStart"/>
      <w:r w:rsidRPr="00C90EA9">
        <w:rPr>
          <w:rFonts w:ascii="Arial" w:hAnsi="Arial" w:cs="Arial"/>
          <w:highlight w:val="yellow"/>
        </w:rPr>
        <w:t>Sihaloho</w:t>
      </w:r>
      <w:proofErr w:type="spellEnd"/>
      <w:r w:rsidRPr="00C90EA9">
        <w:rPr>
          <w:rFonts w:ascii="Arial" w:hAnsi="Arial" w:cs="Arial"/>
          <w:highlight w:val="yellow"/>
        </w:rPr>
        <w:t>, 2020; Kurniawan &amp; Haryanto, 2020).</w:t>
      </w:r>
    </w:p>
    <w:p w14:paraId="5DDF8034" w14:textId="75B7969A"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HDI is a composite measure encompassing education, health, and a decent standard of living. Effective fiscal intervention in these sectors requires not only adequate budget allocations but also strategic planning and implementation. Without aligning expenditures with performance-based outcomes, the fiscal effort may fail to deliver substantial developmental returns (</w:t>
      </w:r>
      <w:proofErr w:type="spellStart"/>
      <w:r w:rsidRPr="00C90EA9">
        <w:rPr>
          <w:rFonts w:ascii="Arial" w:hAnsi="Arial" w:cs="Arial"/>
          <w:highlight w:val="yellow"/>
        </w:rPr>
        <w:t>Muliana</w:t>
      </w:r>
      <w:proofErr w:type="spellEnd"/>
      <w:r w:rsidRPr="00C90EA9">
        <w:rPr>
          <w:rFonts w:ascii="Arial" w:hAnsi="Arial" w:cs="Arial"/>
          <w:highlight w:val="yellow"/>
        </w:rPr>
        <w:t xml:space="preserve">, 2020; </w:t>
      </w:r>
      <w:proofErr w:type="spellStart"/>
      <w:r w:rsidRPr="00C90EA9">
        <w:rPr>
          <w:rFonts w:ascii="Arial" w:hAnsi="Arial" w:cs="Arial"/>
          <w:highlight w:val="yellow"/>
        </w:rPr>
        <w:t>Indrayathi</w:t>
      </w:r>
      <w:proofErr w:type="spellEnd"/>
      <w:r w:rsidRPr="00C90EA9">
        <w:rPr>
          <w:rFonts w:ascii="Arial" w:hAnsi="Arial" w:cs="Arial"/>
          <w:highlight w:val="yellow"/>
        </w:rPr>
        <w:t xml:space="preserve"> &amp; Hardy, 2018).</w:t>
      </w:r>
    </w:p>
    <w:p w14:paraId="3783310A" w14:textId="1F1989C2"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 xml:space="preserve">In the education sector, research emphasizes that public spending should be directed not only toward infrastructure development but also toward improving instructional quality, teacher competence, and educational governance. Failure to align spending with service quality dimensions can result in suboptimal educational outcomes despite increased fiscal inputs (Fattah, 2009; </w:t>
      </w:r>
      <w:proofErr w:type="spellStart"/>
      <w:r w:rsidRPr="00C90EA9">
        <w:rPr>
          <w:rFonts w:ascii="Arial" w:hAnsi="Arial" w:cs="Arial"/>
          <w:highlight w:val="yellow"/>
        </w:rPr>
        <w:t>Nursobah</w:t>
      </w:r>
      <w:proofErr w:type="spellEnd"/>
      <w:r w:rsidRPr="00C90EA9">
        <w:rPr>
          <w:rFonts w:ascii="Arial" w:hAnsi="Arial" w:cs="Arial"/>
          <w:highlight w:val="yellow"/>
        </w:rPr>
        <w:t>, 2022).</w:t>
      </w:r>
    </w:p>
    <w:p w14:paraId="0DD9E2BD" w14:textId="6ECE26E8"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A similar pattern is evident in the health sector. While national and local governments have augmented health budgets in recent years, disparities in healthcare outcomes persist, often due to inequitable distribution of resources and institutional capacity gaps in healthcare delivery (Kementerian Kesehatan RI, 2022; Ilham &amp; Riana, 2020).</w:t>
      </w:r>
    </w:p>
    <w:p w14:paraId="6C98500E" w14:textId="2137A553"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lastRenderedPageBreak/>
        <w:t>Infrastructure development, often regarded as a catalyst for growth and accessibility, is another key determinant of human development. Nevertheless, the effectiveness of capital expenditure in infrastructure is frequently constrained by poor planning, limited oversight, and insufficient community engagement (</w:t>
      </w:r>
      <w:proofErr w:type="spellStart"/>
      <w:r w:rsidRPr="00C90EA9">
        <w:rPr>
          <w:rFonts w:ascii="Arial" w:hAnsi="Arial" w:cs="Arial"/>
          <w:highlight w:val="yellow"/>
        </w:rPr>
        <w:t>Astuti</w:t>
      </w:r>
      <w:proofErr w:type="spellEnd"/>
      <w:r w:rsidRPr="00C90EA9">
        <w:rPr>
          <w:rFonts w:ascii="Arial" w:hAnsi="Arial" w:cs="Arial"/>
          <w:highlight w:val="yellow"/>
        </w:rPr>
        <w:t xml:space="preserve">, 2020; </w:t>
      </w:r>
      <w:proofErr w:type="spellStart"/>
      <w:r w:rsidRPr="00C90EA9">
        <w:rPr>
          <w:rFonts w:ascii="Arial" w:hAnsi="Arial" w:cs="Arial"/>
          <w:highlight w:val="yellow"/>
        </w:rPr>
        <w:t>Saputro</w:t>
      </w:r>
      <w:proofErr w:type="spellEnd"/>
      <w:r w:rsidRPr="00C90EA9">
        <w:rPr>
          <w:rFonts w:ascii="Arial" w:hAnsi="Arial" w:cs="Arial"/>
          <w:highlight w:val="yellow"/>
        </w:rPr>
        <w:t>, 2016).</w:t>
      </w:r>
    </w:p>
    <w:p w14:paraId="0EF4870E" w14:textId="0D8E253F"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Public service quality thus emerges as a critical mediating variable linking fiscal inputs to development outputs. When public services are unresponsive, opaque, or unequally distributed, even significant increases in budget allocations may yield limited developmental impacts (</w:t>
      </w:r>
      <w:proofErr w:type="spellStart"/>
      <w:r w:rsidRPr="00C90EA9">
        <w:rPr>
          <w:rFonts w:ascii="Arial" w:hAnsi="Arial" w:cs="Arial"/>
          <w:highlight w:val="yellow"/>
        </w:rPr>
        <w:t>Mauludin</w:t>
      </w:r>
      <w:proofErr w:type="spellEnd"/>
      <w:r w:rsidRPr="00C90EA9">
        <w:rPr>
          <w:rFonts w:ascii="Arial" w:hAnsi="Arial" w:cs="Arial"/>
          <w:highlight w:val="yellow"/>
        </w:rPr>
        <w:t xml:space="preserve">, 2018; </w:t>
      </w:r>
      <w:proofErr w:type="spellStart"/>
      <w:r w:rsidRPr="00C90EA9">
        <w:rPr>
          <w:rFonts w:ascii="Arial" w:hAnsi="Arial" w:cs="Arial"/>
          <w:highlight w:val="yellow"/>
        </w:rPr>
        <w:t>Anggraini</w:t>
      </w:r>
      <w:proofErr w:type="spellEnd"/>
      <w:r w:rsidRPr="00C90EA9">
        <w:rPr>
          <w:rFonts w:ascii="Arial" w:hAnsi="Arial" w:cs="Arial"/>
          <w:highlight w:val="yellow"/>
        </w:rPr>
        <w:t>, 2021).</w:t>
      </w:r>
    </w:p>
    <w:p w14:paraId="1FAD29E9" w14:textId="191D212B"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 xml:space="preserve">This phenomenon is particularly evident in </w:t>
      </w:r>
      <w:proofErr w:type="spellStart"/>
      <w:r w:rsidRPr="00C90EA9">
        <w:rPr>
          <w:rFonts w:ascii="Arial" w:hAnsi="Arial" w:cs="Arial"/>
          <w:highlight w:val="yellow"/>
        </w:rPr>
        <w:t>Langkat</w:t>
      </w:r>
      <w:proofErr w:type="spellEnd"/>
      <w:r w:rsidRPr="00C90EA9">
        <w:rPr>
          <w:rFonts w:ascii="Arial" w:hAnsi="Arial" w:cs="Arial"/>
          <w:highlight w:val="yellow"/>
        </w:rPr>
        <w:t xml:space="preserve"> Regency, North Sumatra, where, despite compliance with mandatory spending thresholds in education, health, and infrastructure sectors, HDI performance remains lagging compared to neighboring regions (BPS, 2021; </w:t>
      </w:r>
      <w:proofErr w:type="spellStart"/>
      <w:r w:rsidRPr="00C90EA9">
        <w:rPr>
          <w:rFonts w:ascii="Arial" w:hAnsi="Arial" w:cs="Arial"/>
          <w:highlight w:val="yellow"/>
        </w:rPr>
        <w:t>Dewantara</w:t>
      </w:r>
      <w:proofErr w:type="spellEnd"/>
      <w:r w:rsidRPr="00C90EA9">
        <w:rPr>
          <w:rFonts w:ascii="Arial" w:hAnsi="Arial" w:cs="Arial"/>
          <w:highlight w:val="yellow"/>
        </w:rPr>
        <w:t>, 2020). These patterns suggest a disconnect between fiscal compliance and service delivery effectiveness.</w:t>
      </w:r>
    </w:p>
    <w:p w14:paraId="5C59536C" w14:textId="09D70666"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Institutional weaknesses—such as limited bureaucratic capacity, inadequate performance monitoring systems, and weak citizen participation in budgeting—further exacerbate the gap between financial input and development outcomes (</w:t>
      </w:r>
      <w:proofErr w:type="spellStart"/>
      <w:r w:rsidRPr="00C90EA9">
        <w:rPr>
          <w:rFonts w:ascii="Arial" w:hAnsi="Arial" w:cs="Arial"/>
          <w:highlight w:val="yellow"/>
        </w:rPr>
        <w:t>Direktorat</w:t>
      </w:r>
      <w:proofErr w:type="spellEnd"/>
      <w:r w:rsidRPr="00C90EA9">
        <w:rPr>
          <w:rFonts w:ascii="Arial" w:hAnsi="Arial" w:cs="Arial"/>
          <w:highlight w:val="yellow"/>
        </w:rPr>
        <w:t xml:space="preserve"> </w:t>
      </w:r>
      <w:proofErr w:type="spellStart"/>
      <w:r w:rsidRPr="00C90EA9">
        <w:rPr>
          <w:rFonts w:ascii="Arial" w:hAnsi="Arial" w:cs="Arial"/>
          <w:highlight w:val="yellow"/>
        </w:rPr>
        <w:t>Jenderal</w:t>
      </w:r>
      <w:proofErr w:type="spellEnd"/>
      <w:r w:rsidRPr="00C90EA9">
        <w:rPr>
          <w:rFonts w:ascii="Arial" w:hAnsi="Arial" w:cs="Arial"/>
          <w:highlight w:val="yellow"/>
        </w:rPr>
        <w:t xml:space="preserve"> </w:t>
      </w:r>
      <w:proofErr w:type="spellStart"/>
      <w:r w:rsidRPr="00C90EA9">
        <w:rPr>
          <w:rFonts w:ascii="Arial" w:hAnsi="Arial" w:cs="Arial"/>
          <w:highlight w:val="yellow"/>
        </w:rPr>
        <w:t>Perimbangan</w:t>
      </w:r>
      <w:proofErr w:type="spellEnd"/>
      <w:r w:rsidRPr="00C90EA9">
        <w:rPr>
          <w:rFonts w:ascii="Arial" w:hAnsi="Arial" w:cs="Arial"/>
          <w:highlight w:val="yellow"/>
        </w:rPr>
        <w:t xml:space="preserve"> </w:t>
      </w:r>
      <w:proofErr w:type="spellStart"/>
      <w:r w:rsidRPr="00C90EA9">
        <w:rPr>
          <w:rFonts w:ascii="Arial" w:hAnsi="Arial" w:cs="Arial"/>
          <w:highlight w:val="yellow"/>
        </w:rPr>
        <w:t>Keuangan</w:t>
      </w:r>
      <w:proofErr w:type="spellEnd"/>
      <w:r w:rsidRPr="00C90EA9">
        <w:rPr>
          <w:rFonts w:ascii="Arial" w:hAnsi="Arial" w:cs="Arial"/>
          <w:highlight w:val="yellow"/>
        </w:rPr>
        <w:t xml:space="preserve">, 2020; </w:t>
      </w:r>
      <w:proofErr w:type="spellStart"/>
      <w:r w:rsidRPr="00C90EA9">
        <w:rPr>
          <w:rFonts w:ascii="Arial" w:hAnsi="Arial" w:cs="Arial"/>
          <w:highlight w:val="yellow"/>
        </w:rPr>
        <w:t>Mardiasmo</w:t>
      </w:r>
      <w:proofErr w:type="spellEnd"/>
      <w:r w:rsidRPr="00C90EA9">
        <w:rPr>
          <w:rFonts w:ascii="Arial" w:hAnsi="Arial" w:cs="Arial"/>
          <w:highlight w:val="yellow"/>
        </w:rPr>
        <w:t>, 2021).</w:t>
      </w:r>
    </w:p>
    <w:p w14:paraId="252A3CC6" w14:textId="10222AF7" w:rsidR="00C90EA9" w:rsidRPr="00C90EA9" w:rsidRDefault="00C90EA9" w:rsidP="00C90EA9">
      <w:pPr>
        <w:spacing w:after="120" w:line="240" w:lineRule="auto"/>
        <w:ind w:left="-11"/>
        <w:jc w:val="both"/>
        <w:rPr>
          <w:rFonts w:ascii="Arial" w:hAnsi="Arial" w:cs="Arial"/>
          <w:highlight w:val="yellow"/>
        </w:rPr>
      </w:pPr>
      <w:r w:rsidRPr="00C90EA9">
        <w:rPr>
          <w:rFonts w:ascii="Arial" w:hAnsi="Arial" w:cs="Arial"/>
          <w:highlight w:val="yellow"/>
        </w:rPr>
        <w:t xml:space="preserve">This issue is not unique to </w:t>
      </w:r>
      <w:proofErr w:type="spellStart"/>
      <w:r w:rsidRPr="00C90EA9">
        <w:rPr>
          <w:rFonts w:ascii="Arial" w:hAnsi="Arial" w:cs="Arial"/>
          <w:highlight w:val="yellow"/>
        </w:rPr>
        <w:t>Langkat</w:t>
      </w:r>
      <w:proofErr w:type="spellEnd"/>
      <w:r w:rsidRPr="00C90EA9">
        <w:rPr>
          <w:rFonts w:ascii="Arial" w:hAnsi="Arial" w:cs="Arial"/>
          <w:highlight w:val="yellow"/>
        </w:rPr>
        <w:t xml:space="preserve"> or Indonesia. International research has demonstrated that in many developing countries, increased public expenditure without corresponding improvements in service governance often leads to inefficiencies and worsens inequality (Sanusi &amp; Yusuf, 2018; Santis, 2020). Therefore, policy interventions must prioritize service delivery governance alongside fiscal expansion.</w:t>
      </w:r>
    </w:p>
    <w:p w14:paraId="606A4AA6" w14:textId="77777777" w:rsidR="00C90EA9" w:rsidRPr="00C90EA9" w:rsidRDefault="00C90EA9" w:rsidP="00C90EA9">
      <w:pPr>
        <w:spacing w:after="120" w:line="240" w:lineRule="auto"/>
        <w:ind w:left="-11"/>
        <w:jc w:val="both"/>
        <w:rPr>
          <w:rFonts w:ascii="Arial" w:hAnsi="Arial" w:cs="Arial"/>
        </w:rPr>
      </w:pPr>
      <w:r w:rsidRPr="00C90EA9">
        <w:rPr>
          <w:rFonts w:ascii="Arial" w:hAnsi="Arial" w:cs="Arial"/>
          <w:highlight w:val="yellow"/>
        </w:rPr>
        <w:t xml:space="preserve">Given this context, the present study aims to empirically investigate whether perceived public service quality mediates the influence of education, health, and infrastructure expenditures on HDI outcomes in </w:t>
      </w:r>
      <w:proofErr w:type="spellStart"/>
      <w:r w:rsidRPr="00C90EA9">
        <w:rPr>
          <w:rFonts w:ascii="Arial" w:hAnsi="Arial" w:cs="Arial"/>
          <w:highlight w:val="yellow"/>
        </w:rPr>
        <w:t>Langkat</w:t>
      </w:r>
      <w:proofErr w:type="spellEnd"/>
      <w:r w:rsidRPr="00C90EA9">
        <w:rPr>
          <w:rFonts w:ascii="Arial" w:hAnsi="Arial" w:cs="Arial"/>
          <w:highlight w:val="yellow"/>
        </w:rPr>
        <w:t xml:space="preserve"> Regency. Employing Partial Least Squares Structural Equation Modeling (PLS-SEM), the study seeks to generate evidence-based insights for improving fiscal effectiveness and optimizing human development at the subnational level.</w:t>
      </w:r>
    </w:p>
    <w:p w14:paraId="67966479" w14:textId="77777777" w:rsidR="00045E0B" w:rsidRPr="00045E0B" w:rsidRDefault="00045E0B" w:rsidP="00045E0B">
      <w:pPr>
        <w:spacing w:after="120" w:line="240" w:lineRule="auto"/>
        <w:ind w:left="-11"/>
        <w:jc w:val="both"/>
        <w:rPr>
          <w:rFonts w:ascii="Arial" w:hAnsi="Arial" w:cs="Arial"/>
          <w:b/>
          <w:bCs/>
        </w:rPr>
      </w:pPr>
    </w:p>
    <w:p w14:paraId="35A7F6C9" w14:textId="595EB209" w:rsidR="008E65AB"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Methodology</w:t>
      </w:r>
    </w:p>
    <w:p w14:paraId="20E0DC70" w14:textId="078C50C0" w:rsidR="00952BDE" w:rsidRPr="00187619" w:rsidRDefault="00952BDE" w:rsidP="00952BDE">
      <w:pPr>
        <w:spacing w:after="120" w:line="240" w:lineRule="auto"/>
        <w:ind w:left="-11"/>
        <w:jc w:val="both"/>
        <w:rPr>
          <w:rFonts w:ascii="Arial" w:hAnsi="Arial" w:cs="Arial"/>
        </w:rPr>
      </w:pPr>
      <w:r w:rsidRPr="00187619">
        <w:rPr>
          <w:rFonts w:ascii="Arial" w:hAnsi="Arial" w:cs="Arial"/>
        </w:rPr>
        <w:t xml:space="preserve">This study employed a </w:t>
      </w:r>
      <w:r w:rsidRPr="00187619">
        <w:rPr>
          <w:rStyle w:val="Strong"/>
          <w:rFonts w:ascii="Arial" w:hAnsi="Arial" w:cs="Arial"/>
          <w:b w:val="0"/>
          <w:bCs w:val="0"/>
        </w:rPr>
        <w:t>quantitative-explanatory research design</w:t>
      </w:r>
      <w:r w:rsidRPr="00187619">
        <w:rPr>
          <w:rFonts w:ascii="Arial" w:hAnsi="Arial" w:cs="Arial"/>
        </w:rPr>
        <w:t xml:space="preserve"> to examine the causal relationships among government expenditure, public service quality, and the Human Development Index (HDI) in </w:t>
      </w:r>
      <w:proofErr w:type="spellStart"/>
      <w:r w:rsidRPr="00187619">
        <w:rPr>
          <w:rFonts w:ascii="Arial" w:hAnsi="Arial" w:cs="Arial"/>
        </w:rPr>
        <w:t>Langkat</w:t>
      </w:r>
      <w:proofErr w:type="spellEnd"/>
      <w:r w:rsidRPr="00187619">
        <w:rPr>
          <w:rFonts w:ascii="Arial" w:hAnsi="Arial" w:cs="Arial"/>
        </w:rPr>
        <w:t xml:space="preserve"> Regency, North Sumatra. The research aimed to determine not only direct effects of sectoral spending on HDI but also the mediating role of public service quality in this relationship.</w:t>
      </w:r>
    </w:p>
    <w:p w14:paraId="200438FD" w14:textId="050F798D" w:rsidR="008E65AB" w:rsidRDefault="008E65AB" w:rsidP="00075AE4">
      <w:pPr>
        <w:spacing w:after="120" w:line="240" w:lineRule="auto"/>
        <w:jc w:val="both"/>
        <w:rPr>
          <w:rFonts w:ascii="Arial" w:hAnsi="Arial" w:cs="Arial"/>
          <w:b/>
          <w:bCs/>
        </w:rPr>
      </w:pPr>
      <w:r w:rsidRPr="00101FB6">
        <w:rPr>
          <w:rFonts w:ascii="Arial" w:hAnsi="Arial" w:cs="Arial"/>
          <w:b/>
          <w:bCs/>
        </w:rPr>
        <w:t xml:space="preserve">2.1 </w:t>
      </w:r>
      <w:r w:rsidR="00952BDE" w:rsidRPr="00952BDE">
        <w:rPr>
          <w:rFonts w:ascii="Arial" w:hAnsi="Arial" w:cs="Arial"/>
          <w:b/>
          <w:bCs/>
        </w:rPr>
        <w:t>Research Approach and Design</w:t>
      </w:r>
    </w:p>
    <w:p w14:paraId="3DB6D9CF" w14:textId="3DF4F4F4" w:rsidR="00952BDE" w:rsidRPr="00952BDE" w:rsidRDefault="00952BDE" w:rsidP="00075AE4">
      <w:pPr>
        <w:spacing w:after="120" w:line="240" w:lineRule="auto"/>
        <w:jc w:val="both"/>
        <w:rPr>
          <w:rFonts w:ascii="Arial" w:hAnsi="Arial" w:cs="Arial"/>
        </w:rPr>
      </w:pPr>
      <w:r w:rsidRPr="00952BDE">
        <w:rPr>
          <w:rFonts w:ascii="Arial" w:hAnsi="Arial" w:cs="Arial"/>
        </w:rPr>
        <w:t>A structural model was constructed using the Partial Least Squares Structural Equation Modeling (PLS-SEM) technique. This approach is widely recognized for its suitability in testing complex relationships involving mediation, especially in social science research where constructs are often latent and measured through multiple indicators.</w:t>
      </w:r>
    </w:p>
    <w:p w14:paraId="14962CE3" w14:textId="6044CEC3" w:rsidR="00952BDE" w:rsidRDefault="00952BDE" w:rsidP="00075AE4">
      <w:pPr>
        <w:spacing w:after="120" w:line="240" w:lineRule="auto"/>
        <w:jc w:val="both"/>
      </w:pPr>
    </w:p>
    <w:p w14:paraId="08C804E4" w14:textId="50E5D6F4" w:rsidR="008E65AB" w:rsidRDefault="008E65AB" w:rsidP="00075AE4">
      <w:pPr>
        <w:spacing w:after="120" w:line="240" w:lineRule="auto"/>
        <w:jc w:val="both"/>
        <w:rPr>
          <w:rFonts w:ascii="Arial" w:hAnsi="Arial" w:cs="Arial"/>
          <w:b/>
          <w:bCs/>
        </w:rPr>
      </w:pPr>
      <w:r w:rsidRPr="00101FB6">
        <w:rPr>
          <w:rFonts w:ascii="Arial" w:hAnsi="Arial" w:cs="Arial"/>
          <w:b/>
          <w:bCs/>
        </w:rPr>
        <w:t xml:space="preserve">2.2 </w:t>
      </w:r>
      <w:r w:rsidR="00952BDE" w:rsidRPr="00952BDE">
        <w:rPr>
          <w:rFonts w:ascii="Arial" w:hAnsi="Arial" w:cs="Arial"/>
          <w:b/>
          <w:bCs/>
        </w:rPr>
        <w:t>Population and Sample</w:t>
      </w:r>
    </w:p>
    <w:p w14:paraId="1C742FE6" w14:textId="25BC8D05" w:rsidR="00952BDE" w:rsidRDefault="00952BDE" w:rsidP="00075AE4">
      <w:pPr>
        <w:spacing w:after="120" w:line="240" w:lineRule="auto"/>
        <w:jc w:val="both"/>
        <w:rPr>
          <w:rFonts w:ascii="Arial" w:hAnsi="Arial" w:cs="Arial"/>
        </w:rPr>
      </w:pPr>
      <w:r w:rsidRPr="00952BDE">
        <w:rPr>
          <w:rFonts w:ascii="Arial" w:hAnsi="Arial" w:cs="Arial"/>
        </w:rPr>
        <w:lastRenderedPageBreak/>
        <w:t xml:space="preserve">The study population encompassed strategic stakeholders across government institutions in </w:t>
      </w:r>
      <w:proofErr w:type="spellStart"/>
      <w:r w:rsidRPr="00952BDE">
        <w:rPr>
          <w:rFonts w:ascii="Arial" w:hAnsi="Arial" w:cs="Arial"/>
        </w:rPr>
        <w:t>Langkat</w:t>
      </w:r>
      <w:proofErr w:type="spellEnd"/>
      <w:r w:rsidRPr="00952BDE">
        <w:rPr>
          <w:rFonts w:ascii="Arial" w:hAnsi="Arial" w:cs="Arial"/>
        </w:rPr>
        <w:t xml:space="preserve"> Regency, covering the education, health, infrastructure, and public administration sectors. A total of 115 respondents were selected through purposive sampling. </w:t>
      </w:r>
      <w:r w:rsidR="006A5B78" w:rsidRPr="006A5B78">
        <w:rPr>
          <w:rFonts w:ascii="Arial" w:hAnsi="Arial" w:cs="Arial"/>
          <w:highlight w:val="yellow"/>
        </w:rPr>
        <w:t>Purposive sampling was employed to select respondents with decision-making authority or program implementation responsibilities. This includes subnational civil servants at echelon II and III levels.</w:t>
      </w:r>
      <w:r w:rsidR="006A5B78">
        <w:rPr>
          <w:rFonts w:ascii="Arial" w:hAnsi="Arial" w:cs="Arial"/>
        </w:rPr>
        <w:t xml:space="preserve"> </w:t>
      </w:r>
      <w:r w:rsidRPr="00952BDE">
        <w:rPr>
          <w:rFonts w:ascii="Arial" w:hAnsi="Arial" w:cs="Arial"/>
        </w:rPr>
        <w:t xml:space="preserve">These included heads of public offices, school principals, </w:t>
      </w:r>
      <w:proofErr w:type="spellStart"/>
      <w:r w:rsidRPr="00952BDE">
        <w:rPr>
          <w:rFonts w:ascii="Arial" w:hAnsi="Arial" w:cs="Arial"/>
        </w:rPr>
        <w:t>Puskesmas</w:t>
      </w:r>
      <w:proofErr w:type="spellEnd"/>
      <w:r w:rsidRPr="00952BDE">
        <w:rPr>
          <w:rFonts w:ascii="Arial" w:hAnsi="Arial" w:cs="Arial"/>
        </w:rPr>
        <w:t xml:space="preserve"> leaders, and representatives from the Central Statistics Agency (BPS). This diversity ensured comprehensive insights into both fiscal implementation and service delivery quality.</w:t>
      </w:r>
    </w:p>
    <w:p w14:paraId="34E8202E" w14:textId="77777777" w:rsidR="006A5B78" w:rsidRPr="00952BDE" w:rsidRDefault="006A5B78" w:rsidP="00075AE4">
      <w:pPr>
        <w:spacing w:after="120" w:line="240" w:lineRule="auto"/>
        <w:jc w:val="both"/>
        <w:rPr>
          <w:rFonts w:ascii="Arial" w:hAnsi="Arial" w:cs="Arial"/>
          <w:b/>
          <w:bCs/>
        </w:rPr>
      </w:pPr>
    </w:p>
    <w:p w14:paraId="5E59CC20" w14:textId="56AC0F10" w:rsidR="008E65AB" w:rsidRDefault="008E65AB" w:rsidP="00D96267">
      <w:pPr>
        <w:spacing w:after="120" w:line="240" w:lineRule="auto"/>
        <w:jc w:val="both"/>
        <w:rPr>
          <w:rFonts w:ascii="Arial" w:hAnsi="Arial" w:cs="Arial"/>
          <w:b/>
          <w:bCs/>
        </w:rPr>
      </w:pPr>
      <w:r w:rsidRPr="00101FB6">
        <w:rPr>
          <w:rFonts w:ascii="Arial" w:hAnsi="Arial" w:cs="Arial"/>
          <w:b/>
          <w:bCs/>
        </w:rPr>
        <w:t xml:space="preserve">2.3 </w:t>
      </w:r>
      <w:r w:rsidR="00952BDE" w:rsidRPr="00952BDE">
        <w:rPr>
          <w:rFonts w:ascii="Arial" w:hAnsi="Arial" w:cs="Arial"/>
          <w:b/>
          <w:bCs/>
        </w:rPr>
        <w:t>Data Collection</w:t>
      </w:r>
    </w:p>
    <w:p w14:paraId="21CACBAE" w14:textId="7FA5A375" w:rsidR="00952BDE" w:rsidRDefault="00952BDE" w:rsidP="00D96267">
      <w:pPr>
        <w:spacing w:after="120" w:line="240" w:lineRule="auto"/>
        <w:jc w:val="both"/>
        <w:rPr>
          <w:rFonts w:ascii="Arial" w:hAnsi="Arial" w:cs="Arial"/>
        </w:rPr>
      </w:pPr>
      <w:r w:rsidRPr="00952BDE">
        <w:rPr>
          <w:rFonts w:ascii="Arial" w:hAnsi="Arial" w:cs="Arial"/>
        </w:rPr>
        <w:t>Data were gathered through structured questionnaires using Likert scales, complemented by secondary data from regional budget realization reports and HDI statistics. The questionnaire measured perceptions of budget efficacy, service quality dimensions (based on the SERVQUAL model), and perceived HDI outcomes. Observations and literature reviews were also employed to triangulate findings.</w:t>
      </w:r>
    </w:p>
    <w:p w14:paraId="107CC541" w14:textId="131CD1DE" w:rsidR="00952BDE" w:rsidRDefault="00952BDE" w:rsidP="00D96267">
      <w:pPr>
        <w:spacing w:after="120" w:line="240" w:lineRule="auto"/>
        <w:jc w:val="both"/>
        <w:rPr>
          <w:rFonts w:ascii="Arial" w:hAnsi="Arial" w:cs="Arial"/>
          <w:b/>
          <w:bCs/>
        </w:rPr>
      </w:pPr>
      <w:r w:rsidRPr="00952BDE">
        <w:rPr>
          <w:rFonts w:ascii="Arial" w:hAnsi="Arial" w:cs="Arial"/>
          <w:b/>
          <w:bCs/>
        </w:rPr>
        <w:t>2.4 Operational Definitions and Variables</w:t>
      </w:r>
    </w:p>
    <w:p w14:paraId="53ABEF63" w14:textId="54BADD49" w:rsidR="00952BDE" w:rsidRPr="00952BDE" w:rsidRDefault="00952BDE" w:rsidP="00D96267">
      <w:pPr>
        <w:spacing w:after="120" w:line="240" w:lineRule="auto"/>
        <w:jc w:val="both"/>
        <w:rPr>
          <w:rFonts w:ascii="Arial" w:hAnsi="Arial" w:cs="Arial"/>
        </w:rPr>
      </w:pPr>
      <w:r w:rsidRPr="00952BDE">
        <w:rPr>
          <w:rFonts w:ascii="Arial" w:hAnsi="Arial" w:cs="Arial"/>
        </w:rPr>
        <w:t>The independent variables were budget allocations in three sectors: education (X1), health (X2), and infrastructure (X3). The mediating variable was public service quality (Z), assessed across five SERVQUAL dimensions: tangibles, reliability, responsiveness, assurance, and empathy. The dependent variable was HDI (Y), composed of sub-indicators such as life expectancy, education level, and standard of living</w:t>
      </w:r>
    </w:p>
    <w:p w14:paraId="78455C8A" w14:textId="1318BD90" w:rsidR="00952BDE" w:rsidRDefault="00952BDE" w:rsidP="00D96267">
      <w:pPr>
        <w:spacing w:after="120" w:line="240" w:lineRule="auto"/>
        <w:jc w:val="both"/>
        <w:rPr>
          <w:rFonts w:ascii="Arial" w:hAnsi="Arial" w:cs="Arial"/>
          <w:b/>
          <w:bCs/>
        </w:rPr>
      </w:pPr>
      <w:r w:rsidRPr="00952BDE">
        <w:rPr>
          <w:rFonts w:ascii="Arial" w:hAnsi="Arial" w:cs="Arial"/>
          <w:b/>
          <w:bCs/>
        </w:rPr>
        <w:t>2.5 Validity and Reliability Testing</w:t>
      </w:r>
    </w:p>
    <w:p w14:paraId="1277F7BA" w14:textId="0D5A230E" w:rsidR="00101FB6" w:rsidRPr="00952BDE" w:rsidRDefault="00952BDE" w:rsidP="00075AE4">
      <w:pPr>
        <w:spacing w:after="120" w:line="240" w:lineRule="auto"/>
        <w:jc w:val="both"/>
        <w:rPr>
          <w:rFonts w:ascii="Arial" w:hAnsi="Arial" w:cs="Arial"/>
        </w:rPr>
      </w:pPr>
      <w:r w:rsidRPr="00952BDE">
        <w:rPr>
          <w:rFonts w:ascii="Arial" w:hAnsi="Arial" w:cs="Arial"/>
        </w:rPr>
        <w:t>Construct validity was ensured through confirmatory factor analysis (CFA), while reliability was assessed using Cronbach’s Alpha and Composite Reliability (CR), with all constructs achieving scores above the accepted threshold of 0.70. Convergent validity was confirmed with loading factors exceeding 0.70 for all indicators</w:t>
      </w:r>
      <w:r w:rsidR="00CE4FAB">
        <w:rPr>
          <w:rFonts w:ascii="Arial" w:hAnsi="Arial" w:cs="Arial"/>
        </w:rPr>
        <w:t xml:space="preserve">. </w:t>
      </w:r>
    </w:p>
    <w:p w14:paraId="35F8CDE7" w14:textId="24FC834E" w:rsidR="008E65AB" w:rsidRPr="00101FB6" w:rsidRDefault="008E65AB" w:rsidP="00075AE4">
      <w:pPr>
        <w:spacing w:after="120" w:line="240" w:lineRule="auto"/>
        <w:jc w:val="both"/>
        <w:rPr>
          <w:rFonts w:ascii="Arial" w:hAnsi="Arial" w:cs="Arial"/>
          <w:b/>
          <w:bCs/>
        </w:rPr>
      </w:pPr>
      <w:r w:rsidRPr="00101FB6">
        <w:rPr>
          <w:rFonts w:ascii="Arial" w:hAnsi="Arial" w:cs="Arial"/>
          <w:b/>
          <w:bCs/>
        </w:rPr>
        <w:t>2.</w:t>
      </w:r>
      <w:r w:rsidR="00952BDE">
        <w:rPr>
          <w:rFonts w:ascii="Arial" w:hAnsi="Arial" w:cs="Arial"/>
          <w:b/>
          <w:bCs/>
        </w:rPr>
        <w:t>6</w:t>
      </w:r>
      <w:r w:rsidRPr="00101FB6">
        <w:rPr>
          <w:rFonts w:ascii="Arial" w:hAnsi="Arial" w:cs="Arial"/>
          <w:b/>
          <w:bCs/>
        </w:rPr>
        <w:t xml:space="preserve"> </w:t>
      </w:r>
      <w:r w:rsidR="00952BDE" w:rsidRPr="00952BDE">
        <w:rPr>
          <w:rFonts w:ascii="Arial" w:hAnsi="Arial" w:cs="Arial"/>
          <w:b/>
          <w:bCs/>
        </w:rPr>
        <w:t>Data Analysis</w:t>
      </w:r>
    </w:p>
    <w:p w14:paraId="24FFEE70" w14:textId="55FF7DA4" w:rsidR="008E65AB" w:rsidRPr="00101FB6" w:rsidRDefault="00952BDE" w:rsidP="00075AE4">
      <w:pPr>
        <w:spacing w:after="120" w:line="240" w:lineRule="auto"/>
        <w:jc w:val="both"/>
        <w:rPr>
          <w:rFonts w:ascii="Arial" w:hAnsi="Arial" w:cs="Arial"/>
        </w:rPr>
      </w:pPr>
      <w:r w:rsidRPr="00952BDE">
        <w:rPr>
          <w:rFonts w:ascii="Arial" w:hAnsi="Arial" w:cs="Arial"/>
        </w:rPr>
        <w:t xml:space="preserve">Data were processed using </w:t>
      </w:r>
      <w:proofErr w:type="spellStart"/>
      <w:r w:rsidRPr="00952BDE">
        <w:rPr>
          <w:rFonts w:ascii="Arial" w:hAnsi="Arial" w:cs="Arial"/>
        </w:rPr>
        <w:t>SmartPLS</w:t>
      </w:r>
      <w:proofErr w:type="spellEnd"/>
      <w:r w:rsidRPr="00952BDE">
        <w:rPr>
          <w:rFonts w:ascii="Arial" w:hAnsi="Arial" w:cs="Arial"/>
        </w:rPr>
        <w:t xml:space="preserve"> 4.0, which enabled estimation of both measurement and structural models. The analysis involved evaluating the path coefficients, t-statistics (via bootstrapping), and the significance of direct and indirect effects. Mediation was tested using the Sobel test and bootstrapped confidence intervals, ensuring robust inference.</w:t>
      </w:r>
    </w:p>
    <w:p w14:paraId="04157EBF" w14:textId="4EF4C6E0" w:rsidR="008E65AB" w:rsidRPr="00101FB6" w:rsidRDefault="008E65AB" w:rsidP="00075AE4">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Results and Discussion</w:t>
      </w:r>
    </w:p>
    <w:p w14:paraId="35EB3056" w14:textId="0F9FF450" w:rsidR="00075AE4" w:rsidRDefault="00075AE4" w:rsidP="00075AE4">
      <w:pPr>
        <w:spacing w:after="120" w:line="240" w:lineRule="auto"/>
        <w:jc w:val="both"/>
        <w:rPr>
          <w:rFonts w:ascii="Arial" w:hAnsi="Arial" w:cs="Arial"/>
          <w:b/>
          <w:bCs/>
        </w:rPr>
      </w:pPr>
      <w:r w:rsidRPr="00075AE4">
        <w:rPr>
          <w:rFonts w:ascii="Arial" w:hAnsi="Arial" w:cs="Arial"/>
          <w:b/>
          <w:bCs/>
        </w:rPr>
        <w:t xml:space="preserve">3.1 </w:t>
      </w:r>
      <w:r w:rsidR="00952BDE" w:rsidRPr="00952BDE">
        <w:rPr>
          <w:rFonts w:ascii="Arial" w:hAnsi="Arial" w:cs="Arial"/>
          <w:b/>
          <w:bCs/>
        </w:rPr>
        <w:t>Descriptive Analysis</w:t>
      </w:r>
    </w:p>
    <w:p w14:paraId="65BBEBF8" w14:textId="4A71092E" w:rsidR="00307017" w:rsidRPr="00307017" w:rsidRDefault="00307017" w:rsidP="00307017">
      <w:pPr>
        <w:spacing w:after="120" w:line="240" w:lineRule="auto"/>
        <w:jc w:val="both"/>
        <w:rPr>
          <w:rFonts w:ascii="Arial" w:hAnsi="Arial" w:cs="Arial"/>
          <w:highlight w:val="yellow"/>
        </w:rPr>
      </w:pPr>
      <w:proofErr w:type="spellStart"/>
      <w:r w:rsidRPr="00307017">
        <w:rPr>
          <w:rFonts w:ascii="Arial" w:hAnsi="Arial" w:cs="Arial"/>
          <w:highlight w:val="yellow"/>
        </w:rPr>
        <w:t>Langkat</w:t>
      </w:r>
      <w:proofErr w:type="spellEnd"/>
      <w:r w:rsidRPr="00307017">
        <w:rPr>
          <w:rFonts w:ascii="Arial" w:hAnsi="Arial" w:cs="Arial"/>
          <w:highlight w:val="yellow"/>
        </w:rPr>
        <w:t xml:space="preserve"> Regency’s demographic and economic landscape presents both opportunities and constraints for human development. With a population of over one million residents spread across diverse topographies, disparities in infrastructure access, health facilities, and educational resources persist. The HDI score of 71.35, though improving, lags behind several other districts in North Sumatra, suggesting inefficiencies in development inputs (BPS </w:t>
      </w:r>
      <w:proofErr w:type="spellStart"/>
      <w:r w:rsidRPr="00307017">
        <w:rPr>
          <w:rFonts w:ascii="Arial" w:hAnsi="Arial" w:cs="Arial"/>
          <w:highlight w:val="yellow"/>
        </w:rPr>
        <w:t>Langkat</w:t>
      </w:r>
      <w:proofErr w:type="spellEnd"/>
      <w:r w:rsidRPr="00307017">
        <w:rPr>
          <w:rFonts w:ascii="Arial" w:hAnsi="Arial" w:cs="Arial"/>
          <w:highlight w:val="yellow"/>
        </w:rPr>
        <w:t>, 2024).</w:t>
      </w:r>
    </w:p>
    <w:p w14:paraId="7558894B" w14:textId="57D02E80" w:rsidR="00307017" w:rsidRPr="00307017" w:rsidRDefault="00307017" w:rsidP="00307017">
      <w:pPr>
        <w:spacing w:after="120" w:line="240" w:lineRule="auto"/>
        <w:jc w:val="both"/>
        <w:rPr>
          <w:rFonts w:ascii="Arial" w:hAnsi="Arial" w:cs="Arial"/>
          <w:highlight w:val="yellow"/>
        </w:rPr>
      </w:pPr>
      <w:r w:rsidRPr="00307017">
        <w:rPr>
          <w:rFonts w:ascii="Arial" w:hAnsi="Arial" w:cs="Arial"/>
          <w:highlight w:val="yellow"/>
        </w:rPr>
        <w:t xml:space="preserve">3.2 Demographics of </w:t>
      </w:r>
      <w:proofErr w:type="spellStart"/>
      <w:r w:rsidRPr="00307017">
        <w:rPr>
          <w:rFonts w:ascii="Arial" w:hAnsi="Arial" w:cs="Arial"/>
          <w:highlight w:val="yellow"/>
        </w:rPr>
        <w:t>Langkat</w:t>
      </w:r>
      <w:proofErr w:type="spellEnd"/>
      <w:r w:rsidRPr="00307017">
        <w:rPr>
          <w:rFonts w:ascii="Arial" w:hAnsi="Arial" w:cs="Arial"/>
          <w:highlight w:val="yellow"/>
        </w:rPr>
        <w:t xml:space="preserve"> Regency </w:t>
      </w:r>
      <w:proofErr w:type="spellStart"/>
      <w:r w:rsidRPr="00307017">
        <w:rPr>
          <w:rFonts w:ascii="Arial" w:hAnsi="Arial" w:cs="Arial"/>
          <w:highlight w:val="yellow"/>
        </w:rPr>
        <w:t>Langkat</w:t>
      </w:r>
      <w:proofErr w:type="spellEnd"/>
      <w:r w:rsidRPr="00307017">
        <w:rPr>
          <w:rFonts w:ascii="Arial" w:hAnsi="Arial" w:cs="Arial"/>
          <w:highlight w:val="yellow"/>
        </w:rPr>
        <w:t xml:space="preserve"> Regency is characterized by a predominantly rural population structure with substantial reliance on the primary </w:t>
      </w:r>
      <w:r w:rsidRPr="00307017">
        <w:rPr>
          <w:rFonts w:ascii="Arial" w:hAnsi="Arial" w:cs="Arial"/>
          <w:highlight w:val="yellow"/>
        </w:rPr>
        <w:lastRenderedPageBreak/>
        <w:t>sector, particularly agriculture, forestry, and fisheries. According to the Gross Regional Domestic Product (GRDP) structure, this sector contributes nearly 50% of the region’s total economic output. Agricultural activities span food crops like rice and maize, horticulture, and key plantation commodities such as oil palm, rubber, cocoa, coffee, and areca nuts. These commodities form the backbone of local livelihoods, especially in the hinterland areas. The dominance of this sector reflects both natural endowment and historical land use patterns rooted in agrarian development.</w:t>
      </w:r>
    </w:p>
    <w:p w14:paraId="6097FA48" w14:textId="77777777" w:rsidR="00307017" w:rsidRPr="00307017" w:rsidRDefault="00307017" w:rsidP="00307017">
      <w:pPr>
        <w:spacing w:after="120" w:line="240" w:lineRule="auto"/>
        <w:jc w:val="both"/>
        <w:rPr>
          <w:rFonts w:ascii="Arial" w:hAnsi="Arial" w:cs="Arial"/>
          <w:highlight w:val="yellow"/>
        </w:rPr>
      </w:pPr>
      <w:r w:rsidRPr="00307017">
        <w:rPr>
          <w:rFonts w:ascii="Arial" w:hAnsi="Arial" w:cs="Arial"/>
          <w:highlight w:val="yellow"/>
        </w:rPr>
        <w:t xml:space="preserve">Geographically, </w:t>
      </w:r>
      <w:proofErr w:type="spellStart"/>
      <w:r w:rsidRPr="00307017">
        <w:rPr>
          <w:rFonts w:ascii="Arial" w:hAnsi="Arial" w:cs="Arial"/>
          <w:highlight w:val="yellow"/>
        </w:rPr>
        <w:t>Langkat</w:t>
      </w:r>
      <w:proofErr w:type="spellEnd"/>
      <w:r w:rsidRPr="00307017">
        <w:rPr>
          <w:rFonts w:ascii="Arial" w:hAnsi="Arial" w:cs="Arial"/>
          <w:highlight w:val="yellow"/>
        </w:rPr>
        <w:t xml:space="preserve"> possesses extensive arable land distributed across its subdistricts, which significantly supports its agribusiness potential. In Sei </w:t>
      </w:r>
      <w:proofErr w:type="spellStart"/>
      <w:r w:rsidRPr="00307017">
        <w:rPr>
          <w:rFonts w:ascii="Arial" w:hAnsi="Arial" w:cs="Arial"/>
          <w:highlight w:val="yellow"/>
        </w:rPr>
        <w:t>Bingai</w:t>
      </w:r>
      <w:proofErr w:type="spellEnd"/>
      <w:r w:rsidRPr="00307017">
        <w:rPr>
          <w:rFonts w:ascii="Arial" w:hAnsi="Arial" w:cs="Arial"/>
          <w:highlight w:val="yellow"/>
        </w:rPr>
        <w:t xml:space="preserve"> District, for instance, there are approximately 6,509 hectares of oil palm plantations and over 6,000 hectares of paddy fields. Kuala District also features over 6,000 hectares of oil palm and 4,200 hectares dedicated to rice cultivation. These areas are not only centers of raw production but also benefit from </w:t>
      </w:r>
      <w:proofErr w:type="spellStart"/>
      <w:r w:rsidRPr="00307017">
        <w:rPr>
          <w:rFonts w:ascii="Arial" w:hAnsi="Arial" w:cs="Arial"/>
          <w:highlight w:val="yellow"/>
        </w:rPr>
        <w:t>agro</w:t>
      </w:r>
      <w:proofErr w:type="spellEnd"/>
      <w:r w:rsidRPr="00307017">
        <w:rPr>
          <w:rFonts w:ascii="Arial" w:hAnsi="Arial" w:cs="Arial"/>
          <w:highlight w:val="yellow"/>
        </w:rPr>
        <w:t>-processing industries such as palm oil mills and rubber factories. Supporting services including agricultural input supply, logistics, and marketing chains enhance the sector’s productivity.</w:t>
      </w:r>
    </w:p>
    <w:p w14:paraId="416975B2" w14:textId="77777777" w:rsidR="00307017" w:rsidRPr="00307017" w:rsidRDefault="00307017" w:rsidP="00307017">
      <w:pPr>
        <w:spacing w:after="120" w:line="240" w:lineRule="auto"/>
        <w:jc w:val="both"/>
        <w:rPr>
          <w:rFonts w:ascii="Arial" w:hAnsi="Arial" w:cs="Arial"/>
        </w:rPr>
      </w:pPr>
      <w:r w:rsidRPr="00307017">
        <w:rPr>
          <w:rFonts w:ascii="Arial" w:hAnsi="Arial" w:cs="Arial"/>
          <w:highlight w:val="yellow"/>
        </w:rPr>
        <w:t xml:space="preserve">Beyond agriculture, the manufacturing industry accounts for 13.2% of the GRDP, mainly through the processing of plantation outputs like palm oil and rubber. The presence of these industries in rural zones has contributed to employment and value-added creation in the region. Additionally, the trade, hotel, and restaurant sector </w:t>
      </w:r>
      <w:proofErr w:type="gramStart"/>
      <w:r w:rsidRPr="00307017">
        <w:rPr>
          <w:rFonts w:ascii="Arial" w:hAnsi="Arial" w:cs="Arial"/>
          <w:highlight w:val="yellow"/>
        </w:rPr>
        <w:t>contributes</w:t>
      </w:r>
      <w:proofErr w:type="gramEnd"/>
      <w:r w:rsidRPr="00307017">
        <w:rPr>
          <w:rFonts w:ascii="Arial" w:hAnsi="Arial" w:cs="Arial"/>
          <w:highlight w:val="yellow"/>
        </w:rPr>
        <w:t xml:space="preserve"> about 11.1% to the economy, primarily concentrated in urban hubs like Stabat and </w:t>
      </w:r>
      <w:proofErr w:type="spellStart"/>
      <w:r w:rsidRPr="00307017">
        <w:rPr>
          <w:rFonts w:ascii="Arial" w:hAnsi="Arial" w:cs="Arial"/>
          <w:highlight w:val="yellow"/>
        </w:rPr>
        <w:t>Binjai</w:t>
      </w:r>
      <w:proofErr w:type="spellEnd"/>
      <w:r w:rsidRPr="00307017">
        <w:rPr>
          <w:rFonts w:ascii="Arial" w:hAnsi="Arial" w:cs="Arial"/>
          <w:highlight w:val="yellow"/>
        </w:rPr>
        <w:t>. Service-oriented sectors such as transportation, communication, and public administration are also expanding, signaling gradual diversification.</w:t>
      </w:r>
    </w:p>
    <w:p w14:paraId="05D509D4" w14:textId="77777777" w:rsidR="00307017" w:rsidRPr="00307017" w:rsidRDefault="00307017" w:rsidP="00307017">
      <w:pPr>
        <w:spacing w:after="120" w:line="240" w:lineRule="auto"/>
        <w:jc w:val="both"/>
        <w:rPr>
          <w:rFonts w:ascii="Arial" w:hAnsi="Arial" w:cs="Arial"/>
        </w:rPr>
      </w:pPr>
      <w:r w:rsidRPr="00307017">
        <w:rPr>
          <w:rFonts w:ascii="Arial" w:hAnsi="Arial" w:cs="Arial"/>
        </w:rPr>
        <w:t xml:space="preserve">Table 1. Contribution of Economic Sectors to the GRDP of </w:t>
      </w:r>
      <w:proofErr w:type="spellStart"/>
      <w:r w:rsidRPr="00307017">
        <w:rPr>
          <w:rFonts w:ascii="Arial" w:hAnsi="Arial" w:cs="Arial"/>
        </w:rPr>
        <w:t>Langkat</w:t>
      </w:r>
      <w:proofErr w:type="spellEnd"/>
      <w:r w:rsidRPr="00307017">
        <w:rPr>
          <w:rFonts w:ascii="Arial" w:hAnsi="Arial" w:cs="Arial"/>
        </w:rPr>
        <w:t xml:space="preserve"> Regency</w:t>
      </w:r>
    </w:p>
    <w:tbl>
      <w:tblPr>
        <w:tblStyle w:val="TableGrid"/>
        <w:tblW w:w="0" w:type="auto"/>
        <w:jc w:val="center"/>
        <w:tblLook w:val="04A0" w:firstRow="1" w:lastRow="0" w:firstColumn="1" w:lastColumn="0" w:noHBand="0" w:noVBand="1"/>
      </w:tblPr>
      <w:tblGrid>
        <w:gridCol w:w="603"/>
        <w:gridCol w:w="3956"/>
        <w:gridCol w:w="3145"/>
      </w:tblGrid>
      <w:tr w:rsidR="00307017" w:rsidRPr="00307017" w14:paraId="2F5E6A74" w14:textId="77777777" w:rsidTr="00307017">
        <w:trPr>
          <w:jc w:val="center"/>
        </w:trPr>
        <w:tc>
          <w:tcPr>
            <w:tcW w:w="0" w:type="auto"/>
            <w:hideMark/>
          </w:tcPr>
          <w:p w14:paraId="58E6CD86" w14:textId="77777777" w:rsidR="00307017" w:rsidRPr="00307017" w:rsidRDefault="00307017" w:rsidP="00307017">
            <w:pPr>
              <w:spacing w:after="120"/>
              <w:jc w:val="both"/>
              <w:rPr>
                <w:rFonts w:ascii="Arial" w:hAnsi="Arial" w:cs="Arial"/>
                <w:b/>
                <w:bCs/>
              </w:rPr>
            </w:pPr>
            <w:r w:rsidRPr="00307017">
              <w:rPr>
                <w:rFonts w:ascii="Arial" w:hAnsi="Arial" w:cs="Arial"/>
                <w:b/>
                <w:bCs/>
              </w:rPr>
              <w:t>No.</w:t>
            </w:r>
          </w:p>
        </w:tc>
        <w:tc>
          <w:tcPr>
            <w:tcW w:w="0" w:type="auto"/>
            <w:hideMark/>
          </w:tcPr>
          <w:p w14:paraId="296780C5" w14:textId="77777777" w:rsidR="00307017" w:rsidRPr="00307017" w:rsidRDefault="00307017" w:rsidP="00307017">
            <w:pPr>
              <w:spacing w:after="120"/>
              <w:jc w:val="both"/>
              <w:rPr>
                <w:rFonts w:ascii="Arial" w:hAnsi="Arial" w:cs="Arial"/>
                <w:b/>
                <w:bCs/>
              </w:rPr>
            </w:pPr>
            <w:r w:rsidRPr="00307017">
              <w:rPr>
                <w:rFonts w:ascii="Arial" w:hAnsi="Arial" w:cs="Arial"/>
                <w:b/>
                <w:bCs/>
              </w:rPr>
              <w:t>Economic Sector</w:t>
            </w:r>
          </w:p>
        </w:tc>
        <w:tc>
          <w:tcPr>
            <w:tcW w:w="0" w:type="auto"/>
            <w:hideMark/>
          </w:tcPr>
          <w:p w14:paraId="02C3DF69" w14:textId="77777777" w:rsidR="00307017" w:rsidRPr="00307017" w:rsidRDefault="00307017" w:rsidP="00307017">
            <w:pPr>
              <w:spacing w:after="120"/>
              <w:jc w:val="both"/>
              <w:rPr>
                <w:rFonts w:ascii="Arial" w:hAnsi="Arial" w:cs="Arial"/>
                <w:b/>
                <w:bCs/>
              </w:rPr>
            </w:pPr>
            <w:r w:rsidRPr="00307017">
              <w:rPr>
                <w:rFonts w:ascii="Arial" w:hAnsi="Arial" w:cs="Arial"/>
                <w:b/>
                <w:bCs/>
              </w:rPr>
              <w:t>Contribution to GRDP (%)</w:t>
            </w:r>
          </w:p>
        </w:tc>
      </w:tr>
      <w:tr w:rsidR="00307017" w:rsidRPr="00307017" w14:paraId="43E324DF" w14:textId="77777777" w:rsidTr="00307017">
        <w:trPr>
          <w:jc w:val="center"/>
        </w:trPr>
        <w:tc>
          <w:tcPr>
            <w:tcW w:w="0" w:type="auto"/>
            <w:hideMark/>
          </w:tcPr>
          <w:p w14:paraId="5426BD88" w14:textId="77777777" w:rsidR="00307017" w:rsidRPr="00307017" w:rsidRDefault="00307017" w:rsidP="00307017">
            <w:pPr>
              <w:spacing w:after="120"/>
              <w:jc w:val="both"/>
              <w:rPr>
                <w:rFonts w:ascii="Arial" w:hAnsi="Arial" w:cs="Arial"/>
              </w:rPr>
            </w:pPr>
            <w:r w:rsidRPr="00307017">
              <w:rPr>
                <w:rFonts w:ascii="Arial" w:hAnsi="Arial" w:cs="Arial"/>
              </w:rPr>
              <w:t>1</w:t>
            </w:r>
          </w:p>
        </w:tc>
        <w:tc>
          <w:tcPr>
            <w:tcW w:w="0" w:type="auto"/>
            <w:hideMark/>
          </w:tcPr>
          <w:p w14:paraId="6D41EFA2" w14:textId="77777777" w:rsidR="00307017" w:rsidRPr="00307017" w:rsidRDefault="00307017" w:rsidP="00307017">
            <w:pPr>
              <w:spacing w:after="120"/>
              <w:jc w:val="both"/>
              <w:rPr>
                <w:rFonts w:ascii="Arial" w:hAnsi="Arial" w:cs="Arial"/>
              </w:rPr>
            </w:pPr>
            <w:r w:rsidRPr="00307017">
              <w:rPr>
                <w:rFonts w:ascii="Arial" w:hAnsi="Arial" w:cs="Arial"/>
              </w:rPr>
              <w:t>Agriculture, Forestry, and Fisheries</w:t>
            </w:r>
          </w:p>
        </w:tc>
        <w:tc>
          <w:tcPr>
            <w:tcW w:w="0" w:type="auto"/>
            <w:hideMark/>
          </w:tcPr>
          <w:p w14:paraId="159302E7" w14:textId="77777777" w:rsidR="00307017" w:rsidRPr="00307017" w:rsidRDefault="00307017" w:rsidP="00307017">
            <w:pPr>
              <w:spacing w:after="120"/>
              <w:jc w:val="both"/>
              <w:rPr>
                <w:rFonts w:ascii="Arial" w:hAnsi="Arial" w:cs="Arial"/>
              </w:rPr>
            </w:pPr>
            <w:r w:rsidRPr="00307017">
              <w:rPr>
                <w:rFonts w:ascii="Arial" w:hAnsi="Arial" w:cs="Arial"/>
              </w:rPr>
              <w:t>49.8%</w:t>
            </w:r>
          </w:p>
        </w:tc>
      </w:tr>
      <w:tr w:rsidR="00307017" w:rsidRPr="00307017" w14:paraId="4B07287C" w14:textId="77777777" w:rsidTr="00307017">
        <w:trPr>
          <w:jc w:val="center"/>
        </w:trPr>
        <w:tc>
          <w:tcPr>
            <w:tcW w:w="0" w:type="auto"/>
            <w:hideMark/>
          </w:tcPr>
          <w:p w14:paraId="7C0A4764" w14:textId="77777777" w:rsidR="00307017" w:rsidRPr="00307017" w:rsidRDefault="00307017" w:rsidP="00307017">
            <w:pPr>
              <w:spacing w:after="120"/>
              <w:jc w:val="both"/>
              <w:rPr>
                <w:rFonts w:ascii="Arial" w:hAnsi="Arial" w:cs="Arial"/>
              </w:rPr>
            </w:pPr>
            <w:r w:rsidRPr="00307017">
              <w:rPr>
                <w:rFonts w:ascii="Arial" w:hAnsi="Arial" w:cs="Arial"/>
              </w:rPr>
              <w:t>2</w:t>
            </w:r>
          </w:p>
        </w:tc>
        <w:tc>
          <w:tcPr>
            <w:tcW w:w="0" w:type="auto"/>
            <w:hideMark/>
          </w:tcPr>
          <w:p w14:paraId="3161B300" w14:textId="77777777" w:rsidR="00307017" w:rsidRPr="00307017" w:rsidRDefault="00307017" w:rsidP="00307017">
            <w:pPr>
              <w:spacing w:after="120"/>
              <w:jc w:val="both"/>
              <w:rPr>
                <w:rFonts w:ascii="Arial" w:hAnsi="Arial" w:cs="Arial"/>
              </w:rPr>
            </w:pPr>
            <w:r w:rsidRPr="00307017">
              <w:rPr>
                <w:rFonts w:ascii="Arial" w:hAnsi="Arial" w:cs="Arial"/>
              </w:rPr>
              <w:t>Manufacturing Industry</w:t>
            </w:r>
          </w:p>
        </w:tc>
        <w:tc>
          <w:tcPr>
            <w:tcW w:w="0" w:type="auto"/>
            <w:hideMark/>
          </w:tcPr>
          <w:p w14:paraId="0C1CE198" w14:textId="77777777" w:rsidR="00307017" w:rsidRPr="00307017" w:rsidRDefault="00307017" w:rsidP="00307017">
            <w:pPr>
              <w:spacing w:after="120"/>
              <w:jc w:val="both"/>
              <w:rPr>
                <w:rFonts w:ascii="Arial" w:hAnsi="Arial" w:cs="Arial"/>
              </w:rPr>
            </w:pPr>
            <w:r w:rsidRPr="00307017">
              <w:rPr>
                <w:rFonts w:ascii="Arial" w:hAnsi="Arial" w:cs="Arial"/>
              </w:rPr>
              <w:t>13.2%</w:t>
            </w:r>
          </w:p>
        </w:tc>
      </w:tr>
      <w:tr w:rsidR="00307017" w:rsidRPr="00307017" w14:paraId="065C5CDB" w14:textId="77777777" w:rsidTr="00307017">
        <w:trPr>
          <w:jc w:val="center"/>
        </w:trPr>
        <w:tc>
          <w:tcPr>
            <w:tcW w:w="0" w:type="auto"/>
            <w:hideMark/>
          </w:tcPr>
          <w:p w14:paraId="6CA8F396" w14:textId="77777777" w:rsidR="00307017" w:rsidRPr="00307017" w:rsidRDefault="00307017" w:rsidP="00307017">
            <w:pPr>
              <w:spacing w:after="120"/>
              <w:jc w:val="both"/>
              <w:rPr>
                <w:rFonts w:ascii="Arial" w:hAnsi="Arial" w:cs="Arial"/>
              </w:rPr>
            </w:pPr>
            <w:r w:rsidRPr="00307017">
              <w:rPr>
                <w:rFonts w:ascii="Arial" w:hAnsi="Arial" w:cs="Arial"/>
              </w:rPr>
              <w:t>3</w:t>
            </w:r>
          </w:p>
        </w:tc>
        <w:tc>
          <w:tcPr>
            <w:tcW w:w="0" w:type="auto"/>
            <w:hideMark/>
          </w:tcPr>
          <w:p w14:paraId="2895B9D4" w14:textId="77777777" w:rsidR="00307017" w:rsidRPr="00307017" w:rsidRDefault="00307017" w:rsidP="00307017">
            <w:pPr>
              <w:spacing w:after="120"/>
              <w:jc w:val="both"/>
              <w:rPr>
                <w:rFonts w:ascii="Arial" w:hAnsi="Arial" w:cs="Arial"/>
              </w:rPr>
            </w:pPr>
            <w:r w:rsidRPr="00307017">
              <w:rPr>
                <w:rFonts w:ascii="Arial" w:hAnsi="Arial" w:cs="Arial"/>
              </w:rPr>
              <w:t>Trade, Hotels, and Restaurants</w:t>
            </w:r>
          </w:p>
        </w:tc>
        <w:tc>
          <w:tcPr>
            <w:tcW w:w="0" w:type="auto"/>
            <w:hideMark/>
          </w:tcPr>
          <w:p w14:paraId="1306C911" w14:textId="77777777" w:rsidR="00307017" w:rsidRPr="00307017" w:rsidRDefault="00307017" w:rsidP="00307017">
            <w:pPr>
              <w:spacing w:after="120"/>
              <w:jc w:val="both"/>
              <w:rPr>
                <w:rFonts w:ascii="Arial" w:hAnsi="Arial" w:cs="Arial"/>
              </w:rPr>
            </w:pPr>
            <w:r w:rsidRPr="00307017">
              <w:rPr>
                <w:rFonts w:ascii="Arial" w:hAnsi="Arial" w:cs="Arial"/>
              </w:rPr>
              <w:t>11.1%</w:t>
            </w:r>
          </w:p>
        </w:tc>
      </w:tr>
      <w:tr w:rsidR="00307017" w:rsidRPr="00307017" w14:paraId="5E974839" w14:textId="77777777" w:rsidTr="00307017">
        <w:trPr>
          <w:jc w:val="center"/>
        </w:trPr>
        <w:tc>
          <w:tcPr>
            <w:tcW w:w="0" w:type="auto"/>
            <w:hideMark/>
          </w:tcPr>
          <w:p w14:paraId="20630292" w14:textId="77777777" w:rsidR="00307017" w:rsidRPr="00307017" w:rsidRDefault="00307017" w:rsidP="00307017">
            <w:pPr>
              <w:spacing w:after="120"/>
              <w:jc w:val="both"/>
              <w:rPr>
                <w:rFonts w:ascii="Arial" w:hAnsi="Arial" w:cs="Arial"/>
              </w:rPr>
            </w:pPr>
            <w:r w:rsidRPr="00307017">
              <w:rPr>
                <w:rFonts w:ascii="Arial" w:hAnsi="Arial" w:cs="Arial"/>
              </w:rPr>
              <w:t>4</w:t>
            </w:r>
          </w:p>
        </w:tc>
        <w:tc>
          <w:tcPr>
            <w:tcW w:w="0" w:type="auto"/>
            <w:hideMark/>
          </w:tcPr>
          <w:p w14:paraId="116659AF" w14:textId="77777777" w:rsidR="00307017" w:rsidRPr="00307017" w:rsidRDefault="00307017" w:rsidP="00307017">
            <w:pPr>
              <w:spacing w:after="120"/>
              <w:jc w:val="both"/>
              <w:rPr>
                <w:rFonts w:ascii="Arial" w:hAnsi="Arial" w:cs="Arial"/>
              </w:rPr>
            </w:pPr>
            <w:r w:rsidRPr="00307017">
              <w:rPr>
                <w:rFonts w:ascii="Arial" w:hAnsi="Arial" w:cs="Arial"/>
              </w:rPr>
              <w:t>Transportation and Communication</w:t>
            </w:r>
          </w:p>
        </w:tc>
        <w:tc>
          <w:tcPr>
            <w:tcW w:w="0" w:type="auto"/>
            <w:hideMark/>
          </w:tcPr>
          <w:p w14:paraId="1E8B3C5C" w14:textId="77777777" w:rsidR="00307017" w:rsidRPr="00307017" w:rsidRDefault="00307017" w:rsidP="00307017">
            <w:pPr>
              <w:spacing w:after="120"/>
              <w:jc w:val="both"/>
              <w:rPr>
                <w:rFonts w:ascii="Arial" w:hAnsi="Arial" w:cs="Arial"/>
              </w:rPr>
            </w:pPr>
            <w:r w:rsidRPr="00307017">
              <w:rPr>
                <w:rFonts w:ascii="Arial" w:hAnsi="Arial" w:cs="Arial"/>
              </w:rPr>
              <w:t>7.4%</w:t>
            </w:r>
          </w:p>
        </w:tc>
      </w:tr>
      <w:tr w:rsidR="00307017" w:rsidRPr="00307017" w14:paraId="1C43CA27" w14:textId="77777777" w:rsidTr="00307017">
        <w:trPr>
          <w:jc w:val="center"/>
        </w:trPr>
        <w:tc>
          <w:tcPr>
            <w:tcW w:w="0" w:type="auto"/>
            <w:hideMark/>
          </w:tcPr>
          <w:p w14:paraId="6CBA9263" w14:textId="77777777" w:rsidR="00307017" w:rsidRPr="00307017" w:rsidRDefault="00307017" w:rsidP="00307017">
            <w:pPr>
              <w:spacing w:after="120"/>
              <w:jc w:val="both"/>
              <w:rPr>
                <w:rFonts w:ascii="Arial" w:hAnsi="Arial" w:cs="Arial"/>
              </w:rPr>
            </w:pPr>
            <w:r w:rsidRPr="00307017">
              <w:rPr>
                <w:rFonts w:ascii="Arial" w:hAnsi="Arial" w:cs="Arial"/>
              </w:rPr>
              <w:t>5</w:t>
            </w:r>
          </w:p>
        </w:tc>
        <w:tc>
          <w:tcPr>
            <w:tcW w:w="0" w:type="auto"/>
            <w:hideMark/>
          </w:tcPr>
          <w:p w14:paraId="4C8EDE71" w14:textId="77777777" w:rsidR="00307017" w:rsidRPr="00307017" w:rsidRDefault="00307017" w:rsidP="00307017">
            <w:pPr>
              <w:spacing w:after="120"/>
              <w:jc w:val="both"/>
              <w:rPr>
                <w:rFonts w:ascii="Arial" w:hAnsi="Arial" w:cs="Arial"/>
              </w:rPr>
            </w:pPr>
            <w:r w:rsidRPr="00307017">
              <w:rPr>
                <w:rFonts w:ascii="Arial" w:hAnsi="Arial" w:cs="Arial"/>
              </w:rPr>
              <w:t>Government Services</w:t>
            </w:r>
          </w:p>
        </w:tc>
        <w:tc>
          <w:tcPr>
            <w:tcW w:w="0" w:type="auto"/>
            <w:hideMark/>
          </w:tcPr>
          <w:p w14:paraId="1FF88645" w14:textId="77777777" w:rsidR="00307017" w:rsidRPr="00307017" w:rsidRDefault="00307017" w:rsidP="00307017">
            <w:pPr>
              <w:spacing w:after="120"/>
              <w:jc w:val="both"/>
              <w:rPr>
                <w:rFonts w:ascii="Arial" w:hAnsi="Arial" w:cs="Arial"/>
              </w:rPr>
            </w:pPr>
            <w:r w:rsidRPr="00307017">
              <w:rPr>
                <w:rFonts w:ascii="Arial" w:hAnsi="Arial" w:cs="Arial"/>
              </w:rPr>
              <w:t>6.8%</w:t>
            </w:r>
          </w:p>
        </w:tc>
      </w:tr>
      <w:tr w:rsidR="00307017" w:rsidRPr="00307017" w14:paraId="676398E4" w14:textId="77777777" w:rsidTr="00307017">
        <w:trPr>
          <w:jc w:val="center"/>
        </w:trPr>
        <w:tc>
          <w:tcPr>
            <w:tcW w:w="0" w:type="auto"/>
            <w:hideMark/>
          </w:tcPr>
          <w:p w14:paraId="6FAEFFC6" w14:textId="77777777" w:rsidR="00307017" w:rsidRPr="00307017" w:rsidRDefault="00307017" w:rsidP="00307017">
            <w:pPr>
              <w:spacing w:after="120"/>
              <w:jc w:val="both"/>
              <w:rPr>
                <w:rFonts w:ascii="Arial" w:hAnsi="Arial" w:cs="Arial"/>
              </w:rPr>
            </w:pPr>
            <w:r w:rsidRPr="00307017">
              <w:rPr>
                <w:rFonts w:ascii="Arial" w:hAnsi="Arial" w:cs="Arial"/>
              </w:rPr>
              <w:t>6</w:t>
            </w:r>
          </w:p>
        </w:tc>
        <w:tc>
          <w:tcPr>
            <w:tcW w:w="0" w:type="auto"/>
            <w:hideMark/>
          </w:tcPr>
          <w:p w14:paraId="27974551" w14:textId="77777777" w:rsidR="00307017" w:rsidRPr="00307017" w:rsidRDefault="00307017" w:rsidP="00307017">
            <w:pPr>
              <w:spacing w:after="120"/>
              <w:jc w:val="both"/>
              <w:rPr>
                <w:rFonts w:ascii="Arial" w:hAnsi="Arial" w:cs="Arial"/>
              </w:rPr>
            </w:pPr>
            <w:r w:rsidRPr="00307017">
              <w:rPr>
                <w:rFonts w:ascii="Arial" w:hAnsi="Arial" w:cs="Arial"/>
              </w:rPr>
              <w:t>Construction</w:t>
            </w:r>
          </w:p>
        </w:tc>
        <w:tc>
          <w:tcPr>
            <w:tcW w:w="0" w:type="auto"/>
            <w:hideMark/>
          </w:tcPr>
          <w:p w14:paraId="714B0DF6" w14:textId="77777777" w:rsidR="00307017" w:rsidRPr="00307017" w:rsidRDefault="00307017" w:rsidP="00307017">
            <w:pPr>
              <w:spacing w:after="120"/>
              <w:jc w:val="both"/>
              <w:rPr>
                <w:rFonts w:ascii="Arial" w:hAnsi="Arial" w:cs="Arial"/>
              </w:rPr>
            </w:pPr>
            <w:r w:rsidRPr="00307017">
              <w:rPr>
                <w:rFonts w:ascii="Arial" w:hAnsi="Arial" w:cs="Arial"/>
              </w:rPr>
              <w:t>4.5%</w:t>
            </w:r>
          </w:p>
        </w:tc>
      </w:tr>
      <w:tr w:rsidR="00307017" w:rsidRPr="00307017" w14:paraId="398F6E7B" w14:textId="77777777" w:rsidTr="00307017">
        <w:trPr>
          <w:jc w:val="center"/>
        </w:trPr>
        <w:tc>
          <w:tcPr>
            <w:tcW w:w="0" w:type="auto"/>
            <w:hideMark/>
          </w:tcPr>
          <w:p w14:paraId="72ED4CD9" w14:textId="77777777" w:rsidR="00307017" w:rsidRPr="00307017" w:rsidRDefault="00307017" w:rsidP="00307017">
            <w:pPr>
              <w:spacing w:after="120"/>
              <w:jc w:val="both"/>
              <w:rPr>
                <w:rFonts w:ascii="Arial" w:hAnsi="Arial" w:cs="Arial"/>
              </w:rPr>
            </w:pPr>
            <w:r w:rsidRPr="00307017">
              <w:rPr>
                <w:rFonts w:ascii="Arial" w:hAnsi="Arial" w:cs="Arial"/>
              </w:rPr>
              <w:t>7</w:t>
            </w:r>
          </w:p>
        </w:tc>
        <w:tc>
          <w:tcPr>
            <w:tcW w:w="0" w:type="auto"/>
            <w:hideMark/>
          </w:tcPr>
          <w:p w14:paraId="14AA21DD" w14:textId="77777777" w:rsidR="00307017" w:rsidRPr="00307017" w:rsidRDefault="00307017" w:rsidP="00307017">
            <w:pPr>
              <w:spacing w:after="120"/>
              <w:jc w:val="both"/>
              <w:rPr>
                <w:rFonts w:ascii="Arial" w:hAnsi="Arial" w:cs="Arial"/>
              </w:rPr>
            </w:pPr>
            <w:r w:rsidRPr="00307017">
              <w:rPr>
                <w:rFonts w:ascii="Arial" w:hAnsi="Arial" w:cs="Arial"/>
              </w:rPr>
              <w:t>Mining and Quarrying</w:t>
            </w:r>
          </w:p>
        </w:tc>
        <w:tc>
          <w:tcPr>
            <w:tcW w:w="0" w:type="auto"/>
            <w:hideMark/>
          </w:tcPr>
          <w:p w14:paraId="5DE1C6AB" w14:textId="77777777" w:rsidR="00307017" w:rsidRPr="00307017" w:rsidRDefault="00307017" w:rsidP="00307017">
            <w:pPr>
              <w:spacing w:after="120"/>
              <w:jc w:val="both"/>
              <w:rPr>
                <w:rFonts w:ascii="Arial" w:hAnsi="Arial" w:cs="Arial"/>
              </w:rPr>
            </w:pPr>
            <w:r w:rsidRPr="00307017">
              <w:rPr>
                <w:rFonts w:ascii="Arial" w:hAnsi="Arial" w:cs="Arial"/>
              </w:rPr>
              <w:t>3.2%</w:t>
            </w:r>
          </w:p>
        </w:tc>
      </w:tr>
      <w:tr w:rsidR="00307017" w:rsidRPr="00307017" w14:paraId="1BA559A4" w14:textId="77777777" w:rsidTr="00307017">
        <w:trPr>
          <w:jc w:val="center"/>
        </w:trPr>
        <w:tc>
          <w:tcPr>
            <w:tcW w:w="0" w:type="auto"/>
            <w:hideMark/>
          </w:tcPr>
          <w:p w14:paraId="4E8E2ECA" w14:textId="77777777" w:rsidR="00307017" w:rsidRPr="00307017" w:rsidRDefault="00307017" w:rsidP="00307017">
            <w:pPr>
              <w:spacing w:after="120"/>
              <w:jc w:val="both"/>
              <w:rPr>
                <w:rFonts w:ascii="Arial" w:hAnsi="Arial" w:cs="Arial"/>
              </w:rPr>
            </w:pPr>
            <w:r w:rsidRPr="00307017">
              <w:rPr>
                <w:rFonts w:ascii="Arial" w:hAnsi="Arial" w:cs="Arial"/>
              </w:rPr>
              <w:t>8</w:t>
            </w:r>
          </w:p>
        </w:tc>
        <w:tc>
          <w:tcPr>
            <w:tcW w:w="0" w:type="auto"/>
            <w:hideMark/>
          </w:tcPr>
          <w:p w14:paraId="3FA5C783" w14:textId="77777777" w:rsidR="00307017" w:rsidRPr="00307017" w:rsidRDefault="00307017" w:rsidP="00307017">
            <w:pPr>
              <w:spacing w:after="120"/>
              <w:jc w:val="both"/>
              <w:rPr>
                <w:rFonts w:ascii="Arial" w:hAnsi="Arial" w:cs="Arial"/>
              </w:rPr>
            </w:pPr>
            <w:r w:rsidRPr="00307017">
              <w:rPr>
                <w:rFonts w:ascii="Arial" w:hAnsi="Arial" w:cs="Arial"/>
              </w:rPr>
              <w:t>Other Sectors</w:t>
            </w:r>
          </w:p>
        </w:tc>
        <w:tc>
          <w:tcPr>
            <w:tcW w:w="0" w:type="auto"/>
            <w:hideMark/>
          </w:tcPr>
          <w:p w14:paraId="55E3B50B" w14:textId="77777777" w:rsidR="00307017" w:rsidRPr="00307017" w:rsidRDefault="00307017" w:rsidP="00307017">
            <w:pPr>
              <w:spacing w:after="120"/>
              <w:jc w:val="both"/>
              <w:rPr>
                <w:rFonts w:ascii="Arial" w:hAnsi="Arial" w:cs="Arial"/>
              </w:rPr>
            </w:pPr>
            <w:r w:rsidRPr="00307017">
              <w:rPr>
                <w:rFonts w:ascii="Arial" w:hAnsi="Arial" w:cs="Arial"/>
              </w:rPr>
              <w:t>4.0%</w:t>
            </w:r>
          </w:p>
        </w:tc>
      </w:tr>
    </w:tbl>
    <w:p w14:paraId="316C989C" w14:textId="77777777" w:rsidR="00307017" w:rsidRPr="00307017" w:rsidRDefault="00307017" w:rsidP="00307017">
      <w:pPr>
        <w:spacing w:after="120" w:line="240" w:lineRule="auto"/>
        <w:jc w:val="both"/>
        <w:rPr>
          <w:rFonts w:ascii="Arial" w:hAnsi="Arial" w:cs="Arial"/>
        </w:rPr>
      </w:pPr>
      <w:r w:rsidRPr="00307017">
        <w:rPr>
          <w:rFonts w:ascii="Arial" w:hAnsi="Arial" w:cs="Arial"/>
        </w:rPr>
        <w:t xml:space="preserve">Source: BPS </w:t>
      </w:r>
      <w:proofErr w:type="spellStart"/>
      <w:r w:rsidRPr="00307017">
        <w:rPr>
          <w:rFonts w:ascii="Arial" w:hAnsi="Arial" w:cs="Arial"/>
        </w:rPr>
        <w:t>Langkat</w:t>
      </w:r>
      <w:proofErr w:type="spellEnd"/>
      <w:r w:rsidRPr="00307017">
        <w:rPr>
          <w:rFonts w:ascii="Arial" w:hAnsi="Arial" w:cs="Arial"/>
        </w:rPr>
        <w:t>, RDP 2023–2026, BAPPEDA Sectoral Review</w:t>
      </w:r>
    </w:p>
    <w:p w14:paraId="2E275CB5" w14:textId="77777777" w:rsidR="00307017" w:rsidRPr="00307017" w:rsidRDefault="00307017" w:rsidP="00307017">
      <w:pPr>
        <w:spacing w:after="120" w:line="240" w:lineRule="auto"/>
        <w:jc w:val="both"/>
        <w:rPr>
          <w:rFonts w:ascii="Arial" w:hAnsi="Arial" w:cs="Arial"/>
          <w:highlight w:val="yellow"/>
        </w:rPr>
      </w:pPr>
      <w:proofErr w:type="spellStart"/>
      <w:r w:rsidRPr="00307017">
        <w:rPr>
          <w:rFonts w:ascii="Arial" w:hAnsi="Arial" w:cs="Arial"/>
          <w:highlight w:val="yellow"/>
        </w:rPr>
        <w:t>Langkat's</w:t>
      </w:r>
      <w:proofErr w:type="spellEnd"/>
      <w:r w:rsidRPr="00307017">
        <w:rPr>
          <w:rFonts w:ascii="Arial" w:hAnsi="Arial" w:cs="Arial"/>
          <w:highlight w:val="yellow"/>
        </w:rPr>
        <w:t xml:space="preserve"> economic growth trajectory has remained relatively stable in recent years. Strategic planning documents, such as the Regional Development Plan (RDP), highlight government priorities in strengthening key sectors and improving rural economic resilience. These efforts include infrastructure development, support for micro and small enterprises (MSMEs), and financial services expansion through regional institutions like Bank </w:t>
      </w:r>
      <w:proofErr w:type="spellStart"/>
      <w:r w:rsidRPr="00307017">
        <w:rPr>
          <w:rFonts w:ascii="Arial" w:hAnsi="Arial" w:cs="Arial"/>
          <w:highlight w:val="yellow"/>
        </w:rPr>
        <w:t>Sumut</w:t>
      </w:r>
      <w:proofErr w:type="spellEnd"/>
      <w:r w:rsidRPr="00307017">
        <w:rPr>
          <w:rFonts w:ascii="Arial" w:hAnsi="Arial" w:cs="Arial"/>
          <w:highlight w:val="yellow"/>
        </w:rPr>
        <w:t>. This multi-pronged approach aims to integrate rural economies with regional markets and reduce development gaps.</w:t>
      </w:r>
    </w:p>
    <w:p w14:paraId="371C62E5" w14:textId="77777777" w:rsidR="00307017" w:rsidRPr="00307017" w:rsidRDefault="00307017" w:rsidP="00307017">
      <w:pPr>
        <w:spacing w:after="120" w:line="240" w:lineRule="auto"/>
        <w:jc w:val="both"/>
        <w:rPr>
          <w:rFonts w:ascii="Arial" w:hAnsi="Arial" w:cs="Arial"/>
          <w:highlight w:val="yellow"/>
        </w:rPr>
      </w:pPr>
      <w:r w:rsidRPr="00307017">
        <w:rPr>
          <w:rFonts w:ascii="Arial" w:hAnsi="Arial" w:cs="Arial"/>
          <w:highlight w:val="yellow"/>
        </w:rPr>
        <w:t xml:space="preserve">Nevertheless, the </w:t>
      </w:r>
      <w:proofErr w:type="spellStart"/>
      <w:r w:rsidRPr="00307017">
        <w:rPr>
          <w:rFonts w:ascii="Arial" w:hAnsi="Arial" w:cs="Arial"/>
          <w:highlight w:val="yellow"/>
        </w:rPr>
        <w:t>Langkat</w:t>
      </w:r>
      <w:proofErr w:type="spellEnd"/>
      <w:r w:rsidRPr="00307017">
        <w:rPr>
          <w:rFonts w:ascii="Arial" w:hAnsi="Arial" w:cs="Arial"/>
          <w:highlight w:val="yellow"/>
        </w:rPr>
        <w:t xml:space="preserve"> economy faces structural vulnerabilities due to its heavy dependence on volatile primary commodities. Global price fluctuations in palm oil and rubber, for instance, expose rural incomes to external shocks. Hence, economic </w:t>
      </w:r>
      <w:r w:rsidRPr="00307017">
        <w:rPr>
          <w:rFonts w:ascii="Arial" w:hAnsi="Arial" w:cs="Arial"/>
          <w:highlight w:val="yellow"/>
        </w:rPr>
        <w:lastRenderedPageBreak/>
        <w:t xml:space="preserve">diversification emerges as a critical policy direction, emphasizing downstream agro-industrial development, local manufacturing, and service sector expansion including tourism. With targeted interventions and inclusive growth policies, </w:t>
      </w:r>
      <w:proofErr w:type="spellStart"/>
      <w:r w:rsidRPr="00307017">
        <w:rPr>
          <w:rFonts w:ascii="Arial" w:hAnsi="Arial" w:cs="Arial"/>
          <w:highlight w:val="yellow"/>
        </w:rPr>
        <w:t>Langkat</w:t>
      </w:r>
      <w:proofErr w:type="spellEnd"/>
      <w:r w:rsidRPr="00307017">
        <w:rPr>
          <w:rFonts w:ascii="Arial" w:hAnsi="Arial" w:cs="Arial"/>
          <w:highlight w:val="yellow"/>
        </w:rPr>
        <w:t xml:space="preserve"> has the potential to evolve into a more resilient and balanced regional economy.</w:t>
      </w:r>
    </w:p>
    <w:p w14:paraId="21F7C1B5" w14:textId="77777777" w:rsidR="00307017" w:rsidRDefault="00307017" w:rsidP="00307017">
      <w:pPr>
        <w:spacing w:after="120" w:line="240" w:lineRule="auto"/>
        <w:jc w:val="both"/>
        <w:rPr>
          <w:rFonts w:ascii="Arial" w:hAnsi="Arial" w:cs="Arial"/>
          <w:highlight w:val="yellow"/>
        </w:rPr>
      </w:pPr>
      <w:r w:rsidRPr="00307017">
        <w:rPr>
          <w:rFonts w:ascii="Arial" w:hAnsi="Arial" w:cs="Arial"/>
          <w:highlight w:val="yellow"/>
        </w:rPr>
        <w:t xml:space="preserve">3.3 Respondent Characteristics </w:t>
      </w:r>
    </w:p>
    <w:p w14:paraId="570ACE8C" w14:textId="6FA181A6" w:rsidR="00307017" w:rsidRPr="00307017" w:rsidRDefault="00307017" w:rsidP="00307017">
      <w:pPr>
        <w:spacing w:after="120" w:line="240" w:lineRule="auto"/>
        <w:jc w:val="both"/>
        <w:rPr>
          <w:rFonts w:ascii="Arial" w:hAnsi="Arial" w:cs="Arial"/>
          <w:highlight w:val="yellow"/>
        </w:rPr>
      </w:pPr>
      <w:r w:rsidRPr="00307017">
        <w:rPr>
          <w:rFonts w:ascii="Arial" w:hAnsi="Arial" w:cs="Arial"/>
          <w:highlight w:val="yellow"/>
        </w:rPr>
        <w:t xml:space="preserve">The respondents in this study were selected from strategic government and public service sectors in </w:t>
      </w:r>
      <w:proofErr w:type="spellStart"/>
      <w:r w:rsidRPr="00307017">
        <w:rPr>
          <w:rFonts w:ascii="Arial" w:hAnsi="Arial" w:cs="Arial"/>
          <w:highlight w:val="yellow"/>
        </w:rPr>
        <w:t>Langkat</w:t>
      </w:r>
      <w:proofErr w:type="spellEnd"/>
      <w:r w:rsidRPr="00307017">
        <w:rPr>
          <w:rFonts w:ascii="Arial" w:hAnsi="Arial" w:cs="Arial"/>
          <w:highlight w:val="yellow"/>
        </w:rPr>
        <w:t xml:space="preserve"> Regency. These included education, health, and infrastructure, focusing on those involved in budget management, program implementation, and service delivery. This targeted sampling ensured data relevance and policy-level accuracy.</w:t>
      </w:r>
    </w:p>
    <w:p w14:paraId="54A2A527" w14:textId="77777777" w:rsidR="00307017" w:rsidRPr="00307017" w:rsidRDefault="00307017" w:rsidP="00307017">
      <w:pPr>
        <w:spacing w:after="120" w:line="240" w:lineRule="auto"/>
        <w:jc w:val="both"/>
        <w:rPr>
          <w:rFonts w:ascii="Arial" w:hAnsi="Arial" w:cs="Arial"/>
          <w:highlight w:val="yellow"/>
        </w:rPr>
      </w:pPr>
      <w:r w:rsidRPr="00307017">
        <w:rPr>
          <w:rFonts w:ascii="Arial" w:hAnsi="Arial" w:cs="Arial"/>
          <w:highlight w:val="yellow"/>
        </w:rPr>
        <w:t>In the education sector, participants included officials from the Education Office and school leadership. Health sector respondents were from the Health Office and public health centers. Infrastructure insights came from the Public Works Department and Organization Bureau. Officials from BPS also contributed to ensure integration of official development indicators.</w:t>
      </w:r>
    </w:p>
    <w:p w14:paraId="7EA6B044" w14:textId="77777777" w:rsidR="00307017" w:rsidRPr="00307017" w:rsidRDefault="00307017" w:rsidP="00307017">
      <w:pPr>
        <w:spacing w:after="120" w:line="240" w:lineRule="auto"/>
        <w:jc w:val="both"/>
        <w:rPr>
          <w:rFonts w:ascii="Arial" w:hAnsi="Arial" w:cs="Arial"/>
          <w:highlight w:val="yellow"/>
        </w:rPr>
      </w:pPr>
      <w:r w:rsidRPr="00307017">
        <w:rPr>
          <w:rFonts w:ascii="Arial" w:hAnsi="Arial" w:cs="Arial"/>
          <w:highlight w:val="yellow"/>
        </w:rPr>
        <w:t>3.3.1 Gender Distribution Out of 115 respondents, 83 (72.2%) were male and 32 (27.8%) female. This gender disparity reflects the workforce composition in public service sectors.</w:t>
      </w:r>
    </w:p>
    <w:p w14:paraId="5BC51E82" w14:textId="77777777" w:rsidR="00307017" w:rsidRPr="00307017" w:rsidRDefault="00307017" w:rsidP="00307017">
      <w:pPr>
        <w:spacing w:after="120" w:line="240" w:lineRule="auto"/>
        <w:jc w:val="both"/>
        <w:rPr>
          <w:rFonts w:ascii="Arial" w:hAnsi="Arial" w:cs="Arial"/>
        </w:rPr>
      </w:pPr>
      <w:r w:rsidRPr="00307017">
        <w:rPr>
          <w:rFonts w:ascii="Arial" w:hAnsi="Arial" w:cs="Arial"/>
          <w:highlight w:val="yellow"/>
        </w:rPr>
        <w:t>3.3.2 Age Distribution Respondents aged over 36 years constituted 63.5%, while those aged 25–35 made up 36.5%. This skew towards older respondents suggests extensive experience among participants</w:t>
      </w:r>
    </w:p>
    <w:p w14:paraId="39EB3AA9" w14:textId="34303A2B" w:rsidR="00A65193" w:rsidRPr="00A65193" w:rsidRDefault="00A65193" w:rsidP="00307017">
      <w:pPr>
        <w:spacing w:after="120" w:line="240" w:lineRule="auto"/>
        <w:jc w:val="both"/>
        <w:rPr>
          <w:rFonts w:ascii="Arial" w:eastAsia="Times New Roman" w:hAnsi="Arial" w:cs="Arial"/>
          <w:kern w:val="0"/>
          <w:lang w:val="id-ID" w:eastAsia="ja-JP"/>
          <w14:ligatures w14:val="none"/>
        </w:rPr>
      </w:pPr>
    </w:p>
    <w:p w14:paraId="758D497E" w14:textId="3AF49E55" w:rsidR="00952BDE" w:rsidRDefault="00952BDE" w:rsidP="00075AE4">
      <w:pPr>
        <w:spacing w:after="120" w:line="240" w:lineRule="auto"/>
        <w:jc w:val="both"/>
        <w:rPr>
          <w:rFonts w:ascii="Arial" w:hAnsi="Arial" w:cs="Arial"/>
          <w:b/>
          <w:bCs/>
        </w:rPr>
      </w:pPr>
      <w:r w:rsidRPr="00952BDE">
        <w:rPr>
          <w:rFonts w:ascii="Arial" w:hAnsi="Arial" w:cs="Arial"/>
          <w:b/>
          <w:bCs/>
        </w:rPr>
        <w:t>3.</w:t>
      </w:r>
      <w:r w:rsidR="009A5C67">
        <w:rPr>
          <w:rFonts w:ascii="Arial" w:hAnsi="Arial" w:cs="Arial"/>
          <w:b/>
          <w:bCs/>
        </w:rPr>
        <w:t>4</w:t>
      </w:r>
      <w:r w:rsidRPr="00952BDE">
        <w:rPr>
          <w:rFonts w:ascii="Arial" w:hAnsi="Arial" w:cs="Arial"/>
          <w:b/>
          <w:bCs/>
        </w:rPr>
        <w:t xml:space="preserve"> Outer Model Evaluation</w:t>
      </w:r>
    </w:p>
    <w:p w14:paraId="366D6099" w14:textId="77777777" w:rsidR="00307017" w:rsidRPr="00307017" w:rsidRDefault="00307017" w:rsidP="00307017">
      <w:pPr>
        <w:spacing w:after="120" w:line="240" w:lineRule="auto"/>
        <w:jc w:val="both"/>
        <w:rPr>
          <w:rFonts w:ascii="Arial" w:hAnsi="Arial" w:cs="Arial"/>
        </w:rPr>
      </w:pPr>
      <w:r w:rsidRPr="00307017">
        <w:rPr>
          <w:rFonts w:ascii="Arial" w:hAnsi="Arial" w:cs="Arial"/>
        </w:rPr>
        <w:t xml:space="preserve">To validate the measurement model (outer model), a Confirmatory Factor Analysis (CFA) was conducted using </w:t>
      </w:r>
      <w:proofErr w:type="spellStart"/>
      <w:r w:rsidRPr="00307017">
        <w:rPr>
          <w:rFonts w:ascii="Arial" w:hAnsi="Arial" w:cs="Arial"/>
        </w:rPr>
        <w:t>SmartPLS</w:t>
      </w:r>
      <w:proofErr w:type="spellEnd"/>
      <w:r w:rsidRPr="00307017">
        <w:rPr>
          <w:rFonts w:ascii="Arial" w:hAnsi="Arial" w:cs="Arial"/>
        </w:rPr>
        <w:t xml:space="preserve"> 4.0. This evaluation centered on </w:t>
      </w:r>
      <w:r w:rsidRPr="00307017">
        <w:rPr>
          <w:rFonts w:ascii="Arial" w:hAnsi="Arial" w:cs="Arial"/>
          <w:b/>
          <w:bCs/>
        </w:rPr>
        <w:t>convergent validity</w:t>
      </w:r>
      <w:r w:rsidRPr="00307017">
        <w:rPr>
          <w:rFonts w:ascii="Arial" w:hAnsi="Arial" w:cs="Arial"/>
        </w:rPr>
        <w:t xml:space="preserve">, </w:t>
      </w:r>
      <w:r w:rsidRPr="00307017">
        <w:rPr>
          <w:rFonts w:ascii="Arial" w:hAnsi="Arial" w:cs="Arial"/>
          <w:b/>
          <w:bCs/>
        </w:rPr>
        <w:t>discriminant validity</w:t>
      </w:r>
      <w:r w:rsidRPr="00307017">
        <w:rPr>
          <w:rFonts w:ascii="Arial" w:hAnsi="Arial" w:cs="Arial"/>
        </w:rPr>
        <w:t xml:space="preserve">, and </w:t>
      </w:r>
      <w:r w:rsidRPr="00307017">
        <w:rPr>
          <w:rFonts w:ascii="Arial" w:hAnsi="Arial" w:cs="Arial"/>
          <w:b/>
          <w:bCs/>
        </w:rPr>
        <w:t>construct reliability</w:t>
      </w:r>
      <w:r w:rsidRPr="00307017">
        <w:rPr>
          <w:rFonts w:ascii="Arial" w:hAnsi="Arial" w:cs="Arial"/>
        </w:rPr>
        <w:t>, ensuring that each latent variable was properly measured through its observed indicators.</w:t>
      </w:r>
    </w:p>
    <w:p w14:paraId="1D1F90F2" w14:textId="77777777" w:rsidR="00307017" w:rsidRPr="00307017" w:rsidRDefault="00307017" w:rsidP="00307017">
      <w:pPr>
        <w:spacing w:after="120" w:line="240" w:lineRule="auto"/>
        <w:jc w:val="both"/>
        <w:rPr>
          <w:rFonts w:ascii="Arial" w:hAnsi="Arial" w:cs="Arial"/>
          <w:b/>
          <w:bCs/>
        </w:rPr>
      </w:pPr>
      <w:r w:rsidRPr="00307017">
        <w:rPr>
          <w:rFonts w:ascii="Arial" w:hAnsi="Arial" w:cs="Arial"/>
          <w:b/>
          <w:bCs/>
        </w:rPr>
        <w:t>Hypothesis 1 (H1)</w:t>
      </w:r>
    </w:p>
    <w:p w14:paraId="5D59A578" w14:textId="4B1B7B8A" w:rsidR="00307017" w:rsidRPr="00307017" w:rsidRDefault="00307017" w:rsidP="00307017">
      <w:pPr>
        <w:spacing w:after="120" w:line="240" w:lineRule="auto"/>
        <w:jc w:val="both"/>
        <w:rPr>
          <w:rFonts w:ascii="Arial" w:hAnsi="Arial" w:cs="Arial"/>
        </w:rPr>
      </w:pPr>
      <w:r w:rsidRPr="00307017">
        <w:rPr>
          <w:rFonts w:ascii="Arial" w:hAnsi="Arial" w:cs="Arial"/>
          <w:i/>
          <w:iCs/>
        </w:rPr>
        <w:t>Sectoral budget allocations (education, health, infrastructure) have a significant positive influence on perceived public service quality.</w:t>
      </w:r>
    </w:p>
    <w:p w14:paraId="532DE3E1" w14:textId="23D3348A" w:rsidR="00307017" w:rsidRPr="00307017" w:rsidRDefault="00307017" w:rsidP="00307017">
      <w:pPr>
        <w:spacing w:after="120" w:line="240" w:lineRule="auto"/>
        <w:jc w:val="both"/>
        <w:rPr>
          <w:rFonts w:ascii="Arial" w:hAnsi="Arial" w:cs="Arial"/>
          <w:b/>
          <w:bCs/>
        </w:rPr>
      </w:pPr>
      <w:r>
        <w:rPr>
          <w:rFonts w:ascii="Arial" w:hAnsi="Arial" w:cs="Arial"/>
          <w:b/>
          <w:bCs/>
        </w:rPr>
        <w:t xml:space="preserve">3.4.1 </w:t>
      </w:r>
      <w:r w:rsidRPr="00307017">
        <w:rPr>
          <w:rFonts w:ascii="Arial" w:hAnsi="Arial" w:cs="Arial"/>
          <w:b/>
          <w:bCs/>
        </w:rPr>
        <w:t>Construct Reliability and Validity</w:t>
      </w:r>
    </w:p>
    <w:p w14:paraId="228C0F2C" w14:textId="77777777" w:rsidR="00307017" w:rsidRPr="00307017" w:rsidRDefault="00307017" w:rsidP="00307017">
      <w:pPr>
        <w:spacing w:after="120" w:line="240" w:lineRule="auto"/>
        <w:jc w:val="both"/>
        <w:rPr>
          <w:rFonts w:ascii="Arial" w:hAnsi="Arial" w:cs="Arial"/>
        </w:rPr>
      </w:pPr>
      <w:r w:rsidRPr="00307017">
        <w:rPr>
          <w:rFonts w:ascii="Arial" w:hAnsi="Arial" w:cs="Arial"/>
        </w:rPr>
        <w:t>Convergent validity was assessed through indicator outer loading values, all of which exceeded the recommended threshold of 0.70 (Hair et al., 2017), demonstrating acceptable individual indicator reliability. Furthermore:</w:t>
      </w:r>
    </w:p>
    <w:p w14:paraId="722EDC0E" w14:textId="77777777" w:rsidR="00307017" w:rsidRPr="00307017" w:rsidRDefault="00307017" w:rsidP="00307017">
      <w:pPr>
        <w:numPr>
          <w:ilvl w:val="0"/>
          <w:numId w:val="19"/>
        </w:numPr>
        <w:spacing w:after="120" w:line="240" w:lineRule="auto"/>
        <w:jc w:val="both"/>
        <w:rPr>
          <w:rFonts w:ascii="Arial" w:hAnsi="Arial" w:cs="Arial"/>
        </w:rPr>
      </w:pPr>
      <w:r w:rsidRPr="00307017">
        <w:rPr>
          <w:rFonts w:ascii="Arial" w:hAnsi="Arial" w:cs="Arial"/>
          <w:b/>
          <w:bCs/>
        </w:rPr>
        <w:t>Cronbach’s Alpha</w:t>
      </w:r>
      <w:r w:rsidRPr="00307017">
        <w:rPr>
          <w:rFonts w:ascii="Arial" w:hAnsi="Arial" w:cs="Arial"/>
        </w:rPr>
        <w:t xml:space="preserve"> and </w:t>
      </w:r>
      <w:r w:rsidRPr="00307017">
        <w:rPr>
          <w:rFonts w:ascii="Arial" w:hAnsi="Arial" w:cs="Arial"/>
          <w:b/>
          <w:bCs/>
        </w:rPr>
        <w:t>Composite Reliability (CR)</w:t>
      </w:r>
      <w:r w:rsidRPr="00307017">
        <w:rPr>
          <w:rFonts w:ascii="Arial" w:hAnsi="Arial" w:cs="Arial"/>
        </w:rPr>
        <w:t xml:space="preserve"> values were all &gt; 0.70, confirming internal consistency.</w:t>
      </w:r>
    </w:p>
    <w:p w14:paraId="0ABCF375" w14:textId="77777777" w:rsidR="00307017" w:rsidRPr="00307017" w:rsidRDefault="00307017" w:rsidP="00307017">
      <w:pPr>
        <w:numPr>
          <w:ilvl w:val="0"/>
          <w:numId w:val="19"/>
        </w:numPr>
        <w:spacing w:after="120" w:line="240" w:lineRule="auto"/>
        <w:jc w:val="both"/>
        <w:rPr>
          <w:rFonts w:ascii="Arial" w:hAnsi="Arial" w:cs="Arial"/>
        </w:rPr>
      </w:pPr>
      <w:r w:rsidRPr="00307017">
        <w:rPr>
          <w:rFonts w:ascii="Arial" w:hAnsi="Arial" w:cs="Arial"/>
          <w:b/>
          <w:bCs/>
        </w:rPr>
        <w:t>Average Variance Extracted (AVE)</w:t>
      </w:r>
      <w:r w:rsidRPr="00307017">
        <w:rPr>
          <w:rFonts w:ascii="Arial" w:hAnsi="Arial" w:cs="Arial"/>
        </w:rPr>
        <w:t xml:space="preserve"> values exceeded 0.50 for each construct, indicating sufficient convergent validity.</w:t>
      </w:r>
    </w:p>
    <w:p w14:paraId="50C8C59D" w14:textId="77777777" w:rsidR="00307017" w:rsidRPr="00307017" w:rsidRDefault="00307017" w:rsidP="00075AE4">
      <w:pPr>
        <w:spacing w:after="120" w:line="240" w:lineRule="auto"/>
        <w:jc w:val="both"/>
        <w:rPr>
          <w:rFonts w:ascii="Arial" w:hAnsi="Arial" w:cs="Arial"/>
        </w:rPr>
      </w:pPr>
    </w:p>
    <w:p w14:paraId="6D1F0AB4" w14:textId="13BC2D41" w:rsidR="00F867A8" w:rsidRPr="009B476C" w:rsidRDefault="00557951" w:rsidP="00ED5D14">
      <w:pPr>
        <w:spacing w:before="100" w:beforeAutospacing="1" w:after="100" w:afterAutospacing="1" w:line="240" w:lineRule="auto"/>
        <w:jc w:val="center"/>
        <w:rPr>
          <w:rFonts w:ascii="Times New Roman" w:hAnsi="Times New Roman" w:cs="Times New Roman"/>
          <w:kern w:val="0"/>
          <w:highlight w:val="yellow"/>
          <w:lang w:val="id-ID" w:eastAsia="ja-JP"/>
          <w14:ligatures w14:val="none"/>
        </w:rPr>
      </w:pPr>
      <w:r w:rsidRPr="009B476C">
        <w:rPr>
          <w:noProof/>
          <w:highlight w:val="yellow"/>
        </w:rPr>
        <w:lastRenderedPageBreak/>
        <w:drawing>
          <wp:inline distT="0" distB="0" distL="0" distR="0" wp14:anchorId="329CEBFB" wp14:editId="78343BB4">
            <wp:extent cx="5732145" cy="3532505"/>
            <wp:effectExtent l="0" t="0" r="1905" b="0"/>
            <wp:docPr id="2051086665" name="Picture 2"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86665" name="Picture 2" descr="A diagram of a network&#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3532505"/>
                    </a:xfrm>
                    <a:prstGeom prst="rect">
                      <a:avLst/>
                    </a:prstGeom>
                    <a:noFill/>
                    <a:ln>
                      <a:noFill/>
                    </a:ln>
                  </pic:spPr>
                </pic:pic>
              </a:graphicData>
            </a:graphic>
          </wp:inline>
        </w:drawing>
      </w:r>
    </w:p>
    <w:p w14:paraId="34333F43" w14:textId="005DD08E" w:rsidR="00A65193" w:rsidRDefault="007D2F5E" w:rsidP="007D2F5E">
      <w:pPr>
        <w:spacing w:beforeAutospacing="1" w:after="100" w:afterAutospacing="1" w:line="240" w:lineRule="auto"/>
        <w:jc w:val="center"/>
        <w:rPr>
          <w:sz w:val="23"/>
          <w:szCs w:val="23"/>
          <w:highlight w:val="yellow"/>
        </w:rPr>
      </w:pPr>
      <w:r w:rsidRPr="009B476C">
        <w:rPr>
          <w:rFonts w:ascii="Times New Roman" w:hAnsi="Times New Roman" w:cs="Times New Roman"/>
          <w:b/>
          <w:bCs/>
          <w:kern w:val="0"/>
          <w:highlight w:val="yellow"/>
          <w:lang w:eastAsia="ja-JP"/>
          <w14:ligatures w14:val="none"/>
        </w:rPr>
        <w:t xml:space="preserve">Figure </w:t>
      </w:r>
      <w:proofErr w:type="gramStart"/>
      <w:r w:rsidR="00ED5D14" w:rsidRPr="009B476C">
        <w:rPr>
          <w:rFonts w:ascii="Times New Roman" w:hAnsi="Times New Roman" w:cs="Times New Roman"/>
          <w:b/>
          <w:bCs/>
          <w:kern w:val="0"/>
          <w:highlight w:val="yellow"/>
          <w:lang w:eastAsia="ja-JP"/>
          <w14:ligatures w14:val="none"/>
        </w:rPr>
        <w:t xml:space="preserve">1 </w:t>
      </w:r>
      <w:r w:rsidR="006F3F7F" w:rsidRPr="009B476C">
        <w:rPr>
          <w:rFonts w:ascii="Times New Roman" w:hAnsi="Times New Roman" w:cs="Times New Roman"/>
          <w:b/>
          <w:bCs/>
          <w:kern w:val="0"/>
          <w:highlight w:val="yellow"/>
          <w:lang w:eastAsia="ja-JP"/>
          <w14:ligatures w14:val="none"/>
        </w:rPr>
        <w:t>.</w:t>
      </w:r>
      <w:proofErr w:type="gramEnd"/>
      <w:r w:rsidRPr="009B476C">
        <w:rPr>
          <w:rFonts w:ascii="Times New Roman" w:hAnsi="Times New Roman" w:cs="Times New Roman"/>
          <w:b/>
          <w:bCs/>
          <w:kern w:val="0"/>
          <w:highlight w:val="yellow"/>
          <w:lang w:eastAsia="ja-JP"/>
          <w14:ligatures w14:val="none"/>
        </w:rPr>
        <w:t xml:space="preserve"> </w:t>
      </w:r>
      <w:r w:rsidRPr="009B476C">
        <w:rPr>
          <w:sz w:val="23"/>
          <w:szCs w:val="23"/>
          <w:highlight w:val="yellow"/>
        </w:rPr>
        <w:t>Outer Model</w:t>
      </w:r>
    </w:p>
    <w:p w14:paraId="78C9B4BF" w14:textId="2599A57C" w:rsidR="00307017" w:rsidRPr="00307017" w:rsidRDefault="00307017" w:rsidP="00307017">
      <w:pPr>
        <w:spacing w:after="120" w:line="240" w:lineRule="auto"/>
        <w:jc w:val="both"/>
        <w:rPr>
          <w:rFonts w:ascii="Arial" w:hAnsi="Arial" w:cs="Arial"/>
        </w:rPr>
      </w:pPr>
      <w:r w:rsidRPr="00307017">
        <w:rPr>
          <w:rFonts w:ascii="Arial" w:hAnsi="Arial" w:cs="Arial"/>
          <w:b/>
          <w:bCs/>
        </w:rPr>
        <w:t xml:space="preserve">Table </w:t>
      </w:r>
      <w:r w:rsidR="00B719A5">
        <w:rPr>
          <w:rFonts w:ascii="Arial" w:hAnsi="Arial" w:cs="Arial"/>
          <w:b/>
          <w:bCs/>
        </w:rPr>
        <w:t>2</w:t>
      </w:r>
      <w:r w:rsidRPr="00307017">
        <w:rPr>
          <w:rFonts w:ascii="Arial" w:hAnsi="Arial" w:cs="Arial"/>
        </w:rPr>
        <w:t xml:space="preserve"> confirms that indicators for Education Spending (X1), Health Spending (X2), Infrastructure Spending (X3), Public Service Quality (Z), and Human Development Index (Y) are valid</w:t>
      </w:r>
      <w:r>
        <w:rPr>
          <w:rFonts w:ascii="Arial" w:hAnsi="Arial" w:cs="Arial"/>
        </w:rPr>
        <w:t>.</w:t>
      </w:r>
    </w:p>
    <w:p w14:paraId="5B466996" w14:textId="2C537C51" w:rsidR="00ED5D14" w:rsidRPr="009B476C" w:rsidRDefault="00ED5D14" w:rsidP="00ED5D14">
      <w:pPr>
        <w:spacing w:before="100" w:beforeAutospacing="1" w:after="100" w:afterAutospacing="1" w:line="240" w:lineRule="auto"/>
        <w:jc w:val="center"/>
        <w:rPr>
          <w:rFonts w:ascii="Arial" w:hAnsi="Arial" w:cs="Arial"/>
          <w:kern w:val="0"/>
          <w:highlight w:val="yellow"/>
          <w:lang w:val="id-ID" w:eastAsia="ja-JP"/>
          <w14:ligatures w14:val="none"/>
        </w:rPr>
      </w:pPr>
      <w:r w:rsidRPr="009B476C">
        <w:rPr>
          <w:rFonts w:ascii="Arial" w:hAnsi="Arial" w:cs="Arial"/>
          <w:b/>
          <w:bCs/>
          <w:highlight w:val="yellow"/>
        </w:rPr>
        <w:t xml:space="preserve">Table </w:t>
      </w:r>
      <w:r w:rsidR="00B719A5">
        <w:rPr>
          <w:rFonts w:ascii="Arial" w:hAnsi="Arial" w:cs="Arial"/>
          <w:b/>
          <w:bCs/>
          <w:highlight w:val="yellow"/>
        </w:rPr>
        <w:t>2</w:t>
      </w:r>
      <w:r w:rsidR="006F3F7F" w:rsidRPr="009B476C">
        <w:rPr>
          <w:rFonts w:ascii="Arial" w:hAnsi="Arial" w:cs="Arial"/>
          <w:b/>
          <w:bCs/>
          <w:highlight w:val="yellow"/>
        </w:rPr>
        <w:t>.</w:t>
      </w:r>
      <w:r w:rsidRPr="009B476C">
        <w:rPr>
          <w:rFonts w:ascii="Arial" w:hAnsi="Arial" w:cs="Arial"/>
          <w:b/>
          <w:bCs/>
          <w:highlight w:val="yellow"/>
        </w:rPr>
        <w:t xml:space="preserve"> </w:t>
      </w:r>
      <w:r w:rsidRPr="009B476C">
        <w:rPr>
          <w:rFonts w:ascii="Arial" w:hAnsi="Arial" w:cs="Arial"/>
          <w:highlight w:val="yellow"/>
        </w:rPr>
        <w:t>Instrument Validity Test Results Using Loading Factor</w:t>
      </w:r>
    </w:p>
    <w:tbl>
      <w:tblPr>
        <w:tblStyle w:val="TableGrid"/>
        <w:tblW w:w="0" w:type="auto"/>
        <w:jc w:val="center"/>
        <w:tblLook w:val="04A0" w:firstRow="1" w:lastRow="0" w:firstColumn="1" w:lastColumn="0" w:noHBand="0" w:noVBand="1"/>
      </w:tblPr>
      <w:tblGrid>
        <w:gridCol w:w="3549"/>
        <w:gridCol w:w="1176"/>
        <w:gridCol w:w="1810"/>
        <w:gridCol w:w="1150"/>
      </w:tblGrid>
      <w:tr w:rsidR="007D2F5E" w:rsidRPr="009B476C" w14:paraId="1A83AA22" w14:textId="77777777" w:rsidTr="007D2F5E">
        <w:trPr>
          <w:jc w:val="center"/>
        </w:trPr>
        <w:tc>
          <w:tcPr>
            <w:tcW w:w="0" w:type="auto"/>
            <w:hideMark/>
          </w:tcPr>
          <w:p w14:paraId="2ED9BFBA"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Construct</w:t>
            </w:r>
          </w:p>
        </w:tc>
        <w:tc>
          <w:tcPr>
            <w:tcW w:w="0" w:type="auto"/>
            <w:hideMark/>
          </w:tcPr>
          <w:p w14:paraId="729CFC1D"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Indicator</w:t>
            </w:r>
          </w:p>
        </w:tc>
        <w:tc>
          <w:tcPr>
            <w:tcW w:w="0" w:type="auto"/>
            <w:hideMark/>
          </w:tcPr>
          <w:p w14:paraId="0B80D18F"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Loading Factor</w:t>
            </w:r>
          </w:p>
        </w:tc>
        <w:tc>
          <w:tcPr>
            <w:tcW w:w="0" w:type="auto"/>
            <w:hideMark/>
          </w:tcPr>
          <w:p w14:paraId="67F41983"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Remarks</w:t>
            </w:r>
          </w:p>
        </w:tc>
      </w:tr>
      <w:tr w:rsidR="007D2F5E" w:rsidRPr="009B476C" w14:paraId="2103F79F" w14:textId="77777777" w:rsidTr="007D2F5E">
        <w:trPr>
          <w:jc w:val="center"/>
        </w:trPr>
        <w:tc>
          <w:tcPr>
            <w:tcW w:w="0" w:type="auto"/>
            <w:hideMark/>
          </w:tcPr>
          <w:p w14:paraId="4822914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Education Expenditure (X1)</w:t>
            </w:r>
          </w:p>
        </w:tc>
        <w:tc>
          <w:tcPr>
            <w:tcW w:w="0" w:type="auto"/>
            <w:hideMark/>
          </w:tcPr>
          <w:p w14:paraId="712C09B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X1.1</w:t>
            </w:r>
          </w:p>
        </w:tc>
        <w:tc>
          <w:tcPr>
            <w:tcW w:w="0" w:type="auto"/>
            <w:hideMark/>
          </w:tcPr>
          <w:p w14:paraId="417E734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0.752</w:t>
            </w:r>
          </w:p>
        </w:tc>
        <w:tc>
          <w:tcPr>
            <w:tcW w:w="0" w:type="auto"/>
            <w:hideMark/>
          </w:tcPr>
          <w:p w14:paraId="2B1A0A2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02E2F338" w14:textId="77777777" w:rsidTr="007D2F5E">
        <w:trPr>
          <w:jc w:val="center"/>
        </w:trPr>
        <w:tc>
          <w:tcPr>
            <w:tcW w:w="0" w:type="auto"/>
            <w:hideMark/>
          </w:tcPr>
          <w:p w14:paraId="303F61D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0A99F94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X1.2</w:t>
            </w:r>
          </w:p>
        </w:tc>
        <w:tc>
          <w:tcPr>
            <w:tcW w:w="0" w:type="auto"/>
            <w:hideMark/>
          </w:tcPr>
          <w:p w14:paraId="4FFC25A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0.732</w:t>
            </w:r>
          </w:p>
        </w:tc>
        <w:tc>
          <w:tcPr>
            <w:tcW w:w="0" w:type="auto"/>
            <w:hideMark/>
          </w:tcPr>
          <w:p w14:paraId="173C645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4278F185" w14:textId="77777777" w:rsidTr="007D2F5E">
        <w:trPr>
          <w:jc w:val="center"/>
        </w:trPr>
        <w:tc>
          <w:tcPr>
            <w:tcW w:w="0" w:type="auto"/>
            <w:hideMark/>
          </w:tcPr>
          <w:p w14:paraId="57995DF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31B7D16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X1.3</w:t>
            </w:r>
          </w:p>
        </w:tc>
        <w:tc>
          <w:tcPr>
            <w:tcW w:w="0" w:type="auto"/>
            <w:hideMark/>
          </w:tcPr>
          <w:p w14:paraId="73E893F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0.720</w:t>
            </w:r>
          </w:p>
        </w:tc>
        <w:tc>
          <w:tcPr>
            <w:tcW w:w="0" w:type="auto"/>
            <w:hideMark/>
          </w:tcPr>
          <w:p w14:paraId="3C812BC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702EE761" w14:textId="77777777" w:rsidTr="007D2F5E">
        <w:trPr>
          <w:jc w:val="center"/>
        </w:trPr>
        <w:tc>
          <w:tcPr>
            <w:tcW w:w="0" w:type="auto"/>
            <w:hideMark/>
          </w:tcPr>
          <w:p w14:paraId="34D643B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1AEFEF5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X1.4</w:t>
            </w:r>
          </w:p>
        </w:tc>
        <w:tc>
          <w:tcPr>
            <w:tcW w:w="0" w:type="auto"/>
            <w:hideMark/>
          </w:tcPr>
          <w:p w14:paraId="01BD90C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0.706</w:t>
            </w:r>
          </w:p>
        </w:tc>
        <w:tc>
          <w:tcPr>
            <w:tcW w:w="0" w:type="auto"/>
            <w:hideMark/>
          </w:tcPr>
          <w:p w14:paraId="6067262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7BE2D4B7" w14:textId="77777777" w:rsidTr="007D2F5E">
        <w:trPr>
          <w:jc w:val="center"/>
        </w:trPr>
        <w:tc>
          <w:tcPr>
            <w:tcW w:w="0" w:type="auto"/>
            <w:hideMark/>
          </w:tcPr>
          <w:p w14:paraId="526F5CD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Health Expenditure (X2)</w:t>
            </w:r>
          </w:p>
        </w:tc>
        <w:tc>
          <w:tcPr>
            <w:tcW w:w="0" w:type="auto"/>
            <w:hideMark/>
          </w:tcPr>
          <w:p w14:paraId="15496D7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X2.1</w:t>
            </w:r>
          </w:p>
        </w:tc>
        <w:tc>
          <w:tcPr>
            <w:tcW w:w="0" w:type="auto"/>
            <w:hideMark/>
          </w:tcPr>
          <w:p w14:paraId="3CF91B0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0.849</w:t>
            </w:r>
          </w:p>
        </w:tc>
        <w:tc>
          <w:tcPr>
            <w:tcW w:w="0" w:type="auto"/>
            <w:hideMark/>
          </w:tcPr>
          <w:p w14:paraId="3B8F19F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7E1FFE5F" w14:textId="77777777" w:rsidTr="007D2F5E">
        <w:trPr>
          <w:jc w:val="center"/>
        </w:trPr>
        <w:tc>
          <w:tcPr>
            <w:tcW w:w="0" w:type="auto"/>
            <w:hideMark/>
          </w:tcPr>
          <w:p w14:paraId="48076A1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5F7DC6B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X2.2</w:t>
            </w:r>
          </w:p>
        </w:tc>
        <w:tc>
          <w:tcPr>
            <w:tcW w:w="0" w:type="auto"/>
            <w:hideMark/>
          </w:tcPr>
          <w:p w14:paraId="773CB2C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0.870</w:t>
            </w:r>
          </w:p>
        </w:tc>
        <w:tc>
          <w:tcPr>
            <w:tcW w:w="0" w:type="auto"/>
            <w:hideMark/>
          </w:tcPr>
          <w:p w14:paraId="6EA2FF1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2D8F4891" w14:textId="77777777" w:rsidTr="007D2F5E">
        <w:trPr>
          <w:jc w:val="center"/>
        </w:trPr>
        <w:tc>
          <w:tcPr>
            <w:tcW w:w="0" w:type="auto"/>
            <w:hideMark/>
          </w:tcPr>
          <w:p w14:paraId="2C6E82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2693B87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X2.3</w:t>
            </w:r>
          </w:p>
        </w:tc>
        <w:tc>
          <w:tcPr>
            <w:tcW w:w="0" w:type="auto"/>
            <w:hideMark/>
          </w:tcPr>
          <w:p w14:paraId="0C1955A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0.891</w:t>
            </w:r>
          </w:p>
        </w:tc>
        <w:tc>
          <w:tcPr>
            <w:tcW w:w="0" w:type="auto"/>
            <w:hideMark/>
          </w:tcPr>
          <w:p w14:paraId="42F78AA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34731CE1" w14:textId="77777777" w:rsidTr="007D2F5E">
        <w:trPr>
          <w:jc w:val="center"/>
        </w:trPr>
        <w:tc>
          <w:tcPr>
            <w:tcW w:w="0" w:type="auto"/>
            <w:hideMark/>
          </w:tcPr>
          <w:p w14:paraId="6CDFADF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5C223EB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X2.4</w:t>
            </w:r>
          </w:p>
        </w:tc>
        <w:tc>
          <w:tcPr>
            <w:tcW w:w="0" w:type="auto"/>
            <w:hideMark/>
          </w:tcPr>
          <w:p w14:paraId="28CCC5B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0.900</w:t>
            </w:r>
          </w:p>
        </w:tc>
        <w:tc>
          <w:tcPr>
            <w:tcW w:w="0" w:type="auto"/>
            <w:hideMark/>
          </w:tcPr>
          <w:p w14:paraId="52CA42D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636C8CA4" w14:textId="77777777" w:rsidTr="007D2F5E">
        <w:trPr>
          <w:jc w:val="center"/>
        </w:trPr>
        <w:tc>
          <w:tcPr>
            <w:tcW w:w="0" w:type="auto"/>
            <w:hideMark/>
          </w:tcPr>
          <w:p w14:paraId="3F27B75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Infrastructure Expenditure (X3)</w:t>
            </w:r>
          </w:p>
        </w:tc>
        <w:tc>
          <w:tcPr>
            <w:tcW w:w="0" w:type="auto"/>
            <w:hideMark/>
          </w:tcPr>
          <w:p w14:paraId="71B2132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X3.1</w:t>
            </w:r>
          </w:p>
        </w:tc>
        <w:tc>
          <w:tcPr>
            <w:tcW w:w="0" w:type="auto"/>
            <w:hideMark/>
          </w:tcPr>
          <w:p w14:paraId="5796552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0.812</w:t>
            </w:r>
          </w:p>
        </w:tc>
        <w:tc>
          <w:tcPr>
            <w:tcW w:w="0" w:type="auto"/>
            <w:hideMark/>
          </w:tcPr>
          <w:p w14:paraId="3D4D8ED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3B57FACB" w14:textId="77777777" w:rsidTr="007D2F5E">
        <w:trPr>
          <w:jc w:val="center"/>
        </w:trPr>
        <w:tc>
          <w:tcPr>
            <w:tcW w:w="0" w:type="auto"/>
            <w:hideMark/>
          </w:tcPr>
          <w:p w14:paraId="565C49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2D7F1F4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X3.2</w:t>
            </w:r>
          </w:p>
        </w:tc>
        <w:tc>
          <w:tcPr>
            <w:tcW w:w="0" w:type="auto"/>
            <w:hideMark/>
          </w:tcPr>
          <w:p w14:paraId="00E004A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0.871</w:t>
            </w:r>
          </w:p>
        </w:tc>
        <w:tc>
          <w:tcPr>
            <w:tcW w:w="0" w:type="auto"/>
            <w:hideMark/>
          </w:tcPr>
          <w:p w14:paraId="2D1FE31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2F2429DC" w14:textId="77777777" w:rsidTr="007D2F5E">
        <w:trPr>
          <w:jc w:val="center"/>
        </w:trPr>
        <w:tc>
          <w:tcPr>
            <w:tcW w:w="0" w:type="auto"/>
            <w:hideMark/>
          </w:tcPr>
          <w:p w14:paraId="393D126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76F6E01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X3.3</w:t>
            </w:r>
          </w:p>
        </w:tc>
        <w:tc>
          <w:tcPr>
            <w:tcW w:w="0" w:type="auto"/>
            <w:hideMark/>
          </w:tcPr>
          <w:p w14:paraId="7800A04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0.903</w:t>
            </w:r>
          </w:p>
        </w:tc>
        <w:tc>
          <w:tcPr>
            <w:tcW w:w="0" w:type="auto"/>
            <w:hideMark/>
          </w:tcPr>
          <w:p w14:paraId="4B12E6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3C06760A" w14:textId="77777777" w:rsidTr="007D2F5E">
        <w:trPr>
          <w:jc w:val="center"/>
        </w:trPr>
        <w:tc>
          <w:tcPr>
            <w:tcW w:w="0" w:type="auto"/>
            <w:hideMark/>
          </w:tcPr>
          <w:p w14:paraId="1966A6F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Quality of Public Services (Z)</w:t>
            </w:r>
          </w:p>
        </w:tc>
        <w:tc>
          <w:tcPr>
            <w:tcW w:w="0" w:type="auto"/>
            <w:hideMark/>
          </w:tcPr>
          <w:p w14:paraId="121FA3C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Z.1</w:t>
            </w:r>
          </w:p>
        </w:tc>
        <w:tc>
          <w:tcPr>
            <w:tcW w:w="0" w:type="auto"/>
            <w:hideMark/>
          </w:tcPr>
          <w:p w14:paraId="62DBBC0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0.705</w:t>
            </w:r>
          </w:p>
        </w:tc>
        <w:tc>
          <w:tcPr>
            <w:tcW w:w="0" w:type="auto"/>
            <w:hideMark/>
          </w:tcPr>
          <w:p w14:paraId="22CA0AA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5B40DD0B" w14:textId="77777777" w:rsidTr="007D2F5E">
        <w:trPr>
          <w:jc w:val="center"/>
        </w:trPr>
        <w:tc>
          <w:tcPr>
            <w:tcW w:w="0" w:type="auto"/>
            <w:hideMark/>
          </w:tcPr>
          <w:p w14:paraId="5EEB364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008DF0B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Z.2</w:t>
            </w:r>
          </w:p>
        </w:tc>
        <w:tc>
          <w:tcPr>
            <w:tcW w:w="0" w:type="auto"/>
            <w:hideMark/>
          </w:tcPr>
          <w:p w14:paraId="6057D1A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0.713</w:t>
            </w:r>
          </w:p>
        </w:tc>
        <w:tc>
          <w:tcPr>
            <w:tcW w:w="0" w:type="auto"/>
            <w:hideMark/>
          </w:tcPr>
          <w:p w14:paraId="2411D5B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253C8ED7" w14:textId="77777777" w:rsidTr="007D2F5E">
        <w:trPr>
          <w:jc w:val="center"/>
        </w:trPr>
        <w:tc>
          <w:tcPr>
            <w:tcW w:w="0" w:type="auto"/>
            <w:hideMark/>
          </w:tcPr>
          <w:p w14:paraId="626CC9B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028409D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Z.3</w:t>
            </w:r>
          </w:p>
        </w:tc>
        <w:tc>
          <w:tcPr>
            <w:tcW w:w="0" w:type="auto"/>
            <w:hideMark/>
          </w:tcPr>
          <w:p w14:paraId="1E7B319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0.719</w:t>
            </w:r>
          </w:p>
        </w:tc>
        <w:tc>
          <w:tcPr>
            <w:tcW w:w="0" w:type="auto"/>
            <w:hideMark/>
          </w:tcPr>
          <w:p w14:paraId="772A1A3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4A5EF5E3" w14:textId="77777777" w:rsidTr="007D2F5E">
        <w:trPr>
          <w:jc w:val="center"/>
        </w:trPr>
        <w:tc>
          <w:tcPr>
            <w:tcW w:w="0" w:type="auto"/>
            <w:hideMark/>
          </w:tcPr>
          <w:p w14:paraId="1F40A67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0E3E432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Z.4</w:t>
            </w:r>
          </w:p>
        </w:tc>
        <w:tc>
          <w:tcPr>
            <w:tcW w:w="0" w:type="auto"/>
            <w:hideMark/>
          </w:tcPr>
          <w:p w14:paraId="05A3CE1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0.844</w:t>
            </w:r>
          </w:p>
        </w:tc>
        <w:tc>
          <w:tcPr>
            <w:tcW w:w="0" w:type="auto"/>
            <w:hideMark/>
          </w:tcPr>
          <w:p w14:paraId="78254F4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1CC2E3B4" w14:textId="77777777" w:rsidTr="007D2F5E">
        <w:trPr>
          <w:jc w:val="center"/>
        </w:trPr>
        <w:tc>
          <w:tcPr>
            <w:tcW w:w="0" w:type="auto"/>
            <w:hideMark/>
          </w:tcPr>
          <w:p w14:paraId="380BEDF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3CB5EBA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Z.5</w:t>
            </w:r>
          </w:p>
        </w:tc>
        <w:tc>
          <w:tcPr>
            <w:tcW w:w="0" w:type="auto"/>
            <w:hideMark/>
          </w:tcPr>
          <w:p w14:paraId="2A1E89B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0.781</w:t>
            </w:r>
          </w:p>
        </w:tc>
        <w:tc>
          <w:tcPr>
            <w:tcW w:w="0" w:type="auto"/>
            <w:hideMark/>
          </w:tcPr>
          <w:p w14:paraId="7094EFD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60D0E617" w14:textId="77777777" w:rsidTr="007D2F5E">
        <w:trPr>
          <w:jc w:val="center"/>
        </w:trPr>
        <w:tc>
          <w:tcPr>
            <w:tcW w:w="0" w:type="auto"/>
            <w:hideMark/>
          </w:tcPr>
          <w:p w14:paraId="7BA631F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Human Development Index (Y)</w:t>
            </w:r>
          </w:p>
        </w:tc>
        <w:tc>
          <w:tcPr>
            <w:tcW w:w="0" w:type="auto"/>
            <w:hideMark/>
          </w:tcPr>
          <w:p w14:paraId="31D7350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Y1</w:t>
            </w:r>
          </w:p>
        </w:tc>
        <w:tc>
          <w:tcPr>
            <w:tcW w:w="0" w:type="auto"/>
            <w:hideMark/>
          </w:tcPr>
          <w:p w14:paraId="28195FC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0.851</w:t>
            </w:r>
          </w:p>
        </w:tc>
        <w:tc>
          <w:tcPr>
            <w:tcW w:w="0" w:type="auto"/>
            <w:hideMark/>
          </w:tcPr>
          <w:p w14:paraId="707C04C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04BE02AC" w14:textId="77777777" w:rsidTr="007D2F5E">
        <w:trPr>
          <w:jc w:val="center"/>
        </w:trPr>
        <w:tc>
          <w:tcPr>
            <w:tcW w:w="0" w:type="auto"/>
            <w:hideMark/>
          </w:tcPr>
          <w:p w14:paraId="4917F46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3708949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Y2</w:t>
            </w:r>
          </w:p>
        </w:tc>
        <w:tc>
          <w:tcPr>
            <w:tcW w:w="0" w:type="auto"/>
            <w:hideMark/>
          </w:tcPr>
          <w:p w14:paraId="5F388DD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0.867</w:t>
            </w:r>
          </w:p>
        </w:tc>
        <w:tc>
          <w:tcPr>
            <w:tcW w:w="0" w:type="auto"/>
            <w:hideMark/>
          </w:tcPr>
          <w:p w14:paraId="17A7358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r w:rsidR="007D2F5E" w:rsidRPr="009B476C" w14:paraId="36791D8F" w14:textId="77777777" w:rsidTr="007D2F5E">
        <w:trPr>
          <w:jc w:val="center"/>
        </w:trPr>
        <w:tc>
          <w:tcPr>
            <w:tcW w:w="0" w:type="auto"/>
            <w:hideMark/>
          </w:tcPr>
          <w:p w14:paraId="0879268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p>
        </w:tc>
        <w:tc>
          <w:tcPr>
            <w:tcW w:w="0" w:type="auto"/>
            <w:hideMark/>
          </w:tcPr>
          <w:p w14:paraId="2AC8AD3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Y3</w:t>
            </w:r>
          </w:p>
        </w:tc>
        <w:tc>
          <w:tcPr>
            <w:tcW w:w="0" w:type="auto"/>
            <w:hideMark/>
          </w:tcPr>
          <w:p w14:paraId="6FA8EC9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0.896</w:t>
            </w:r>
          </w:p>
        </w:tc>
        <w:tc>
          <w:tcPr>
            <w:tcW w:w="0" w:type="auto"/>
            <w:hideMark/>
          </w:tcPr>
          <w:p w14:paraId="3E895B1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Valid</w:t>
            </w:r>
          </w:p>
        </w:tc>
      </w:tr>
    </w:tbl>
    <w:p w14:paraId="2A4F8925" w14:textId="303F7C0A" w:rsidR="00A65193" w:rsidRPr="009B476C" w:rsidRDefault="007D2F5E" w:rsidP="00ED5D14">
      <w:pPr>
        <w:spacing w:beforeAutospacing="1" w:after="100" w:afterAutospacing="1" w:line="240" w:lineRule="auto"/>
        <w:jc w:val="center"/>
        <w:rPr>
          <w:rFonts w:ascii="Times New Roman" w:eastAsia="Times New Roman" w:hAnsi="Times New Roman" w:cs="Times New Roman"/>
          <w:b/>
          <w:bCs/>
          <w:kern w:val="0"/>
          <w:highlight w:val="yellow"/>
          <w:lang w:val="id-ID" w:eastAsia="ja-JP"/>
          <w14:ligatures w14:val="none"/>
        </w:rPr>
      </w:pPr>
      <w:r w:rsidRPr="009B476C">
        <w:rPr>
          <w:rStyle w:val="Strong"/>
          <w:highlight w:val="yellow"/>
        </w:rPr>
        <w:lastRenderedPageBreak/>
        <w:t>Source:</w:t>
      </w:r>
      <w:r w:rsidRPr="009B476C">
        <w:rPr>
          <w:highlight w:val="yellow"/>
        </w:rPr>
        <w:t xml:space="preserve"> Processed Data from </w:t>
      </w:r>
      <w:proofErr w:type="spellStart"/>
      <w:r w:rsidRPr="009B476C">
        <w:rPr>
          <w:highlight w:val="yellow"/>
        </w:rPr>
        <w:t>SmartPLS</w:t>
      </w:r>
      <w:proofErr w:type="spellEnd"/>
      <w:r w:rsidRPr="009B476C">
        <w:rPr>
          <w:highlight w:val="yellow"/>
        </w:rPr>
        <w:t xml:space="preserve"> (2025)</w:t>
      </w:r>
    </w:p>
    <w:p w14:paraId="03150F06" w14:textId="74F659C0" w:rsidR="00307017" w:rsidRPr="00307017" w:rsidRDefault="00307017" w:rsidP="00307017">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Pr>
          <w:rFonts w:ascii="Arial" w:eastAsia="Times New Roman" w:hAnsi="Arial" w:cs="Arial"/>
          <w:b/>
          <w:bCs/>
          <w:kern w:val="0"/>
          <w:highlight w:val="yellow"/>
          <w:lang w:eastAsia="ja-JP"/>
          <w14:ligatures w14:val="none"/>
        </w:rPr>
        <w:t xml:space="preserve"> 3.4.2 </w:t>
      </w:r>
      <w:r w:rsidRPr="00307017">
        <w:rPr>
          <w:rFonts w:ascii="Arial" w:eastAsia="Times New Roman" w:hAnsi="Arial" w:cs="Arial"/>
          <w:b/>
          <w:bCs/>
          <w:kern w:val="0"/>
          <w:highlight w:val="yellow"/>
          <w:lang w:eastAsia="ja-JP"/>
          <w14:ligatures w14:val="none"/>
        </w:rPr>
        <w:t>Discriminant Validity</w:t>
      </w:r>
    </w:p>
    <w:p w14:paraId="197CFC55" w14:textId="18423BE2" w:rsidR="00307017" w:rsidRPr="00307017" w:rsidRDefault="00307017" w:rsidP="00307017">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307017">
        <w:rPr>
          <w:rFonts w:ascii="Arial" w:eastAsia="Times New Roman" w:hAnsi="Arial" w:cs="Arial"/>
          <w:b/>
          <w:bCs/>
          <w:kern w:val="0"/>
          <w:highlight w:val="yellow"/>
          <w:lang w:eastAsia="ja-JP"/>
          <w14:ligatures w14:val="none"/>
        </w:rPr>
        <w:t>Discriminant validity was examined using cross-loading values (</w:t>
      </w:r>
      <w:bookmarkStart w:id="0" w:name="_GoBack"/>
      <w:r w:rsidRPr="00307017">
        <w:rPr>
          <w:rFonts w:ascii="Arial" w:eastAsia="Times New Roman" w:hAnsi="Arial" w:cs="Arial"/>
          <w:b/>
          <w:bCs/>
          <w:kern w:val="0"/>
          <w:highlight w:val="yellow"/>
          <w:lang w:eastAsia="ja-JP"/>
          <w14:ligatures w14:val="none"/>
        </w:rPr>
        <w:t>Table</w:t>
      </w:r>
      <w:bookmarkEnd w:id="0"/>
      <w:r w:rsidRPr="00307017">
        <w:rPr>
          <w:rFonts w:ascii="Arial" w:eastAsia="Times New Roman" w:hAnsi="Arial" w:cs="Arial"/>
          <w:b/>
          <w:bCs/>
          <w:kern w:val="0"/>
          <w:highlight w:val="yellow"/>
          <w:lang w:eastAsia="ja-JP"/>
          <w14:ligatures w14:val="none"/>
        </w:rPr>
        <w:t xml:space="preserve"> </w:t>
      </w:r>
      <w:r w:rsidR="00B719A5">
        <w:rPr>
          <w:rFonts w:ascii="Arial" w:eastAsia="Times New Roman" w:hAnsi="Arial" w:cs="Arial"/>
          <w:b/>
          <w:bCs/>
          <w:kern w:val="0"/>
          <w:highlight w:val="yellow"/>
          <w:lang w:eastAsia="ja-JP"/>
          <w14:ligatures w14:val="none"/>
        </w:rPr>
        <w:t>3</w:t>
      </w:r>
      <w:r w:rsidRPr="00307017">
        <w:rPr>
          <w:rFonts w:ascii="Arial" w:eastAsia="Times New Roman" w:hAnsi="Arial" w:cs="Arial"/>
          <w:b/>
          <w:bCs/>
          <w:kern w:val="0"/>
          <w:highlight w:val="yellow"/>
          <w:lang w:eastAsia="ja-JP"/>
          <w14:ligatures w14:val="none"/>
        </w:rPr>
        <w:t>). All indicators loaded highest on their intended constructs compared to others, confirming appropriate construct discrimination. For example, indicator X1.1 had a higher correlation with Education Spending than with other latent variables, demonstrating uniqueness.</w:t>
      </w:r>
    </w:p>
    <w:p w14:paraId="6AE91035" w14:textId="61E5D93F" w:rsidR="00307017" w:rsidRPr="00307017" w:rsidRDefault="00307017" w:rsidP="00307017">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Pr>
          <w:rFonts w:ascii="Arial" w:eastAsia="Times New Roman" w:hAnsi="Arial" w:cs="Arial"/>
          <w:b/>
          <w:bCs/>
          <w:kern w:val="0"/>
          <w:highlight w:val="yellow"/>
          <w:lang w:eastAsia="ja-JP"/>
          <w14:ligatures w14:val="none"/>
        </w:rPr>
        <w:t xml:space="preserve">3.4.3 </w:t>
      </w:r>
      <w:r w:rsidRPr="00307017">
        <w:rPr>
          <w:rFonts w:ascii="Arial" w:eastAsia="Times New Roman" w:hAnsi="Arial" w:cs="Arial"/>
          <w:b/>
          <w:bCs/>
          <w:kern w:val="0"/>
          <w:highlight w:val="yellow"/>
          <w:lang w:eastAsia="ja-JP"/>
          <w14:ligatures w14:val="none"/>
        </w:rPr>
        <w:t>Reliability Summary</w:t>
      </w:r>
    </w:p>
    <w:p w14:paraId="0A1FBE76" w14:textId="5E98579B" w:rsidR="00307017" w:rsidRPr="00307017" w:rsidRDefault="00307017" w:rsidP="00307017">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307017">
        <w:rPr>
          <w:rFonts w:ascii="Arial" w:eastAsia="Times New Roman" w:hAnsi="Arial" w:cs="Arial"/>
          <w:b/>
          <w:bCs/>
          <w:kern w:val="0"/>
          <w:highlight w:val="yellow"/>
          <w:lang w:eastAsia="ja-JP"/>
          <w14:ligatures w14:val="none"/>
        </w:rPr>
        <w:t xml:space="preserve">As shown in Table </w:t>
      </w:r>
      <w:r w:rsidR="00B719A5">
        <w:rPr>
          <w:rFonts w:ascii="Arial" w:eastAsia="Times New Roman" w:hAnsi="Arial" w:cs="Arial"/>
          <w:b/>
          <w:bCs/>
          <w:kern w:val="0"/>
          <w:highlight w:val="yellow"/>
          <w:lang w:eastAsia="ja-JP"/>
          <w14:ligatures w14:val="none"/>
        </w:rPr>
        <w:t>4</w:t>
      </w:r>
      <w:r w:rsidRPr="00307017">
        <w:rPr>
          <w:rFonts w:ascii="Arial" w:eastAsia="Times New Roman" w:hAnsi="Arial" w:cs="Arial"/>
          <w:b/>
          <w:bCs/>
          <w:kern w:val="0"/>
          <w:highlight w:val="yellow"/>
          <w:lang w:eastAsia="ja-JP"/>
          <w14:ligatures w14:val="none"/>
        </w:rPr>
        <w:t>, all constructs meet the threshold criteria:</w:t>
      </w:r>
    </w:p>
    <w:p w14:paraId="7EDA7C6C" w14:textId="77777777" w:rsidR="00307017" w:rsidRPr="00307017" w:rsidRDefault="00307017" w:rsidP="00307017">
      <w:pPr>
        <w:numPr>
          <w:ilvl w:val="0"/>
          <w:numId w:val="20"/>
        </w:num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307017">
        <w:rPr>
          <w:rFonts w:ascii="Arial" w:eastAsia="Times New Roman" w:hAnsi="Arial" w:cs="Arial"/>
          <w:b/>
          <w:bCs/>
          <w:kern w:val="0"/>
          <w:highlight w:val="yellow"/>
          <w:lang w:eastAsia="ja-JP"/>
          <w14:ligatures w14:val="none"/>
        </w:rPr>
        <w:t>Cronbach’s Alpha &gt; 0.80</w:t>
      </w:r>
    </w:p>
    <w:p w14:paraId="1EE426FC" w14:textId="77777777" w:rsidR="00307017" w:rsidRPr="00307017" w:rsidRDefault="00307017" w:rsidP="00307017">
      <w:pPr>
        <w:numPr>
          <w:ilvl w:val="0"/>
          <w:numId w:val="20"/>
        </w:num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307017">
        <w:rPr>
          <w:rFonts w:ascii="Arial" w:eastAsia="Times New Roman" w:hAnsi="Arial" w:cs="Arial"/>
          <w:b/>
          <w:bCs/>
          <w:kern w:val="0"/>
          <w:highlight w:val="yellow"/>
          <w:lang w:eastAsia="ja-JP"/>
          <w14:ligatures w14:val="none"/>
        </w:rPr>
        <w:t>Composite Reliability &gt; 0.85</w:t>
      </w:r>
    </w:p>
    <w:p w14:paraId="31B84CD1" w14:textId="77777777" w:rsidR="00307017" w:rsidRPr="00307017" w:rsidRDefault="00307017" w:rsidP="00307017">
      <w:pPr>
        <w:numPr>
          <w:ilvl w:val="0"/>
          <w:numId w:val="20"/>
        </w:num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307017">
        <w:rPr>
          <w:rFonts w:ascii="Arial" w:eastAsia="Times New Roman" w:hAnsi="Arial" w:cs="Arial"/>
          <w:b/>
          <w:bCs/>
          <w:kern w:val="0"/>
          <w:highlight w:val="yellow"/>
          <w:lang w:eastAsia="ja-JP"/>
          <w14:ligatures w14:val="none"/>
        </w:rPr>
        <w:t>AVE &gt; 0.50</w:t>
      </w:r>
    </w:p>
    <w:p w14:paraId="0667BB68" w14:textId="77777777" w:rsidR="00307017" w:rsidRPr="00307017" w:rsidRDefault="00307017" w:rsidP="00307017">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307017">
        <w:rPr>
          <w:rFonts w:ascii="Arial" w:eastAsia="Times New Roman" w:hAnsi="Arial" w:cs="Arial"/>
          <w:b/>
          <w:bCs/>
          <w:kern w:val="0"/>
          <w:highlight w:val="yellow"/>
          <w:lang w:eastAsia="ja-JP"/>
          <w14:ligatures w14:val="none"/>
        </w:rPr>
        <w:t>This confirms that each latent variable is measured reliably, justifying progression to inner model analysis.</w:t>
      </w:r>
    </w:p>
    <w:p w14:paraId="484D148D" w14:textId="548D3136" w:rsidR="00A65193" w:rsidRPr="009B476C" w:rsidRDefault="00A65193" w:rsidP="00F867A8">
      <w:pPr>
        <w:spacing w:before="100" w:beforeAutospacing="1" w:after="100" w:afterAutospacing="1" w:line="240" w:lineRule="auto"/>
        <w:jc w:val="both"/>
        <w:rPr>
          <w:rFonts w:ascii="Arial" w:eastAsia="Times New Roman" w:hAnsi="Arial" w:cs="Arial"/>
          <w:kern w:val="0"/>
          <w:highlight w:val="yellow"/>
          <w:lang w:eastAsia="ja-JP"/>
          <w14:ligatures w14:val="none"/>
        </w:rPr>
      </w:pPr>
    </w:p>
    <w:p w14:paraId="7860FC62" w14:textId="786D5CF1" w:rsidR="00ED5D14" w:rsidRPr="009B476C" w:rsidRDefault="00ED5D14" w:rsidP="00ED5D14">
      <w:pPr>
        <w:spacing w:before="100" w:beforeAutospacing="1" w:after="100" w:afterAutospacing="1" w:line="240" w:lineRule="auto"/>
        <w:jc w:val="center"/>
        <w:rPr>
          <w:rFonts w:ascii="Arial" w:hAnsi="Arial" w:cs="Arial"/>
          <w:kern w:val="0"/>
          <w:highlight w:val="yellow"/>
          <w:lang w:val="id-ID" w:eastAsia="ja-JP"/>
          <w14:ligatures w14:val="none"/>
        </w:rPr>
      </w:pPr>
      <w:r w:rsidRPr="009B476C">
        <w:rPr>
          <w:rFonts w:ascii="Arial" w:hAnsi="Arial" w:cs="Arial"/>
          <w:b/>
          <w:bCs/>
          <w:highlight w:val="yellow"/>
        </w:rPr>
        <w:t xml:space="preserve">Table </w:t>
      </w:r>
      <w:r w:rsidR="00B719A5">
        <w:rPr>
          <w:rFonts w:ascii="Arial" w:hAnsi="Arial" w:cs="Arial"/>
          <w:b/>
          <w:bCs/>
          <w:highlight w:val="yellow"/>
        </w:rPr>
        <w:t>3</w:t>
      </w:r>
      <w:r w:rsidR="006F3F7F" w:rsidRPr="009B476C">
        <w:rPr>
          <w:rFonts w:ascii="Arial" w:hAnsi="Arial" w:cs="Arial"/>
          <w:b/>
          <w:bCs/>
          <w:highlight w:val="yellow"/>
        </w:rPr>
        <w:t>.</w:t>
      </w:r>
      <w:r w:rsidRPr="009B476C">
        <w:rPr>
          <w:rFonts w:ascii="Arial" w:hAnsi="Arial" w:cs="Arial"/>
          <w:b/>
          <w:bCs/>
          <w:highlight w:val="yellow"/>
        </w:rPr>
        <w:t xml:space="preserve"> </w:t>
      </w:r>
      <w:r w:rsidRPr="009B476C">
        <w:rPr>
          <w:rFonts w:ascii="Arial" w:hAnsi="Arial" w:cs="Arial"/>
          <w:highlight w:val="yellow"/>
        </w:rPr>
        <w:t>Instrument Validity Test Results Using Cross Loading</w:t>
      </w:r>
    </w:p>
    <w:tbl>
      <w:tblPr>
        <w:tblStyle w:val="TableGrid"/>
        <w:tblW w:w="0" w:type="auto"/>
        <w:jc w:val="center"/>
        <w:tblLayout w:type="fixed"/>
        <w:tblLook w:val="04A0" w:firstRow="1" w:lastRow="0" w:firstColumn="1" w:lastColumn="0" w:noHBand="0" w:noVBand="1"/>
      </w:tblPr>
      <w:tblGrid>
        <w:gridCol w:w="1177"/>
        <w:gridCol w:w="1440"/>
        <w:gridCol w:w="1440"/>
        <w:gridCol w:w="1440"/>
        <w:gridCol w:w="1440"/>
        <w:gridCol w:w="1440"/>
      </w:tblGrid>
      <w:tr w:rsidR="007D2F5E" w:rsidRPr="009B476C" w14:paraId="63F043ED" w14:textId="77777777" w:rsidTr="007D2F5E">
        <w:trPr>
          <w:jc w:val="center"/>
        </w:trPr>
        <w:tc>
          <w:tcPr>
            <w:tcW w:w="1177" w:type="dxa"/>
            <w:hideMark/>
          </w:tcPr>
          <w:p w14:paraId="1D546D0C"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Indicator</w:t>
            </w:r>
          </w:p>
        </w:tc>
        <w:tc>
          <w:tcPr>
            <w:tcW w:w="1440" w:type="dxa"/>
            <w:hideMark/>
          </w:tcPr>
          <w:p w14:paraId="4AE81696"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X3</w:t>
            </w:r>
          </w:p>
        </w:tc>
        <w:tc>
          <w:tcPr>
            <w:tcW w:w="1440" w:type="dxa"/>
            <w:hideMark/>
          </w:tcPr>
          <w:p w14:paraId="44B75F4B"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X2</w:t>
            </w:r>
          </w:p>
        </w:tc>
        <w:tc>
          <w:tcPr>
            <w:tcW w:w="1440" w:type="dxa"/>
            <w:hideMark/>
          </w:tcPr>
          <w:p w14:paraId="49CFA22D"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X1</w:t>
            </w:r>
          </w:p>
        </w:tc>
        <w:tc>
          <w:tcPr>
            <w:tcW w:w="1440" w:type="dxa"/>
            <w:hideMark/>
          </w:tcPr>
          <w:p w14:paraId="3D8D81B3"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Y</w:t>
            </w:r>
          </w:p>
        </w:tc>
        <w:tc>
          <w:tcPr>
            <w:tcW w:w="1440" w:type="dxa"/>
            <w:hideMark/>
          </w:tcPr>
          <w:p w14:paraId="78B57256"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Z</w:t>
            </w:r>
          </w:p>
        </w:tc>
      </w:tr>
      <w:tr w:rsidR="007D2F5E" w:rsidRPr="009B476C" w14:paraId="72C5EC85" w14:textId="77777777" w:rsidTr="007D2F5E">
        <w:trPr>
          <w:jc w:val="center"/>
        </w:trPr>
        <w:tc>
          <w:tcPr>
            <w:tcW w:w="1177" w:type="dxa"/>
            <w:hideMark/>
          </w:tcPr>
          <w:p w14:paraId="136AD08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X1.1</w:t>
            </w:r>
          </w:p>
        </w:tc>
        <w:tc>
          <w:tcPr>
            <w:tcW w:w="1440" w:type="dxa"/>
            <w:hideMark/>
          </w:tcPr>
          <w:p w14:paraId="03CDFD4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0.717</w:t>
            </w:r>
          </w:p>
        </w:tc>
        <w:tc>
          <w:tcPr>
            <w:tcW w:w="1440" w:type="dxa"/>
            <w:hideMark/>
          </w:tcPr>
          <w:p w14:paraId="107A051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0.789</w:t>
            </w:r>
          </w:p>
        </w:tc>
        <w:tc>
          <w:tcPr>
            <w:tcW w:w="1440" w:type="dxa"/>
            <w:hideMark/>
          </w:tcPr>
          <w:p w14:paraId="34218EE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0.852</w:t>
            </w:r>
          </w:p>
        </w:tc>
        <w:tc>
          <w:tcPr>
            <w:tcW w:w="1440" w:type="dxa"/>
            <w:hideMark/>
          </w:tcPr>
          <w:p w14:paraId="06742E6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0.754</w:t>
            </w:r>
          </w:p>
        </w:tc>
        <w:tc>
          <w:tcPr>
            <w:tcW w:w="1440" w:type="dxa"/>
            <w:hideMark/>
          </w:tcPr>
          <w:p w14:paraId="3225E4C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0.781</w:t>
            </w:r>
          </w:p>
        </w:tc>
      </w:tr>
      <w:tr w:rsidR="007D2F5E" w:rsidRPr="009B476C" w14:paraId="586BC584" w14:textId="77777777" w:rsidTr="007D2F5E">
        <w:trPr>
          <w:jc w:val="center"/>
        </w:trPr>
        <w:tc>
          <w:tcPr>
            <w:tcW w:w="1177" w:type="dxa"/>
            <w:hideMark/>
          </w:tcPr>
          <w:p w14:paraId="2E0FA8C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X1.2</w:t>
            </w:r>
          </w:p>
        </w:tc>
        <w:tc>
          <w:tcPr>
            <w:tcW w:w="1440" w:type="dxa"/>
            <w:hideMark/>
          </w:tcPr>
          <w:p w14:paraId="29CB64F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0.871</w:t>
            </w:r>
          </w:p>
        </w:tc>
        <w:tc>
          <w:tcPr>
            <w:tcW w:w="1440" w:type="dxa"/>
            <w:hideMark/>
          </w:tcPr>
          <w:p w14:paraId="7AED1CD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0.789</w:t>
            </w:r>
          </w:p>
        </w:tc>
        <w:tc>
          <w:tcPr>
            <w:tcW w:w="1440" w:type="dxa"/>
            <w:hideMark/>
          </w:tcPr>
          <w:p w14:paraId="7577438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0.750</w:t>
            </w:r>
          </w:p>
        </w:tc>
        <w:tc>
          <w:tcPr>
            <w:tcW w:w="1440" w:type="dxa"/>
            <w:hideMark/>
          </w:tcPr>
          <w:p w14:paraId="7B66AED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0.842</w:t>
            </w:r>
          </w:p>
        </w:tc>
        <w:tc>
          <w:tcPr>
            <w:tcW w:w="1440" w:type="dxa"/>
            <w:hideMark/>
          </w:tcPr>
          <w:p w14:paraId="2D4F5B3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0.865</w:t>
            </w:r>
          </w:p>
        </w:tc>
      </w:tr>
      <w:tr w:rsidR="007D2F5E" w:rsidRPr="009B476C" w14:paraId="3A65D5C4" w14:textId="77777777" w:rsidTr="007D2F5E">
        <w:trPr>
          <w:jc w:val="center"/>
        </w:trPr>
        <w:tc>
          <w:tcPr>
            <w:tcW w:w="1177" w:type="dxa"/>
            <w:hideMark/>
          </w:tcPr>
          <w:p w14:paraId="3985460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X1.3</w:t>
            </w:r>
          </w:p>
        </w:tc>
        <w:tc>
          <w:tcPr>
            <w:tcW w:w="1440" w:type="dxa"/>
            <w:hideMark/>
          </w:tcPr>
          <w:p w14:paraId="48DD262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0.775</w:t>
            </w:r>
          </w:p>
        </w:tc>
        <w:tc>
          <w:tcPr>
            <w:tcW w:w="1440" w:type="dxa"/>
            <w:hideMark/>
          </w:tcPr>
          <w:p w14:paraId="670E9B2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0.895</w:t>
            </w:r>
          </w:p>
        </w:tc>
        <w:tc>
          <w:tcPr>
            <w:tcW w:w="1440" w:type="dxa"/>
            <w:hideMark/>
          </w:tcPr>
          <w:p w14:paraId="366355A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0.740</w:t>
            </w:r>
          </w:p>
        </w:tc>
        <w:tc>
          <w:tcPr>
            <w:tcW w:w="1440" w:type="dxa"/>
            <w:hideMark/>
          </w:tcPr>
          <w:p w14:paraId="1BDAA94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0.820</w:t>
            </w:r>
          </w:p>
        </w:tc>
        <w:tc>
          <w:tcPr>
            <w:tcW w:w="1440" w:type="dxa"/>
            <w:hideMark/>
          </w:tcPr>
          <w:p w14:paraId="2E9C39E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0.868</w:t>
            </w:r>
          </w:p>
        </w:tc>
      </w:tr>
      <w:tr w:rsidR="007D2F5E" w:rsidRPr="009B476C" w14:paraId="350A7B99" w14:textId="77777777" w:rsidTr="007D2F5E">
        <w:trPr>
          <w:jc w:val="center"/>
        </w:trPr>
        <w:tc>
          <w:tcPr>
            <w:tcW w:w="1177" w:type="dxa"/>
            <w:hideMark/>
          </w:tcPr>
          <w:p w14:paraId="6FC6964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X1.4</w:t>
            </w:r>
          </w:p>
        </w:tc>
        <w:tc>
          <w:tcPr>
            <w:tcW w:w="1440" w:type="dxa"/>
            <w:hideMark/>
          </w:tcPr>
          <w:p w14:paraId="3080B02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0.738</w:t>
            </w:r>
          </w:p>
        </w:tc>
        <w:tc>
          <w:tcPr>
            <w:tcW w:w="1440" w:type="dxa"/>
            <w:hideMark/>
          </w:tcPr>
          <w:p w14:paraId="53F1EFF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0.759</w:t>
            </w:r>
          </w:p>
        </w:tc>
        <w:tc>
          <w:tcPr>
            <w:tcW w:w="1440" w:type="dxa"/>
            <w:hideMark/>
          </w:tcPr>
          <w:p w14:paraId="03902BA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0.726</w:t>
            </w:r>
          </w:p>
        </w:tc>
        <w:tc>
          <w:tcPr>
            <w:tcW w:w="1440" w:type="dxa"/>
            <w:hideMark/>
          </w:tcPr>
          <w:p w14:paraId="4CE86E3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0.845</w:t>
            </w:r>
          </w:p>
        </w:tc>
        <w:tc>
          <w:tcPr>
            <w:tcW w:w="1440" w:type="dxa"/>
            <w:hideMark/>
          </w:tcPr>
          <w:p w14:paraId="0BD993D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0.822</w:t>
            </w:r>
          </w:p>
        </w:tc>
      </w:tr>
      <w:tr w:rsidR="007D2F5E" w:rsidRPr="009B476C" w14:paraId="0C56B163" w14:textId="77777777" w:rsidTr="007D2F5E">
        <w:trPr>
          <w:jc w:val="center"/>
        </w:trPr>
        <w:tc>
          <w:tcPr>
            <w:tcW w:w="1177" w:type="dxa"/>
            <w:hideMark/>
          </w:tcPr>
          <w:p w14:paraId="6E346F2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X2.1</w:t>
            </w:r>
          </w:p>
        </w:tc>
        <w:tc>
          <w:tcPr>
            <w:tcW w:w="1440" w:type="dxa"/>
            <w:hideMark/>
          </w:tcPr>
          <w:p w14:paraId="6C990B7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0.720</w:t>
            </w:r>
          </w:p>
        </w:tc>
        <w:tc>
          <w:tcPr>
            <w:tcW w:w="1440" w:type="dxa"/>
            <w:hideMark/>
          </w:tcPr>
          <w:p w14:paraId="4659245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0.828</w:t>
            </w:r>
          </w:p>
        </w:tc>
        <w:tc>
          <w:tcPr>
            <w:tcW w:w="1440" w:type="dxa"/>
            <w:hideMark/>
          </w:tcPr>
          <w:p w14:paraId="64D467F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0.723</w:t>
            </w:r>
          </w:p>
        </w:tc>
        <w:tc>
          <w:tcPr>
            <w:tcW w:w="1440" w:type="dxa"/>
            <w:hideMark/>
          </w:tcPr>
          <w:p w14:paraId="43A61FD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0.768</w:t>
            </w:r>
          </w:p>
        </w:tc>
        <w:tc>
          <w:tcPr>
            <w:tcW w:w="1440" w:type="dxa"/>
            <w:hideMark/>
          </w:tcPr>
          <w:p w14:paraId="5720472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0.750</w:t>
            </w:r>
          </w:p>
        </w:tc>
      </w:tr>
      <w:tr w:rsidR="007D2F5E" w:rsidRPr="009B476C" w14:paraId="546935D1" w14:textId="77777777" w:rsidTr="007D2F5E">
        <w:trPr>
          <w:jc w:val="center"/>
        </w:trPr>
        <w:tc>
          <w:tcPr>
            <w:tcW w:w="1177" w:type="dxa"/>
            <w:hideMark/>
          </w:tcPr>
          <w:p w14:paraId="74DFCCF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X2.2</w:t>
            </w:r>
          </w:p>
        </w:tc>
        <w:tc>
          <w:tcPr>
            <w:tcW w:w="1440" w:type="dxa"/>
            <w:hideMark/>
          </w:tcPr>
          <w:p w14:paraId="48C84F0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0.726</w:t>
            </w:r>
          </w:p>
        </w:tc>
        <w:tc>
          <w:tcPr>
            <w:tcW w:w="1440" w:type="dxa"/>
            <w:hideMark/>
          </w:tcPr>
          <w:p w14:paraId="478C3A5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0.896</w:t>
            </w:r>
          </w:p>
        </w:tc>
        <w:tc>
          <w:tcPr>
            <w:tcW w:w="1440" w:type="dxa"/>
            <w:hideMark/>
          </w:tcPr>
          <w:p w14:paraId="69A83A4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0.708</w:t>
            </w:r>
          </w:p>
        </w:tc>
        <w:tc>
          <w:tcPr>
            <w:tcW w:w="1440" w:type="dxa"/>
            <w:hideMark/>
          </w:tcPr>
          <w:p w14:paraId="75CFD77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0.754</w:t>
            </w:r>
          </w:p>
        </w:tc>
        <w:tc>
          <w:tcPr>
            <w:tcW w:w="1440" w:type="dxa"/>
            <w:hideMark/>
          </w:tcPr>
          <w:p w14:paraId="4189896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0.779</w:t>
            </w:r>
          </w:p>
        </w:tc>
      </w:tr>
      <w:tr w:rsidR="007D2F5E" w:rsidRPr="009B476C" w14:paraId="35495E4B" w14:textId="77777777" w:rsidTr="007D2F5E">
        <w:trPr>
          <w:jc w:val="center"/>
        </w:trPr>
        <w:tc>
          <w:tcPr>
            <w:tcW w:w="1177" w:type="dxa"/>
            <w:hideMark/>
          </w:tcPr>
          <w:p w14:paraId="6342875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X2.3</w:t>
            </w:r>
          </w:p>
        </w:tc>
        <w:tc>
          <w:tcPr>
            <w:tcW w:w="1440" w:type="dxa"/>
            <w:hideMark/>
          </w:tcPr>
          <w:p w14:paraId="0A4FDEF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0.879</w:t>
            </w:r>
          </w:p>
        </w:tc>
        <w:tc>
          <w:tcPr>
            <w:tcW w:w="1440" w:type="dxa"/>
            <w:hideMark/>
          </w:tcPr>
          <w:p w14:paraId="35297DF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0.801</w:t>
            </w:r>
          </w:p>
        </w:tc>
        <w:tc>
          <w:tcPr>
            <w:tcW w:w="1440" w:type="dxa"/>
            <w:hideMark/>
          </w:tcPr>
          <w:p w14:paraId="13D1B36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0.848</w:t>
            </w:r>
          </w:p>
        </w:tc>
        <w:tc>
          <w:tcPr>
            <w:tcW w:w="1440" w:type="dxa"/>
            <w:hideMark/>
          </w:tcPr>
          <w:p w14:paraId="6EDC9EB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0.841</w:t>
            </w:r>
          </w:p>
        </w:tc>
        <w:tc>
          <w:tcPr>
            <w:tcW w:w="1440" w:type="dxa"/>
            <w:hideMark/>
          </w:tcPr>
          <w:p w14:paraId="20C15E3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0.863</w:t>
            </w:r>
          </w:p>
        </w:tc>
      </w:tr>
      <w:tr w:rsidR="007D2F5E" w:rsidRPr="009B476C" w14:paraId="68AFA794" w14:textId="77777777" w:rsidTr="007D2F5E">
        <w:trPr>
          <w:jc w:val="center"/>
        </w:trPr>
        <w:tc>
          <w:tcPr>
            <w:tcW w:w="1177" w:type="dxa"/>
            <w:hideMark/>
          </w:tcPr>
          <w:p w14:paraId="5AB3410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X2.4</w:t>
            </w:r>
          </w:p>
        </w:tc>
        <w:tc>
          <w:tcPr>
            <w:tcW w:w="1440" w:type="dxa"/>
            <w:hideMark/>
          </w:tcPr>
          <w:p w14:paraId="29D39FD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0.852</w:t>
            </w:r>
          </w:p>
        </w:tc>
        <w:tc>
          <w:tcPr>
            <w:tcW w:w="1440" w:type="dxa"/>
            <w:hideMark/>
          </w:tcPr>
          <w:p w14:paraId="36A6AD5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0.812</w:t>
            </w:r>
          </w:p>
        </w:tc>
        <w:tc>
          <w:tcPr>
            <w:tcW w:w="1440" w:type="dxa"/>
            <w:hideMark/>
          </w:tcPr>
          <w:p w14:paraId="335537C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0.799</w:t>
            </w:r>
          </w:p>
        </w:tc>
        <w:tc>
          <w:tcPr>
            <w:tcW w:w="1440" w:type="dxa"/>
            <w:hideMark/>
          </w:tcPr>
          <w:p w14:paraId="67499E3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0.841</w:t>
            </w:r>
          </w:p>
        </w:tc>
        <w:tc>
          <w:tcPr>
            <w:tcW w:w="1440" w:type="dxa"/>
            <w:hideMark/>
          </w:tcPr>
          <w:p w14:paraId="0E47846B"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0.881</w:t>
            </w:r>
          </w:p>
        </w:tc>
      </w:tr>
      <w:tr w:rsidR="007D2F5E" w:rsidRPr="009B476C" w14:paraId="471B13B4" w14:textId="77777777" w:rsidTr="007D2F5E">
        <w:trPr>
          <w:jc w:val="center"/>
        </w:trPr>
        <w:tc>
          <w:tcPr>
            <w:tcW w:w="1177" w:type="dxa"/>
            <w:hideMark/>
          </w:tcPr>
          <w:p w14:paraId="35BCC72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X3.1</w:t>
            </w:r>
          </w:p>
        </w:tc>
        <w:tc>
          <w:tcPr>
            <w:tcW w:w="1440" w:type="dxa"/>
            <w:hideMark/>
          </w:tcPr>
          <w:p w14:paraId="2630528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0.742</w:t>
            </w:r>
          </w:p>
        </w:tc>
        <w:tc>
          <w:tcPr>
            <w:tcW w:w="1440" w:type="dxa"/>
            <w:hideMark/>
          </w:tcPr>
          <w:p w14:paraId="26DB8D9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0.798</w:t>
            </w:r>
          </w:p>
        </w:tc>
        <w:tc>
          <w:tcPr>
            <w:tcW w:w="1440" w:type="dxa"/>
            <w:hideMark/>
          </w:tcPr>
          <w:p w14:paraId="4FD4A82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0.823</w:t>
            </w:r>
          </w:p>
        </w:tc>
        <w:tc>
          <w:tcPr>
            <w:tcW w:w="1440" w:type="dxa"/>
            <w:hideMark/>
          </w:tcPr>
          <w:p w14:paraId="2C44FF5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0.843</w:t>
            </w:r>
          </w:p>
        </w:tc>
        <w:tc>
          <w:tcPr>
            <w:tcW w:w="1440" w:type="dxa"/>
            <w:hideMark/>
          </w:tcPr>
          <w:p w14:paraId="6E04BED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0.871</w:t>
            </w:r>
          </w:p>
        </w:tc>
      </w:tr>
      <w:tr w:rsidR="007D2F5E" w:rsidRPr="009B476C" w14:paraId="2D8BDEC7" w14:textId="77777777" w:rsidTr="007D2F5E">
        <w:trPr>
          <w:jc w:val="center"/>
        </w:trPr>
        <w:tc>
          <w:tcPr>
            <w:tcW w:w="1177" w:type="dxa"/>
            <w:hideMark/>
          </w:tcPr>
          <w:p w14:paraId="74CFBE1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X3.2</w:t>
            </w:r>
          </w:p>
        </w:tc>
        <w:tc>
          <w:tcPr>
            <w:tcW w:w="1440" w:type="dxa"/>
            <w:hideMark/>
          </w:tcPr>
          <w:p w14:paraId="60BDB46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0.821</w:t>
            </w:r>
          </w:p>
        </w:tc>
        <w:tc>
          <w:tcPr>
            <w:tcW w:w="1440" w:type="dxa"/>
            <w:hideMark/>
          </w:tcPr>
          <w:p w14:paraId="68BDD6A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0.869</w:t>
            </w:r>
          </w:p>
        </w:tc>
        <w:tc>
          <w:tcPr>
            <w:tcW w:w="1440" w:type="dxa"/>
            <w:hideMark/>
          </w:tcPr>
          <w:p w14:paraId="55E1010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0.857</w:t>
            </w:r>
          </w:p>
        </w:tc>
        <w:tc>
          <w:tcPr>
            <w:tcW w:w="1440" w:type="dxa"/>
            <w:hideMark/>
          </w:tcPr>
          <w:p w14:paraId="33F1A8D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0.883</w:t>
            </w:r>
          </w:p>
        </w:tc>
        <w:tc>
          <w:tcPr>
            <w:tcW w:w="1440" w:type="dxa"/>
            <w:hideMark/>
          </w:tcPr>
          <w:p w14:paraId="58E6E92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0.769</w:t>
            </w:r>
          </w:p>
        </w:tc>
      </w:tr>
      <w:tr w:rsidR="007D2F5E" w:rsidRPr="009B476C" w14:paraId="342BE74F" w14:textId="77777777" w:rsidTr="007D2F5E">
        <w:trPr>
          <w:jc w:val="center"/>
        </w:trPr>
        <w:tc>
          <w:tcPr>
            <w:tcW w:w="1177" w:type="dxa"/>
            <w:hideMark/>
          </w:tcPr>
          <w:p w14:paraId="69EE4F0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X3.3</w:t>
            </w:r>
          </w:p>
        </w:tc>
        <w:tc>
          <w:tcPr>
            <w:tcW w:w="1440" w:type="dxa"/>
            <w:hideMark/>
          </w:tcPr>
          <w:p w14:paraId="765BD95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0.903</w:t>
            </w:r>
          </w:p>
        </w:tc>
        <w:tc>
          <w:tcPr>
            <w:tcW w:w="1440" w:type="dxa"/>
            <w:hideMark/>
          </w:tcPr>
          <w:p w14:paraId="3CAD2E0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0.731</w:t>
            </w:r>
          </w:p>
        </w:tc>
        <w:tc>
          <w:tcPr>
            <w:tcW w:w="1440" w:type="dxa"/>
            <w:hideMark/>
          </w:tcPr>
          <w:p w14:paraId="5ACC8DF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0.705</w:t>
            </w:r>
          </w:p>
        </w:tc>
        <w:tc>
          <w:tcPr>
            <w:tcW w:w="1440" w:type="dxa"/>
            <w:hideMark/>
          </w:tcPr>
          <w:p w14:paraId="746E8C5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0.800</w:t>
            </w:r>
          </w:p>
        </w:tc>
        <w:tc>
          <w:tcPr>
            <w:tcW w:w="1440" w:type="dxa"/>
            <w:hideMark/>
          </w:tcPr>
          <w:p w14:paraId="500A3F5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0.802</w:t>
            </w:r>
          </w:p>
        </w:tc>
      </w:tr>
      <w:tr w:rsidR="007D2F5E" w:rsidRPr="009B476C" w14:paraId="41800DC2" w14:textId="77777777" w:rsidTr="007D2F5E">
        <w:trPr>
          <w:jc w:val="center"/>
        </w:trPr>
        <w:tc>
          <w:tcPr>
            <w:tcW w:w="1177" w:type="dxa"/>
            <w:hideMark/>
          </w:tcPr>
          <w:p w14:paraId="1355963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Y1</w:t>
            </w:r>
          </w:p>
        </w:tc>
        <w:tc>
          <w:tcPr>
            <w:tcW w:w="1440" w:type="dxa"/>
            <w:hideMark/>
          </w:tcPr>
          <w:p w14:paraId="5570B7F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0.837</w:t>
            </w:r>
          </w:p>
        </w:tc>
        <w:tc>
          <w:tcPr>
            <w:tcW w:w="1440" w:type="dxa"/>
            <w:hideMark/>
          </w:tcPr>
          <w:p w14:paraId="604F2FF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0.873</w:t>
            </w:r>
          </w:p>
        </w:tc>
        <w:tc>
          <w:tcPr>
            <w:tcW w:w="1440" w:type="dxa"/>
            <w:hideMark/>
          </w:tcPr>
          <w:p w14:paraId="58F0D6E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0.850</w:t>
            </w:r>
          </w:p>
        </w:tc>
        <w:tc>
          <w:tcPr>
            <w:tcW w:w="1440" w:type="dxa"/>
            <w:hideMark/>
          </w:tcPr>
          <w:p w14:paraId="2A71152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0.751</w:t>
            </w:r>
          </w:p>
        </w:tc>
        <w:tc>
          <w:tcPr>
            <w:tcW w:w="1440" w:type="dxa"/>
            <w:hideMark/>
          </w:tcPr>
          <w:p w14:paraId="4F45BD6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0.753</w:t>
            </w:r>
          </w:p>
        </w:tc>
      </w:tr>
      <w:tr w:rsidR="007D2F5E" w:rsidRPr="009B476C" w14:paraId="03AA519A" w14:textId="77777777" w:rsidTr="007D2F5E">
        <w:trPr>
          <w:jc w:val="center"/>
        </w:trPr>
        <w:tc>
          <w:tcPr>
            <w:tcW w:w="1177" w:type="dxa"/>
            <w:hideMark/>
          </w:tcPr>
          <w:p w14:paraId="689C902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Y2</w:t>
            </w:r>
          </w:p>
        </w:tc>
        <w:tc>
          <w:tcPr>
            <w:tcW w:w="1440" w:type="dxa"/>
            <w:hideMark/>
          </w:tcPr>
          <w:p w14:paraId="59544A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0.710</w:t>
            </w:r>
          </w:p>
        </w:tc>
        <w:tc>
          <w:tcPr>
            <w:tcW w:w="1440" w:type="dxa"/>
            <w:hideMark/>
          </w:tcPr>
          <w:p w14:paraId="11BD814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0.827</w:t>
            </w:r>
          </w:p>
        </w:tc>
        <w:tc>
          <w:tcPr>
            <w:tcW w:w="1440" w:type="dxa"/>
            <w:hideMark/>
          </w:tcPr>
          <w:p w14:paraId="2E16650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0.767</w:t>
            </w:r>
          </w:p>
        </w:tc>
        <w:tc>
          <w:tcPr>
            <w:tcW w:w="1440" w:type="dxa"/>
            <w:hideMark/>
          </w:tcPr>
          <w:p w14:paraId="2C2D9EC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0.776</w:t>
            </w:r>
          </w:p>
        </w:tc>
        <w:tc>
          <w:tcPr>
            <w:tcW w:w="1440" w:type="dxa"/>
            <w:hideMark/>
          </w:tcPr>
          <w:p w14:paraId="6D30C96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0.758</w:t>
            </w:r>
          </w:p>
        </w:tc>
      </w:tr>
      <w:tr w:rsidR="007D2F5E" w:rsidRPr="009B476C" w14:paraId="7FBEFE44" w14:textId="77777777" w:rsidTr="007D2F5E">
        <w:trPr>
          <w:jc w:val="center"/>
        </w:trPr>
        <w:tc>
          <w:tcPr>
            <w:tcW w:w="1177" w:type="dxa"/>
            <w:hideMark/>
          </w:tcPr>
          <w:p w14:paraId="38093FD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Y3</w:t>
            </w:r>
          </w:p>
        </w:tc>
        <w:tc>
          <w:tcPr>
            <w:tcW w:w="1440" w:type="dxa"/>
            <w:hideMark/>
          </w:tcPr>
          <w:p w14:paraId="55E1D13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0.847</w:t>
            </w:r>
          </w:p>
        </w:tc>
        <w:tc>
          <w:tcPr>
            <w:tcW w:w="1440" w:type="dxa"/>
            <w:hideMark/>
          </w:tcPr>
          <w:p w14:paraId="5325510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0.721</w:t>
            </w:r>
          </w:p>
        </w:tc>
        <w:tc>
          <w:tcPr>
            <w:tcW w:w="1440" w:type="dxa"/>
            <w:hideMark/>
          </w:tcPr>
          <w:p w14:paraId="59A3408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0.767</w:t>
            </w:r>
          </w:p>
        </w:tc>
        <w:tc>
          <w:tcPr>
            <w:tcW w:w="1440" w:type="dxa"/>
            <w:hideMark/>
          </w:tcPr>
          <w:p w14:paraId="66EF6EF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0.783</w:t>
            </w:r>
          </w:p>
        </w:tc>
        <w:tc>
          <w:tcPr>
            <w:tcW w:w="1440" w:type="dxa"/>
            <w:hideMark/>
          </w:tcPr>
          <w:p w14:paraId="0A8086C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0.816</w:t>
            </w:r>
          </w:p>
        </w:tc>
      </w:tr>
      <w:tr w:rsidR="007D2F5E" w:rsidRPr="009B476C" w14:paraId="6B60EC78" w14:textId="77777777" w:rsidTr="007D2F5E">
        <w:trPr>
          <w:jc w:val="center"/>
        </w:trPr>
        <w:tc>
          <w:tcPr>
            <w:tcW w:w="1177" w:type="dxa"/>
            <w:hideMark/>
          </w:tcPr>
          <w:p w14:paraId="5D2D7A9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Z1</w:t>
            </w:r>
          </w:p>
        </w:tc>
        <w:tc>
          <w:tcPr>
            <w:tcW w:w="1440" w:type="dxa"/>
            <w:hideMark/>
          </w:tcPr>
          <w:p w14:paraId="34C44D9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0.780</w:t>
            </w:r>
          </w:p>
        </w:tc>
        <w:tc>
          <w:tcPr>
            <w:tcW w:w="1440" w:type="dxa"/>
            <w:hideMark/>
          </w:tcPr>
          <w:p w14:paraId="69E275A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0.799</w:t>
            </w:r>
          </w:p>
        </w:tc>
        <w:tc>
          <w:tcPr>
            <w:tcW w:w="1440" w:type="dxa"/>
            <w:hideMark/>
          </w:tcPr>
          <w:p w14:paraId="2FC9281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0.883</w:t>
            </w:r>
          </w:p>
        </w:tc>
        <w:tc>
          <w:tcPr>
            <w:tcW w:w="1440" w:type="dxa"/>
            <w:hideMark/>
          </w:tcPr>
          <w:p w14:paraId="5312F32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0.738</w:t>
            </w:r>
          </w:p>
        </w:tc>
        <w:tc>
          <w:tcPr>
            <w:tcW w:w="1440" w:type="dxa"/>
            <w:hideMark/>
          </w:tcPr>
          <w:p w14:paraId="1908383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0.750</w:t>
            </w:r>
          </w:p>
        </w:tc>
      </w:tr>
      <w:tr w:rsidR="007D2F5E" w:rsidRPr="009B476C" w14:paraId="7701DD28" w14:textId="77777777" w:rsidTr="007D2F5E">
        <w:trPr>
          <w:jc w:val="center"/>
        </w:trPr>
        <w:tc>
          <w:tcPr>
            <w:tcW w:w="1177" w:type="dxa"/>
            <w:hideMark/>
          </w:tcPr>
          <w:p w14:paraId="005C9FA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Z2</w:t>
            </w:r>
          </w:p>
        </w:tc>
        <w:tc>
          <w:tcPr>
            <w:tcW w:w="1440" w:type="dxa"/>
            <w:hideMark/>
          </w:tcPr>
          <w:p w14:paraId="7C66487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0.702</w:t>
            </w:r>
          </w:p>
        </w:tc>
        <w:tc>
          <w:tcPr>
            <w:tcW w:w="1440" w:type="dxa"/>
            <w:hideMark/>
          </w:tcPr>
          <w:p w14:paraId="7AF8271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0.770</w:t>
            </w:r>
          </w:p>
        </w:tc>
        <w:tc>
          <w:tcPr>
            <w:tcW w:w="1440" w:type="dxa"/>
            <w:hideMark/>
          </w:tcPr>
          <w:p w14:paraId="1D01C99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0.782</w:t>
            </w:r>
          </w:p>
        </w:tc>
        <w:tc>
          <w:tcPr>
            <w:tcW w:w="1440" w:type="dxa"/>
            <w:hideMark/>
          </w:tcPr>
          <w:p w14:paraId="689EC2E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0.780</w:t>
            </w:r>
          </w:p>
        </w:tc>
        <w:tc>
          <w:tcPr>
            <w:tcW w:w="1440" w:type="dxa"/>
            <w:hideMark/>
          </w:tcPr>
          <w:p w14:paraId="2DA6E73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0.870</w:t>
            </w:r>
          </w:p>
        </w:tc>
      </w:tr>
      <w:tr w:rsidR="007D2F5E" w:rsidRPr="009B476C" w14:paraId="66EB30F6" w14:textId="77777777" w:rsidTr="007D2F5E">
        <w:trPr>
          <w:jc w:val="center"/>
        </w:trPr>
        <w:tc>
          <w:tcPr>
            <w:tcW w:w="1177" w:type="dxa"/>
            <w:hideMark/>
          </w:tcPr>
          <w:p w14:paraId="1D8E4B1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Z3</w:t>
            </w:r>
          </w:p>
        </w:tc>
        <w:tc>
          <w:tcPr>
            <w:tcW w:w="1440" w:type="dxa"/>
            <w:hideMark/>
          </w:tcPr>
          <w:p w14:paraId="76E4232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0.706</w:t>
            </w:r>
          </w:p>
        </w:tc>
        <w:tc>
          <w:tcPr>
            <w:tcW w:w="1440" w:type="dxa"/>
            <w:hideMark/>
          </w:tcPr>
          <w:p w14:paraId="2925489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0.854</w:t>
            </w:r>
          </w:p>
        </w:tc>
        <w:tc>
          <w:tcPr>
            <w:tcW w:w="1440" w:type="dxa"/>
            <w:hideMark/>
          </w:tcPr>
          <w:p w14:paraId="165D9B8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0.825</w:t>
            </w:r>
          </w:p>
        </w:tc>
        <w:tc>
          <w:tcPr>
            <w:tcW w:w="1440" w:type="dxa"/>
            <w:hideMark/>
          </w:tcPr>
          <w:p w14:paraId="20251E8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0.770</w:t>
            </w:r>
          </w:p>
        </w:tc>
        <w:tc>
          <w:tcPr>
            <w:tcW w:w="1440" w:type="dxa"/>
            <w:hideMark/>
          </w:tcPr>
          <w:p w14:paraId="4B11049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0.711</w:t>
            </w:r>
          </w:p>
        </w:tc>
      </w:tr>
      <w:tr w:rsidR="007D2F5E" w:rsidRPr="009B476C" w14:paraId="6D28CE25" w14:textId="77777777" w:rsidTr="007D2F5E">
        <w:trPr>
          <w:jc w:val="center"/>
        </w:trPr>
        <w:tc>
          <w:tcPr>
            <w:tcW w:w="1177" w:type="dxa"/>
            <w:hideMark/>
          </w:tcPr>
          <w:p w14:paraId="67C2281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Z4</w:t>
            </w:r>
          </w:p>
        </w:tc>
        <w:tc>
          <w:tcPr>
            <w:tcW w:w="1440" w:type="dxa"/>
            <w:hideMark/>
          </w:tcPr>
          <w:p w14:paraId="1E896C60"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0.781</w:t>
            </w:r>
          </w:p>
        </w:tc>
        <w:tc>
          <w:tcPr>
            <w:tcW w:w="1440" w:type="dxa"/>
            <w:hideMark/>
          </w:tcPr>
          <w:p w14:paraId="190F6D2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0.739</w:t>
            </w:r>
          </w:p>
        </w:tc>
        <w:tc>
          <w:tcPr>
            <w:tcW w:w="1440" w:type="dxa"/>
            <w:hideMark/>
          </w:tcPr>
          <w:p w14:paraId="7FDC2A1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0.708</w:t>
            </w:r>
          </w:p>
        </w:tc>
        <w:tc>
          <w:tcPr>
            <w:tcW w:w="1440" w:type="dxa"/>
            <w:hideMark/>
          </w:tcPr>
          <w:p w14:paraId="3C46BC6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0.890</w:t>
            </w:r>
          </w:p>
        </w:tc>
        <w:tc>
          <w:tcPr>
            <w:tcW w:w="1440" w:type="dxa"/>
            <w:hideMark/>
          </w:tcPr>
          <w:p w14:paraId="00B6500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0.865</w:t>
            </w:r>
          </w:p>
        </w:tc>
      </w:tr>
      <w:tr w:rsidR="007D2F5E" w:rsidRPr="009B476C" w14:paraId="375D6850" w14:textId="77777777" w:rsidTr="007D2F5E">
        <w:trPr>
          <w:jc w:val="center"/>
        </w:trPr>
        <w:tc>
          <w:tcPr>
            <w:tcW w:w="1177" w:type="dxa"/>
            <w:hideMark/>
          </w:tcPr>
          <w:p w14:paraId="517944B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Z5</w:t>
            </w:r>
          </w:p>
        </w:tc>
        <w:tc>
          <w:tcPr>
            <w:tcW w:w="1440" w:type="dxa"/>
            <w:hideMark/>
          </w:tcPr>
          <w:p w14:paraId="344E462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0.884</w:t>
            </w:r>
          </w:p>
        </w:tc>
        <w:tc>
          <w:tcPr>
            <w:tcW w:w="1440" w:type="dxa"/>
            <w:hideMark/>
          </w:tcPr>
          <w:p w14:paraId="39E5EA95"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0.735</w:t>
            </w:r>
          </w:p>
        </w:tc>
        <w:tc>
          <w:tcPr>
            <w:tcW w:w="1440" w:type="dxa"/>
            <w:hideMark/>
          </w:tcPr>
          <w:p w14:paraId="44653A9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0.783</w:t>
            </w:r>
          </w:p>
        </w:tc>
        <w:tc>
          <w:tcPr>
            <w:tcW w:w="1440" w:type="dxa"/>
            <w:hideMark/>
          </w:tcPr>
          <w:p w14:paraId="7A863C6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0.825</w:t>
            </w:r>
          </w:p>
        </w:tc>
        <w:tc>
          <w:tcPr>
            <w:tcW w:w="1440" w:type="dxa"/>
            <w:hideMark/>
          </w:tcPr>
          <w:p w14:paraId="0AC80B1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0.789</w:t>
            </w:r>
          </w:p>
        </w:tc>
      </w:tr>
    </w:tbl>
    <w:p w14:paraId="059C7435" w14:textId="3169AD48" w:rsidR="00A65193" w:rsidRPr="009B476C" w:rsidRDefault="00A65193" w:rsidP="007D2F5E">
      <w:pPr>
        <w:spacing w:beforeAutospacing="1" w:after="100" w:afterAutospacing="1" w:line="240" w:lineRule="auto"/>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 xml:space="preserve">Table </w:t>
      </w:r>
      <w:r w:rsidR="00B719A5">
        <w:rPr>
          <w:rFonts w:ascii="Times New Roman" w:eastAsia="Times New Roman" w:hAnsi="Times New Roman" w:cs="Times New Roman"/>
          <w:b/>
          <w:bCs/>
          <w:kern w:val="0"/>
          <w:highlight w:val="yellow"/>
          <w:lang w:eastAsia="ja-JP"/>
          <w14:ligatures w14:val="none"/>
        </w:rPr>
        <w:t>4</w:t>
      </w:r>
      <w:r w:rsidR="006F3F7F" w:rsidRPr="009B476C">
        <w:rPr>
          <w:rFonts w:ascii="Times New Roman" w:eastAsia="Times New Roman" w:hAnsi="Times New Roman" w:cs="Times New Roman"/>
          <w:b/>
          <w:bCs/>
          <w:kern w:val="0"/>
          <w:highlight w:val="yellow"/>
          <w:lang w:eastAsia="ja-JP"/>
          <w14:ligatures w14:val="none"/>
        </w:rPr>
        <w:t xml:space="preserve">. </w:t>
      </w:r>
      <w:r w:rsidRPr="009B476C">
        <w:rPr>
          <w:rFonts w:ascii="Times New Roman" w:eastAsia="Times New Roman" w:hAnsi="Times New Roman" w:cs="Times New Roman"/>
          <w:b/>
          <w:bCs/>
          <w:kern w:val="0"/>
          <w:highlight w:val="yellow"/>
          <w:lang w:val="id-ID" w:eastAsia="ja-JP"/>
          <w14:ligatures w14:val="none"/>
        </w:rPr>
        <w:t>Reliability and AVE Values</w:t>
      </w:r>
    </w:p>
    <w:tbl>
      <w:tblPr>
        <w:tblStyle w:val="TableGrid"/>
        <w:tblW w:w="0" w:type="auto"/>
        <w:tblLook w:val="04A0" w:firstRow="1" w:lastRow="0" w:firstColumn="1" w:lastColumn="0" w:noHBand="0" w:noVBand="1"/>
      </w:tblPr>
      <w:tblGrid>
        <w:gridCol w:w="1970"/>
        <w:gridCol w:w="1593"/>
        <w:gridCol w:w="1777"/>
        <w:gridCol w:w="1774"/>
        <w:gridCol w:w="1903"/>
      </w:tblGrid>
      <w:tr w:rsidR="007D2F5E" w:rsidRPr="009B476C" w14:paraId="7B51097A" w14:textId="77777777" w:rsidTr="007D2F5E">
        <w:tc>
          <w:tcPr>
            <w:tcW w:w="0" w:type="auto"/>
            <w:hideMark/>
          </w:tcPr>
          <w:p w14:paraId="4E2813ED"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lastRenderedPageBreak/>
              <w:t>Variable</w:t>
            </w:r>
          </w:p>
        </w:tc>
        <w:tc>
          <w:tcPr>
            <w:tcW w:w="0" w:type="auto"/>
            <w:hideMark/>
          </w:tcPr>
          <w:p w14:paraId="7291374C"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Cronbach’s Alpha</w:t>
            </w:r>
          </w:p>
        </w:tc>
        <w:tc>
          <w:tcPr>
            <w:tcW w:w="0" w:type="auto"/>
            <w:hideMark/>
          </w:tcPr>
          <w:p w14:paraId="48035465"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Composite Reliability (rhoa)</w:t>
            </w:r>
          </w:p>
        </w:tc>
        <w:tc>
          <w:tcPr>
            <w:tcW w:w="0" w:type="auto"/>
            <w:hideMark/>
          </w:tcPr>
          <w:p w14:paraId="42C99536"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Composite Reliability (rhoc)</w:t>
            </w:r>
          </w:p>
        </w:tc>
        <w:tc>
          <w:tcPr>
            <w:tcW w:w="0" w:type="auto"/>
            <w:hideMark/>
          </w:tcPr>
          <w:p w14:paraId="4A6E0F62" w14:textId="77777777" w:rsidR="007D2F5E" w:rsidRPr="009B476C" w:rsidRDefault="007D2F5E" w:rsidP="007D2F5E">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Average Variance Extracted (AVE)</w:t>
            </w:r>
          </w:p>
        </w:tc>
      </w:tr>
      <w:tr w:rsidR="007D2F5E" w:rsidRPr="009B476C" w14:paraId="5039D440" w14:textId="77777777" w:rsidTr="007D2F5E">
        <w:tc>
          <w:tcPr>
            <w:tcW w:w="0" w:type="auto"/>
            <w:hideMark/>
          </w:tcPr>
          <w:p w14:paraId="6EE5763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Infrastructure Expenditure (X3)</w:t>
            </w:r>
          </w:p>
        </w:tc>
        <w:tc>
          <w:tcPr>
            <w:tcW w:w="0" w:type="auto"/>
            <w:hideMark/>
          </w:tcPr>
          <w:p w14:paraId="73F5279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0.861</w:t>
            </w:r>
          </w:p>
        </w:tc>
        <w:tc>
          <w:tcPr>
            <w:tcW w:w="0" w:type="auto"/>
            <w:hideMark/>
          </w:tcPr>
          <w:p w14:paraId="1EFBF52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0.871</w:t>
            </w:r>
          </w:p>
        </w:tc>
        <w:tc>
          <w:tcPr>
            <w:tcW w:w="0" w:type="auto"/>
            <w:hideMark/>
          </w:tcPr>
          <w:p w14:paraId="42F9201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0.864</w:t>
            </w:r>
          </w:p>
        </w:tc>
        <w:tc>
          <w:tcPr>
            <w:tcW w:w="0" w:type="auto"/>
            <w:hideMark/>
          </w:tcPr>
          <w:p w14:paraId="6A516919"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0.680</w:t>
            </w:r>
          </w:p>
        </w:tc>
      </w:tr>
      <w:tr w:rsidR="007D2F5E" w:rsidRPr="009B476C" w14:paraId="6D8CE230" w14:textId="77777777" w:rsidTr="007D2F5E">
        <w:tc>
          <w:tcPr>
            <w:tcW w:w="0" w:type="auto"/>
            <w:hideMark/>
          </w:tcPr>
          <w:p w14:paraId="559071D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Health Expenditure (X2)</w:t>
            </w:r>
          </w:p>
        </w:tc>
        <w:tc>
          <w:tcPr>
            <w:tcW w:w="0" w:type="auto"/>
            <w:hideMark/>
          </w:tcPr>
          <w:p w14:paraId="216D2A97"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0.826</w:t>
            </w:r>
          </w:p>
        </w:tc>
        <w:tc>
          <w:tcPr>
            <w:tcW w:w="0" w:type="auto"/>
            <w:hideMark/>
          </w:tcPr>
          <w:p w14:paraId="7407ADA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0.834</w:t>
            </w:r>
          </w:p>
        </w:tc>
        <w:tc>
          <w:tcPr>
            <w:tcW w:w="0" w:type="auto"/>
            <w:hideMark/>
          </w:tcPr>
          <w:p w14:paraId="659D045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0.826</w:t>
            </w:r>
          </w:p>
        </w:tc>
        <w:tc>
          <w:tcPr>
            <w:tcW w:w="0" w:type="auto"/>
            <w:hideMark/>
          </w:tcPr>
          <w:p w14:paraId="53BBFAA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0.545</w:t>
            </w:r>
          </w:p>
        </w:tc>
      </w:tr>
      <w:tr w:rsidR="007D2F5E" w:rsidRPr="009B476C" w14:paraId="5B322053" w14:textId="77777777" w:rsidTr="007D2F5E">
        <w:tc>
          <w:tcPr>
            <w:tcW w:w="0" w:type="auto"/>
            <w:hideMark/>
          </w:tcPr>
          <w:p w14:paraId="50CE4ABD"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Education Expenditure (X1)</w:t>
            </w:r>
          </w:p>
        </w:tc>
        <w:tc>
          <w:tcPr>
            <w:tcW w:w="0" w:type="auto"/>
            <w:hideMark/>
          </w:tcPr>
          <w:p w14:paraId="151625E1"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0.811</w:t>
            </w:r>
          </w:p>
        </w:tc>
        <w:tc>
          <w:tcPr>
            <w:tcW w:w="0" w:type="auto"/>
            <w:hideMark/>
          </w:tcPr>
          <w:p w14:paraId="0DB7EDD3"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0.812</w:t>
            </w:r>
          </w:p>
        </w:tc>
        <w:tc>
          <w:tcPr>
            <w:tcW w:w="0" w:type="auto"/>
            <w:hideMark/>
          </w:tcPr>
          <w:p w14:paraId="642B7D42"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0.809</w:t>
            </w:r>
          </w:p>
        </w:tc>
        <w:tc>
          <w:tcPr>
            <w:tcW w:w="0" w:type="auto"/>
            <w:hideMark/>
          </w:tcPr>
          <w:p w14:paraId="7371435C"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0.516</w:t>
            </w:r>
          </w:p>
        </w:tc>
      </w:tr>
      <w:tr w:rsidR="007D2F5E" w:rsidRPr="009B476C" w14:paraId="1D6D7A29" w14:textId="77777777" w:rsidTr="007D2F5E">
        <w:tc>
          <w:tcPr>
            <w:tcW w:w="0" w:type="auto"/>
            <w:hideMark/>
          </w:tcPr>
          <w:p w14:paraId="2D0EEC6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Human Development Index (Y)</w:t>
            </w:r>
          </w:p>
        </w:tc>
        <w:tc>
          <w:tcPr>
            <w:tcW w:w="0" w:type="auto"/>
            <w:hideMark/>
          </w:tcPr>
          <w:p w14:paraId="308F82C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0.815</w:t>
            </w:r>
          </w:p>
        </w:tc>
        <w:tc>
          <w:tcPr>
            <w:tcW w:w="0" w:type="auto"/>
            <w:hideMark/>
          </w:tcPr>
          <w:p w14:paraId="0C9A07C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0.814</w:t>
            </w:r>
          </w:p>
        </w:tc>
        <w:tc>
          <w:tcPr>
            <w:tcW w:w="0" w:type="auto"/>
            <w:hideMark/>
          </w:tcPr>
          <w:p w14:paraId="0C2A440E"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0.814</w:t>
            </w:r>
          </w:p>
        </w:tc>
        <w:tc>
          <w:tcPr>
            <w:tcW w:w="0" w:type="auto"/>
            <w:hideMark/>
          </w:tcPr>
          <w:p w14:paraId="4C8174D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0.594</w:t>
            </w:r>
          </w:p>
        </w:tc>
      </w:tr>
      <w:tr w:rsidR="007D2F5E" w:rsidRPr="009B476C" w14:paraId="31AED4B8" w14:textId="77777777" w:rsidTr="007D2F5E">
        <w:tc>
          <w:tcPr>
            <w:tcW w:w="0" w:type="auto"/>
            <w:hideMark/>
          </w:tcPr>
          <w:p w14:paraId="0BF446FF"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Quality of Public Services (Z)</w:t>
            </w:r>
          </w:p>
        </w:tc>
        <w:tc>
          <w:tcPr>
            <w:tcW w:w="0" w:type="auto"/>
            <w:hideMark/>
          </w:tcPr>
          <w:p w14:paraId="35545EC8"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0.854</w:t>
            </w:r>
          </w:p>
        </w:tc>
        <w:tc>
          <w:tcPr>
            <w:tcW w:w="0" w:type="auto"/>
            <w:hideMark/>
          </w:tcPr>
          <w:p w14:paraId="00C4F6B4"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0.867</w:t>
            </w:r>
          </w:p>
        </w:tc>
        <w:tc>
          <w:tcPr>
            <w:tcW w:w="0" w:type="auto"/>
            <w:hideMark/>
          </w:tcPr>
          <w:p w14:paraId="1F38F4EA"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0.858</w:t>
            </w:r>
          </w:p>
        </w:tc>
        <w:tc>
          <w:tcPr>
            <w:tcW w:w="0" w:type="auto"/>
            <w:hideMark/>
          </w:tcPr>
          <w:p w14:paraId="67187E36" w14:textId="77777777" w:rsidR="007D2F5E" w:rsidRPr="009B476C" w:rsidRDefault="007D2F5E" w:rsidP="007D2F5E">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0.550</w:t>
            </w:r>
          </w:p>
        </w:tc>
      </w:tr>
    </w:tbl>
    <w:p w14:paraId="5E22D278" w14:textId="77777777" w:rsidR="00A65193" w:rsidRPr="009B476C" w:rsidRDefault="00A65193" w:rsidP="006F3F7F">
      <w:pPr>
        <w:spacing w:before="100" w:beforeAutospacing="1" w:after="100" w:afterAutospacing="1" w:line="240" w:lineRule="auto"/>
        <w:jc w:val="both"/>
        <w:rPr>
          <w:rFonts w:ascii="Arial" w:eastAsia="Times New Roman" w:hAnsi="Arial" w:cs="Arial"/>
          <w:kern w:val="0"/>
          <w:highlight w:val="yellow"/>
          <w:lang w:val="id-ID" w:eastAsia="ja-JP"/>
          <w14:ligatures w14:val="none"/>
        </w:rPr>
      </w:pPr>
      <w:r w:rsidRPr="009B476C">
        <w:rPr>
          <w:rFonts w:ascii="Arial" w:eastAsia="Times New Roman" w:hAnsi="Arial" w:cs="Arial"/>
          <w:kern w:val="0"/>
          <w:highlight w:val="yellow"/>
          <w:lang w:val="id-ID" w:eastAsia="ja-JP"/>
          <w14:ligatures w14:val="none"/>
        </w:rPr>
        <w:t>In conclusion, the outer model evaluation has successfully validated the constructs employed in this research. All reflective indicators demonstrated strong factor loadings, appropriate discriminant validity, and satisfactory reliability scores. Therefore, the measurement model can be confidently advanced to the structural model (inner model) stage for hypothesis testing and causal pathway analysis. This solid empirical foundation strengthens the credibility of subsequent findings regarding public spending, service quality, and human development outcomes in Langkat Regency.</w:t>
      </w:r>
    </w:p>
    <w:p w14:paraId="209CADD3" w14:textId="4322AE16" w:rsidR="00952BDE" w:rsidRPr="009B476C" w:rsidRDefault="00952BDE" w:rsidP="00952BDE">
      <w:pPr>
        <w:spacing w:after="120" w:line="240" w:lineRule="auto"/>
        <w:jc w:val="both"/>
        <w:rPr>
          <w:rFonts w:ascii="Arial" w:hAnsi="Arial" w:cs="Arial"/>
          <w:b/>
          <w:bCs/>
          <w:highlight w:val="yellow"/>
        </w:rPr>
      </w:pPr>
      <w:r w:rsidRPr="009B476C">
        <w:rPr>
          <w:rFonts w:ascii="Arial" w:hAnsi="Arial" w:cs="Arial"/>
          <w:b/>
          <w:bCs/>
          <w:highlight w:val="yellow"/>
        </w:rPr>
        <w:t>3.</w:t>
      </w:r>
      <w:r w:rsidR="00F867A8" w:rsidRPr="009B476C">
        <w:rPr>
          <w:rFonts w:ascii="Arial" w:hAnsi="Arial" w:cs="Arial"/>
          <w:b/>
          <w:bCs/>
          <w:highlight w:val="yellow"/>
        </w:rPr>
        <w:t>5</w:t>
      </w:r>
      <w:r w:rsidRPr="009B476C">
        <w:rPr>
          <w:rFonts w:ascii="Arial" w:hAnsi="Arial" w:cs="Arial"/>
          <w:b/>
          <w:bCs/>
          <w:highlight w:val="yellow"/>
        </w:rPr>
        <w:t xml:space="preserve"> </w:t>
      </w:r>
      <w:r w:rsidR="009A5C67" w:rsidRPr="009B476C">
        <w:rPr>
          <w:rFonts w:ascii="Arial" w:hAnsi="Arial" w:cs="Arial"/>
          <w:b/>
          <w:bCs/>
          <w:highlight w:val="yellow"/>
        </w:rPr>
        <w:t>Inner</w:t>
      </w:r>
      <w:r w:rsidRPr="009B476C">
        <w:rPr>
          <w:rFonts w:ascii="Arial" w:hAnsi="Arial" w:cs="Arial"/>
          <w:b/>
          <w:bCs/>
          <w:highlight w:val="yellow"/>
        </w:rPr>
        <w:t xml:space="preserve"> Model Evaluation</w:t>
      </w:r>
    </w:p>
    <w:p w14:paraId="28FED62C" w14:textId="77777777" w:rsidR="00C80868" w:rsidRPr="00C80868" w:rsidRDefault="00C80868" w:rsidP="00C80868">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kern w:val="0"/>
          <w:highlight w:val="yellow"/>
          <w:lang w:eastAsia="ja-JP"/>
          <w14:ligatures w14:val="none"/>
        </w:rPr>
        <w:t>The inner model (structural model) was tested to analyze the causal relationships among the latent variables using the following indicators:</w:t>
      </w:r>
    </w:p>
    <w:p w14:paraId="536B28C7" w14:textId="77777777" w:rsidR="00C80868" w:rsidRPr="00C80868" w:rsidRDefault="00C80868" w:rsidP="00C80868">
      <w:pPr>
        <w:numPr>
          <w:ilvl w:val="0"/>
          <w:numId w:val="21"/>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b/>
          <w:bCs/>
          <w:kern w:val="0"/>
          <w:highlight w:val="yellow"/>
          <w:lang w:eastAsia="ja-JP"/>
          <w14:ligatures w14:val="none"/>
        </w:rPr>
        <w:t>Coefficient of Determination (R²)</w:t>
      </w:r>
    </w:p>
    <w:p w14:paraId="51084F7B" w14:textId="77777777" w:rsidR="00C80868" w:rsidRPr="00C80868" w:rsidRDefault="00C80868" w:rsidP="00C80868">
      <w:pPr>
        <w:numPr>
          <w:ilvl w:val="0"/>
          <w:numId w:val="21"/>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b/>
          <w:bCs/>
          <w:kern w:val="0"/>
          <w:highlight w:val="yellow"/>
          <w:lang w:eastAsia="ja-JP"/>
          <w14:ligatures w14:val="none"/>
        </w:rPr>
        <w:t>Predictive Relevance (Q²)</w:t>
      </w:r>
    </w:p>
    <w:p w14:paraId="4D858FA9" w14:textId="270F3B0B" w:rsidR="00C80868" w:rsidRPr="00C80868" w:rsidRDefault="00C80868" w:rsidP="00C80868">
      <w:pPr>
        <w:numPr>
          <w:ilvl w:val="0"/>
          <w:numId w:val="21"/>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b/>
          <w:bCs/>
          <w:kern w:val="0"/>
          <w:highlight w:val="yellow"/>
          <w:lang w:eastAsia="ja-JP"/>
          <w14:ligatures w14:val="none"/>
        </w:rPr>
        <w:t>Bootstrapped Path Coefficients and Mediation Tests</w:t>
      </w:r>
    </w:p>
    <w:p w14:paraId="17E52A47" w14:textId="77777777" w:rsidR="00C80868" w:rsidRPr="00C80868" w:rsidRDefault="00C80868" w:rsidP="00C80868">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C80868">
        <w:rPr>
          <w:rFonts w:ascii="Arial" w:eastAsia="Times New Roman" w:hAnsi="Arial" w:cs="Arial"/>
          <w:b/>
          <w:bCs/>
          <w:kern w:val="0"/>
          <w:highlight w:val="yellow"/>
          <w:lang w:eastAsia="ja-JP"/>
          <w14:ligatures w14:val="none"/>
        </w:rPr>
        <w:t>Hypotheses Tested</w:t>
      </w:r>
    </w:p>
    <w:p w14:paraId="4D939E23" w14:textId="77777777" w:rsidR="00C80868" w:rsidRPr="00C80868" w:rsidRDefault="00C80868" w:rsidP="00C80868">
      <w:pPr>
        <w:numPr>
          <w:ilvl w:val="0"/>
          <w:numId w:val="22"/>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b/>
          <w:bCs/>
          <w:kern w:val="0"/>
          <w:highlight w:val="yellow"/>
          <w:lang w:eastAsia="ja-JP"/>
          <w14:ligatures w14:val="none"/>
        </w:rPr>
        <w:t>H2:</w:t>
      </w:r>
      <w:r w:rsidRPr="00C80868">
        <w:rPr>
          <w:rFonts w:ascii="Arial" w:eastAsia="Times New Roman" w:hAnsi="Arial" w:cs="Arial"/>
          <w:kern w:val="0"/>
          <w:highlight w:val="yellow"/>
          <w:lang w:eastAsia="ja-JP"/>
          <w14:ligatures w14:val="none"/>
        </w:rPr>
        <w:t xml:space="preserve"> Sectoral budget allocations have a direct effect on the Human Development Index (HDI).</w:t>
      </w:r>
    </w:p>
    <w:p w14:paraId="33269555" w14:textId="77777777" w:rsidR="00C80868" w:rsidRPr="00C80868" w:rsidRDefault="00C80868" w:rsidP="00C80868">
      <w:pPr>
        <w:numPr>
          <w:ilvl w:val="0"/>
          <w:numId w:val="22"/>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b/>
          <w:bCs/>
          <w:kern w:val="0"/>
          <w:highlight w:val="yellow"/>
          <w:lang w:eastAsia="ja-JP"/>
          <w14:ligatures w14:val="none"/>
        </w:rPr>
        <w:t>H3:</w:t>
      </w:r>
      <w:r w:rsidRPr="00C80868">
        <w:rPr>
          <w:rFonts w:ascii="Arial" w:eastAsia="Times New Roman" w:hAnsi="Arial" w:cs="Arial"/>
          <w:kern w:val="0"/>
          <w:highlight w:val="yellow"/>
          <w:lang w:eastAsia="ja-JP"/>
          <w14:ligatures w14:val="none"/>
        </w:rPr>
        <w:t xml:space="preserve"> Perceived public service quality has a significant direct effect on HDI.</w:t>
      </w:r>
    </w:p>
    <w:p w14:paraId="100C7F22" w14:textId="525D6627" w:rsidR="00C80868" w:rsidRPr="00C80868" w:rsidRDefault="00C80868" w:rsidP="00C80868">
      <w:pPr>
        <w:numPr>
          <w:ilvl w:val="0"/>
          <w:numId w:val="22"/>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b/>
          <w:bCs/>
          <w:kern w:val="0"/>
          <w:highlight w:val="yellow"/>
          <w:lang w:eastAsia="ja-JP"/>
          <w14:ligatures w14:val="none"/>
        </w:rPr>
        <w:t>H4:</w:t>
      </w:r>
      <w:r w:rsidRPr="00C80868">
        <w:rPr>
          <w:rFonts w:ascii="Arial" w:eastAsia="Times New Roman" w:hAnsi="Arial" w:cs="Arial"/>
          <w:kern w:val="0"/>
          <w:highlight w:val="yellow"/>
          <w:lang w:eastAsia="ja-JP"/>
          <w14:ligatures w14:val="none"/>
        </w:rPr>
        <w:t xml:space="preserve"> Public service quality mediates the influence of sectoral budget allocations on HDI.</w:t>
      </w:r>
    </w:p>
    <w:p w14:paraId="4A75E204" w14:textId="77777777" w:rsidR="00C80868" w:rsidRPr="00C80868" w:rsidRDefault="00C80868" w:rsidP="00C80868">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C80868">
        <w:rPr>
          <w:rFonts w:ascii="Arial" w:eastAsia="Times New Roman" w:hAnsi="Arial" w:cs="Arial"/>
          <w:b/>
          <w:bCs/>
          <w:kern w:val="0"/>
          <w:highlight w:val="yellow"/>
          <w:lang w:eastAsia="ja-JP"/>
          <w14:ligatures w14:val="none"/>
        </w:rPr>
        <w:t>Model Fit and Predictive Strength</w:t>
      </w:r>
    </w:p>
    <w:p w14:paraId="276C82CE" w14:textId="77777777" w:rsidR="00C80868" w:rsidRPr="00C80868" w:rsidRDefault="00C80868" w:rsidP="00C80868">
      <w:pPr>
        <w:numPr>
          <w:ilvl w:val="0"/>
          <w:numId w:val="23"/>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b/>
          <w:bCs/>
          <w:kern w:val="0"/>
          <w:highlight w:val="yellow"/>
          <w:lang w:eastAsia="ja-JP"/>
          <w14:ligatures w14:val="none"/>
        </w:rPr>
        <w:t>R² for HDI (Y) = 0.838</w:t>
      </w:r>
      <w:r w:rsidRPr="00C80868">
        <w:rPr>
          <w:rFonts w:ascii="Arial" w:eastAsia="Times New Roman" w:hAnsi="Arial" w:cs="Arial"/>
          <w:kern w:val="0"/>
          <w:highlight w:val="yellow"/>
          <w:lang w:eastAsia="ja-JP"/>
          <w14:ligatures w14:val="none"/>
        </w:rPr>
        <w:t xml:space="preserve"> → 83.8% of the variance in HDI is explained, predominantly by service quality.</w:t>
      </w:r>
    </w:p>
    <w:p w14:paraId="08E2DA07" w14:textId="77777777" w:rsidR="00C80868" w:rsidRPr="00C80868" w:rsidRDefault="00C80868" w:rsidP="00C80868">
      <w:pPr>
        <w:numPr>
          <w:ilvl w:val="0"/>
          <w:numId w:val="23"/>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b/>
          <w:bCs/>
          <w:kern w:val="0"/>
          <w:highlight w:val="yellow"/>
          <w:lang w:eastAsia="ja-JP"/>
          <w14:ligatures w14:val="none"/>
        </w:rPr>
        <w:t>R² for Public Service Quality (Z) = 0.879</w:t>
      </w:r>
      <w:r w:rsidRPr="00C80868">
        <w:rPr>
          <w:rFonts w:ascii="Arial" w:eastAsia="Times New Roman" w:hAnsi="Arial" w:cs="Arial"/>
          <w:kern w:val="0"/>
          <w:highlight w:val="yellow"/>
          <w:lang w:eastAsia="ja-JP"/>
          <w14:ligatures w14:val="none"/>
        </w:rPr>
        <w:t xml:space="preserve"> → 87.9% of variance explained by sectoral budget allocations.</w:t>
      </w:r>
    </w:p>
    <w:p w14:paraId="24FBF8C7" w14:textId="15F3B986" w:rsidR="007D2F5E" w:rsidRPr="00C80868" w:rsidRDefault="00C80868" w:rsidP="00F867A8">
      <w:pPr>
        <w:numPr>
          <w:ilvl w:val="0"/>
          <w:numId w:val="23"/>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C80868">
        <w:rPr>
          <w:rFonts w:ascii="Arial" w:eastAsia="Times New Roman" w:hAnsi="Arial" w:cs="Arial"/>
          <w:b/>
          <w:bCs/>
          <w:kern w:val="0"/>
          <w:highlight w:val="yellow"/>
          <w:lang w:eastAsia="ja-JP"/>
          <w14:ligatures w14:val="none"/>
        </w:rPr>
        <w:t>Q² = 0.9804</w:t>
      </w:r>
      <w:r w:rsidRPr="00C80868">
        <w:rPr>
          <w:rFonts w:ascii="Arial" w:eastAsia="Times New Roman" w:hAnsi="Arial" w:cs="Arial"/>
          <w:kern w:val="0"/>
          <w:highlight w:val="yellow"/>
          <w:lang w:eastAsia="ja-JP"/>
          <w14:ligatures w14:val="none"/>
        </w:rPr>
        <w:t xml:space="preserve"> → Exceeds the 0.35 threshold, confirming strong predictive relevance (Chin, 1998)</w:t>
      </w:r>
      <w:r w:rsidR="007D2F5E" w:rsidRPr="00C80868">
        <w:rPr>
          <w:rFonts w:ascii="Arial" w:eastAsia="Times New Roman" w:hAnsi="Arial" w:cs="Arial"/>
          <w:kern w:val="0"/>
          <w:highlight w:val="yellow"/>
          <w:lang w:val="id-ID" w:eastAsia="ja-JP"/>
          <w14:ligatures w14:val="none"/>
        </w:rPr>
        <w:t>.</w:t>
      </w:r>
    </w:p>
    <w:p w14:paraId="6999CFBA" w14:textId="21E7C0CA" w:rsidR="00F867A8" w:rsidRPr="009B476C" w:rsidRDefault="00557951" w:rsidP="007D2F5E">
      <w:pPr>
        <w:spacing w:before="100" w:beforeAutospacing="1" w:after="100" w:afterAutospacing="1" w:line="240" w:lineRule="auto"/>
        <w:rPr>
          <w:rFonts w:ascii="Times New Roman" w:hAnsi="Times New Roman" w:cs="Times New Roman"/>
          <w:kern w:val="0"/>
          <w:highlight w:val="yellow"/>
          <w:lang w:val="id-ID" w:eastAsia="ja-JP"/>
          <w14:ligatures w14:val="none"/>
        </w:rPr>
      </w:pPr>
      <w:r w:rsidRPr="009B476C">
        <w:rPr>
          <w:noProof/>
          <w:highlight w:val="yellow"/>
        </w:rPr>
        <w:lastRenderedPageBreak/>
        <w:drawing>
          <wp:inline distT="0" distB="0" distL="0" distR="0" wp14:anchorId="6ADA8729" wp14:editId="07309AE7">
            <wp:extent cx="5732145" cy="3486785"/>
            <wp:effectExtent l="0" t="0" r="1905" b="0"/>
            <wp:docPr id="260622188" name="Picture 3"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22188" name="Picture 3" descr="A diagram of a networ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486785"/>
                    </a:xfrm>
                    <a:prstGeom prst="rect">
                      <a:avLst/>
                    </a:prstGeom>
                    <a:noFill/>
                    <a:ln>
                      <a:noFill/>
                    </a:ln>
                  </pic:spPr>
                </pic:pic>
              </a:graphicData>
            </a:graphic>
          </wp:inline>
        </w:drawing>
      </w:r>
    </w:p>
    <w:p w14:paraId="20868DDF" w14:textId="718344DF" w:rsidR="00DF3F01" w:rsidRPr="00DF3F01" w:rsidRDefault="007D2F5E" w:rsidP="00DF3F01">
      <w:pPr>
        <w:spacing w:beforeAutospacing="1" w:after="100" w:afterAutospacing="1" w:line="240" w:lineRule="auto"/>
        <w:jc w:val="center"/>
        <w:rPr>
          <w:rFonts w:ascii="Times New Roman" w:eastAsia="Times New Roman" w:hAnsi="Times New Roman" w:cs="Times New Roman"/>
          <w:kern w:val="0"/>
          <w:highlight w:val="yellow"/>
          <w:lang w:eastAsia="ja-JP"/>
          <w14:ligatures w14:val="none"/>
        </w:rPr>
      </w:pPr>
      <w:r w:rsidRPr="009B476C">
        <w:rPr>
          <w:rFonts w:ascii="Times New Roman" w:eastAsia="Times New Roman" w:hAnsi="Times New Roman" w:cs="Times New Roman"/>
          <w:b/>
          <w:bCs/>
          <w:kern w:val="0"/>
          <w:highlight w:val="yellow"/>
          <w:lang w:val="id-ID" w:eastAsia="ja-JP"/>
          <w14:ligatures w14:val="none"/>
        </w:rPr>
        <w:t>Figure 2</w:t>
      </w:r>
      <w:r w:rsidR="006F3F7F" w:rsidRPr="009B476C">
        <w:rPr>
          <w:rFonts w:ascii="Times New Roman" w:eastAsia="Times New Roman" w:hAnsi="Times New Roman" w:cs="Times New Roman"/>
          <w:b/>
          <w:bCs/>
          <w:kern w:val="0"/>
          <w:highlight w:val="yellow"/>
          <w:lang w:val="id-ID" w:eastAsia="ja-JP"/>
          <w14:ligatures w14:val="none"/>
        </w:rPr>
        <w:t>.</w:t>
      </w:r>
      <w:r w:rsidRPr="009B476C">
        <w:rPr>
          <w:rFonts w:ascii="Times New Roman" w:eastAsia="Times New Roman" w:hAnsi="Times New Roman" w:cs="Times New Roman"/>
          <w:b/>
          <w:bCs/>
          <w:kern w:val="0"/>
          <w:highlight w:val="yellow"/>
          <w:lang w:val="id-ID" w:eastAsia="ja-JP"/>
          <w14:ligatures w14:val="none"/>
        </w:rPr>
        <w:t xml:space="preserve"> </w:t>
      </w:r>
      <w:r w:rsidRPr="009B476C">
        <w:rPr>
          <w:rFonts w:ascii="Times New Roman" w:eastAsia="Times New Roman" w:hAnsi="Times New Roman" w:cs="Times New Roman"/>
          <w:kern w:val="0"/>
          <w:highlight w:val="yellow"/>
          <w:lang w:val="id-ID" w:eastAsia="ja-JP"/>
          <w14:ligatures w14:val="none"/>
        </w:rPr>
        <w:t>Structural Model (Inner Mode</w:t>
      </w:r>
      <w:r w:rsidR="00F867A8" w:rsidRPr="009B476C">
        <w:rPr>
          <w:rFonts w:ascii="Times New Roman" w:eastAsia="Times New Roman" w:hAnsi="Times New Roman" w:cs="Times New Roman"/>
          <w:kern w:val="0"/>
          <w:highlight w:val="yellow"/>
          <w:lang w:eastAsia="ja-JP"/>
          <w14:ligatures w14:val="none"/>
        </w:rPr>
        <w:t>l)</w:t>
      </w:r>
    </w:p>
    <w:p w14:paraId="598FC02E" w14:textId="55405BC1" w:rsidR="00ED5D14" w:rsidRPr="009B476C" w:rsidRDefault="00C10309" w:rsidP="00ED5D14">
      <w:pPr>
        <w:spacing w:before="100" w:beforeAutospacing="1" w:after="100" w:afterAutospacing="1" w:line="240" w:lineRule="auto"/>
        <w:jc w:val="center"/>
        <w:rPr>
          <w:rFonts w:ascii="Arial" w:hAnsi="Arial" w:cs="Arial"/>
          <w:b/>
          <w:bCs/>
          <w:kern w:val="0"/>
          <w:highlight w:val="yellow"/>
          <w:lang w:val="id-ID" w:eastAsia="ja-JP"/>
          <w14:ligatures w14:val="none"/>
        </w:rPr>
      </w:pPr>
      <w:r w:rsidRPr="009B476C">
        <w:rPr>
          <w:rFonts w:ascii="Arial" w:hAnsi="Arial" w:cs="Arial"/>
          <w:b/>
          <w:bCs/>
          <w:highlight w:val="yellow"/>
        </w:rPr>
        <w:t xml:space="preserve">Table </w:t>
      </w:r>
      <w:r w:rsidR="00B719A5">
        <w:rPr>
          <w:rFonts w:ascii="Arial" w:hAnsi="Arial" w:cs="Arial"/>
          <w:b/>
          <w:bCs/>
          <w:highlight w:val="yellow"/>
        </w:rPr>
        <w:t>5</w:t>
      </w:r>
      <w:r w:rsidRPr="009B476C">
        <w:rPr>
          <w:rFonts w:ascii="Arial" w:hAnsi="Arial" w:cs="Arial"/>
          <w:b/>
          <w:bCs/>
          <w:highlight w:val="yellow"/>
        </w:rPr>
        <w:t xml:space="preserve">. </w:t>
      </w:r>
      <w:r w:rsidR="00ED5D14" w:rsidRPr="009B476C">
        <w:rPr>
          <w:rFonts w:ascii="Arial" w:hAnsi="Arial" w:cs="Arial"/>
          <w:b/>
          <w:bCs/>
          <w:highlight w:val="yellow"/>
        </w:rPr>
        <w:t>Significant Structural Path and Mediation Effects</w:t>
      </w:r>
    </w:p>
    <w:tbl>
      <w:tblPr>
        <w:tblStyle w:val="TableGrid"/>
        <w:tblW w:w="0" w:type="auto"/>
        <w:tblLook w:val="04A0" w:firstRow="1" w:lastRow="0" w:firstColumn="1" w:lastColumn="0" w:noHBand="0" w:noVBand="1"/>
      </w:tblPr>
      <w:tblGrid>
        <w:gridCol w:w="737"/>
        <w:gridCol w:w="1142"/>
        <w:gridCol w:w="1030"/>
        <w:gridCol w:w="1301"/>
        <w:gridCol w:w="1147"/>
        <w:gridCol w:w="920"/>
        <w:gridCol w:w="1362"/>
        <w:gridCol w:w="1378"/>
      </w:tblGrid>
      <w:tr w:rsidR="00F867A8" w:rsidRPr="009B476C" w14:paraId="5EB01F88" w14:textId="77777777" w:rsidTr="00F867A8">
        <w:tc>
          <w:tcPr>
            <w:tcW w:w="0" w:type="auto"/>
            <w:hideMark/>
          </w:tcPr>
          <w:p w14:paraId="2BBD88B3"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Path</w:t>
            </w:r>
          </w:p>
        </w:tc>
        <w:tc>
          <w:tcPr>
            <w:tcW w:w="0" w:type="auto"/>
            <w:hideMark/>
          </w:tcPr>
          <w:p w14:paraId="21320189"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Original Sample (O)</w:t>
            </w:r>
          </w:p>
        </w:tc>
        <w:tc>
          <w:tcPr>
            <w:tcW w:w="0" w:type="auto"/>
            <w:hideMark/>
          </w:tcPr>
          <w:p w14:paraId="1671BBB0"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Sample Mean (M)</w:t>
            </w:r>
          </w:p>
        </w:tc>
        <w:tc>
          <w:tcPr>
            <w:tcW w:w="0" w:type="auto"/>
            <w:hideMark/>
          </w:tcPr>
          <w:p w14:paraId="243A1D64"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Standard Deviation (STDEV)</w:t>
            </w:r>
          </w:p>
        </w:tc>
        <w:tc>
          <w:tcPr>
            <w:tcW w:w="0" w:type="auto"/>
            <w:hideMark/>
          </w:tcPr>
          <w:p w14:paraId="64863F9F"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T Statistics</w:t>
            </w:r>
          </w:p>
        </w:tc>
        <w:tc>
          <w:tcPr>
            <w:tcW w:w="0" w:type="auto"/>
            <w:hideMark/>
          </w:tcPr>
          <w:p w14:paraId="0D439CBE"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P Values</w:t>
            </w:r>
          </w:p>
        </w:tc>
        <w:tc>
          <w:tcPr>
            <w:tcW w:w="0" w:type="auto"/>
            <w:hideMark/>
          </w:tcPr>
          <w:p w14:paraId="75E0E0AA"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Path Coefficient</w:t>
            </w:r>
          </w:p>
        </w:tc>
        <w:tc>
          <w:tcPr>
            <w:tcW w:w="0" w:type="auto"/>
            <w:hideMark/>
          </w:tcPr>
          <w:p w14:paraId="4F17CA13" w14:textId="77777777" w:rsidR="00F867A8" w:rsidRPr="009B476C" w:rsidRDefault="00F867A8" w:rsidP="00F867A8">
            <w:pPr>
              <w:jc w:val="center"/>
              <w:rPr>
                <w:rFonts w:ascii="Times New Roman" w:eastAsia="Times New Roman" w:hAnsi="Times New Roman" w:cs="Times New Roman"/>
                <w:b/>
                <w:bCs/>
                <w:kern w:val="0"/>
                <w:highlight w:val="yellow"/>
                <w:lang w:val="id-ID" w:eastAsia="ja-JP"/>
                <w14:ligatures w14:val="none"/>
              </w:rPr>
            </w:pPr>
            <w:r w:rsidRPr="009B476C">
              <w:rPr>
                <w:rFonts w:ascii="Times New Roman" w:eastAsia="Times New Roman" w:hAnsi="Times New Roman" w:cs="Times New Roman"/>
                <w:b/>
                <w:bCs/>
                <w:kern w:val="0"/>
                <w:highlight w:val="yellow"/>
                <w:lang w:val="id-ID" w:eastAsia="ja-JP"/>
                <w14:ligatures w14:val="none"/>
              </w:rPr>
              <w:t>Conclusion</w:t>
            </w:r>
          </w:p>
        </w:tc>
      </w:tr>
      <w:tr w:rsidR="00F867A8" w:rsidRPr="009B476C" w14:paraId="62B649FB" w14:textId="77777777" w:rsidTr="00F867A8">
        <w:tc>
          <w:tcPr>
            <w:tcW w:w="0" w:type="auto"/>
            <w:hideMark/>
          </w:tcPr>
          <w:p w14:paraId="25B67C13"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 → Z</w:t>
            </w:r>
          </w:p>
        </w:tc>
        <w:tc>
          <w:tcPr>
            <w:tcW w:w="0" w:type="auto"/>
            <w:hideMark/>
          </w:tcPr>
          <w:p w14:paraId="64C2AC4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0.652</w:t>
            </w:r>
          </w:p>
        </w:tc>
        <w:tc>
          <w:tcPr>
            <w:tcW w:w="0" w:type="auto"/>
            <w:hideMark/>
          </w:tcPr>
          <w:p w14:paraId="1B593083"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0.636</w:t>
            </w:r>
          </w:p>
        </w:tc>
        <w:tc>
          <w:tcPr>
            <w:tcW w:w="0" w:type="auto"/>
            <w:hideMark/>
          </w:tcPr>
          <w:p w14:paraId="47A6D4F3"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0.091</w:t>
            </w:r>
          </w:p>
        </w:tc>
        <w:tc>
          <w:tcPr>
            <w:tcW w:w="0" w:type="auto"/>
            <w:hideMark/>
          </w:tcPr>
          <w:p w14:paraId="6644536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7.199</w:t>
            </w:r>
          </w:p>
        </w:tc>
        <w:tc>
          <w:tcPr>
            <w:tcW w:w="0" w:type="auto"/>
            <w:hideMark/>
          </w:tcPr>
          <w:p w14:paraId="6641850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0.000</w:t>
            </w:r>
          </w:p>
        </w:tc>
        <w:tc>
          <w:tcPr>
            <w:tcW w:w="0" w:type="auto"/>
            <w:hideMark/>
          </w:tcPr>
          <w:p w14:paraId="7A99C7E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0.758</w:t>
            </w:r>
          </w:p>
        </w:tc>
        <w:tc>
          <w:tcPr>
            <w:tcW w:w="0" w:type="auto"/>
            <w:hideMark/>
          </w:tcPr>
          <w:p w14:paraId="789762CD"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Significant</w:t>
            </w:r>
          </w:p>
        </w:tc>
      </w:tr>
      <w:tr w:rsidR="00F867A8" w:rsidRPr="009B476C" w14:paraId="00C163E5" w14:textId="77777777" w:rsidTr="00F867A8">
        <w:tc>
          <w:tcPr>
            <w:tcW w:w="0" w:type="auto"/>
            <w:hideMark/>
          </w:tcPr>
          <w:p w14:paraId="0641179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 → Z</w:t>
            </w:r>
          </w:p>
        </w:tc>
        <w:tc>
          <w:tcPr>
            <w:tcW w:w="0" w:type="auto"/>
            <w:hideMark/>
          </w:tcPr>
          <w:p w14:paraId="0A331443"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0.740</w:t>
            </w:r>
          </w:p>
        </w:tc>
        <w:tc>
          <w:tcPr>
            <w:tcW w:w="0" w:type="auto"/>
            <w:hideMark/>
          </w:tcPr>
          <w:p w14:paraId="649D1359"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0.736</w:t>
            </w:r>
          </w:p>
        </w:tc>
        <w:tc>
          <w:tcPr>
            <w:tcW w:w="0" w:type="auto"/>
            <w:hideMark/>
          </w:tcPr>
          <w:p w14:paraId="78FC2255"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0.060</w:t>
            </w:r>
          </w:p>
        </w:tc>
        <w:tc>
          <w:tcPr>
            <w:tcW w:w="0" w:type="auto"/>
            <w:hideMark/>
          </w:tcPr>
          <w:p w14:paraId="7BBE116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12.369</w:t>
            </w:r>
          </w:p>
        </w:tc>
        <w:tc>
          <w:tcPr>
            <w:tcW w:w="0" w:type="auto"/>
            <w:hideMark/>
          </w:tcPr>
          <w:p w14:paraId="45ADDC34"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0.000</w:t>
            </w:r>
          </w:p>
        </w:tc>
        <w:tc>
          <w:tcPr>
            <w:tcW w:w="0" w:type="auto"/>
            <w:hideMark/>
          </w:tcPr>
          <w:p w14:paraId="39E59D9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0.828</w:t>
            </w:r>
          </w:p>
        </w:tc>
        <w:tc>
          <w:tcPr>
            <w:tcW w:w="0" w:type="auto"/>
            <w:hideMark/>
          </w:tcPr>
          <w:p w14:paraId="38DC915D"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Significant</w:t>
            </w:r>
          </w:p>
        </w:tc>
      </w:tr>
      <w:tr w:rsidR="00F867A8" w:rsidRPr="009B476C" w14:paraId="2289A18F" w14:textId="77777777" w:rsidTr="00F867A8">
        <w:tc>
          <w:tcPr>
            <w:tcW w:w="0" w:type="auto"/>
            <w:hideMark/>
          </w:tcPr>
          <w:p w14:paraId="16220A2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 → Z</w:t>
            </w:r>
          </w:p>
        </w:tc>
        <w:tc>
          <w:tcPr>
            <w:tcW w:w="0" w:type="auto"/>
            <w:hideMark/>
          </w:tcPr>
          <w:p w14:paraId="32EB67D6"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0.628</w:t>
            </w:r>
          </w:p>
        </w:tc>
        <w:tc>
          <w:tcPr>
            <w:tcW w:w="0" w:type="auto"/>
            <w:hideMark/>
          </w:tcPr>
          <w:p w14:paraId="0BFB458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0.613</w:t>
            </w:r>
          </w:p>
        </w:tc>
        <w:tc>
          <w:tcPr>
            <w:tcW w:w="0" w:type="auto"/>
            <w:hideMark/>
          </w:tcPr>
          <w:p w14:paraId="41A77139"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0.101</w:t>
            </w:r>
          </w:p>
        </w:tc>
        <w:tc>
          <w:tcPr>
            <w:tcW w:w="0" w:type="auto"/>
            <w:hideMark/>
          </w:tcPr>
          <w:p w14:paraId="4FAF6EBC"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6.221</w:t>
            </w:r>
          </w:p>
        </w:tc>
        <w:tc>
          <w:tcPr>
            <w:tcW w:w="0" w:type="auto"/>
            <w:hideMark/>
          </w:tcPr>
          <w:p w14:paraId="18380E59"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0.000</w:t>
            </w:r>
          </w:p>
        </w:tc>
        <w:tc>
          <w:tcPr>
            <w:tcW w:w="0" w:type="auto"/>
            <w:hideMark/>
          </w:tcPr>
          <w:p w14:paraId="398B1CF6"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1.11</w:t>
            </w:r>
          </w:p>
        </w:tc>
        <w:tc>
          <w:tcPr>
            <w:tcW w:w="0" w:type="auto"/>
            <w:hideMark/>
          </w:tcPr>
          <w:p w14:paraId="28E2DEC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Significant</w:t>
            </w:r>
          </w:p>
        </w:tc>
      </w:tr>
      <w:tr w:rsidR="00F867A8" w:rsidRPr="009B476C" w14:paraId="2F46B11B" w14:textId="77777777" w:rsidTr="00F867A8">
        <w:tc>
          <w:tcPr>
            <w:tcW w:w="0" w:type="auto"/>
            <w:hideMark/>
          </w:tcPr>
          <w:p w14:paraId="1507AAF1"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Z → Y</w:t>
            </w:r>
          </w:p>
        </w:tc>
        <w:tc>
          <w:tcPr>
            <w:tcW w:w="0" w:type="auto"/>
            <w:hideMark/>
          </w:tcPr>
          <w:p w14:paraId="623597AC"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0.801</w:t>
            </w:r>
          </w:p>
        </w:tc>
        <w:tc>
          <w:tcPr>
            <w:tcW w:w="0" w:type="auto"/>
            <w:hideMark/>
          </w:tcPr>
          <w:p w14:paraId="3D087D3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0.790</w:t>
            </w:r>
          </w:p>
        </w:tc>
        <w:tc>
          <w:tcPr>
            <w:tcW w:w="0" w:type="auto"/>
            <w:hideMark/>
          </w:tcPr>
          <w:p w14:paraId="09B7CD98"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0.080</w:t>
            </w:r>
          </w:p>
        </w:tc>
        <w:tc>
          <w:tcPr>
            <w:tcW w:w="0" w:type="auto"/>
            <w:hideMark/>
          </w:tcPr>
          <w:p w14:paraId="6B56FF4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9.947</w:t>
            </w:r>
          </w:p>
        </w:tc>
        <w:tc>
          <w:tcPr>
            <w:tcW w:w="0" w:type="auto"/>
            <w:hideMark/>
          </w:tcPr>
          <w:p w14:paraId="038D514B"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0.000</w:t>
            </w:r>
          </w:p>
        </w:tc>
        <w:tc>
          <w:tcPr>
            <w:tcW w:w="0" w:type="auto"/>
            <w:hideMark/>
          </w:tcPr>
          <w:p w14:paraId="5F746AC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0.879</w:t>
            </w:r>
          </w:p>
        </w:tc>
        <w:tc>
          <w:tcPr>
            <w:tcW w:w="0" w:type="auto"/>
            <w:hideMark/>
          </w:tcPr>
          <w:p w14:paraId="10307D61"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Significant</w:t>
            </w:r>
          </w:p>
        </w:tc>
      </w:tr>
      <w:tr w:rsidR="00F867A8" w:rsidRPr="009B476C" w14:paraId="27A04F4C" w14:textId="77777777" w:rsidTr="00F867A8">
        <w:tc>
          <w:tcPr>
            <w:tcW w:w="0" w:type="auto"/>
            <w:hideMark/>
          </w:tcPr>
          <w:p w14:paraId="46051B7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X1 → Z → Y</w:t>
            </w:r>
          </w:p>
        </w:tc>
        <w:tc>
          <w:tcPr>
            <w:tcW w:w="0" w:type="auto"/>
            <w:hideMark/>
          </w:tcPr>
          <w:p w14:paraId="4CFCA3F0"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132A0EF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4F8E1A30"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198F7D34"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10.52</w:t>
            </w:r>
          </w:p>
        </w:tc>
        <w:tc>
          <w:tcPr>
            <w:tcW w:w="0" w:type="auto"/>
            <w:hideMark/>
          </w:tcPr>
          <w:p w14:paraId="30C2FE98"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w:t>
            </w:r>
          </w:p>
        </w:tc>
        <w:tc>
          <w:tcPr>
            <w:tcW w:w="0" w:type="auto"/>
            <w:hideMark/>
          </w:tcPr>
          <w:p w14:paraId="43ADEABB"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0.666</w:t>
            </w:r>
          </w:p>
        </w:tc>
        <w:tc>
          <w:tcPr>
            <w:tcW w:w="0" w:type="auto"/>
            <w:hideMark/>
          </w:tcPr>
          <w:p w14:paraId="0212D5C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Full Mediation</w:t>
            </w:r>
          </w:p>
        </w:tc>
      </w:tr>
      <w:tr w:rsidR="00F867A8" w:rsidRPr="009B476C" w14:paraId="5562F2A3" w14:textId="77777777" w:rsidTr="00F867A8">
        <w:tc>
          <w:tcPr>
            <w:tcW w:w="0" w:type="auto"/>
            <w:hideMark/>
          </w:tcPr>
          <w:p w14:paraId="4C0ED0D5"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X2 → Z → Y</w:t>
            </w:r>
          </w:p>
        </w:tc>
        <w:tc>
          <w:tcPr>
            <w:tcW w:w="0" w:type="auto"/>
            <w:hideMark/>
          </w:tcPr>
          <w:p w14:paraId="6F6E4B06"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7541289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5FBF8CDC"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528BC9E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11.24</w:t>
            </w:r>
          </w:p>
        </w:tc>
        <w:tc>
          <w:tcPr>
            <w:tcW w:w="0" w:type="auto"/>
            <w:hideMark/>
          </w:tcPr>
          <w:p w14:paraId="57CEB2E2"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w:t>
            </w:r>
          </w:p>
        </w:tc>
        <w:tc>
          <w:tcPr>
            <w:tcW w:w="0" w:type="auto"/>
            <w:hideMark/>
          </w:tcPr>
          <w:p w14:paraId="2FB178DF"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0.728</w:t>
            </w:r>
          </w:p>
        </w:tc>
        <w:tc>
          <w:tcPr>
            <w:tcW w:w="0" w:type="auto"/>
            <w:hideMark/>
          </w:tcPr>
          <w:p w14:paraId="4676C4A6"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Full Mediation</w:t>
            </w:r>
          </w:p>
        </w:tc>
      </w:tr>
      <w:tr w:rsidR="00F867A8" w:rsidRPr="009B476C" w14:paraId="00C5AA7D" w14:textId="77777777" w:rsidTr="00F867A8">
        <w:tc>
          <w:tcPr>
            <w:tcW w:w="0" w:type="auto"/>
            <w:hideMark/>
          </w:tcPr>
          <w:p w14:paraId="50034B5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X3 → Z → Y</w:t>
            </w:r>
          </w:p>
        </w:tc>
        <w:tc>
          <w:tcPr>
            <w:tcW w:w="0" w:type="auto"/>
            <w:hideMark/>
          </w:tcPr>
          <w:p w14:paraId="296EAA5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158A967E"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00BC180C"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w:t>
            </w:r>
          </w:p>
        </w:tc>
        <w:tc>
          <w:tcPr>
            <w:tcW w:w="0" w:type="auto"/>
            <w:hideMark/>
          </w:tcPr>
          <w:p w14:paraId="4AF347A5"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12.01</w:t>
            </w:r>
          </w:p>
        </w:tc>
        <w:tc>
          <w:tcPr>
            <w:tcW w:w="0" w:type="auto"/>
            <w:hideMark/>
          </w:tcPr>
          <w:p w14:paraId="72106320"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0.0</w:t>
            </w:r>
          </w:p>
        </w:tc>
        <w:tc>
          <w:tcPr>
            <w:tcW w:w="0" w:type="auto"/>
            <w:hideMark/>
          </w:tcPr>
          <w:p w14:paraId="79B7B44A"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0.976</w:t>
            </w:r>
          </w:p>
        </w:tc>
        <w:tc>
          <w:tcPr>
            <w:tcW w:w="0" w:type="auto"/>
            <w:hideMark/>
          </w:tcPr>
          <w:p w14:paraId="178C69DB" w14:textId="77777777" w:rsidR="00F867A8" w:rsidRPr="009B476C" w:rsidRDefault="00F867A8" w:rsidP="00F867A8">
            <w:pPr>
              <w:rPr>
                <w:rFonts w:ascii="Times New Roman" w:eastAsia="Times New Roman" w:hAnsi="Times New Roman" w:cs="Times New Roman"/>
                <w:kern w:val="0"/>
                <w:highlight w:val="yellow"/>
                <w:lang w:val="id-ID" w:eastAsia="ja-JP"/>
                <w14:ligatures w14:val="none"/>
              </w:rPr>
            </w:pPr>
            <w:r w:rsidRPr="009B476C">
              <w:rPr>
                <w:rFonts w:ascii="Times New Roman" w:eastAsia="Times New Roman" w:hAnsi="Times New Roman" w:cs="Times New Roman"/>
                <w:kern w:val="0"/>
                <w:highlight w:val="yellow"/>
                <w:lang w:val="id-ID" w:eastAsia="ja-JP"/>
                <w14:ligatures w14:val="none"/>
              </w:rPr>
              <w:t>Full Mediation</w:t>
            </w:r>
          </w:p>
        </w:tc>
      </w:tr>
    </w:tbl>
    <w:p w14:paraId="4D880949" w14:textId="77777777" w:rsidR="00DF3F01" w:rsidRPr="00DF3F01" w:rsidRDefault="00DF3F01" w:rsidP="00DF3F01">
      <w:pPr>
        <w:spacing w:before="100" w:beforeAutospacing="1" w:after="100" w:afterAutospacing="1" w:line="240" w:lineRule="auto"/>
        <w:jc w:val="both"/>
        <w:rPr>
          <w:rFonts w:ascii="Arial" w:eastAsia="Times New Roman" w:hAnsi="Arial" w:cs="Arial"/>
          <w:b/>
          <w:bCs/>
          <w:kern w:val="0"/>
          <w:highlight w:val="yellow"/>
          <w:lang w:eastAsia="ja-JP"/>
          <w14:ligatures w14:val="none"/>
        </w:rPr>
      </w:pPr>
      <w:r w:rsidRPr="00DF3F01">
        <w:rPr>
          <w:rFonts w:ascii="Arial" w:eastAsia="Times New Roman" w:hAnsi="Arial" w:cs="Arial"/>
          <w:b/>
          <w:bCs/>
          <w:kern w:val="0"/>
          <w:highlight w:val="yellow"/>
          <w:lang w:eastAsia="ja-JP"/>
          <w14:ligatures w14:val="none"/>
        </w:rPr>
        <w:t>Path Coefficients and Mediation Findings</w:t>
      </w:r>
    </w:p>
    <w:p w14:paraId="76D9077D" w14:textId="540C3A9E" w:rsidR="00DF3F01" w:rsidRPr="00DF3F01" w:rsidRDefault="00DF3F01" w:rsidP="00DF3F01">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DF3F01">
        <w:rPr>
          <w:rFonts w:ascii="Arial" w:eastAsia="Times New Roman" w:hAnsi="Arial" w:cs="Arial"/>
          <w:b/>
          <w:bCs/>
          <w:kern w:val="0"/>
          <w:highlight w:val="yellow"/>
          <w:lang w:eastAsia="ja-JP"/>
          <w14:ligatures w14:val="none"/>
        </w:rPr>
        <w:t xml:space="preserve">Table </w:t>
      </w:r>
      <w:r w:rsidR="00B719A5">
        <w:rPr>
          <w:rFonts w:ascii="Arial" w:eastAsia="Times New Roman" w:hAnsi="Arial" w:cs="Arial"/>
          <w:b/>
          <w:bCs/>
          <w:kern w:val="0"/>
          <w:highlight w:val="yellow"/>
          <w:lang w:eastAsia="ja-JP"/>
          <w14:ligatures w14:val="none"/>
        </w:rPr>
        <w:t>5</w:t>
      </w:r>
      <w:r w:rsidRPr="00DF3F01">
        <w:rPr>
          <w:rFonts w:ascii="Arial" w:eastAsia="Times New Roman" w:hAnsi="Arial" w:cs="Arial"/>
          <w:kern w:val="0"/>
          <w:highlight w:val="yellow"/>
          <w:lang w:eastAsia="ja-JP"/>
          <w14:ligatures w14:val="none"/>
        </w:rPr>
        <w:t xml:space="preserve"> summarizes key path coefficients from the structural model:</w:t>
      </w:r>
    </w:p>
    <w:p w14:paraId="7F013BAB" w14:textId="77777777" w:rsidR="00DF3F01" w:rsidRPr="00DF3F01" w:rsidRDefault="00DF3F01" w:rsidP="00DF3F01">
      <w:pPr>
        <w:numPr>
          <w:ilvl w:val="0"/>
          <w:numId w:val="24"/>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lastRenderedPageBreak/>
        <w:t xml:space="preserve">Sectoral budget allocations (X1, X2, X3) → </w:t>
      </w:r>
      <w:r w:rsidRPr="00DF3F01">
        <w:rPr>
          <w:rFonts w:ascii="Arial" w:eastAsia="Times New Roman" w:hAnsi="Arial" w:cs="Arial"/>
          <w:b/>
          <w:bCs/>
          <w:kern w:val="0"/>
          <w:highlight w:val="yellow"/>
          <w:lang w:eastAsia="ja-JP"/>
          <w14:ligatures w14:val="none"/>
        </w:rPr>
        <w:t>Public Service Quality (Z)</w:t>
      </w:r>
      <w:r w:rsidRPr="00DF3F01">
        <w:rPr>
          <w:rFonts w:ascii="Arial" w:eastAsia="Times New Roman" w:hAnsi="Arial" w:cs="Arial"/>
          <w:kern w:val="0"/>
          <w:highlight w:val="yellow"/>
          <w:lang w:eastAsia="ja-JP"/>
          <w14:ligatures w14:val="none"/>
        </w:rPr>
        <w:t>: All significant (p &lt; 0.001).</w:t>
      </w:r>
    </w:p>
    <w:p w14:paraId="6D5B19A9" w14:textId="77777777" w:rsidR="00DF3F01" w:rsidRPr="00DF3F01" w:rsidRDefault="00DF3F01" w:rsidP="00DF3F01">
      <w:pPr>
        <w:numPr>
          <w:ilvl w:val="0"/>
          <w:numId w:val="24"/>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DF3F01">
        <w:rPr>
          <w:rFonts w:ascii="Arial" w:eastAsia="Times New Roman" w:hAnsi="Arial" w:cs="Arial"/>
          <w:b/>
          <w:bCs/>
          <w:kern w:val="0"/>
          <w:highlight w:val="yellow"/>
          <w:lang w:eastAsia="ja-JP"/>
          <w14:ligatures w14:val="none"/>
        </w:rPr>
        <w:t>Z → Y (HDI):</w:t>
      </w:r>
      <w:r w:rsidRPr="00DF3F01">
        <w:rPr>
          <w:rFonts w:ascii="Arial" w:eastAsia="Times New Roman" w:hAnsi="Arial" w:cs="Arial"/>
          <w:kern w:val="0"/>
          <w:highlight w:val="yellow"/>
          <w:lang w:eastAsia="ja-JP"/>
          <w14:ligatures w14:val="none"/>
        </w:rPr>
        <w:t xml:space="preserve"> Significant (β = 0.879, p &lt; 0.001).</w:t>
      </w:r>
    </w:p>
    <w:p w14:paraId="5AF4630D" w14:textId="77777777" w:rsidR="00DF3F01" w:rsidRPr="00DF3F01" w:rsidRDefault="00DF3F01" w:rsidP="00DF3F01">
      <w:pPr>
        <w:numPr>
          <w:ilvl w:val="0"/>
          <w:numId w:val="24"/>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DF3F01">
        <w:rPr>
          <w:rFonts w:ascii="Arial" w:eastAsia="Times New Roman" w:hAnsi="Arial" w:cs="Arial"/>
          <w:b/>
          <w:bCs/>
          <w:kern w:val="0"/>
          <w:highlight w:val="yellow"/>
          <w:lang w:eastAsia="ja-JP"/>
          <w14:ligatures w14:val="none"/>
        </w:rPr>
        <w:t>X1, X2, X3 → Y:</w:t>
      </w:r>
      <w:r w:rsidRPr="00DF3F01">
        <w:rPr>
          <w:rFonts w:ascii="Arial" w:eastAsia="Times New Roman" w:hAnsi="Arial" w:cs="Arial"/>
          <w:kern w:val="0"/>
          <w:highlight w:val="yellow"/>
          <w:lang w:eastAsia="ja-JP"/>
          <w14:ligatures w14:val="none"/>
        </w:rPr>
        <w:t xml:space="preserve"> Not statistically significant (p &gt; 0.05) → </w:t>
      </w:r>
      <w:r w:rsidRPr="00DF3F01">
        <w:rPr>
          <w:rFonts w:ascii="Arial" w:eastAsia="Times New Roman" w:hAnsi="Arial" w:cs="Arial"/>
          <w:i/>
          <w:iCs/>
          <w:kern w:val="0"/>
          <w:highlight w:val="yellow"/>
          <w:lang w:eastAsia="ja-JP"/>
          <w14:ligatures w14:val="none"/>
        </w:rPr>
        <w:t>H2 is rejected</w:t>
      </w:r>
      <w:r w:rsidRPr="00DF3F01">
        <w:rPr>
          <w:rFonts w:ascii="Arial" w:eastAsia="Times New Roman" w:hAnsi="Arial" w:cs="Arial"/>
          <w:kern w:val="0"/>
          <w:highlight w:val="yellow"/>
          <w:lang w:eastAsia="ja-JP"/>
          <w14:ligatures w14:val="none"/>
        </w:rPr>
        <w:t>.</w:t>
      </w:r>
    </w:p>
    <w:p w14:paraId="6C88D0E6" w14:textId="77777777" w:rsidR="00DF3F01" w:rsidRPr="00DF3F01" w:rsidRDefault="00DF3F01" w:rsidP="00DF3F01">
      <w:pPr>
        <w:numPr>
          <w:ilvl w:val="0"/>
          <w:numId w:val="24"/>
        </w:num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Indirect paths (</w:t>
      </w:r>
      <w:r w:rsidRPr="00DF3F01">
        <w:rPr>
          <w:rFonts w:ascii="Arial" w:eastAsia="Times New Roman" w:hAnsi="Arial" w:cs="Arial"/>
          <w:b/>
          <w:bCs/>
          <w:kern w:val="0"/>
          <w:highlight w:val="yellow"/>
          <w:lang w:eastAsia="ja-JP"/>
          <w14:ligatures w14:val="none"/>
        </w:rPr>
        <w:t>X → Z → Y</w:t>
      </w:r>
      <w:r w:rsidRPr="00DF3F01">
        <w:rPr>
          <w:rFonts w:ascii="Arial" w:eastAsia="Times New Roman" w:hAnsi="Arial" w:cs="Arial"/>
          <w:kern w:val="0"/>
          <w:highlight w:val="yellow"/>
          <w:lang w:eastAsia="ja-JP"/>
          <w14:ligatures w14:val="none"/>
        </w:rPr>
        <w:t xml:space="preserve">) are statistically significant → </w:t>
      </w:r>
      <w:r w:rsidRPr="00DF3F01">
        <w:rPr>
          <w:rFonts w:ascii="Arial" w:eastAsia="Times New Roman" w:hAnsi="Arial" w:cs="Arial"/>
          <w:i/>
          <w:iCs/>
          <w:kern w:val="0"/>
          <w:highlight w:val="yellow"/>
          <w:lang w:eastAsia="ja-JP"/>
          <w14:ligatures w14:val="none"/>
        </w:rPr>
        <w:t>Full mediation confirmed</w:t>
      </w:r>
      <w:r w:rsidRPr="00DF3F01">
        <w:rPr>
          <w:rFonts w:ascii="Arial" w:eastAsia="Times New Roman" w:hAnsi="Arial" w:cs="Arial"/>
          <w:kern w:val="0"/>
          <w:highlight w:val="yellow"/>
          <w:lang w:eastAsia="ja-JP"/>
          <w14:ligatures w14:val="none"/>
        </w:rPr>
        <w:t>.</w:t>
      </w:r>
    </w:p>
    <w:p w14:paraId="5FD953BD" w14:textId="368AEBFA" w:rsidR="009B476C" w:rsidRPr="00DF3F01" w:rsidRDefault="00DF3F01" w:rsidP="009B476C">
      <w:pPr>
        <w:spacing w:before="100" w:beforeAutospacing="1" w:after="100" w:afterAutospacing="1" w:line="240" w:lineRule="auto"/>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 xml:space="preserve">This provides compelling evidence that </w:t>
      </w:r>
      <w:r w:rsidRPr="00DF3F01">
        <w:rPr>
          <w:rFonts w:ascii="Arial" w:eastAsia="Times New Roman" w:hAnsi="Arial" w:cs="Arial"/>
          <w:b/>
          <w:bCs/>
          <w:kern w:val="0"/>
          <w:highlight w:val="yellow"/>
          <w:lang w:eastAsia="ja-JP"/>
          <w14:ligatures w14:val="none"/>
        </w:rPr>
        <w:t>public service quality fully mediates</w:t>
      </w:r>
      <w:r w:rsidRPr="00DF3F01">
        <w:rPr>
          <w:rFonts w:ascii="Arial" w:eastAsia="Times New Roman" w:hAnsi="Arial" w:cs="Arial"/>
          <w:kern w:val="0"/>
          <w:highlight w:val="yellow"/>
          <w:lang w:eastAsia="ja-JP"/>
          <w14:ligatures w14:val="none"/>
        </w:rPr>
        <w:t xml:space="preserve"> the impact of fiscal allocations on human development outcomes. </w:t>
      </w:r>
      <w:r w:rsidRPr="00DF3F01">
        <w:rPr>
          <w:rFonts w:ascii="Arial" w:eastAsia="Times New Roman" w:hAnsi="Arial" w:cs="Arial"/>
          <w:b/>
          <w:bCs/>
          <w:kern w:val="0"/>
          <w:highlight w:val="yellow"/>
          <w:lang w:eastAsia="ja-JP"/>
          <w14:ligatures w14:val="none"/>
        </w:rPr>
        <w:t>Direct fiscal investments</w:t>
      </w:r>
      <w:r w:rsidRPr="00DF3F01">
        <w:rPr>
          <w:rFonts w:ascii="Arial" w:eastAsia="Times New Roman" w:hAnsi="Arial" w:cs="Arial"/>
          <w:kern w:val="0"/>
          <w:highlight w:val="yellow"/>
          <w:lang w:eastAsia="ja-JP"/>
          <w14:ligatures w14:val="none"/>
        </w:rPr>
        <w:t xml:space="preserve"> alone do not enhance HDI without corresponding gains in service delivery quality</w:t>
      </w:r>
      <w:r>
        <w:rPr>
          <w:rFonts w:ascii="Arial" w:eastAsia="Times New Roman" w:hAnsi="Arial" w:cs="Arial"/>
          <w:kern w:val="0"/>
          <w:highlight w:val="yellow"/>
          <w:lang w:eastAsia="ja-JP"/>
          <w14:ligatures w14:val="none"/>
        </w:rPr>
        <w:t>.</w:t>
      </w:r>
    </w:p>
    <w:p w14:paraId="766D0412" w14:textId="02E556BE" w:rsidR="00DF3F01" w:rsidRPr="00DF3F01" w:rsidRDefault="00DF3F01" w:rsidP="00DF3F01">
      <w:pPr>
        <w:spacing w:before="100" w:beforeAutospacing="1" w:after="100" w:afterAutospacing="1" w:line="240" w:lineRule="auto"/>
        <w:jc w:val="both"/>
        <w:rPr>
          <w:rFonts w:ascii="Arial" w:eastAsia="Times New Roman" w:hAnsi="Arial" w:cs="Arial"/>
          <w:b/>
          <w:bCs/>
          <w:kern w:val="0"/>
          <w:lang w:eastAsia="ja-JP"/>
          <w14:ligatures w14:val="none"/>
        </w:rPr>
      </w:pPr>
      <w:r w:rsidRPr="00DF3F01">
        <w:rPr>
          <w:rFonts w:ascii="Arial" w:eastAsia="Times New Roman" w:hAnsi="Arial" w:cs="Arial"/>
          <w:b/>
          <w:bCs/>
          <w:kern w:val="0"/>
          <w:lang w:eastAsia="ja-JP"/>
          <w14:ligatures w14:val="none"/>
        </w:rPr>
        <w:t xml:space="preserve">Table </w:t>
      </w:r>
      <w:r w:rsidR="00B719A5">
        <w:rPr>
          <w:rFonts w:ascii="Arial" w:eastAsia="Times New Roman" w:hAnsi="Arial" w:cs="Arial"/>
          <w:b/>
          <w:bCs/>
          <w:kern w:val="0"/>
          <w:lang w:eastAsia="ja-JP"/>
          <w14:ligatures w14:val="none"/>
        </w:rPr>
        <w:t>6</w:t>
      </w:r>
      <w:r w:rsidRPr="00DF3F01">
        <w:rPr>
          <w:rFonts w:ascii="Arial" w:eastAsia="Times New Roman" w:hAnsi="Arial" w:cs="Arial"/>
          <w:b/>
          <w:bCs/>
          <w:kern w:val="0"/>
          <w:lang w:eastAsia="ja-JP"/>
          <w14:ligatures w14:val="none"/>
        </w:rPr>
        <w:t>. Summary of Hypotheses and Findings</w:t>
      </w:r>
    </w:p>
    <w:tbl>
      <w:tblPr>
        <w:tblStyle w:val="TableGrid"/>
        <w:tblW w:w="0" w:type="auto"/>
        <w:tblLook w:val="04A0" w:firstRow="1" w:lastRow="0" w:firstColumn="1" w:lastColumn="0" w:noHBand="0" w:noVBand="1"/>
      </w:tblPr>
      <w:tblGrid>
        <w:gridCol w:w="1510"/>
        <w:gridCol w:w="2451"/>
        <w:gridCol w:w="1447"/>
        <w:gridCol w:w="3609"/>
      </w:tblGrid>
      <w:tr w:rsidR="00DF3F01" w:rsidRPr="00DF3F01" w14:paraId="684B677F" w14:textId="77777777" w:rsidTr="00DF3F01">
        <w:tc>
          <w:tcPr>
            <w:tcW w:w="0" w:type="auto"/>
            <w:hideMark/>
          </w:tcPr>
          <w:p w14:paraId="423071B2" w14:textId="77777777" w:rsidR="00DF3F01" w:rsidRPr="00DF3F01" w:rsidRDefault="00DF3F01" w:rsidP="00DF3F01">
            <w:pPr>
              <w:spacing w:before="100" w:beforeAutospacing="1" w:after="100" w:afterAutospacing="1"/>
              <w:jc w:val="both"/>
              <w:rPr>
                <w:rFonts w:ascii="Arial" w:eastAsia="Times New Roman" w:hAnsi="Arial" w:cs="Arial"/>
                <w:b/>
                <w:bCs/>
                <w:kern w:val="0"/>
                <w:highlight w:val="yellow"/>
                <w:lang w:eastAsia="ja-JP"/>
                <w14:ligatures w14:val="none"/>
              </w:rPr>
            </w:pPr>
            <w:r w:rsidRPr="00DF3F01">
              <w:rPr>
                <w:rFonts w:ascii="Arial" w:eastAsia="Times New Roman" w:hAnsi="Arial" w:cs="Arial"/>
                <w:b/>
                <w:bCs/>
                <w:kern w:val="0"/>
                <w:highlight w:val="yellow"/>
                <w:lang w:eastAsia="ja-JP"/>
                <w14:ligatures w14:val="none"/>
              </w:rPr>
              <w:t>Hypothesis</w:t>
            </w:r>
          </w:p>
        </w:tc>
        <w:tc>
          <w:tcPr>
            <w:tcW w:w="0" w:type="auto"/>
            <w:hideMark/>
          </w:tcPr>
          <w:p w14:paraId="578682A5" w14:textId="77777777" w:rsidR="00DF3F01" w:rsidRPr="00DF3F01" w:rsidRDefault="00DF3F01" w:rsidP="00DF3F01">
            <w:pPr>
              <w:spacing w:before="100" w:beforeAutospacing="1" w:after="100" w:afterAutospacing="1"/>
              <w:jc w:val="both"/>
              <w:rPr>
                <w:rFonts w:ascii="Arial" w:eastAsia="Times New Roman" w:hAnsi="Arial" w:cs="Arial"/>
                <w:b/>
                <w:bCs/>
                <w:kern w:val="0"/>
                <w:highlight w:val="yellow"/>
                <w:lang w:eastAsia="ja-JP"/>
                <w14:ligatures w14:val="none"/>
              </w:rPr>
            </w:pPr>
            <w:r w:rsidRPr="00DF3F01">
              <w:rPr>
                <w:rFonts w:ascii="Arial" w:eastAsia="Times New Roman" w:hAnsi="Arial" w:cs="Arial"/>
                <w:b/>
                <w:bCs/>
                <w:kern w:val="0"/>
                <w:highlight w:val="yellow"/>
                <w:lang w:eastAsia="ja-JP"/>
                <w14:ligatures w14:val="none"/>
              </w:rPr>
              <w:t>Statement</w:t>
            </w:r>
          </w:p>
        </w:tc>
        <w:tc>
          <w:tcPr>
            <w:tcW w:w="0" w:type="auto"/>
            <w:hideMark/>
          </w:tcPr>
          <w:p w14:paraId="5E4ECAA2" w14:textId="77777777" w:rsidR="00DF3F01" w:rsidRPr="00DF3F01" w:rsidRDefault="00DF3F01" w:rsidP="00DF3F01">
            <w:pPr>
              <w:spacing w:before="100" w:beforeAutospacing="1" w:after="100" w:afterAutospacing="1"/>
              <w:jc w:val="both"/>
              <w:rPr>
                <w:rFonts w:ascii="Arial" w:eastAsia="Times New Roman" w:hAnsi="Arial" w:cs="Arial"/>
                <w:b/>
                <w:bCs/>
                <w:kern w:val="0"/>
                <w:highlight w:val="yellow"/>
                <w:lang w:eastAsia="ja-JP"/>
                <w14:ligatures w14:val="none"/>
              </w:rPr>
            </w:pPr>
            <w:r w:rsidRPr="00DF3F01">
              <w:rPr>
                <w:rFonts w:ascii="Arial" w:eastAsia="Times New Roman" w:hAnsi="Arial" w:cs="Arial"/>
                <w:b/>
                <w:bCs/>
                <w:kern w:val="0"/>
                <w:highlight w:val="yellow"/>
                <w:lang w:eastAsia="ja-JP"/>
                <w14:ligatures w14:val="none"/>
              </w:rPr>
              <w:t>Supported</w:t>
            </w:r>
          </w:p>
        </w:tc>
        <w:tc>
          <w:tcPr>
            <w:tcW w:w="0" w:type="auto"/>
            <w:hideMark/>
          </w:tcPr>
          <w:p w14:paraId="0FC088C3" w14:textId="77777777" w:rsidR="00DF3F01" w:rsidRPr="00DF3F01" w:rsidRDefault="00DF3F01" w:rsidP="00DF3F01">
            <w:pPr>
              <w:spacing w:before="100" w:beforeAutospacing="1" w:after="100" w:afterAutospacing="1"/>
              <w:jc w:val="both"/>
              <w:rPr>
                <w:rFonts w:ascii="Arial" w:eastAsia="Times New Roman" w:hAnsi="Arial" w:cs="Arial"/>
                <w:b/>
                <w:bCs/>
                <w:kern w:val="0"/>
                <w:highlight w:val="yellow"/>
                <w:lang w:eastAsia="ja-JP"/>
                <w14:ligatures w14:val="none"/>
              </w:rPr>
            </w:pPr>
            <w:r w:rsidRPr="00DF3F01">
              <w:rPr>
                <w:rFonts w:ascii="Arial" w:eastAsia="Times New Roman" w:hAnsi="Arial" w:cs="Arial"/>
                <w:b/>
                <w:bCs/>
                <w:kern w:val="0"/>
                <w:highlight w:val="yellow"/>
                <w:lang w:eastAsia="ja-JP"/>
                <w14:ligatures w14:val="none"/>
              </w:rPr>
              <w:t>Explanation</w:t>
            </w:r>
          </w:p>
        </w:tc>
      </w:tr>
      <w:tr w:rsidR="00DF3F01" w:rsidRPr="00DF3F01" w14:paraId="0355680C" w14:textId="77777777" w:rsidTr="00DF3F01">
        <w:tc>
          <w:tcPr>
            <w:tcW w:w="0" w:type="auto"/>
            <w:hideMark/>
          </w:tcPr>
          <w:p w14:paraId="2FCE57FE"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H1</w:t>
            </w:r>
          </w:p>
        </w:tc>
        <w:tc>
          <w:tcPr>
            <w:tcW w:w="0" w:type="auto"/>
            <w:hideMark/>
          </w:tcPr>
          <w:p w14:paraId="1A12717C"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Sectoral budgets significantly affect perceived public service quality</w:t>
            </w:r>
          </w:p>
        </w:tc>
        <w:tc>
          <w:tcPr>
            <w:tcW w:w="0" w:type="auto"/>
            <w:hideMark/>
          </w:tcPr>
          <w:p w14:paraId="50985D17"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Supported</w:t>
            </w:r>
          </w:p>
        </w:tc>
        <w:tc>
          <w:tcPr>
            <w:tcW w:w="0" w:type="auto"/>
            <w:hideMark/>
          </w:tcPr>
          <w:p w14:paraId="00381A4B"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The direct effects of education, health, and infrastructure expenditures on public service quality are statistically significant and robust.</w:t>
            </w:r>
          </w:p>
        </w:tc>
      </w:tr>
      <w:tr w:rsidR="00DF3F01" w:rsidRPr="00DF3F01" w14:paraId="7E506748" w14:textId="77777777" w:rsidTr="00DF3F01">
        <w:tc>
          <w:tcPr>
            <w:tcW w:w="0" w:type="auto"/>
            <w:hideMark/>
          </w:tcPr>
          <w:p w14:paraId="7E853BB2"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H2</w:t>
            </w:r>
          </w:p>
        </w:tc>
        <w:tc>
          <w:tcPr>
            <w:tcW w:w="0" w:type="auto"/>
            <w:hideMark/>
          </w:tcPr>
          <w:p w14:paraId="585011BD"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Sectoral budgets directly affect the Human Development Index (HDI)</w:t>
            </w:r>
          </w:p>
        </w:tc>
        <w:tc>
          <w:tcPr>
            <w:tcW w:w="0" w:type="auto"/>
            <w:hideMark/>
          </w:tcPr>
          <w:p w14:paraId="12C563D8"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Not Supported</w:t>
            </w:r>
          </w:p>
        </w:tc>
        <w:tc>
          <w:tcPr>
            <w:tcW w:w="0" w:type="auto"/>
            <w:hideMark/>
          </w:tcPr>
          <w:p w14:paraId="39940353"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The path coefficients from sectoral spending variables (X1, X2, X3) to HDI (Y) are not statistically significant, with p-values exceeding the 0.05 threshold.</w:t>
            </w:r>
          </w:p>
        </w:tc>
      </w:tr>
      <w:tr w:rsidR="00DF3F01" w:rsidRPr="00DF3F01" w14:paraId="76114696" w14:textId="77777777" w:rsidTr="00DF3F01">
        <w:tc>
          <w:tcPr>
            <w:tcW w:w="0" w:type="auto"/>
            <w:hideMark/>
          </w:tcPr>
          <w:p w14:paraId="6D973714"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H3</w:t>
            </w:r>
          </w:p>
        </w:tc>
        <w:tc>
          <w:tcPr>
            <w:tcW w:w="0" w:type="auto"/>
            <w:hideMark/>
          </w:tcPr>
          <w:p w14:paraId="5D28F945"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Perceived public service quality significantly affects the Human Development Index (HDI)</w:t>
            </w:r>
          </w:p>
        </w:tc>
        <w:tc>
          <w:tcPr>
            <w:tcW w:w="0" w:type="auto"/>
            <w:hideMark/>
          </w:tcPr>
          <w:p w14:paraId="07EFA16A"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Supported</w:t>
            </w:r>
          </w:p>
        </w:tc>
        <w:tc>
          <w:tcPr>
            <w:tcW w:w="0" w:type="auto"/>
            <w:hideMark/>
          </w:tcPr>
          <w:p w14:paraId="0F100EB7"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The relationship from perceived service quality (Z) to HDI (Y) is strongly significant, with a standardized coefficient β = 0.879, t = 9.947, and p &lt; 0.001.</w:t>
            </w:r>
          </w:p>
        </w:tc>
      </w:tr>
      <w:tr w:rsidR="00DF3F01" w:rsidRPr="00DF3F01" w14:paraId="791EDA0C" w14:textId="77777777" w:rsidTr="00DF3F01">
        <w:tc>
          <w:tcPr>
            <w:tcW w:w="0" w:type="auto"/>
            <w:hideMark/>
          </w:tcPr>
          <w:p w14:paraId="0FCDECF8"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H4</w:t>
            </w:r>
          </w:p>
        </w:tc>
        <w:tc>
          <w:tcPr>
            <w:tcW w:w="0" w:type="auto"/>
            <w:hideMark/>
          </w:tcPr>
          <w:p w14:paraId="6A089EF6"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Public service quality mediates the influence of sectoral budgets on the Human Development Index</w:t>
            </w:r>
          </w:p>
        </w:tc>
        <w:tc>
          <w:tcPr>
            <w:tcW w:w="0" w:type="auto"/>
            <w:hideMark/>
          </w:tcPr>
          <w:p w14:paraId="67C73E66" w14:textId="77777777" w:rsidR="00DF3F01" w:rsidRPr="00DF3F01" w:rsidRDefault="00DF3F01" w:rsidP="00DF3F01">
            <w:pPr>
              <w:spacing w:before="100" w:beforeAutospacing="1" w:after="100" w:afterAutospacing="1"/>
              <w:jc w:val="both"/>
              <w:rPr>
                <w:rFonts w:ascii="Arial" w:eastAsia="Times New Roman" w:hAnsi="Arial" w:cs="Arial"/>
                <w:kern w:val="0"/>
                <w:highlight w:val="yellow"/>
                <w:lang w:eastAsia="ja-JP"/>
                <w14:ligatures w14:val="none"/>
              </w:rPr>
            </w:pPr>
            <w:r w:rsidRPr="00DF3F01">
              <w:rPr>
                <w:rFonts w:ascii="Arial" w:eastAsia="Times New Roman" w:hAnsi="Arial" w:cs="Arial"/>
                <w:kern w:val="0"/>
                <w:highlight w:val="yellow"/>
                <w:lang w:eastAsia="ja-JP"/>
                <w14:ligatures w14:val="none"/>
              </w:rPr>
              <w:t>Supported</w:t>
            </w:r>
          </w:p>
        </w:tc>
        <w:tc>
          <w:tcPr>
            <w:tcW w:w="0" w:type="auto"/>
            <w:hideMark/>
          </w:tcPr>
          <w:p w14:paraId="61B1B2A2" w14:textId="77777777" w:rsidR="00DF3F01" w:rsidRPr="00DF3F01" w:rsidRDefault="00DF3F01" w:rsidP="00DF3F01">
            <w:pPr>
              <w:spacing w:before="100" w:beforeAutospacing="1" w:after="100" w:afterAutospacing="1"/>
              <w:jc w:val="both"/>
              <w:rPr>
                <w:rFonts w:ascii="Arial" w:eastAsia="Times New Roman" w:hAnsi="Arial" w:cs="Arial"/>
                <w:kern w:val="0"/>
                <w:lang w:eastAsia="ja-JP"/>
                <w14:ligatures w14:val="none"/>
              </w:rPr>
            </w:pPr>
            <w:r w:rsidRPr="00DF3F01">
              <w:rPr>
                <w:rFonts w:ascii="Arial" w:eastAsia="Times New Roman" w:hAnsi="Arial" w:cs="Arial"/>
                <w:kern w:val="0"/>
                <w:highlight w:val="yellow"/>
                <w:lang w:eastAsia="ja-JP"/>
                <w14:ligatures w14:val="none"/>
              </w:rPr>
              <w:t>Full mediation is statistically confirmed, with all indirect paths (X → Z → Y) demonstrating strong significance (t-statistics &gt; 10), indicating that fiscal inputs affect HDI only through improvements in service quality.</w:t>
            </w:r>
          </w:p>
        </w:tc>
      </w:tr>
    </w:tbl>
    <w:p w14:paraId="6FCF6EE6" w14:textId="77777777" w:rsidR="00DF3F01" w:rsidRPr="00DF3F01" w:rsidRDefault="00DF3F01" w:rsidP="00DF3F01">
      <w:pPr>
        <w:spacing w:before="100" w:beforeAutospacing="1" w:after="100" w:afterAutospacing="1" w:line="240" w:lineRule="auto"/>
        <w:jc w:val="both"/>
        <w:rPr>
          <w:rFonts w:ascii="Arial" w:eastAsia="Times New Roman" w:hAnsi="Arial" w:cs="Arial"/>
          <w:b/>
          <w:bCs/>
          <w:kern w:val="0"/>
          <w:lang w:eastAsia="ja-JP"/>
          <w14:ligatures w14:val="none"/>
        </w:rPr>
      </w:pPr>
      <w:r w:rsidRPr="00DF3F01">
        <w:rPr>
          <w:rFonts w:ascii="Arial" w:eastAsia="Times New Roman" w:hAnsi="Arial" w:cs="Arial"/>
          <w:b/>
          <w:bCs/>
          <w:kern w:val="0"/>
          <w:lang w:eastAsia="ja-JP"/>
          <w14:ligatures w14:val="none"/>
        </w:rPr>
        <w:t>Interpretation and Policy Implications</w:t>
      </w:r>
    </w:p>
    <w:p w14:paraId="03DE6B5D" w14:textId="77777777" w:rsidR="00DF3F01" w:rsidRPr="00DF3F01" w:rsidRDefault="00DF3F01" w:rsidP="00DF3F01">
      <w:pPr>
        <w:spacing w:before="100" w:beforeAutospacing="1" w:after="100" w:afterAutospacing="1" w:line="240" w:lineRule="auto"/>
        <w:jc w:val="both"/>
        <w:rPr>
          <w:rFonts w:ascii="Arial" w:eastAsia="Times New Roman" w:hAnsi="Arial" w:cs="Arial"/>
          <w:kern w:val="0"/>
          <w:lang w:eastAsia="ja-JP"/>
          <w14:ligatures w14:val="none"/>
        </w:rPr>
      </w:pPr>
      <w:r w:rsidRPr="00DF3F01">
        <w:rPr>
          <w:rFonts w:ascii="Arial" w:eastAsia="Times New Roman" w:hAnsi="Arial" w:cs="Arial"/>
          <w:kern w:val="0"/>
          <w:lang w:eastAsia="ja-JP"/>
          <w14:ligatures w14:val="none"/>
        </w:rPr>
        <w:t>These results provide empirical validation that sectoral spending must be matched with service quality enhancements to achieve development objectives such as improving HDI. The rejection of H2 emphasizes that financial inputs alone are insufficient—they require effective, accountable, and accessible service delivery mechanisms.</w:t>
      </w:r>
    </w:p>
    <w:p w14:paraId="5483D40B" w14:textId="4A11CBD7" w:rsidR="009B476C" w:rsidRPr="00DF3F01" w:rsidRDefault="00DF3F01" w:rsidP="00F867A8">
      <w:pPr>
        <w:spacing w:before="100" w:beforeAutospacing="1" w:after="100" w:afterAutospacing="1" w:line="240" w:lineRule="auto"/>
        <w:jc w:val="both"/>
        <w:rPr>
          <w:rFonts w:ascii="Arial" w:eastAsia="Times New Roman" w:hAnsi="Arial" w:cs="Arial"/>
          <w:kern w:val="0"/>
          <w:lang w:eastAsia="ja-JP"/>
          <w14:ligatures w14:val="none"/>
        </w:rPr>
      </w:pPr>
      <w:r w:rsidRPr="00DF3F01">
        <w:rPr>
          <w:rFonts w:ascii="Arial" w:eastAsia="Times New Roman" w:hAnsi="Arial" w:cs="Arial"/>
          <w:kern w:val="0"/>
          <w:lang w:eastAsia="ja-JP"/>
          <w14:ligatures w14:val="none"/>
        </w:rPr>
        <w:t xml:space="preserve">This is particularly relevant in decentralized settings like </w:t>
      </w:r>
      <w:proofErr w:type="spellStart"/>
      <w:r w:rsidRPr="00DF3F01">
        <w:rPr>
          <w:rFonts w:ascii="Arial" w:eastAsia="Times New Roman" w:hAnsi="Arial" w:cs="Arial"/>
          <w:kern w:val="0"/>
          <w:lang w:eastAsia="ja-JP"/>
          <w14:ligatures w14:val="none"/>
        </w:rPr>
        <w:t>Langkat</w:t>
      </w:r>
      <w:proofErr w:type="spellEnd"/>
      <w:r w:rsidRPr="00DF3F01">
        <w:rPr>
          <w:rFonts w:ascii="Arial" w:eastAsia="Times New Roman" w:hAnsi="Arial" w:cs="Arial"/>
          <w:kern w:val="0"/>
          <w:lang w:eastAsia="ja-JP"/>
          <w14:ligatures w14:val="none"/>
        </w:rPr>
        <w:t xml:space="preserve"> Regency, where institutional capacity and governance quality significantly shape the conversion of </w:t>
      </w:r>
      <w:r w:rsidRPr="00DF3F01">
        <w:rPr>
          <w:rFonts w:ascii="Arial" w:eastAsia="Times New Roman" w:hAnsi="Arial" w:cs="Arial"/>
          <w:kern w:val="0"/>
          <w:lang w:eastAsia="ja-JP"/>
          <w14:ligatures w14:val="none"/>
        </w:rPr>
        <w:lastRenderedPageBreak/>
        <w:t>public funds into measurable social outcomes.</w:t>
      </w:r>
      <w:r>
        <w:rPr>
          <w:rFonts w:ascii="Arial" w:eastAsia="Times New Roman" w:hAnsi="Arial" w:cs="Arial"/>
          <w:kern w:val="0"/>
          <w:lang w:eastAsia="ja-JP"/>
          <w14:ligatures w14:val="none"/>
        </w:rPr>
        <w:t xml:space="preserve"> </w:t>
      </w:r>
      <w:r w:rsidRPr="00DF3F01">
        <w:rPr>
          <w:rFonts w:ascii="Arial" w:eastAsia="Times New Roman" w:hAnsi="Arial" w:cs="Arial"/>
          <w:kern w:val="0"/>
          <w:lang w:eastAsia="ja-JP"/>
          <w14:ligatures w14:val="none"/>
        </w:rPr>
        <w:t>The model's strong explanatory power (R² = 0.838) and predictive strength (Q² = 0.9804) underscore its utility for guiding evidence-based policy planning</w:t>
      </w:r>
      <w:r w:rsidR="00680D92">
        <w:rPr>
          <w:rFonts w:ascii="Arial" w:eastAsia="Times New Roman" w:hAnsi="Arial" w:cs="Arial"/>
          <w:kern w:val="0"/>
          <w:lang w:eastAsia="ja-JP"/>
          <w14:ligatures w14:val="none"/>
        </w:rPr>
        <w:t>.</w:t>
      </w:r>
    </w:p>
    <w:p w14:paraId="1D46328D" w14:textId="143618D1" w:rsidR="00777393" w:rsidRPr="00952BDE" w:rsidRDefault="00777393" w:rsidP="00F867A8">
      <w:pPr>
        <w:spacing w:before="100" w:beforeAutospacing="1" w:after="100" w:afterAutospacing="1" w:line="240" w:lineRule="auto"/>
        <w:rPr>
          <w:rFonts w:ascii="Arial" w:hAnsi="Arial" w:cs="Arial"/>
          <w:b/>
          <w:bCs/>
          <w:kern w:val="0"/>
          <w:lang w:val="id-ID" w:eastAsia="ja-JP"/>
          <w14:ligatures w14:val="none"/>
        </w:rPr>
      </w:pPr>
      <w:r w:rsidRPr="00777393">
        <w:rPr>
          <w:rFonts w:ascii="Arial" w:hAnsi="Arial" w:cs="Arial"/>
          <w:b/>
          <w:bCs/>
          <w:kern w:val="0"/>
          <w:lang w:val="id-ID" w:eastAsia="ja-JP"/>
          <w14:ligatures w14:val="none"/>
        </w:rPr>
        <w:t>3.4 Discussion</w:t>
      </w:r>
    </w:p>
    <w:p w14:paraId="1D829F16" w14:textId="77777777" w:rsidR="00680D92" w:rsidRPr="00680D92" w:rsidRDefault="00680D92" w:rsidP="00680D92">
      <w:p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This study reveals several important insights into the link between government spending and human development:</w:t>
      </w:r>
    </w:p>
    <w:p w14:paraId="4D5A5595" w14:textId="77777777" w:rsidR="00680D92" w:rsidRDefault="00680D92" w:rsidP="00680D92">
      <w:pPr>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b/>
          <w:bCs/>
          <w:kern w:val="0"/>
          <w:lang w:eastAsia="ja-JP"/>
          <w14:ligatures w14:val="none"/>
        </w:rPr>
        <w:t>Disconnect Between Input and Outcome</w:t>
      </w:r>
    </w:p>
    <w:p w14:paraId="5D1BE992" w14:textId="77777777" w:rsidR="00CE4FAB" w:rsidRDefault="00680D92" w:rsidP="00CE4FAB">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 xml:space="preserve">Despite increasing public expenditure, </w:t>
      </w:r>
      <w:proofErr w:type="spellStart"/>
      <w:r w:rsidRPr="00680D92">
        <w:rPr>
          <w:rFonts w:ascii="Arial" w:eastAsia="Times New Roman" w:hAnsi="Arial" w:cs="Arial"/>
          <w:kern w:val="0"/>
          <w:lang w:eastAsia="ja-JP"/>
          <w14:ligatures w14:val="none"/>
        </w:rPr>
        <w:t>Langkat</w:t>
      </w:r>
      <w:proofErr w:type="spellEnd"/>
      <w:r w:rsidRPr="00680D92">
        <w:rPr>
          <w:rFonts w:ascii="Arial" w:eastAsia="Times New Roman" w:hAnsi="Arial" w:cs="Arial"/>
          <w:kern w:val="0"/>
          <w:lang w:eastAsia="ja-JP"/>
          <w14:ligatures w14:val="none"/>
        </w:rPr>
        <w:t xml:space="preserve"> Regency’s HDI has not shown proportionate improvement. This underscores a critical implementation gap, echoing the concern that “spending without capacity” fails to yield desired development outcomes</w:t>
      </w:r>
    </w:p>
    <w:p w14:paraId="0ACD49CF" w14:textId="68912A4B" w:rsidR="00680D92" w:rsidRPr="00CE4FAB" w:rsidRDefault="00680D92" w:rsidP="00CE4FAB">
      <w:pPr>
        <w:pStyle w:val="ListParagraph"/>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CE4FAB">
        <w:rPr>
          <w:rFonts w:ascii="Arial" w:eastAsia="Times New Roman" w:hAnsi="Arial" w:cs="Arial"/>
          <w:b/>
          <w:bCs/>
          <w:kern w:val="0"/>
          <w:lang w:eastAsia="ja-JP"/>
          <w14:ligatures w14:val="none"/>
        </w:rPr>
        <w:t>Service Quality as a Development Driver</w:t>
      </w:r>
    </w:p>
    <w:p w14:paraId="0BFF442A" w14:textId="009535D0" w:rsidR="00680D92" w:rsidRPr="00680D92" w:rsidRDefault="00680D92" w:rsidP="00680D92">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The findings align with decentralization and governance literature that emphasizes service quality as a determinant of policy effectiveness (UNDP, 2020; Alfons et al., 2024). Infrastructure projects or education investments must be matched with trained personnel, accessible systems, and citizen satisfaction mechanisms to generate HDI improvements.</w:t>
      </w:r>
    </w:p>
    <w:p w14:paraId="23BC4431" w14:textId="77777777" w:rsidR="00680D92" w:rsidRPr="00680D92" w:rsidRDefault="00680D92" w:rsidP="00680D92">
      <w:pPr>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b/>
          <w:bCs/>
          <w:kern w:val="0"/>
          <w:lang w:eastAsia="ja-JP"/>
          <w14:ligatures w14:val="none"/>
        </w:rPr>
        <w:t>Global Parallels and Implications</w:t>
      </w:r>
    </w:p>
    <w:p w14:paraId="5AE6C278" w14:textId="0890BE3B" w:rsidR="00680D92" w:rsidRPr="00680D92" w:rsidRDefault="00680D92" w:rsidP="00680D92">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 xml:space="preserve">Similar phenomena have been observed globally. In the Philippines, for example, substantial health budget expansions did not significantly improve infant mortality rates due to shortages of skilled health workers (ADB, 2021). In Ghana, road expansions increased access but had negligible effects on school completion due to a lack of qualified teachers (World Bank, 2022). These cases mirror the </w:t>
      </w:r>
      <w:proofErr w:type="spellStart"/>
      <w:r w:rsidRPr="00680D92">
        <w:rPr>
          <w:rFonts w:ascii="Arial" w:eastAsia="Times New Roman" w:hAnsi="Arial" w:cs="Arial"/>
          <w:kern w:val="0"/>
          <w:lang w:eastAsia="ja-JP"/>
          <w14:ligatures w14:val="none"/>
        </w:rPr>
        <w:t>Langkat</w:t>
      </w:r>
      <w:proofErr w:type="spellEnd"/>
      <w:r w:rsidRPr="00680D92">
        <w:rPr>
          <w:rFonts w:ascii="Arial" w:eastAsia="Times New Roman" w:hAnsi="Arial" w:cs="Arial"/>
          <w:kern w:val="0"/>
          <w:lang w:eastAsia="ja-JP"/>
          <w14:ligatures w14:val="none"/>
        </w:rPr>
        <w:t xml:space="preserve"> context and suggest broader applicability of the model.</w:t>
      </w:r>
    </w:p>
    <w:p w14:paraId="7DD15C26" w14:textId="77777777" w:rsidR="00680D92" w:rsidRPr="00680D92" w:rsidRDefault="00680D92" w:rsidP="00680D92">
      <w:pPr>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b/>
          <w:bCs/>
          <w:kern w:val="0"/>
          <w:lang w:eastAsia="ja-JP"/>
          <w14:ligatures w14:val="none"/>
        </w:rPr>
        <w:t>Strategic Governance Recommendations</w:t>
      </w:r>
    </w:p>
    <w:p w14:paraId="61BF4CCF" w14:textId="63C90D25" w:rsidR="00680D92" w:rsidRPr="00680D92" w:rsidRDefault="00680D92" w:rsidP="00680D92">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The results suggest that regional policymakers must pair fiscal allocations with innovations in delivery mechanisms. Citizen feedback loops, mobile-based health audits, school service monitoring, and performance-based budgeting tools should be prioritized.</w:t>
      </w:r>
    </w:p>
    <w:p w14:paraId="2B8544CA" w14:textId="77777777" w:rsidR="00680D92" w:rsidRPr="00680D92" w:rsidRDefault="00680D92" w:rsidP="00680D92">
      <w:pPr>
        <w:numPr>
          <w:ilvl w:val="0"/>
          <w:numId w:val="17"/>
        </w:numPr>
        <w:spacing w:before="100" w:beforeAutospacing="1" w:after="100" w:afterAutospacing="1" w:line="240" w:lineRule="auto"/>
        <w:jc w:val="both"/>
        <w:rPr>
          <w:rFonts w:ascii="Arial" w:eastAsia="Times New Roman" w:hAnsi="Arial" w:cs="Arial"/>
          <w:kern w:val="0"/>
          <w:lang w:eastAsia="ja-JP"/>
          <w14:ligatures w14:val="none"/>
        </w:rPr>
      </w:pPr>
      <w:r w:rsidRPr="00680D92">
        <w:rPr>
          <w:rFonts w:ascii="Arial" w:eastAsia="Times New Roman" w:hAnsi="Arial" w:cs="Arial"/>
          <w:b/>
          <w:bCs/>
          <w:kern w:val="0"/>
          <w:lang w:eastAsia="ja-JP"/>
          <w14:ligatures w14:val="none"/>
        </w:rPr>
        <w:t>Revisiting HDI Assumptions</w:t>
      </w:r>
    </w:p>
    <w:p w14:paraId="02F28B87" w14:textId="1C552B2F" w:rsidR="00680D92" w:rsidRPr="00680D92" w:rsidRDefault="00680D92" w:rsidP="00680D92">
      <w:pPr>
        <w:spacing w:before="100" w:beforeAutospacing="1" w:after="100" w:afterAutospacing="1" w:line="240" w:lineRule="auto"/>
        <w:ind w:left="720"/>
        <w:jc w:val="both"/>
        <w:rPr>
          <w:rFonts w:ascii="Arial" w:eastAsia="Times New Roman" w:hAnsi="Arial" w:cs="Arial"/>
          <w:kern w:val="0"/>
          <w:lang w:eastAsia="ja-JP"/>
          <w14:ligatures w14:val="none"/>
        </w:rPr>
      </w:pPr>
      <w:r w:rsidRPr="00680D92">
        <w:rPr>
          <w:rFonts w:ascii="Arial" w:eastAsia="Times New Roman" w:hAnsi="Arial" w:cs="Arial"/>
          <w:kern w:val="0"/>
          <w:lang w:eastAsia="ja-JP"/>
          <w14:ligatures w14:val="none"/>
        </w:rPr>
        <w:t>This study also problematizes the assumption that higher public spending linearly correlates with HDI growth. Instead, the nonlinear and mediated nature of this relationship—moderated by service delivery systems—requires a shift toward governance-sensitive planning models.</w:t>
      </w:r>
    </w:p>
    <w:p w14:paraId="129338C9" w14:textId="23C32164" w:rsidR="008E65AB" w:rsidRPr="00101FB6" w:rsidRDefault="0046681B" w:rsidP="00D77E67">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CONCLUSION AND RECOMMENDATIONS</w:t>
      </w:r>
    </w:p>
    <w:p w14:paraId="636FD44E" w14:textId="77777777" w:rsidR="008E65AB" w:rsidRPr="00101FB6" w:rsidRDefault="008E65AB" w:rsidP="00075AE4">
      <w:pPr>
        <w:spacing w:after="120" w:line="240" w:lineRule="auto"/>
        <w:jc w:val="both"/>
        <w:rPr>
          <w:rFonts w:ascii="Arial" w:hAnsi="Arial" w:cs="Arial"/>
        </w:rPr>
      </w:pPr>
    </w:p>
    <w:p w14:paraId="4FB0879D" w14:textId="5D7160C2" w:rsidR="0046681B" w:rsidRDefault="0046681B" w:rsidP="0046681B">
      <w:pPr>
        <w:spacing w:after="120" w:line="240" w:lineRule="auto"/>
        <w:jc w:val="both"/>
        <w:rPr>
          <w:rFonts w:ascii="Arial" w:hAnsi="Arial" w:cs="Arial"/>
          <w:b/>
          <w:bCs/>
        </w:rPr>
      </w:pPr>
      <w:r w:rsidRPr="00101FB6">
        <w:rPr>
          <w:rFonts w:ascii="Arial" w:hAnsi="Arial" w:cs="Arial"/>
          <w:b/>
          <w:bCs/>
        </w:rPr>
        <w:lastRenderedPageBreak/>
        <w:t>4.1 CONCLUSION</w:t>
      </w:r>
    </w:p>
    <w:p w14:paraId="6199ED6F" w14:textId="3A4F645C" w:rsidR="00777393" w:rsidRPr="00777393" w:rsidRDefault="00777393" w:rsidP="0046681B">
      <w:pPr>
        <w:spacing w:after="120" w:line="240" w:lineRule="auto"/>
        <w:jc w:val="both"/>
        <w:rPr>
          <w:rFonts w:ascii="Arial" w:hAnsi="Arial" w:cs="Arial"/>
          <w:b/>
          <w:bCs/>
        </w:rPr>
      </w:pPr>
      <w:r w:rsidRPr="00777393">
        <w:rPr>
          <w:rFonts w:ascii="Arial" w:hAnsi="Arial" w:cs="Arial"/>
        </w:rPr>
        <w:t xml:space="preserve">This study confirms that public service quality plays a vital mediating role in the relationship between government budget allocations and human development outcomes. While sectoral spending on education, health, and infrastructure positively influences the quality of public services in </w:t>
      </w:r>
      <w:proofErr w:type="spellStart"/>
      <w:r w:rsidRPr="00777393">
        <w:rPr>
          <w:rFonts w:ascii="Arial" w:hAnsi="Arial" w:cs="Arial"/>
        </w:rPr>
        <w:t>Langkat</w:t>
      </w:r>
      <w:proofErr w:type="spellEnd"/>
      <w:r w:rsidRPr="00777393">
        <w:rPr>
          <w:rFonts w:ascii="Arial" w:hAnsi="Arial" w:cs="Arial"/>
        </w:rPr>
        <w:t xml:space="preserve"> Regency, these expenditures do not directly improve the Human Development Index (HDI). Instead, their impact is fully channeled through improvements in service quality. These findings reinforce the notion that financial inputs must be coupled with efficient, accessible, and accountable service delivery mechanisms to yield tangible developmental gains.</w:t>
      </w:r>
    </w:p>
    <w:p w14:paraId="6A2673D7" w14:textId="12C9DF36" w:rsidR="008E65AB" w:rsidRDefault="0046681B" w:rsidP="00075AE4">
      <w:pPr>
        <w:spacing w:after="120" w:line="240" w:lineRule="auto"/>
        <w:jc w:val="both"/>
        <w:rPr>
          <w:rFonts w:ascii="Arial" w:hAnsi="Arial" w:cs="Arial"/>
          <w:b/>
          <w:bCs/>
        </w:rPr>
      </w:pPr>
      <w:r w:rsidRPr="00101FB6">
        <w:rPr>
          <w:rFonts w:ascii="Arial" w:hAnsi="Arial" w:cs="Arial"/>
          <w:b/>
          <w:bCs/>
        </w:rPr>
        <w:t>4.2 RECOMMENDATIONS</w:t>
      </w:r>
    </w:p>
    <w:p w14:paraId="049DE1FC" w14:textId="77777777" w:rsidR="00DF3F01" w:rsidRPr="00DF3F01" w:rsidRDefault="00777393" w:rsidP="00DF3F01">
      <w:pPr>
        <w:pStyle w:val="ListParagraph"/>
        <w:spacing w:before="100" w:beforeAutospacing="1" w:after="100" w:afterAutospacing="1" w:line="240" w:lineRule="auto"/>
        <w:ind w:left="360" w:firstLine="360"/>
        <w:jc w:val="both"/>
        <w:rPr>
          <w:rFonts w:ascii="Arial" w:eastAsia="Times New Roman" w:hAnsi="Arial" w:cs="Arial"/>
          <w:b/>
          <w:bCs/>
          <w:kern w:val="0"/>
          <w:highlight w:val="yellow"/>
          <w:lang w:val="id-ID" w:eastAsia="ja-JP"/>
          <w14:ligatures w14:val="none"/>
        </w:rPr>
      </w:pPr>
      <w:r w:rsidRPr="00DF3F01">
        <w:rPr>
          <w:rFonts w:ascii="Arial" w:eastAsia="Times New Roman" w:hAnsi="Arial" w:cs="Arial"/>
          <w:kern w:val="0"/>
          <w:highlight w:val="yellow"/>
          <w:lang w:val="id-ID" w:eastAsia="ja-JP"/>
          <w14:ligatures w14:val="none"/>
        </w:rPr>
        <w:t>Local governments must invest not only in infrastructure and resources but also in the institutional frameworks that ensure their effective utilization. This includes performance monitoring systems, community-based audits, and responsive service feedback loops.</w:t>
      </w:r>
      <w:r w:rsidRPr="00DF3F01">
        <w:rPr>
          <w:rFonts w:ascii="Arial" w:eastAsia="Times New Roman" w:hAnsi="Arial" w:cs="Arial"/>
          <w:b/>
          <w:bCs/>
          <w:kern w:val="0"/>
          <w:highlight w:val="yellow"/>
          <w:lang w:val="id-ID" w:eastAsia="ja-JP"/>
          <w14:ligatures w14:val="none"/>
        </w:rPr>
        <w:t xml:space="preserve"> </w:t>
      </w:r>
      <w:r w:rsidRPr="00DF3F01">
        <w:rPr>
          <w:rFonts w:ascii="Arial" w:eastAsia="Times New Roman" w:hAnsi="Arial" w:cs="Arial"/>
          <w:kern w:val="0"/>
          <w:highlight w:val="yellow"/>
          <w:lang w:val="id-ID" w:eastAsia="ja-JP"/>
          <w14:ligatures w14:val="none"/>
        </w:rPr>
        <w:t>Strategic investments should focus on building human capacity—especially in education and health—through training, certification, and digital tools that streamline delivery and access.</w:t>
      </w:r>
    </w:p>
    <w:p w14:paraId="66857C7F" w14:textId="30FA301E" w:rsidR="00777393" w:rsidRPr="00DF3F01" w:rsidRDefault="00777393" w:rsidP="00DF3F01">
      <w:pPr>
        <w:pStyle w:val="ListParagraph"/>
        <w:spacing w:before="100" w:beforeAutospacing="1" w:after="100" w:afterAutospacing="1" w:line="240" w:lineRule="auto"/>
        <w:ind w:left="360" w:firstLine="360"/>
        <w:jc w:val="both"/>
        <w:rPr>
          <w:rFonts w:ascii="Arial" w:eastAsia="Times New Roman" w:hAnsi="Arial" w:cs="Arial"/>
          <w:kern w:val="0"/>
          <w:lang w:val="id-ID" w:eastAsia="ja-JP"/>
          <w14:ligatures w14:val="none"/>
        </w:rPr>
      </w:pPr>
      <w:r w:rsidRPr="00DF3F01">
        <w:rPr>
          <w:rFonts w:ascii="Arial" w:eastAsia="Times New Roman" w:hAnsi="Arial" w:cs="Arial"/>
          <w:kern w:val="0"/>
          <w:highlight w:val="yellow"/>
          <w:lang w:val="id-ID" w:eastAsia="ja-JP"/>
          <w14:ligatures w14:val="none"/>
        </w:rPr>
        <w:t xml:space="preserve"> Future regional planning should align budget formulation with HDI targets using data-driven and participatory approaches, ensuring that allocations are responsive to community needs and development indicators.</w:t>
      </w:r>
      <w:r w:rsidR="00DF3F01" w:rsidRPr="00DF3F01">
        <w:rPr>
          <w:rFonts w:ascii="Arial" w:eastAsia="Times New Roman" w:hAnsi="Arial" w:cs="Arial"/>
          <w:kern w:val="0"/>
          <w:highlight w:val="yellow"/>
          <w:lang w:val="id-ID" w:eastAsia="ja-JP"/>
          <w14:ligatures w14:val="none"/>
        </w:rPr>
        <w:t xml:space="preserve"> </w:t>
      </w:r>
      <w:r w:rsidRPr="00DF3F01">
        <w:rPr>
          <w:rFonts w:ascii="Arial" w:eastAsia="Times New Roman" w:hAnsi="Arial" w:cs="Arial"/>
          <w:kern w:val="0"/>
          <w:highlight w:val="yellow"/>
          <w:lang w:val="id-ID" w:eastAsia="ja-JP"/>
          <w14:ligatures w14:val="none"/>
        </w:rPr>
        <w:t>Broader studies across multiple districts with a mixed-methods approach—including qualitative insights on governance culture and citizen satisfaction—will deepen the understanding of fiscal effectiveness in decentralized settings.</w:t>
      </w:r>
    </w:p>
    <w:p w14:paraId="0D3ACF29" w14:textId="7B035990" w:rsidR="00427E4C" w:rsidRDefault="00427E4C" w:rsidP="00427E4C">
      <w:pPr>
        <w:spacing w:before="100" w:beforeAutospacing="1" w:after="100" w:afterAutospacing="1" w:line="240" w:lineRule="auto"/>
        <w:rPr>
          <w:rFonts w:ascii="Arial" w:eastAsia="Times New Roman" w:hAnsi="Arial" w:cs="Arial"/>
          <w:kern w:val="0"/>
          <w:lang w:val="id-ID" w:eastAsia="ja-JP"/>
          <w14:ligatures w14:val="none"/>
        </w:rPr>
      </w:pPr>
    </w:p>
    <w:p w14:paraId="0B85DB28" w14:textId="77777777" w:rsidR="00847475" w:rsidRPr="00394842" w:rsidRDefault="00847475" w:rsidP="00847475">
      <w:pPr>
        <w:rPr>
          <w:highlight w:val="yellow"/>
        </w:rPr>
      </w:pPr>
      <w:r w:rsidRPr="00394842">
        <w:rPr>
          <w:highlight w:val="yellow"/>
        </w:rPr>
        <w:t>Disclaimer (Artificial intelligence)</w:t>
      </w:r>
    </w:p>
    <w:p w14:paraId="29353971" w14:textId="77777777" w:rsidR="00847475" w:rsidRPr="00394842" w:rsidRDefault="00847475" w:rsidP="00847475">
      <w:pPr>
        <w:rPr>
          <w:highlight w:val="yellow"/>
        </w:rPr>
      </w:pPr>
    </w:p>
    <w:p w14:paraId="79E96875" w14:textId="77777777" w:rsidR="00847475" w:rsidRPr="00394842" w:rsidRDefault="00847475" w:rsidP="00847475">
      <w:pPr>
        <w:rPr>
          <w:highlight w:val="yellow"/>
        </w:rPr>
      </w:pPr>
      <w:r w:rsidRPr="00394842">
        <w:rPr>
          <w:highlight w:val="yellow"/>
        </w:rPr>
        <w:t xml:space="preserve">Option 1: </w:t>
      </w:r>
    </w:p>
    <w:p w14:paraId="0A594A7E" w14:textId="77777777" w:rsidR="00847475" w:rsidRPr="00394842" w:rsidRDefault="00847475" w:rsidP="00847475">
      <w:pPr>
        <w:rPr>
          <w:highlight w:val="yellow"/>
        </w:rPr>
      </w:pPr>
    </w:p>
    <w:p w14:paraId="1E8B6C2A" w14:textId="77777777" w:rsidR="00847475" w:rsidRPr="00394842" w:rsidRDefault="00847475" w:rsidP="0084747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5C1370F" w14:textId="77777777" w:rsidR="00847475" w:rsidRPr="00394842" w:rsidRDefault="00847475" w:rsidP="00847475">
      <w:pPr>
        <w:rPr>
          <w:highlight w:val="yellow"/>
        </w:rPr>
      </w:pPr>
    </w:p>
    <w:p w14:paraId="414C085D" w14:textId="650DD097" w:rsidR="008E65AB" w:rsidRPr="00101FB6" w:rsidRDefault="00101FB6" w:rsidP="00075AE4">
      <w:pPr>
        <w:spacing w:after="120" w:line="240" w:lineRule="auto"/>
        <w:jc w:val="both"/>
        <w:rPr>
          <w:rFonts w:ascii="Arial" w:hAnsi="Arial" w:cs="Arial"/>
          <w:b/>
          <w:bCs/>
        </w:rPr>
      </w:pPr>
      <w:r w:rsidRPr="00101FB6">
        <w:rPr>
          <w:rFonts w:ascii="Arial" w:hAnsi="Arial" w:cs="Arial"/>
          <w:b/>
          <w:bCs/>
        </w:rPr>
        <w:t>References</w:t>
      </w:r>
    </w:p>
    <w:p w14:paraId="3F42D03C" w14:textId="69369128" w:rsidR="00CE4FAB" w:rsidRPr="00CE4FAB" w:rsidRDefault="00CE4FAB" w:rsidP="00CE4FAB">
      <w:pPr>
        <w:spacing w:after="120" w:line="240" w:lineRule="auto"/>
        <w:ind w:left="851" w:hanging="851"/>
        <w:jc w:val="both"/>
        <w:rPr>
          <w:rFonts w:ascii="Arial" w:hAnsi="Arial" w:cs="Arial"/>
          <w:highlight w:val="yellow"/>
        </w:rPr>
      </w:pPr>
      <w:proofErr w:type="spellStart"/>
      <w:r w:rsidRPr="00307017">
        <w:rPr>
          <w:rFonts w:ascii="Arial" w:hAnsi="Arial" w:cs="Arial"/>
          <w:highlight w:val="yellow"/>
        </w:rPr>
        <w:t>Amru</w:t>
      </w:r>
      <w:proofErr w:type="spellEnd"/>
      <w:r w:rsidRPr="00307017">
        <w:rPr>
          <w:rFonts w:ascii="Arial" w:hAnsi="Arial" w:cs="Arial"/>
          <w:highlight w:val="yellow"/>
        </w:rPr>
        <w:t xml:space="preserve">, D. S., &amp; </w:t>
      </w:r>
      <w:proofErr w:type="spellStart"/>
      <w:r w:rsidRPr="00307017">
        <w:rPr>
          <w:rFonts w:ascii="Arial" w:hAnsi="Arial" w:cs="Arial"/>
          <w:highlight w:val="yellow"/>
        </w:rPr>
        <w:t>Sihaloho</w:t>
      </w:r>
      <w:proofErr w:type="spellEnd"/>
      <w:r w:rsidRPr="00307017">
        <w:rPr>
          <w:rFonts w:ascii="Arial" w:hAnsi="Arial" w:cs="Arial"/>
          <w:highlight w:val="yellow"/>
        </w:rPr>
        <w:t xml:space="preserve">, E. D. (2020). </w:t>
      </w:r>
      <w:r w:rsidRPr="00CE4FAB">
        <w:rPr>
          <w:rFonts w:ascii="Arial" w:hAnsi="Arial" w:cs="Arial"/>
          <w:i/>
          <w:iCs/>
          <w:highlight w:val="yellow"/>
        </w:rPr>
        <w:t>The influence of per capita expenditure and health spending on the Human Development Index in Indonesia</w:t>
      </w:r>
      <w:r w:rsidRPr="00CE4FAB">
        <w:rPr>
          <w:rFonts w:ascii="Arial" w:hAnsi="Arial" w:cs="Arial"/>
          <w:highlight w:val="yellow"/>
        </w:rPr>
        <w:t xml:space="preserve">. </w:t>
      </w:r>
      <w:proofErr w:type="spellStart"/>
      <w:r w:rsidRPr="00CE4FAB">
        <w:rPr>
          <w:rFonts w:ascii="Arial" w:hAnsi="Arial" w:cs="Arial"/>
          <w:highlight w:val="yellow"/>
        </w:rPr>
        <w:t>Jurnal</w:t>
      </w:r>
      <w:proofErr w:type="spellEnd"/>
      <w:r w:rsidRPr="00CE4FAB">
        <w:rPr>
          <w:rFonts w:ascii="Arial" w:hAnsi="Arial" w:cs="Arial"/>
          <w:highlight w:val="yellow"/>
        </w:rPr>
        <w:t xml:space="preserve"> </w:t>
      </w:r>
      <w:proofErr w:type="spellStart"/>
      <w:r w:rsidRPr="00CE4FAB">
        <w:rPr>
          <w:rFonts w:ascii="Arial" w:hAnsi="Arial" w:cs="Arial"/>
          <w:highlight w:val="yellow"/>
        </w:rPr>
        <w:t>Ilmiah</w:t>
      </w:r>
      <w:proofErr w:type="spellEnd"/>
      <w:r w:rsidRPr="00CE4FAB">
        <w:rPr>
          <w:rFonts w:ascii="Arial" w:hAnsi="Arial" w:cs="Arial"/>
          <w:highlight w:val="yellow"/>
        </w:rPr>
        <w:t xml:space="preserve"> </w:t>
      </w:r>
      <w:proofErr w:type="spellStart"/>
      <w:r w:rsidRPr="00CE4FAB">
        <w:rPr>
          <w:rFonts w:ascii="Arial" w:hAnsi="Arial" w:cs="Arial"/>
          <w:highlight w:val="yellow"/>
        </w:rPr>
        <w:t>Bisnis</w:t>
      </w:r>
      <w:proofErr w:type="spellEnd"/>
      <w:r w:rsidRPr="00CE4FAB">
        <w:rPr>
          <w:rFonts w:ascii="Arial" w:hAnsi="Arial" w:cs="Arial"/>
          <w:highlight w:val="yellow"/>
        </w:rPr>
        <w:t xml:space="preserve"> dan Ekonomi Asia, 14(1), 14–25.</w:t>
      </w:r>
    </w:p>
    <w:p w14:paraId="013B5E59" w14:textId="598AD28D" w:rsidR="00CE4FAB" w:rsidRPr="00CE4FAB" w:rsidRDefault="00CE4FAB" w:rsidP="00CE4FAB">
      <w:pPr>
        <w:spacing w:after="120" w:line="240" w:lineRule="auto"/>
        <w:ind w:left="851" w:hanging="851"/>
        <w:jc w:val="both"/>
        <w:rPr>
          <w:rFonts w:ascii="Arial" w:hAnsi="Arial" w:cs="Arial"/>
          <w:highlight w:val="yellow"/>
        </w:rPr>
      </w:pPr>
      <w:proofErr w:type="spellStart"/>
      <w:r w:rsidRPr="00CE4FAB">
        <w:rPr>
          <w:rFonts w:ascii="Arial" w:hAnsi="Arial" w:cs="Arial"/>
          <w:highlight w:val="yellow"/>
        </w:rPr>
        <w:t>Anggraini</w:t>
      </w:r>
      <w:proofErr w:type="spellEnd"/>
      <w:r w:rsidRPr="00CE4FAB">
        <w:rPr>
          <w:rFonts w:ascii="Arial" w:hAnsi="Arial" w:cs="Arial"/>
          <w:highlight w:val="yellow"/>
        </w:rPr>
        <w:t xml:space="preserve">, D. (2021). </w:t>
      </w:r>
      <w:r w:rsidRPr="00CE4FAB">
        <w:rPr>
          <w:rFonts w:ascii="Arial" w:hAnsi="Arial" w:cs="Arial"/>
          <w:i/>
          <w:iCs/>
          <w:highlight w:val="yellow"/>
        </w:rPr>
        <w:t>Analysis of public service quality at Subdistrict Office X</w:t>
      </w:r>
      <w:r w:rsidRPr="00CE4FAB">
        <w:rPr>
          <w:rFonts w:ascii="Arial" w:hAnsi="Arial" w:cs="Arial"/>
          <w:highlight w:val="yellow"/>
        </w:rPr>
        <w:t xml:space="preserve">. </w:t>
      </w:r>
      <w:proofErr w:type="spellStart"/>
      <w:r w:rsidRPr="00CE4FAB">
        <w:rPr>
          <w:rFonts w:ascii="Arial" w:hAnsi="Arial" w:cs="Arial"/>
          <w:highlight w:val="yellow"/>
        </w:rPr>
        <w:t>Jurnal</w:t>
      </w:r>
      <w:proofErr w:type="spellEnd"/>
      <w:r w:rsidRPr="00CE4FAB">
        <w:rPr>
          <w:rFonts w:ascii="Arial" w:hAnsi="Arial" w:cs="Arial"/>
          <w:highlight w:val="yellow"/>
        </w:rPr>
        <w:t xml:space="preserve"> </w:t>
      </w:r>
      <w:proofErr w:type="spellStart"/>
      <w:r w:rsidRPr="00CE4FAB">
        <w:rPr>
          <w:rFonts w:ascii="Arial" w:hAnsi="Arial" w:cs="Arial"/>
          <w:highlight w:val="yellow"/>
        </w:rPr>
        <w:t>Administrasi</w:t>
      </w:r>
      <w:proofErr w:type="spellEnd"/>
      <w:r w:rsidRPr="00CE4FAB">
        <w:rPr>
          <w:rFonts w:ascii="Arial" w:hAnsi="Arial" w:cs="Arial"/>
          <w:highlight w:val="yellow"/>
        </w:rPr>
        <w:t xml:space="preserve"> </w:t>
      </w:r>
      <w:proofErr w:type="spellStart"/>
      <w:r w:rsidRPr="00CE4FAB">
        <w:rPr>
          <w:rFonts w:ascii="Arial" w:hAnsi="Arial" w:cs="Arial"/>
          <w:highlight w:val="yellow"/>
        </w:rPr>
        <w:t>Publik</w:t>
      </w:r>
      <w:proofErr w:type="spellEnd"/>
      <w:r w:rsidRPr="00CE4FAB">
        <w:rPr>
          <w:rFonts w:ascii="Arial" w:hAnsi="Arial" w:cs="Arial"/>
          <w:highlight w:val="yellow"/>
        </w:rPr>
        <w:t>, 10(2), 45–56.</w:t>
      </w:r>
    </w:p>
    <w:p w14:paraId="5D9F39EC" w14:textId="4FF83B46"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Astuti, C. M. (2020). </w:t>
      </w:r>
      <w:r w:rsidRPr="00CE4FAB">
        <w:rPr>
          <w:rFonts w:ascii="Arial" w:hAnsi="Arial" w:cs="Arial"/>
          <w:i/>
          <w:iCs/>
          <w:highlight w:val="yellow"/>
        </w:rPr>
        <w:t xml:space="preserve">The effectiveness of infrastructure capital expenditure implementation in </w:t>
      </w:r>
      <w:proofErr w:type="spellStart"/>
      <w:r w:rsidRPr="00CE4FAB">
        <w:rPr>
          <w:rFonts w:ascii="Arial" w:hAnsi="Arial" w:cs="Arial"/>
          <w:i/>
          <w:iCs/>
          <w:highlight w:val="yellow"/>
        </w:rPr>
        <w:t>Grobogan</w:t>
      </w:r>
      <w:proofErr w:type="spellEnd"/>
      <w:r w:rsidRPr="00CE4FAB">
        <w:rPr>
          <w:rFonts w:ascii="Arial" w:hAnsi="Arial" w:cs="Arial"/>
          <w:i/>
          <w:iCs/>
          <w:highlight w:val="yellow"/>
        </w:rPr>
        <w:t xml:space="preserve"> Regency</w:t>
      </w:r>
      <w:r w:rsidRPr="00CE4FAB">
        <w:rPr>
          <w:rFonts w:ascii="Arial" w:hAnsi="Arial" w:cs="Arial"/>
          <w:highlight w:val="yellow"/>
        </w:rPr>
        <w:t xml:space="preserve"> [Undergraduate thesis, </w:t>
      </w:r>
      <w:proofErr w:type="spellStart"/>
      <w:r w:rsidRPr="00CE4FAB">
        <w:rPr>
          <w:rFonts w:ascii="Arial" w:hAnsi="Arial" w:cs="Arial"/>
          <w:highlight w:val="yellow"/>
        </w:rPr>
        <w:t>Institut</w:t>
      </w:r>
      <w:proofErr w:type="spellEnd"/>
      <w:r w:rsidRPr="00CE4FAB">
        <w:rPr>
          <w:rFonts w:ascii="Arial" w:hAnsi="Arial" w:cs="Arial"/>
          <w:highlight w:val="yellow"/>
        </w:rPr>
        <w:t xml:space="preserve"> </w:t>
      </w:r>
      <w:proofErr w:type="spellStart"/>
      <w:r w:rsidRPr="00CE4FAB">
        <w:rPr>
          <w:rFonts w:ascii="Arial" w:hAnsi="Arial" w:cs="Arial"/>
          <w:highlight w:val="yellow"/>
        </w:rPr>
        <w:t>Pemerintahan</w:t>
      </w:r>
      <w:proofErr w:type="spellEnd"/>
      <w:r w:rsidRPr="00CE4FAB">
        <w:rPr>
          <w:rFonts w:ascii="Arial" w:hAnsi="Arial" w:cs="Arial"/>
          <w:highlight w:val="yellow"/>
        </w:rPr>
        <w:t xml:space="preserve"> </w:t>
      </w:r>
      <w:proofErr w:type="spellStart"/>
      <w:r w:rsidRPr="00CE4FAB">
        <w:rPr>
          <w:rFonts w:ascii="Arial" w:hAnsi="Arial" w:cs="Arial"/>
          <w:highlight w:val="yellow"/>
        </w:rPr>
        <w:t>Dalam</w:t>
      </w:r>
      <w:proofErr w:type="spellEnd"/>
      <w:r w:rsidRPr="00CE4FAB">
        <w:rPr>
          <w:rFonts w:ascii="Arial" w:hAnsi="Arial" w:cs="Arial"/>
          <w:highlight w:val="yellow"/>
        </w:rPr>
        <w:t xml:space="preserve"> Negeri]. </w:t>
      </w:r>
      <w:proofErr w:type="spellStart"/>
      <w:r w:rsidRPr="00CE4FAB">
        <w:rPr>
          <w:rFonts w:ascii="Arial" w:hAnsi="Arial" w:cs="Arial"/>
          <w:highlight w:val="yellow"/>
        </w:rPr>
        <w:t>Eprints</w:t>
      </w:r>
      <w:proofErr w:type="spellEnd"/>
      <w:r w:rsidRPr="00CE4FAB">
        <w:rPr>
          <w:rFonts w:ascii="Arial" w:hAnsi="Arial" w:cs="Arial"/>
          <w:highlight w:val="yellow"/>
        </w:rPr>
        <w:t xml:space="preserve"> IPDN.</w:t>
      </w:r>
    </w:p>
    <w:p w14:paraId="407DF86A" w14:textId="69B51D6F"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lastRenderedPageBreak/>
        <w:t xml:space="preserve">Badan Pusat </w:t>
      </w:r>
      <w:proofErr w:type="spellStart"/>
      <w:r w:rsidRPr="00CE4FAB">
        <w:rPr>
          <w:rFonts w:ascii="Arial" w:hAnsi="Arial" w:cs="Arial"/>
          <w:highlight w:val="yellow"/>
        </w:rPr>
        <w:t>Statistik</w:t>
      </w:r>
      <w:proofErr w:type="spellEnd"/>
      <w:r w:rsidRPr="00CE4FAB">
        <w:rPr>
          <w:rFonts w:ascii="Arial" w:hAnsi="Arial" w:cs="Arial"/>
          <w:highlight w:val="yellow"/>
        </w:rPr>
        <w:t xml:space="preserve">. (2021). </w:t>
      </w:r>
      <w:r w:rsidRPr="00CE4FAB">
        <w:rPr>
          <w:rFonts w:ascii="Arial" w:hAnsi="Arial" w:cs="Arial"/>
          <w:i/>
          <w:iCs/>
          <w:highlight w:val="yellow"/>
        </w:rPr>
        <w:t>Human Development Index 2020</w:t>
      </w:r>
      <w:r w:rsidRPr="00CE4FAB">
        <w:rPr>
          <w:rFonts w:ascii="Arial" w:hAnsi="Arial" w:cs="Arial"/>
          <w:highlight w:val="yellow"/>
        </w:rPr>
        <w:t>. Statistics Indonesia.</w:t>
      </w:r>
    </w:p>
    <w:p w14:paraId="3BAFCC1B" w14:textId="5FEF6192" w:rsidR="00CE4FAB" w:rsidRPr="00CE4FAB" w:rsidRDefault="00CE4FAB" w:rsidP="00CE4FAB">
      <w:pPr>
        <w:spacing w:after="120" w:line="240" w:lineRule="auto"/>
        <w:ind w:left="851" w:hanging="851"/>
        <w:jc w:val="both"/>
        <w:rPr>
          <w:rFonts w:ascii="Arial" w:hAnsi="Arial" w:cs="Arial"/>
          <w:highlight w:val="yellow"/>
        </w:rPr>
      </w:pPr>
      <w:proofErr w:type="spellStart"/>
      <w:r w:rsidRPr="00CE4FAB">
        <w:rPr>
          <w:rFonts w:ascii="Arial" w:hAnsi="Arial" w:cs="Arial"/>
          <w:highlight w:val="yellow"/>
        </w:rPr>
        <w:t>Dewantara</w:t>
      </w:r>
      <w:proofErr w:type="spellEnd"/>
      <w:r w:rsidRPr="00CE4FAB">
        <w:rPr>
          <w:rFonts w:ascii="Arial" w:hAnsi="Arial" w:cs="Arial"/>
          <w:highlight w:val="yellow"/>
        </w:rPr>
        <w:t xml:space="preserve">, S. (2020). </w:t>
      </w:r>
      <w:r w:rsidRPr="00CE4FAB">
        <w:rPr>
          <w:rFonts w:ascii="Arial" w:hAnsi="Arial" w:cs="Arial"/>
          <w:i/>
          <w:iCs/>
          <w:highlight w:val="yellow"/>
        </w:rPr>
        <w:t xml:space="preserve">Factors affecting infrastructure development in </w:t>
      </w:r>
      <w:proofErr w:type="spellStart"/>
      <w:r w:rsidRPr="00CE4FAB">
        <w:rPr>
          <w:rFonts w:ascii="Arial" w:hAnsi="Arial" w:cs="Arial"/>
          <w:i/>
          <w:iCs/>
          <w:highlight w:val="yellow"/>
        </w:rPr>
        <w:t>Grobogan</w:t>
      </w:r>
      <w:proofErr w:type="spellEnd"/>
      <w:r w:rsidRPr="00CE4FAB">
        <w:rPr>
          <w:rFonts w:ascii="Arial" w:hAnsi="Arial" w:cs="Arial"/>
          <w:i/>
          <w:iCs/>
          <w:highlight w:val="yellow"/>
        </w:rPr>
        <w:t xml:space="preserve"> Regency</w:t>
      </w:r>
      <w:r w:rsidRPr="00CE4FAB">
        <w:rPr>
          <w:rFonts w:ascii="Arial" w:hAnsi="Arial" w:cs="Arial"/>
          <w:highlight w:val="yellow"/>
        </w:rPr>
        <w:t xml:space="preserve"> [Undergraduate thesis, STIE </w:t>
      </w:r>
      <w:proofErr w:type="spellStart"/>
      <w:r w:rsidRPr="00CE4FAB">
        <w:rPr>
          <w:rFonts w:ascii="Arial" w:hAnsi="Arial" w:cs="Arial"/>
          <w:highlight w:val="yellow"/>
        </w:rPr>
        <w:t>Dewantara</w:t>
      </w:r>
      <w:proofErr w:type="spellEnd"/>
      <w:r w:rsidRPr="00CE4FAB">
        <w:rPr>
          <w:rFonts w:ascii="Arial" w:hAnsi="Arial" w:cs="Arial"/>
          <w:highlight w:val="yellow"/>
        </w:rPr>
        <w:t xml:space="preserve"> </w:t>
      </w:r>
      <w:proofErr w:type="spellStart"/>
      <w:r w:rsidRPr="00CE4FAB">
        <w:rPr>
          <w:rFonts w:ascii="Arial" w:hAnsi="Arial" w:cs="Arial"/>
          <w:highlight w:val="yellow"/>
        </w:rPr>
        <w:t>Jombang</w:t>
      </w:r>
      <w:proofErr w:type="spellEnd"/>
      <w:r w:rsidRPr="00CE4FAB">
        <w:rPr>
          <w:rFonts w:ascii="Arial" w:hAnsi="Arial" w:cs="Arial"/>
          <w:highlight w:val="yellow"/>
        </w:rPr>
        <w:t xml:space="preserve">]. </w:t>
      </w:r>
      <w:proofErr w:type="spellStart"/>
      <w:r w:rsidRPr="00CE4FAB">
        <w:rPr>
          <w:rFonts w:ascii="Arial" w:hAnsi="Arial" w:cs="Arial"/>
          <w:highlight w:val="yellow"/>
        </w:rPr>
        <w:t>Dewantara</w:t>
      </w:r>
      <w:proofErr w:type="spellEnd"/>
      <w:r w:rsidRPr="00CE4FAB">
        <w:rPr>
          <w:rFonts w:ascii="Arial" w:hAnsi="Arial" w:cs="Arial"/>
          <w:highlight w:val="yellow"/>
        </w:rPr>
        <w:t xml:space="preserve"> Repository.</w:t>
      </w:r>
    </w:p>
    <w:p w14:paraId="6235FA3A" w14:textId="6DAAF960" w:rsidR="00CE4FAB" w:rsidRPr="00CE4FAB" w:rsidRDefault="00CE4FAB" w:rsidP="00CE4FAB">
      <w:pPr>
        <w:spacing w:after="120" w:line="240" w:lineRule="auto"/>
        <w:ind w:left="851" w:hanging="851"/>
        <w:jc w:val="both"/>
        <w:rPr>
          <w:rFonts w:ascii="Arial" w:hAnsi="Arial" w:cs="Arial"/>
          <w:highlight w:val="yellow"/>
        </w:rPr>
      </w:pPr>
      <w:proofErr w:type="spellStart"/>
      <w:r w:rsidRPr="00CE4FAB">
        <w:rPr>
          <w:rFonts w:ascii="Arial" w:hAnsi="Arial" w:cs="Arial"/>
          <w:highlight w:val="yellow"/>
        </w:rPr>
        <w:t>Direktorat</w:t>
      </w:r>
      <w:proofErr w:type="spellEnd"/>
      <w:r w:rsidRPr="00CE4FAB">
        <w:rPr>
          <w:rFonts w:ascii="Arial" w:hAnsi="Arial" w:cs="Arial"/>
          <w:highlight w:val="yellow"/>
        </w:rPr>
        <w:t xml:space="preserve"> </w:t>
      </w:r>
      <w:proofErr w:type="spellStart"/>
      <w:r w:rsidRPr="00CE4FAB">
        <w:rPr>
          <w:rFonts w:ascii="Arial" w:hAnsi="Arial" w:cs="Arial"/>
          <w:highlight w:val="yellow"/>
        </w:rPr>
        <w:t>Jenderal</w:t>
      </w:r>
      <w:proofErr w:type="spellEnd"/>
      <w:r w:rsidRPr="00CE4FAB">
        <w:rPr>
          <w:rFonts w:ascii="Arial" w:hAnsi="Arial" w:cs="Arial"/>
          <w:highlight w:val="yellow"/>
        </w:rPr>
        <w:t xml:space="preserve"> </w:t>
      </w:r>
      <w:proofErr w:type="spellStart"/>
      <w:r w:rsidRPr="00CE4FAB">
        <w:rPr>
          <w:rFonts w:ascii="Arial" w:hAnsi="Arial" w:cs="Arial"/>
          <w:highlight w:val="yellow"/>
        </w:rPr>
        <w:t>Perimbangan</w:t>
      </w:r>
      <w:proofErr w:type="spellEnd"/>
      <w:r w:rsidRPr="00CE4FAB">
        <w:rPr>
          <w:rFonts w:ascii="Arial" w:hAnsi="Arial" w:cs="Arial"/>
          <w:highlight w:val="yellow"/>
        </w:rPr>
        <w:t xml:space="preserve"> </w:t>
      </w:r>
      <w:proofErr w:type="spellStart"/>
      <w:r w:rsidRPr="00CE4FAB">
        <w:rPr>
          <w:rFonts w:ascii="Arial" w:hAnsi="Arial" w:cs="Arial"/>
          <w:highlight w:val="yellow"/>
        </w:rPr>
        <w:t>Keuangan</w:t>
      </w:r>
      <w:proofErr w:type="spellEnd"/>
      <w:r w:rsidRPr="00CE4FAB">
        <w:rPr>
          <w:rFonts w:ascii="Arial" w:hAnsi="Arial" w:cs="Arial"/>
          <w:highlight w:val="yellow"/>
        </w:rPr>
        <w:t xml:space="preserve">. (2020). </w:t>
      </w:r>
      <w:r w:rsidRPr="00CE4FAB">
        <w:rPr>
          <w:rFonts w:ascii="Arial" w:hAnsi="Arial" w:cs="Arial"/>
          <w:i/>
          <w:iCs/>
          <w:highlight w:val="yellow"/>
        </w:rPr>
        <w:t>DEFIS Journal, Edition VI</w:t>
      </w:r>
      <w:r w:rsidRPr="00CE4FAB">
        <w:rPr>
          <w:rFonts w:ascii="Arial" w:hAnsi="Arial" w:cs="Arial"/>
          <w:highlight w:val="yellow"/>
        </w:rPr>
        <w:t>. Ministry of Finance of the Republic of Indonesia.</w:t>
      </w:r>
    </w:p>
    <w:p w14:paraId="4BCD7BC8" w14:textId="3627595B"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Fattah, N. (2009). </w:t>
      </w:r>
      <w:r w:rsidRPr="00CE4FAB">
        <w:rPr>
          <w:rFonts w:ascii="Arial" w:hAnsi="Arial" w:cs="Arial"/>
          <w:i/>
          <w:iCs/>
          <w:highlight w:val="yellow"/>
        </w:rPr>
        <w:t>Education financing: Theoretical strategies and concepts in Indonesian education funding</w:t>
      </w:r>
      <w:r w:rsidRPr="00CE4FAB">
        <w:rPr>
          <w:rFonts w:ascii="Arial" w:hAnsi="Arial" w:cs="Arial"/>
          <w:highlight w:val="yellow"/>
        </w:rPr>
        <w:t>. Rumah Indonesia Journal.</w:t>
      </w:r>
    </w:p>
    <w:p w14:paraId="25127309" w14:textId="5A95E015" w:rsidR="00CE4FAB" w:rsidRPr="00CE4FAB" w:rsidRDefault="00CE4FAB" w:rsidP="00CE4FAB">
      <w:pPr>
        <w:spacing w:after="120" w:line="240" w:lineRule="auto"/>
        <w:ind w:left="851" w:hanging="851"/>
        <w:jc w:val="both"/>
        <w:rPr>
          <w:rFonts w:ascii="Arial" w:hAnsi="Arial" w:cs="Arial"/>
          <w:highlight w:val="yellow"/>
        </w:rPr>
      </w:pPr>
      <w:proofErr w:type="spellStart"/>
      <w:r w:rsidRPr="00CE4FAB">
        <w:rPr>
          <w:rFonts w:ascii="Arial" w:hAnsi="Arial" w:cs="Arial"/>
          <w:highlight w:val="yellow"/>
        </w:rPr>
        <w:t>Indrayathi</w:t>
      </w:r>
      <w:proofErr w:type="spellEnd"/>
      <w:r w:rsidRPr="00CE4FAB">
        <w:rPr>
          <w:rFonts w:ascii="Arial" w:hAnsi="Arial" w:cs="Arial"/>
          <w:highlight w:val="yellow"/>
        </w:rPr>
        <w:t xml:space="preserve">, P. A., &amp; Hardy, P. D. K. (2018). </w:t>
      </w:r>
      <w:r w:rsidRPr="00CE4FAB">
        <w:rPr>
          <w:rFonts w:ascii="Arial" w:hAnsi="Arial" w:cs="Arial"/>
          <w:i/>
          <w:iCs/>
          <w:highlight w:val="yellow"/>
        </w:rPr>
        <w:t>Health financing and budgeting</w:t>
      </w:r>
      <w:r w:rsidRPr="00CE4FAB">
        <w:rPr>
          <w:rFonts w:ascii="Arial" w:hAnsi="Arial" w:cs="Arial"/>
          <w:highlight w:val="yellow"/>
        </w:rPr>
        <w:t xml:space="preserve">. </w:t>
      </w:r>
      <w:proofErr w:type="spellStart"/>
      <w:r w:rsidRPr="00CE4FAB">
        <w:rPr>
          <w:rFonts w:ascii="Arial" w:hAnsi="Arial" w:cs="Arial"/>
          <w:highlight w:val="yellow"/>
        </w:rPr>
        <w:t>Universitas</w:t>
      </w:r>
      <w:proofErr w:type="spellEnd"/>
      <w:r w:rsidRPr="00CE4FAB">
        <w:rPr>
          <w:rFonts w:ascii="Arial" w:hAnsi="Arial" w:cs="Arial"/>
          <w:highlight w:val="yellow"/>
        </w:rPr>
        <w:t xml:space="preserve"> </w:t>
      </w:r>
      <w:proofErr w:type="spellStart"/>
      <w:r w:rsidRPr="00CE4FAB">
        <w:rPr>
          <w:rFonts w:ascii="Arial" w:hAnsi="Arial" w:cs="Arial"/>
          <w:highlight w:val="yellow"/>
        </w:rPr>
        <w:t>Lambung</w:t>
      </w:r>
      <w:proofErr w:type="spellEnd"/>
      <w:r w:rsidRPr="00CE4FAB">
        <w:rPr>
          <w:rFonts w:ascii="Arial" w:hAnsi="Arial" w:cs="Arial"/>
          <w:highlight w:val="yellow"/>
        </w:rPr>
        <w:t xml:space="preserve"> </w:t>
      </w:r>
      <w:proofErr w:type="spellStart"/>
      <w:r w:rsidRPr="00CE4FAB">
        <w:rPr>
          <w:rFonts w:ascii="Arial" w:hAnsi="Arial" w:cs="Arial"/>
          <w:highlight w:val="yellow"/>
        </w:rPr>
        <w:t>Mangkurat</w:t>
      </w:r>
      <w:proofErr w:type="spellEnd"/>
      <w:r w:rsidRPr="00CE4FAB">
        <w:rPr>
          <w:rFonts w:ascii="Arial" w:hAnsi="Arial" w:cs="Arial"/>
          <w:highlight w:val="yellow"/>
        </w:rPr>
        <w:t>. Repo Dosen.</w:t>
      </w:r>
    </w:p>
    <w:p w14:paraId="4FD3EFC5" w14:textId="710F5906"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Ilham, E., &amp; Riana, S. (2020). </w:t>
      </w:r>
      <w:r w:rsidRPr="00CE4FAB">
        <w:rPr>
          <w:rFonts w:ascii="Arial" w:hAnsi="Arial" w:cs="Arial"/>
          <w:i/>
          <w:iCs/>
          <w:highlight w:val="yellow"/>
        </w:rPr>
        <w:t>Factors affecting capital expenditure in districts/cities in Central Java</w:t>
      </w:r>
      <w:r w:rsidRPr="00CE4FAB">
        <w:rPr>
          <w:rFonts w:ascii="Arial" w:hAnsi="Arial" w:cs="Arial"/>
          <w:highlight w:val="yellow"/>
        </w:rPr>
        <w:t xml:space="preserve">. </w:t>
      </w:r>
      <w:proofErr w:type="spellStart"/>
      <w:r w:rsidRPr="00CE4FAB">
        <w:rPr>
          <w:rFonts w:ascii="Arial" w:hAnsi="Arial" w:cs="Arial"/>
          <w:highlight w:val="yellow"/>
        </w:rPr>
        <w:t>Jurnal</w:t>
      </w:r>
      <w:proofErr w:type="spellEnd"/>
      <w:r w:rsidRPr="00CE4FAB">
        <w:rPr>
          <w:rFonts w:ascii="Arial" w:hAnsi="Arial" w:cs="Arial"/>
          <w:highlight w:val="yellow"/>
        </w:rPr>
        <w:t xml:space="preserve"> </w:t>
      </w:r>
      <w:proofErr w:type="spellStart"/>
      <w:r w:rsidRPr="00CE4FAB">
        <w:rPr>
          <w:rFonts w:ascii="Arial" w:hAnsi="Arial" w:cs="Arial"/>
          <w:highlight w:val="yellow"/>
        </w:rPr>
        <w:t>Akuntansi</w:t>
      </w:r>
      <w:proofErr w:type="spellEnd"/>
      <w:r w:rsidRPr="00CE4FAB">
        <w:rPr>
          <w:rFonts w:ascii="Arial" w:hAnsi="Arial" w:cs="Arial"/>
          <w:highlight w:val="yellow"/>
        </w:rPr>
        <w:t>, 15(1), 12–19.</w:t>
      </w:r>
    </w:p>
    <w:p w14:paraId="10A227B2" w14:textId="6967C3C2"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Kementerian Kesehatan Republik Indonesia. (2022). </w:t>
      </w:r>
      <w:r w:rsidRPr="00CE4FAB">
        <w:rPr>
          <w:rFonts w:ascii="Arial" w:hAnsi="Arial" w:cs="Arial"/>
          <w:i/>
          <w:iCs/>
          <w:highlight w:val="yellow"/>
        </w:rPr>
        <w:t>Indonesia Health Profile 2022</w:t>
      </w:r>
      <w:r w:rsidRPr="00CE4FAB">
        <w:rPr>
          <w:rFonts w:ascii="Arial" w:hAnsi="Arial" w:cs="Arial"/>
          <w:highlight w:val="yellow"/>
        </w:rPr>
        <w:t>. Ministry of Health of the Republic of Indonesia.</w:t>
      </w:r>
    </w:p>
    <w:p w14:paraId="37D983F3" w14:textId="3C009F84"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Kurniawan, A., &amp; Haryanto, T. (2020). </w:t>
      </w:r>
      <w:r w:rsidRPr="00CE4FAB">
        <w:rPr>
          <w:rFonts w:ascii="Arial" w:hAnsi="Arial" w:cs="Arial"/>
          <w:i/>
          <w:iCs/>
          <w:highlight w:val="yellow"/>
        </w:rPr>
        <w:t>Analysis of factors affecting the Human Development Index in West Sumatra Province</w:t>
      </w:r>
      <w:r w:rsidRPr="00CE4FAB">
        <w:rPr>
          <w:rFonts w:ascii="Arial" w:hAnsi="Arial" w:cs="Arial"/>
          <w:highlight w:val="yellow"/>
        </w:rPr>
        <w:t>. [Unpublished manuscript].</w:t>
      </w:r>
    </w:p>
    <w:p w14:paraId="2EA7C22B" w14:textId="4538608B" w:rsidR="00CE4FAB" w:rsidRPr="00CE4FAB" w:rsidRDefault="00CE4FAB" w:rsidP="00CE4FAB">
      <w:pPr>
        <w:spacing w:after="120" w:line="240" w:lineRule="auto"/>
        <w:ind w:left="851" w:hanging="851"/>
        <w:jc w:val="both"/>
        <w:rPr>
          <w:rFonts w:ascii="Arial" w:hAnsi="Arial" w:cs="Arial"/>
          <w:highlight w:val="yellow"/>
        </w:rPr>
      </w:pPr>
      <w:proofErr w:type="spellStart"/>
      <w:r w:rsidRPr="00CE4FAB">
        <w:rPr>
          <w:rFonts w:ascii="Arial" w:hAnsi="Arial" w:cs="Arial"/>
          <w:highlight w:val="yellow"/>
        </w:rPr>
        <w:t>Mauludin</w:t>
      </w:r>
      <w:proofErr w:type="spellEnd"/>
      <w:r w:rsidRPr="00CE4FAB">
        <w:rPr>
          <w:rFonts w:ascii="Arial" w:hAnsi="Arial" w:cs="Arial"/>
          <w:highlight w:val="yellow"/>
        </w:rPr>
        <w:t xml:space="preserve">. (2018). </w:t>
      </w:r>
      <w:r w:rsidRPr="00CE4FAB">
        <w:rPr>
          <w:rFonts w:ascii="Arial" w:hAnsi="Arial" w:cs="Arial"/>
          <w:i/>
          <w:iCs/>
          <w:highlight w:val="yellow"/>
        </w:rPr>
        <w:t>Public service quality analysis</w:t>
      </w:r>
      <w:r w:rsidRPr="00CE4FAB">
        <w:rPr>
          <w:rFonts w:ascii="Arial" w:hAnsi="Arial" w:cs="Arial"/>
          <w:highlight w:val="yellow"/>
        </w:rPr>
        <w:t xml:space="preserve">. </w:t>
      </w:r>
      <w:proofErr w:type="spellStart"/>
      <w:r w:rsidRPr="00CE4FAB">
        <w:rPr>
          <w:rFonts w:ascii="Arial" w:hAnsi="Arial" w:cs="Arial"/>
          <w:highlight w:val="yellow"/>
        </w:rPr>
        <w:t>Jurnal</w:t>
      </w:r>
      <w:proofErr w:type="spellEnd"/>
      <w:r w:rsidRPr="00CE4FAB">
        <w:rPr>
          <w:rFonts w:ascii="Arial" w:hAnsi="Arial" w:cs="Arial"/>
          <w:highlight w:val="yellow"/>
        </w:rPr>
        <w:t xml:space="preserve"> </w:t>
      </w:r>
      <w:proofErr w:type="spellStart"/>
      <w:r w:rsidRPr="00CE4FAB">
        <w:rPr>
          <w:rFonts w:ascii="Arial" w:hAnsi="Arial" w:cs="Arial"/>
          <w:highlight w:val="yellow"/>
        </w:rPr>
        <w:t>Administrasi</w:t>
      </w:r>
      <w:proofErr w:type="spellEnd"/>
      <w:r w:rsidRPr="00CE4FAB">
        <w:rPr>
          <w:rFonts w:ascii="Arial" w:hAnsi="Arial" w:cs="Arial"/>
          <w:highlight w:val="yellow"/>
        </w:rPr>
        <w:t xml:space="preserve"> </w:t>
      </w:r>
      <w:proofErr w:type="spellStart"/>
      <w:r w:rsidRPr="00CE4FAB">
        <w:rPr>
          <w:rFonts w:ascii="Arial" w:hAnsi="Arial" w:cs="Arial"/>
          <w:highlight w:val="yellow"/>
        </w:rPr>
        <w:t>Publik</w:t>
      </w:r>
      <w:proofErr w:type="spellEnd"/>
      <w:r w:rsidRPr="00CE4FAB">
        <w:rPr>
          <w:rFonts w:ascii="Arial" w:hAnsi="Arial" w:cs="Arial"/>
          <w:highlight w:val="yellow"/>
        </w:rPr>
        <w:t>, 10(2), 67–75.</w:t>
      </w:r>
    </w:p>
    <w:p w14:paraId="74D0AAA2" w14:textId="37BFD24C" w:rsidR="00CE4FAB" w:rsidRPr="00CE4FAB" w:rsidRDefault="00CE4FAB" w:rsidP="00CE4FAB">
      <w:pPr>
        <w:spacing w:after="120" w:line="240" w:lineRule="auto"/>
        <w:ind w:left="851" w:hanging="851"/>
        <w:jc w:val="both"/>
        <w:rPr>
          <w:rFonts w:ascii="Arial" w:hAnsi="Arial" w:cs="Arial"/>
          <w:highlight w:val="yellow"/>
        </w:rPr>
      </w:pPr>
      <w:proofErr w:type="spellStart"/>
      <w:r w:rsidRPr="00CE4FAB">
        <w:rPr>
          <w:rFonts w:ascii="Arial" w:hAnsi="Arial" w:cs="Arial"/>
          <w:highlight w:val="yellow"/>
        </w:rPr>
        <w:t>Mardiasmo</w:t>
      </w:r>
      <w:proofErr w:type="spellEnd"/>
      <w:r w:rsidRPr="00CE4FAB">
        <w:rPr>
          <w:rFonts w:ascii="Arial" w:hAnsi="Arial" w:cs="Arial"/>
          <w:highlight w:val="yellow"/>
        </w:rPr>
        <w:t xml:space="preserve">. (2021). </w:t>
      </w:r>
      <w:r w:rsidRPr="00CE4FAB">
        <w:rPr>
          <w:rFonts w:ascii="Arial" w:hAnsi="Arial" w:cs="Arial"/>
          <w:i/>
          <w:iCs/>
          <w:highlight w:val="yellow"/>
        </w:rPr>
        <w:t>Literature review, conceptual framework, and hypothesis formulation</w:t>
      </w:r>
      <w:r w:rsidRPr="00CE4FAB">
        <w:rPr>
          <w:rFonts w:ascii="Arial" w:hAnsi="Arial" w:cs="Arial"/>
          <w:highlight w:val="yellow"/>
        </w:rPr>
        <w:t xml:space="preserve">. E-Library </w:t>
      </w:r>
      <w:proofErr w:type="spellStart"/>
      <w:r w:rsidRPr="00CE4FAB">
        <w:rPr>
          <w:rFonts w:ascii="Arial" w:hAnsi="Arial" w:cs="Arial"/>
          <w:highlight w:val="yellow"/>
        </w:rPr>
        <w:t>Unikom</w:t>
      </w:r>
      <w:proofErr w:type="spellEnd"/>
      <w:r w:rsidRPr="00CE4FAB">
        <w:rPr>
          <w:rFonts w:ascii="Arial" w:hAnsi="Arial" w:cs="Arial"/>
          <w:highlight w:val="yellow"/>
        </w:rPr>
        <w:t>.</w:t>
      </w:r>
    </w:p>
    <w:p w14:paraId="042EFFD7" w14:textId="72160716"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Muliana, W. (2020). </w:t>
      </w:r>
      <w:r w:rsidRPr="00CE4FAB">
        <w:rPr>
          <w:rFonts w:ascii="Arial" w:hAnsi="Arial" w:cs="Arial"/>
          <w:i/>
          <w:iCs/>
          <w:highlight w:val="yellow"/>
        </w:rPr>
        <w:t>The influence of education and health sector budgets on the Human Development Index in Indonesia</w:t>
      </w:r>
      <w:r w:rsidRPr="00CE4FAB">
        <w:rPr>
          <w:rFonts w:ascii="Arial" w:hAnsi="Arial" w:cs="Arial"/>
          <w:highlight w:val="yellow"/>
        </w:rPr>
        <w:t xml:space="preserve"> [Undergraduate thesis, Universitas Batanghari Jambi]. </w:t>
      </w:r>
      <w:proofErr w:type="spellStart"/>
      <w:r w:rsidRPr="00CE4FAB">
        <w:rPr>
          <w:rFonts w:ascii="Arial" w:hAnsi="Arial" w:cs="Arial"/>
          <w:highlight w:val="yellow"/>
        </w:rPr>
        <w:t>Unbari</w:t>
      </w:r>
      <w:proofErr w:type="spellEnd"/>
      <w:r w:rsidRPr="00CE4FAB">
        <w:rPr>
          <w:rFonts w:ascii="Arial" w:hAnsi="Arial" w:cs="Arial"/>
          <w:highlight w:val="yellow"/>
        </w:rPr>
        <w:t xml:space="preserve"> Repository.</w:t>
      </w:r>
    </w:p>
    <w:p w14:paraId="1A199FAB" w14:textId="62E29366" w:rsidR="00CE4FAB" w:rsidRPr="00CE4FAB" w:rsidRDefault="00CE4FAB" w:rsidP="00CE4FAB">
      <w:pPr>
        <w:spacing w:after="120" w:line="240" w:lineRule="auto"/>
        <w:ind w:left="851" w:hanging="851"/>
        <w:jc w:val="both"/>
        <w:rPr>
          <w:rFonts w:ascii="Arial" w:hAnsi="Arial" w:cs="Arial"/>
          <w:highlight w:val="yellow"/>
        </w:rPr>
      </w:pPr>
      <w:proofErr w:type="spellStart"/>
      <w:r w:rsidRPr="00CE4FAB">
        <w:rPr>
          <w:rFonts w:ascii="Arial" w:hAnsi="Arial" w:cs="Arial"/>
          <w:highlight w:val="yellow"/>
        </w:rPr>
        <w:t>Nursobah</w:t>
      </w:r>
      <w:proofErr w:type="spellEnd"/>
      <w:r w:rsidRPr="00CE4FAB">
        <w:rPr>
          <w:rFonts w:ascii="Arial" w:hAnsi="Arial" w:cs="Arial"/>
          <w:highlight w:val="yellow"/>
        </w:rPr>
        <w:t xml:space="preserve">. (2022). </w:t>
      </w:r>
      <w:r w:rsidRPr="00CE4FAB">
        <w:rPr>
          <w:rFonts w:ascii="Arial" w:hAnsi="Arial" w:cs="Arial"/>
          <w:i/>
          <w:iCs/>
          <w:highlight w:val="yellow"/>
        </w:rPr>
        <w:t>Analysis of sources and types of education financing in Indonesia</w:t>
      </w:r>
      <w:r w:rsidRPr="00CE4FAB">
        <w:rPr>
          <w:rFonts w:ascii="Arial" w:hAnsi="Arial" w:cs="Arial"/>
          <w:highlight w:val="yellow"/>
        </w:rPr>
        <w:t xml:space="preserve">. </w:t>
      </w:r>
      <w:proofErr w:type="spellStart"/>
      <w:r w:rsidRPr="00CE4FAB">
        <w:rPr>
          <w:rFonts w:ascii="Arial" w:hAnsi="Arial" w:cs="Arial"/>
          <w:highlight w:val="yellow"/>
        </w:rPr>
        <w:t>Jurnal</w:t>
      </w:r>
      <w:proofErr w:type="spellEnd"/>
      <w:r w:rsidRPr="00CE4FAB">
        <w:rPr>
          <w:rFonts w:ascii="Arial" w:hAnsi="Arial" w:cs="Arial"/>
          <w:highlight w:val="yellow"/>
        </w:rPr>
        <w:t xml:space="preserve"> Bintang Pendidikan Indonesia (JUBPI), 2(3), 25–39.</w:t>
      </w:r>
    </w:p>
    <w:p w14:paraId="640F1E50" w14:textId="00639BF9"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Sanusi, A., &amp; Yusuf, M. (2018). </w:t>
      </w:r>
      <w:r w:rsidRPr="00CE4FAB">
        <w:rPr>
          <w:rFonts w:ascii="Arial" w:hAnsi="Arial" w:cs="Arial"/>
          <w:i/>
          <w:iCs/>
          <w:highlight w:val="yellow"/>
        </w:rPr>
        <w:t>Analysis of regional government spending and its influencing factors in Jambi Province</w:t>
      </w:r>
      <w:r w:rsidRPr="00CE4FAB">
        <w:rPr>
          <w:rFonts w:ascii="Arial" w:hAnsi="Arial" w:cs="Arial"/>
          <w:highlight w:val="yellow"/>
        </w:rPr>
        <w:t xml:space="preserve">. </w:t>
      </w:r>
      <w:proofErr w:type="spellStart"/>
      <w:r w:rsidRPr="00CE4FAB">
        <w:rPr>
          <w:rFonts w:ascii="Arial" w:hAnsi="Arial" w:cs="Arial"/>
          <w:highlight w:val="yellow"/>
        </w:rPr>
        <w:t>Jurnal</w:t>
      </w:r>
      <w:proofErr w:type="spellEnd"/>
      <w:r w:rsidRPr="00CE4FAB">
        <w:rPr>
          <w:rFonts w:ascii="Arial" w:hAnsi="Arial" w:cs="Arial"/>
          <w:highlight w:val="yellow"/>
        </w:rPr>
        <w:t xml:space="preserve"> </w:t>
      </w:r>
      <w:proofErr w:type="spellStart"/>
      <w:r w:rsidRPr="00CE4FAB">
        <w:rPr>
          <w:rFonts w:ascii="Arial" w:hAnsi="Arial" w:cs="Arial"/>
          <w:highlight w:val="yellow"/>
        </w:rPr>
        <w:t>Ilmu</w:t>
      </w:r>
      <w:proofErr w:type="spellEnd"/>
      <w:r w:rsidRPr="00CE4FAB">
        <w:rPr>
          <w:rFonts w:ascii="Arial" w:hAnsi="Arial" w:cs="Arial"/>
          <w:highlight w:val="yellow"/>
        </w:rPr>
        <w:t xml:space="preserve"> </w:t>
      </w:r>
      <w:proofErr w:type="spellStart"/>
      <w:r w:rsidRPr="00CE4FAB">
        <w:rPr>
          <w:rFonts w:ascii="Arial" w:hAnsi="Arial" w:cs="Arial"/>
          <w:highlight w:val="yellow"/>
        </w:rPr>
        <w:t>Ekonomi</w:t>
      </w:r>
      <w:proofErr w:type="spellEnd"/>
      <w:r w:rsidRPr="00CE4FAB">
        <w:rPr>
          <w:rFonts w:ascii="Arial" w:hAnsi="Arial" w:cs="Arial"/>
          <w:highlight w:val="yellow"/>
        </w:rPr>
        <w:t xml:space="preserve"> dan Pembangunan, 18(2), 1–10.</w:t>
      </w:r>
    </w:p>
    <w:p w14:paraId="330ACFEF" w14:textId="49C3F424" w:rsidR="00CE4FAB" w:rsidRPr="00CE4FAB" w:rsidRDefault="00CE4FAB" w:rsidP="00CE4FAB">
      <w:pPr>
        <w:spacing w:after="120" w:line="240" w:lineRule="auto"/>
        <w:ind w:left="851" w:hanging="851"/>
        <w:jc w:val="both"/>
        <w:rPr>
          <w:rFonts w:ascii="Arial" w:hAnsi="Arial" w:cs="Arial"/>
          <w:highlight w:val="yellow"/>
        </w:rPr>
      </w:pPr>
      <w:r w:rsidRPr="00CE4FAB">
        <w:rPr>
          <w:rFonts w:ascii="Arial" w:hAnsi="Arial" w:cs="Arial"/>
          <w:highlight w:val="yellow"/>
        </w:rPr>
        <w:t xml:space="preserve">Santis, G. (2020). </w:t>
      </w:r>
      <w:r w:rsidRPr="00CE4FAB">
        <w:rPr>
          <w:rFonts w:ascii="Arial" w:hAnsi="Arial" w:cs="Arial"/>
          <w:i/>
          <w:iCs/>
          <w:highlight w:val="yellow"/>
        </w:rPr>
        <w:t>Factors influencing the financial condition of local governments in Italy</w:t>
      </w:r>
      <w:r w:rsidRPr="00CE4FAB">
        <w:rPr>
          <w:rFonts w:ascii="Arial" w:hAnsi="Arial" w:cs="Arial"/>
          <w:highlight w:val="yellow"/>
        </w:rPr>
        <w:t xml:space="preserve">. Owner: </w:t>
      </w:r>
      <w:proofErr w:type="spellStart"/>
      <w:r w:rsidRPr="00CE4FAB">
        <w:rPr>
          <w:rFonts w:ascii="Arial" w:hAnsi="Arial" w:cs="Arial"/>
          <w:highlight w:val="yellow"/>
        </w:rPr>
        <w:t>Riset</w:t>
      </w:r>
      <w:proofErr w:type="spellEnd"/>
      <w:r w:rsidRPr="00CE4FAB">
        <w:rPr>
          <w:rFonts w:ascii="Arial" w:hAnsi="Arial" w:cs="Arial"/>
          <w:highlight w:val="yellow"/>
        </w:rPr>
        <w:t xml:space="preserve"> &amp; </w:t>
      </w:r>
      <w:proofErr w:type="spellStart"/>
      <w:r w:rsidRPr="00CE4FAB">
        <w:rPr>
          <w:rFonts w:ascii="Arial" w:hAnsi="Arial" w:cs="Arial"/>
          <w:highlight w:val="yellow"/>
        </w:rPr>
        <w:t>Jurnal</w:t>
      </w:r>
      <w:proofErr w:type="spellEnd"/>
      <w:r w:rsidRPr="00CE4FAB">
        <w:rPr>
          <w:rFonts w:ascii="Arial" w:hAnsi="Arial" w:cs="Arial"/>
          <w:highlight w:val="yellow"/>
        </w:rPr>
        <w:t xml:space="preserve"> </w:t>
      </w:r>
      <w:proofErr w:type="spellStart"/>
      <w:r w:rsidRPr="00CE4FAB">
        <w:rPr>
          <w:rFonts w:ascii="Arial" w:hAnsi="Arial" w:cs="Arial"/>
          <w:highlight w:val="yellow"/>
        </w:rPr>
        <w:t>Akuntansi</w:t>
      </w:r>
      <w:proofErr w:type="spellEnd"/>
      <w:r w:rsidRPr="00CE4FAB">
        <w:rPr>
          <w:rFonts w:ascii="Arial" w:hAnsi="Arial" w:cs="Arial"/>
          <w:highlight w:val="yellow"/>
        </w:rPr>
        <w:t>, 7(2), 1658–1670.</w:t>
      </w:r>
    </w:p>
    <w:p w14:paraId="40D7DABE" w14:textId="4E54AF83" w:rsidR="00CE4FAB" w:rsidRDefault="00CE4FAB" w:rsidP="00CE4FAB">
      <w:pPr>
        <w:spacing w:after="120" w:line="240" w:lineRule="auto"/>
        <w:ind w:left="851" w:hanging="851"/>
        <w:jc w:val="both"/>
        <w:rPr>
          <w:rFonts w:ascii="Arial" w:hAnsi="Arial" w:cs="Arial"/>
        </w:rPr>
      </w:pPr>
      <w:proofErr w:type="spellStart"/>
      <w:r w:rsidRPr="00CE4FAB">
        <w:rPr>
          <w:rFonts w:ascii="Arial" w:hAnsi="Arial" w:cs="Arial"/>
          <w:highlight w:val="yellow"/>
        </w:rPr>
        <w:t>Saputro</w:t>
      </w:r>
      <w:proofErr w:type="spellEnd"/>
      <w:r w:rsidRPr="00CE4FAB">
        <w:rPr>
          <w:rFonts w:ascii="Arial" w:hAnsi="Arial" w:cs="Arial"/>
          <w:highlight w:val="yellow"/>
        </w:rPr>
        <w:t xml:space="preserve">, E. D. (2016). </w:t>
      </w:r>
      <w:r w:rsidRPr="00CE4FAB">
        <w:rPr>
          <w:rFonts w:ascii="Arial" w:hAnsi="Arial" w:cs="Arial"/>
          <w:i/>
          <w:iCs/>
          <w:highlight w:val="yellow"/>
        </w:rPr>
        <w:t xml:space="preserve">Optimization of capital expenditure allocation to improve regional infrastructure development in </w:t>
      </w:r>
      <w:proofErr w:type="spellStart"/>
      <w:r w:rsidRPr="00CE4FAB">
        <w:rPr>
          <w:rFonts w:ascii="Arial" w:hAnsi="Arial" w:cs="Arial"/>
          <w:i/>
          <w:iCs/>
          <w:highlight w:val="yellow"/>
        </w:rPr>
        <w:t>Grobogan</w:t>
      </w:r>
      <w:proofErr w:type="spellEnd"/>
      <w:r w:rsidRPr="00CE4FAB">
        <w:rPr>
          <w:rFonts w:ascii="Arial" w:hAnsi="Arial" w:cs="Arial"/>
          <w:i/>
          <w:iCs/>
          <w:highlight w:val="yellow"/>
        </w:rPr>
        <w:t xml:space="preserve"> Regency, Central Java</w:t>
      </w:r>
      <w:r w:rsidRPr="00CE4FAB">
        <w:rPr>
          <w:rFonts w:ascii="Arial" w:hAnsi="Arial" w:cs="Arial"/>
          <w:highlight w:val="yellow"/>
        </w:rPr>
        <w:t xml:space="preserve">. </w:t>
      </w:r>
      <w:proofErr w:type="spellStart"/>
      <w:r w:rsidRPr="00CE4FAB">
        <w:rPr>
          <w:rFonts w:ascii="Arial" w:hAnsi="Arial" w:cs="Arial"/>
          <w:highlight w:val="yellow"/>
        </w:rPr>
        <w:t>Jurnal</w:t>
      </w:r>
      <w:proofErr w:type="spellEnd"/>
      <w:r w:rsidRPr="00CE4FAB">
        <w:rPr>
          <w:rFonts w:ascii="Arial" w:hAnsi="Arial" w:cs="Arial"/>
          <w:highlight w:val="yellow"/>
        </w:rPr>
        <w:t xml:space="preserve"> </w:t>
      </w:r>
      <w:proofErr w:type="spellStart"/>
      <w:r w:rsidRPr="00CE4FAB">
        <w:rPr>
          <w:rFonts w:ascii="Arial" w:hAnsi="Arial" w:cs="Arial"/>
          <w:highlight w:val="yellow"/>
        </w:rPr>
        <w:t>Ilmu</w:t>
      </w:r>
      <w:proofErr w:type="spellEnd"/>
      <w:r w:rsidRPr="00CE4FAB">
        <w:rPr>
          <w:rFonts w:ascii="Arial" w:hAnsi="Arial" w:cs="Arial"/>
          <w:highlight w:val="yellow"/>
        </w:rPr>
        <w:t xml:space="preserve"> </w:t>
      </w:r>
      <w:proofErr w:type="spellStart"/>
      <w:r w:rsidRPr="00CE4FAB">
        <w:rPr>
          <w:rFonts w:ascii="Arial" w:hAnsi="Arial" w:cs="Arial"/>
          <w:highlight w:val="yellow"/>
        </w:rPr>
        <w:t>Administrasi</w:t>
      </w:r>
      <w:proofErr w:type="spellEnd"/>
      <w:r w:rsidRPr="00CE4FAB">
        <w:rPr>
          <w:rFonts w:ascii="Arial" w:hAnsi="Arial" w:cs="Arial"/>
          <w:highlight w:val="yellow"/>
        </w:rPr>
        <w:t xml:space="preserve"> Negara, 16(2), 1–10.</w:t>
      </w:r>
    </w:p>
    <w:p w14:paraId="4E168D65" w14:textId="523B312F" w:rsidR="00CE4FAB" w:rsidRDefault="00CE4FAB" w:rsidP="00CE4FAB">
      <w:pPr>
        <w:spacing w:after="120" w:line="240" w:lineRule="auto"/>
        <w:ind w:left="851" w:hanging="851"/>
        <w:jc w:val="both"/>
        <w:rPr>
          <w:rFonts w:ascii="Arial" w:hAnsi="Arial" w:cs="Arial"/>
          <w:lang w:val="fi-FI"/>
        </w:rPr>
      </w:pPr>
      <w:proofErr w:type="spellStart"/>
      <w:r w:rsidRPr="00677042">
        <w:rPr>
          <w:rFonts w:ascii="Arial" w:hAnsi="Arial" w:cs="Arial"/>
        </w:rPr>
        <w:t>Sasongko</w:t>
      </w:r>
      <w:proofErr w:type="spellEnd"/>
      <w:r w:rsidRPr="00677042">
        <w:rPr>
          <w:rFonts w:ascii="Arial" w:hAnsi="Arial" w:cs="Arial"/>
        </w:rPr>
        <w:t xml:space="preserve">, H. E., &amp; Wibowo, P. (2022). Government spending and regional economic growth: The mediating effect of human development index. </w:t>
      </w:r>
      <w:r w:rsidRPr="00187619">
        <w:rPr>
          <w:rFonts w:ascii="Arial" w:hAnsi="Arial" w:cs="Arial"/>
          <w:lang w:val="fi-FI"/>
        </w:rPr>
        <w:t>Jurnal Ekonomi Bisnis dan Akuntansi, 29(3), 245–258</w:t>
      </w:r>
    </w:p>
    <w:p w14:paraId="51992799" w14:textId="77777777" w:rsidR="00CE4FAB" w:rsidRDefault="00CE4FAB" w:rsidP="00CE4FAB">
      <w:pPr>
        <w:spacing w:after="120" w:line="240" w:lineRule="auto"/>
        <w:ind w:left="567" w:hanging="567"/>
        <w:jc w:val="both"/>
        <w:rPr>
          <w:rFonts w:ascii="Arial" w:hAnsi="Arial" w:cs="Arial"/>
        </w:rPr>
      </w:pPr>
      <w:r w:rsidRPr="00307017">
        <w:rPr>
          <w:rFonts w:ascii="Arial" w:hAnsi="Arial" w:cs="Arial"/>
          <w:lang w:val="fi-FI"/>
        </w:rPr>
        <w:t xml:space="preserve">Syam, A. Y., &amp; Chandrarin, G. (2019). </w:t>
      </w:r>
      <w:r w:rsidRPr="00677042">
        <w:rPr>
          <w:rFonts w:ascii="Arial" w:hAnsi="Arial" w:cs="Arial"/>
        </w:rPr>
        <w:t>Effects of fiscal health on Human Development Index in Indonesia: Regional government performance mediating role. International Journal of Innovative Research and Development, 8(10), 83–92.</w:t>
      </w:r>
    </w:p>
    <w:p w14:paraId="26101242" w14:textId="77777777" w:rsidR="00CE4FAB" w:rsidRPr="00CE4FAB" w:rsidRDefault="00CE4FAB" w:rsidP="00CE4FAB">
      <w:pPr>
        <w:spacing w:after="120" w:line="240" w:lineRule="auto"/>
        <w:ind w:left="851" w:hanging="851"/>
        <w:jc w:val="both"/>
        <w:rPr>
          <w:rFonts w:ascii="Arial" w:hAnsi="Arial" w:cs="Arial"/>
        </w:rPr>
      </w:pPr>
    </w:p>
    <w:p w14:paraId="09EB4051" w14:textId="77777777" w:rsidR="008E65AB" w:rsidRPr="00101FB6" w:rsidRDefault="008E65AB" w:rsidP="00075AE4">
      <w:pPr>
        <w:spacing w:after="120" w:line="240" w:lineRule="auto"/>
        <w:jc w:val="both"/>
        <w:rPr>
          <w:rFonts w:ascii="Arial" w:hAnsi="Arial" w:cs="Arial"/>
        </w:rPr>
      </w:pPr>
    </w:p>
    <w:sectPr w:rsidR="008E65AB" w:rsidRPr="00101FB6" w:rsidSect="008E65A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65F1B" w14:textId="77777777" w:rsidR="00F6307F" w:rsidRDefault="00F6307F" w:rsidP="0074010C">
      <w:pPr>
        <w:spacing w:after="0" w:line="240" w:lineRule="auto"/>
      </w:pPr>
      <w:r>
        <w:separator/>
      </w:r>
    </w:p>
  </w:endnote>
  <w:endnote w:type="continuationSeparator" w:id="0">
    <w:p w14:paraId="06F172CB" w14:textId="77777777" w:rsidR="00F6307F" w:rsidRDefault="00F6307F" w:rsidP="0074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AA07" w14:textId="77777777" w:rsidR="0074010C" w:rsidRDefault="0074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BA33" w14:textId="77777777" w:rsidR="0074010C" w:rsidRDefault="00740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5E9E" w14:textId="77777777" w:rsidR="0074010C" w:rsidRDefault="0074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5354B" w14:textId="77777777" w:rsidR="00F6307F" w:rsidRDefault="00F6307F" w:rsidP="0074010C">
      <w:pPr>
        <w:spacing w:after="0" w:line="240" w:lineRule="auto"/>
      </w:pPr>
      <w:r>
        <w:separator/>
      </w:r>
    </w:p>
  </w:footnote>
  <w:footnote w:type="continuationSeparator" w:id="0">
    <w:p w14:paraId="2593D76C" w14:textId="77777777" w:rsidR="00F6307F" w:rsidRDefault="00F6307F" w:rsidP="0074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8FDE" w14:textId="31518A66" w:rsidR="0074010C" w:rsidRDefault="00F6307F">
    <w:pPr>
      <w:pStyle w:val="Header"/>
    </w:pPr>
    <w:r>
      <w:rPr>
        <w:noProof/>
      </w:rPr>
      <w:pict w14:anchorId="7CCF2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83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5ABB" w14:textId="64CFEB09" w:rsidR="0074010C" w:rsidRDefault="00F6307F">
    <w:pPr>
      <w:pStyle w:val="Header"/>
    </w:pPr>
    <w:r>
      <w:rPr>
        <w:noProof/>
      </w:rPr>
      <w:pict w14:anchorId="6EEF1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83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CB7A" w14:textId="3EE202B6" w:rsidR="0074010C" w:rsidRDefault="00F6307F">
    <w:pPr>
      <w:pStyle w:val="Header"/>
    </w:pPr>
    <w:r>
      <w:rPr>
        <w:noProof/>
      </w:rPr>
      <w:pict w14:anchorId="70246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83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FA6"/>
    <w:multiLevelType w:val="multilevel"/>
    <w:tmpl w:val="648A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5AB3"/>
    <w:multiLevelType w:val="multilevel"/>
    <w:tmpl w:val="91E8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32A6C"/>
    <w:multiLevelType w:val="multilevel"/>
    <w:tmpl w:val="490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CFD"/>
    <w:multiLevelType w:val="multilevel"/>
    <w:tmpl w:val="1DDC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81B42"/>
    <w:multiLevelType w:val="multilevel"/>
    <w:tmpl w:val="CA1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57FE5"/>
    <w:multiLevelType w:val="multilevel"/>
    <w:tmpl w:val="976A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42208"/>
    <w:multiLevelType w:val="multilevel"/>
    <w:tmpl w:val="8CFA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10D4C"/>
    <w:multiLevelType w:val="hybridMultilevel"/>
    <w:tmpl w:val="AAE82F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F285CFE"/>
    <w:multiLevelType w:val="multilevel"/>
    <w:tmpl w:val="6AD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5062B"/>
    <w:multiLevelType w:val="hybridMultilevel"/>
    <w:tmpl w:val="A7AC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A3E9C"/>
    <w:multiLevelType w:val="multilevel"/>
    <w:tmpl w:val="35B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448D6"/>
    <w:multiLevelType w:val="multilevel"/>
    <w:tmpl w:val="E6AE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B74F9"/>
    <w:multiLevelType w:val="multilevel"/>
    <w:tmpl w:val="A152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0A1739"/>
    <w:multiLevelType w:val="multilevel"/>
    <w:tmpl w:val="136A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34A19"/>
    <w:multiLevelType w:val="multilevel"/>
    <w:tmpl w:val="B29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01EEE"/>
    <w:multiLevelType w:val="multilevel"/>
    <w:tmpl w:val="86B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52F44"/>
    <w:multiLevelType w:val="multilevel"/>
    <w:tmpl w:val="050A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46BE8"/>
    <w:multiLevelType w:val="multilevel"/>
    <w:tmpl w:val="E27C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F62D4"/>
    <w:multiLevelType w:val="multilevel"/>
    <w:tmpl w:val="3D30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FA08C9"/>
    <w:multiLevelType w:val="hybridMultilevel"/>
    <w:tmpl w:val="5BBA54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6B3763B6"/>
    <w:multiLevelType w:val="multilevel"/>
    <w:tmpl w:val="0D9C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E0780"/>
    <w:multiLevelType w:val="multilevel"/>
    <w:tmpl w:val="C1A8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31054"/>
    <w:multiLevelType w:val="hybridMultilevel"/>
    <w:tmpl w:val="F4B0B4EE"/>
    <w:lvl w:ilvl="0" w:tplc="37CE4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A12B0"/>
    <w:multiLevelType w:val="multilevel"/>
    <w:tmpl w:val="34A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4"/>
  </w:num>
  <w:num w:numId="4">
    <w:abstractNumId w:val="15"/>
  </w:num>
  <w:num w:numId="5">
    <w:abstractNumId w:val="20"/>
  </w:num>
  <w:num w:numId="6">
    <w:abstractNumId w:val="2"/>
  </w:num>
  <w:num w:numId="7">
    <w:abstractNumId w:val="0"/>
  </w:num>
  <w:num w:numId="8">
    <w:abstractNumId w:val="18"/>
  </w:num>
  <w:num w:numId="9">
    <w:abstractNumId w:val="6"/>
  </w:num>
  <w:num w:numId="10">
    <w:abstractNumId w:val="3"/>
  </w:num>
  <w:num w:numId="11">
    <w:abstractNumId w:val="13"/>
  </w:num>
  <w:num w:numId="12">
    <w:abstractNumId w:val="7"/>
  </w:num>
  <w:num w:numId="13">
    <w:abstractNumId w:val="19"/>
  </w:num>
  <w:num w:numId="14">
    <w:abstractNumId w:val="11"/>
  </w:num>
  <w:num w:numId="15">
    <w:abstractNumId w:val="8"/>
  </w:num>
  <w:num w:numId="16">
    <w:abstractNumId w:val="23"/>
  </w:num>
  <w:num w:numId="17">
    <w:abstractNumId w:val="12"/>
  </w:num>
  <w:num w:numId="18">
    <w:abstractNumId w:val="9"/>
  </w:num>
  <w:num w:numId="19">
    <w:abstractNumId w:val="21"/>
  </w:num>
  <w:num w:numId="20">
    <w:abstractNumId w:val="14"/>
  </w:num>
  <w:num w:numId="21">
    <w:abstractNumId w:val="17"/>
  </w:num>
  <w:num w:numId="22">
    <w:abstractNumId w:val="16"/>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AB"/>
    <w:rsid w:val="00045E0B"/>
    <w:rsid w:val="000467AE"/>
    <w:rsid w:val="00075AE4"/>
    <w:rsid w:val="000C4ECC"/>
    <w:rsid w:val="00101FB6"/>
    <w:rsid w:val="00187619"/>
    <w:rsid w:val="001D454D"/>
    <w:rsid w:val="002A4F24"/>
    <w:rsid w:val="002D3605"/>
    <w:rsid w:val="00307017"/>
    <w:rsid w:val="003260F3"/>
    <w:rsid w:val="00371938"/>
    <w:rsid w:val="00427E4C"/>
    <w:rsid w:val="0046681B"/>
    <w:rsid w:val="004717F6"/>
    <w:rsid w:val="00481D18"/>
    <w:rsid w:val="004F3A2A"/>
    <w:rsid w:val="00547BA5"/>
    <w:rsid w:val="00557951"/>
    <w:rsid w:val="00575B8F"/>
    <w:rsid w:val="00576117"/>
    <w:rsid w:val="006013C5"/>
    <w:rsid w:val="00677042"/>
    <w:rsid w:val="00680D92"/>
    <w:rsid w:val="006A5B78"/>
    <w:rsid w:val="006F3F7F"/>
    <w:rsid w:val="007256E4"/>
    <w:rsid w:val="0074010C"/>
    <w:rsid w:val="007734ED"/>
    <w:rsid w:val="00777393"/>
    <w:rsid w:val="007D2F5E"/>
    <w:rsid w:val="00847475"/>
    <w:rsid w:val="0087188D"/>
    <w:rsid w:val="008B76FD"/>
    <w:rsid w:val="008D23B0"/>
    <w:rsid w:val="008E540D"/>
    <w:rsid w:val="008E65AB"/>
    <w:rsid w:val="00952BDE"/>
    <w:rsid w:val="00971BAE"/>
    <w:rsid w:val="009A5C67"/>
    <w:rsid w:val="009B476C"/>
    <w:rsid w:val="00A65193"/>
    <w:rsid w:val="00AF064B"/>
    <w:rsid w:val="00B719A5"/>
    <w:rsid w:val="00C10309"/>
    <w:rsid w:val="00C443E0"/>
    <w:rsid w:val="00C80868"/>
    <w:rsid w:val="00C90EA9"/>
    <w:rsid w:val="00CE4FAB"/>
    <w:rsid w:val="00D42B91"/>
    <w:rsid w:val="00D73792"/>
    <w:rsid w:val="00D77E67"/>
    <w:rsid w:val="00D82B7B"/>
    <w:rsid w:val="00D92DDA"/>
    <w:rsid w:val="00D96267"/>
    <w:rsid w:val="00DA027F"/>
    <w:rsid w:val="00DF3F01"/>
    <w:rsid w:val="00E26E1E"/>
    <w:rsid w:val="00E72F43"/>
    <w:rsid w:val="00E95085"/>
    <w:rsid w:val="00ED5D14"/>
    <w:rsid w:val="00ED70B6"/>
    <w:rsid w:val="00F16E86"/>
    <w:rsid w:val="00F6307F"/>
    <w:rsid w:val="00F867A8"/>
    <w:rsid w:val="00FE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E230AE"/>
  <w15:chartTrackingRefBased/>
  <w15:docId w15:val="{171A1762-8994-4A2D-AE5F-C2FF9769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6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6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6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6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5AB"/>
    <w:rPr>
      <w:rFonts w:eastAsiaTheme="majorEastAsia" w:cstheme="majorBidi"/>
      <w:color w:val="272727" w:themeColor="text1" w:themeTint="D8"/>
    </w:rPr>
  </w:style>
  <w:style w:type="paragraph" w:styleId="Title">
    <w:name w:val="Title"/>
    <w:basedOn w:val="Normal"/>
    <w:next w:val="Normal"/>
    <w:link w:val="TitleChar"/>
    <w:uiPriority w:val="10"/>
    <w:qFormat/>
    <w:rsid w:val="008E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5AB"/>
    <w:pPr>
      <w:spacing w:before="160"/>
      <w:jc w:val="center"/>
    </w:pPr>
    <w:rPr>
      <w:i/>
      <w:iCs/>
      <w:color w:val="404040" w:themeColor="text1" w:themeTint="BF"/>
    </w:rPr>
  </w:style>
  <w:style w:type="character" w:customStyle="1" w:styleId="QuoteChar">
    <w:name w:val="Quote Char"/>
    <w:basedOn w:val="DefaultParagraphFont"/>
    <w:link w:val="Quote"/>
    <w:uiPriority w:val="29"/>
    <w:rsid w:val="008E65AB"/>
    <w:rPr>
      <w:i/>
      <w:iCs/>
      <w:color w:val="404040" w:themeColor="text1" w:themeTint="BF"/>
    </w:rPr>
  </w:style>
  <w:style w:type="paragraph" w:styleId="ListParagraph">
    <w:name w:val="List Paragraph"/>
    <w:basedOn w:val="Normal"/>
    <w:uiPriority w:val="34"/>
    <w:qFormat/>
    <w:rsid w:val="008E65AB"/>
    <w:pPr>
      <w:ind w:left="720"/>
      <w:contextualSpacing/>
    </w:pPr>
  </w:style>
  <w:style w:type="character" w:styleId="IntenseEmphasis">
    <w:name w:val="Intense Emphasis"/>
    <w:basedOn w:val="DefaultParagraphFont"/>
    <w:uiPriority w:val="21"/>
    <w:qFormat/>
    <w:rsid w:val="008E65AB"/>
    <w:rPr>
      <w:i/>
      <w:iCs/>
      <w:color w:val="0F4761" w:themeColor="accent1" w:themeShade="BF"/>
    </w:rPr>
  </w:style>
  <w:style w:type="paragraph" w:styleId="IntenseQuote">
    <w:name w:val="Intense Quote"/>
    <w:basedOn w:val="Normal"/>
    <w:next w:val="Normal"/>
    <w:link w:val="IntenseQuoteChar"/>
    <w:uiPriority w:val="30"/>
    <w:qFormat/>
    <w:rsid w:val="008E6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5AB"/>
    <w:rPr>
      <w:i/>
      <w:iCs/>
      <w:color w:val="0F4761" w:themeColor="accent1" w:themeShade="BF"/>
    </w:rPr>
  </w:style>
  <w:style w:type="character" w:styleId="IntenseReference">
    <w:name w:val="Intense Reference"/>
    <w:basedOn w:val="DefaultParagraphFont"/>
    <w:uiPriority w:val="32"/>
    <w:qFormat/>
    <w:rsid w:val="008E65AB"/>
    <w:rPr>
      <w:b/>
      <w:bCs/>
      <w:smallCaps/>
      <w:color w:val="0F4761" w:themeColor="accent1" w:themeShade="BF"/>
      <w:spacing w:val="5"/>
    </w:rPr>
  </w:style>
  <w:style w:type="paragraph" w:styleId="NormalWeb">
    <w:name w:val="Normal (Web)"/>
    <w:basedOn w:val="Normal"/>
    <w:uiPriority w:val="99"/>
    <w:semiHidden/>
    <w:unhideWhenUsed/>
    <w:rsid w:val="008E65AB"/>
    <w:rPr>
      <w:rFonts w:ascii="Times New Roman" w:hAnsi="Times New Roman" w:cs="Times New Roman"/>
    </w:rPr>
  </w:style>
  <w:style w:type="table" w:styleId="TableGridLight">
    <w:name w:val="Grid Table Light"/>
    <w:basedOn w:val="TableNormal"/>
    <w:uiPriority w:val="40"/>
    <w:rsid w:val="004717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7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17F6"/>
    <w:rPr>
      <w:b/>
      <w:bCs/>
    </w:rPr>
  </w:style>
  <w:style w:type="paragraph" w:customStyle="1" w:styleId="PgfSubBab">
    <w:name w:val="Pgf Sub Bab"/>
    <w:basedOn w:val="Normal"/>
    <w:link w:val="PgfSubBabChar"/>
    <w:qFormat/>
    <w:rsid w:val="00101FB6"/>
    <w:pPr>
      <w:spacing w:after="0" w:line="480" w:lineRule="auto"/>
      <w:ind w:firstLine="567"/>
      <w:jc w:val="both"/>
    </w:pPr>
    <w:rPr>
      <w:rFonts w:ascii="Times New Roman" w:hAnsi="Times New Roman" w:cs="Times New Roman"/>
      <w:kern w:val="0"/>
      <w14:ligatures w14:val="none"/>
    </w:rPr>
  </w:style>
  <w:style w:type="character" w:customStyle="1" w:styleId="PgfSubBabChar">
    <w:name w:val="Pgf Sub Bab Char"/>
    <w:basedOn w:val="DefaultParagraphFont"/>
    <w:link w:val="PgfSubBab"/>
    <w:rsid w:val="00101FB6"/>
    <w:rPr>
      <w:rFonts w:ascii="Times New Roman" w:hAnsi="Times New Roman" w:cs="Times New Roman"/>
      <w:kern w:val="0"/>
      <w14:ligatures w14:val="none"/>
    </w:rPr>
  </w:style>
  <w:style w:type="character" w:styleId="Hyperlink">
    <w:name w:val="Hyperlink"/>
    <w:basedOn w:val="DefaultParagraphFont"/>
    <w:uiPriority w:val="99"/>
    <w:unhideWhenUsed/>
    <w:rsid w:val="00D77E67"/>
    <w:rPr>
      <w:color w:val="467886" w:themeColor="hyperlink"/>
      <w:u w:val="single"/>
    </w:rPr>
  </w:style>
  <w:style w:type="character" w:customStyle="1" w:styleId="UnresolvedMention1">
    <w:name w:val="Unresolved Mention1"/>
    <w:basedOn w:val="DefaultParagraphFont"/>
    <w:uiPriority w:val="99"/>
    <w:semiHidden/>
    <w:unhideWhenUsed/>
    <w:rsid w:val="002A4F24"/>
    <w:rPr>
      <w:color w:val="605E5C"/>
      <w:shd w:val="clear" w:color="auto" w:fill="E1DFDD"/>
    </w:rPr>
  </w:style>
  <w:style w:type="paragraph" w:customStyle="1" w:styleId="Default">
    <w:name w:val="Default"/>
    <w:rsid w:val="009A5C67"/>
    <w:pPr>
      <w:autoSpaceDE w:val="0"/>
      <w:autoSpaceDN w:val="0"/>
      <w:adjustRightInd w:val="0"/>
      <w:spacing w:after="0" w:line="240" w:lineRule="auto"/>
    </w:pPr>
    <w:rPr>
      <w:rFonts w:ascii="Times New Roman" w:hAnsi="Times New Roman" w:cs="Times New Roman"/>
      <w:color w:val="000000"/>
      <w:kern w:val="0"/>
      <w:lang w:val="id-ID"/>
    </w:rPr>
  </w:style>
  <w:style w:type="paragraph" w:styleId="Header">
    <w:name w:val="header"/>
    <w:basedOn w:val="Normal"/>
    <w:link w:val="HeaderChar"/>
    <w:uiPriority w:val="99"/>
    <w:unhideWhenUsed/>
    <w:rsid w:val="00740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10C"/>
  </w:style>
  <w:style w:type="paragraph" w:styleId="Footer">
    <w:name w:val="footer"/>
    <w:basedOn w:val="Normal"/>
    <w:link w:val="FooterChar"/>
    <w:uiPriority w:val="99"/>
    <w:unhideWhenUsed/>
    <w:rsid w:val="00740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10C"/>
  </w:style>
  <w:style w:type="character" w:styleId="UnresolvedMention">
    <w:name w:val="Unresolved Mention"/>
    <w:basedOn w:val="DefaultParagraphFont"/>
    <w:uiPriority w:val="99"/>
    <w:semiHidden/>
    <w:unhideWhenUsed/>
    <w:rsid w:val="00D9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9012">
      <w:bodyDiv w:val="1"/>
      <w:marLeft w:val="0"/>
      <w:marRight w:val="0"/>
      <w:marTop w:val="0"/>
      <w:marBottom w:val="0"/>
      <w:divBdr>
        <w:top w:val="none" w:sz="0" w:space="0" w:color="auto"/>
        <w:left w:val="none" w:sz="0" w:space="0" w:color="auto"/>
        <w:bottom w:val="none" w:sz="0" w:space="0" w:color="auto"/>
        <w:right w:val="none" w:sz="0" w:space="0" w:color="auto"/>
      </w:divBdr>
      <w:divsChild>
        <w:div w:id="823669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91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4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02563">
      <w:bodyDiv w:val="1"/>
      <w:marLeft w:val="0"/>
      <w:marRight w:val="0"/>
      <w:marTop w:val="0"/>
      <w:marBottom w:val="0"/>
      <w:divBdr>
        <w:top w:val="none" w:sz="0" w:space="0" w:color="auto"/>
        <w:left w:val="none" w:sz="0" w:space="0" w:color="auto"/>
        <w:bottom w:val="none" w:sz="0" w:space="0" w:color="auto"/>
        <w:right w:val="none" w:sz="0" w:space="0" w:color="auto"/>
      </w:divBdr>
    </w:div>
    <w:div w:id="123499968">
      <w:bodyDiv w:val="1"/>
      <w:marLeft w:val="0"/>
      <w:marRight w:val="0"/>
      <w:marTop w:val="0"/>
      <w:marBottom w:val="0"/>
      <w:divBdr>
        <w:top w:val="none" w:sz="0" w:space="0" w:color="auto"/>
        <w:left w:val="none" w:sz="0" w:space="0" w:color="auto"/>
        <w:bottom w:val="none" w:sz="0" w:space="0" w:color="auto"/>
        <w:right w:val="none" w:sz="0" w:space="0" w:color="auto"/>
      </w:divBdr>
    </w:div>
    <w:div w:id="194464707">
      <w:bodyDiv w:val="1"/>
      <w:marLeft w:val="0"/>
      <w:marRight w:val="0"/>
      <w:marTop w:val="0"/>
      <w:marBottom w:val="0"/>
      <w:divBdr>
        <w:top w:val="none" w:sz="0" w:space="0" w:color="auto"/>
        <w:left w:val="none" w:sz="0" w:space="0" w:color="auto"/>
        <w:bottom w:val="none" w:sz="0" w:space="0" w:color="auto"/>
        <w:right w:val="none" w:sz="0" w:space="0" w:color="auto"/>
      </w:divBdr>
    </w:div>
    <w:div w:id="196699252">
      <w:bodyDiv w:val="1"/>
      <w:marLeft w:val="0"/>
      <w:marRight w:val="0"/>
      <w:marTop w:val="0"/>
      <w:marBottom w:val="0"/>
      <w:divBdr>
        <w:top w:val="none" w:sz="0" w:space="0" w:color="auto"/>
        <w:left w:val="none" w:sz="0" w:space="0" w:color="auto"/>
        <w:bottom w:val="none" w:sz="0" w:space="0" w:color="auto"/>
        <w:right w:val="none" w:sz="0" w:space="0" w:color="auto"/>
      </w:divBdr>
    </w:div>
    <w:div w:id="200870296">
      <w:bodyDiv w:val="1"/>
      <w:marLeft w:val="0"/>
      <w:marRight w:val="0"/>
      <w:marTop w:val="0"/>
      <w:marBottom w:val="0"/>
      <w:divBdr>
        <w:top w:val="none" w:sz="0" w:space="0" w:color="auto"/>
        <w:left w:val="none" w:sz="0" w:space="0" w:color="auto"/>
        <w:bottom w:val="none" w:sz="0" w:space="0" w:color="auto"/>
        <w:right w:val="none" w:sz="0" w:space="0" w:color="auto"/>
      </w:divBdr>
    </w:div>
    <w:div w:id="243338452">
      <w:bodyDiv w:val="1"/>
      <w:marLeft w:val="0"/>
      <w:marRight w:val="0"/>
      <w:marTop w:val="0"/>
      <w:marBottom w:val="0"/>
      <w:divBdr>
        <w:top w:val="none" w:sz="0" w:space="0" w:color="auto"/>
        <w:left w:val="none" w:sz="0" w:space="0" w:color="auto"/>
        <w:bottom w:val="none" w:sz="0" w:space="0" w:color="auto"/>
        <w:right w:val="none" w:sz="0" w:space="0" w:color="auto"/>
      </w:divBdr>
    </w:div>
    <w:div w:id="333191980">
      <w:bodyDiv w:val="1"/>
      <w:marLeft w:val="0"/>
      <w:marRight w:val="0"/>
      <w:marTop w:val="0"/>
      <w:marBottom w:val="0"/>
      <w:divBdr>
        <w:top w:val="none" w:sz="0" w:space="0" w:color="auto"/>
        <w:left w:val="none" w:sz="0" w:space="0" w:color="auto"/>
        <w:bottom w:val="none" w:sz="0" w:space="0" w:color="auto"/>
        <w:right w:val="none" w:sz="0" w:space="0" w:color="auto"/>
      </w:divBdr>
    </w:div>
    <w:div w:id="352803755">
      <w:bodyDiv w:val="1"/>
      <w:marLeft w:val="0"/>
      <w:marRight w:val="0"/>
      <w:marTop w:val="0"/>
      <w:marBottom w:val="0"/>
      <w:divBdr>
        <w:top w:val="none" w:sz="0" w:space="0" w:color="auto"/>
        <w:left w:val="none" w:sz="0" w:space="0" w:color="auto"/>
        <w:bottom w:val="none" w:sz="0" w:space="0" w:color="auto"/>
        <w:right w:val="none" w:sz="0" w:space="0" w:color="auto"/>
      </w:divBdr>
      <w:divsChild>
        <w:div w:id="35280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975446">
      <w:bodyDiv w:val="1"/>
      <w:marLeft w:val="0"/>
      <w:marRight w:val="0"/>
      <w:marTop w:val="0"/>
      <w:marBottom w:val="0"/>
      <w:divBdr>
        <w:top w:val="none" w:sz="0" w:space="0" w:color="auto"/>
        <w:left w:val="none" w:sz="0" w:space="0" w:color="auto"/>
        <w:bottom w:val="none" w:sz="0" w:space="0" w:color="auto"/>
        <w:right w:val="none" w:sz="0" w:space="0" w:color="auto"/>
      </w:divBdr>
    </w:div>
    <w:div w:id="363334515">
      <w:bodyDiv w:val="1"/>
      <w:marLeft w:val="0"/>
      <w:marRight w:val="0"/>
      <w:marTop w:val="0"/>
      <w:marBottom w:val="0"/>
      <w:divBdr>
        <w:top w:val="none" w:sz="0" w:space="0" w:color="auto"/>
        <w:left w:val="none" w:sz="0" w:space="0" w:color="auto"/>
        <w:bottom w:val="none" w:sz="0" w:space="0" w:color="auto"/>
        <w:right w:val="none" w:sz="0" w:space="0" w:color="auto"/>
      </w:divBdr>
    </w:div>
    <w:div w:id="400831831">
      <w:bodyDiv w:val="1"/>
      <w:marLeft w:val="0"/>
      <w:marRight w:val="0"/>
      <w:marTop w:val="0"/>
      <w:marBottom w:val="0"/>
      <w:divBdr>
        <w:top w:val="none" w:sz="0" w:space="0" w:color="auto"/>
        <w:left w:val="none" w:sz="0" w:space="0" w:color="auto"/>
        <w:bottom w:val="none" w:sz="0" w:space="0" w:color="auto"/>
        <w:right w:val="none" w:sz="0" w:space="0" w:color="auto"/>
      </w:divBdr>
    </w:div>
    <w:div w:id="407386743">
      <w:bodyDiv w:val="1"/>
      <w:marLeft w:val="0"/>
      <w:marRight w:val="0"/>
      <w:marTop w:val="0"/>
      <w:marBottom w:val="0"/>
      <w:divBdr>
        <w:top w:val="none" w:sz="0" w:space="0" w:color="auto"/>
        <w:left w:val="none" w:sz="0" w:space="0" w:color="auto"/>
        <w:bottom w:val="none" w:sz="0" w:space="0" w:color="auto"/>
        <w:right w:val="none" w:sz="0" w:space="0" w:color="auto"/>
      </w:divBdr>
    </w:div>
    <w:div w:id="455375510">
      <w:bodyDiv w:val="1"/>
      <w:marLeft w:val="0"/>
      <w:marRight w:val="0"/>
      <w:marTop w:val="0"/>
      <w:marBottom w:val="0"/>
      <w:divBdr>
        <w:top w:val="none" w:sz="0" w:space="0" w:color="auto"/>
        <w:left w:val="none" w:sz="0" w:space="0" w:color="auto"/>
        <w:bottom w:val="none" w:sz="0" w:space="0" w:color="auto"/>
        <w:right w:val="none" w:sz="0" w:space="0" w:color="auto"/>
      </w:divBdr>
      <w:divsChild>
        <w:div w:id="1162893499">
          <w:marLeft w:val="0"/>
          <w:marRight w:val="0"/>
          <w:marTop w:val="0"/>
          <w:marBottom w:val="0"/>
          <w:divBdr>
            <w:top w:val="none" w:sz="0" w:space="0" w:color="auto"/>
            <w:left w:val="none" w:sz="0" w:space="0" w:color="auto"/>
            <w:bottom w:val="none" w:sz="0" w:space="0" w:color="auto"/>
            <w:right w:val="none" w:sz="0" w:space="0" w:color="auto"/>
          </w:divBdr>
          <w:divsChild>
            <w:div w:id="1249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5159">
      <w:bodyDiv w:val="1"/>
      <w:marLeft w:val="0"/>
      <w:marRight w:val="0"/>
      <w:marTop w:val="0"/>
      <w:marBottom w:val="0"/>
      <w:divBdr>
        <w:top w:val="none" w:sz="0" w:space="0" w:color="auto"/>
        <w:left w:val="none" w:sz="0" w:space="0" w:color="auto"/>
        <w:bottom w:val="none" w:sz="0" w:space="0" w:color="auto"/>
        <w:right w:val="none" w:sz="0" w:space="0" w:color="auto"/>
      </w:divBdr>
    </w:div>
    <w:div w:id="619459579">
      <w:bodyDiv w:val="1"/>
      <w:marLeft w:val="0"/>
      <w:marRight w:val="0"/>
      <w:marTop w:val="0"/>
      <w:marBottom w:val="0"/>
      <w:divBdr>
        <w:top w:val="none" w:sz="0" w:space="0" w:color="auto"/>
        <w:left w:val="none" w:sz="0" w:space="0" w:color="auto"/>
        <w:bottom w:val="none" w:sz="0" w:space="0" w:color="auto"/>
        <w:right w:val="none" w:sz="0" w:space="0" w:color="auto"/>
      </w:divBdr>
    </w:div>
    <w:div w:id="620652171">
      <w:bodyDiv w:val="1"/>
      <w:marLeft w:val="0"/>
      <w:marRight w:val="0"/>
      <w:marTop w:val="0"/>
      <w:marBottom w:val="0"/>
      <w:divBdr>
        <w:top w:val="none" w:sz="0" w:space="0" w:color="auto"/>
        <w:left w:val="none" w:sz="0" w:space="0" w:color="auto"/>
        <w:bottom w:val="none" w:sz="0" w:space="0" w:color="auto"/>
        <w:right w:val="none" w:sz="0" w:space="0" w:color="auto"/>
      </w:divBdr>
    </w:div>
    <w:div w:id="652104599">
      <w:bodyDiv w:val="1"/>
      <w:marLeft w:val="0"/>
      <w:marRight w:val="0"/>
      <w:marTop w:val="0"/>
      <w:marBottom w:val="0"/>
      <w:divBdr>
        <w:top w:val="none" w:sz="0" w:space="0" w:color="auto"/>
        <w:left w:val="none" w:sz="0" w:space="0" w:color="auto"/>
        <w:bottom w:val="none" w:sz="0" w:space="0" w:color="auto"/>
        <w:right w:val="none" w:sz="0" w:space="0" w:color="auto"/>
      </w:divBdr>
    </w:div>
    <w:div w:id="674111450">
      <w:bodyDiv w:val="1"/>
      <w:marLeft w:val="0"/>
      <w:marRight w:val="0"/>
      <w:marTop w:val="0"/>
      <w:marBottom w:val="0"/>
      <w:divBdr>
        <w:top w:val="none" w:sz="0" w:space="0" w:color="auto"/>
        <w:left w:val="none" w:sz="0" w:space="0" w:color="auto"/>
        <w:bottom w:val="none" w:sz="0" w:space="0" w:color="auto"/>
        <w:right w:val="none" w:sz="0" w:space="0" w:color="auto"/>
      </w:divBdr>
      <w:divsChild>
        <w:div w:id="947278598">
          <w:marLeft w:val="0"/>
          <w:marRight w:val="0"/>
          <w:marTop w:val="0"/>
          <w:marBottom w:val="0"/>
          <w:divBdr>
            <w:top w:val="none" w:sz="0" w:space="0" w:color="auto"/>
            <w:left w:val="none" w:sz="0" w:space="0" w:color="auto"/>
            <w:bottom w:val="none" w:sz="0" w:space="0" w:color="auto"/>
            <w:right w:val="none" w:sz="0" w:space="0" w:color="auto"/>
          </w:divBdr>
          <w:divsChild>
            <w:div w:id="3705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9424">
      <w:bodyDiv w:val="1"/>
      <w:marLeft w:val="0"/>
      <w:marRight w:val="0"/>
      <w:marTop w:val="0"/>
      <w:marBottom w:val="0"/>
      <w:divBdr>
        <w:top w:val="none" w:sz="0" w:space="0" w:color="auto"/>
        <w:left w:val="none" w:sz="0" w:space="0" w:color="auto"/>
        <w:bottom w:val="none" w:sz="0" w:space="0" w:color="auto"/>
        <w:right w:val="none" w:sz="0" w:space="0" w:color="auto"/>
      </w:divBdr>
    </w:div>
    <w:div w:id="706025826">
      <w:bodyDiv w:val="1"/>
      <w:marLeft w:val="0"/>
      <w:marRight w:val="0"/>
      <w:marTop w:val="0"/>
      <w:marBottom w:val="0"/>
      <w:divBdr>
        <w:top w:val="none" w:sz="0" w:space="0" w:color="auto"/>
        <w:left w:val="none" w:sz="0" w:space="0" w:color="auto"/>
        <w:bottom w:val="none" w:sz="0" w:space="0" w:color="auto"/>
        <w:right w:val="none" w:sz="0" w:space="0" w:color="auto"/>
      </w:divBdr>
      <w:divsChild>
        <w:div w:id="1365399275">
          <w:marLeft w:val="0"/>
          <w:marRight w:val="0"/>
          <w:marTop w:val="0"/>
          <w:marBottom w:val="0"/>
          <w:divBdr>
            <w:top w:val="none" w:sz="0" w:space="0" w:color="auto"/>
            <w:left w:val="none" w:sz="0" w:space="0" w:color="auto"/>
            <w:bottom w:val="none" w:sz="0" w:space="0" w:color="auto"/>
            <w:right w:val="none" w:sz="0" w:space="0" w:color="auto"/>
          </w:divBdr>
          <w:divsChild>
            <w:div w:id="266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4894">
      <w:bodyDiv w:val="1"/>
      <w:marLeft w:val="0"/>
      <w:marRight w:val="0"/>
      <w:marTop w:val="0"/>
      <w:marBottom w:val="0"/>
      <w:divBdr>
        <w:top w:val="none" w:sz="0" w:space="0" w:color="auto"/>
        <w:left w:val="none" w:sz="0" w:space="0" w:color="auto"/>
        <w:bottom w:val="none" w:sz="0" w:space="0" w:color="auto"/>
        <w:right w:val="none" w:sz="0" w:space="0" w:color="auto"/>
      </w:divBdr>
      <w:divsChild>
        <w:div w:id="1461341384">
          <w:marLeft w:val="0"/>
          <w:marRight w:val="0"/>
          <w:marTop w:val="0"/>
          <w:marBottom w:val="0"/>
          <w:divBdr>
            <w:top w:val="none" w:sz="0" w:space="0" w:color="auto"/>
            <w:left w:val="none" w:sz="0" w:space="0" w:color="auto"/>
            <w:bottom w:val="none" w:sz="0" w:space="0" w:color="auto"/>
            <w:right w:val="none" w:sz="0" w:space="0" w:color="auto"/>
          </w:divBdr>
          <w:divsChild>
            <w:div w:id="2629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1523">
      <w:bodyDiv w:val="1"/>
      <w:marLeft w:val="0"/>
      <w:marRight w:val="0"/>
      <w:marTop w:val="0"/>
      <w:marBottom w:val="0"/>
      <w:divBdr>
        <w:top w:val="none" w:sz="0" w:space="0" w:color="auto"/>
        <w:left w:val="none" w:sz="0" w:space="0" w:color="auto"/>
        <w:bottom w:val="none" w:sz="0" w:space="0" w:color="auto"/>
        <w:right w:val="none" w:sz="0" w:space="0" w:color="auto"/>
      </w:divBdr>
    </w:div>
    <w:div w:id="725840707">
      <w:bodyDiv w:val="1"/>
      <w:marLeft w:val="0"/>
      <w:marRight w:val="0"/>
      <w:marTop w:val="0"/>
      <w:marBottom w:val="0"/>
      <w:divBdr>
        <w:top w:val="none" w:sz="0" w:space="0" w:color="auto"/>
        <w:left w:val="none" w:sz="0" w:space="0" w:color="auto"/>
        <w:bottom w:val="none" w:sz="0" w:space="0" w:color="auto"/>
        <w:right w:val="none" w:sz="0" w:space="0" w:color="auto"/>
      </w:divBdr>
    </w:div>
    <w:div w:id="751856069">
      <w:bodyDiv w:val="1"/>
      <w:marLeft w:val="0"/>
      <w:marRight w:val="0"/>
      <w:marTop w:val="0"/>
      <w:marBottom w:val="0"/>
      <w:divBdr>
        <w:top w:val="none" w:sz="0" w:space="0" w:color="auto"/>
        <w:left w:val="none" w:sz="0" w:space="0" w:color="auto"/>
        <w:bottom w:val="none" w:sz="0" w:space="0" w:color="auto"/>
        <w:right w:val="none" w:sz="0" w:space="0" w:color="auto"/>
      </w:divBdr>
    </w:div>
    <w:div w:id="762410366">
      <w:bodyDiv w:val="1"/>
      <w:marLeft w:val="0"/>
      <w:marRight w:val="0"/>
      <w:marTop w:val="0"/>
      <w:marBottom w:val="0"/>
      <w:divBdr>
        <w:top w:val="none" w:sz="0" w:space="0" w:color="auto"/>
        <w:left w:val="none" w:sz="0" w:space="0" w:color="auto"/>
        <w:bottom w:val="none" w:sz="0" w:space="0" w:color="auto"/>
        <w:right w:val="none" w:sz="0" w:space="0" w:color="auto"/>
      </w:divBdr>
    </w:div>
    <w:div w:id="788008033">
      <w:bodyDiv w:val="1"/>
      <w:marLeft w:val="0"/>
      <w:marRight w:val="0"/>
      <w:marTop w:val="0"/>
      <w:marBottom w:val="0"/>
      <w:divBdr>
        <w:top w:val="none" w:sz="0" w:space="0" w:color="auto"/>
        <w:left w:val="none" w:sz="0" w:space="0" w:color="auto"/>
        <w:bottom w:val="none" w:sz="0" w:space="0" w:color="auto"/>
        <w:right w:val="none" w:sz="0" w:space="0" w:color="auto"/>
      </w:divBdr>
    </w:div>
    <w:div w:id="801461039">
      <w:bodyDiv w:val="1"/>
      <w:marLeft w:val="0"/>
      <w:marRight w:val="0"/>
      <w:marTop w:val="0"/>
      <w:marBottom w:val="0"/>
      <w:divBdr>
        <w:top w:val="none" w:sz="0" w:space="0" w:color="auto"/>
        <w:left w:val="none" w:sz="0" w:space="0" w:color="auto"/>
        <w:bottom w:val="none" w:sz="0" w:space="0" w:color="auto"/>
        <w:right w:val="none" w:sz="0" w:space="0" w:color="auto"/>
      </w:divBdr>
    </w:div>
    <w:div w:id="817645596">
      <w:bodyDiv w:val="1"/>
      <w:marLeft w:val="0"/>
      <w:marRight w:val="0"/>
      <w:marTop w:val="0"/>
      <w:marBottom w:val="0"/>
      <w:divBdr>
        <w:top w:val="none" w:sz="0" w:space="0" w:color="auto"/>
        <w:left w:val="none" w:sz="0" w:space="0" w:color="auto"/>
        <w:bottom w:val="none" w:sz="0" w:space="0" w:color="auto"/>
        <w:right w:val="none" w:sz="0" w:space="0" w:color="auto"/>
      </w:divBdr>
      <w:divsChild>
        <w:div w:id="754860442">
          <w:marLeft w:val="0"/>
          <w:marRight w:val="0"/>
          <w:marTop w:val="0"/>
          <w:marBottom w:val="0"/>
          <w:divBdr>
            <w:top w:val="none" w:sz="0" w:space="0" w:color="auto"/>
            <w:left w:val="none" w:sz="0" w:space="0" w:color="auto"/>
            <w:bottom w:val="none" w:sz="0" w:space="0" w:color="auto"/>
            <w:right w:val="none" w:sz="0" w:space="0" w:color="auto"/>
          </w:divBdr>
          <w:divsChild>
            <w:div w:id="1085614351">
              <w:marLeft w:val="0"/>
              <w:marRight w:val="0"/>
              <w:marTop w:val="0"/>
              <w:marBottom w:val="0"/>
              <w:divBdr>
                <w:top w:val="none" w:sz="0" w:space="0" w:color="auto"/>
                <w:left w:val="none" w:sz="0" w:space="0" w:color="auto"/>
                <w:bottom w:val="none" w:sz="0" w:space="0" w:color="auto"/>
                <w:right w:val="none" w:sz="0" w:space="0" w:color="auto"/>
              </w:divBdr>
            </w:div>
          </w:divsChild>
        </w:div>
        <w:div w:id="209876688">
          <w:marLeft w:val="0"/>
          <w:marRight w:val="0"/>
          <w:marTop w:val="0"/>
          <w:marBottom w:val="0"/>
          <w:divBdr>
            <w:top w:val="none" w:sz="0" w:space="0" w:color="auto"/>
            <w:left w:val="none" w:sz="0" w:space="0" w:color="auto"/>
            <w:bottom w:val="none" w:sz="0" w:space="0" w:color="auto"/>
            <w:right w:val="none" w:sz="0" w:space="0" w:color="auto"/>
          </w:divBdr>
          <w:divsChild>
            <w:div w:id="580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767">
      <w:bodyDiv w:val="1"/>
      <w:marLeft w:val="0"/>
      <w:marRight w:val="0"/>
      <w:marTop w:val="0"/>
      <w:marBottom w:val="0"/>
      <w:divBdr>
        <w:top w:val="none" w:sz="0" w:space="0" w:color="auto"/>
        <w:left w:val="none" w:sz="0" w:space="0" w:color="auto"/>
        <w:bottom w:val="none" w:sz="0" w:space="0" w:color="auto"/>
        <w:right w:val="none" w:sz="0" w:space="0" w:color="auto"/>
      </w:divBdr>
    </w:div>
    <w:div w:id="852039029">
      <w:bodyDiv w:val="1"/>
      <w:marLeft w:val="0"/>
      <w:marRight w:val="0"/>
      <w:marTop w:val="0"/>
      <w:marBottom w:val="0"/>
      <w:divBdr>
        <w:top w:val="none" w:sz="0" w:space="0" w:color="auto"/>
        <w:left w:val="none" w:sz="0" w:space="0" w:color="auto"/>
        <w:bottom w:val="none" w:sz="0" w:space="0" w:color="auto"/>
        <w:right w:val="none" w:sz="0" w:space="0" w:color="auto"/>
      </w:divBdr>
    </w:div>
    <w:div w:id="856581562">
      <w:bodyDiv w:val="1"/>
      <w:marLeft w:val="0"/>
      <w:marRight w:val="0"/>
      <w:marTop w:val="0"/>
      <w:marBottom w:val="0"/>
      <w:divBdr>
        <w:top w:val="none" w:sz="0" w:space="0" w:color="auto"/>
        <w:left w:val="none" w:sz="0" w:space="0" w:color="auto"/>
        <w:bottom w:val="none" w:sz="0" w:space="0" w:color="auto"/>
        <w:right w:val="none" w:sz="0" w:space="0" w:color="auto"/>
      </w:divBdr>
    </w:div>
    <w:div w:id="863441868">
      <w:bodyDiv w:val="1"/>
      <w:marLeft w:val="0"/>
      <w:marRight w:val="0"/>
      <w:marTop w:val="0"/>
      <w:marBottom w:val="0"/>
      <w:divBdr>
        <w:top w:val="none" w:sz="0" w:space="0" w:color="auto"/>
        <w:left w:val="none" w:sz="0" w:space="0" w:color="auto"/>
        <w:bottom w:val="none" w:sz="0" w:space="0" w:color="auto"/>
        <w:right w:val="none" w:sz="0" w:space="0" w:color="auto"/>
      </w:divBdr>
    </w:div>
    <w:div w:id="864753041">
      <w:bodyDiv w:val="1"/>
      <w:marLeft w:val="0"/>
      <w:marRight w:val="0"/>
      <w:marTop w:val="0"/>
      <w:marBottom w:val="0"/>
      <w:divBdr>
        <w:top w:val="none" w:sz="0" w:space="0" w:color="auto"/>
        <w:left w:val="none" w:sz="0" w:space="0" w:color="auto"/>
        <w:bottom w:val="none" w:sz="0" w:space="0" w:color="auto"/>
        <w:right w:val="none" w:sz="0" w:space="0" w:color="auto"/>
      </w:divBdr>
    </w:div>
    <w:div w:id="914781023">
      <w:bodyDiv w:val="1"/>
      <w:marLeft w:val="0"/>
      <w:marRight w:val="0"/>
      <w:marTop w:val="0"/>
      <w:marBottom w:val="0"/>
      <w:divBdr>
        <w:top w:val="none" w:sz="0" w:space="0" w:color="auto"/>
        <w:left w:val="none" w:sz="0" w:space="0" w:color="auto"/>
        <w:bottom w:val="none" w:sz="0" w:space="0" w:color="auto"/>
        <w:right w:val="none" w:sz="0" w:space="0" w:color="auto"/>
      </w:divBdr>
      <w:divsChild>
        <w:div w:id="760220958">
          <w:marLeft w:val="0"/>
          <w:marRight w:val="0"/>
          <w:marTop w:val="0"/>
          <w:marBottom w:val="0"/>
          <w:divBdr>
            <w:top w:val="none" w:sz="0" w:space="0" w:color="auto"/>
            <w:left w:val="none" w:sz="0" w:space="0" w:color="auto"/>
            <w:bottom w:val="none" w:sz="0" w:space="0" w:color="auto"/>
            <w:right w:val="none" w:sz="0" w:space="0" w:color="auto"/>
          </w:divBdr>
          <w:divsChild>
            <w:div w:id="713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6883">
      <w:bodyDiv w:val="1"/>
      <w:marLeft w:val="0"/>
      <w:marRight w:val="0"/>
      <w:marTop w:val="0"/>
      <w:marBottom w:val="0"/>
      <w:divBdr>
        <w:top w:val="none" w:sz="0" w:space="0" w:color="auto"/>
        <w:left w:val="none" w:sz="0" w:space="0" w:color="auto"/>
        <w:bottom w:val="none" w:sz="0" w:space="0" w:color="auto"/>
        <w:right w:val="none" w:sz="0" w:space="0" w:color="auto"/>
      </w:divBdr>
    </w:div>
    <w:div w:id="928198408">
      <w:bodyDiv w:val="1"/>
      <w:marLeft w:val="0"/>
      <w:marRight w:val="0"/>
      <w:marTop w:val="0"/>
      <w:marBottom w:val="0"/>
      <w:divBdr>
        <w:top w:val="none" w:sz="0" w:space="0" w:color="auto"/>
        <w:left w:val="none" w:sz="0" w:space="0" w:color="auto"/>
        <w:bottom w:val="none" w:sz="0" w:space="0" w:color="auto"/>
        <w:right w:val="none" w:sz="0" w:space="0" w:color="auto"/>
      </w:divBdr>
    </w:div>
    <w:div w:id="947856049">
      <w:bodyDiv w:val="1"/>
      <w:marLeft w:val="0"/>
      <w:marRight w:val="0"/>
      <w:marTop w:val="0"/>
      <w:marBottom w:val="0"/>
      <w:divBdr>
        <w:top w:val="none" w:sz="0" w:space="0" w:color="auto"/>
        <w:left w:val="none" w:sz="0" w:space="0" w:color="auto"/>
        <w:bottom w:val="none" w:sz="0" w:space="0" w:color="auto"/>
        <w:right w:val="none" w:sz="0" w:space="0" w:color="auto"/>
      </w:divBdr>
    </w:div>
    <w:div w:id="973144436">
      <w:bodyDiv w:val="1"/>
      <w:marLeft w:val="0"/>
      <w:marRight w:val="0"/>
      <w:marTop w:val="0"/>
      <w:marBottom w:val="0"/>
      <w:divBdr>
        <w:top w:val="none" w:sz="0" w:space="0" w:color="auto"/>
        <w:left w:val="none" w:sz="0" w:space="0" w:color="auto"/>
        <w:bottom w:val="none" w:sz="0" w:space="0" w:color="auto"/>
        <w:right w:val="none" w:sz="0" w:space="0" w:color="auto"/>
      </w:divBdr>
    </w:div>
    <w:div w:id="1004822075">
      <w:bodyDiv w:val="1"/>
      <w:marLeft w:val="0"/>
      <w:marRight w:val="0"/>
      <w:marTop w:val="0"/>
      <w:marBottom w:val="0"/>
      <w:divBdr>
        <w:top w:val="none" w:sz="0" w:space="0" w:color="auto"/>
        <w:left w:val="none" w:sz="0" w:space="0" w:color="auto"/>
        <w:bottom w:val="none" w:sz="0" w:space="0" w:color="auto"/>
        <w:right w:val="none" w:sz="0" w:space="0" w:color="auto"/>
      </w:divBdr>
    </w:div>
    <w:div w:id="1024016996">
      <w:bodyDiv w:val="1"/>
      <w:marLeft w:val="0"/>
      <w:marRight w:val="0"/>
      <w:marTop w:val="0"/>
      <w:marBottom w:val="0"/>
      <w:divBdr>
        <w:top w:val="none" w:sz="0" w:space="0" w:color="auto"/>
        <w:left w:val="none" w:sz="0" w:space="0" w:color="auto"/>
        <w:bottom w:val="none" w:sz="0" w:space="0" w:color="auto"/>
        <w:right w:val="none" w:sz="0" w:space="0" w:color="auto"/>
      </w:divBdr>
    </w:div>
    <w:div w:id="1025055229">
      <w:bodyDiv w:val="1"/>
      <w:marLeft w:val="0"/>
      <w:marRight w:val="0"/>
      <w:marTop w:val="0"/>
      <w:marBottom w:val="0"/>
      <w:divBdr>
        <w:top w:val="none" w:sz="0" w:space="0" w:color="auto"/>
        <w:left w:val="none" w:sz="0" w:space="0" w:color="auto"/>
        <w:bottom w:val="none" w:sz="0" w:space="0" w:color="auto"/>
        <w:right w:val="none" w:sz="0" w:space="0" w:color="auto"/>
      </w:divBdr>
    </w:div>
    <w:div w:id="1063985835">
      <w:bodyDiv w:val="1"/>
      <w:marLeft w:val="0"/>
      <w:marRight w:val="0"/>
      <w:marTop w:val="0"/>
      <w:marBottom w:val="0"/>
      <w:divBdr>
        <w:top w:val="none" w:sz="0" w:space="0" w:color="auto"/>
        <w:left w:val="none" w:sz="0" w:space="0" w:color="auto"/>
        <w:bottom w:val="none" w:sz="0" w:space="0" w:color="auto"/>
        <w:right w:val="none" w:sz="0" w:space="0" w:color="auto"/>
      </w:divBdr>
    </w:div>
    <w:div w:id="1118379673">
      <w:bodyDiv w:val="1"/>
      <w:marLeft w:val="0"/>
      <w:marRight w:val="0"/>
      <w:marTop w:val="0"/>
      <w:marBottom w:val="0"/>
      <w:divBdr>
        <w:top w:val="none" w:sz="0" w:space="0" w:color="auto"/>
        <w:left w:val="none" w:sz="0" w:space="0" w:color="auto"/>
        <w:bottom w:val="none" w:sz="0" w:space="0" w:color="auto"/>
        <w:right w:val="none" w:sz="0" w:space="0" w:color="auto"/>
      </w:divBdr>
    </w:div>
    <w:div w:id="1121338616">
      <w:bodyDiv w:val="1"/>
      <w:marLeft w:val="0"/>
      <w:marRight w:val="0"/>
      <w:marTop w:val="0"/>
      <w:marBottom w:val="0"/>
      <w:divBdr>
        <w:top w:val="none" w:sz="0" w:space="0" w:color="auto"/>
        <w:left w:val="none" w:sz="0" w:space="0" w:color="auto"/>
        <w:bottom w:val="none" w:sz="0" w:space="0" w:color="auto"/>
        <w:right w:val="none" w:sz="0" w:space="0" w:color="auto"/>
      </w:divBdr>
    </w:div>
    <w:div w:id="1148978144">
      <w:bodyDiv w:val="1"/>
      <w:marLeft w:val="0"/>
      <w:marRight w:val="0"/>
      <w:marTop w:val="0"/>
      <w:marBottom w:val="0"/>
      <w:divBdr>
        <w:top w:val="none" w:sz="0" w:space="0" w:color="auto"/>
        <w:left w:val="none" w:sz="0" w:space="0" w:color="auto"/>
        <w:bottom w:val="none" w:sz="0" w:space="0" w:color="auto"/>
        <w:right w:val="none" w:sz="0" w:space="0" w:color="auto"/>
      </w:divBdr>
    </w:div>
    <w:div w:id="1150516859">
      <w:bodyDiv w:val="1"/>
      <w:marLeft w:val="0"/>
      <w:marRight w:val="0"/>
      <w:marTop w:val="0"/>
      <w:marBottom w:val="0"/>
      <w:divBdr>
        <w:top w:val="none" w:sz="0" w:space="0" w:color="auto"/>
        <w:left w:val="none" w:sz="0" w:space="0" w:color="auto"/>
        <w:bottom w:val="none" w:sz="0" w:space="0" w:color="auto"/>
        <w:right w:val="none" w:sz="0" w:space="0" w:color="auto"/>
      </w:divBdr>
    </w:div>
    <w:div w:id="1177961810">
      <w:bodyDiv w:val="1"/>
      <w:marLeft w:val="0"/>
      <w:marRight w:val="0"/>
      <w:marTop w:val="0"/>
      <w:marBottom w:val="0"/>
      <w:divBdr>
        <w:top w:val="none" w:sz="0" w:space="0" w:color="auto"/>
        <w:left w:val="none" w:sz="0" w:space="0" w:color="auto"/>
        <w:bottom w:val="none" w:sz="0" w:space="0" w:color="auto"/>
        <w:right w:val="none" w:sz="0" w:space="0" w:color="auto"/>
      </w:divBdr>
    </w:div>
    <w:div w:id="1188257364">
      <w:bodyDiv w:val="1"/>
      <w:marLeft w:val="0"/>
      <w:marRight w:val="0"/>
      <w:marTop w:val="0"/>
      <w:marBottom w:val="0"/>
      <w:divBdr>
        <w:top w:val="none" w:sz="0" w:space="0" w:color="auto"/>
        <w:left w:val="none" w:sz="0" w:space="0" w:color="auto"/>
        <w:bottom w:val="none" w:sz="0" w:space="0" w:color="auto"/>
        <w:right w:val="none" w:sz="0" w:space="0" w:color="auto"/>
      </w:divBdr>
    </w:div>
    <w:div w:id="1196967026">
      <w:bodyDiv w:val="1"/>
      <w:marLeft w:val="0"/>
      <w:marRight w:val="0"/>
      <w:marTop w:val="0"/>
      <w:marBottom w:val="0"/>
      <w:divBdr>
        <w:top w:val="none" w:sz="0" w:space="0" w:color="auto"/>
        <w:left w:val="none" w:sz="0" w:space="0" w:color="auto"/>
        <w:bottom w:val="none" w:sz="0" w:space="0" w:color="auto"/>
        <w:right w:val="none" w:sz="0" w:space="0" w:color="auto"/>
      </w:divBdr>
    </w:div>
    <w:div w:id="1199440666">
      <w:bodyDiv w:val="1"/>
      <w:marLeft w:val="0"/>
      <w:marRight w:val="0"/>
      <w:marTop w:val="0"/>
      <w:marBottom w:val="0"/>
      <w:divBdr>
        <w:top w:val="none" w:sz="0" w:space="0" w:color="auto"/>
        <w:left w:val="none" w:sz="0" w:space="0" w:color="auto"/>
        <w:bottom w:val="none" w:sz="0" w:space="0" w:color="auto"/>
        <w:right w:val="none" w:sz="0" w:space="0" w:color="auto"/>
      </w:divBdr>
    </w:div>
    <w:div w:id="1246722403">
      <w:bodyDiv w:val="1"/>
      <w:marLeft w:val="0"/>
      <w:marRight w:val="0"/>
      <w:marTop w:val="0"/>
      <w:marBottom w:val="0"/>
      <w:divBdr>
        <w:top w:val="none" w:sz="0" w:space="0" w:color="auto"/>
        <w:left w:val="none" w:sz="0" w:space="0" w:color="auto"/>
        <w:bottom w:val="none" w:sz="0" w:space="0" w:color="auto"/>
        <w:right w:val="none" w:sz="0" w:space="0" w:color="auto"/>
      </w:divBdr>
    </w:div>
    <w:div w:id="1293172250">
      <w:bodyDiv w:val="1"/>
      <w:marLeft w:val="0"/>
      <w:marRight w:val="0"/>
      <w:marTop w:val="0"/>
      <w:marBottom w:val="0"/>
      <w:divBdr>
        <w:top w:val="none" w:sz="0" w:space="0" w:color="auto"/>
        <w:left w:val="none" w:sz="0" w:space="0" w:color="auto"/>
        <w:bottom w:val="none" w:sz="0" w:space="0" w:color="auto"/>
        <w:right w:val="none" w:sz="0" w:space="0" w:color="auto"/>
      </w:divBdr>
    </w:div>
    <w:div w:id="1313560111">
      <w:bodyDiv w:val="1"/>
      <w:marLeft w:val="0"/>
      <w:marRight w:val="0"/>
      <w:marTop w:val="0"/>
      <w:marBottom w:val="0"/>
      <w:divBdr>
        <w:top w:val="none" w:sz="0" w:space="0" w:color="auto"/>
        <w:left w:val="none" w:sz="0" w:space="0" w:color="auto"/>
        <w:bottom w:val="none" w:sz="0" w:space="0" w:color="auto"/>
        <w:right w:val="none" w:sz="0" w:space="0" w:color="auto"/>
      </w:divBdr>
    </w:div>
    <w:div w:id="1326283857">
      <w:bodyDiv w:val="1"/>
      <w:marLeft w:val="0"/>
      <w:marRight w:val="0"/>
      <w:marTop w:val="0"/>
      <w:marBottom w:val="0"/>
      <w:divBdr>
        <w:top w:val="none" w:sz="0" w:space="0" w:color="auto"/>
        <w:left w:val="none" w:sz="0" w:space="0" w:color="auto"/>
        <w:bottom w:val="none" w:sz="0" w:space="0" w:color="auto"/>
        <w:right w:val="none" w:sz="0" w:space="0" w:color="auto"/>
      </w:divBdr>
    </w:div>
    <w:div w:id="1328826120">
      <w:bodyDiv w:val="1"/>
      <w:marLeft w:val="0"/>
      <w:marRight w:val="0"/>
      <w:marTop w:val="0"/>
      <w:marBottom w:val="0"/>
      <w:divBdr>
        <w:top w:val="none" w:sz="0" w:space="0" w:color="auto"/>
        <w:left w:val="none" w:sz="0" w:space="0" w:color="auto"/>
        <w:bottom w:val="none" w:sz="0" w:space="0" w:color="auto"/>
        <w:right w:val="none" w:sz="0" w:space="0" w:color="auto"/>
      </w:divBdr>
    </w:div>
    <w:div w:id="1349331272">
      <w:bodyDiv w:val="1"/>
      <w:marLeft w:val="0"/>
      <w:marRight w:val="0"/>
      <w:marTop w:val="0"/>
      <w:marBottom w:val="0"/>
      <w:divBdr>
        <w:top w:val="none" w:sz="0" w:space="0" w:color="auto"/>
        <w:left w:val="none" w:sz="0" w:space="0" w:color="auto"/>
        <w:bottom w:val="none" w:sz="0" w:space="0" w:color="auto"/>
        <w:right w:val="none" w:sz="0" w:space="0" w:color="auto"/>
      </w:divBdr>
    </w:div>
    <w:div w:id="1366635922">
      <w:bodyDiv w:val="1"/>
      <w:marLeft w:val="0"/>
      <w:marRight w:val="0"/>
      <w:marTop w:val="0"/>
      <w:marBottom w:val="0"/>
      <w:divBdr>
        <w:top w:val="none" w:sz="0" w:space="0" w:color="auto"/>
        <w:left w:val="none" w:sz="0" w:space="0" w:color="auto"/>
        <w:bottom w:val="none" w:sz="0" w:space="0" w:color="auto"/>
        <w:right w:val="none" w:sz="0" w:space="0" w:color="auto"/>
      </w:divBdr>
    </w:div>
    <w:div w:id="1369600904">
      <w:bodyDiv w:val="1"/>
      <w:marLeft w:val="0"/>
      <w:marRight w:val="0"/>
      <w:marTop w:val="0"/>
      <w:marBottom w:val="0"/>
      <w:divBdr>
        <w:top w:val="none" w:sz="0" w:space="0" w:color="auto"/>
        <w:left w:val="none" w:sz="0" w:space="0" w:color="auto"/>
        <w:bottom w:val="none" w:sz="0" w:space="0" w:color="auto"/>
        <w:right w:val="none" w:sz="0" w:space="0" w:color="auto"/>
      </w:divBdr>
    </w:div>
    <w:div w:id="1388407642">
      <w:bodyDiv w:val="1"/>
      <w:marLeft w:val="0"/>
      <w:marRight w:val="0"/>
      <w:marTop w:val="0"/>
      <w:marBottom w:val="0"/>
      <w:divBdr>
        <w:top w:val="none" w:sz="0" w:space="0" w:color="auto"/>
        <w:left w:val="none" w:sz="0" w:space="0" w:color="auto"/>
        <w:bottom w:val="none" w:sz="0" w:space="0" w:color="auto"/>
        <w:right w:val="none" w:sz="0" w:space="0" w:color="auto"/>
      </w:divBdr>
    </w:div>
    <w:div w:id="1395154623">
      <w:bodyDiv w:val="1"/>
      <w:marLeft w:val="0"/>
      <w:marRight w:val="0"/>
      <w:marTop w:val="0"/>
      <w:marBottom w:val="0"/>
      <w:divBdr>
        <w:top w:val="none" w:sz="0" w:space="0" w:color="auto"/>
        <w:left w:val="none" w:sz="0" w:space="0" w:color="auto"/>
        <w:bottom w:val="none" w:sz="0" w:space="0" w:color="auto"/>
        <w:right w:val="none" w:sz="0" w:space="0" w:color="auto"/>
      </w:divBdr>
      <w:divsChild>
        <w:div w:id="1571424352">
          <w:marLeft w:val="0"/>
          <w:marRight w:val="0"/>
          <w:marTop w:val="0"/>
          <w:marBottom w:val="0"/>
          <w:divBdr>
            <w:top w:val="none" w:sz="0" w:space="0" w:color="auto"/>
            <w:left w:val="none" w:sz="0" w:space="0" w:color="auto"/>
            <w:bottom w:val="none" w:sz="0" w:space="0" w:color="auto"/>
            <w:right w:val="none" w:sz="0" w:space="0" w:color="auto"/>
          </w:divBdr>
          <w:divsChild>
            <w:div w:id="18545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5295">
      <w:bodyDiv w:val="1"/>
      <w:marLeft w:val="0"/>
      <w:marRight w:val="0"/>
      <w:marTop w:val="0"/>
      <w:marBottom w:val="0"/>
      <w:divBdr>
        <w:top w:val="none" w:sz="0" w:space="0" w:color="auto"/>
        <w:left w:val="none" w:sz="0" w:space="0" w:color="auto"/>
        <w:bottom w:val="none" w:sz="0" w:space="0" w:color="auto"/>
        <w:right w:val="none" w:sz="0" w:space="0" w:color="auto"/>
      </w:divBdr>
    </w:div>
    <w:div w:id="1405684969">
      <w:bodyDiv w:val="1"/>
      <w:marLeft w:val="0"/>
      <w:marRight w:val="0"/>
      <w:marTop w:val="0"/>
      <w:marBottom w:val="0"/>
      <w:divBdr>
        <w:top w:val="none" w:sz="0" w:space="0" w:color="auto"/>
        <w:left w:val="none" w:sz="0" w:space="0" w:color="auto"/>
        <w:bottom w:val="none" w:sz="0" w:space="0" w:color="auto"/>
        <w:right w:val="none" w:sz="0" w:space="0" w:color="auto"/>
      </w:divBdr>
    </w:div>
    <w:div w:id="1405687963">
      <w:bodyDiv w:val="1"/>
      <w:marLeft w:val="0"/>
      <w:marRight w:val="0"/>
      <w:marTop w:val="0"/>
      <w:marBottom w:val="0"/>
      <w:divBdr>
        <w:top w:val="none" w:sz="0" w:space="0" w:color="auto"/>
        <w:left w:val="none" w:sz="0" w:space="0" w:color="auto"/>
        <w:bottom w:val="none" w:sz="0" w:space="0" w:color="auto"/>
        <w:right w:val="none" w:sz="0" w:space="0" w:color="auto"/>
      </w:divBdr>
    </w:div>
    <w:div w:id="1419250132">
      <w:bodyDiv w:val="1"/>
      <w:marLeft w:val="0"/>
      <w:marRight w:val="0"/>
      <w:marTop w:val="0"/>
      <w:marBottom w:val="0"/>
      <w:divBdr>
        <w:top w:val="none" w:sz="0" w:space="0" w:color="auto"/>
        <w:left w:val="none" w:sz="0" w:space="0" w:color="auto"/>
        <w:bottom w:val="none" w:sz="0" w:space="0" w:color="auto"/>
        <w:right w:val="none" w:sz="0" w:space="0" w:color="auto"/>
      </w:divBdr>
      <w:divsChild>
        <w:div w:id="13097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776217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403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340208">
      <w:bodyDiv w:val="1"/>
      <w:marLeft w:val="0"/>
      <w:marRight w:val="0"/>
      <w:marTop w:val="0"/>
      <w:marBottom w:val="0"/>
      <w:divBdr>
        <w:top w:val="none" w:sz="0" w:space="0" w:color="auto"/>
        <w:left w:val="none" w:sz="0" w:space="0" w:color="auto"/>
        <w:bottom w:val="none" w:sz="0" w:space="0" w:color="auto"/>
        <w:right w:val="none" w:sz="0" w:space="0" w:color="auto"/>
      </w:divBdr>
    </w:div>
    <w:div w:id="1457866615">
      <w:bodyDiv w:val="1"/>
      <w:marLeft w:val="0"/>
      <w:marRight w:val="0"/>
      <w:marTop w:val="0"/>
      <w:marBottom w:val="0"/>
      <w:divBdr>
        <w:top w:val="none" w:sz="0" w:space="0" w:color="auto"/>
        <w:left w:val="none" w:sz="0" w:space="0" w:color="auto"/>
        <w:bottom w:val="none" w:sz="0" w:space="0" w:color="auto"/>
        <w:right w:val="none" w:sz="0" w:space="0" w:color="auto"/>
      </w:divBdr>
    </w:div>
    <w:div w:id="1486512156">
      <w:bodyDiv w:val="1"/>
      <w:marLeft w:val="0"/>
      <w:marRight w:val="0"/>
      <w:marTop w:val="0"/>
      <w:marBottom w:val="0"/>
      <w:divBdr>
        <w:top w:val="none" w:sz="0" w:space="0" w:color="auto"/>
        <w:left w:val="none" w:sz="0" w:space="0" w:color="auto"/>
        <w:bottom w:val="none" w:sz="0" w:space="0" w:color="auto"/>
        <w:right w:val="none" w:sz="0" w:space="0" w:color="auto"/>
      </w:divBdr>
      <w:divsChild>
        <w:div w:id="963074236">
          <w:marLeft w:val="0"/>
          <w:marRight w:val="0"/>
          <w:marTop w:val="0"/>
          <w:marBottom w:val="0"/>
          <w:divBdr>
            <w:top w:val="none" w:sz="0" w:space="0" w:color="auto"/>
            <w:left w:val="none" w:sz="0" w:space="0" w:color="auto"/>
            <w:bottom w:val="none" w:sz="0" w:space="0" w:color="auto"/>
            <w:right w:val="none" w:sz="0" w:space="0" w:color="auto"/>
          </w:divBdr>
          <w:divsChild>
            <w:div w:id="6898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8261">
      <w:bodyDiv w:val="1"/>
      <w:marLeft w:val="0"/>
      <w:marRight w:val="0"/>
      <w:marTop w:val="0"/>
      <w:marBottom w:val="0"/>
      <w:divBdr>
        <w:top w:val="none" w:sz="0" w:space="0" w:color="auto"/>
        <w:left w:val="none" w:sz="0" w:space="0" w:color="auto"/>
        <w:bottom w:val="none" w:sz="0" w:space="0" w:color="auto"/>
        <w:right w:val="none" w:sz="0" w:space="0" w:color="auto"/>
      </w:divBdr>
    </w:div>
    <w:div w:id="1544440099">
      <w:bodyDiv w:val="1"/>
      <w:marLeft w:val="0"/>
      <w:marRight w:val="0"/>
      <w:marTop w:val="0"/>
      <w:marBottom w:val="0"/>
      <w:divBdr>
        <w:top w:val="none" w:sz="0" w:space="0" w:color="auto"/>
        <w:left w:val="none" w:sz="0" w:space="0" w:color="auto"/>
        <w:bottom w:val="none" w:sz="0" w:space="0" w:color="auto"/>
        <w:right w:val="none" w:sz="0" w:space="0" w:color="auto"/>
      </w:divBdr>
      <w:divsChild>
        <w:div w:id="1577865140">
          <w:marLeft w:val="0"/>
          <w:marRight w:val="0"/>
          <w:marTop w:val="0"/>
          <w:marBottom w:val="0"/>
          <w:divBdr>
            <w:top w:val="none" w:sz="0" w:space="0" w:color="auto"/>
            <w:left w:val="none" w:sz="0" w:space="0" w:color="auto"/>
            <w:bottom w:val="none" w:sz="0" w:space="0" w:color="auto"/>
            <w:right w:val="none" w:sz="0" w:space="0" w:color="auto"/>
          </w:divBdr>
          <w:divsChild>
            <w:div w:id="3708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42160">
      <w:bodyDiv w:val="1"/>
      <w:marLeft w:val="0"/>
      <w:marRight w:val="0"/>
      <w:marTop w:val="0"/>
      <w:marBottom w:val="0"/>
      <w:divBdr>
        <w:top w:val="none" w:sz="0" w:space="0" w:color="auto"/>
        <w:left w:val="none" w:sz="0" w:space="0" w:color="auto"/>
        <w:bottom w:val="none" w:sz="0" w:space="0" w:color="auto"/>
        <w:right w:val="none" w:sz="0" w:space="0" w:color="auto"/>
      </w:divBdr>
    </w:div>
    <w:div w:id="1609701771">
      <w:bodyDiv w:val="1"/>
      <w:marLeft w:val="0"/>
      <w:marRight w:val="0"/>
      <w:marTop w:val="0"/>
      <w:marBottom w:val="0"/>
      <w:divBdr>
        <w:top w:val="none" w:sz="0" w:space="0" w:color="auto"/>
        <w:left w:val="none" w:sz="0" w:space="0" w:color="auto"/>
        <w:bottom w:val="none" w:sz="0" w:space="0" w:color="auto"/>
        <w:right w:val="none" w:sz="0" w:space="0" w:color="auto"/>
      </w:divBdr>
    </w:div>
    <w:div w:id="1634554200">
      <w:bodyDiv w:val="1"/>
      <w:marLeft w:val="0"/>
      <w:marRight w:val="0"/>
      <w:marTop w:val="0"/>
      <w:marBottom w:val="0"/>
      <w:divBdr>
        <w:top w:val="none" w:sz="0" w:space="0" w:color="auto"/>
        <w:left w:val="none" w:sz="0" w:space="0" w:color="auto"/>
        <w:bottom w:val="none" w:sz="0" w:space="0" w:color="auto"/>
        <w:right w:val="none" w:sz="0" w:space="0" w:color="auto"/>
      </w:divBdr>
    </w:div>
    <w:div w:id="1656910540">
      <w:bodyDiv w:val="1"/>
      <w:marLeft w:val="0"/>
      <w:marRight w:val="0"/>
      <w:marTop w:val="0"/>
      <w:marBottom w:val="0"/>
      <w:divBdr>
        <w:top w:val="none" w:sz="0" w:space="0" w:color="auto"/>
        <w:left w:val="none" w:sz="0" w:space="0" w:color="auto"/>
        <w:bottom w:val="none" w:sz="0" w:space="0" w:color="auto"/>
        <w:right w:val="none" w:sz="0" w:space="0" w:color="auto"/>
      </w:divBdr>
    </w:div>
    <w:div w:id="1658530859">
      <w:bodyDiv w:val="1"/>
      <w:marLeft w:val="0"/>
      <w:marRight w:val="0"/>
      <w:marTop w:val="0"/>
      <w:marBottom w:val="0"/>
      <w:divBdr>
        <w:top w:val="none" w:sz="0" w:space="0" w:color="auto"/>
        <w:left w:val="none" w:sz="0" w:space="0" w:color="auto"/>
        <w:bottom w:val="none" w:sz="0" w:space="0" w:color="auto"/>
        <w:right w:val="none" w:sz="0" w:space="0" w:color="auto"/>
      </w:divBdr>
    </w:div>
    <w:div w:id="1659461470">
      <w:bodyDiv w:val="1"/>
      <w:marLeft w:val="0"/>
      <w:marRight w:val="0"/>
      <w:marTop w:val="0"/>
      <w:marBottom w:val="0"/>
      <w:divBdr>
        <w:top w:val="none" w:sz="0" w:space="0" w:color="auto"/>
        <w:left w:val="none" w:sz="0" w:space="0" w:color="auto"/>
        <w:bottom w:val="none" w:sz="0" w:space="0" w:color="auto"/>
        <w:right w:val="none" w:sz="0" w:space="0" w:color="auto"/>
      </w:divBdr>
    </w:div>
    <w:div w:id="1687322608">
      <w:bodyDiv w:val="1"/>
      <w:marLeft w:val="0"/>
      <w:marRight w:val="0"/>
      <w:marTop w:val="0"/>
      <w:marBottom w:val="0"/>
      <w:divBdr>
        <w:top w:val="none" w:sz="0" w:space="0" w:color="auto"/>
        <w:left w:val="none" w:sz="0" w:space="0" w:color="auto"/>
        <w:bottom w:val="none" w:sz="0" w:space="0" w:color="auto"/>
        <w:right w:val="none" w:sz="0" w:space="0" w:color="auto"/>
      </w:divBdr>
    </w:div>
    <w:div w:id="1698698220">
      <w:bodyDiv w:val="1"/>
      <w:marLeft w:val="0"/>
      <w:marRight w:val="0"/>
      <w:marTop w:val="0"/>
      <w:marBottom w:val="0"/>
      <w:divBdr>
        <w:top w:val="none" w:sz="0" w:space="0" w:color="auto"/>
        <w:left w:val="none" w:sz="0" w:space="0" w:color="auto"/>
        <w:bottom w:val="none" w:sz="0" w:space="0" w:color="auto"/>
        <w:right w:val="none" w:sz="0" w:space="0" w:color="auto"/>
      </w:divBdr>
    </w:div>
    <w:div w:id="1722361928">
      <w:bodyDiv w:val="1"/>
      <w:marLeft w:val="0"/>
      <w:marRight w:val="0"/>
      <w:marTop w:val="0"/>
      <w:marBottom w:val="0"/>
      <w:divBdr>
        <w:top w:val="none" w:sz="0" w:space="0" w:color="auto"/>
        <w:left w:val="none" w:sz="0" w:space="0" w:color="auto"/>
        <w:bottom w:val="none" w:sz="0" w:space="0" w:color="auto"/>
        <w:right w:val="none" w:sz="0" w:space="0" w:color="auto"/>
      </w:divBdr>
    </w:div>
    <w:div w:id="1727676856">
      <w:bodyDiv w:val="1"/>
      <w:marLeft w:val="0"/>
      <w:marRight w:val="0"/>
      <w:marTop w:val="0"/>
      <w:marBottom w:val="0"/>
      <w:divBdr>
        <w:top w:val="none" w:sz="0" w:space="0" w:color="auto"/>
        <w:left w:val="none" w:sz="0" w:space="0" w:color="auto"/>
        <w:bottom w:val="none" w:sz="0" w:space="0" w:color="auto"/>
        <w:right w:val="none" w:sz="0" w:space="0" w:color="auto"/>
      </w:divBdr>
    </w:div>
    <w:div w:id="1731735124">
      <w:bodyDiv w:val="1"/>
      <w:marLeft w:val="0"/>
      <w:marRight w:val="0"/>
      <w:marTop w:val="0"/>
      <w:marBottom w:val="0"/>
      <w:divBdr>
        <w:top w:val="none" w:sz="0" w:space="0" w:color="auto"/>
        <w:left w:val="none" w:sz="0" w:space="0" w:color="auto"/>
        <w:bottom w:val="none" w:sz="0" w:space="0" w:color="auto"/>
        <w:right w:val="none" w:sz="0" w:space="0" w:color="auto"/>
      </w:divBdr>
      <w:divsChild>
        <w:div w:id="632564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974812">
      <w:bodyDiv w:val="1"/>
      <w:marLeft w:val="0"/>
      <w:marRight w:val="0"/>
      <w:marTop w:val="0"/>
      <w:marBottom w:val="0"/>
      <w:divBdr>
        <w:top w:val="none" w:sz="0" w:space="0" w:color="auto"/>
        <w:left w:val="none" w:sz="0" w:space="0" w:color="auto"/>
        <w:bottom w:val="none" w:sz="0" w:space="0" w:color="auto"/>
        <w:right w:val="none" w:sz="0" w:space="0" w:color="auto"/>
      </w:divBdr>
      <w:divsChild>
        <w:div w:id="1764835999">
          <w:marLeft w:val="0"/>
          <w:marRight w:val="0"/>
          <w:marTop w:val="0"/>
          <w:marBottom w:val="0"/>
          <w:divBdr>
            <w:top w:val="none" w:sz="0" w:space="0" w:color="auto"/>
            <w:left w:val="none" w:sz="0" w:space="0" w:color="auto"/>
            <w:bottom w:val="none" w:sz="0" w:space="0" w:color="auto"/>
            <w:right w:val="none" w:sz="0" w:space="0" w:color="auto"/>
          </w:divBdr>
          <w:divsChild>
            <w:div w:id="20066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916">
      <w:bodyDiv w:val="1"/>
      <w:marLeft w:val="0"/>
      <w:marRight w:val="0"/>
      <w:marTop w:val="0"/>
      <w:marBottom w:val="0"/>
      <w:divBdr>
        <w:top w:val="none" w:sz="0" w:space="0" w:color="auto"/>
        <w:left w:val="none" w:sz="0" w:space="0" w:color="auto"/>
        <w:bottom w:val="none" w:sz="0" w:space="0" w:color="auto"/>
        <w:right w:val="none" w:sz="0" w:space="0" w:color="auto"/>
      </w:divBdr>
    </w:div>
    <w:div w:id="1801680079">
      <w:bodyDiv w:val="1"/>
      <w:marLeft w:val="0"/>
      <w:marRight w:val="0"/>
      <w:marTop w:val="0"/>
      <w:marBottom w:val="0"/>
      <w:divBdr>
        <w:top w:val="none" w:sz="0" w:space="0" w:color="auto"/>
        <w:left w:val="none" w:sz="0" w:space="0" w:color="auto"/>
        <w:bottom w:val="none" w:sz="0" w:space="0" w:color="auto"/>
        <w:right w:val="none" w:sz="0" w:space="0" w:color="auto"/>
      </w:divBdr>
    </w:div>
    <w:div w:id="1806779911">
      <w:bodyDiv w:val="1"/>
      <w:marLeft w:val="0"/>
      <w:marRight w:val="0"/>
      <w:marTop w:val="0"/>
      <w:marBottom w:val="0"/>
      <w:divBdr>
        <w:top w:val="none" w:sz="0" w:space="0" w:color="auto"/>
        <w:left w:val="none" w:sz="0" w:space="0" w:color="auto"/>
        <w:bottom w:val="none" w:sz="0" w:space="0" w:color="auto"/>
        <w:right w:val="none" w:sz="0" w:space="0" w:color="auto"/>
      </w:divBdr>
    </w:div>
    <w:div w:id="1820730970">
      <w:bodyDiv w:val="1"/>
      <w:marLeft w:val="0"/>
      <w:marRight w:val="0"/>
      <w:marTop w:val="0"/>
      <w:marBottom w:val="0"/>
      <w:divBdr>
        <w:top w:val="none" w:sz="0" w:space="0" w:color="auto"/>
        <w:left w:val="none" w:sz="0" w:space="0" w:color="auto"/>
        <w:bottom w:val="none" w:sz="0" w:space="0" w:color="auto"/>
        <w:right w:val="none" w:sz="0" w:space="0" w:color="auto"/>
      </w:divBdr>
      <w:divsChild>
        <w:div w:id="108561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284332">
      <w:bodyDiv w:val="1"/>
      <w:marLeft w:val="0"/>
      <w:marRight w:val="0"/>
      <w:marTop w:val="0"/>
      <w:marBottom w:val="0"/>
      <w:divBdr>
        <w:top w:val="none" w:sz="0" w:space="0" w:color="auto"/>
        <w:left w:val="none" w:sz="0" w:space="0" w:color="auto"/>
        <w:bottom w:val="none" w:sz="0" w:space="0" w:color="auto"/>
        <w:right w:val="none" w:sz="0" w:space="0" w:color="auto"/>
      </w:divBdr>
    </w:div>
    <w:div w:id="1901793714">
      <w:bodyDiv w:val="1"/>
      <w:marLeft w:val="0"/>
      <w:marRight w:val="0"/>
      <w:marTop w:val="0"/>
      <w:marBottom w:val="0"/>
      <w:divBdr>
        <w:top w:val="none" w:sz="0" w:space="0" w:color="auto"/>
        <w:left w:val="none" w:sz="0" w:space="0" w:color="auto"/>
        <w:bottom w:val="none" w:sz="0" w:space="0" w:color="auto"/>
        <w:right w:val="none" w:sz="0" w:space="0" w:color="auto"/>
      </w:divBdr>
    </w:div>
    <w:div w:id="1975403426">
      <w:bodyDiv w:val="1"/>
      <w:marLeft w:val="0"/>
      <w:marRight w:val="0"/>
      <w:marTop w:val="0"/>
      <w:marBottom w:val="0"/>
      <w:divBdr>
        <w:top w:val="none" w:sz="0" w:space="0" w:color="auto"/>
        <w:left w:val="none" w:sz="0" w:space="0" w:color="auto"/>
        <w:bottom w:val="none" w:sz="0" w:space="0" w:color="auto"/>
        <w:right w:val="none" w:sz="0" w:space="0" w:color="auto"/>
      </w:divBdr>
    </w:div>
    <w:div w:id="1976251026">
      <w:bodyDiv w:val="1"/>
      <w:marLeft w:val="0"/>
      <w:marRight w:val="0"/>
      <w:marTop w:val="0"/>
      <w:marBottom w:val="0"/>
      <w:divBdr>
        <w:top w:val="none" w:sz="0" w:space="0" w:color="auto"/>
        <w:left w:val="none" w:sz="0" w:space="0" w:color="auto"/>
        <w:bottom w:val="none" w:sz="0" w:space="0" w:color="auto"/>
        <w:right w:val="none" w:sz="0" w:space="0" w:color="auto"/>
      </w:divBdr>
      <w:divsChild>
        <w:div w:id="143744637">
          <w:marLeft w:val="0"/>
          <w:marRight w:val="0"/>
          <w:marTop w:val="0"/>
          <w:marBottom w:val="0"/>
          <w:divBdr>
            <w:top w:val="none" w:sz="0" w:space="0" w:color="auto"/>
            <w:left w:val="none" w:sz="0" w:space="0" w:color="auto"/>
            <w:bottom w:val="none" w:sz="0" w:space="0" w:color="auto"/>
            <w:right w:val="none" w:sz="0" w:space="0" w:color="auto"/>
          </w:divBdr>
          <w:divsChild>
            <w:div w:id="12617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9142">
      <w:bodyDiv w:val="1"/>
      <w:marLeft w:val="0"/>
      <w:marRight w:val="0"/>
      <w:marTop w:val="0"/>
      <w:marBottom w:val="0"/>
      <w:divBdr>
        <w:top w:val="none" w:sz="0" w:space="0" w:color="auto"/>
        <w:left w:val="none" w:sz="0" w:space="0" w:color="auto"/>
        <w:bottom w:val="none" w:sz="0" w:space="0" w:color="auto"/>
        <w:right w:val="none" w:sz="0" w:space="0" w:color="auto"/>
      </w:divBdr>
      <w:divsChild>
        <w:div w:id="658193224">
          <w:marLeft w:val="0"/>
          <w:marRight w:val="0"/>
          <w:marTop w:val="0"/>
          <w:marBottom w:val="0"/>
          <w:divBdr>
            <w:top w:val="none" w:sz="0" w:space="0" w:color="auto"/>
            <w:left w:val="none" w:sz="0" w:space="0" w:color="auto"/>
            <w:bottom w:val="none" w:sz="0" w:space="0" w:color="auto"/>
            <w:right w:val="none" w:sz="0" w:space="0" w:color="auto"/>
          </w:divBdr>
          <w:divsChild>
            <w:div w:id="1471939462">
              <w:marLeft w:val="0"/>
              <w:marRight w:val="0"/>
              <w:marTop w:val="0"/>
              <w:marBottom w:val="0"/>
              <w:divBdr>
                <w:top w:val="none" w:sz="0" w:space="0" w:color="auto"/>
                <w:left w:val="none" w:sz="0" w:space="0" w:color="auto"/>
                <w:bottom w:val="none" w:sz="0" w:space="0" w:color="auto"/>
                <w:right w:val="none" w:sz="0" w:space="0" w:color="auto"/>
              </w:divBdr>
            </w:div>
          </w:divsChild>
        </w:div>
        <w:div w:id="1826312834">
          <w:marLeft w:val="0"/>
          <w:marRight w:val="0"/>
          <w:marTop w:val="0"/>
          <w:marBottom w:val="0"/>
          <w:divBdr>
            <w:top w:val="none" w:sz="0" w:space="0" w:color="auto"/>
            <w:left w:val="none" w:sz="0" w:space="0" w:color="auto"/>
            <w:bottom w:val="none" w:sz="0" w:space="0" w:color="auto"/>
            <w:right w:val="none" w:sz="0" w:space="0" w:color="auto"/>
          </w:divBdr>
          <w:divsChild>
            <w:div w:id="2347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696">
      <w:bodyDiv w:val="1"/>
      <w:marLeft w:val="0"/>
      <w:marRight w:val="0"/>
      <w:marTop w:val="0"/>
      <w:marBottom w:val="0"/>
      <w:divBdr>
        <w:top w:val="none" w:sz="0" w:space="0" w:color="auto"/>
        <w:left w:val="none" w:sz="0" w:space="0" w:color="auto"/>
        <w:bottom w:val="none" w:sz="0" w:space="0" w:color="auto"/>
        <w:right w:val="none" w:sz="0" w:space="0" w:color="auto"/>
      </w:divBdr>
    </w:div>
    <w:div w:id="2072456520">
      <w:bodyDiv w:val="1"/>
      <w:marLeft w:val="0"/>
      <w:marRight w:val="0"/>
      <w:marTop w:val="0"/>
      <w:marBottom w:val="0"/>
      <w:divBdr>
        <w:top w:val="none" w:sz="0" w:space="0" w:color="auto"/>
        <w:left w:val="none" w:sz="0" w:space="0" w:color="auto"/>
        <w:bottom w:val="none" w:sz="0" w:space="0" w:color="auto"/>
        <w:right w:val="none" w:sz="0" w:space="0" w:color="auto"/>
      </w:divBdr>
    </w:div>
    <w:div w:id="2087920585">
      <w:bodyDiv w:val="1"/>
      <w:marLeft w:val="0"/>
      <w:marRight w:val="0"/>
      <w:marTop w:val="0"/>
      <w:marBottom w:val="0"/>
      <w:divBdr>
        <w:top w:val="none" w:sz="0" w:space="0" w:color="auto"/>
        <w:left w:val="none" w:sz="0" w:space="0" w:color="auto"/>
        <w:bottom w:val="none" w:sz="0" w:space="0" w:color="auto"/>
        <w:right w:val="none" w:sz="0" w:space="0" w:color="auto"/>
      </w:divBdr>
    </w:div>
    <w:div w:id="2089109204">
      <w:bodyDiv w:val="1"/>
      <w:marLeft w:val="0"/>
      <w:marRight w:val="0"/>
      <w:marTop w:val="0"/>
      <w:marBottom w:val="0"/>
      <w:divBdr>
        <w:top w:val="none" w:sz="0" w:space="0" w:color="auto"/>
        <w:left w:val="none" w:sz="0" w:space="0" w:color="auto"/>
        <w:bottom w:val="none" w:sz="0" w:space="0" w:color="auto"/>
        <w:right w:val="none" w:sz="0" w:space="0" w:color="auto"/>
      </w:divBdr>
    </w:div>
    <w:div w:id="2115517629">
      <w:bodyDiv w:val="1"/>
      <w:marLeft w:val="0"/>
      <w:marRight w:val="0"/>
      <w:marTop w:val="0"/>
      <w:marBottom w:val="0"/>
      <w:divBdr>
        <w:top w:val="none" w:sz="0" w:space="0" w:color="auto"/>
        <w:left w:val="none" w:sz="0" w:space="0" w:color="auto"/>
        <w:bottom w:val="none" w:sz="0" w:space="0" w:color="auto"/>
        <w:right w:val="none" w:sz="0" w:space="0" w:color="auto"/>
      </w:divBdr>
    </w:div>
    <w:div w:id="2136173692">
      <w:bodyDiv w:val="1"/>
      <w:marLeft w:val="0"/>
      <w:marRight w:val="0"/>
      <w:marTop w:val="0"/>
      <w:marBottom w:val="0"/>
      <w:divBdr>
        <w:top w:val="none" w:sz="0" w:space="0" w:color="auto"/>
        <w:left w:val="none" w:sz="0" w:space="0" w:color="auto"/>
        <w:bottom w:val="none" w:sz="0" w:space="0" w:color="auto"/>
        <w:right w:val="none" w:sz="0" w:space="0" w:color="auto"/>
      </w:divBdr>
      <w:divsChild>
        <w:div w:id="1352603850">
          <w:marLeft w:val="0"/>
          <w:marRight w:val="0"/>
          <w:marTop w:val="0"/>
          <w:marBottom w:val="0"/>
          <w:divBdr>
            <w:top w:val="none" w:sz="0" w:space="0" w:color="auto"/>
            <w:left w:val="none" w:sz="0" w:space="0" w:color="auto"/>
            <w:bottom w:val="none" w:sz="0" w:space="0" w:color="auto"/>
            <w:right w:val="none" w:sz="0" w:space="0" w:color="auto"/>
          </w:divBdr>
          <w:divsChild>
            <w:div w:id="11833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13</Pages>
  <Words>4249</Words>
  <Characters>24222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SDI 1089</cp:lastModifiedBy>
  <cp:revision>20</cp:revision>
  <dcterms:created xsi:type="dcterms:W3CDTF">2025-06-30T10:08:00Z</dcterms:created>
  <dcterms:modified xsi:type="dcterms:W3CDTF">2025-07-14T07:12:00Z</dcterms:modified>
</cp:coreProperties>
</file>