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C2FE2" w14:textId="27F2ADDA" w:rsidR="0011789A" w:rsidRPr="00511D21" w:rsidRDefault="00B160EF" w:rsidP="00D15B52">
      <w:pPr>
        <w:jc w:val="center"/>
        <w:rPr>
          <w:rFonts w:ascii="Times New Roman" w:hAnsi="Times New Roman" w:cs="Times New Roman"/>
          <w:b/>
          <w:bCs/>
          <w:sz w:val="24"/>
          <w:szCs w:val="24"/>
        </w:rPr>
      </w:pPr>
      <w:r w:rsidRPr="00511D21">
        <w:rPr>
          <w:rFonts w:ascii="Times New Roman" w:hAnsi="Times New Roman" w:cs="Times New Roman"/>
          <w:b/>
          <w:bCs/>
          <w:sz w:val="24"/>
          <w:szCs w:val="24"/>
          <w:highlight w:val="yellow"/>
        </w:rPr>
        <w:t>Advancing SDG 1 through Multisectoral Partnerships: Policy Priorities for Sustainable Poverty Alleviation</w:t>
      </w:r>
    </w:p>
    <w:p w14:paraId="0E45973D" w14:textId="0CFE644F" w:rsidR="0035208F" w:rsidRPr="00511D21" w:rsidRDefault="00EE5BCC" w:rsidP="008E4E84">
      <w:pPr>
        <w:jc w:val="both"/>
        <w:rPr>
          <w:rFonts w:ascii="Times New Roman" w:eastAsia="Times New Roman" w:hAnsi="Times New Roman" w:cs="Times New Roman"/>
          <w:b/>
          <w:bCs/>
          <w:sz w:val="24"/>
          <w:szCs w:val="24"/>
          <w:highlight w:val="yellow"/>
          <w:lang w:eastAsia="en-IN" w:bidi="hi-IN"/>
        </w:rPr>
      </w:pPr>
      <w:r w:rsidRPr="00511D21">
        <w:rPr>
          <w:rFonts w:ascii="Times New Roman" w:eastAsia="Times New Roman" w:hAnsi="Times New Roman" w:cs="Times New Roman"/>
          <w:b/>
          <w:bCs/>
          <w:sz w:val="24"/>
          <w:szCs w:val="24"/>
          <w:highlight w:val="yellow"/>
          <w:lang w:eastAsia="en-IN" w:bidi="hi-IN"/>
        </w:rPr>
        <w:t>Abstract</w:t>
      </w:r>
    </w:p>
    <w:p w14:paraId="6E65914E" w14:textId="53B623C4" w:rsidR="00D84681" w:rsidRPr="00D84681" w:rsidRDefault="00D84681" w:rsidP="00D84681">
      <w:pPr>
        <w:jc w:val="both"/>
        <w:rPr>
          <w:rFonts w:ascii="Times New Roman" w:eastAsia="Times New Roman" w:hAnsi="Times New Roman" w:cs="Times New Roman"/>
          <w:sz w:val="24"/>
          <w:szCs w:val="24"/>
          <w:highlight w:val="yellow"/>
          <w:lang w:eastAsia="en-IN" w:bidi="hi-IN"/>
        </w:rPr>
      </w:pPr>
      <w:r w:rsidRPr="00D84681">
        <w:rPr>
          <w:rFonts w:ascii="Times New Roman" w:eastAsia="Times New Roman" w:hAnsi="Times New Roman" w:cs="Times New Roman"/>
          <w:sz w:val="24"/>
          <w:szCs w:val="24"/>
          <w:highlight w:val="yellow"/>
          <w:lang w:eastAsia="en-IN" w:bidi="hi-IN"/>
        </w:rPr>
        <w:t>Poverty remains a major global challenge, affecting over 700 million people, particularly in the Global South, including countries like India. It encompasses not only income deprivation but also social exclusion, limited access to education and healthcare, and restricted livelihood opportunities. This paper emphasizes that addressing such multidimensional issues requires multisectoral collaboration among governments, civil society organizations, and private enterprises</w:t>
      </w:r>
      <w:r w:rsidRPr="00511D21">
        <w:rPr>
          <w:rFonts w:ascii="Times New Roman" w:eastAsia="Times New Roman" w:hAnsi="Times New Roman" w:cs="Times New Roman"/>
          <w:sz w:val="24"/>
          <w:szCs w:val="24"/>
          <w:highlight w:val="yellow"/>
          <w:lang w:eastAsia="en-IN" w:bidi="hi-IN"/>
        </w:rPr>
        <w:t xml:space="preserve">, </w:t>
      </w:r>
      <w:r w:rsidRPr="00D84681">
        <w:rPr>
          <w:rFonts w:ascii="Times New Roman" w:eastAsia="Times New Roman" w:hAnsi="Times New Roman" w:cs="Times New Roman"/>
          <w:sz w:val="24"/>
          <w:szCs w:val="24"/>
          <w:highlight w:val="yellow"/>
          <w:lang w:eastAsia="en-IN" w:bidi="hi-IN"/>
        </w:rPr>
        <w:t>an imperative for achieving Sustainable Development Goal 1 (SDG 1): No Poverty.</w:t>
      </w:r>
    </w:p>
    <w:p w14:paraId="49844496" w14:textId="77777777" w:rsidR="00D84681" w:rsidRPr="00D84681" w:rsidRDefault="00D84681" w:rsidP="00D84681">
      <w:pPr>
        <w:jc w:val="both"/>
        <w:rPr>
          <w:rFonts w:ascii="Times New Roman" w:eastAsia="Times New Roman" w:hAnsi="Times New Roman" w:cs="Times New Roman"/>
          <w:sz w:val="24"/>
          <w:szCs w:val="24"/>
          <w:highlight w:val="yellow"/>
          <w:lang w:eastAsia="en-IN" w:bidi="hi-IN"/>
        </w:rPr>
      </w:pPr>
      <w:r w:rsidRPr="00D84681">
        <w:rPr>
          <w:rFonts w:ascii="Times New Roman" w:eastAsia="Times New Roman" w:hAnsi="Times New Roman" w:cs="Times New Roman"/>
          <w:sz w:val="24"/>
          <w:szCs w:val="24"/>
          <w:highlight w:val="yellow"/>
          <w:lang w:eastAsia="en-IN" w:bidi="hi-IN"/>
        </w:rPr>
        <w:t>Through a qualitative synthesis of relevant literature and global case illustrations, the paper demonstrates how cross-sectoral collaboration can lead to innovative, scalable, and inclusive solutions. A conceptual framework is proposed to illustrate how different sectors can complement one another in addressing the root causes of poverty. This study is based on a qualitative analysis of secondary data, thematic synthesis of case studies, and a policy-focused review of scholarly and institutional literature.</w:t>
      </w:r>
    </w:p>
    <w:p w14:paraId="537C2125" w14:textId="281B8EE4" w:rsidR="00D84681" w:rsidRPr="00511D21" w:rsidRDefault="00D84681" w:rsidP="008E4E84">
      <w:pPr>
        <w:jc w:val="both"/>
        <w:rPr>
          <w:rFonts w:ascii="Times New Roman" w:eastAsia="Times New Roman" w:hAnsi="Times New Roman" w:cs="Times New Roman"/>
          <w:b/>
          <w:bCs/>
          <w:sz w:val="24"/>
          <w:szCs w:val="24"/>
          <w:lang w:eastAsia="en-IN" w:bidi="hi-IN"/>
        </w:rPr>
      </w:pPr>
      <w:r w:rsidRPr="00D84681">
        <w:rPr>
          <w:rFonts w:ascii="Times New Roman" w:eastAsia="Times New Roman" w:hAnsi="Times New Roman" w:cs="Times New Roman"/>
          <w:sz w:val="24"/>
          <w:szCs w:val="24"/>
          <w:highlight w:val="yellow"/>
          <w:lang w:eastAsia="en-IN" w:bidi="hi-IN"/>
        </w:rPr>
        <w:t>The paper underscores the value of inclusive participation, policy coherence, shared accountability, and data-driven decision-making. Success stories from low- and middle-income countries (LMICs), as well as global initiatives such as those led by the UNDP, illustrate how cross-sectoral alignment can drive measurable progress in poverty reduction. The paper concludes with actionable recommendations for policymakers, practitioners, and researchers to institutionalize multisectoral partnerships and design resilient systems for long-term poverty alleviation.</w:t>
      </w:r>
    </w:p>
    <w:p w14:paraId="73E320A7" w14:textId="4CEAEE6A" w:rsidR="00BD3891" w:rsidRPr="00511D21" w:rsidRDefault="001B0B1C" w:rsidP="00921079">
      <w:pPr>
        <w:spacing w:line="240" w:lineRule="auto"/>
        <w:jc w:val="both"/>
        <w:rPr>
          <w:rFonts w:ascii="Times New Roman" w:hAnsi="Times New Roman" w:cs="Times New Roman"/>
          <w:sz w:val="24"/>
          <w:szCs w:val="24"/>
          <w:lang w:eastAsia="en-IN" w:bidi="hi-IN"/>
        </w:rPr>
      </w:pPr>
      <w:r w:rsidRPr="00511D21">
        <w:rPr>
          <w:rFonts w:ascii="Times New Roman" w:hAnsi="Times New Roman" w:cs="Times New Roman"/>
          <w:b/>
          <w:bCs/>
          <w:sz w:val="24"/>
          <w:szCs w:val="24"/>
        </w:rPr>
        <w:t>Key Words</w:t>
      </w:r>
      <w:r w:rsidR="00915A85" w:rsidRPr="00511D21">
        <w:rPr>
          <w:rFonts w:ascii="Times New Roman" w:hAnsi="Times New Roman" w:cs="Times New Roman"/>
          <w:b/>
          <w:bCs/>
          <w:sz w:val="24"/>
          <w:szCs w:val="24"/>
        </w:rPr>
        <w:t>:</w:t>
      </w:r>
      <w:r w:rsidRPr="00511D21">
        <w:rPr>
          <w:rFonts w:ascii="Times New Roman" w:hAnsi="Times New Roman" w:cs="Times New Roman"/>
          <w:sz w:val="24"/>
          <w:szCs w:val="24"/>
        </w:rPr>
        <w:t xml:space="preserve"> </w:t>
      </w:r>
      <w:r w:rsidR="00921079" w:rsidRPr="00511D21">
        <w:rPr>
          <w:rFonts w:ascii="Times New Roman" w:hAnsi="Times New Roman" w:cs="Times New Roman"/>
          <w:sz w:val="24"/>
          <w:szCs w:val="24"/>
          <w:lang w:eastAsia="en-IN" w:bidi="hi-IN"/>
        </w:rPr>
        <w:t>Poverty alleviation</w:t>
      </w:r>
      <w:r w:rsidR="00794AC9" w:rsidRPr="00511D21">
        <w:rPr>
          <w:rFonts w:ascii="Times New Roman" w:hAnsi="Times New Roman" w:cs="Times New Roman"/>
          <w:sz w:val="24"/>
          <w:szCs w:val="24"/>
          <w:lang w:eastAsia="en-IN" w:bidi="hi-IN"/>
        </w:rPr>
        <w:t xml:space="preserve">, </w:t>
      </w:r>
      <w:r w:rsidR="00921079" w:rsidRPr="00511D21">
        <w:rPr>
          <w:rFonts w:ascii="Times New Roman" w:hAnsi="Times New Roman" w:cs="Times New Roman"/>
          <w:sz w:val="24"/>
          <w:szCs w:val="24"/>
          <w:lang w:eastAsia="en-IN" w:bidi="hi-IN"/>
        </w:rPr>
        <w:t xml:space="preserve">Multisectoral </w:t>
      </w:r>
      <w:r w:rsidR="00EC6E46" w:rsidRPr="00511D21">
        <w:rPr>
          <w:rFonts w:ascii="Times New Roman" w:hAnsi="Times New Roman" w:cs="Times New Roman"/>
          <w:sz w:val="24"/>
          <w:szCs w:val="24"/>
          <w:lang w:eastAsia="en-IN" w:bidi="hi-IN"/>
        </w:rPr>
        <w:t>P</w:t>
      </w:r>
      <w:r w:rsidR="00921079" w:rsidRPr="00511D21">
        <w:rPr>
          <w:rFonts w:ascii="Times New Roman" w:hAnsi="Times New Roman" w:cs="Times New Roman"/>
          <w:sz w:val="24"/>
          <w:szCs w:val="24"/>
          <w:lang w:eastAsia="en-IN" w:bidi="hi-IN"/>
        </w:rPr>
        <w:t>artnerships</w:t>
      </w:r>
      <w:r w:rsidR="00794AC9" w:rsidRPr="00511D21">
        <w:rPr>
          <w:rFonts w:ascii="Times New Roman" w:hAnsi="Times New Roman" w:cs="Times New Roman"/>
          <w:sz w:val="24"/>
          <w:szCs w:val="24"/>
          <w:lang w:eastAsia="en-IN" w:bidi="hi-IN"/>
        </w:rPr>
        <w:t xml:space="preserve">, </w:t>
      </w:r>
      <w:r w:rsidR="00921079" w:rsidRPr="00511D21">
        <w:rPr>
          <w:rFonts w:ascii="Times New Roman" w:hAnsi="Times New Roman" w:cs="Times New Roman"/>
          <w:sz w:val="24"/>
          <w:szCs w:val="24"/>
          <w:lang w:eastAsia="en-IN" w:bidi="hi-IN"/>
        </w:rPr>
        <w:t>Collaboration</w:t>
      </w:r>
      <w:r w:rsidR="00794AC9" w:rsidRPr="00511D21">
        <w:rPr>
          <w:rFonts w:ascii="Times New Roman" w:hAnsi="Times New Roman" w:cs="Times New Roman"/>
          <w:sz w:val="24"/>
          <w:szCs w:val="24"/>
          <w:lang w:eastAsia="en-IN" w:bidi="hi-IN"/>
        </w:rPr>
        <w:t xml:space="preserve">, </w:t>
      </w:r>
      <w:r w:rsidR="00921079" w:rsidRPr="00511D21">
        <w:rPr>
          <w:rFonts w:ascii="Times New Roman" w:hAnsi="Times New Roman" w:cs="Times New Roman"/>
          <w:sz w:val="24"/>
          <w:szCs w:val="24"/>
          <w:lang w:eastAsia="en-IN" w:bidi="hi-IN"/>
        </w:rPr>
        <w:t>Sustainable Development Goal 1</w:t>
      </w:r>
      <w:r w:rsidR="00794AC9" w:rsidRPr="00511D21">
        <w:rPr>
          <w:rFonts w:ascii="Times New Roman" w:hAnsi="Times New Roman" w:cs="Times New Roman"/>
          <w:sz w:val="24"/>
          <w:szCs w:val="24"/>
          <w:lang w:eastAsia="en-IN" w:bidi="hi-IN"/>
        </w:rPr>
        <w:t xml:space="preserve">, </w:t>
      </w:r>
      <w:r w:rsidR="00921079" w:rsidRPr="00511D21">
        <w:rPr>
          <w:rFonts w:ascii="Times New Roman" w:hAnsi="Times New Roman" w:cs="Times New Roman"/>
          <w:sz w:val="24"/>
          <w:szCs w:val="24"/>
          <w:lang w:eastAsia="en-IN" w:bidi="hi-IN"/>
        </w:rPr>
        <w:t xml:space="preserve">Grassroots </w:t>
      </w:r>
      <w:r w:rsidR="00794AC9" w:rsidRPr="00511D21">
        <w:rPr>
          <w:rFonts w:ascii="Times New Roman" w:hAnsi="Times New Roman" w:cs="Times New Roman"/>
          <w:sz w:val="24"/>
          <w:szCs w:val="24"/>
          <w:lang w:eastAsia="en-IN" w:bidi="hi-IN"/>
        </w:rPr>
        <w:t>D</w:t>
      </w:r>
      <w:r w:rsidR="00921079" w:rsidRPr="00511D21">
        <w:rPr>
          <w:rFonts w:ascii="Times New Roman" w:hAnsi="Times New Roman" w:cs="Times New Roman"/>
          <w:sz w:val="24"/>
          <w:szCs w:val="24"/>
          <w:lang w:eastAsia="en-IN" w:bidi="hi-IN"/>
        </w:rPr>
        <w:t>evelopment</w:t>
      </w:r>
    </w:p>
    <w:p w14:paraId="296DA00A" w14:textId="7B02F958" w:rsidR="00F843AD" w:rsidRPr="00C71691" w:rsidRDefault="00F843AD" w:rsidP="00F843AD">
      <w:pPr>
        <w:spacing w:line="240" w:lineRule="auto"/>
        <w:jc w:val="both"/>
        <w:rPr>
          <w:rFonts w:ascii="Times New Roman" w:hAnsi="Times New Roman" w:cs="Times New Roman"/>
          <w:b/>
          <w:bCs/>
          <w:sz w:val="24"/>
          <w:szCs w:val="24"/>
          <w:highlight w:val="yellow"/>
          <w:lang w:eastAsia="en-IN" w:bidi="hi-IN"/>
        </w:rPr>
      </w:pPr>
      <w:r w:rsidRPr="00C71691">
        <w:rPr>
          <w:rFonts w:ascii="Times New Roman" w:hAnsi="Times New Roman" w:cs="Times New Roman"/>
          <w:b/>
          <w:bCs/>
          <w:sz w:val="24"/>
          <w:szCs w:val="24"/>
          <w:highlight w:val="yellow"/>
          <w:lang w:eastAsia="en-IN" w:bidi="hi-IN"/>
        </w:rPr>
        <w:t>Introduction</w:t>
      </w:r>
    </w:p>
    <w:p w14:paraId="0E288184" w14:textId="77777777" w:rsidR="00932888" w:rsidRPr="00FA2F9F" w:rsidRDefault="00932888" w:rsidP="00932888">
      <w:pPr>
        <w:spacing w:line="240" w:lineRule="auto"/>
        <w:jc w:val="both"/>
        <w:rPr>
          <w:rFonts w:ascii="Times New Roman" w:hAnsi="Times New Roman" w:cs="Times New Roman"/>
          <w:sz w:val="24"/>
          <w:szCs w:val="24"/>
          <w:highlight w:val="yellow"/>
        </w:rPr>
      </w:pPr>
      <w:r w:rsidRPr="00FA2F9F">
        <w:rPr>
          <w:rFonts w:ascii="Times New Roman" w:hAnsi="Times New Roman" w:cs="Times New Roman"/>
          <w:sz w:val="24"/>
          <w:szCs w:val="24"/>
          <w:highlight w:val="yellow"/>
        </w:rPr>
        <w:t>Poverty continues to be one of the most widespread and deeply rooted challenges of the twenty-first century (Martine, 2012). Despite considerable economic growth and development progress, millions still live in extreme deprivation, lacking access to essential resources such as food, shelter, education, and healthcare (Trends, 2017). Poverty is not merely a matter of inadequate income; it encompasses deficits in capabilities, social security, and human dignity. It is closely tied to entrenched social inequalities and systemic barriers that perpetuate exclusion (Krantz, 2001; Narayan-Parker, 2002). Increasingly, scholars and development practitioners acknowledge that addressing poverty requires more than isolated, sector-specific interventions. It demands integrated, multi-layered approaches capable of responding to the complex and interdependent nature of deprivation (</w:t>
      </w:r>
      <w:proofErr w:type="spellStart"/>
      <w:r w:rsidRPr="00FA2F9F">
        <w:rPr>
          <w:rFonts w:ascii="Times New Roman" w:hAnsi="Times New Roman" w:cs="Times New Roman"/>
          <w:sz w:val="24"/>
          <w:szCs w:val="24"/>
          <w:highlight w:val="yellow"/>
        </w:rPr>
        <w:t>Ravallion</w:t>
      </w:r>
      <w:proofErr w:type="spellEnd"/>
      <w:r w:rsidRPr="00FA2F9F">
        <w:rPr>
          <w:rFonts w:ascii="Times New Roman" w:hAnsi="Times New Roman" w:cs="Times New Roman"/>
          <w:sz w:val="24"/>
          <w:szCs w:val="24"/>
          <w:highlight w:val="yellow"/>
        </w:rPr>
        <w:t xml:space="preserve"> et al., 2007; Angulo, 2016).</w:t>
      </w:r>
    </w:p>
    <w:p w14:paraId="42FD6F0F" w14:textId="08321F0D" w:rsidR="00932888" w:rsidRPr="00FA2F9F" w:rsidRDefault="00932888" w:rsidP="00932888">
      <w:pPr>
        <w:spacing w:line="240" w:lineRule="auto"/>
        <w:jc w:val="both"/>
        <w:rPr>
          <w:rFonts w:ascii="Times New Roman" w:hAnsi="Times New Roman" w:cs="Times New Roman"/>
          <w:sz w:val="24"/>
          <w:szCs w:val="24"/>
          <w:highlight w:val="yellow"/>
        </w:rPr>
      </w:pPr>
      <w:r w:rsidRPr="00FA2F9F">
        <w:rPr>
          <w:rFonts w:ascii="Times New Roman" w:hAnsi="Times New Roman" w:cs="Times New Roman"/>
          <w:sz w:val="24"/>
          <w:szCs w:val="24"/>
          <w:highlight w:val="yellow"/>
        </w:rPr>
        <w:t xml:space="preserve">The adoption of the United Nations Sustainable Development Goals (SDGs) in 2015 marked a global commitment to eradicating poverty in all its forms. Specifically, </w:t>
      </w:r>
      <w:r w:rsidRPr="00FA2F9F">
        <w:rPr>
          <w:rFonts w:ascii="Times New Roman" w:hAnsi="Times New Roman" w:cs="Times New Roman"/>
          <w:b/>
          <w:bCs/>
          <w:sz w:val="24"/>
          <w:szCs w:val="24"/>
          <w:highlight w:val="yellow"/>
        </w:rPr>
        <w:t>SDG 1: No Poverty</w:t>
      </w:r>
      <w:r w:rsidRPr="00FA2F9F">
        <w:rPr>
          <w:rFonts w:ascii="Times New Roman" w:hAnsi="Times New Roman" w:cs="Times New Roman"/>
          <w:sz w:val="24"/>
          <w:szCs w:val="24"/>
          <w:highlight w:val="yellow"/>
        </w:rPr>
        <w:t xml:space="preserve"> calls for inclusive and multidimensional strategies that go beyond economic indicators. </w:t>
      </w:r>
      <w:r w:rsidR="008A7ACA" w:rsidRPr="008A7ACA">
        <w:rPr>
          <w:rFonts w:ascii="Times New Roman" w:hAnsi="Times New Roman" w:cs="Times New Roman"/>
          <w:sz w:val="24"/>
          <w:szCs w:val="24"/>
          <w:highlight w:val="yellow"/>
        </w:rPr>
        <w:t>According to the United Nations (2023), progress on SDG 1 remains uneven, particularly in regions affected by conflict, climate change, and structural inequality, thus necessitating more integrated, multisectoral responses.</w:t>
      </w:r>
      <w:r w:rsidR="008A7ACA">
        <w:rPr>
          <w:rFonts w:ascii="Times New Roman" w:hAnsi="Times New Roman" w:cs="Times New Roman"/>
          <w:sz w:val="24"/>
          <w:szCs w:val="24"/>
          <w:highlight w:val="yellow"/>
        </w:rPr>
        <w:t xml:space="preserve"> </w:t>
      </w:r>
      <w:r w:rsidRPr="00FA2F9F">
        <w:rPr>
          <w:rFonts w:ascii="Times New Roman" w:hAnsi="Times New Roman" w:cs="Times New Roman"/>
          <w:sz w:val="24"/>
          <w:szCs w:val="24"/>
          <w:highlight w:val="yellow"/>
        </w:rPr>
        <w:t>These strategies must prioritize access to quality education, health services, clean water, dignified employment, and social protection</w:t>
      </w:r>
      <w:r w:rsidRPr="00C71691">
        <w:rPr>
          <w:rFonts w:ascii="Times New Roman" w:hAnsi="Times New Roman" w:cs="Times New Roman"/>
          <w:sz w:val="24"/>
          <w:szCs w:val="24"/>
          <w:highlight w:val="yellow"/>
        </w:rPr>
        <w:t xml:space="preserve">, </w:t>
      </w:r>
      <w:r w:rsidRPr="00FA2F9F">
        <w:rPr>
          <w:rFonts w:ascii="Times New Roman" w:hAnsi="Times New Roman" w:cs="Times New Roman"/>
          <w:sz w:val="24"/>
          <w:szCs w:val="24"/>
          <w:highlight w:val="yellow"/>
        </w:rPr>
        <w:t xml:space="preserve">factors whose absence both sustains and deepens poverty (Cumming et al., 2017). In light of this, there is growing consensus that reducing poverty effectively necessitates </w:t>
      </w:r>
      <w:r w:rsidRPr="00FA2F9F">
        <w:rPr>
          <w:rFonts w:ascii="Times New Roman" w:hAnsi="Times New Roman" w:cs="Times New Roman"/>
          <w:b/>
          <w:bCs/>
          <w:sz w:val="24"/>
          <w:szCs w:val="24"/>
          <w:highlight w:val="yellow"/>
        </w:rPr>
        <w:t>multisectoral partnerships</w:t>
      </w:r>
      <w:r w:rsidRPr="00FA2F9F">
        <w:rPr>
          <w:rFonts w:ascii="Times New Roman" w:hAnsi="Times New Roman" w:cs="Times New Roman"/>
          <w:sz w:val="24"/>
          <w:szCs w:val="24"/>
          <w:highlight w:val="yellow"/>
        </w:rPr>
        <w:t xml:space="preserve">. </w:t>
      </w:r>
      <w:r w:rsidRPr="00FA2F9F">
        <w:rPr>
          <w:rFonts w:ascii="Times New Roman" w:hAnsi="Times New Roman" w:cs="Times New Roman"/>
          <w:sz w:val="24"/>
          <w:szCs w:val="24"/>
          <w:highlight w:val="yellow"/>
        </w:rPr>
        <w:lastRenderedPageBreak/>
        <w:t>Such partnerships</w:t>
      </w:r>
      <w:r w:rsidRPr="00C71691">
        <w:rPr>
          <w:rFonts w:ascii="Times New Roman" w:hAnsi="Times New Roman" w:cs="Times New Roman"/>
          <w:sz w:val="24"/>
          <w:szCs w:val="24"/>
          <w:highlight w:val="yellow"/>
        </w:rPr>
        <w:t xml:space="preserve">, </w:t>
      </w:r>
      <w:r w:rsidRPr="00FA2F9F">
        <w:rPr>
          <w:rFonts w:ascii="Times New Roman" w:hAnsi="Times New Roman" w:cs="Times New Roman"/>
          <w:sz w:val="24"/>
          <w:szCs w:val="24"/>
          <w:highlight w:val="yellow"/>
        </w:rPr>
        <w:t>bringing together government agencies, civil society organizations, private enterprises, and local communities</w:t>
      </w:r>
      <w:r w:rsidRPr="00C71691">
        <w:rPr>
          <w:rFonts w:ascii="Times New Roman" w:hAnsi="Times New Roman" w:cs="Times New Roman"/>
          <w:sz w:val="24"/>
          <w:szCs w:val="24"/>
          <w:highlight w:val="yellow"/>
        </w:rPr>
        <w:t xml:space="preserve">, </w:t>
      </w:r>
      <w:r w:rsidRPr="00FA2F9F">
        <w:rPr>
          <w:rFonts w:ascii="Times New Roman" w:hAnsi="Times New Roman" w:cs="Times New Roman"/>
          <w:sz w:val="24"/>
          <w:szCs w:val="24"/>
          <w:highlight w:val="yellow"/>
        </w:rPr>
        <w:t xml:space="preserve">are essential to designing and implementing cohesive strategies that address the root causes of poverty and promote sustainable change (Matthews, 2005; </w:t>
      </w:r>
      <w:proofErr w:type="spellStart"/>
      <w:r w:rsidRPr="00FA2F9F">
        <w:rPr>
          <w:rFonts w:ascii="Times New Roman" w:hAnsi="Times New Roman" w:cs="Times New Roman"/>
          <w:sz w:val="24"/>
          <w:szCs w:val="24"/>
          <w:highlight w:val="yellow"/>
        </w:rPr>
        <w:t>Ruducha</w:t>
      </w:r>
      <w:proofErr w:type="spellEnd"/>
      <w:r w:rsidRPr="00FA2F9F">
        <w:rPr>
          <w:rFonts w:ascii="Times New Roman" w:hAnsi="Times New Roman" w:cs="Times New Roman"/>
          <w:sz w:val="24"/>
          <w:szCs w:val="24"/>
          <w:highlight w:val="yellow"/>
        </w:rPr>
        <w:t xml:space="preserve"> et al., 2017; Singh &amp; Chudasama, 2020).</w:t>
      </w:r>
    </w:p>
    <w:p w14:paraId="6AE6AB8D" w14:textId="0F9A5E94" w:rsidR="00F843AD" w:rsidRPr="00C71691" w:rsidRDefault="00932888" w:rsidP="00932888">
      <w:pPr>
        <w:jc w:val="both"/>
        <w:rPr>
          <w:rFonts w:ascii="Times New Roman" w:hAnsi="Times New Roman" w:cs="Times New Roman"/>
          <w:sz w:val="24"/>
          <w:szCs w:val="24"/>
          <w:highlight w:val="yellow"/>
          <w:lang w:eastAsia="en-IN" w:bidi="hi-IN"/>
        </w:rPr>
      </w:pPr>
      <w:r w:rsidRPr="00FA2F9F">
        <w:rPr>
          <w:rFonts w:ascii="Times New Roman" w:hAnsi="Times New Roman" w:cs="Times New Roman"/>
          <w:sz w:val="24"/>
          <w:szCs w:val="24"/>
          <w:highlight w:val="yellow"/>
        </w:rPr>
        <w:t>These partnerships are particularly relevant in the Indian context, where poverty is shaped by a complex interplay of regional, gendered, and socio-cultural factors. Diverse stakeholder engagement is required to ensure that interventions are context-specific, inclusive, and equitable</w:t>
      </w:r>
      <w:r w:rsidRPr="00C71691">
        <w:rPr>
          <w:rFonts w:ascii="Times New Roman" w:hAnsi="Times New Roman" w:cs="Times New Roman"/>
          <w:sz w:val="24"/>
          <w:szCs w:val="24"/>
          <w:highlight w:val="yellow"/>
        </w:rPr>
        <w:t xml:space="preserve"> </w:t>
      </w:r>
      <w:r w:rsidRPr="00C71691">
        <w:rPr>
          <w:rFonts w:ascii="Times New Roman" w:hAnsi="Times New Roman" w:cs="Times New Roman"/>
          <w:sz w:val="24"/>
          <w:szCs w:val="24"/>
          <w:highlight w:val="yellow"/>
          <w:lang w:eastAsia="en-IN" w:bidi="hi-IN"/>
        </w:rPr>
        <w:t>(Kadiyala, 2004; Munthali, 2007)</w:t>
      </w:r>
      <w:r w:rsidRPr="00FA2F9F">
        <w:rPr>
          <w:rFonts w:ascii="Times New Roman" w:hAnsi="Times New Roman" w:cs="Times New Roman"/>
          <w:sz w:val="24"/>
          <w:szCs w:val="24"/>
          <w:highlight w:val="yellow"/>
        </w:rPr>
        <w:t>. The ability of different sectors to align their goals, share responsibilities, and leverage their unique strengths holds significant promise for transformative change</w:t>
      </w:r>
      <w:r w:rsidRPr="00C71691">
        <w:rPr>
          <w:rFonts w:ascii="Times New Roman" w:hAnsi="Times New Roman" w:cs="Times New Roman"/>
          <w:sz w:val="24"/>
          <w:szCs w:val="24"/>
          <w:highlight w:val="yellow"/>
        </w:rPr>
        <w:t xml:space="preserve"> </w:t>
      </w:r>
      <w:r w:rsidRPr="00C71691">
        <w:rPr>
          <w:rFonts w:ascii="Times New Roman" w:hAnsi="Times New Roman" w:cs="Times New Roman"/>
          <w:sz w:val="24"/>
          <w:szCs w:val="24"/>
          <w:highlight w:val="yellow"/>
          <w:lang w:eastAsia="en-IN" w:bidi="hi-IN"/>
        </w:rPr>
        <w:t>(McKague et al., 2014)</w:t>
      </w:r>
      <w:r w:rsidRPr="00FA2F9F">
        <w:rPr>
          <w:rFonts w:ascii="Times New Roman" w:hAnsi="Times New Roman" w:cs="Times New Roman"/>
          <w:sz w:val="24"/>
          <w:szCs w:val="24"/>
          <w:highlight w:val="yellow"/>
        </w:rPr>
        <w:t>. As such, this paper examines how multisectoral partnerships contribute to advancing SDG 1 and provides policy-oriented insights based on conceptual synthesis and empirical illustrations.</w:t>
      </w:r>
    </w:p>
    <w:p w14:paraId="7805B7B7" w14:textId="65E0AF99" w:rsidR="00063296" w:rsidRPr="00C71691" w:rsidRDefault="00063296" w:rsidP="00063296">
      <w:pPr>
        <w:spacing w:line="240" w:lineRule="auto"/>
        <w:jc w:val="both"/>
        <w:rPr>
          <w:rFonts w:ascii="Times New Roman" w:hAnsi="Times New Roman" w:cs="Times New Roman"/>
          <w:b/>
          <w:bCs/>
          <w:sz w:val="24"/>
          <w:szCs w:val="24"/>
          <w:highlight w:val="yellow"/>
          <w:lang w:eastAsia="en-IN" w:bidi="hi-IN"/>
        </w:rPr>
      </w:pPr>
      <w:r w:rsidRPr="00C71691">
        <w:rPr>
          <w:rFonts w:ascii="Times New Roman" w:hAnsi="Times New Roman" w:cs="Times New Roman"/>
          <w:b/>
          <w:bCs/>
          <w:sz w:val="24"/>
          <w:szCs w:val="24"/>
          <w:highlight w:val="yellow"/>
          <w:lang w:eastAsia="en-IN" w:bidi="hi-IN"/>
        </w:rPr>
        <w:t>The Need for Multisectoral Approaches</w:t>
      </w:r>
    </w:p>
    <w:p w14:paraId="1904E799" w14:textId="77777777" w:rsidR="00D75897" w:rsidRPr="007937E4" w:rsidRDefault="00D75897" w:rsidP="00D75897">
      <w:pPr>
        <w:spacing w:line="240" w:lineRule="auto"/>
        <w:jc w:val="both"/>
        <w:rPr>
          <w:rFonts w:ascii="Times New Roman" w:hAnsi="Times New Roman" w:cs="Times New Roman"/>
          <w:sz w:val="24"/>
          <w:szCs w:val="24"/>
          <w:highlight w:val="yellow"/>
        </w:rPr>
      </w:pPr>
      <w:r w:rsidRPr="007937E4">
        <w:rPr>
          <w:rFonts w:ascii="Times New Roman" w:hAnsi="Times New Roman" w:cs="Times New Roman"/>
          <w:sz w:val="24"/>
          <w:szCs w:val="24"/>
          <w:highlight w:val="yellow"/>
        </w:rPr>
        <w:t>Poverty is increasingly recognized as a multidimensional phenomenon, defined not only by the absence of income but also by limited access to essential services, restricted opportunities, and a lack of social inclusion (Sen, 1999; Krantz, 2001). As such, poverty cannot be addressed through sector-specific interventions alone. Instead, it requires holistic strategies that respond to the overlapping and interdependent causes of deprivation</w:t>
      </w:r>
      <w:r w:rsidRPr="00C71691">
        <w:rPr>
          <w:rFonts w:ascii="Times New Roman" w:hAnsi="Times New Roman" w:cs="Times New Roman"/>
          <w:sz w:val="24"/>
          <w:szCs w:val="24"/>
          <w:highlight w:val="yellow"/>
        </w:rPr>
        <w:t xml:space="preserve">, </w:t>
      </w:r>
      <w:r w:rsidRPr="007937E4">
        <w:rPr>
          <w:rFonts w:ascii="Times New Roman" w:hAnsi="Times New Roman" w:cs="Times New Roman"/>
          <w:sz w:val="24"/>
          <w:szCs w:val="24"/>
          <w:highlight w:val="yellow"/>
        </w:rPr>
        <w:t>such as poor health, lack of education, food insecurity, and environmental vulnerability. These interconnections highlight the need for integrated responses that operate across traditional sectoral boundaries (</w:t>
      </w:r>
      <w:proofErr w:type="spellStart"/>
      <w:r w:rsidRPr="007937E4">
        <w:rPr>
          <w:rFonts w:ascii="Times New Roman" w:hAnsi="Times New Roman" w:cs="Times New Roman"/>
          <w:sz w:val="24"/>
          <w:szCs w:val="24"/>
          <w:highlight w:val="yellow"/>
        </w:rPr>
        <w:t>Pronyk</w:t>
      </w:r>
      <w:proofErr w:type="spellEnd"/>
      <w:r w:rsidRPr="007937E4">
        <w:rPr>
          <w:rFonts w:ascii="Times New Roman" w:hAnsi="Times New Roman" w:cs="Times New Roman"/>
          <w:sz w:val="24"/>
          <w:szCs w:val="24"/>
          <w:highlight w:val="yellow"/>
        </w:rPr>
        <w:t xml:space="preserve"> et al., 2012; Nordtveit, 2008).</w:t>
      </w:r>
    </w:p>
    <w:p w14:paraId="6C359C2A" w14:textId="5D34DB07" w:rsidR="00D75897" w:rsidRPr="007937E4" w:rsidRDefault="00D75897" w:rsidP="00D75897">
      <w:pPr>
        <w:spacing w:line="240" w:lineRule="auto"/>
        <w:jc w:val="both"/>
        <w:rPr>
          <w:rFonts w:ascii="Times New Roman" w:hAnsi="Times New Roman" w:cs="Times New Roman"/>
          <w:sz w:val="24"/>
          <w:szCs w:val="24"/>
          <w:highlight w:val="yellow"/>
        </w:rPr>
      </w:pPr>
      <w:r w:rsidRPr="007937E4">
        <w:rPr>
          <w:rFonts w:ascii="Times New Roman" w:hAnsi="Times New Roman" w:cs="Times New Roman"/>
          <w:sz w:val="24"/>
          <w:szCs w:val="24"/>
          <w:highlight w:val="yellow"/>
        </w:rPr>
        <w:t xml:space="preserve">The rationale for multisectoral approaches is further supported by the global shift towards systems thinking in development. This perspective </w:t>
      </w:r>
      <w:r w:rsidRPr="00C71691">
        <w:rPr>
          <w:rFonts w:ascii="Times New Roman" w:hAnsi="Times New Roman" w:cs="Times New Roman"/>
          <w:sz w:val="24"/>
          <w:szCs w:val="24"/>
          <w:highlight w:val="yellow"/>
        </w:rPr>
        <w:t>highlights</w:t>
      </w:r>
      <w:r w:rsidRPr="007937E4">
        <w:rPr>
          <w:rFonts w:ascii="Times New Roman" w:hAnsi="Times New Roman" w:cs="Times New Roman"/>
          <w:sz w:val="24"/>
          <w:szCs w:val="24"/>
          <w:highlight w:val="yellow"/>
        </w:rPr>
        <w:t xml:space="preserve"> the importance of addressing structural drivers of poverty through coordinated, inclusive, and synergistic efforts. Effective poverty alleviation cannot occur in isolation within ministries or agencies but requires deliberate collaboration among health, education, social protection, agriculture, and finance sectors (Gillespie et al., 2013). </w:t>
      </w:r>
      <w:r w:rsidR="002C6A6C" w:rsidRPr="002C6A6C">
        <w:rPr>
          <w:rFonts w:ascii="Times New Roman" w:hAnsi="Times New Roman" w:cs="Times New Roman"/>
          <w:sz w:val="24"/>
          <w:szCs w:val="24"/>
          <w:highlight w:val="yellow"/>
        </w:rPr>
        <w:t>A</w:t>
      </w:r>
      <w:r w:rsidR="002C6A6C" w:rsidRPr="002C6A6C">
        <w:rPr>
          <w:rFonts w:ascii="Times New Roman" w:hAnsi="Times New Roman" w:cs="Times New Roman"/>
          <w:sz w:val="24"/>
          <w:szCs w:val="24"/>
          <w:highlight w:val="yellow"/>
        </w:rPr>
        <w:t xml:space="preserve">griculture continues to play a pivotal role in poverty alleviation and rural development by enhancing food security, generating employment, and </w:t>
      </w:r>
      <w:proofErr w:type="spellStart"/>
      <w:r w:rsidR="002C6A6C" w:rsidRPr="002C6A6C">
        <w:rPr>
          <w:rFonts w:ascii="Times New Roman" w:hAnsi="Times New Roman" w:cs="Times New Roman"/>
          <w:sz w:val="24"/>
          <w:szCs w:val="24"/>
          <w:highlight w:val="yellow"/>
        </w:rPr>
        <w:t>catalyzing</w:t>
      </w:r>
      <w:proofErr w:type="spellEnd"/>
      <w:r w:rsidR="002C6A6C" w:rsidRPr="002C6A6C">
        <w:rPr>
          <w:rFonts w:ascii="Times New Roman" w:hAnsi="Times New Roman" w:cs="Times New Roman"/>
          <w:sz w:val="24"/>
          <w:szCs w:val="24"/>
          <w:highlight w:val="yellow"/>
        </w:rPr>
        <w:t xml:space="preserve"> inclusive economic growth in low- and middle-income countries (Singh et al., 2024).</w:t>
      </w:r>
      <w:r w:rsidR="002C6A6C">
        <w:rPr>
          <w:rFonts w:ascii="Times New Roman" w:hAnsi="Times New Roman" w:cs="Times New Roman"/>
          <w:sz w:val="24"/>
          <w:szCs w:val="24"/>
          <w:highlight w:val="yellow"/>
        </w:rPr>
        <w:t xml:space="preserve"> </w:t>
      </w:r>
      <w:r w:rsidRPr="007937E4">
        <w:rPr>
          <w:rFonts w:ascii="Times New Roman" w:hAnsi="Times New Roman" w:cs="Times New Roman"/>
          <w:sz w:val="24"/>
          <w:szCs w:val="24"/>
          <w:highlight w:val="yellow"/>
        </w:rPr>
        <w:t>Programs that successfully integrate services</w:t>
      </w:r>
      <w:r w:rsidRPr="00C71691">
        <w:rPr>
          <w:rFonts w:ascii="Times New Roman" w:hAnsi="Times New Roman" w:cs="Times New Roman"/>
          <w:sz w:val="24"/>
          <w:szCs w:val="24"/>
          <w:highlight w:val="yellow"/>
        </w:rPr>
        <w:t xml:space="preserve">, </w:t>
      </w:r>
      <w:r w:rsidRPr="007937E4">
        <w:rPr>
          <w:rFonts w:ascii="Times New Roman" w:hAnsi="Times New Roman" w:cs="Times New Roman"/>
          <w:sz w:val="24"/>
          <w:szCs w:val="24"/>
          <w:highlight w:val="yellow"/>
        </w:rPr>
        <w:t>such as nutrition and early childhood development</w:t>
      </w:r>
      <w:r w:rsidRPr="00C71691">
        <w:rPr>
          <w:rFonts w:ascii="Times New Roman" w:hAnsi="Times New Roman" w:cs="Times New Roman"/>
          <w:sz w:val="24"/>
          <w:szCs w:val="24"/>
          <w:highlight w:val="yellow"/>
        </w:rPr>
        <w:t xml:space="preserve">, </w:t>
      </w:r>
      <w:r w:rsidRPr="007937E4">
        <w:rPr>
          <w:rFonts w:ascii="Times New Roman" w:hAnsi="Times New Roman" w:cs="Times New Roman"/>
          <w:sz w:val="24"/>
          <w:szCs w:val="24"/>
          <w:highlight w:val="yellow"/>
        </w:rPr>
        <w:t>demonstrate the power of cross-sectoral design in achieving comprehensive development outcomes (Bryce et al., 2008; Bach et al., 2020).</w:t>
      </w:r>
      <w:r w:rsidR="00ED5A56">
        <w:rPr>
          <w:rFonts w:ascii="Times New Roman" w:hAnsi="Times New Roman" w:cs="Times New Roman"/>
          <w:sz w:val="24"/>
          <w:szCs w:val="24"/>
          <w:highlight w:val="yellow"/>
        </w:rPr>
        <w:t xml:space="preserve"> </w:t>
      </w:r>
      <w:r w:rsidR="00ED5A56" w:rsidRPr="00ED5A56">
        <w:rPr>
          <w:rFonts w:ascii="Times New Roman" w:hAnsi="Times New Roman" w:cs="Times New Roman"/>
          <w:sz w:val="24"/>
          <w:szCs w:val="24"/>
          <w:highlight w:val="yellow"/>
        </w:rPr>
        <w:t>Buse and Hawkes (2015) argue for a paradigm shift in SDG implementation that prioritizes intersectoral convergence, particularly in health and education systems, which are central to poverty alleviation.</w:t>
      </w:r>
    </w:p>
    <w:p w14:paraId="05E8D716" w14:textId="2DB036A8" w:rsidR="00ED5A56" w:rsidRPr="007937E4" w:rsidRDefault="00D75897" w:rsidP="00D75897">
      <w:pPr>
        <w:spacing w:line="240" w:lineRule="auto"/>
        <w:jc w:val="both"/>
        <w:rPr>
          <w:rFonts w:ascii="Times New Roman" w:hAnsi="Times New Roman" w:cs="Times New Roman"/>
          <w:sz w:val="24"/>
          <w:szCs w:val="24"/>
          <w:highlight w:val="yellow"/>
        </w:rPr>
      </w:pPr>
      <w:r w:rsidRPr="007937E4">
        <w:rPr>
          <w:rFonts w:ascii="Times New Roman" w:hAnsi="Times New Roman" w:cs="Times New Roman"/>
          <w:sz w:val="24"/>
          <w:szCs w:val="24"/>
          <w:highlight w:val="yellow"/>
        </w:rPr>
        <w:t>Multisectoral collaboration also enhances policy coherence, a critical factor for sustainable poverty reduction</w:t>
      </w:r>
      <w:r w:rsidRPr="00C71691">
        <w:rPr>
          <w:rFonts w:ascii="Times New Roman" w:hAnsi="Times New Roman" w:cs="Times New Roman"/>
          <w:sz w:val="24"/>
          <w:szCs w:val="24"/>
          <w:highlight w:val="yellow"/>
        </w:rPr>
        <w:t xml:space="preserve"> </w:t>
      </w:r>
      <w:r w:rsidRPr="00C71691">
        <w:rPr>
          <w:rFonts w:ascii="Times New Roman" w:hAnsi="Times New Roman" w:cs="Times New Roman"/>
          <w:sz w:val="24"/>
          <w:szCs w:val="24"/>
          <w:highlight w:val="yellow"/>
          <w:lang w:eastAsia="en-IN" w:bidi="hi-IN"/>
        </w:rPr>
        <w:t>(Sterman, 2006)</w:t>
      </w:r>
      <w:r w:rsidRPr="007937E4">
        <w:rPr>
          <w:rFonts w:ascii="Times New Roman" w:hAnsi="Times New Roman" w:cs="Times New Roman"/>
          <w:sz w:val="24"/>
          <w:szCs w:val="24"/>
          <w:highlight w:val="yellow"/>
        </w:rPr>
        <w:t>. When sectors work in silos, programs may duplicate efforts or even undermine one another. Coordinated strategies promote efficient resource use and consistent messaging, while also reducing bureaucratic fragmentation (UNDP, 2016). By aligning goals and pooling expertise, cross-sector partnerships foster innovation, accountability, and responsiveness to local contexts.</w:t>
      </w:r>
    </w:p>
    <w:p w14:paraId="147A7BDA" w14:textId="3B9A8638" w:rsidR="00063296" w:rsidRPr="00C71691" w:rsidRDefault="00D75897" w:rsidP="00D75897">
      <w:pPr>
        <w:jc w:val="both"/>
        <w:rPr>
          <w:rFonts w:ascii="Times New Roman" w:hAnsi="Times New Roman" w:cs="Times New Roman"/>
          <w:sz w:val="24"/>
          <w:szCs w:val="24"/>
          <w:highlight w:val="yellow"/>
        </w:rPr>
      </w:pPr>
      <w:r w:rsidRPr="007937E4">
        <w:rPr>
          <w:rFonts w:ascii="Times New Roman" w:hAnsi="Times New Roman" w:cs="Times New Roman"/>
          <w:sz w:val="24"/>
          <w:szCs w:val="24"/>
          <w:highlight w:val="yellow"/>
        </w:rPr>
        <w:t xml:space="preserve">Furthermore, multisectoral partnerships enable the active participation of non-state actors, such as community-based organizations, NGOs, and private sector firms. These actors bring localized knowledge, social capital, and technological capabilities that complement the functions of the public sector (Elsey et al., 2019). Their involvement can enhance program outreach, improve service delivery, and build trust among beneficiaries. For example, India’s National Rural Health Mission and Digital India initiatives illustrate how collaborative </w:t>
      </w:r>
      <w:r w:rsidRPr="007937E4">
        <w:rPr>
          <w:rFonts w:ascii="Times New Roman" w:hAnsi="Times New Roman" w:cs="Times New Roman"/>
          <w:sz w:val="24"/>
          <w:szCs w:val="24"/>
          <w:highlight w:val="yellow"/>
        </w:rPr>
        <w:lastRenderedPageBreak/>
        <w:t>platforms can address both infrastructural and human development deficits through joint efforts</w:t>
      </w:r>
      <w:r w:rsidRPr="00C71691">
        <w:rPr>
          <w:rFonts w:ascii="Times New Roman" w:hAnsi="Times New Roman" w:cs="Times New Roman"/>
          <w:sz w:val="24"/>
          <w:szCs w:val="24"/>
          <w:highlight w:val="yellow"/>
        </w:rPr>
        <w:t>.</w:t>
      </w:r>
    </w:p>
    <w:p w14:paraId="782CAE58" w14:textId="53316F35" w:rsidR="00B43354" w:rsidRPr="00C71691" w:rsidRDefault="00B43354" w:rsidP="00B43354">
      <w:pPr>
        <w:spacing w:line="240" w:lineRule="auto"/>
        <w:jc w:val="both"/>
        <w:rPr>
          <w:rFonts w:ascii="Times New Roman" w:hAnsi="Times New Roman" w:cs="Times New Roman"/>
          <w:b/>
          <w:bCs/>
          <w:sz w:val="24"/>
          <w:szCs w:val="24"/>
          <w:highlight w:val="yellow"/>
          <w:lang w:eastAsia="en-IN" w:bidi="hi-IN"/>
        </w:rPr>
      </w:pPr>
      <w:r w:rsidRPr="00C71691">
        <w:rPr>
          <w:rFonts w:ascii="Times New Roman" w:hAnsi="Times New Roman" w:cs="Times New Roman"/>
          <w:b/>
          <w:bCs/>
          <w:sz w:val="24"/>
          <w:szCs w:val="24"/>
          <w:highlight w:val="yellow"/>
          <w:lang w:eastAsia="en-IN" w:bidi="hi-IN"/>
        </w:rPr>
        <w:t>Conceptual Framework for Multisectoral Partnership in Poverty Alleviation</w:t>
      </w:r>
    </w:p>
    <w:p w14:paraId="652951CA" w14:textId="0C0939BF" w:rsidR="00B43354" w:rsidRPr="001C2996" w:rsidRDefault="001C2996" w:rsidP="00297A78">
      <w:pPr>
        <w:jc w:val="both"/>
        <w:rPr>
          <w:rFonts w:ascii="Times New Roman" w:hAnsi="Times New Roman" w:cs="Times New Roman"/>
          <w:sz w:val="24"/>
          <w:szCs w:val="24"/>
        </w:rPr>
      </w:pPr>
      <w:r w:rsidRPr="00D50CFC">
        <w:rPr>
          <w:rFonts w:ascii="Times New Roman" w:hAnsi="Times New Roman" w:cs="Times New Roman"/>
          <w:sz w:val="24"/>
          <w:szCs w:val="24"/>
          <w:highlight w:val="yellow"/>
        </w:rPr>
        <w:t xml:space="preserve">To effectively address the multifaceted and systemic nature of poverty, it is critical to establish a structured approach that illustrates how different sectors and actors can collaborate toward Sustainable Development Goal 1 (SDG 1). This section presents a </w:t>
      </w:r>
      <w:r w:rsidRPr="00D50CFC">
        <w:rPr>
          <w:rFonts w:ascii="Times New Roman" w:hAnsi="Times New Roman" w:cs="Times New Roman"/>
          <w:b/>
          <w:bCs/>
          <w:sz w:val="24"/>
          <w:szCs w:val="24"/>
          <w:highlight w:val="yellow"/>
        </w:rPr>
        <w:t>proposed conceptual framework</w:t>
      </w:r>
      <w:r w:rsidRPr="00D50CFC">
        <w:rPr>
          <w:rFonts w:ascii="Times New Roman" w:hAnsi="Times New Roman" w:cs="Times New Roman"/>
          <w:sz w:val="24"/>
          <w:szCs w:val="24"/>
          <w:highlight w:val="yellow"/>
        </w:rPr>
        <w:t xml:space="preserve"> developed by the author to guide the design and implementation of multisectoral strategies for poverty alleviation. The framework is grounded in thematic synthesis of scholarly literature and policy reports but is </w:t>
      </w:r>
      <w:r w:rsidRPr="00D50CFC">
        <w:rPr>
          <w:rFonts w:ascii="Times New Roman" w:hAnsi="Times New Roman" w:cs="Times New Roman"/>
          <w:b/>
          <w:bCs/>
          <w:sz w:val="24"/>
          <w:szCs w:val="24"/>
          <w:highlight w:val="yellow"/>
        </w:rPr>
        <w:t>not adapted from a standardized or previously published source</w:t>
      </w:r>
      <w:r w:rsidRPr="00D50CFC">
        <w:rPr>
          <w:rFonts w:ascii="Times New Roman" w:hAnsi="Times New Roman" w:cs="Times New Roman"/>
          <w:sz w:val="24"/>
          <w:szCs w:val="24"/>
          <w:highlight w:val="yellow"/>
        </w:rPr>
        <w:t>. Instead, it is an original construct, offering a synthesized model to visualize and operationalize the interconnections among stakeholders, systems, and poverty-related outcomes.</w:t>
      </w:r>
    </w:p>
    <w:p w14:paraId="1506416F" w14:textId="38F4A32A" w:rsidR="005C3626" w:rsidRPr="00511D21" w:rsidRDefault="005C3626" w:rsidP="005C3626">
      <w:pPr>
        <w:spacing w:line="240" w:lineRule="auto"/>
        <w:jc w:val="center"/>
        <w:rPr>
          <w:rFonts w:ascii="Times New Roman" w:hAnsi="Times New Roman" w:cs="Times New Roman"/>
          <w:sz w:val="24"/>
          <w:szCs w:val="24"/>
          <w:lang w:eastAsia="en-IN" w:bidi="hi-IN"/>
        </w:rPr>
      </w:pPr>
      <w:r w:rsidRPr="00511D21">
        <w:rPr>
          <w:rFonts w:ascii="Times New Roman" w:hAnsi="Times New Roman" w:cs="Times New Roman"/>
          <w:noProof/>
          <w:sz w:val="24"/>
          <w:szCs w:val="24"/>
          <w:lang w:val="en-US"/>
        </w:rPr>
        <w:drawing>
          <wp:inline distT="0" distB="0" distL="0" distR="0" wp14:anchorId="0E8F4305" wp14:editId="0569C836">
            <wp:extent cx="4442460" cy="3566160"/>
            <wp:effectExtent l="0" t="0" r="0" b="0"/>
            <wp:docPr id="1165631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976" t="9126" r="19041"/>
                    <a:stretch>
                      <a:fillRect/>
                    </a:stretch>
                  </pic:blipFill>
                  <pic:spPr bwMode="auto">
                    <a:xfrm>
                      <a:off x="0" y="0"/>
                      <a:ext cx="4442460" cy="3566160"/>
                    </a:xfrm>
                    <a:prstGeom prst="rect">
                      <a:avLst/>
                    </a:prstGeom>
                    <a:noFill/>
                    <a:ln>
                      <a:noFill/>
                    </a:ln>
                    <a:extLst>
                      <a:ext uri="{53640926-AAD7-44D8-BBD7-CCE9431645EC}">
                        <a14:shadowObscured xmlns:a14="http://schemas.microsoft.com/office/drawing/2010/main"/>
                      </a:ext>
                    </a:extLst>
                  </pic:spPr>
                </pic:pic>
              </a:graphicData>
            </a:graphic>
          </wp:inline>
        </w:drawing>
      </w:r>
    </w:p>
    <w:p w14:paraId="13D449DF" w14:textId="77777777" w:rsidR="0061313B" w:rsidRPr="0061313B" w:rsidRDefault="0061313B" w:rsidP="0061313B">
      <w:pPr>
        <w:spacing w:line="240" w:lineRule="auto"/>
        <w:jc w:val="center"/>
        <w:rPr>
          <w:rFonts w:ascii="Times New Roman" w:hAnsi="Times New Roman" w:cs="Times New Roman"/>
          <w:b/>
          <w:bCs/>
          <w:sz w:val="24"/>
          <w:szCs w:val="24"/>
          <w:lang w:eastAsia="en-IN" w:bidi="hi-IN"/>
        </w:rPr>
      </w:pPr>
      <w:r w:rsidRPr="0061313B">
        <w:rPr>
          <w:rFonts w:ascii="Times New Roman" w:hAnsi="Times New Roman" w:cs="Times New Roman"/>
          <w:b/>
          <w:bCs/>
          <w:sz w:val="24"/>
          <w:szCs w:val="24"/>
          <w:lang w:eastAsia="en-IN" w:bidi="hi-IN"/>
        </w:rPr>
        <w:t>Figure 1. Multisectoral Partnership Framework for Poverty Alleviation</w:t>
      </w:r>
    </w:p>
    <w:p w14:paraId="7D15D9EA" w14:textId="10623C5D" w:rsidR="0069015B" w:rsidRPr="00C71691" w:rsidRDefault="0061313B" w:rsidP="0061313B">
      <w:pPr>
        <w:spacing w:line="240" w:lineRule="auto"/>
        <w:jc w:val="both"/>
        <w:rPr>
          <w:rFonts w:ascii="Times New Roman" w:hAnsi="Times New Roman" w:cs="Times New Roman"/>
          <w:sz w:val="24"/>
          <w:szCs w:val="24"/>
          <w:highlight w:val="yellow"/>
          <w:lang w:eastAsia="en-IN" w:bidi="hi-IN"/>
        </w:rPr>
      </w:pPr>
      <w:r w:rsidRPr="0061313B">
        <w:rPr>
          <w:rFonts w:ascii="Times New Roman" w:hAnsi="Times New Roman" w:cs="Times New Roman"/>
          <w:i/>
          <w:iCs/>
          <w:sz w:val="24"/>
          <w:szCs w:val="24"/>
          <w:highlight w:val="yellow"/>
          <w:lang w:eastAsia="en-IN" w:bidi="hi-IN"/>
        </w:rPr>
        <w:t>This conceptual framework was developed by the author</w:t>
      </w:r>
      <w:r w:rsidRPr="00C71691">
        <w:rPr>
          <w:rFonts w:ascii="Times New Roman" w:hAnsi="Times New Roman" w:cs="Times New Roman"/>
          <w:i/>
          <w:iCs/>
          <w:sz w:val="24"/>
          <w:szCs w:val="24"/>
          <w:highlight w:val="yellow"/>
          <w:lang w:eastAsia="en-IN" w:bidi="hi-IN"/>
        </w:rPr>
        <w:t>s</w:t>
      </w:r>
      <w:r w:rsidRPr="0061313B">
        <w:rPr>
          <w:rFonts w:ascii="Times New Roman" w:hAnsi="Times New Roman" w:cs="Times New Roman"/>
          <w:i/>
          <w:iCs/>
          <w:sz w:val="24"/>
          <w:szCs w:val="24"/>
          <w:highlight w:val="yellow"/>
          <w:lang w:eastAsia="en-IN" w:bidi="hi-IN"/>
        </w:rPr>
        <w:t xml:space="preserve"> to illustrate how coordinated engagement among the public sector, private sector, and civil society can support the design and implementation of integrated poverty alleviation strategies. The model highlights key mediating conditions such as institutional capacity, inclusion, community participation, and sustainability. It is an original, author-proposed construct based on thematic synthesis of literature and policy analysis, and is not adapted from any standardized source.</w:t>
      </w:r>
    </w:p>
    <w:p w14:paraId="21E6485B" w14:textId="77777777" w:rsidR="001C2996" w:rsidRPr="00C71691" w:rsidRDefault="001C2996" w:rsidP="001C2996">
      <w:pPr>
        <w:spacing w:line="240" w:lineRule="auto"/>
        <w:jc w:val="both"/>
        <w:rPr>
          <w:rFonts w:ascii="Times New Roman" w:hAnsi="Times New Roman" w:cs="Times New Roman"/>
          <w:sz w:val="24"/>
          <w:szCs w:val="24"/>
          <w:highlight w:val="yellow"/>
        </w:rPr>
      </w:pPr>
      <w:r w:rsidRPr="00D50CFC">
        <w:rPr>
          <w:rFonts w:ascii="Times New Roman" w:hAnsi="Times New Roman" w:cs="Times New Roman"/>
          <w:sz w:val="24"/>
          <w:szCs w:val="24"/>
          <w:highlight w:val="yellow"/>
        </w:rPr>
        <w:t xml:space="preserve">At the core of the framework is the </w:t>
      </w:r>
      <w:r w:rsidRPr="00D50CFC">
        <w:rPr>
          <w:rFonts w:ascii="Times New Roman" w:hAnsi="Times New Roman" w:cs="Times New Roman"/>
          <w:b/>
          <w:bCs/>
          <w:sz w:val="24"/>
          <w:szCs w:val="24"/>
          <w:highlight w:val="yellow"/>
        </w:rPr>
        <w:t>household or community unit</w:t>
      </w:r>
      <w:r w:rsidRPr="00D50CFC">
        <w:rPr>
          <w:rFonts w:ascii="Times New Roman" w:hAnsi="Times New Roman" w:cs="Times New Roman"/>
          <w:sz w:val="24"/>
          <w:szCs w:val="24"/>
          <w:highlight w:val="yellow"/>
        </w:rPr>
        <w:t xml:space="preserve"> experiencing multidimensional poverty. This central element is surrounded by three primary sectors</w:t>
      </w:r>
      <w:r w:rsidRPr="00C71691">
        <w:rPr>
          <w:rFonts w:ascii="Times New Roman" w:hAnsi="Times New Roman" w:cs="Times New Roman"/>
          <w:sz w:val="24"/>
          <w:szCs w:val="24"/>
          <w:highlight w:val="yellow"/>
        </w:rPr>
        <w:t xml:space="preserve">, </w:t>
      </w:r>
      <w:r w:rsidRPr="00D50CFC">
        <w:rPr>
          <w:rFonts w:ascii="Times New Roman" w:hAnsi="Times New Roman" w:cs="Times New Roman"/>
          <w:b/>
          <w:bCs/>
          <w:sz w:val="24"/>
          <w:szCs w:val="24"/>
          <w:highlight w:val="yellow"/>
        </w:rPr>
        <w:t>public, private, and civil society</w:t>
      </w:r>
      <w:r w:rsidRPr="00C71691">
        <w:rPr>
          <w:rFonts w:ascii="Times New Roman" w:hAnsi="Times New Roman" w:cs="Times New Roman"/>
          <w:sz w:val="24"/>
          <w:szCs w:val="24"/>
          <w:highlight w:val="yellow"/>
        </w:rPr>
        <w:t xml:space="preserve">, </w:t>
      </w:r>
      <w:r w:rsidRPr="00D50CFC">
        <w:rPr>
          <w:rFonts w:ascii="Times New Roman" w:hAnsi="Times New Roman" w:cs="Times New Roman"/>
          <w:sz w:val="24"/>
          <w:szCs w:val="24"/>
          <w:highlight w:val="yellow"/>
        </w:rPr>
        <w:t>each bringing distinct capacities, mandates, and resources to the partnership. These sectors interact within an enabling institutional and policy environment that supports integrated planning, financing, and service delivery.</w:t>
      </w:r>
    </w:p>
    <w:p w14:paraId="31D394AC" w14:textId="77777777" w:rsidR="001C2996" w:rsidRPr="00C71691" w:rsidRDefault="001C2996" w:rsidP="001C2996">
      <w:pPr>
        <w:pStyle w:val="ListParagraph"/>
        <w:numPr>
          <w:ilvl w:val="0"/>
          <w:numId w:val="39"/>
        </w:numPr>
        <w:spacing w:line="240" w:lineRule="auto"/>
        <w:jc w:val="both"/>
        <w:rPr>
          <w:rFonts w:ascii="Times New Roman" w:hAnsi="Times New Roman" w:cs="Times New Roman"/>
          <w:sz w:val="24"/>
          <w:szCs w:val="24"/>
          <w:highlight w:val="yellow"/>
        </w:rPr>
      </w:pPr>
      <w:r w:rsidRPr="00C71691">
        <w:rPr>
          <w:rFonts w:ascii="Times New Roman" w:hAnsi="Times New Roman" w:cs="Times New Roman"/>
          <w:sz w:val="24"/>
          <w:szCs w:val="24"/>
          <w:highlight w:val="yellow"/>
        </w:rPr>
        <w:lastRenderedPageBreak/>
        <w:t xml:space="preserve">The </w:t>
      </w:r>
      <w:r w:rsidRPr="00C71691">
        <w:rPr>
          <w:rFonts w:ascii="Times New Roman" w:hAnsi="Times New Roman" w:cs="Times New Roman"/>
          <w:b/>
          <w:bCs/>
          <w:sz w:val="24"/>
          <w:szCs w:val="24"/>
          <w:highlight w:val="yellow"/>
        </w:rPr>
        <w:t>public sector</w:t>
      </w:r>
      <w:r w:rsidRPr="00C71691">
        <w:rPr>
          <w:rFonts w:ascii="Times New Roman" w:hAnsi="Times New Roman" w:cs="Times New Roman"/>
          <w:sz w:val="24"/>
          <w:szCs w:val="24"/>
          <w:highlight w:val="yellow"/>
        </w:rPr>
        <w:t xml:space="preserve"> (government) plays a central role in formulating policy, ensuring regulatory oversight, and delivering essential public services such as education, healthcare, housing, and social protection.</w:t>
      </w:r>
    </w:p>
    <w:p w14:paraId="3C45257B" w14:textId="77777777" w:rsidR="001C2996" w:rsidRPr="00C71691" w:rsidRDefault="001C2996" w:rsidP="001C2996">
      <w:pPr>
        <w:pStyle w:val="ListParagraph"/>
        <w:numPr>
          <w:ilvl w:val="0"/>
          <w:numId w:val="39"/>
        </w:numPr>
        <w:spacing w:line="240" w:lineRule="auto"/>
        <w:jc w:val="both"/>
        <w:rPr>
          <w:rFonts w:ascii="Times New Roman" w:hAnsi="Times New Roman" w:cs="Times New Roman"/>
          <w:sz w:val="24"/>
          <w:szCs w:val="24"/>
          <w:highlight w:val="yellow"/>
        </w:rPr>
      </w:pPr>
      <w:r w:rsidRPr="00C71691">
        <w:rPr>
          <w:rFonts w:ascii="Times New Roman" w:hAnsi="Times New Roman" w:cs="Times New Roman"/>
          <w:sz w:val="24"/>
          <w:szCs w:val="24"/>
          <w:highlight w:val="yellow"/>
        </w:rPr>
        <w:t xml:space="preserve">The </w:t>
      </w:r>
      <w:r w:rsidRPr="00C71691">
        <w:rPr>
          <w:rFonts w:ascii="Times New Roman" w:hAnsi="Times New Roman" w:cs="Times New Roman"/>
          <w:b/>
          <w:bCs/>
          <w:sz w:val="24"/>
          <w:szCs w:val="24"/>
          <w:highlight w:val="yellow"/>
        </w:rPr>
        <w:t>private sector</w:t>
      </w:r>
      <w:r w:rsidRPr="00C71691">
        <w:rPr>
          <w:rFonts w:ascii="Times New Roman" w:hAnsi="Times New Roman" w:cs="Times New Roman"/>
          <w:sz w:val="24"/>
          <w:szCs w:val="24"/>
          <w:highlight w:val="yellow"/>
        </w:rPr>
        <w:t xml:space="preserve"> contributes through employment generation, technological innovation, investment in inclusive business models, and participation in public-private partnerships (PPPs).</w:t>
      </w:r>
    </w:p>
    <w:p w14:paraId="4F973BE1" w14:textId="278534BE" w:rsidR="001C2996" w:rsidRPr="00C71691" w:rsidRDefault="001C2996" w:rsidP="001C2996">
      <w:pPr>
        <w:pStyle w:val="ListParagraph"/>
        <w:numPr>
          <w:ilvl w:val="0"/>
          <w:numId w:val="39"/>
        </w:numPr>
        <w:spacing w:line="240" w:lineRule="auto"/>
        <w:jc w:val="both"/>
        <w:rPr>
          <w:rFonts w:ascii="Times New Roman" w:hAnsi="Times New Roman" w:cs="Times New Roman"/>
          <w:sz w:val="24"/>
          <w:szCs w:val="24"/>
          <w:highlight w:val="yellow"/>
        </w:rPr>
      </w:pPr>
      <w:r w:rsidRPr="00C71691">
        <w:rPr>
          <w:rFonts w:ascii="Times New Roman" w:hAnsi="Times New Roman" w:cs="Times New Roman"/>
          <w:b/>
          <w:bCs/>
          <w:sz w:val="24"/>
          <w:szCs w:val="24"/>
          <w:highlight w:val="yellow"/>
        </w:rPr>
        <w:t>Civil society actors</w:t>
      </w:r>
      <w:r w:rsidRPr="00C71691">
        <w:rPr>
          <w:rFonts w:ascii="Times New Roman" w:hAnsi="Times New Roman" w:cs="Times New Roman"/>
          <w:sz w:val="24"/>
          <w:szCs w:val="24"/>
          <w:highlight w:val="yellow"/>
        </w:rPr>
        <w:t>, including NGOs, community-based organizations (CBOs), and faith-based groups, serve as intermediaries between formal institutions and marginalized communities. They facilitate grassroots mobilization, deliver community services, advocate for rights, and promote accountability.</w:t>
      </w:r>
    </w:p>
    <w:p w14:paraId="312BFDC4" w14:textId="77777777" w:rsidR="001C2996" w:rsidRPr="00C71691" w:rsidRDefault="001C2996" w:rsidP="001C2996">
      <w:pPr>
        <w:spacing w:line="240" w:lineRule="auto"/>
        <w:jc w:val="both"/>
        <w:rPr>
          <w:rFonts w:ascii="Times New Roman" w:hAnsi="Times New Roman" w:cs="Times New Roman"/>
          <w:sz w:val="24"/>
          <w:szCs w:val="24"/>
          <w:highlight w:val="yellow"/>
        </w:rPr>
      </w:pPr>
      <w:r w:rsidRPr="00D50CFC">
        <w:rPr>
          <w:rFonts w:ascii="Times New Roman" w:hAnsi="Times New Roman" w:cs="Times New Roman"/>
          <w:sz w:val="24"/>
          <w:szCs w:val="24"/>
          <w:highlight w:val="yellow"/>
        </w:rPr>
        <w:t>The proposed framework is built on four key mediating conditions that shape the success of multisectoral engagement:</w:t>
      </w:r>
    </w:p>
    <w:p w14:paraId="5A0BCF56" w14:textId="77777777" w:rsidR="001C2996" w:rsidRPr="00C71691" w:rsidRDefault="001C2996" w:rsidP="001C2996">
      <w:pPr>
        <w:pStyle w:val="ListParagraph"/>
        <w:numPr>
          <w:ilvl w:val="0"/>
          <w:numId w:val="40"/>
        </w:numPr>
        <w:spacing w:line="240" w:lineRule="auto"/>
        <w:jc w:val="both"/>
        <w:rPr>
          <w:rFonts w:ascii="Times New Roman" w:hAnsi="Times New Roman" w:cs="Times New Roman"/>
          <w:sz w:val="24"/>
          <w:szCs w:val="24"/>
          <w:highlight w:val="yellow"/>
        </w:rPr>
      </w:pPr>
      <w:r w:rsidRPr="00C71691">
        <w:rPr>
          <w:rFonts w:ascii="Times New Roman" w:hAnsi="Times New Roman" w:cs="Times New Roman"/>
          <w:b/>
          <w:bCs/>
          <w:sz w:val="24"/>
          <w:szCs w:val="24"/>
          <w:highlight w:val="yellow"/>
        </w:rPr>
        <w:t>Institutional capacity and governance</w:t>
      </w:r>
      <w:r w:rsidRPr="00C71691">
        <w:rPr>
          <w:rFonts w:ascii="Times New Roman" w:hAnsi="Times New Roman" w:cs="Times New Roman"/>
          <w:sz w:val="24"/>
          <w:szCs w:val="24"/>
          <w:highlight w:val="yellow"/>
        </w:rPr>
        <w:t>, including intersectoral coordination, leadership, and accountability;</w:t>
      </w:r>
    </w:p>
    <w:p w14:paraId="1DE5658D" w14:textId="77777777" w:rsidR="001C2996" w:rsidRPr="00C71691" w:rsidRDefault="001C2996" w:rsidP="001C2996">
      <w:pPr>
        <w:pStyle w:val="ListParagraph"/>
        <w:numPr>
          <w:ilvl w:val="0"/>
          <w:numId w:val="40"/>
        </w:numPr>
        <w:spacing w:line="240" w:lineRule="auto"/>
        <w:jc w:val="both"/>
        <w:rPr>
          <w:rFonts w:ascii="Times New Roman" w:hAnsi="Times New Roman" w:cs="Times New Roman"/>
          <w:sz w:val="24"/>
          <w:szCs w:val="24"/>
          <w:highlight w:val="yellow"/>
        </w:rPr>
      </w:pPr>
      <w:r w:rsidRPr="00C71691">
        <w:rPr>
          <w:rFonts w:ascii="Times New Roman" w:hAnsi="Times New Roman" w:cs="Times New Roman"/>
          <w:b/>
          <w:bCs/>
          <w:sz w:val="24"/>
          <w:szCs w:val="24"/>
          <w:highlight w:val="yellow"/>
        </w:rPr>
        <w:t>Equity and inclusion</w:t>
      </w:r>
      <w:r w:rsidRPr="00C71691">
        <w:rPr>
          <w:rFonts w:ascii="Times New Roman" w:hAnsi="Times New Roman" w:cs="Times New Roman"/>
          <w:sz w:val="24"/>
          <w:szCs w:val="24"/>
          <w:highlight w:val="yellow"/>
        </w:rPr>
        <w:t>, ensuring the meaningful participation of women, youth, and marginalized populations;</w:t>
      </w:r>
    </w:p>
    <w:p w14:paraId="177450FB" w14:textId="77777777" w:rsidR="001C2996" w:rsidRPr="00C71691" w:rsidRDefault="001C2996" w:rsidP="001C2996">
      <w:pPr>
        <w:pStyle w:val="ListParagraph"/>
        <w:numPr>
          <w:ilvl w:val="0"/>
          <w:numId w:val="40"/>
        </w:numPr>
        <w:spacing w:line="240" w:lineRule="auto"/>
        <w:jc w:val="both"/>
        <w:rPr>
          <w:rFonts w:ascii="Times New Roman" w:hAnsi="Times New Roman" w:cs="Times New Roman"/>
          <w:sz w:val="24"/>
          <w:szCs w:val="24"/>
          <w:highlight w:val="yellow"/>
        </w:rPr>
      </w:pPr>
      <w:r w:rsidRPr="00C71691">
        <w:rPr>
          <w:rFonts w:ascii="Times New Roman" w:hAnsi="Times New Roman" w:cs="Times New Roman"/>
          <w:b/>
          <w:bCs/>
          <w:sz w:val="24"/>
          <w:szCs w:val="24"/>
          <w:highlight w:val="yellow"/>
        </w:rPr>
        <w:t>Community engagement</w:t>
      </w:r>
      <w:r w:rsidRPr="00C71691">
        <w:rPr>
          <w:rFonts w:ascii="Times New Roman" w:hAnsi="Times New Roman" w:cs="Times New Roman"/>
          <w:sz w:val="24"/>
          <w:szCs w:val="24"/>
          <w:highlight w:val="yellow"/>
        </w:rPr>
        <w:t>, emphasizing participatory planning, local ownership, and feedback mechanisms; and</w:t>
      </w:r>
    </w:p>
    <w:p w14:paraId="413B06F3" w14:textId="39C00B0A" w:rsidR="001C2996" w:rsidRPr="00C71691" w:rsidRDefault="001C2996" w:rsidP="001C2996">
      <w:pPr>
        <w:pStyle w:val="ListParagraph"/>
        <w:numPr>
          <w:ilvl w:val="0"/>
          <w:numId w:val="40"/>
        </w:numPr>
        <w:spacing w:line="240" w:lineRule="auto"/>
        <w:jc w:val="both"/>
        <w:rPr>
          <w:rFonts w:ascii="Times New Roman" w:hAnsi="Times New Roman" w:cs="Times New Roman"/>
          <w:sz w:val="24"/>
          <w:szCs w:val="24"/>
          <w:highlight w:val="yellow"/>
        </w:rPr>
      </w:pPr>
      <w:r w:rsidRPr="00C71691">
        <w:rPr>
          <w:rFonts w:ascii="Times New Roman" w:hAnsi="Times New Roman" w:cs="Times New Roman"/>
          <w:b/>
          <w:bCs/>
          <w:sz w:val="24"/>
          <w:szCs w:val="24"/>
          <w:highlight w:val="yellow"/>
        </w:rPr>
        <w:t>Sustainability</w:t>
      </w:r>
      <w:r w:rsidRPr="00C71691">
        <w:rPr>
          <w:rFonts w:ascii="Times New Roman" w:hAnsi="Times New Roman" w:cs="Times New Roman"/>
          <w:sz w:val="24"/>
          <w:szCs w:val="24"/>
          <w:highlight w:val="yellow"/>
        </w:rPr>
        <w:t>, including financial viability, ecological balance, and long-term institutional commitment.</w:t>
      </w:r>
    </w:p>
    <w:p w14:paraId="10865DF7" w14:textId="1FC66A3E" w:rsidR="001C2996" w:rsidRPr="00D50CFC" w:rsidRDefault="001C2996" w:rsidP="001C2996">
      <w:pPr>
        <w:spacing w:line="240" w:lineRule="auto"/>
        <w:jc w:val="both"/>
        <w:rPr>
          <w:rFonts w:ascii="Times New Roman" w:hAnsi="Times New Roman" w:cs="Times New Roman"/>
          <w:sz w:val="24"/>
          <w:szCs w:val="24"/>
          <w:highlight w:val="yellow"/>
        </w:rPr>
      </w:pPr>
      <w:r w:rsidRPr="00D50CFC">
        <w:rPr>
          <w:rFonts w:ascii="Times New Roman" w:hAnsi="Times New Roman" w:cs="Times New Roman"/>
          <w:sz w:val="24"/>
          <w:szCs w:val="24"/>
          <w:highlight w:val="yellow"/>
        </w:rPr>
        <w:t xml:space="preserve">Together, these components interact dynamically to achieve a set of </w:t>
      </w:r>
      <w:r w:rsidRPr="00D50CFC">
        <w:rPr>
          <w:rFonts w:ascii="Times New Roman" w:hAnsi="Times New Roman" w:cs="Times New Roman"/>
          <w:b/>
          <w:bCs/>
          <w:sz w:val="24"/>
          <w:szCs w:val="24"/>
          <w:highlight w:val="yellow"/>
        </w:rPr>
        <w:t>intended outcomes</w:t>
      </w:r>
      <w:r w:rsidRPr="00C71691">
        <w:rPr>
          <w:rFonts w:ascii="Times New Roman" w:hAnsi="Times New Roman" w:cs="Times New Roman"/>
          <w:sz w:val="24"/>
          <w:szCs w:val="24"/>
          <w:highlight w:val="yellow"/>
        </w:rPr>
        <w:t xml:space="preserve">, </w:t>
      </w:r>
      <w:r w:rsidRPr="00D50CFC">
        <w:rPr>
          <w:rFonts w:ascii="Times New Roman" w:hAnsi="Times New Roman" w:cs="Times New Roman"/>
          <w:sz w:val="24"/>
          <w:szCs w:val="24"/>
          <w:highlight w:val="yellow"/>
        </w:rPr>
        <w:t>namely, improved access to services, enhanced livelihoods, reduced inequality, and strengthened resilience. These outcomes, in turn, contribute to the broader goals of poverty alleviation, social justice, and sustainable development.</w:t>
      </w:r>
    </w:p>
    <w:p w14:paraId="0CF5F68C" w14:textId="0DCF7D5D" w:rsidR="00B43354" w:rsidRDefault="001C2996" w:rsidP="001C2996">
      <w:pPr>
        <w:jc w:val="both"/>
        <w:rPr>
          <w:rFonts w:ascii="Times New Roman" w:hAnsi="Times New Roman" w:cs="Times New Roman"/>
          <w:sz w:val="24"/>
          <w:szCs w:val="24"/>
          <w:highlight w:val="yellow"/>
        </w:rPr>
      </w:pPr>
      <w:r w:rsidRPr="00D50CFC">
        <w:rPr>
          <w:rFonts w:ascii="Times New Roman" w:hAnsi="Times New Roman" w:cs="Times New Roman"/>
          <w:sz w:val="24"/>
          <w:szCs w:val="24"/>
          <w:highlight w:val="yellow"/>
        </w:rPr>
        <w:t>This conceptual model is intended to inform policymakers, researchers, and practitioners as they design integrated interventions. It also provides a diagnostic lens through which existing programs can be assessed for cross-sectoral alignment, institutional coherence, and community responsiveness.</w:t>
      </w:r>
    </w:p>
    <w:p w14:paraId="6F394160" w14:textId="6501C652" w:rsidR="008203BC" w:rsidRPr="008203BC" w:rsidRDefault="008203BC" w:rsidP="008203BC">
      <w:pPr>
        <w:jc w:val="both"/>
        <w:rPr>
          <w:rFonts w:ascii="Times New Roman" w:hAnsi="Times New Roman" w:cs="Times New Roman"/>
          <w:b/>
          <w:bCs/>
          <w:sz w:val="24"/>
          <w:szCs w:val="24"/>
          <w:highlight w:val="yellow"/>
        </w:rPr>
      </w:pPr>
      <w:r w:rsidRPr="008203BC">
        <w:rPr>
          <w:rFonts w:ascii="Times New Roman" w:hAnsi="Times New Roman" w:cs="Times New Roman"/>
          <w:b/>
          <w:bCs/>
          <w:sz w:val="24"/>
          <w:szCs w:val="24"/>
          <w:highlight w:val="yellow"/>
        </w:rPr>
        <w:t>Methodology</w:t>
      </w:r>
    </w:p>
    <w:p w14:paraId="028DE7CE" w14:textId="77777777" w:rsidR="008203BC" w:rsidRPr="008203BC" w:rsidRDefault="008203BC" w:rsidP="008203BC">
      <w:pPr>
        <w:jc w:val="both"/>
        <w:rPr>
          <w:rFonts w:ascii="Times New Roman" w:hAnsi="Times New Roman" w:cs="Times New Roman"/>
          <w:sz w:val="24"/>
          <w:szCs w:val="24"/>
          <w:highlight w:val="yellow"/>
        </w:rPr>
      </w:pPr>
      <w:r w:rsidRPr="008203BC">
        <w:rPr>
          <w:rFonts w:ascii="Times New Roman" w:hAnsi="Times New Roman" w:cs="Times New Roman"/>
          <w:sz w:val="24"/>
          <w:szCs w:val="24"/>
          <w:highlight w:val="yellow"/>
        </w:rPr>
        <w:t xml:space="preserve">This study adopts a </w:t>
      </w:r>
      <w:r w:rsidRPr="008203BC">
        <w:rPr>
          <w:rFonts w:ascii="Times New Roman" w:hAnsi="Times New Roman" w:cs="Times New Roman"/>
          <w:b/>
          <w:bCs/>
          <w:sz w:val="24"/>
          <w:szCs w:val="24"/>
          <w:highlight w:val="yellow"/>
        </w:rPr>
        <w:t>qualitative, interpretive approach</w:t>
      </w:r>
      <w:r w:rsidRPr="008203BC">
        <w:rPr>
          <w:rFonts w:ascii="Times New Roman" w:hAnsi="Times New Roman" w:cs="Times New Roman"/>
          <w:sz w:val="24"/>
          <w:szCs w:val="24"/>
          <w:highlight w:val="yellow"/>
        </w:rPr>
        <w:t xml:space="preserve"> aimed at synthesizing policy-relevant knowledge on multisectoral strategies for poverty alleviation. It is based on a </w:t>
      </w:r>
      <w:r w:rsidRPr="008203BC">
        <w:rPr>
          <w:rFonts w:ascii="Times New Roman" w:hAnsi="Times New Roman" w:cs="Times New Roman"/>
          <w:b/>
          <w:bCs/>
          <w:sz w:val="24"/>
          <w:szCs w:val="24"/>
          <w:highlight w:val="yellow"/>
        </w:rPr>
        <w:t>comprehensive review of secondary data</w:t>
      </w:r>
      <w:r w:rsidRPr="008203BC">
        <w:rPr>
          <w:rFonts w:ascii="Times New Roman" w:hAnsi="Times New Roman" w:cs="Times New Roman"/>
          <w:sz w:val="24"/>
          <w:szCs w:val="24"/>
          <w:highlight w:val="yellow"/>
        </w:rPr>
        <w:t>, including peer-reviewed journal articles, institutional publications, policy briefs, and global development reports published primarily between 2000 and 2024. Emphasis was placed on identifying conceptual, empirical, and policy-level insights that illustrate the role of cross-sectoral collaboration in advancing Sustainable Development Goal 1 (SDG 1).</w:t>
      </w:r>
    </w:p>
    <w:p w14:paraId="2A852426" w14:textId="12945867" w:rsidR="008203BC" w:rsidRPr="00C71691" w:rsidRDefault="008203BC" w:rsidP="001C2996">
      <w:pPr>
        <w:jc w:val="both"/>
        <w:rPr>
          <w:rFonts w:ascii="Times New Roman" w:hAnsi="Times New Roman" w:cs="Times New Roman"/>
          <w:sz w:val="24"/>
          <w:szCs w:val="24"/>
          <w:highlight w:val="yellow"/>
        </w:rPr>
      </w:pPr>
      <w:r w:rsidRPr="008203BC">
        <w:rPr>
          <w:rFonts w:ascii="Times New Roman" w:hAnsi="Times New Roman" w:cs="Times New Roman"/>
          <w:sz w:val="24"/>
          <w:szCs w:val="24"/>
          <w:highlight w:val="yellow"/>
        </w:rPr>
        <w:t xml:space="preserve">The conceptual framework presented in this paper was developed </w:t>
      </w:r>
      <w:r w:rsidRPr="008203BC">
        <w:rPr>
          <w:rFonts w:ascii="Times New Roman" w:hAnsi="Times New Roman" w:cs="Times New Roman"/>
          <w:b/>
          <w:bCs/>
          <w:sz w:val="24"/>
          <w:szCs w:val="24"/>
          <w:highlight w:val="yellow"/>
        </w:rPr>
        <w:t>inductively</w:t>
      </w:r>
      <w:r w:rsidRPr="008203BC">
        <w:rPr>
          <w:rFonts w:ascii="Times New Roman" w:hAnsi="Times New Roman" w:cs="Times New Roman"/>
          <w:sz w:val="24"/>
          <w:szCs w:val="24"/>
          <w:highlight w:val="yellow"/>
        </w:rPr>
        <w:t xml:space="preserve">, through thematic analysis of interdisciplinary literature from development studies, public administration, health, education, and social protection. Furthermore, the study draws upon </w:t>
      </w:r>
      <w:r w:rsidRPr="008203BC">
        <w:rPr>
          <w:rFonts w:ascii="Times New Roman" w:hAnsi="Times New Roman" w:cs="Times New Roman"/>
          <w:b/>
          <w:bCs/>
          <w:sz w:val="24"/>
          <w:szCs w:val="24"/>
          <w:highlight w:val="yellow"/>
        </w:rPr>
        <w:t>illustrative case studies</w:t>
      </w:r>
      <w:r w:rsidRPr="008203BC">
        <w:rPr>
          <w:rFonts w:ascii="Times New Roman" w:hAnsi="Times New Roman" w:cs="Times New Roman"/>
          <w:sz w:val="24"/>
          <w:szCs w:val="24"/>
          <w:highlight w:val="yellow"/>
        </w:rPr>
        <w:t xml:space="preserve"> selected purposively to reflect geographical diversity and sectoral breadth. These cases were </w:t>
      </w:r>
      <w:proofErr w:type="spellStart"/>
      <w:r w:rsidRPr="008203BC">
        <w:rPr>
          <w:rFonts w:ascii="Times New Roman" w:hAnsi="Times New Roman" w:cs="Times New Roman"/>
          <w:sz w:val="24"/>
          <w:szCs w:val="24"/>
          <w:highlight w:val="yellow"/>
        </w:rPr>
        <w:t>analyzed</w:t>
      </w:r>
      <w:proofErr w:type="spellEnd"/>
      <w:r w:rsidRPr="008203BC">
        <w:rPr>
          <w:rFonts w:ascii="Times New Roman" w:hAnsi="Times New Roman" w:cs="Times New Roman"/>
          <w:sz w:val="24"/>
          <w:szCs w:val="24"/>
          <w:highlight w:val="yellow"/>
        </w:rPr>
        <w:t xml:space="preserve"> for their design features, governance structures, implementation modalities, and outcome effectiveness. No primary fieldwork was conducted; instead, the methodology relies on </w:t>
      </w:r>
      <w:r w:rsidRPr="008203BC">
        <w:rPr>
          <w:rFonts w:ascii="Times New Roman" w:hAnsi="Times New Roman" w:cs="Times New Roman"/>
          <w:b/>
          <w:bCs/>
          <w:sz w:val="24"/>
          <w:szCs w:val="24"/>
          <w:highlight w:val="yellow"/>
        </w:rPr>
        <w:t>interpretive synthesis</w:t>
      </w:r>
      <w:r w:rsidRPr="008203BC">
        <w:rPr>
          <w:rFonts w:ascii="Times New Roman" w:hAnsi="Times New Roman" w:cs="Times New Roman"/>
          <w:sz w:val="24"/>
          <w:szCs w:val="24"/>
          <w:highlight w:val="yellow"/>
        </w:rPr>
        <w:t xml:space="preserve">, triangulating scholarly evidence with practice-based documentation to offer a policy-relevant contribution. The study is </w:t>
      </w:r>
      <w:r w:rsidRPr="008203BC">
        <w:rPr>
          <w:rFonts w:ascii="Times New Roman" w:hAnsi="Times New Roman" w:cs="Times New Roman"/>
          <w:sz w:val="24"/>
          <w:szCs w:val="24"/>
          <w:highlight w:val="yellow"/>
        </w:rPr>
        <w:lastRenderedPageBreak/>
        <w:t>therefore positioned as a conceptual-cum-empirical policy analysis intended to inform both academic and practitioner audiences.</w:t>
      </w:r>
    </w:p>
    <w:p w14:paraId="43E77259" w14:textId="5D56174C" w:rsidR="0037670F" w:rsidRPr="00C71691" w:rsidRDefault="0037670F" w:rsidP="0037670F">
      <w:pPr>
        <w:spacing w:line="240" w:lineRule="auto"/>
        <w:jc w:val="both"/>
        <w:rPr>
          <w:rFonts w:ascii="Times New Roman" w:hAnsi="Times New Roman" w:cs="Times New Roman"/>
          <w:b/>
          <w:bCs/>
          <w:sz w:val="24"/>
          <w:szCs w:val="24"/>
          <w:highlight w:val="yellow"/>
          <w:lang w:eastAsia="en-IN" w:bidi="hi-IN"/>
        </w:rPr>
      </w:pPr>
      <w:r w:rsidRPr="00C71691">
        <w:rPr>
          <w:rFonts w:ascii="Times New Roman" w:hAnsi="Times New Roman" w:cs="Times New Roman"/>
          <w:b/>
          <w:bCs/>
          <w:sz w:val="24"/>
          <w:szCs w:val="24"/>
          <w:highlight w:val="yellow"/>
          <w:lang w:eastAsia="en-IN" w:bidi="hi-IN"/>
        </w:rPr>
        <w:t>Case Studies and Success Stories</w:t>
      </w:r>
    </w:p>
    <w:p w14:paraId="580DB6E2" w14:textId="1E1AFAB0" w:rsidR="00E542CE" w:rsidRPr="00E542CE" w:rsidRDefault="00E542CE" w:rsidP="00E542CE">
      <w:pPr>
        <w:jc w:val="both"/>
        <w:rPr>
          <w:rFonts w:ascii="Times New Roman" w:hAnsi="Times New Roman" w:cs="Times New Roman"/>
          <w:sz w:val="24"/>
          <w:szCs w:val="24"/>
          <w:highlight w:val="yellow"/>
        </w:rPr>
      </w:pPr>
      <w:r w:rsidRPr="00E542CE">
        <w:rPr>
          <w:rFonts w:ascii="Times New Roman" w:hAnsi="Times New Roman" w:cs="Times New Roman"/>
          <w:sz w:val="24"/>
          <w:szCs w:val="24"/>
          <w:highlight w:val="yellow"/>
        </w:rPr>
        <w:t xml:space="preserve">Real-world examples of multisectoral collaboration offer valuable insights into how integrated strategies can successfully address the structural and multidimensional nature of poverty. This section highlights select case studies from India and other global contexts to illustrate the diversity of mechanisms, actors, and outcomes that can emerge when cross-sectoral partnerships are effectively mobilized. These cases </w:t>
      </w:r>
      <w:r w:rsidRPr="00C71691">
        <w:rPr>
          <w:rFonts w:ascii="Times New Roman" w:hAnsi="Times New Roman" w:cs="Times New Roman"/>
          <w:sz w:val="24"/>
          <w:szCs w:val="24"/>
          <w:highlight w:val="yellow"/>
        </w:rPr>
        <w:t>emphasize</w:t>
      </w:r>
      <w:r w:rsidRPr="00E542CE">
        <w:rPr>
          <w:rFonts w:ascii="Times New Roman" w:hAnsi="Times New Roman" w:cs="Times New Roman"/>
          <w:sz w:val="24"/>
          <w:szCs w:val="24"/>
          <w:highlight w:val="yellow"/>
        </w:rPr>
        <w:t xml:space="preserve"> the significance of context-sensitive approaches, institutional innovation, and inclusive governance.</w:t>
      </w:r>
    </w:p>
    <w:p w14:paraId="212DE588" w14:textId="77777777" w:rsidR="00E542CE" w:rsidRPr="00E542CE" w:rsidRDefault="00E542CE" w:rsidP="00E542CE">
      <w:pPr>
        <w:jc w:val="both"/>
        <w:rPr>
          <w:rFonts w:ascii="Times New Roman" w:hAnsi="Times New Roman" w:cs="Times New Roman"/>
          <w:sz w:val="24"/>
          <w:szCs w:val="24"/>
          <w:highlight w:val="yellow"/>
        </w:rPr>
      </w:pPr>
      <w:r w:rsidRPr="00E542CE">
        <w:rPr>
          <w:rFonts w:ascii="Times New Roman" w:hAnsi="Times New Roman" w:cs="Times New Roman"/>
          <w:sz w:val="24"/>
          <w:szCs w:val="24"/>
          <w:highlight w:val="yellow"/>
        </w:rPr>
        <w:t xml:space="preserve">One of the most celebrated models in India is the </w:t>
      </w:r>
      <w:proofErr w:type="spellStart"/>
      <w:r w:rsidRPr="00E542CE">
        <w:rPr>
          <w:rFonts w:ascii="Times New Roman" w:hAnsi="Times New Roman" w:cs="Times New Roman"/>
          <w:b/>
          <w:bCs/>
          <w:sz w:val="24"/>
          <w:szCs w:val="24"/>
          <w:highlight w:val="yellow"/>
        </w:rPr>
        <w:t>Kudumbashree</w:t>
      </w:r>
      <w:proofErr w:type="spellEnd"/>
      <w:r w:rsidRPr="00E542CE">
        <w:rPr>
          <w:rFonts w:ascii="Times New Roman" w:hAnsi="Times New Roman" w:cs="Times New Roman"/>
          <w:b/>
          <w:bCs/>
          <w:sz w:val="24"/>
          <w:szCs w:val="24"/>
          <w:highlight w:val="yellow"/>
        </w:rPr>
        <w:t xml:space="preserve"> Mission</w:t>
      </w:r>
      <w:r w:rsidRPr="00E542CE">
        <w:rPr>
          <w:rFonts w:ascii="Times New Roman" w:hAnsi="Times New Roman" w:cs="Times New Roman"/>
          <w:sz w:val="24"/>
          <w:szCs w:val="24"/>
          <w:highlight w:val="yellow"/>
        </w:rPr>
        <w:t xml:space="preserve"> in Kerala. Launched in 1998 by the state government, </w:t>
      </w:r>
      <w:proofErr w:type="spellStart"/>
      <w:r w:rsidRPr="00E542CE">
        <w:rPr>
          <w:rFonts w:ascii="Times New Roman" w:hAnsi="Times New Roman" w:cs="Times New Roman"/>
          <w:sz w:val="24"/>
          <w:szCs w:val="24"/>
          <w:highlight w:val="yellow"/>
        </w:rPr>
        <w:t>Kudumbashree</w:t>
      </w:r>
      <w:proofErr w:type="spellEnd"/>
      <w:r w:rsidRPr="00E542CE">
        <w:rPr>
          <w:rFonts w:ascii="Times New Roman" w:hAnsi="Times New Roman" w:cs="Times New Roman"/>
          <w:sz w:val="24"/>
          <w:szCs w:val="24"/>
          <w:highlight w:val="yellow"/>
        </w:rPr>
        <w:t xml:space="preserve"> is a poverty eradication and women’s empowerment program based on a three-tiered network of </w:t>
      </w:r>
      <w:proofErr w:type="spellStart"/>
      <w:r w:rsidRPr="00E542CE">
        <w:rPr>
          <w:rFonts w:ascii="Times New Roman" w:hAnsi="Times New Roman" w:cs="Times New Roman"/>
          <w:sz w:val="24"/>
          <w:szCs w:val="24"/>
          <w:highlight w:val="yellow"/>
        </w:rPr>
        <w:t>neighborhood</w:t>
      </w:r>
      <w:proofErr w:type="spellEnd"/>
      <w:r w:rsidRPr="00E542CE">
        <w:rPr>
          <w:rFonts w:ascii="Times New Roman" w:hAnsi="Times New Roman" w:cs="Times New Roman"/>
          <w:sz w:val="24"/>
          <w:szCs w:val="24"/>
          <w:highlight w:val="yellow"/>
        </w:rPr>
        <w:t xml:space="preserve"> groups, area development societies, and community development societies. It functions as a decentralized platform for service delivery, livelihood generation, and local governance. The mission exemplifies multisectoral collaboration by integrating support from government bodies, financial institutions, civil society organizations, and the private sector. Through microfinance, skills training, and entrepreneurship development, </w:t>
      </w:r>
      <w:proofErr w:type="spellStart"/>
      <w:r w:rsidRPr="00E542CE">
        <w:rPr>
          <w:rFonts w:ascii="Times New Roman" w:hAnsi="Times New Roman" w:cs="Times New Roman"/>
          <w:sz w:val="24"/>
          <w:szCs w:val="24"/>
          <w:highlight w:val="yellow"/>
        </w:rPr>
        <w:t>Kudumbashree</w:t>
      </w:r>
      <w:proofErr w:type="spellEnd"/>
      <w:r w:rsidRPr="00E542CE">
        <w:rPr>
          <w:rFonts w:ascii="Times New Roman" w:hAnsi="Times New Roman" w:cs="Times New Roman"/>
          <w:sz w:val="24"/>
          <w:szCs w:val="24"/>
          <w:highlight w:val="yellow"/>
        </w:rPr>
        <w:t xml:space="preserve"> has significantly enhanced the socio-economic status of over four million women in the state (Kadiyala, 2004; Sinha &amp; Sreeram, 2021).</w:t>
      </w:r>
    </w:p>
    <w:p w14:paraId="78CB4C53" w14:textId="77777777" w:rsidR="00E542CE" w:rsidRPr="00E542CE" w:rsidRDefault="00E542CE" w:rsidP="00E542CE">
      <w:pPr>
        <w:jc w:val="both"/>
        <w:rPr>
          <w:rFonts w:ascii="Times New Roman" w:hAnsi="Times New Roman" w:cs="Times New Roman"/>
          <w:sz w:val="24"/>
          <w:szCs w:val="24"/>
          <w:highlight w:val="yellow"/>
        </w:rPr>
      </w:pPr>
      <w:r w:rsidRPr="00E542CE">
        <w:rPr>
          <w:rFonts w:ascii="Times New Roman" w:hAnsi="Times New Roman" w:cs="Times New Roman"/>
          <w:sz w:val="24"/>
          <w:szCs w:val="24"/>
          <w:highlight w:val="yellow"/>
        </w:rPr>
        <w:t xml:space="preserve">Beyond India, the </w:t>
      </w:r>
      <w:r w:rsidRPr="00E542CE">
        <w:rPr>
          <w:rFonts w:ascii="Times New Roman" w:hAnsi="Times New Roman" w:cs="Times New Roman"/>
          <w:b/>
          <w:bCs/>
          <w:sz w:val="24"/>
          <w:szCs w:val="24"/>
          <w:highlight w:val="yellow"/>
        </w:rPr>
        <w:t>Graduation Approach</w:t>
      </w:r>
      <w:r w:rsidRPr="00E542CE">
        <w:rPr>
          <w:rFonts w:ascii="Times New Roman" w:hAnsi="Times New Roman" w:cs="Times New Roman"/>
          <w:sz w:val="24"/>
          <w:szCs w:val="24"/>
          <w:highlight w:val="yellow"/>
        </w:rPr>
        <w:t xml:space="preserve"> pioneered by BRAC in Bangladesh represents a successful model of integrated poverty alleviation. This approach combines asset transfers, livelihood training, health services, savings support, and social integration over a defined period, with the goal of helping ultra-poor households “graduate” from extreme poverty to sustainable livelihoods. The model relies on collaboration among NGOs, microfinance institutions, health providers, and local governments. Evaluations of the program have demonstrated long-term positive impacts on income, food security, and household resilience (Banerjee et al., 2015; BRAC, 2021). Its adaptability has led to its implementation in several countries including Ethiopia, Pakistan, and Haiti, supported by institutions such as the World Bank and UNHCR.</w:t>
      </w:r>
    </w:p>
    <w:p w14:paraId="2A3BF5A7" w14:textId="77777777" w:rsidR="00E542CE" w:rsidRPr="00E542CE" w:rsidRDefault="00E542CE" w:rsidP="00E542CE">
      <w:pPr>
        <w:jc w:val="both"/>
        <w:rPr>
          <w:rFonts w:ascii="Times New Roman" w:hAnsi="Times New Roman" w:cs="Times New Roman"/>
          <w:sz w:val="24"/>
          <w:szCs w:val="24"/>
          <w:highlight w:val="yellow"/>
        </w:rPr>
      </w:pPr>
      <w:r w:rsidRPr="00E542CE">
        <w:rPr>
          <w:rFonts w:ascii="Times New Roman" w:hAnsi="Times New Roman" w:cs="Times New Roman"/>
          <w:sz w:val="24"/>
          <w:szCs w:val="24"/>
          <w:highlight w:val="yellow"/>
        </w:rPr>
        <w:t xml:space="preserve">In Ethiopia, a notable example is the government’s </w:t>
      </w:r>
      <w:r w:rsidRPr="00E542CE">
        <w:rPr>
          <w:rFonts w:ascii="Times New Roman" w:hAnsi="Times New Roman" w:cs="Times New Roman"/>
          <w:b/>
          <w:bCs/>
          <w:sz w:val="24"/>
          <w:szCs w:val="24"/>
          <w:highlight w:val="yellow"/>
        </w:rPr>
        <w:t>multisectoral nutrition strategy</w:t>
      </w:r>
      <w:r w:rsidRPr="00E542CE">
        <w:rPr>
          <w:rFonts w:ascii="Times New Roman" w:hAnsi="Times New Roman" w:cs="Times New Roman"/>
          <w:sz w:val="24"/>
          <w:szCs w:val="24"/>
          <w:highlight w:val="yellow"/>
        </w:rPr>
        <w:t>, which links health, agriculture, education, and social protection systems to improve child nutrition and reduce stunting. The strategy coordinates efforts across ministries and development partners, incorporating community health workers, school feeding programs, and agricultural extension services. Evidence suggests that this approach has contributed to improved child health outcomes and better service integration, particularly in rural areas (</w:t>
      </w:r>
      <w:proofErr w:type="spellStart"/>
      <w:r w:rsidRPr="00E542CE">
        <w:rPr>
          <w:rFonts w:ascii="Times New Roman" w:hAnsi="Times New Roman" w:cs="Times New Roman"/>
          <w:sz w:val="24"/>
          <w:szCs w:val="24"/>
          <w:highlight w:val="yellow"/>
        </w:rPr>
        <w:t>Ruducha</w:t>
      </w:r>
      <w:proofErr w:type="spellEnd"/>
      <w:r w:rsidRPr="00E542CE">
        <w:rPr>
          <w:rFonts w:ascii="Times New Roman" w:hAnsi="Times New Roman" w:cs="Times New Roman"/>
          <w:sz w:val="24"/>
          <w:szCs w:val="24"/>
          <w:highlight w:val="yellow"/>
        </w:rPr>
        <w:t xml:space="preserve"> et al., 2017; Bach et al., 2020).</w:t>
      </w:r>
    </w:p>
    <w:p w14:paraId="594BD7EA" w14:textId="77777777" w:rsidR="00E542CE" w:rsidRPr="00E542CE" w:rsidRDefault="00E542CE" w:rsidP="00E542CE">
      <w:pPr>
        <w:jc w:val="both"/>
        <w:rPr>
          <w:rFonts w:ascii="Times New Roman" w:hAnsi="Times New Roman" w:cs="Times New Roman"/>
          <w:sz w:val="24"/>
          <w:szCs w:val="24"/>
          <w:highlight w:val="yellow"/>
        </w:rPr>
      </w:pPr>
      <w:r w:rsidRPr="00E542CE">
        <w:rPr>
          <w:rFonts w:ascii="Times New Roman" w:hAnsi="Times New Roman" w:cs="Times New Roman"/>
          <w:sz w:val="24"/>
          <w:szCs w:val="24"/>
          <w:highlight w:val="yellow"/>
        </w:rPr>
        <w:t xml:space="preserve">Another illustrative case is the use of </w:t>
      </w:r>
      <w:r w:rsidRPr="00E542CE">
        <w:rPr>
          <w:rFonts w:ascii="Times New Roman" w:hAnsi="Times New Roman" w:cs="Times New Roman"/>
          <w:b/>
          <w:bCs/>
          <w:sz w:val="24"/>
          <w:szCs w:val="24"/>
          <w:highlight w:val="yellow"/>
        </w:rPr>
        <w:t>Development Impact Bonds (DIBs)</w:t>
      </w:r>
      <w:r w:rsidRPr="00E542CE">
        <w:rPr>
          <w:rFonts w:ascii="Times New Roman" w:hAnsi="Times New Roman" w:cs="Times New Roman"/>
          <w:sz w:val="24"/>
          <w:szCs w:val="24"/>
          <w:highlight w:val="yellow"/>
        </w:rPr>
        <w:t xml:space="preserve"> in Rajasthan, India. The DIB implemented by Educate Girls in partnership with UBS Optimus Foundation and the Children’s Investment Fund Foundation sought to improve learning outcomes and enrolment for out-of-school girls. The model involved clear roles for private investors, implementation NGOs, and outcome evaluators, with payments linked to measurable results. The program achieved remarkable success, enrolling over 90% of targeted out-of-school girls and exceeding learning improvement targets (Gustafsson-Wright et al., 2017).</w:t>
      </w:r>
    </w:p>
    <w:p w14:paraId="4DA71A74" w14:textId="77777777" w:rsidR="00E542CE" w:rsidRPr="00E542CE" w:rsidRDefault="00E542CE" w:rsidP="00E542CE">
      <w:pPr>
        <w:jc w:val="both"/>
        <w:rPr>
          <w:rFonts w:ascii="Times New Roman" w:hAnsi="Times New Roman" w:cs="Times New Roman"/>
          <w:sz w:val="24"/>
          <w:szCs w:val="24"/>
          <w:highlight w:val="yellow"/>
        </w:rPr>
      </w:pPr>
      <w:r w:rsidRPr="00E542CE">
        <w:rPr>
          <w:rFonts w:ascii="Times New Roman" w:hAnsi="Times New Roman" w:cs="Times New Roman"/>
          <w:sz w:val="24"/>
          <w:szCs w:val="24"/>
          <w:highlight w:val="yellow"/>
        </w:rPr>
        <w:lastRenderedPageBreak/>
        <w:t xml:space="preserve">From a policy infrastructure perspective, </w:t>
      </w:r>
      <w:r w:rsidRPr="00E542CE">
        <w:rPr>
          <w:rFonts w:ascii="Times New Roman" w:hAnsi="Times New Roman" w:cs="Times New Roman"/>
          <w:b/>
          <w:bCs/>
          <w:sz w:val="24"/>
          <w:szCs w:val="24"/>
          <w:highlight w:val="yellow"/>
        </w:rPr>
        <w:t>Colombia’s Multidimensional Poverty Index (MPI)</w:t>
      </w:r>
      <w:r w:rsidRPr="00E542CE">
        <w:rPr>
          <w:rFonts w:ascii="Times New Roman" w:hAnsi="Times New Roman" w:cs="Times New Roman"/>
          <w:sz w:val="24"/>
          <w:szCs w:val="24"/>
          <w:highlight w:val="yellow"/>
        </w:rPr>
        <w:t xml:space="preserve"> has become a cornerstone for multisectoral policy formulation. The MPI informs public spending by identifying overlapping deprivations in education, health, employment, and living standards. Through this data-driven and participatory approach, Colombia has been able to align sectoral programs and target interventions more effectively. The MPI has also influenced poverty governance frameworks in other Latin American countries (Angulo, 2016).</w:t>
      </w:r>
    </w:p>
    <w:p w14:paraId="1F522C3C" w14:textId="67423539" w:rsidR="0037670F" w:rsidRPr="00C71691" w:rsidRDefault="00E542CE" w:rsidP="000F16E1">
      <w:pPr>
        <w:jc w:val="both"/>
        <w:rPr>
          <w:rFonts w:ascii="Times New Roman" w:hAnsi="Times New Roman" w:cs="Times New Roman"/>
          <w:sz w:val="24"/>
          <w:szCs w:val="24"/>
          <w:highlight w:val="yellow"/>
        </w:rPr>
      </w:pPr>
      <w:r w:rsidRPr="00E542CE">
        <w:rPr>
          <w:rFonts w:ascii="Times New Roman" w:hAnsi="Times New Roman" w:cs="Times New Roman"/>
          <w:sz w:val="24"/>
          <w:szCs w:val="24"/>
          <w:highlight w:val="yellow"/>
        </w:rPr>
        <w:t>These diverse examples collectively highlight that no single sector or institution holds the capacity to eradicate poverty in isolation. Rather, impactful change emerges from strategic collaboration that aligns resources, responsibilities, and results. Whether driven by grassroots mobilization, data systems, financial innovation, or policy integration, these case studies illustrate the transformative potential of multisectoral partnerships when they are grounded in local realities and governed through inclusive mechanisms.</w:t>
      </w:r>
    </w:p>
    <w:p w14:paraId="6D4DDFCE" w14:textId="47AADF21" w:rsidR="006F2D03" w:rsidRPr="00C71691" w:rsidRDefault="006F2D03" w:rsidP="006F2D03">
      <w:pPr>
        <w:spacing w:line="240" w:lineRule="auto"/>
        <w:jc w:val="both"/>
        <w:rPr>
          <w:rFonts w:ascii="Times New Roman" w:hAnsi="Times New Roman" w:cs="Times New Roman"/>
          <w:b/>
          <w:bCs/>
          <w:sz w:val="24"/>
          <w:szCs w:val="24"/>
          <w:highlight w:val="yellow"/>
          <w:lang w:eastAsia="en-IN" w:bidi="hi-IN"/>
        </w:rPr>
      </w:pPr>
      <w:r w:rsidRPr="00C71691">
        <w:rPr>
          <w:rFonts w:ascii="Times New Roman" w:hAnsi="Times New Roman" w:cs="Times New Roman"/>
          <w:b/>
          <w:bCs/>
          <w:sz w:val="24"/>
          <w:szCs w:val="24"/>
          <w:highlight w:val="yellow"/>
          <w:lang w:eastAsia="en-IN" w:bidi="hi-IN"/>
        </w:rPr>
        <w:t>Challenges in Multisectoral Collaborations</w:t>
      </w:r>
    </w:p>
    <w:p w14:paraId="03D3C753" w14:textId="5DBA9424" w:rsidR="0023779E" w:rsidRPr="0023779E" w:rsidRDefault="0023779E" w:rsidP="0023779E">
      <w:pPr>
        <w:jc w:val="both"/>
        <w:rPr>
          <w:rFonts w:ascii="Times New Roman" w:hAnsi="Times New Roman" w:cs="Times New Roman"/>
          <w:sz w:val="24"/>
          <w:szCs w:val="24"/>
          <w:highlight w:val="yellow"/>
        </w:rPr>
      </w:pPr>
      <w:r w:rsidRPr="0023779E">
        <w:rPr>
          <w:rFonts w:ascii="Times New Roman" w:hAnsi="Times New Roman" w:cs="Times New Roman"/>
          <w:sz w:val="24"/>
          <w:szCs w:val="24"/>
          <w:highlight w:val="yellow"/>
        </w:rPr>
        <w:t xml:space="preserve">While multisectoral partnerships offer a promising framework for addressing the complex and interlinked dimensions of poverty, their implementation is often hindered by a range of structural, institutional, and operational challenges. </w:t>
      </w:r>
      <w:r w:rsidR="00FD268C" w:rsidRPr="00FD268C">
        <w:rPr>
          <w:rFonts w:ascii="Times New Roman" w:hAnsi="Times New Roman" w:cs="Times New Roman"/>
          <w:sz w:val="24"/>
          <w:szCs w:val="24"/>
          <w:highlight w:val="yellow"/>
        </w:rPr>
        <w:t>The World Bank (2022) emphasizes that poverty reduction is increasingly constrained by macroeconomic shocks, policy fragmentation, and unequal access to services</w:t>
      </w:r>
      <w:r w:rsidR="00FD268C">
        <w:rPr>
          <w:rFonts w:ascii="Times New Roman" w:hAnsi="Times New Roman" w:cs="Times New Roman"/>
          <w:sz w:val="24"/>
          <w:szCs w:val="24"/>
          <w:highlight w:val="yellow"/>
        </w:rPr>
        <w:t xml:space="preserve">, </w:t>
      </w:r>
      <w:r w:rsidR="00FD268C" w:rsidRPr="00FD268C">
        <w:rPr>
          <w:rFonts w:ascii="Times New Roman" w:hAnsi="Times New Roman" w:cs="Times New Roman"/>
          <w:sz w:val="24"/>
          <w:szCs w:val="24"/>
          <w:highlight w:val="yellow"/>
        </w:rPr>
        <w:t>factors that multisectoral strategies must address with systemic coordination.</w:t>
      </w:r>
      <w:r w:rsidR="00FD268C">
        <w:rPr>
          <w:rFonts w:ascii="Times New Roman" w:hAnsi="Times New Roman" w:cs="Times New Roman"/>
          <w:sz w:val="24"/>
          <w:szCs w:val="24"/>
          <w:highlight w:val="yellow"/>
        </w:rPr>
        <w:t xml:space="preserve"> </w:t>
      </w:r>
      <w:r w:rsidRPr="0023779E">
        <w:rPr>
          <w:rFonts w:ascii="Times New Roman" w:hAnsi="Times New Roman" w:cs="Times New Roman"/>
          <w:sz w:val="24"/>
          <w:szCs w:val="24"/>
          <w:highlight w:val="yellow"/>
        </w:rPr>
        <w:t>These challenges reflect the difficulties inherent in coordinating diverse actors with different mandates, capacities, and institutional cultures. Without deliberate mechanisms to mitigate these constraints, such collaborations may remain fragmented, inequitable, or unsustainable.</w:t>
      </w:r>
    </w:p>
    <w:p w14:paraId="6E92724C" w14:textId="77777777" w:rsidR="0023779E" w:rsidRPr="0023779E" w:rsidRDefault="0023779E" w:rsidP="0023779E">
      <w:pPr>
        <w:jc w:val="both"/>
        <w:rPr>
          <w:rFonts w:ascii="Times New Roman" w:hAnsi="Times New Roman" w:cs="Times New Roman"/>
          <w:sz w:val="24"/>
          <w:szCs w:val="24"/>
          <w:highlight w:val="yellow"/>
        </w:rPr>
      </w:pPr>
      <w:r w:rsidRPr="0023779E">
        <w:rPr>
          <w:rFonts w:ascii="Times New Roman" w:hAnsi="Times New Roman" w:cs="Times New Roman"/>
          <w:sz w:val="24"/>
          <w:szCs w:val="24"/>
          <w:highlight w:val="yellow"/>
        </w:rPr>
        <w:t xml:space="preserve">A major impediment to effective cross-sectoral collaboration is </w:t>
      </w:r>
      <w:r w:rsidRPr="0023779E">
        <w:rPr>
          <w:rFonts w:ascii="Times New Roman" w:hAnsi="Times New Roman" w:cs="Times New Roman"/>
          <w:b/>
          <w:bCs/>
          <w:sz w:val="24"/>
          <w:szCs w:val="24"/>
          <w:highlight w:val="yellow"/>
        </w:rPr>
        <w:t>institutional fragmentation and policy incoherence</w:t>
      </w:r>
      <w:r w:rsidRPr="0023779E">
        <w:rPr>
          <w:rFonts w:ascii="Times New Roman" w:hAnsi="Times New Roman" w:cs="Times New Roman"/>
          <w:sz w:val="24"/>
          <w:szCs w:val="24"/>
          <w:highlight w:val="yellow"/>
        </w:rPr>
        <w:t>. Government departments and implementing agencies frequently operate in silos, resulting in overlapping mandates, fragmented service delivery, and poor inter-agency coordination. For example, multiple poverty alleviation schemes in India often lack integrated planning, leading to duplication of efforts and inconsistent outcomes (</w:t>
      </w:r>
      <w:proofErr w:type="spellStart"/>
      <w:r w:rsidRPr="0023779E">
        <w:rPr>
          <w:rFonts w:ascii="Times New Roman" w:hAnsi="Times New Roman" w:cs="Times New Roman"/>
          <w:sz w:val="24"/>
          <w:szCs w:val="24"/>
          <w:highlight w:val="yellow"/>
        </w:rPr>
        <w:t>Kandpal</w:t>
      </w:r>
      <w:proofErr w:type="spellEnd"/>
      <w:r w:rsidRPr="0023779E">
        <w:rPr>
          <w:rFonts w:ascii="Times New Roman" w:hAnsi="Times New Roman" w:cs="Times New Roman"/>
          <w:sz w:val="24"/>
          <w:szCs w:val="24"/>
          <w:highlight w:val="yellow"/>
        </w:rPr>
        <w:t xml:space="preserve"> et al., 2024). The absence of a unified policy framework prevents the convergence of objectives and impedes the development of comprehensive poverty reduction strategies.</w:t>
      </w:r>
    </w:p>
    <w:p w14:paraId="0337C1D4" w14:textId="6E9EDFB6" w:rsidR="0023779E" w:rsidRPr="0023779E" w:rsidRDefault="0023779E" w:rsidP="0023779E">
      <w:pPr>
        <w:jc w:val="both"/>
        <w:rPr>
          <w:rFonts w:ascii="Times New Roman" w:hAnsi="Times New Roman" w:cs="Times New Roman"/>
          <w:sz w:val="24"/>
          <w:szCs w:val="24"/>
          <w:highlight w:val="yellow"/>
        </w:rPr>
      </w:pPr>
      <w:r w:rsidRPr="0023779E">
        <w:rPr>
          <w:rFonts w:ascii="Times New Roman" w:hAnsi="Times New Roman" w:cs="Times New Roman"/>
          <w:b/>
          <w:bCs/>
          <w:sz w:val="24"/>
          <w:szCs w:val="24"/>
          <w:highlight w:val="yellow"/>
        </w:rPr>
        <w:t>Power asymmetries and unequal participation</w:t>
      </w:r>
      <w:r w:rsidRPr="0023779E">
        <w:rPr>
          <w:rFonts w:ascii="Times New Roman" w:hAnsi="Times New Roman" w:cs="Times New Roman"/>
          <w:sz w:val="24"/>
          <w:szCs w:val="24"/>
          <w:highlight w:val="yellow"/>
        </w:rPr>
        <w:t xml:space="preserve"> also challenge the legitimacy and inclusivity of multisectoral partnerships. Dominant stakeholders</w:t>
      </w:r>
      <w:r w:rsidR="003B298B" w:rsidRPr="00C71691">
        <w:rPr>
          <w:rFonts w:ascii="Times New Roman" w:hAnsi="Times New Roman" w:cs="Times New Roman"/>
          <w:sz w:val="24"/>
          <w:szCs w:val="24"/>
          <w:highlight w:val="yellow"/>
        </w:rPr>
        <w:t xml:space="preserve">, </w:t>
      </w:r>
      <w:r w:rsidRPr="0023779E">
        <w:rPr>
          <w:rFonts w:ascii="Times New Roman" w:hAnsi="Times New Roman" w:cs="Times New Roman"/>
          <w:sz w:val="24"/>
          <w:szCs w:val="24"/>
          <w:highlight w:val="yellow"/>
        </w:rPr>
        <w:t>particularly from government or corporate sectors</w:t>
      </w:r>
      <w:r w:rsidR="003B298B" w:rsidRPr="00C71691">
        <w:rPr>
          <w:rFonts w:ascii="Times New Roman" w:hAnsi="Times New Roman" w:cs="Times New Roman"/>
          <w:sz w:val="24"/>
          <w:szCs w:val="24"/>
          <w:highlight w:val="yellow"/>
        </w:rPr>
        <w:t xml:space="preserve">, </w:t>
      </w:r>
      <w:r w:rsidRPr="0023779E">
        <w:rPr>
          <w:rFonts w:ascii="Times New Roman" w:hAnsi="Times New Roman" w:cs="Times New Roman"/>
          <w:sz w:val="24"/>
          <w:szCs w:val="24"/>
          <w:highlight w:val="yellow"/>
        </w:rPr>
        <w:t>may steer the agenda in ways that marginalize community-based organizations or grassroots actors. Civil society groups, especially in rural or under-resourced areas, often lack the political capital or financial leverage to influence program design or policy dialogue (</w:t>
      </w:r>
      <w:proofErr w:type="spellStart"/>
      <w:r w:rsidRPr="0023779E">
        <w:rPr>
          <w:rFonts w:ascii="Times New Roman" w:hAnsi="Times New Roman" w:cs="Times New Roman"/>
          <w:sz w:val="24"/>
          <w:szCs w:val="24"/>
          <w:highlight w:val="yellow"/>
        </w:rPr>
        <w:t>Aivalli</w:t>
      </w:r>
      <w:proofErr w:type="spellEnd"/>
      <w:r w:rsidRPr="0023779E">
        <w:rPr>
          <w:rFonts w:ascii="Times New Roman" w:hAnsi="Times New Roman" w:cs="Times New Roman"/>
          <w:sz w:val="24"/>
          <w:szCs w:val="24"/>
          <w:highlight w:val="yellow"/>
        </w:rPr>
        <w:t xml:space="preserve"> et al., 2025). As a result, the perspectives of those most affected by poverty may be underrepresented in decision-making processes.</w:t>
      </w:r>
    </w:p>
    <w:p w14:paraId="0D138B01" w14:textId="77777777" w:rsidR="0023779E" w:rsidRPr="0023779E" w:rsidRDefault="0023779E" w:rsidP="0023779E">
      <w:pPr>
        <w:jc w:val="both"/>
        <w:rPr>
          <w:rFonts w:ascii="Times New Roman" w:hAnsi="Times New Roman" w:cs="Times New Roman"/>
          <w:sz w:val="24"/>
          <w:szCs w:val="24"/>
          <w:highlight w:val="yellow"/>
        </w:rPr>
      </w:pPr>
      <w:r w:rsidRPr="0023779E">
        <w:rPr>
          <w:rFonts w:ascii="Times New Roman" w:hAnsi="Times New Roman" w:cs="Times New Roman"/>
          <w:sz w:val="24"/>
          <w:szCs w:val="24"/>
          <w:highlight w:val="yellow"/>
        </w:rPr>
        <w:t xml:space="preserve">Another persistent barrier is the </w:t>
      </w:r>
      <w:r w:rsidRPr="0023779E">
        <w:rPr>
          <w:rFonts w:ascii="Times New Roman" w:hAnsi="Times New Roman" w:cs="Times New Roman"/>
          <w:b/>
          <w:bCs/>
          <w:sz w:val="24"/>
          <w:szCs w:val="24"/>
          <w:highlight w:val="yellow"/>
        </w:rPr>
        <w:t>diffusion of accountability and weak governance structures</w:t>
      </w:r>
      <w:r w:rsidRPr="0023779E">
        <w:rPr>
          <w:rFonts w:ascii="Times New Roman" w:hAnsi="Times New Roman" w:cs="Times New Roman"/>
          <w:sz w:val="24"/>
          <w:szCs w:val="24"/>
          <w:highlight w:val="yellow"/>
        </w:rPr>
        <w:t>. In multisectoral settings, where multiple actors share overlapping responsibilities, it becomes difficult to determine who is answerable for specific outcomes. Blurred lines of accountability, inadequate monitoring and evaluation (M&amp;E) systems, and limited transparency in reporting practices can erode mutual trust and reduce long-term effectiveness (Bäckstrand, 2006). Clear governance arrangements are therefore essential to ensure that roles are defined, progress is tracked, and corrective action can be taken when needed.</w:t>
      </w:r>
    </w:p>
    <w:p w14:paraId="41C8668E" w14:textId="77777777" w:rsidR="0023779E" w:rsidRPr="0023779E" w:rsidRDefault="0023779E" w:rsidP="0023779E">
      <w:pPr>
        <w:jc w:val="both"/>
        <w:rPr>
          <w:rFonts w:ascii="Times New Roman" w:hAnsi="Times New Roman" w:cs="Times New Roman"/>
          <w:sz w:val="24"/>
          <w:szCs w:val="24"/>
          <w:highlight w:val="yellow"/>
        </w:rPr>
      </w:pPr>
      <w:r w:rsidRPr="0023779E">
        <w:rPr>
          <w:rFonts w:ascii="Times New Roman" w:hAnsi="Times New Roman" w:cs="Times New Roman"/>
          <w:b/>
          <w:bCs/>
          <w:sz w:val="24"/>
          <w:szCs w:val="24"/>
          <w:highlight w:val="yellow"/>
        </w:rPr>
        <w:lastRenderedPageBreak/>
        <w:t>Resource disparities and financial asymmetries</w:t>
      </w:r>
      <w:r w:rsidRPr="0023779E">
        <w:rPr>
          <w:rFonts w:ascii="Times New Roman" w:hAnsi="Times New Roman" w:cs="Times New Roman"/>
          <w:sz w:val="24"/>
          <w:szCs w:val="24"/>
          <w:highlight w:val="yellow"/>
        </w:rPr>
        <w:t xml:space="preserve"> among stakeholders further complicate collaborative engagement. While government agencies and private corporations may have access to stable funding and infrastructure, civil society organizations often operate on short-term donor funding, with limited administrative and technological capacity (McDonough &amp; Rodríguez, 2020). This imbalance can hinder equitable participation and obstruct the joint ownership of interventions. Without efforts to level the playing field, the distribution of benefits may also remain unequal.</w:t>
      </w:r>
    </w:p>
    <w:p w14:paraId="4013211B" w14:textId="391E0C6B" w:rsidR="0023779E" w:rsidRPr="0023779E" w:rsidRDefault="0023779E" w:rsidP="0023779E">
      <w:pPr>
        <w:jc w:val="both"/>
        <w:rPr>
          <w:rFonts w:ascii="Times New Roman" w:hAnsi="Times New Roman" w:cs="Times New Roman"/>
          <w:sz w:val="24"/>
          <w:szCs w:val="24"/>
          <w:highlight w:val="yellow"/>
        </w:rPr>
      </w:pPr>
      <w:r w:rsidRPr="0023779E">
        <w:rPr>
          <w:rFonts w:ascii="Times New Roman" w:hAnsi="Times New Roman" w:cs="Times New Roman"/>
          <w:b/>
          <w:bCs/>
          <w:sz w:val="24"/>
          <w:szCs w:val="24"/>
          <w:highlight w:val="yellow"/>
        </w:rPr>
        <w:t>Cultural and ideological misalignments</w:t>
      </w:r>
      <w:r w:rsidRPr="0023779E">
        <w:rPr>
          <w:rFonts w:ascii="Times New Roman" w:hAnsi="Times New Roman" w:cs="Times New Roman"/>
          <w:sz w:val="24"/>
          <w:szCs w:val="24"/>
          <w:highlight w:val="yellow"/>
        </w:rPr>
        <w:t xml:space="preserve"> between sectors can disrupt the flow of collaboration. Each sector</w:t>
      </w:r>
      <w:r w:rsidR="003B298B" w:rsidRPr="00C71691">
        <w:rPr>
          <w:rFonts w:ascii="Times New Roman" w:hAnsi="Times New Roman" w:cs="Times New Roman"/>
          <w:sz w:val="24"/>
          <w:szCs w:val="24"/>
          <w:highlight w:val="yellow"/>
        </w:rPr>
        <w:t xml:space="preserve">, </w:t>
      </w:r>
      <w:r w:rsidRPr="0023779E">
        <w:rPr>
          <w:rFonts w:ascii="Times New Roman" w:hAnsi="Times New Roman" w:cs="Times New Roman"/>
          <w:sz w:val="24"/>
          <w:szCs w:val="24"/>
          <w:highlight w:val="yellow"/>
        </w:rPr>
        <w:t>public, private, and civil society</w:t>
      </w:r>
      <w:r w:rsidR="003B298B" w:rsidRPr="00C71691">
        <w:rPr>
          <w:rFonts w:ascii="Times New Roman" w:hAnsi="Times New Roman" w:cs="Times New Roman"/>
          <w:sz w:val="24"/>
          <w:szCs w:val="24"/>
          <w:highlight w:val="yellow"/>
        </w:rPr>
        <w:t xml:space="preserve">, </w:t>
      </w:r>
      <w:r w:rsidRPr="0023779E">
        <w:rPr>
          <w:rFonts w:ascii="Times New Roman" w:hAnsi="Times New Roman" w:cs="Times New Roman"/>
          <w:sz w:val="24"/>
          <w:szCs w:val="24"/>
          <w:highlight w:val="yellow"/>
        </w:rPr>
        <w:t>has its own operating norms, institutional logic, and definitions of success. Public institutions tend to be bureaucratic and protocol-driven; private enterprises are often motivated by efficiency and performance outcomes; while civil society groups emphasize rights-based approaches and participatory processes (Weare et al., 2014). These differences can lead to conflicting expectations, delays in decision-making, and resistance to adaptation.</w:t>
      </w:r>
    </w:p>
    <w:p w14:paraId="70667107" w14:textId="7B370D9B" w:rsidR="006F2D03" w:rsidRPr="00C71691" w:rsidRDefault="0023779E" w:rsidP="009C6E37">
      <w:pPr>
        <w:jc w:val="both"/>
        <w:rPr>
          <w:rFonts w:ascii="Times New Roman" w:hAnsi="Times New Roman" w:cs="Times New Roman"/>
          <w:sz w:val="24"/>
          <w:szCs w:val="24"/>
          <w:highlight w:val="yellow"/>
        </w:rPr>
      </w:pPr>
      <w:r w:rsidRPr="0023779E">
        <w:rPr>
          <w:rFonts w:ascii="Times New Roman" w:hAnsi="Times New Roman" w:cs="Times New Roman"/>
          <w:sz w:val="24"/>
          <w:szCs w:val="24"/>
          <w:highlight w:val="yellow"/>
        </w:rPr>
        <w:t xml:space="preserve">Finally, the issue of </w:t>
      </w:r>
      <w:r w:rsidRPr="0023779E">
        <w:rPr>
          <w:rFonts w:ascii="Times New Roman" w:hAnsi="Times New Roman" w:cs="Times New Roman"/>
          <w:b/>
          <w:bCs/>
          <w:sz w:val="24"/>
          <w:szCs w:val="24"/>
          <w:highlight w:val="yellow"/>
        </w:rPr>
        <w:t>sustainability and exit strategies</w:t>
      </w:r>
      <w:r w:rsidRPr="0023779E">
        <w:rPr>
          <w:rFonts w:ascii="Times New Roman" w:hAnsi="Times New Roman" w:cs="Times New Roman"/>
          <w:sz w:val="24"/>
          <w:szCs w:val="24"/>
          <w:highlight w:val="yellow"/>
        </w:rPr>
        <w:t xml:space="preserve"> poses a long-term challenge for multisectoral initiatives. Many collaborative projects are initiated under specific political administrations or donor frameworks, which may lack continuity or resilience in the face of changing leadership or funding cycles. Programs without embedded institutional mechanisms or community ownership risk being dismantled once external support wanes (</w:t>
      </w:r>
      <w:proofErr w:type="spellStart"/>
      <w:r w:rsidRPr="0023779E">
        <w:rPr>
          <w:rFonts w:ascii="Times New Roman" w:hAnsi="Times New Roman" w:cs="Times New Roman"/>
          <w:sz w:val="24"/>
          <w:szCs w:val="24"/>
          <w:highlight w:val="yellow"/>
        </w:rPr>
        <w:t>Greijn</w:t>
      </w:r>
      <w:proofErr w:type="spellEnd"/>
      <w:r w:rsidR="00926024" w:rsidRPr="00C71691">
        <w:rPr>
          <w:rFonts w:ascii="Times New Roman" w:hAnsi="Times New Roman" w:cs="Times New Roman"/>
          <w:sz w:val="24"/>
          <w:szCs w:val="24"/>
          <w:highlight w:val="yellow"/>
        </w:rPr>
        <w:t xml:space="preserve"> et al.</w:t>
      </w:r>
      <w:r w:rsidRPr="0023779E">
        <w:rPr>
          <w:rFonts w:ascii="Times New Roman" w:hAnsi="Times New Roman" w:cs="Times New Roman"/>
          <w:sz w:val="24"/>
          <w:szCs w:val="24"/>
          <w:highlight w:val="yellow"/>
        </w:rPr>
        <w:t>, 2015). A failure to design long-term sustainability plans can thus reverse developmental gains and weaken public trust in multisectoral approaches.</w:t>
      </w:r>
    </w:p>
    <w:p w14:paraId="5D78B42C" w14:textId="7DA9650B" w:rsidR="00C51CEE" w:rsidRPr="00C71691" w:rsidRDefault="00C51CEE" w:rsidP="00C51CEE">
      <w:pPr>
        <w:spacing w:line="240" w:lineRule="auto"/>
        <w:jc w:val="both"/>
        <w:rPr>
          <w:rFonts w:ascii="Times New Roman" w:hAnsi="Times New Roman" w:cs="Times New Roman"/>
          <w:b/>
          <w:bCs/>
          <w:sz w:val="24"/>
          <w:szCs w:val="24"/>
          <w:highlight w:val="yellow"/>
          <w:lang w:eastAsia="en-IN" w:bidi="hi-IN"/>
        </w:rPr>
      </w:pPr>
      <w:r w:rsidRPr="00C71691">
        <w:rPr>
          <w:rFonts w:ascii="Times New Roman" w:hAnsi="Times New Roman" w:cs="Times New Roman"/>
          <w:b/>
          <w:bCs/>
          <w:sz w:val="24"/>
          <w:szCs w:val="24"/>
          <w:highlight w:val="yellow"/>
          <w:lang w:eastAsia="en-IN" w:bidi="hi-IN"/>
        </w:rPr>
        <w:t>Policy Recommendations</w:t>
      </w:r>
    </w:p>
    <w:p w14:paraId="2AE1112C" w14:textId="77777777" w:rsidR="00F146ED" w:rsidRPr="00F146ED" w:rsidRDefault="00F146ED" w:rsidP="00F146ED">
      <w:pPr>
        <w:spacing w:line="240" w:lineRule="auto"/>
        <w:jc w:val="both"/>
        <w:rPr>
          <w:rFonts w:ascii="Times New Roman" w:hAnsi="Times New Roman" w:cs="Times New Roman"/>
          <w:sz w:val="24"/>
          <w:szCs w:val="24"/>
          <w:highlight w:val="yellow"/>
          <w:lang w:eastAsia="en-IN" w:bidi="hi-IN"/>
        </w:rPr>
      </w:pPr>
      <w:r w:rsidRPr="00F146ED">
        <w:rPr>
          <w:rFonts w:ascii="Times New Roman" w:hAnsi="Times New Roman" w:cs="Times New Roman"/>
          <w:sz w:val="24"/>
          <w:szCs w:val="24"/>
          <w:highlight w:val="yellow"/>
          <w:lang w:eastAsia="en-IN" w:bidi="hi-IN"/>
        </w:rPr>
        <w:t>To fully harness the potential of multisectoral partnerships in poverty alleviation, a set of integrated and context-responsive policy actions is essential. These recommendations aim to enhance institutional coordination, promote inclusive governance, and embed sustainability into cross-sectoral strategies aligned with SDG 1.</w:t>
      </w:r>
    </w:p>
    <w:p w14:paraId="175C7E4F" w14:textId="3EE4F370" w:rsidR="00F146ED" w:rsidRPr="00F146ED" w:rsidRDefault="00F146ED" w:rsidP="00F146ED">
      <w:pPr>
        <w:spacing w:line="240" w:lineRule="auto"/>
        <w:jc w:val="both"/>
        <w:rPr>
          <w:rFonts w:ascii="Times New Roman" w:hAnsi="Times New Roman" w:cs="Times New Roman"/>
          <w:sz w:val="24"/>
          <w:szCs w:val="24"/>
          <w:highlight w:val="yellow"/>
          <w:lang w:eastAsia="en-IN" w:bidi="hi-IN"/>
        </w:rPr>
      </w:pPr>
      <w:r w:rsidRPr="00F146ED">
        <w:rPr>
          <w:rFonts w:ascii="Times New Roman" w:hAnsi="Times New Roman" w:cs="Times New Roman"/>
          <w:sz w:val="24"/>
          <w:szCs w:val="24"/>
          <w:highlight w:val="yellow"/>
          <w:lang w:eastAsia="en-IN" w:bidi="hi-IN"/>
        </w:rPr>
        <w:t xml:space="preserve">First, governments at national, state, and local levels should </w:t>
      </w:r>
      <w:r w:rsidRPr="00F146ED">
        <w:rPr>
          <w:rFonts w:ascii="Times New Roman" w:hAnsi="Times New Roman" w:cs="Times New Roman"/>
          <w:b/>
          <w:bCs/>
          <w:sz w:val="24"/>
          <w:szCs w:val="24"/>
          <w:highlight w:val="yellow"/>
          <w:lang w:eastAsia="en-IN" w:bidi="hi-IN"/>
        </w:rPr>
        <w:t>institutionalize multisectoral governance mechanisms</w:t>
      </w:r>
      <w:r w:rsidRPr="00F146ED">
        <w:rPr>
          <w:rFonts w:ascii="Times New Roman" w:hAnsi="Times New Roman" w:cs="Times New Roman"/>
          <w:sz w:val="24"/>
          <w:szCs w:val="24"/>
          <w:highlight w:val="yellow"/>
          <w:lang w:eastAsia="en-IN" w:bidi="hi-IN"/>
        </w:rPr>
        <w:t>. This includes establishing formal inter-sectoral coordination bodies with defined mandates, roles, and representation from government agencies, civil society, academia, and the private sector. Integrating poverty reduction objectives into the planning processes of diverse ministries</w:t>
      </w:r>
      <w:r w:rsidRPr="00C71691">
        <w:rPr>
          <w:rFonts w:ascii="Times New Roman" w:hAnsi="Times New Roman" w:cs="Times New Roman"/>
          <w:sz w:val="24"/>
          <w:szCs w:val="24"/>
          <w:highlight w:val="yellow"/>
          <w:lang w:eastAsia="en-IN" w:bidi="hi-IN"/>
        </w:rPr>
        <w:t xml:space="preserve">, </w:t>
      </w:r>
      <w:r w:rsidRPr="00F146ED">
        <w:rPr>
          <w:rFonts w:ascii="Times New Roman" w:hAnsi="Times New Roman" w:cs="Times New Roman"/>
          <w:sz w:val="24"/>
          <w:szCs w:val="24"/>
          <w:highlight w:val="yellow"/>
          <w:lang w:eastAsia="en-IN" w:bidi="hi-IN"/>
        </w:rPr>
        <w:t>such as health, education, finance, and rural development</w:t>
      </w:r>
      <w:r w:rsidRPr="00C71691">
        <w:rPr>
          <w:rFonts w:ascii="Times New Roman" w:hAnsi="Times New Roman" w:cs="Times New Roman"/>
          <w:sz w:val="24"/>
          <w:szCs w:val="24"/>
          <w:highlight w:val="yellow"/>
          <w:lang w:eastAsia="en-IN" w:bidi="hi-IN"/>
        </w:rPr>
        <w:t xml:space="preserve">, </w:t>
      </w:r>
      <w:r w:rsidRPr="00F146ED">
        <w:rPr>
          <w:rFonts w:ascii="Times New Roman" w:hAnsi="Times New Roman" w:cs="Times New Roman"/>
          <w:sz w:val="24"/>
          <w:szCs w:val="24"/>
          <w:highlight w:val="yellow"/>
          <w:lang w:eastAsia="en-IN" w:bidi="hi-IN"/>
        </w:rPr>
        <w:t>can prevent fragmentation and promote synergy. Legal and regulatory frameworks that recognize and embed Public-Private-People Partnerships (4Ps) are also vital for ensuring shared responsibility and accountability.</w:t>
      </w:r>
    </w:p>
    <w:p w14:paraId="52664E73" w14:textId="77777777" w:rsidR="00F146ED" w:rsidRPr="00F146ED" w:rsidRDefault="00F146ED" w:rsidP="00F146ED">
      <w:pPr>
        <w:spacing w:line="240" w:lineRule="auto"/>
        <w:jc w:val="both"/>
        <w:rPr>
          <w:rFonts w:ascii="Times New Roman" w:hAnsi="Times New Roman" w:cs="Times New Roman"/>
          <w:sz w:val="24"/>
          <w:szCs w:val="24"/>
          <w:highlight w:val="yellow"/>
          <w:lang w:eastAsia="en-IN" w:bidi="hi-IN"/>
        </w:rPr>
      </w:pPr>
      <w:r w:rsidRPr="00F146ED">
        <w:rPr>
          <w:rFonts w:ascii="Times New Roman" w:hAnsi="Times New Roman" w:cs="Times New Roman"/>
          <w:sz w:val="24"/>
          <w:szCs w:val="24"/>
          <w:highlight w:val="yellow"/>
          <w:lang w:eastAsia="en-IN" w:bidi="hi-IN"/>
        </w:rPr>
        <w:t xml:space="preserve">Second, the development and implementation of </w:t>
      </w:r>
      <w:r w:rsidRPr="00F146ED">
        <w:rPr>
          <w:rFonts w:ascii="Times New Roman" w:hAnsi="Times New Roman" w:cs="Times New Roman"/>
          <w:b/>
          <w:bCs/>
          <w:sz w:val="24"/>
          <w:szCs w:val="24"/>
          <w:highlight w:val="yellow"/>
          <w:lang w:eastAsia="en-IN" w:bidi="hi-IN"/>
        </w:rPr>
        <w:t>unified monitoring and evaluation (M&amp;E) frameworks</w:t>
      </w:r>
      <w:r w:rsidRPr="00F146ED">
        <w:rPr>
          <w:rFonts w:ascii="Times New Roman" w:hAnsi="Times New Roman" w:cs="Times New Roman"/>
          <w:sz w:val="24"/>
          <w:szCs w:val="24"/>
          <w:highlight w:val="yellow"/>
          <w:lang w:eastAsia="en-IN" w:bidi="hi-IN"/>
        </w:rPr>
        <w:t xml:space="preserve"> are critical. Policymakers should promote standardized indicators and data systems that enable tracking of multisectoral interventions in real time. Integrated data dashboards can provide transparency and foster coordination, while third-party evaluations and participatory monitoring tools can ensure that feedback from marginalized communities informs program refinement. Moreover, moving beyond input-output metrics toward outcome and impact-based assessments can better capture long-term poverty alleviation gains.</w:t>
      </w:r>
    </w:p>
    <w:p w14:paraId="39DC82FF" w14:textId="77777777" w:rsidR="00F146ED" w:rsidRPr="00F146ED" w:rsidRDefault="00F146ED" w:rsidP="00F146ED">
      <w:pPr>
        <w:spacing w:line="240" w:lineRule="auto"/>
        <w:jc w:val="both"/>
        <w:rPr>
          <w:rFonts w:ascii="Times New Roman" w:hAnsi="Times New Roman" w:cs="Times New Roman"/>
          <w:sz w:val="24"/>
          <w:szCs w:val="24"/>
          <w:highlight w:val="yellow"/>
          <w:lang w:eastAsia="en-IN" w:bidi="hi-IN"/>
        </w:rPr>
      </w:pPr>
      <w:r w:rsidRPr="00F146ED">
        <w:rPr>
          <w:rFonts w:ascii="Times New Roman" w:hAnsi="Times New Roman" w:cs="Times New Roman"/>
          <w:sz w:val="24"/>
          <w:szCs w:val="24"/>
          <w:highlight w:val="yellow"/>
          <w:lang w:eastAsia="en-IN" w:bidi="hi-IN"/>
        </w:rPr>
        <w:t xml:space="preserve">Third, there is a pressing need to </w:t>
      </w:r>
      <w:r w:rsidRPr="00F146ED">
        <w:rPr>
          <w:rFonts w:ascii="Times New Roman" w:hAnsi="Times New Roman" w:cs="Times New Roman"/>
          <w:b/>
          <w:bCs/>
          <w:sz w:val="24"/>
          <w:szCs w:val="24"/>
          <w:highlight w:val="yellow"/>
          <w:lang w:eastAsia="en-IN" w:bidi="hi-IN"/>
        </w:rPr>
        <w:t>promote inclusive participation and local leadership</w:t>
      </w:r>
      <w:r w:rsidRPr="00F146ED">
        <w:rPr>
          <w:rFonts w:ascii="Times New Roman" w:hAnsi="Times New Roman" w:cs="Times New Roman"/>
          <w:sz w:val="24"/>
          <w:szCs w:val="24"/>
          <w:highlight w:val="yellow"/>
          <w:lang w:eastAsia="en-IN" w:bidi="hi-IN"/>
        </w:rPr>
        <w:t xml:space="preserve"> within multisectoral initiatives. Community-based organizations, women-led collectives, and grassroots movements must be meaningfully involved in planning, implementation, and </w:t>
      </w:r>
      <w:r w:rsidRPr="00F146ED">
        <w:rPr>
          <w:rFonts w:ascii="Times New Roman" w:hAnsi="Times New Roman" w:cs="Times New Roman"/>
          <w:sz w:val="24"/>
          <w:szCs w:val="24"/>
          <w:highlight w:val="yellow"/>
          <w:lang w:eastAsia="en-IN" w:bidi="hi-IN"/>
        </w:rPr>
        <w:lastRenderedPageBreak/>
        <w:t>monitoring. Establishing community advisory boards, mandating quotas for civil society representation in decision-making forums, and investing in the capacity building of local actors can ensure that interventions are grounded in lived realities and socio-cultural contexts.</w:t>
      </w:r>
    </w:p>
    <w:p w14:paraId="5B9A35B8" w14:textId="2F9AEAED" w:rsidR="00F146ED" w:rsidRPr="00F146ED" w:rsidRDefault="00F146ED" w:rsidP="00F146ED">
      <w:pPr>
        <w:spacing w:line="240" w:lineRule="auto"/>
        <w:jc w:val="both"/>
        <w:rPr>
          <w:rFonts w:ascii="Times New Roman" w:hAnsi="Times New Roman" w:cs="Times New Roman"/>
          <w:sz w:val="24"/>
          <w:szCs w:val="24"/>
          <w:highlight w:val="yellow"/>
          <w:lang w:eastAsia="en-IN" w:bidi="hi-IN"/>
        </w:rPr>
      </w:pPr>
      <w:r w:rsidRPr="00F146ED">
        <w:rPr>
          <w:rFonts w:ascii="Times New Roman" w:hAnsi="Times New Roman" w:cs="Times New Roman"/>
          <w:sz w:val="24"/>
          <w:szCs w:val="24"/>
          <w:highlight w:val="yellow"/>
          <w:lang w:eastAsia="en-IN" w:bidi="hi-IN"/>
        </w:rPr>
        <w:t xml:space="preserve">Fourth, policymakers should </w:t>
      </w:r>
      <w:r w:rsidRPr="00F146ED">
        <w:rPr>
          <w:rFonts w:ascii="Times New Roman" w:hAnsi="Times New Roman" w:cs="Times New Roman"/>
          <w:b/>
          <w:bCs/>
          <w:sz w:val="24"/>
          <w:szCs w:val="24"/>
          <w:highlight w:val="yellow"/>
          <w:lang w:eastAsia="en-IN" w:bidi="hi-IN"/>
        </w:rPr>
        <w:t>align financing models with social equity goals</w:t>
      </w:r>
      <w:r w:rsidRPr="00F146ED">
        <w:rPr>
          <w:rFonts w:ascii="Times New Roman" w:hAnsi="Times New Roman" w:cs="Times New Roman"/>
          <w:sz w:val="24"/>
          <w:szCs w:val="24"/>
          <w:highlight w:val="yellow"/>
          <w:lang w:eastAsia="en-IN" w:bidi="hi-IN"/>
        </w:rPr>
        <w:t>. This requires the development of innovative financing mechanisms</w:t>
      </w:r>
      <w:r w:rsidRPr="00C71691">
        <w:rPr>
          <w:rFonts w:ascii="Times New Roman" w:hAnsi="Times New Roman" w:cs="Times New Roman"/>
          <w:sz w:val="24"/>
          <w:szCs w:val="24"/>
          <w:highlight w:val="yellow"/>
          <w:lang w:eastAsia="en-IN" w:bidi="hi-IN"/>
        </w:rPr>
        <w:t xml:space="preserve">, </w:t>
      </w:r>
      <w:r w:rsidRPr="00F146ED">
        <w:rPr>
          <w:rFonts w:ascii="Times New Roman" w:hAnsi="Times New Roman" w:cs="Times New Roman"/>
          <w:sz w:val="24"/>
          <w:szCs w:val="24"/>
          <w:highlight w:val="yellow"/>
          <w:lang w:eastAsia="en-IN" w:bidi="hi-IN"/>
        </w:rPr>
        <w:t>such as social impact bonds and results-based financing</w:t>
      </w:r>
      <w:r w:rsidRPr="00C71691">
        <w:rPr>
          <w:rFonts w:ascii="Times New Roman" w:hAnsi="Times New Roman" w:cs="Times New Roman"/>
          <w:sz w:val="24"/>
          <w:szCs w:val="24"/>
          <w:highlight w:val="yellow"/>
          <w:lang w:eastAsia="en-IN" w:bidi="hi-IN"/>
        </w:rPr>
        <w:t xml:space="preserve">, </w:t>
      </w:r>
      <w:r w:rsidRPr="00F146ED">
        <w:rPr>
          <w:rFonts w:ascii="Times New Roman" w:hAnsi="Times New Roman" w:cs="Times New Roman"/>
          <w:sz w:val="24"/>
          <w:szCs w:val="24"/>
          <w:highlight w:val="yellow"/>
          <w:lang w:eastAsia="en-IN" w:bidi="hi-IN"/>
        </w:rPr>
        <w:t>that blend public investment with private capital while prioritizing pro-poor outcomes. Fiscal incentives for private sector engagement in inclusive development, along with pooled funds and co-financing arrangements, can enhance the sustainability and scale of poverty programs.</w:t>
      </w:r>
    </w:p>
    <w:p w14:paraId="460BBFD1" w14:textId="08B0138C" w:rsidR="00F146ED" w:rsidRPr="00F146ED" w:rsidRDefault="00F146ED" w:rsidP="00F146ED">
      <w:pPr>
        <w:spacing w:line="240" w:lineRule="auto"/>
        <w:jc w:val="both"/>
        <w:rPr>
          <w:rFonts w:ascii="Times New Roman" w:hAnsi="Times New Roman" w:cs="Times New Roman"/>
          <w:sz w:val="24"/>
          <w:szCs w:val="24"/>
          <w:highlight w:val="yellow"/>
          <w:lang w:eastAsia="en-IN" w:bidi="hi-IN"/>
        </w:rPr>
      </w:pPr>
      <w:r w:rsidRPr="00F146ED">
        <w:rPr>
          <w:rFonts w:ascii="Times New Roman" w:hAnsi="Times New Roman" w:cs="Times New Roman"/>
          <w:sz w:val="24"/>
          <w:szCs w:val="24"/>
          <w:highlight w:val="yellow"/>
          <w:lang w:eastAsia="en-IN" w:bidi="hi-IN"/>
        </w:rPr>
        <w:t xml:space="preserve">Fifth, it is essential to </w:t>
      </w:r>
      <w:r w:rsidRPr="00F146ED">
        <w:rPr>
          <w:rFonts w:ascii="Times New Roman" w:hAnsi="Times New Roman" w:cs="Times New Roman"/>
          <w:b/>
          <w:bCs/>
          <w:sz w:val="24"/>
          <w:szCs w:val="24"/>
          <w:highlight w:val="yellow"/>
          <w:lang w:eastAsia="en-IN" w:bidi="hi-IN"/>
        </w:rPr>
        <w:t>foster knowledge sharing and cross-sectoral learning</w:t>
      </w:r>
      <w:r w:rsidRPr="00F146ED">
        <w:rPr>
          <w:rFonts w:ascii="Times New Roman" w:hAnsi="Times New Roman" w:cs="Times New Roman"/>
          <w:sz w:val="24"/>
          <w:szCs w:val="24"/>
          <w:highlight w:val="yellow"/>
          <w:lang w:eastAsia="en-IN" w:bidi="hi-IN"/>
        </w:rPr>
        <w:t>. Institutional platforms</w:t>
      </w:r>
      <w:r w:rsidRPr="00C71691">
        <w:rPr>
          <w:rFonts w:ascii="Times New Roman" w:hAnsi="Times New Roman" w:cs="Times New Roman"/>
          <w:sz w:val="24"/>
          <w:szCs w:val="24"/>
          <w:highlight w:val="yellow"/>
          <w:lang w:eastAsia="en-IN" w:bidi="hi-IN"/>
        </w:rPr>
        <w:t xml:space="preserve">, </w:t>
      </w:r>
      <w:r w:rsidRPr="00F146ED">
        <w:rPr>
          <w:rFonts w:ascii="Times New Roman" w:hAnsi="Times New Roman" w:cs="Times New Roman"/>
          <w:sz w:val="24"/>
          <w:szCs w:val="24"/>
          <w:highlight w:val="yellow"/>
          <w:lang w:eastAsia="en-IN" w:bidi="hi-IN"/>
        </w:rPr>
        <w:t>such as national knowledge hubs, regional collaboration networks, and multi-stakeholder learning labs</w:t>
      </w:r>
      <w:r w:rsidRPr="00C71691">
        <w:rPr>
          <w:rFonts w:ascii="Times New Roman" w:hAnsi="Times New Roman" w:cs="Times New Roman"/>
          <w:sz w:val="24"/>
          <w:szCs w:val="24"/>
          <w:highlight w:val="yellow"/>
          <w:lang w:eastAsia="en-IN" w:bidi="hi-IN"/>
        </w:rPr>
        <w:t xml:space="preserve">, </w:t>
      </w:r>
      <w:r w:rsidRPr="00F146ED">
        <w:rPr>
          <w:rFonts w:ascii="Times New Roman" w:hAnsi="Times New Roman" w:cs="Times New Roman"/>
          <w:sz w:val="24"/>
          <w:szCs w:val="24"/>
          <w:highlight w:val="yellow"/>
          <w:lang w:eastAsia="en-IN" w:bidi="hi-IN"/>
        </w:rPr>
        <w:t>can facilitate the exchange of evidence, tools, and experiences across sectors. These platforms should be designed to support adaptive learning, foster innovation, and replicate context-specific models of success. Promoting transdisciplinary research partnerships between universities, think tanks, and practitioners can also enrich policy design and strengthen implementation.</w:t>
      </w:r>
    </w:p>
    <w:p w14:paraId="4BCA84F3" w14:textId="758DD548" w:rsidR="00F146ED" w:rsidRPr="00F146ED" w:rsidRDefault="00F146ED" w:rsidP="00F146ED">
      <w:pPr>
        <w:spacing w:line="240" w:lineRule="auto"/>
        <w:jc w:val="both"/>
        <w:rPr>
          <w:rFonts w:ascii="Times New Roman" w:hAnsi="Times New Roman" w:cs="Times New Roman"/>
          <w:sz w:val="24"/>
          <w:szCs w:val="24"/>
          <w:highlight w:val="yellow"/>
          <w:lang w:eastAsia="en-IN" w:bidi="hi-IN"/>
        </w:rPr>
      </w:pPr>
      <w:r w:rsidRPr="00F146ED">
        <w:rPr>
          <w:rFonts w:ascii="Times New Roman" w:hAnsi="Times New Roman" w:cs="Times New Roman"/>
          <w:sz w:val="24"/>
          <w:szCs w:val="24"/>
          <w:highlight w:val="yellow"/>
          <w:lang w:eastAsia="en-IN" w:bidi="hi-IN"/>
        </w:rPr>
        <w:t xml:space="preserve">Lastly, </w:t>
      </w:r>
      <w:r w:rsidRPr="00F146ED">
        <w:rPr>
          <w:rFonts w:ascii="Times New Roman" w:hAnsi="Times New Roman" w:cs="Times New Roman"/>
          <w:b/>
          <w:bCs/>
          <w:sz w:val="24"/>
          <w:szCs w:val="24"/>
          <w:highlight w:val="yellow"/>
          <w:lang w:eastAsia="en-IN" w:bidi="hi-IN"/>
        </w:rPr>
        <w:t>strong political will and sustained leadership commitment</w:t>
      </w:r>
      <w:r w:rsidRPr="00F146ED">
        <w:rPr>
          <w:rFonts w:ascii="Times New Roman" w:hAnsi="Times New Roman" w:cs="Times New Roman"/>
          <w:sz w:val="24"/>
          <w:szCs w:val="24"/>
          <w:highlight w:val="yellow"/>
          <w:lang w:eastAsia="en-IN" w:bidi="hi-IN"/>
        </w:rPr>
        <w:t xml:space="preserve"> are foundational to enabling all the above reforms. The integration of multisectoral strategies into national development plans and SDG implementation frameworks should be accompanied by high-level advocacy and leadership from elected representatives, bureaucrats, and community leaders. </w:t>
      </w:r>
      <w:r w:rsidR="00850511" w:rsidRPr="00850511">
        <w:rPr>
          <w:rFonts w:ascii="Times New Roman" w:hAnsi="Times New Roman" w:cs="Times New Roman"/>
          <w:sz w:val="24"/>
          <w:szCs w:val="24"/>
          <w:highlight w:val="yellow"/>
          <w:lang w:eastAsia="en-IN" w:bidi="hi-IN"/>
        </w:rPr>
        <w:t>As highlighted by Sachs et al. (2022), the achievement of SDG targets depends on aligning national policies with globally recognized development priorities and fostering data-driven, cross-sectoral planning.</w:t>
      </w:r>
      <w:r w:rsidR="00850511">
        <w:rPr>
          <w:rFonts w:ascii="Times New Roman" w:hAnsi="Times New Roman" w:cs="Times New Roman"/>
          <w:sz w:val="24"/>
          <w:szCs w:val="24"/>
          <w:highlight w:val="yellow"/>
          <w:lang w:eastAsia="en-IN" w:bidi="hi-IN"/>
        </w:rPr>
        <w:t xml:space="preserve"> </w:t>
      </w:r>
      <w:r w:rsidRPr="00F146ED">
        <w:rPr>
          <w:rFonts w:ascii="Times New Roman" w:hAnsi="Times New Roman" w:cs="Times New Roman"/>
          <w:sz w:val="24"/>
          <w:szCs w:val="24"/>
          <w:highlight w:val="yellow"/>
          <w:lang w:eastAsia="en-IN" w:bidi="hi-IN"/>
        </w:rPr>
        <w:t>Ensuring cross-party consensus and embedding these approaches within institutional mandates can help protect them from political volatility and ensure continuity beyond election cycles or donor timeframes.</w:t>
      </w:r>
    </w:p>
    <w:p w14:paraId="08A912BC" w14:textId="73A95353" w:rsidR="00C51CEE" w:rsidRPr="00C71691" w:rsidRDefault="00F146ED" w:rsidP="00C51CEE">
      <w:pPr>
        <w:spacing w:line="240" w:lineRule="auto"/>
        <w:jc w:val="both"/>
        <w:rPr>
          <w:rFonts w:ascii="Times New Roman" w:hAnsi="Times New Roman" w:cs="Times New Roman"/>
          <w:sz w:val="24"/>
          <w:szCs w:val="24"/>
          <w:highlight w:val="yellow"/>
          <w:lang w:eastAsia="en-IN" w:bidi="hi-IN"/>
        </w:rPr>
      </w:pPr>
      <w:r w:rsidRPr="00C71691">
        <w:rPr>
          <w:rFonts w:ascii="Times New Roman" w:hAnsi="Times New Roman" w:cs="Times New Roman"/>
          <w:sz w:val="24"/>
          <w:szCs w:val="24"/>
          <w:highlight w:val="yellow"/>
          <w:lang w:eastAsia="en-IN" w:bidi="hi-IN"/>
        </w:rPr>
        <w:t>T</w:t>
      </w:r>
      <w:r w:rsidRPr="00F146ED">
        <w:rPr>
          <w:rFonts w:ascii="Times New Roman" w:hAnsi="Times New Roman" w:cs="Times New Roman"/>
          <w:sz w:val="24"/>
          <w:szCs w:val="24"/>
          <w:highlight w:val="yellow"/>
          <w:lang w:eastAsia="en-IN" w:bidi="hi-IN"/>
        </w:rPr>
        <w:t>hese policy recommendations reinforce the imperative for structured, inclusive, and outcomes-driven collaboration. When supported by clear governance arrangements, equitable resource distribution, and learning-oriented systems, multisectoral partnerships can become the cornerstone of sustainable and transformative poverty alleviation.</w:t>
      </w:r>
    </w:p>
    <w:p w14:paraId="38DF0588" w14:textId="57006598" w:rsidR="00FF5662" w:rsidRPr="00C71691" w:rsidRDefault="00FF5662" w:rsidP="00FF5662">
      <w:pPr>
        <w:spacing w:line="240" w:lineRule="auto"/>
        <w:jc w:val="both"/>
        <w:rPr>
          <w:rFonts w:ascii="Times New Roman" w:hAnsi="Times New Roman" w:cs="Times New Roman"/>
          <w:b/>
          <w:bCs/>
          <w:sz w:val="24"/>
          <w:szCs w:val="24"/>
          <w:highlight w:val="yellow"/>
          <w:lang w:eastAsia="en-IN" w:bidi="hi-IN"/>
        </w:rPr>
      </w:pPr>
      <w:r w:rsidRPr="00C71691">
        <w:rPr>
          <w:rFonts w:ascii="Times New Roman" w:hAnsi="Times New Roman" w:cs="Times New Roman"/>
          <w:b/>
          <w:bCs/>
          <w:sz w:val="24"/>
          <w:szCs w:val="24"/>
          <w:highlight w:val="yellow"/>
          <w:lang w:eastAsia="en-IN" w:bidi="hi-IN"/>
        </w:rPr>
        <w:t>Conclusion</w:t>
      </w:r>
      <w:r w:rsidR="00560FB7" w:rsidRPr="00C71691">
        <w:rPr>
          <w:rFonts w:ascii="Times New Roman" w:hAnsi="Times New Roman" w:cs="Times New Roman"/>
          <w:b/>
          <w:bCs/>
          <w:sz w:val="24"/>
          <w:szCs w:val="24"/>
          <w:highlight w:val="yellow"/>
          <w:lang w:eastAsia="en-IN" w:bidi="hi-IN"/>
        </w:rPr>
        <w:t xml:space="preserve"> and Future Directions</w:t>
      </w:r>
    </w:p>
    <w:p w14:paraId="0CF68C8D" w14:textId="77777777" w:rsidR="00560FB7" w:rsidRPr="00560FB7" w:rsidRDefault="00560FB7" w:rsidP="00560FB7">
      <w:pPr>
        <w:jc w:val="both"/>
        <w:rPr>
          <w:rFonts w:ascii="Times New Roman" w:hAnsi="Times New Roman" w:cs="Times New Roman"/>
          <w:sz w:val="24"/>
          <w:szCs w:val="24"/>
          <w:highlight w:val="yellow"/>
          <w:lang w:eastAsia="en-IN" w:bidi="hi-IN"/>
        </w:rPr>
      </w:pPr>
      <w:r w:rsidRPr="00560FB7">
        <w:rPr>
          <w:rFonts w:ascii="Times New Roman" w:hAnsi="Times New Roman" w:cs="Times New Roman"/>
          <w:sz w:val="24"/>
          <w:szCs w:val="24"/>
          <w:highlight w:val="yellow"/>
          <w:lang w:eastAsia="en-IN" w:bidi="hi-IN"/>
        </w:rPr>
        <w:t xml:space="preserve">Poverty remains one of the most pressing and multidimensional challenges confronting contemporary society. While its manifestations differ across contexts, its roots are invariably embedded in structural inequalities, social exclusion, and the denial of fundamental human capabilities. As this paper has demonstrated, addressing poverty in a sustainable and transformative manner requires not only targeted interventions but a paradigmatic shift toward </w:t>
      </w:r>
      <w:r w:rsidRPr="00560FB7">
        <w:rPr>
          <w:rFonts w:ascii="Times New Roman" w:hAnsi="Times New Roman" w:cs="Times New Roman"/>
          <w:b/>
          <w:bCs/>
          <w:sz w:val="24"/>
          <w:szCs w:val="24"/>
          <w:highlight w:val="yellow"/>
          <w:lang w:eastAsia="en-IN" w:bidi="hi-IN"/>
        </w:rPr>
        <w:t>multisectoral collaboration</w:t>
      </w:r>
      <w:r w:rsidRPr="00560FB7">
        <w:rPr>
          <w:rFonts w:ascii="Times New Roman" w:hAnsi="Times New Roman" w:cs="Times New Roman"/>
          <w:sz w:val="24"/>
          <w:szCs w:val="24"/>
          <w:highlight w:val="yellow"/>
          <w:lang w:eastAsia="en-IN" w:bidi="hi-IN"/>
        </w:rPr>
        <w:t xml:space="preserve">. Achieving </w:t>
      </w:r>
      <w:r w:rsidRPr="00560FB7">
        <w:rPr>
          <w:rFonts w:ascii="Times New Roman" w:hAnsi="Times New Roman" w:cs="Times New Roman"/>
          <w:b/>
          <w:bCs/>
          <w:sz w:val="24"/>
          <w:szCs w:val="24"/>
          <w:highlight w:val="yellow"/>
          <w:lang w:eastAsia="en-IN" w:bidi="hi-IN"/>
        </w:rPr>
        <w:t>Sustainable Development Goal 1 (No Poverty)</w:t>
      </w:r>
      <w:r w:rsidRPr="00560FB7">
        <w:rPr>
          <w:rFonts w:ascii="Times New Roman" w:hAnsi="Times New Roman" w:cs="Times New Roman"/>
          <w:sz w:val="24"/>
          <w:szCs w:val="24"/>
          <w:highlight w:val="yellow"/>
          <w:lang w:eastAsia="en-IN" w:bidi="hi-IN"/>
        </w:rPr>
        <w:t xml:space="preserve"> demands deliberate and integrated engagement across government bodies, civil society organizations, the private sector, and local communities.</w:t>
      </w:r>
    </w:p>
    <w:p w14:paraId="697ABD95" w14:textId="77777777" w:rsidR="00560FB7" w:rsidRPr="00560FB7" w:rsidRDefault="00560FB7" w:rsidP="00560FB7">
      <w:pPr>
        <w:jc w:val="both"/>
        <w:rPr>
          <w:rFonts w:ascii="Times New Roman" w:hAnsi="Times New Roman" w:cs="Times New Roman"/>
          <w:sz w:val="24"/>
          <w:szCs w:val="24"/>
          <w:highlight w:val="yellow"/>
          <w:lang w:eastAsia="en-IN" w:bidi="hi-IN"/>
        </w:rPr>
      </w:pPr>
      <w:r w:rsidRPr="00560FB7">
        <w:rPr>
          <w:rFonts w:ascii="Times New Roman" w:hAnsi="Times New Roman" w:cs="Times New Roman"/>
          <w:sz w:val="24"/>
          <w:szCs w:val="24"/>
          <w:highlight w:val="yellow"/>
          <w:lang w:eastAsia="en-IN" w:bidi="hi-IN"/>
        </w:rPr>
        <w:t>The conceptual framework proposed in this paper, supported by illustrative global case studies, offers a strategic lens for designing such partnerships. These cases underscore that when sectors coordinate their roles, resources, and responsibilities, they generate synergies that surpass the capacities of isolated efforts. Importantly, successful multisectoral models are those that prioritize equity, community engagement, and adaptive learning. They are grounded in inclusive governance, supported by transparent monitoring systems, and sustained through political and institutional commitment.</w:t>
      </w:r>
    </w:p>
    <w:p w14:paraId="24C7FE75" w14:textId="77777777" w:rsidR="00560FB7" w:rsidRPr="00560FB7" w:rsidRDefault="00560FB7" w:rsidP="00560FB7">
      <w:pPr>
        <w:jc w:val="both"/>
        <w:rPr>
          <w:rFonts w:ascii="Times New Roman" w:hAnsi="Times New Roman" w:cs="Times New Roman"/>
          <w:sz w:val="24"/>
          <w:szCs w:val="24"/>
          <w:highlight w:val="yellow"/>
          <w:lang w:eastAsia="en-IN" w:bidi="hi-IN"/>
        </w:rPr>
      </w:pPr>
      <w:r w:rsidRPr="00560FB7">
        <w:rPr>
          <w:rFonts w:ascii="Times New Roman" w:hAnsi="Times New Roman" w:cs="Times New Roman"/>
          <w:sz w:val="24"/>
          <w:szCs w:val="24"/>
          <w:highlight w:val="yellow"/>
          <w:lang w:eastAsia="en-IN" w:bidi="hi-IN"/>
        </w:rPr>
        <w:lastRenderedPageBreak/>
        <w:t>Yet, the transition from fragmented efforts to integrated systems is fraught with challenges. Institutional fragmentation, power asymmetries, accountability gaps, and ideological divergence continue to undermine the potential of cross-sectoral initiatives. Addressing these barriers requires both political will and policy innovation, supported by context-specific strategies that are locally grounded and globally informed.</w:t>
      </w:r>
    </w:p>
    <w:p w14:paraId="2779959D" w14:textId="77777777" w:rsidR="00560FB7" w:rsidRPr="00560FB7" w:rsidRDefault="00560FB7" w:rsidP="00560FB7">
      <w:pPr>
        <w:jc w:val="both"/>
        <w:rPr>
          <w:rFonts w:ascii="Times New Roman" w:hAnsi="Times New Roman" w:cs="Times New Roman"/>
          <w:sz w:val="24"/>
          <w:szCs w:val="24"/>
          <w:highlight w:val="yellow"/>
          <w:lang w:eastAsia="en-IN" w:bidi="hi-IN"/>
        </w:rPr>
      </w:pPr>
      <w:r w:rsidRPr="00560FB7">
        <w:rPr>
          <w:rFonts w:ascii="Times New Roman" w:hAnsi="Times New Roman" w:cs="Times New Roman"/>
          <w:sz w:val="24"/>
          <w:szCs w:val="24"/>
          <w:highlight w:val="yellow"/>
          <w:lang w:eastAsia="en-IN" w:bidi="hi-IN"/>
        </w:rPr>
        <w:t xml:space="preserve">Looking ahead, future research and practice should focus on four key directions. First, there is a need for more empirical studies that assess the effectiveness and long-term impact of multisectoral partnerships across varied socio-economic settings. Comparative analyses can offer valuable lessons on the enabling conditions for success and the risks of unintended consequences. Second, scholars and practitioners should work toward developing </w:t>
      </w:r>
      <w:r w:rsidRPr="00560FB7">
        <w:rPr>
          <w:rFonts w:ascii="Times New Roman" w:hAnsi="Times New Roman" w:cs="Times New Roman"/>
          <w:b/>
          <w:bCs/>
          <w:sz w:val="24"/>
          <w:szCs w:val="24"/>
          <w:highlight w:val="yellow"/>
          <w:lang w:eastAsia="en-IN" w:bidi="hi-IN"/>
        </w:rPr>
        <w:t>tools for measuring intersectoral synergy</w:t>
      </w:r>
      <w:r w:rsidRPr="00560FB7">
        <w:rPr>
          <w:rFonts w:ascii="Times New Roman" w:hAnsi="Times New Roman" w:cs="Times New Roman"/>
          <w:sz w:val="24"/>
          <w:szCs w:val="24"/>
          <w:highlight w:val="yellow"/>
          <w:lang w:eastAsia="en-IN" w:bidi="hi-IN"/>
        </w:rPr>
        <w:t xml:space="preserve">, including indicators that capture collaboration quality, stakeholder satisfaction, and equity outcomes. Third, advancing </w:t>
      </w:r>
      <w:r w:rsidRPr="00560FB7">
        <w:rPr>
          <w:rFonts w:ascii="Times New Roman" w:hAnsi="Times New Roman" w:cs="Times New Roman"/>
          <w:b/>
          <w:bCs/>
          <w:sz w:val="24"/>
          <w:szCs w:val="24"/>
          <w:highlight w:val="yellow"/>
          <w:lang w:eastAsia="en-IN" w:bidi="hi-IN"/>
        </w:rPr>
        <w:t>digital integration and data-driven governance</w:t>
      </w:r>
      <w:r w:rsidRPr="00560FB7">
        <w:rPr>
          <w:rFonts w:ascii="Times New Roman" w:hAnsi="Times New Roman" w:cs="Times New Roman"/>
          <w:sz w:val="24"/>
          <w:szCs w:val="24"/>
          <w:highlight w:val="yellow"/>
          <w:lang w:eastAsia="en-IN" w:bidi="hi-IN"/>
        </w:rPr>
        <w:t xml:space="preserve"> in multisectoral planning can improve responsiveness, transparency, and coordination. Finally, enhancing </w:t>
      </w:r>
      <w:r w:rsidRPr="00560FB7">
        <w:rPr>
          <w:rFonts w:ascii="Times New Roman" w:hAnsi="Times New Roman" w:cs="Times New Roman"/>
          <w:b/>
          <w:bCs/>
          <w:sz w:val="24"/>
          <w:szCs w:val="24"/>
          <w:highlight w:val="yellow"/>
          <w:lang w:eastAsia="en-IN" w:bidi="hi-IN"/>
        </w:rPr>
        <w:t>youth, gender, and indigenous representation</w:t>
      </w:r>
      <w:r w:rsidRPr="00560FB7">
        <w:rPr>
          <w:rFonts w:ascii="Times New Roman" w:hAnsi="Times New Roman" w:cs="Times New Roman"/>
          <w:sz w:val="24"/>
          <w:szCs w:val="24"/>
          <w:highlight w:val="yellow"/>
          <w:lang w:eastAsia="en-IN" w:bidi="hi-IN"/>
        </w:rPr>
        <w:t xml:space="preserve"> in multisectoral policy platforms will ensure that poverty reduction strategies are not only efficient but also inclusive and just.</w:t>
      </w:r>
    </w:p>
    <w:p w14:paraId="55638D44" w14:textId="69C1BE29" w:rsidR="00306411" w:rsidRPr="00511D21" w:rsidRDefault="00560FB7" w:rsidP="00D931C0">
      <w:pPr>
        <w:jc w:val="both"/>
        <w:rPr>
          <w:rFonts w:ascii="Times New Roman" w:hAnsi="Times New Roman" w:cs="Times New Roman"/>
          <w:sz w:val="24"/>
          <w:szCs w:val="24"/>
          <w:lang w:eastAsia="en-IN" w:bidi="hi-IN"/>
        </w:rPr>
      </w:pPr>
      <w:r w:rsidRPr="00C71691">
        <w:rPr>
          <w:rFonts w:ascii="Times New Roman" w:hAnsi="Times New Roman" w:cs="Times New Roman"/>
          <w:sz w:val="24"/>
          <w:szCs w:val="24"/>
          <w:highlight w:val="yellow"/>
          <w:lang w:eastAsia="en-IN" w:bidi="hi-IN"/>
        </w:rPr>
        <w:t>P</w:t>
      </w:r>
      <w:r w:rsidRPr="00560FB7">
        <w:rPr>
          <w:rFonts w:ascii="Times New Roman" w:hAnsi="Times New Roman" w:cs="Times New Roman"/>
          <w:sz w:val="24"/>
          <w:szCs w:val="24"/>
          <w:highlight w:val="yellow"/>
          <w:lang w:eastAsia="en-IN" w:bidi="hi-IN"/>
        </w:rPr>
        <w:t xml:space="preserve">overty eradication is not merely a developmental </w:t>
      </w:r>
      <w:proofErr w:type="gramStart"/>
      <w:r w:rsidRPr="00560FB7">
        <w:rPr>
          <w:rFonts w:ascii="Times New Roman" w:hAnsi="Times New Roman" w:cs="Times New Roman"/>
          <w:sz w:val="24"/>
          <w:szCs w:val="24"/>
          <w:highlight w:val="yellow"/>
          <w:lang w:eastAsia="en-IN" w:bidi="hi-IN"/>
        </w:rPr>
        <w:t>target</w:t>
      </w:r>
      <w:r w:rsidRPr="00C71691">
        <w:rPr>
          <w:rFonts w:ascii="Times New Roman" w:hAnsi="Times New Roman" w:cs="Times New Roman"/>
          <w:sz w:val="24"/>
          <w:szCs w:val="24"/>
          <w:highlight w:val="yellow"/>
          <w:lang w:eastAsia="en-IN" w:bidi="hi-IN"/>
        </w:rPr>
        <w:t>,</w:t>
      </w:r>
      <w:proofErr w:type="gramEnd"/>
      <w:r w:rsidRPr="00C71691">
        <w:rPr>
          <w:rFonts w:ascii="Times New Roman" w:hAnsi="Times New Roman" w:cs="Times New Roman"/>
          <w:sz w:val="24"/>
          <w:szCs w:val="24"/>
          <w:highlight w:val="yellow"/>
          <w:lang w:eastAsia="en-IN" w:bidi="hi-IN"/>
        </w:rPr>
        <w:t xml:space="preserve"> </w:t>
      </w:r>
      <w:r w:rsidRPr="00560FB7">
        <w:rPr>
          <w:rFonts w:ascii="Times New Roman" w:hAnsi="Times New Roman" w:cs="Times New Roman"/>
          <w:sz w:val="24"/>
          <w:szCs w:val="24"/>
          <w:highlight w:val="yellow"/>
          <w:lang w:eastAsia="en-IN" w:bidi="hi-IN"/>
        </w:rPr>
        <w:t>it is a moral imperative and a collective responsibility. Multisectoral partnerships, when thoughtfully designed and equitably governed, can serve as a powerful vehicle for building resilient communities, promoting human dignity, and advancing the global agenda for sustainable development. This paper aspires to contribute to that vision by offering both conceptual clarity and actionable pathways toward a future where no one is left behind.</w:t>
      </w:r>
    </w:p>
    <w:p w14:paraId="75F2F25C" w14:textId="77777777" w:rsidR="00926024" w:rsidRDefault="00306411" w:rsidP="00926024">
      <w:pPr>
        <w:rPr>
          <w:rFonts w:ascii="Times New Roman" w:hAnsi="Times New Roman" w:cs="Times New Roman"/>
          <w:sz w:val="24"/>
          <w:szCs w:val="24"/>
          <w:highlight w:val="yellow"/>
        </w:rPr>
      </w:pPr>
      <w:r w:rsidRPr="00511D21">
        <w:rPr>
          <w:rFonts w:ascii="Times New Roman" w:hAnsi="Times New Roman" w:cs="Times New Roman"/>
          <w:sz w:val="24"/>
          <w:szCs w:val="24"/>
          <w:highlight w:val="yellow"/>
        </w:rPr>
        <w:t>Disclaimer (Artificial intelligence)</w:t>
      </w:r>
    </w:p>
    <w:p w14:paraId="1C950DC8" w14:textId="79BD8061" w:rsidR="00306411" w:rsidRDefault="00306411" w:rsidP="00926024">
      <w:pPr>
        <w:rPr>
          <w:rFonts w:ascii="Times New Roman" w:hAnsi="Times New Roman" w:cs="Times New Roman"/>
          <w:sz w:val="24"/>
          <w:szCs w:val="24"/>
          <w:highlight w:val="yellow"/>
        </w:rPr>
      </w:pPr>
      <w:r w:rsidRPr="00511D21">
        <w:rPr>
          <w:rFonts w:ascii="Times New Roman" w:hAnsi="Times New Roman" w:cs="Times New Roman"/>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76581AD9" w14:textId="77777777" w:rsidR="00E552CA" w:rsidRPr="0044655B" w:rsidRDefault="00E552CA" w:rsidP="00E552CA">
      <w:pPr>
        <w:spacing w:line="240" w:lineRule="auto"/>
        <w:jc w:val="both"/>
        <w:rPr>
          <w:rFonts w:ascii="Times New Roman" w:hAnsi="Times New Roman" w:cs="Times New Roman"/>
          <w:b/>
          <w:bCs/>
          <w:sz w:val="24"/>
          <w:szCs w:val="24"/>
          <w:lang w:eastAsia="en-IN" w:bidi="hi-IN"/>
        </w:rPr>
      </w:pPr>
      <w:r w:rsidRPr="0044655B">
        <w:rPr>
          <w:rFonts w:ascii="Times New Roman" w:hAnsi="Times New Roman" w:cs="Times New Roman"/>
          <w:b/>
          <w:bCs/>
          <w:sz w:val="24"/>
          <w:szCs w:val="24"/>
          <w:lang w:eastAsia="en-IN" w:bidi="hi-IN"/>
        </w:rPr>
        <w:t>References</w:t>
      </w:r>
    </w:p>
    <w:p w14:paraId="2D0AE62D"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proofErr w:type="spellStart"/>
      <w:r w:rsidRPr="0044655B">
        <w:rPr>
          <w:rFonts w:ascii="Times New Roman" w:hAnsi="Times New Roman" w:cs="Times New Roman"/>
          <w:sz w:val="24"/>
          <w:szCs w:val="24"/>
          <w:lang w:eastAsia="en-IN" w:bidi="hi-IN"/>
        </w:rPr>
        <w:t>Aivalli</w:t>
      </w:r>
      <w:proofErr w:type="spellEnd"/>
      <w:r w:rsidRPr="0044655B">
        <w:rPr>
          <w:rFonts w:ascii="Times New Roman" w:hAnsi="Times New Roman" w:cs="Times New Roman"/>
          <w:sz w:val="24"/>
          <w:szCs w:val="24"/>
          <w:lang w:eastAsia="en-IN" w:bidi="hi-IN"/>
        </w:rPr>
        <w:t xml:space="preserve">, P., Dada, S., Gilmore, B., Prashanth, S. N., &amp; De Brún, A. (2025). Power dynamics and intersectoral collaboration for health in </w:t>
      </w:r>
      <w:proofErr w:type="gramStart"/>
      <w:r w:rsidRPr="0044655B">
        <w:rPr>
          <w:rFonts w:ascii="Times New Roman" w:hAnsi="Times New Roman" w:cs="Times New Roman"/>
          <w:sz w:val="24"/>
          <w:szCs w:val="24"/>
          <w:lang w:eastAsia="en-IN" w:bidi="hi-IN"/>
        </w:rPr>
        <w:t>low and middle income</w:t>
      </w:r>
      <w:proofErr w:type="gramEnd"/>
      <w:r w:rsidRPr="0044655B">
        <w:rPr>
          <w:rFonts w:ascii="Times New Roman" w:hAnsi="Times New Roman" w:cs="Times New Roman"/>
          <w:sz w:val="24"/>
          <w:szCs w:val="24"/>
          <w:lang w:eastAsia="en-IN" w:bidi="hi-IN"/>
        </w:rPr>
        <w:t xml:space="preserve"> countries: A realist review. </w:t>
      </w:r>
      <w:r w:rsidRPr="0044655B">
        <w:rPr>
          <w:rFonts w:ascii="Times New Roman" w:hAnsi="Times New Roman" w:cs="Times New Roman"/>
          <w:i/>
          <w:iCs/>
          <w:sz w:val="24"/>
          <w:szCs w:val="24"/>
          <w:lang w:eastAsia="en-IN" w:bidi="hi-IN"/>
        </w:rPr>
        <w:t>Health Policy and Planning</w:t>
      </w:r>
      <w:r w:rsidRPr="0044655B">
        <w:rPr>
          <w:rFonts w:ascii="Times New Roman" w:hAnsi="Times New Roman" w:cs="Times New Roman"/>
          <w:sz w:val="24"/>
          <w:szCs w:val="24"/>
          <w:lang w:eastAsia="en-IN" w:bidi="hi-IN"/>
        </w:rPr>
        <w:t>, czaf022.</w:t>
      </w:r>
    </w:p>
    <w:p w14:paraId="162D2331"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Angulo, R. (2016). From multidimensional poverty measurement to multisector public policy for poverty reduction: lessons from the Colombian case.</w:t>
      </w:r>
    </w:p>
    <w:p w14:paraId="5CABD648"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rPr>
        <w:t>Bach, A., Gregor, E., Sridhar, S., Fekadu, H., &amp; Fawzi, W. (2020). Multisectoral integration of nutrition, health, and agriculture: Implementation lessons from Ethiopia. Food and Nutrition Bulletin, 41(2), 275–292.</w:t>
      </w:r>
    </w:p>
    <w:p w14:paraId="47486CEF"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Bäckstrand, K. (2006). Multi‐stakeholder partnerships for sustainable development: rethinking legitimacy, accountability and effectiveness. </w:t>
      </w:r>
      <w:r w:rsidRPr="0044655B">
        <w:rPr>
          <w:rFonts w:ascii="Times New Roman" w:hAnsi="Times New Roman" w:cs="Times New Roman"/>
          <w:i/>
          <w:iCs/>
          <w:sz w:val="24"/>
          <w:szCs w:val="24"/>
          <w:lang w:eastAsia="en-IN" w:bidi="hi-IN"/>
        </w:rPr>
        <w:t>European environment</w:t>
      </w:r>
      <w:r w:rsidRPr="0044655B">
        <w:rPr>
          <w:rFonts w:ascii="Times New Roman" w:hAnsi="Times New Roman" w:cs="Times New Roman"/>
          <w:sz w:val="24"/>
          <w:szCs w:val="24"/>
          <w:lang w:eastAsia="en-IN" w:bidi="hi-IN"/>
        </w:rPr>
        <w:t>, </w:t>
      </w:r>
      <w:r w:rsidRPr="0044655B">
        <w:rPr>
          <w:rFonts w:ascii="Times New Roman" w:hAnsi="Times New Roman" w:cs="Times New Roman"/>
          <w:i/>
          <w:iCs/>
          <w:sz w:val="24"/>
          <w:szCs w:val="24"/>
          <w:lang w:eastAsia="en-IN" w:bidi="hi-IN"/>
        </w:rPr>
        <w:t>16</w:t>
      </w:r>
      <w:r w:rsidRPr="0044655B">
        <w:rPr>
          <w:rFonts w:ascii="Times New Roman" w:hAnsi="Times New Roman" w:cs="Times New Roman"/>
          <w:sz w:val="24"/>
          <w:szCs w:val="24"/>
          <w:lang w:eastAsia="en-IN" w:bidi="hi-IN"/>
        </w:rPr>
        <w:t>(5), 290-306.</w:t>
      </w:r>
    </w:p>
    <w:p w14:paraId="4087F26D"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rPr>
      </w:pPr>
      <w:r w:rsidRPr="0044655B">
        <w:rPr>
          <w:rFonts w:ascii="Times New Roman" w:hAnsi="Times New Roman" w:cs="Times New Roman"/>
          <w:sz w:val="24"/>
          <w:szCs w:val="24"/>
        </w:rPr>
        <w:t xml:space="preserve">Banerjee, A., Duflo, E., Goldberg, N., Karlan, D., Osei, R., </w:t>
      </w:r>
      <w:proofErr w:type="spellStart"/>
      <w:r w:rsidRPr="0044655B">
        <w:rPr>
          <w:rFonts w:ascii="Times New Roman" w:hAnsi="Times New Roman" w:cs="Times New Roman"/>
          <w:sz w:val="24"/>
          <w:szCs w:val="24"/>
        </w:rPr>
        <w:t>Parienté</w:t>
      </w:r>
      <w:proofErr w:type="spellEnd"/>
      <w:r w:rsidRPr="0044655B">
        <w:rPr>
          <w:rFonts w:ascii="Times New Roman" w:hAnsi="Times New Roman" w:cs="Times New Roman"/>
          <w:sz w:val="24"/>
          <w:szCs w:val="24"/>
        </w:rPr>
        <w:t xml:space="preserve">, W., ... &amp; </w:t>
      </w:r>
      <w:proofErr w:type="spellStart"/>
      <w:r w:rsidRPr="0044655B">
        <w:rPr>
          <w:rFonts w:ascii="Times New Roman" w:hAnsi="Times New Roman" w:cs="Times New Roman"/>
          <w:sz w:val="24"/>
          <w:szCs w:val="24"/>
        </w:rPr>
        <w:t>Udry</w:t>
      </w:r>
      <w:proofErr w:type="spellEnd"/>
      <w:r w:rsidRPr="0044655B">
        <w:rPr>
          <w:rFonts w:ascii="Times New Roman" w:hAnsi="Times New Roman" w:cs="Times New Roman"/>
          <w:sz w:val="24"/>
          <w:szCs w:val="24"/>
        </w:rPr>
        <w:t>, C. (2015). A multifaceted program causes lasting progress for the very poor: Evidence from six countries. Science, 348(6236).</w:t>
      </w:r>
    </w:p>
    <w:p w14:paraId="3A6C2520"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rPr>
        <w:t>BRAC. (2021). Graduation approach: Program insights and implementation manual.</w:t>
      </w:r>
    </w:p>
    <w:p w14:paraId="61D91B2F" w14:textId="77777777" w:rsidR="00E552CA"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Bryce, J., Coitinho, D., Darnton-Hill, I., Pelletier, D., &amp; Pinstrup-Andersen, P. (2008). Maternal and child undernutrition: effective action at national level. </w:t>
      </w:r>
      <w:r w:rsidRPr="0044655B">
        <w:rPr>
          <w:rFonts w:ascii="Times New Roman" w:hAnsi="Times New Roman" w:cs="Times New Roman"/>
          <w:i/>
          <w:iCs/>
          <w:sz w:val="24"/>
          <w:szCs w:val="24"/>
          <w:lang w:eastAsia="en-IN" w:bidi="hi-IN"/>
        </w:rPr>
        <w:t>The Lancet</w:t>
      </w:r>
      <w:r w:rsidRPr="0044655B">
        <w:rPr>
          <w:rFonts w:ascii="Times New Roman" w:hAnsi="Times New Roman" w:cs="Times New Roman"/>
          <w:sz w:val="24"/>
          <w:szCs w:val="24"/>
          <w:lang w:eastAsia="en-IN" w:bidi="hi-IN"/>
        </w:rPr>
        <w:t>, </w:t>
      </w:r>
      <w:r w:rsidRPr="0044655B">
        <w:rPr>
          <w:rFonts w:ascii="Times New Roman" w:hAnsi="Times New Roman" w:cs="Times New Roman"/>
          <w:i/>
          <w:iCs/>
          <w:sz w:val="24"/>
          <w:szCs w:val="24"/>
          <w:lang w:eastAsia="en-IN" w:bidi="hi-IN"/>
        </w:rPr>
        <w:t>371</w:t>
      </w:r>
      <w:r w:rsidRPr="0044655B">
        <w:rPr>
          <w:rFonts w:ascii="Times New Roman" w:hAnsi="Times New Roman" w:cs="Times New Roman"/>
          <w:sz w:val="24"/>
          <w:szCs w:val="24"/>
          <w:lang w:eastAsia="en-IN" w:bidi="hi-IN"/>
        </w:rPr>
        <w:t>(9611), 510-526.</w:t>
      </w:r>
    </w:p>
    <w:p w14:paraId="1BF3EBF5" w14:textId="77AFE700" w:rsidR="00AD771C" w:rsidRPr="0044655B" w:rsidRDefault="00AD771C"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AD771C">
        <w:rPr>
          <w:rFonts w:ascii="Times New Roman" w:hAnsi="Times New Roman" w:cs="Times New Roman"/>
          <w:sz w:val="24"/>
          <w:szCs w:val="24"/>
          <w:lang w:eastAsia="en-IN" w:bidi="hi-IN"/>
        </w:rPr>
        <w:lastRenderedPageBreak/>
        <w:t xml:space="preserve">Buse, K., &amp; Hawkes, S. (2015). Health in the sustainable development goals: ready for a paradigm shift? </w:t>
      </w:r>
      <w:r w:rsidRPr="00AD771C">
        <w:rPr>
          <w:rFonts w:ascii="Times New Roman" w:hAnsi="Times New Roman" w:cs="Times New Roman"/>
          <w:i/>
          <w:iCs/>
          <w:sz w:val="24"/>
          <w:szCs w:val="24"/>
          <w:lang w:eastAsia="en-IN" w:bidi="hi-IN"/>
        </w:rPr>
        <w:t>Globalization and Health</w:t>
      </w:r>
      <w:r w:rsidRPr="00AD771C">
        <w:rPr>
          <w:rFonts w:ascii="Times New Roman" w:hAnsi="Times New Roman" w:cs="Times New Roman"/>
          <w:sz w:val="24"/>
          <w:szCs w:val="24"/>
          <w:lang w:eastAsia="en-IN" w:bidi="hi-IN"/>
        </w:rPr>
        <w:t>, 11, 13.</w:t>
      </w:r>
    </w:p>
    <w:p w14:paraId="60F4BCC1"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 xml:space="preserve">Cumming, T. L., Shackleton, R. T., Förster, J., Dini, J., Khan, A., </w:t>
      </w:r>
      <w:proofErr w:type="spellStart"/>
      <w:r w:rsidRPr="0044655B">
        <w:rPr>
          <w:rFonts w:ascii="Times New Roman" w:hAnsi="Times New Roman" w:cs="Times New Roman"/>
          <w:sz w:val="24"/>
          <w:szCs w:val="24"/>
          <w:lang w:eastAsia="en-IN" w:bidi="hi-IN"/>
        </w:rPr>
        <w:t>Gumula</w:t>
      </w:r>
      <w:proofErr w:type="spellEnd"/>
      <w:r w:rsidRPr="0044655B">
        <w:rPr>
          <w:rFonts w:ascii="Times New Roman" w:hAnsi="Times New Roman" w:cs="Times New Roman"/>
          <w:sz w:val="24"/>
          <w:szCs w:val="24"/>
          <w:lang w:eastAsia="en-IN" w:bidi="hi-IN"/>
        </w:rPr>
        <w:t>, M., &amp; Kubiszewski, I. (2017). Achieving the national development agenda and the Sustainable Development Goals (SDGs) through investment in ecological infrastructure: A case study of South Africa. </w:t>
      </w:r>
      <w:r w:rsidRPr="0044655B">
        <w:rPr>
          <w:rFonts w:ascii="Times New Roman" w:hAnsi="Times New Roman" w:cs="Times New Roman"/>
          <w:i/>
          <w:iCs/>
          <w:sz w:val="24"/>
          <w:szCs w:val="24"/>
          <w:lang w:eastAsia="en-IN" w:bidi="hi-IN"/>
        </w:rPr>
        <w:t>Ecosystem services</w:t>
      </w:r>
      <w:r w:rsidRPr="0044655B">
        <w:rPr>
          <w:rFonts w:ascii="Times New Roman" w:hAnsi="Times New Roman" w:cs="Times New Roman"/>
          <w:sz w:val="24"/>
          <w:szCs w:val="24"/>
          <w:lang w:eastAsia="en-IN" w:bidi="hi-IN"/>
        </w:rPr>
        <w:t>, </w:t>
      </w:r>
      <w:r w:rsidRPr="0044655B">
        <w:rPr>
          <w:rFonts w:ascii="Times New Roman" w:hAnsi="Times New Roman" w:cs="Times New Roman"/>
          <w:i/>
          <w:iCs/>
          <w:sz w:val="24"/>
          <w:szCs w:val="24"/>
          <w:lang w:eastAsia="en-IN" w:bidi="hi-IN"/>
        </w:rPr>
        <w:t>27</w:t>
      </w:r>
      <w:r w:rsidRPr="0044655B">
        <w:rPr>
          <w:rFonts w:ascii="Times New Roman" w:hAnsi="Times New Roman" w:cs="Times New Roman"/>
          <w:sz w:val="24"/>
          <w:szCs w:val="24"/>
          <w:lang w:eastAsia="en-IN" w:bidi="hi-IN"/>
        </w:rPr>
        <w:t>, 253-260.</w:t>
      </w:r>
    </w:p>
    <w:p w14:paraId="27FA1A6C"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Gillespie, S., Haddad, L., Mannar, V., Menon, P., &amp; Nisbett, N. (2013). The politics of reducing malnutrition: building commitment and accelerating progress. </w:t>
      </w:r>
      <w:r w:rsidRPr="0044655B">
        <w:rPr>
          <w:rFonts w:ascii="Times New Roman" w:hAnsi="Times New Roman" w:cs="Times New Roman"/>
          <w:i/>
          <w:iCs/>
          <w:sz w:val="24"/>
          <w:szCs w:val="24"/>
          <w:lang w:eastAsia="en-IN" w:bidi="hi-IN"/>
        </w:rPr>
        <w:t>The lancet</w:t>
      </w:r>
      <w:r w:rsidRPr="0044655B">
        <w:rPr>
          <w:rFonts w:ascii="Times New Roman" w:hAnsi="Times New Roman" w:cs="Times New Roman"/>
          <w:sz w:val="24"/>
          <w:szCs w:val="24"/>
          <w:lang w:eastAsia="en-IN" w:bidi="hi-IN"/>
        </w:rPr>
        <w:t>, </w:t>
      </w:r>
      <w:r w:rsidRPr="0044655B">
        <w:rPr>
          <w:rFonts w:ascii="Times New Roman" w:hAnsi="Times New Roman" w:cs="Times New Roman"/>
          <w:i/>
          <w:iCs/>
          <w:sz w:val="24"/>
          <w:szCs w:val="24"/>
          <w:lang w:eastAsia="en-IN" w:bidi="hi-IN"/>
        </w:rPr>
        <w:t>382</w:t>
      </w:r>
      <w:r w:rsidRPr="0044655B">
        <w:rPr>
          <w:rFonts w:ascii="Times New Roman" w:hAnsi="Times New Roman" w:cs="Times New Roman"/>
          <w:sz w:val="24"/>
          <w:szCs w:val="24"/>
          <w:lang w:eastAsia="en-IN" w:bidi="hi-IN"/>
        </w:rPr>
        <w:t>(9891), 552-569.</w:t>
      </w:r>
    </w:p>
    <w:p w14:paraId="40D460B3"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proofErr w:type="spellStart"/>
      <w:r w:rsidRPr="0044655B">
        <w:rPr>
          <w:rFonts w:ascii="Times New Roman" w:hAnsi="Times New Roman" w:cs="Times New Roman"/>
          <w:sz w:val="24"/>
          <w:szCs w:val="24"/>
          <w:lang w:eastAsia="en-IN" w:bidi="hi-IN"/>
        </w:rPr>
        <w:t>Greijn</w:t>
      </w:r>
      <w:proofErr w:type="spellEnd"/>
      <w:r w:rsidRPr="0044655B">
        <w:rPr>
          <w:rFonts w:ascii="Times New Roman" w:hAnsi="Times New Roman" w:cs="Times New Roman"/>
          <w:sz w:val="24"/>
          <w:szCs w:val="24"/>
          <w:lang w:eastAsia="en-IN" w:bidi="hi-IN"/>
        </w:rPr>
        <w:t>, H., Hauck, V., Land, T., &amp; Ubels, J. (2015). Capacity development beyond aid. </w:t>
      </w:r>
      <w:r w:rsidRPr="0044655B">
        <w:rPr>
          <w:rFonts w:ascii="Times New Roman" w:hAnsi="Times New Roman" w:cs="Times New Roman"/>
          <w:i/>
          <w:iCs/>
          <w:sz w:val="24"/>
          <w:szCs w:val="24"/>
          <w:lang w:eastAsia="en-IN" w:bidi="hi-IN"/>
        </w:rPr>
        <w:t>SNV Netherlands Development Organisation</w:t>
      </w:r>
      <w:r w:rsidRPr="0044655B">
        <w:rPr>
          <w:rFonts w:ascii="Times New Roman" w:hAnsi="Times New Roman" w:cs="Times New Roman"/>
          <w:sz w:val="24"/>
          <w:szCs w:val="24"/>
          <w:lang w:eastAsia="en-IN" w:bidi="hi-IN"/>
        </w:rPr>
        <w:t>.</w:t>
      </w:r>
    </w:p>
    <w:p w14:paraId="2E8E8719"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rPr>
        <w:t>Gustafsson-Wright, E., Gardiner, S., &amp; Putcha, V. (2017). The potential and limitations of impact bonds: Lessons from the first five years of experience worldwide. Brookings Institution.</w:t>
      </w:r>
    </w:p>
    <w:p w14:paraId="2CE19C48"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 xml:space="preserve">Kadiyala, S. (2004). Scaling up </w:t>
      </w:r>
      <w:proofErr w:type="spellStart"/>
      <w:r w:rsidRPr="0044655B">
        <w:rPr>
          <w:rFonts w:ascii="Times New Roman" w:hAnsi="Times New Roman" w:cs="Times New Roman"/>
          <w:sz w:val="24"/>
          <w:szCs w:val="24"/>
          <w:lang w:eastAsia="en-IN" w:bidi="hi-IN"/>
        </w:rPr>
        <w:t>Kudumbashree</w:t>
      </w:r>
      <w:proofErr w:type="spellEnd"/>
      <w:r w:rsidRPr="0044655B">
        <w:rPr>
          <w:rFonts w:ascii="Times New Roman" w:hAnsi="Times New Roman" w:cs="Times New Roman"/>
          <w:sz w:val="24"/>
          <w:szCs w:val="24"/>
          <w:lang w:eastAsia="en-IN" w:bidi="hi-IN"/>
        </w:rPr>
        <w:t>--collective action for poverty alleviation and women’s empowerment</w:t>
      </w:r>
      <w:r w:rsidRPr="0044655B">
        <w:rPr>
          <w:rFonts w:ascii="Times New Roman" w:hAnsi="Times New Roman" w:cs="Times New Roman"/>
          <w:sz w:val="24"/>
          <w:szCs w:val="24"/>
        </w:rPr>
        <w:t>.</w:t>
      </w:r>
    </w:p>
    <w:p w14:paraId="66353398"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proofErr w:type="spellStart"/>
      <w:r w:rsidRPr="0044655B">
        <w:rPr>
          <w:rFonts w:ascii="Times New Roman" w:hAnsi="Times New Roman" w:cs="Times New Roman"/>
          <w:sz w:val="24"/>
          <w:szCs w:val="24"/>
          <w:lang w:eastAsia="en-IN" w:bidi="hi-IN"/>
        </w:rPr>
        <w:t>Kandpal</w:t>
      </w:r>
      <w:proofErr w:type="spellEnd"/>
      <w:r w:rsidRPr="0044655B">
        <w:rPr>
          <w:rFonts w:ascii="Times New Roman" w:hAnsi="Times New Roman" w:cs="Times New Roman"/>
          <w:sz w:val="24"/>
          <w:szCs w:val="24"/>
          <w:lang w:eastAsia="en-IN" w:bidi="hi-IN"/>
        </w:rPr>
        <w:t>, V., Jaswal, A., Santibanez Gonzalez, E. D., &amp; Agarwal, N. (2024). Circular economy principles: shifting towards sustainable prosperity. In </w:t>
      </w:r>
      <w:r w:rsidRPr="0044655B">
        <w:rPr>
          <w:rFonts w:ascii="Times New Roman" w:hAnsi="Times New Roman" w:cs="Times New Roman"/>
          <w:i/>
          <w:iCs/>
          <w:sz w:val="24"/>
          <w:szCs w:val="24"/>
          <w:lang w:eastAsia="en-IN" w:bidi="hi-IN"/>
        </w:rPr>
        <w:t>Sustainable energy transition: Circular economy and sustainable financing for environmental, social and governance (ESG) practices</w:t>
      </w:r>
      <w:r w:rsidRPr="0044655B">
        <w:rPr>
          <w:rFonts w:ascii="Times New Roman" w:hAnsi="Times New Roman" w:cs="Times New Roman"/>
          <w:sz w:val="24"/>
          <w:szCs w:val="24"/>
          <w:lang w:eastAsia="en-IN" w:bidi="hi-IN"/>
        </w:rPr>
        <w:t> (pp. 125-165). Cham: Springer Nature Switzerland.</w:t>
      </w:r>
    </w:p>
    <w:p w14:paraId="22094C53"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Krantz, L. (2001). The sustainable livelihood approach to poverty reduction. </w:t>
      </w:r>
      <w:r w:rsidRPr="0044655B">
        <w:rPr>
          <w:rFonts w:ascii="Times New Roman" w:hAnsi="Times New Roman" w:cs="Times New Roman"/>
          <w:i/>
          <w:iCs/>
          <w:sz w:val="24"/>
          <w:szCs w:val="24"/>
          <w:lang w:eastAsia="en-IN" w:bidi="hi-IN"/>
        </w:rPr>
        <w:t>SIDA. Division for Policy and Socio-Economic Analysis</w:t>
      </w:r>
      <w:r w:rsidRPr="0044655B">
        <w:rPr>
          <w:rFonts w:ascii="Times New Roman" w:hAnsi="Times New Roman" w:cs="Times New Roman"/>
          <w:sz w:val="24"/>
          <w:szCs w:val="24"/>
          <w:lang w:eastAsia="en-IN" w:bidi="hi-IN"/>
        </w:rPr>
        <w:t>, </w:t>
      </w:r>
      <w:r w:rsidRPr="0044655B">
        <w:rPr>
          <w:rFonts w:ascii="Times New Roman" w:hAnsi="Times New Roman" w:cs="Times New Roman"/>
          <w:i/>
          <w:iCs/>
          <w:sz w:val="24"/>
          <w:szCs w:val="24"/>
          <w:lang w:eastAsia="en-IN" w:bidi="hi-IN"/>
        </w:rPr>
        <w:t>44</w:t>
      </w:r>
      <w:r w:rsidRPr="0044655B">
        <w:rPr>
          <w:rFonts w:ascii="Times New Roman" w:hAnsi="Times New Roman" w:cs="Times New Roman"/>
          <w:sz w:val="24"/>
          <w:szCs w:val="24"/>
          <w:lang w:eastAsia="en-IN" w:bidi="hi-IN"/>
        </w:rPr>
        <w:t>, 1-38.</w:t>
      </w:r>
    </w:p>
    <w:p w14:paraId="59C1DA87"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Martine, G. (Ed.). (2012). </w:t>
      </w:r>
      <w:r w:rsidRPr="0044655B">
        <w:rPr>
          <w:rFonts w:ascii="Times New Roman" w:hAnsi="Times New Roman" w:cs="Times New Roman"/>
          <w:i/>
          <w:iCs/>
          <w:sz w:val="24"/>
          <w:szCs w:val="24"/>
          <w:lang w:eastAsia="en-IN" w:bidi="hi-IN"/>
        </w:rPr>
        <w:t>The new global frontier: urbanization, poverty and environment in the 21st century</w:t>
      </w:r>
      <w:r w:rsidRPr="0044655B">
        <w:rPr>
          <w:rFonts w:ascii="Times New Roman" w:hAnsi="Times New Roman" w:cs="Times New Roman"/>
          <w:sz w:val="24"/>
          <w:szCs w:val="24"/>
          <w:lang w:eastAsia="en-IN" w:bidi="hi-IN"/>
        </w:rPr>
        <w:t>. Earthscan.</w:t>
      </w:r>
    </w:p>
    <w:p w14:paraId="7CE946BB"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Matthews, P. (2005). Briefing: Multi-sector partnerships for poverty reduction. In </w:t>
      </w:r>
      <w:r w:rsidRPr="0044655B">
        <w:rPr>
          <w:rFonts w:ascii="Times New Roman" w:hAnsi="Times New Roman" w:cs="Times New Roman"/>
          <w:i/>
          <w:iCs/>
          <w:sz w:val="24"/>
          <w:szCs w:val="24"/>
          <w:lang w:eastAsia="en-IN" w:bidi="hi-IN"/>
        </w:rPr>
        <w:t>Proceedings of the Institution of Civil Engineers-Engineering Sustainability</w:t>
      </w:r>
      <w:r w:rsidRPr="0044655B">
        <w:rPr>
          <w:rFonts w:ascii="Times New Roman" w:hAnsi="Times New Roman" w:cs="Times New Roman"/>
          <w:sz w:val="24"/>
          <w:szCs w:val="24"/>
          <w:lang w:eastAsia="en-IN" w:bidi="hi-IN"/>
        </w:rPr>
        <w:t> (Vol. 158, No. 1, pp. 5-7). Thomas Telford Ltd.</w:t>
      </w:r>
    </w:p>
    <w:p w14:paraId="1C4B5E09"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McDonough, A., &amp; Rodríguez, D. C. (2020). How donors support civil society as government accountability advocates: a review of strategies and implications for transition of donor funding in global health. </w:t>
      </w:r>
      <w:r w:rsidRPr="0044655B">
        <w:rPr>
          <w:rFonts w:ascii="Times New Roman" w:hAnsi="Times New Roman" w:cs="Times New Roman"/>
          <w:i/>
          <w:iCs/>
          <w:sz w:val="24"/>
          <w:szCs w:val="24"/>
          <w:lang w:eastAsia="en-IN" w:bidi="hi-IN"/>
        </w:rPr>
        <w:t>Globalization and health</w:t>
      </w:r>
      <w:r w:rsidRPr="0044655B">
        <w:rPr>
          <w:rFonts w:ascii="Times New Roman" w:hAnsi="Times New Roman" w:cs="Times New Roman"/>
          <w:sz w:val="24"/>
          <w:szCs w:val="24"/>
          <w:lang w:eastAsia="en-IN" w:bidi="hi-IN"/>
        </w:rPr>
        <w:t>, </w:t>
      </w:r>
      <w:r w:rsidRPr="0044655B">
        <w:rPr>
          <w:rFonts w:ascii="Times New Roman" w:hAnsi="Times New Roman" w:cs="Times New Roman"/>
          <w:i/>
          <w:iCs/>
          <w:sz w:val="24"/>
          <w:szCs w:val="24"/>
          <w:lang w:eastAsia="en-IN" w:bidi="hi-IN"/>
        </w:rPr>
        <w:t>16</w:t>
      </w:r>
      <w:r w:rsidRPr="0044655B">
        <w:rPr>
          <w:rFonts w:ascii="Times New Roman" w:hAnsi="Times New Roman" w:cs="Times New Roman"/>
          <w:sz w:val="24"/>
          <w:szCs w:val="24"/>
          <w:lang w:eastAsia="en-IN" w:bidi="hi-IN"/>
        </w:rPr>
        <w:t>, 1-18.</w:t>
      </w:r>
    </w:p>
    <w:p w14:paraId="12633A8A"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McKague, K., Wheeler, D., &amp; Karnani, A. (2014). An integrated approach to poverty alleviation: roles of the private sector, government and civil society. In </w:t>
      </w:r>
      <w:r w:rsidRPr="0044655B">
        <w:rPr>
          <w:rFonts w:ascii="Times New Roman" w:hAnsi="Times New Roman" w:cs="Times New Roman"/>
          <w:i/>
          <w:iCs/>
          <w:sz w:val="24"/>
          <w:szCs w:val="24"/>
          <w:lang w:eastAsia="en-IN" w:bidi="hi-IN"/>
        </w:rPr>
        <w:t>The Business of Social and Environmental Innovation: New Frontiers in Africa</w:t>
      </w:r>
      <w:r w:rsidRPr="0044655B">
        <w:rPr>
          <w:rFonts w:ascii="Times New Roman" w:hAnsi="Times New Roman" w:cs="Times New Roman"/>
          <w:sz w:val="24"/>
          <w:szCs w:val="24"/>
          <w:lang w:eastAsia="en-IN" w:bidi="hi-IN"/>
        </w:rPr>
        <w:t> (pp. 129-145). Cham: Springer International Publishing.</w:t>
      </w:r>
    </w:p>
    <w:p w14:paraId="03C98D9D"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Munthali, S. M. (2007). Transfrontier conservation areas: Integrating biodiversity and poverty alleviation in Southern Africa. In </w:t>
      </w:r>
      <w:r w:rsidRPr="0044655B">
        <w:rPr>
          <w:rFonts w:ascii="Times New Roman" w:hAnsi="Times New Roman" w:cs="Times New Roman"/>
          <w:i/>
          <w:iCs/>
          <w:sz w:val="24"/>
          <w:szCs w:val="24"/>
          <w:lang w:eastAsia="en-IN" w:bidi="hi-IN"/>
        </w:rPr>
        <w:t>Natural resources forum</w:t>
      </w:r>
      <w:r w:rsidRPr="0044655B">
        <w:rPr>
          <w:rFonts w:ascii="Times New Roman" w:hAnsi="Times New Roman" w:cs="Times New Roman"/>
          <w:sz w:val="24"/>
          <w:szCs w:val="24"/>
          <w:lang w:eastAsia="en-IN" w:bidi="hi-IN"/>
        </w:rPr>
        <w:t> (Vol. 31, No. 1, pp. 51-60). Oxford, UK: Blackwell Publishing Ltd.</w:t>
      </w:r>
    </w:p>
    <w:p w14:paraId="664A6C77"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Narayan-Parker, D. (Ed.). (2002). </w:t>
      </w:r>
      <w:r w:rsidRPr="0044655B">
        <w:rPr>
          <w:rFonts w:ascii="Times New Roman" w:hAnsi="Times New Roman" w:cs="Times New Roman"/>
          <w:i/>
          <w:iCs/>
          <w:sz w:val="24"/>
          <w:szCs w:val="24"/>
          <w:lang w:eastAsia="en-IN" w:bidi="hi-IN"/>
        </w:rPr>
        <w:t>Empowerment and poverty reduction: A sourcebook</w:t>
      </w:r>
      <w:r w:rsidRPr="0044655B">
        <w:rPr>
          <w:rFonts w:ascii="Times New Roman" w:hAnsi="Times New Roman" w:cs="Times New Roman"/>
          <w:sz w:val="24"/>
          <w:szCs w:val="24"/>
          <w:lang w:eastAsia="en-IN" w:bidi="hi-IN"/>
        </w:rPr>
        <w:t>. World Bank Publications.</w:t>
      </w:r>
    </w:p>
    <w:p w14:paraId="5030066B"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rPr>
        <w:t>Nordtveit, B. H. (2008). Poverty alleviation and integrated service delivery: Literacy, early child development and health. International Journal of Educational Development, 28(4), 405–418.</w:t>
      </w:r>
    </w:p>
    <w:p w14:paraId="5D731401"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proofErr w:type="spellStart"/>
      <w:r w:rsidRPr="0044655B">
        <w:rPr>
          <w:rFonts w:ascii="Times New Roman" w:hAnsi="Times New Roman" w:cs="Times New Roman"/>
          <w:sz w:val="24"/>
          <w:szCs w:val="24"/>
          <w:lang w:eastAsia="en-IN" w:bidi="hi-IN"/>
        </w:rPr>
        <w:t>Pronyk</w:t>
      </w:r>
      <w:proofErr w:type="spellEnd"/>
      <w:r w:rsidRPr="0044655B">
        <w:rPr>
          <w:rFonts w:ascii="Times New Roman" w:hAnsi="Times New Roman" w:cs="Times New Roman"/>
          <w:sz w:val="24"/>
          <w:szCs w:val="24"/>
          <w:lang w:eastAsia="en-IN" w:bidi="hi-IN"/>
        </w:rPr>
        <w:t xml:space="preserve">, P. M., Muniz, M., </w:t>
      </w:r>
      <w:proofErr w:type="spellStart"/>
      <w:r w:rsidRPr="0044655B">
        <w:rPr>
          <w:rFonts w:ascii="Times New Roman" w:hAnsi="Times New Roman" w:cs="Times New Roman"/>
          <w:sz w:val="24"/>
          <w:szCs w:val="24"/>
          <w:lang w:eastAsia="en-IN" w:bidi="hi-IN"/>
        </w:rPr>
        <w:t>Nemser</w:t>
      </w:r>
      <w:proofErr w:type="spellEnd"/>
      <w:r w:rsidRPr="0044655B">
        <w:rPr>
          <w:rFonts w:ascii="Times New Roman" w:hAnsi="Times New Roman" w:cs="Times New Roman"/>
          <w:sz w:val="24"/>
          <w:szCs w:val="24"/>
          <w:lang w:eastAsia="en-IN" w:bidi="hi-IN"/>
        </w:rPr>
        <w:t>, B., Somers, M. A., McClellan, L., Palm, C. A., ... &amp; Sachs, J. D. (2012). The effect of an integrated multisector model for achieving the Millennium Development Goals and improving child survival in rural sub-Saharan Africa: a non-randomised controlled assessment. </w:t>
      </w:r>
      <w:r w:rsidRPr="0044655B">
        <w:rPr>
          <w:rFonts w:ascii="Times New Roman" w:hAnsi="Times New Roman" w:cs="Times New Roman"/>
          <w:i/>
          <w:iCs/>
          <w:sz w:val="24"/>
          <w:szCs w:val="24"/>
          <w:lang w:eastAsia="en-IN" w:bidi="hi-IN"/>
        </w:rPr>
        <w:t>The Lancet</w:t>
      </w:r>
      <w:r w:rsidRPr="0044655B">
        <w:rPr>
          <w:rFonts w:ascii="Times New Roman" w:hAnsi="Times New Roman" w:cs="Times New Roman"/>
          <w:sz w:val="24"/>
          <w:szCs w:val="24"/>
          <w:lang w:eastAsia="en-IN" w:bidi="hi-IN"/>
        </w:rPr>
        <w:t>, </w:t>
      </w:r>
      <w:r w:rsidRPr="0044655B">
        <w:rPr>
          <w:rFonts w:ascii="Times New Roman" w:hAnsi="Times New Roman" w:cs="Times New Roman"/>
          <w:i/>
          <w:iCs/>
          <w:sz w:val="24"/>
          <w:szCs w:val="24"/>
          <w:lang w:eastAsia="en-IN" w:bidi="hi-IN"/>
        </w:rPr>
        <w:t>379</w:t>
      </w:r>
      <w:r w:rsidRPr="0044655B">
        <w:rPr>
          <w:rFonts w:ascii="Times New Roman" w:hAnsi="Times New Roman" w:cs="Times New Roman"/>
          <w:sz w:val="24"/>
          <w:szCs w:val="24"/>
          <w:lang w:eastAsia="en-IN" w:bidi="hi-IN"/>
        </w:rPr>
        <w:t>(9832), 2179-2188.</w:t>
      </w:r>
    </w:p>
    <w:p w14:paraId="22D3621A"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proofErr w:type="spellStart"/>
      <w:r w:rsidRPr="0044655B">
        <w:rPr>
          <w:rFonts w:ascii="Times New Roman" w:hAnsi="Times New Roman" w:cs="Times New Roman"/>
          <w:sz w:val="24"/>
          <w:szCs w:val="24"/>
          <w:lang w:eastAsia="en-IN" w:bidi="hi-IN"/>
        </w:rPr>
        <w:t>Ravallion</w:t>
      </w:r>
      <w:proofErr w:type="spellEnd"/>
      <w:r w:rsidRPr="0044655B">
        <w:rPr>
          <w:rFonts w:ascii="Times New Roman" w:hAnsi="Times New Roman" w:cs="Times New Roman"/>
          <w:sz w:val="24"/>
          <w:szCs w:val="24"/>
          <w:lang w:eastAsia="en-IN" w:bidi="hi-IN"/>
        </w:rPr>
        <w:t xml:space="preserve">, M., Chen, S., &amp; </w:t>
      </w:r>
      <w:proofErr w:type="spellStart"/>
      <w:r w:rsidRPr="0044655B">
        <w:rPr>
          <w:rFonts w:ascii="Times New Roman" w:hAnsi="Times New Roman" w:cs="Times New Roman"/>
          <w:sz w:val="24"/>
          <w:szCs w:val="24"/>
          <w:lang w:eastAsia="en-IN" w:bidi="hi-IN"/>
        </w:rPr>
        <w:t>Sangraula</w:t>
      </w:r>
      <w:proofErr w:type="spellEnd"/>
      <w:r w:rsidRPr="0044655B">
        <w:rPr>
          <w:rFonts w:ascii="Times New Roman" w:hAnsi="Times New Roman" w:cs="Times New Roman"/>
          <w:sz w:val="24"/>
          <w:szCs w:val="24"/>
          <w:lang w:eastAsia="en-IN" w:bidi="hi-IN"/>
        </w:rPr>
        <w:t>, P. (2007). New evidence on the urbanization of global poverty. </w:t>
      </w:r>
      <w:r w:rsidRPr="0044655B">
        <w:rPr>
          <w:rFonts w:ascii="Times New Roman" w:hAnsi="Times New Roman" w:cs="Times New Roman"/>
          <w:i/>
          <w:iCs/>
          <w:sz w:val="24"/>
          <w:szCs w:val="24"/>
          <w:lang w:eastAsia="en-IN" w:bidi="hi-IN"/>
        </w:rPr>
        <w:t>Population and development review</w:t>
      </w:r>
      <w:r w:rsidRPr="0044655B">
        <w:rPr>
          <w:rFonts w:ascii="Times New Roman" w:hAnsi="Times New Roman" w:cs="Times New Roman"/>
          <w:sz w:val="24"/>
          <w:szCs w:val="24"/>
          <w:lang w:eastAsia="en-IN" w:bidi="hi-IN"/>
        </w:rPr>
        <w:t>, </w:t>
      </w:r>
      <w:r w:rsidRPr="0044655B">
        <w:rPr>
          <w:rFonts w:ascii="Times New Roman" w:hAnsi="Times New Roman" w:cs="Times New Roman"/>
          <w:i/>
          <w:iCs/>
          <w:sz w:val="24"/>
          <w:szCs w:val="24"/>
          <w:lang w:eastAsia="en-IN" w:bidi="hi-IN"/>
        </w:rPr>
        <w:t>33</w:t>
      </w:r>
      <w:r w:rsidRPr="0044655B">
        <w:rPr>
          <w:rFonts w:ascii="Times New Roman" w:hAnsi="Times New Roman" w:cs="Times New Roman"/>
          <w:sz w:val="24"/>
          <w:szCs w:val="24"/>
          <w:lang w:eastAsia="en-IN" w:bidi="hi-IN"/>
        </w:rPr>
        <w:t>(4), 667-701.</w:t>
      </w:r>
    </w:p>
    <w:p w14:paraId="22673CF7" w14:textId="77777777" w:rsidR="00E552CA"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proofErr w:type="spellStart"/>
      <w:r w:rsidRPr="0044655B">
        <w:rPr>
          <w:rFonts w:ascii="Times New Roman" w:hAnsi="Times New Roman" w:cs="Times New Roman"/>
          <w:sz w:val="24"/>
          <w:szCs w:val="24"/>
          <w:lang w:eastAsia="en-IN" w:bidi="hi-IN"/>
        </w:rPr>
        <w:t>Ruducha</w:t>
      </w:r>
      <w:proofErr w:type="spellEnd"/>
      <w:r w:rsidRPr="0044655B">
        <w:rPr>
          <w:rFonts w:ascii="Times New Roman" w:hAnsi="Times New Roman" w:cs="Times New Roman"/>
          <w:sz w:val="24"/>
          <w:szCs w:val="24"/>
          <w:lang w:eastAsia="en-IN" w:bidi="hi-IN"/>
        </w:rPr>
        <w:t xml:space="preserve">, J., Mann, C., Singh, N. S., </w:t>
      </w:r>
      <w:proofErr w:type="spellStart"/>
      <w:r w:rsidRPr="0044655B">
        <w:rPr>
          <w:rFonts w:ascii="Times New Roman" w:hAnsi="Times New Roman" w:cs="Times New Roman"/>
          <w:sz w:val="24"/>
          <w:szCs w:val="24"/>
          <w:lang w:eastAsia="en-IN" w:bidi="hi-IN"/>
        </w:rPr>
        <w:t>Gemebo</w:t>
      </w:r>
      <w:proofErr w:type="spellEnd"/>
      <w:r w:rsidRPr="0044655B">
        <w:rPr>
          <w:rFonts w:ascii="Times New Roman" w:hAnsi="Times New Roman" w:cs="Times New Roman"/>
          <w:sz w:val="24"/>
          <w:szCs w:val="24"/>
          <w:lang w:eastAsia="en-IN" w:bidi="hi-IN"/>
        </w:rPr>
        <w:t xml:space="preserve">, T. D., Tessema, N. S., </w:t>
      </w:r>
      <w:proofErr w:type="spellStart"/>
      <w:r w:rsidRPr="0044655B">
        <w:rPr>
          <w:rFonts w:ascii="Times New Roman" w:hAnsi="Times New Roman" w:cs="Times New Roman"/>
          <w:sz w:val="24"/>
          <w:szCs w:val="24"/>
          <w:lang w:eastAsia="en-IN" w:bidi="hi-IN"/>
        </w:rPr>
        <w:t>Baschieri</w:t>
      </w:r>
      <w:proofErr w:type="spellEnd"/>
      <w:r w:rsidRPr="0044655B">
        <w:rPr>
          <w:rFonts w:ascii="Times New Roman" w:hAnsi="Times New Roman" w:cs="Times New Roman"/>
          <w:sz w:val="24"/>
          <w:szCs w:val="24"/>
          <w:lang w:eastAsia="en-IN" w:bidi="hi-IN"/>
        </w:rPr>
        <w:t xml:space="preserve">, A., ... &amp; Berman, P. (2017). How Ethiopia achieved millennium development goal 4 through </w:t>
      </w:r>
      <w:r w:rsidRPr="0044655B">
        <w:rPr>
          <w:rFonts w:ascii="Times New Roman" w:hAnsi="Times New Roman" w:cs="Times New Roman"/>
          <w:sz w:val="24"/>
          <w:szCs w:val="24"/>
          <w:lang w:eastAsia="en-IN" w:bidi="hi-IN"/>
        </w:rPr>
        <w:lastRenderedPageBreak/>
        <w:t>multisectoral interventions: a countdown to 2015 case study. </w:t>
      </w:r>
      <w:r w:rsidRPr="0044655B">
        <w:rPr>
          <w:rFonts w:ascii="Times New Roman" w:hAnsi="Times New Roman" w:cs="Times New Roman"/>
          <w:i/>
          <w:iCs/>
          <w:sz w:val="24"/>
          <w:szCs w:val="24"/>
          <w:lang w:eastAsia="en-IN" w:bidi="hi-IN"/>
        </w:rPr>
        <w:t>The Lancet Global Health</w:t>
      </w:r>
      <w:r w:rsidRPr="0044655B">
        <w:rPr>
          <w:rFonts w:ascii="Times New Roman" w:hAnsi="Times New Roman" w:cs="Times New Roman"/>
          <w:sz w:val="24"/>
          <w:szCs w:val="24"/>
          <w:lang w:eastAsia="en-IN" w:bidi="hi-IN"/>
        </w:rPr>
        <w:t>, </w:t>
      </w:r>
      <w:r w:rsidRPr="0044655B">
        <w:rPr>
          <w:rFonts w:ascii="Times New Roman" w:hAnsi="Times New Roman" w:cs="Times New Roman"/>
          <w:i/>
          <w:iCs/>
          <w:sz w:val="24"/>
          <w:szCs w:val="24"/>
          <w:lang w:eastAsia="en-IN" w:bidi="hi-IN"/>
        </w:rPr>
        <w:t>5</w:t>
      </w:r>
      <w:r w:rsidRPr="0044655B">
        <w:rPr>
          <w:rFonts w:ascii="Times New Roman" w:hAnsi="Times New Roman" w:cs="Times New Roman"/>
          <w:sz w:val="24"/>
          <w:szCs w:val="24"/>
          <w:lang w:eastAsia="en-IN" w:bidi="hi-IN"/>
        </w:rPr>
        <w:t>(11), e1142-e1151.</w:t>
      </w:r>
    </w:p>
    <w:p w14:paraId="3A88B5E5" w14:textId="29B6EAC2" w:rsidR="00AD771C" w:rsidRPr="0044655B" w:rsidRDefault="00AD771C"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AD771C">
        <w:rPr>
          <w:rFonts w:ascii="Times New Roman" w:hAnsi="Times New Roman" w:cs="Times New Roman"/>
          <w:sz w:val="24"/>
          <w:szCs w:val="24"/>
          <w:lang w:eastAsia="en-IN" w:bidi="hi-IN"/>
        </w:rPr>
        <w:t xml:space="preserve">Sachs, J., Kroll, C., Lafortune, G., Fuller, G., &amp; </w:t>
      </w:r>
      <w:proofErr w:type="spellStart"/>
      <w:r w:rsidRPr="00AD771C">
        <w:rPr>
          <w:rFonts w:ascii="Times New Roman" w:hAnsi="Times New Roman" w:cs="Times New Roman"/>
          <w:sz w:val="24"/>
          <w:szCs w:val="24"/>
          <w:lang w:eastAsia="en-IN" w:bidi="hi-IN"/>
        </w:rPr>
        <w:t>Woelm</w:t>
      </w:r>
      <w:proofErr w:type="spellEnd"/>
      <w:r w:rsidRPr="00AD771C">
        <w:rPr>
          <w:rFonts w:ascii="Times New Roman" w:hAnsi="Times New Roman" w:cs="Times New Roman"/>
          <w:sz w:val="24"/>
          <w:szCs w:val="24"/>
          <w:lang w:eastAsia="en-IN" w:bidi="hi-IN"/>
        </w:rPr>
        <w:t xml:space="preserve">, F. (2022). </w:t>
      </w:r>
      <w:r w:rsidRPr="00AD771C">
        <w:rPr>
          <w:rFonts w:ascii="Times New Roman" w:hAnsi="Times New Roman" w:cs="Times New Roman"/>
          <w:i/>
          <w:iCs/>
          <w:sz w:val="24"/>
          <w:szCs w:val="24"/>
          <w:lang w:eastAsia="en-IN" w:bidi="hi-IN"/>
        </w:rPr>
        <w:t>Sustainable Development Report 2022</w:t>
      </w:r>
      <w:r w:rsidRPr="00AD771C">
        <w:rPr>
          <w:rFonts w:ascii="Times New Roman" w:hAnsi="Times New Roman" w:cs="Times New Roman"/>
          <w:sz w:val="24"/>
          <w:szCs w:val="24"/>
          <w:lang w:eastAsia="en-IN" w:bidi="hi-IN"/>
        </w:rPr>
        <w:t>. Cambridge University Press.</w:t>
      </w:r>
    </w:p>
    <w:p w14:paraId="6D9A8813" w14:textId="77777777" w:rsidR="00E552CA" w:rsidRPr="0044655B" w:rsidRDefault="00E552CA" w:rsidP="00E552CA">
      <w:pPr>
        <w:pStyle w:val="ListParagraph"/>
        <w:numPr>
          <w:ilvl w:val="0"/>
          <w:numId w:val="41"/>
        </w:numPr>
        <w:spacing w:line="240" w:lineRule="auto"/>
        <w:jc w:val="both"/>
        <w:rPr>
          <w:rFonts w:ascii="Times New Roman" w:eastAsia="Times New Roman" w:hAnsi="Times New Roman" w:cs="Times New Roman"/>
          <w:sz w:val="24"/>
          <w:szCs w:val="24"/>
          <w:lang w:eastAsia="en-IN" w:bidi="hi-IN"/>
        </w:rPr>
      </w:pPr>
      <w:r w:rsidRPr="0044655B">
        <w:rPr>
          <w:rFonts w:ascii="Times New Roman" w:eastAsia="Times New Roman" w:hAnsi="Times New Roman" w:cs="Times New Roman"/>
          <w:sz w:val="24"/>
          <w:szCs w:val="24"/>
          <w:lang w:eastAsia="en-IN" w:bidi="hi-IN"/>
        </w:rPr>
        <w:t xml:space="preserve">Sen, A. (1999). </w:t>
      </w:r>
      <w:r w:rsidRPr="0044655B">
        <w:rPr>
          <w:rFonts w:ascii="Times New Roman" w:eastAsia="Times New Roman" w:hAnsi="Times New Roman" w:cs="Times New Roman"/>
          <w:i/>
          <w:iCs/>
          <w:sz w:val="24"/>
          <w:szCs w:val="24"/>
          <w:lang w:eastAsia="en-IN" w:bidi="hi-IN"/>
        </w:rPr>
        <w:t>On ethics and economics</w:t>
      </w:r>
      <w:r w:rsidRPr="0044655B">
        <w:rPr>
          <w:rFonts w:ascii="Times New Roman" w:eastAsia="Times New Roman" w:hAnsi="Times New Roman" w:cs="Times New Roman"/>
          <w:sz w:val="24"/>
          <w:szCs w:val="24"/>
          <w:lang w:eastAsia="en-IN" w:bidi="hi-IN"/>
        </w:rPr>
        <w:t>. OUP Catalogue.</w:t>
      </w:r>
    </w:p>
    <w:p w14:paraId="5C633185" w14:textId="77777777" w:rsidR="00E552CA"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Singh, P. K., &amp; Chudasama, H. (2020). Evaluating poverty alleviation strategies in a developing country. </w:t>
      </w:r>
      <w:proofErr w:type="spellStart"/>
      <w:r w:rsidRPr="0044655B">
        <w:rPr>
          <w:rFonts w:ascii="Times New Roman" w:hAnsi="Times New Roman" w:cs="Times New Roman"/>
          <w:i/>
          <w:iCs/>
          <w:sz w:val="24"/>
          <w:szCs w:val="24"/>
          <w:lang w:eastAsia="en-IN" w:bidi="hi-IN"/>
        </w:rPr>
        <w:t>PloS</w:t>
      </w:r>
      <w:proofErr w:type="spellEnd"/>
      <w:r w:rsidRPr="0044655B">
        <w:rPr>
          <w:rFonts w:ascii="Times New Roman" w:hAnsi="Times New Roman" w:cs="Times New Roman"/>
          <w:i/>
          <w:iCs/>
          <w:sz w:val="24"/>
          <w:szCs w:val="24"/>
          <w:lang w:eastAsia="en-IN" w:bidi="hi-IN"/>
        </w:rPr>
        <w:t xml:space="preserve"> one</w:t>
      </w:r>
      <w:r w:rsidRPr="0044655B">
        <w:rPr>
          <w:rFonts w:ascii="Times New Roman" w:hAnsi="Times New Roman" w:cs="Times New Roman"/>
          <w:sz w:val="24"/>
          <w:szCs w:val="24"/>
          <w:lang w:eastAsia="en-IN" w:bidi="hi-IN"/>
        </w:rPr>
        <w:t>, </w:t>
      </w:r>
      <w:r w:rsidRPr="0044655B">
        <w:rPr>
          <w:rFonts w:ascii="Times New Roman" w:hAnsi="Times New Roman" w:cs="Times New Roman"/>
          <w:i/>
          <w:iCs/>
          <w:sz w:val="24"/>
          <w:szCs w:val="24"/>
          <w:lang w:eastAsia="en-IN" w:bidi="hi-IN"/>
        </w:rPr>
        <w:t>15</w:t>
      </w:r>
      <w:r w:rsidRPr="0044655B">
        <w:rPr>
          <w:rFonts w:ascii="Times New Roman" w:hAnsi="Times New Roman" w:cs="Times New Roman"/>
          <w:sz w:val="24"/>
          <w:szCs w:val="24"/>
          <w:lang w:eastAsia="en-IN" w:bidi="hi-IN"/>
        </w:rPr>
        <w:t>(1), e0227176.</w:t>
      </w:r>
    </w:p>
    <w:p w14:paraId="11BAB98A" w14:textId="436C9782" w:rsidR="00805EEC" w:rsidRPr="00805EEC" w:rsidRDefault="00805EEC"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805EEC">
        <w:rPr>
          <w:rFonts w:ascii="Times New Roman" w:hAnsi="Times New Roman" w:cs="Times New Roman"/>
          <w:sz w:val="24"/>
          <w:szCs w:val="24"/>
        </w:rPr>
        <w:t xml:space="preserve">Singh, A. K., Pathak, M., Joshi, M. D., Kumar, S., Kashyap, S., &amp; Hasan, W. (2024). </w:t>
      </w:r>
      <w:r w:rsidRPr="00805EEC">
        <w:rPr>
          <w:rFonts w:ascii="Times New Roman" w:hAnsi="Times New Roman" w:cs="Times New Roman"/>
          <w:i/>
          <w:iCs/>
          <w:sz w:val="24"/>
          <w:szCs w:val="24"/>
        </w:rPr>
        <w:t>The Role of Agriculture in Poverty Alleviation and Rural Development</w:t>
      </w:r>
      <w:r w:rsidRPr="00805EEC">
        <w:rPr>
          <w:rFonts w:ascii="Times New Roman" w:hAnsi="Times New Roman" w:cs="Times New Roman"/>
          <w:sz w:val="24"/>
          <w:szCs w:val="24"/>
        </w:rPr>
        <w:t xml:space="preserve">. Journal of Scientific Research and Reports, 30(8), 529–549. </w:t>
      </w:r>
      <w:hyperlink r:id="rId8" w:tgtFrame="_new" w:history="1">
        <w:r w:rsidRPr="00805EEC">
          <w:rPr>
            <w:rStyle w:val="Hyperlink"/>
            <w:rFonts w:ascii="Times New Roman" w:hAnsi="Times New Roman" w:cs="Times New Roman"/>
            <w:sz w:val="24"/>
            <w:szCs w:val="24"/>
          </w:rPr>
          <w:t>https://doi.org/10.9734/jsrr/2024/v30i82276</w:t>
        </w:r>
      </w:hyperlink>
    </w:p>
    <w:p w14:paraId="646F9574" w14:textId="77777777" w:rsidR="00E552CA" w:rsidRPr="0044655B" w:rsidRDefault="00E552CA" w:rsidP="00E552CA">
      <w:pPr>
        <w:pStyle w:val="ListParagraph"/>
        <w:numPr>
          <w:ilvl w:val="0"/>
          <w:numId w:val="41"/>
        </w:numPr>
        <w:spacing w:after="200" w:line="276" w:lineRule="auto"/>
        <w:rPr>
          <w:rFonts w:ascii="Times New Roman" w:hAnsi="Times New Roman" w:cs="Times New Roman"/>
          <w:sz w:val="24"/>
          <w:szCs w:val="24"/>
        </w:rPr>
      </w:pPr>
      <w:r w:rsidRPr="0044655B">
        <w:rPr>
          <w:rFonts w:ascii="Times New Roman" w:hAnsi="Times New Roman" w:cs="Times New Roman"/>
          <w:sz w:val="24"/>
          <w:szCs w:val="24"/>
        </w:rPr>
        <w:t xml:space="preserve">Sinha, A., &amp; Sreeram, V. (2021). Microfinance, women empowerment and sustainable livelihoods: Evidence from </w:t>
      </w:r>
      <w:proofErr w:type="spellStart"/>
      <w:r w:rsidRPr="0044655B">
        <w:rPr>
          <w:rFonts w:ascii="Times New Roman" w:hAnsi="Times New Roman" w:cs="Times New Roman"/>
          <w:sz w:val="24"/>
          <w:szCs w:val="24"/>
        </w:rPr>
        <w:t>Kudumbashree</w:t>
      </w:r>
      <w:proofErr w:type="spellEnd"/>
      <w:r w:rsidRPr="0044655B">
        <w:rPr>
          <w:rFonts w:ascii="Times New Roman" w:hAnsi="Times New Roman" w:cs="Times New Roman"/>
          <w:sz w:val="24"/>
          <w:szCs w:val="24"/>
        </w:rPr>
        <w:t>. Indian Journal of Human Development, 15(1), 62–79.</w:t>
      </w:r>
    </w:p>
    <w:p w14:paraId="27C570B0"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Sterman, J. D. (2006). Learning from evidence in a complex world. </w:t>
      </w:r>
      <w:r w:rsidRPr="0044655B">
        <w:rPr>
          <w:rFonts w:ascii="Times New Roman" w:hAnsi="Times New Roman" w:cs="Times New Roman"/>
          <w:i/>
          <w:iCs/>
          <w:sz w:val="24"/>
          <w:szCs w:val="24"/>
          <w:lang w:eastAsia="en-IN" w:bidi="hi-IN"/>
        </w:rPr>
        <w:t>American journal of public health</w:t>
      </w:r>
      <w:r w:rsidRPr="0044655B">
        <w:rPr>
          <w:rFonts w:ascii="Times New Roman" w:hAnsi="Times New Roman" w:cs="Times New Roman"/>
          <w:sz w:val="24"/>
          <w:szCs w:val="24"/>
          <w:lang w:eastAsia="en-IN" w:bidi="hi-IN"/>
        </w:rPr>
        <w:t>, </w:t>
      </w:r>
      <w:r w:rsidRPr="0044655B">
        <w:rPr>
          <w:rFonts w:ascii="Times New Roman" w:hAnsi="Times New Roman" w:cs="Times New Roman"/>
          <w:i/>
          <w:iCs/>
          <w:sz w:val="24"/>
          <w:szCs w:val="24"/>
          <w:lang w:eastAsia="en-IN" w:bidi="hi-IN"/>
        </w:rPr>
        <w:t>96</w:t>
      </w:r>
      <w:r w:rsidRPr="0044655B">
        <w:rPr>
          <w:rFonts w:ascii="Times New Roman" w:hAnsi="Times New Roman" w:cs="Times New Roman"/>
          <w:sz w:val="24"/>
          <w:szCs w:val="24"/>
          <w:lang w:eastAsia="en-IN" w:bidi="hi-IN"/>
        </w:rPr>
        <w:t>(3), 505-514.</w:t>
      </w:r>
    </w:p>
    <w:p w14:paraId="5C80D8D7" w14:textId="77777777" w:rsidR="00E552CA" w:rsidRPr="0044655B"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Trends, G. (2017). Challenges and opportunities in the implementation of the Sustainable Development Goals. </w:t>
      </w:r>
      <w:r w:rsidRPr="0044655B">
        <w:rPr>
          <w:rFonts w:ascii="Times New Roman" w:hAnsi="Times New Roman" w:cs="Times New Roman"/>
          <w:i/>
          <w:iCs/>
          <w:sz w:val="24"/>
          <w:szCs w:val="24"/>
          <w:lang w:eastAsia="en-IN" w:bidi="hi-IN"/>
        </w:rPr>
        <w:t>United Nations Development Programme&amp; United Nations Research Institute for Social Development</w:t>
      </w:r>
      <w:r w:rsidRPr="0044655B">
        <w:rPr>
          <w:rFonts w:ascii="Times New Roman" w:hAnsi="Times New Roman" w:cs="Times New Roman"/>
          <w:sz w:val="24"/>
          <w:szCs w:val="24"/>
          <w:lang w:eastAsia="en-IN" w:bidi="hi-IN"/>
        </w:rPr>
        <w:t>, 0-3.</w:t>
      </w:r>
    </w:p>
    <w:p w14:paraId="560BA631" w14:textId="77777777" w:rsidR="00E552CA" w:rsidRDefault="00E552CA"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44655B">
        <w:rPr>
          <w:rFonts w:ascii="Times New Roman" w:hAnsi="Times New Roman" w:cs="Times New Roman"/>
          <w:sz w:val="24"/>
          <w:szCs w:val="24"/>
          <w:lang w:eastAsia="en-IN" w:bidi="hi-IN"/>
        </w:rPr>
        <w:t>Weare, C., Lichterman, P., &amp; Esparza, N. (2014). Collaboration and culture: Organizational culture and the dynamics of collaborative policy networks. </w:t>
      </w:r>
      <w:r w:rsidRPr="0044655B">
        <w:rPr>
          <w:rFonts w:ascii="Times New Roman" w:hAnsi="Times New Roman" w:cs="Times New Roman"/>
          <w:i/>
          <w:iCs/>
          <w:sz w:val="24"/>
          <w:szCs w:val="24"/>
          <w:lang w:eastAsia="en-IN" w:bidi="hi-IN"/>
        </w:rPr>
        <w:t>Policy Studies Journal</w:t>
      </w:r>
      <w:r w:rsidRPr="0044655B">
        <w:rPr>
          <w:rFonts w:ascii="Times New Roman" w:hAnsi="Times New Roman" w:cs="Times New Roman"/>
          <w:sz w:val="24"/>
          <w:szCs w:val="24"/>
          <w:lang w:eastAsia="en-IN" w:bidi="hi-IN"/>
        </w:rPr>
        <w:t>, </w:t>
      </w:r>
      <w:r w:rsidRPr="0044655B">
        <w:rPr>
          <w:rFonts w:ascii="Times New Roman" w:hAnsi="Times New Roman" w:cs="Times New Roman"/>
          <w:i/>
          <w:iCs/>
          <w:sz w:val="24"/>
          <w:szCs w:val="24"/>
          <w:lang w:eastAsia="en-IN" w:bidi="hi-IN"/>
        </w:rPr>
        <w:t>42</w:t>
      </w:r>
      <w:r w:rsidRPr="0044655B">
        <w:rPr>
          <w:rFonts w:ascii="Times New Roman" w:hAnsi="Times New Roman" w:cs="Times New Roman"/>
          <w:sz w:val="24"/>
          <w:szCs w:val="24"/>
          <w:lang w:eastAsia="en-IN" w:bidi="hi-IN"/>
        </w:rPr>
        <w:t>(4), 590-619.</w:t>
      </w:r>
    </w:p>
    <w:p w14:paraId="10D41E43" w14:textId="3499A936" w:rsidR="00AD771C" w:rsidRPr="0044655B" w:rsidRDefault="00AD771C" w:rsidP="00E552CA">
      <w:pPr>
        <w:pStyle w:val="ListParagraph"/>
        <w:numPr>
          <w:ilvl w:val="0"/>
          <w:numId w:val="41"/>
        </w:numPr>
        <w:spacing w:line="240" w:lineRule="auto"/>
        <w:jc w:val="both"/>
        <w:rPr>
          <w:rFonts w:ascii="Times New Roman" w:hAnsi="Times New Roman" w:cs="Times New Roman"/>
          <w:sz w:val="24"/>
          <w:szCs w:val="24"/>
          <w:lang w:eastAsia="en-IN" w:bidi="hi-IN"/>
        </w:rPr>
      </w:pPr>
      <w:r w:rsidRPr="00AD771C">
        <w:rPr>
          <w:rFonts w:ascii="Times New Roman" w:hAnsi="Times New Roman" w:cs="Times New Roman"/>
          <w:sz w:val="24"/>
          <w:szCs w:val="24"/>
          <w:lang w:eastAsia="en-IN" w:bidi="hi-IN"/>
        </w:rPr>
        <w:t xml:space="preserve">World Bank. (2022). </w:t>
      </w:r>
      <w:r w:rsidRPr="00AD771C">
        <w:rPr>
          <w:rFonts w:ascii="Times New Roman" w:hAnsi="Times New Roman" w:cs="Times New Roman"/>
          <w:i/>
          <w:iCs/>
          <w:sz w:val="24"/>
          <w:szCs w:val="24"/>
          <w:lang w:eastAsia="en-IN" w:bidi="hi-IN"/>
        </w:rPr>
        <w:t>Poverty and Shared Prosperity 2022: Correcting Course</w:t>
      </w:r>
      <w:r w:rsidRPr="00AD771C">
        <w:rPr>
          <w:rFonts w:ascii="Times New Roman" w:hAnsi="Times New Roman" w:cs="Times New Roman"/>
          <w:sz w:val="24"/>
          <w:szCs w:val="24"/>
          <w:lang w:eastAsia="en-IN" w:bidi="hi-IN"/>
        </w:rPr>
        <w:t>. World Bank Group.</w:t>
      </w:r>
    </w:p>
    <w:p w14:paraId="03C6A297" w14:textId="28B50167" w:rsidR="00E552CA" w:rsidRDefault="00E552CA" w:rsidP="00926024">
      <w:pPr>
        <w:pStyle w:val="ListParagraph"/>
        <w:numPr>
          <w:ilvl w:val="0"/>
          <w:numId w:val="41"/>
        </w:numPr>
        <w:spacing w:line="240" w:lineRule="auto"/>
        <w:jc w:val="both"/>
        <w:rPr>
          <w:rFonts w:ascii="Times New Roman" w:hAnsi="Times New Roman" w:cs="Times New Roman"/>
          <w:sz w:val="24"/>
          <w:szCs w:val="24"/>
          <w:lang w:eastAsia="en-IN" w:bidi="hi-IN"/>
        </w:rPr>
      </w:pPr>
      <w:proofErr w:type="spellStart"/>
      <w:r w:rsidRPr="0044655B">
        <w:rPr>
          <w:rFonts w:ascii="Times New Roman" w:hAnsi="Times New Roman" w:cs="Times New Roman"/>
          <w:sz w:val="24"/>
          <w:szCs w:val="24"/>
          <w:lang w:eastAsia="en-IN" w:bidi="hi-IN"/>
        </w:rPr>
        <w:t>Undp</w:t>
      </w:r>
      <w:proofErr w:type="spellEnd"/>
      <w:r w:rsidRPr="0044655B">
        <w:rPr>
          <w:rFonts w:ascii="Times New Roman" w:hAnsi="Times New Roman" w:cs="Times New Roman"/>
          <w:sz w:val="24"/>
          <w:szCs w:val="24"/>
          <w:lang w:eastAsia="en-IN" w:bidi="hi-IN"/>
        </w:rPr>
        <w:t>, A. (2016). </w:t>
      </w:r>
      <w:r w:rsidRPr="0044655B">
        <w:rPr>
          <w:rFonts w:ascii="Times New Roman" w:hAnsi="Times New Roman" w:cs="Times New Roman"/>
          <w:i/>
          <w:iCs/>
          <w:sz w:val="24"/>
          <w:szCs w:val="24"/>
          <w:lang w:eastAsia="en-IN" w:bidi="hi-IN"/>
        </w:rPr>
        <w:t>Africa human development report 2016 accelerating gender equality and women’s empowerment in Africa</w:t>
      </w:r>
      <w:r w:rsidRPr="0044655B">
        <w:rPr>
          <w:rFonts w:ascii="Times New Roman" w:hAnsi="Times New Roman" w:cs="Times New Roman"/>
          <w:sz w:val="24"/>
          <w:szCs w:val="24"/>
          <w:lang w:eastAsia="en-IN" w:bidi="hi-IN"/>
        </w:rPr>
        <w:t> (No. 267638). United Nations Development Programme (UNDP).</w:t>
      </w:r>
    </w:p>
    <w:p w14:paraId="7770C96E" w14:textId="20F4EC0C" w:rsidR="00AD771C" w:rsidRPr="00AD771C" w:rsidRDefault="00AD771C" w:rsidP="00AD771C">
      <w:pPr>
        <w:pStyle w:val="ListParagraph"/>
        <w:numPr>
          <w:ilvl w:val="0"/>
          <w:numId w:val="41"/>
        </w:numPr>
        <w:spacing w:line="240" w:lineRule="auto"/>
        <w:jc w:val="both"/>
        <w:rPr>
          <w:rFonts w:ascii="Times New Roman" w:hAnsi="Times New Roman" w:cs="Times New Roman"/>
          <w:sz w:val="24"/>
          <w:szCs w:val="24"/>
          <w:lang w:eastAsia="en-IN" w:bidi="hi-IN"/>
        </w:rPr>
      </w:pPr>
      <w:r w:rsidRPr="00AD771C">
        <w:rPr>
          <w:rFonts w:ascii="Times New Roman" w:hAnsi="Times New Roman" w:cs="Times New Roman"/>
          <w:sz w:val="24"/>
          <w:szCs w:val="24"/>
          <w:lang w:eastAsia="en-IN" w:bidi="hi-IN"/>
        </w:rPr>
        <w:t xml:space="preserve">United Nations. (2023). </w:t>
      </w:r>
      <w:r w:rsidRPr="00AD771C">
        <w:rPr>
          <w:rFonts w:ascii="Times New Roman" w:hAnsi="Times New Roman" w:cs="Times New Roman"/>
          <w:i/>
          <w:iCs/>
          <w:sz w:val="24"/>
          <w:szCs w:val="24"/>
          <w:lang w:eastAsia="en-IN" w:bidi="hi-IN"/>
        </w:rPr>
        <w:t>The Sustainable Development Goals Report 2023</w:t>
      </w:r>
      <w:r w:rsidRPr="00AD771C">
        <w:rPr>
          <w:rFonts w:ascii="Times New Roman" w:hAnsi="Times New Roman" w:cs="Times New Roman"/>
          <w:sz w:val="24"/>
          <w:szCs w:val="24"/>
          <w:lang w:eastAsia="en-IN" w:bidi="hi-IN"/>
        </w:rPr>
        <w:t>. UN.</w:t>
      </w:r>
    </w:p>
    <w:sectPr w:rsidR="00AD771C" w:rsidRPr="00AD771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2E65F" w14:textId="77777777" w:rsidR="006208C7" w:rsidRDefault="006208C7" w:rsidP="0024508A">
      <w:pPr>
        <w:spacing w:after="0" w:line="240" w:lineRule="auto"/>
      </w:pPr>
      <w:r>
        <w:separator/>
      </w:r>
    </w:p>
  </w:endnote>
  <w:endnote w:type="continuationSeparator" w:id="0">
    <w:p w14:paraId="2A6EC44F" w14:textId="77777777" w:rsidR="006208C7" w:rsidRDefault="006208C7" w:rsidP="0024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4910" w14:textId="77777777" w:rsidR="0024508A" w:rsidRDefault="00245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E507" w14:textId="77777777" w:rsidR="0024508A" w:rsidRDefault="00245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1B3F" w14:textId="77777777" w:rsidR="0024508A" w:rsidRDefault="00245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28DE0" w14:textId="77777777" w:rsidR="006208C7" w:rsidRDefault="006208C7" w:rsidP="0024508A">
      <w:pPr>
        <w:spacing w:after="0" w:line="240" w:lineRule="auto"/>
      </w:pPr>
      <w:r>
        <w:separator/>
      </w:r>
    </w:p>
  </w:footnote>
  <w:footnote w:type="continuationSeparator" w:id="0">
    <w:p w14:paraId="5110BDB0" w14:textId="77777777" w:rsidR="006208C7" w:rsidRDefault="006208C7" w:rsidP="00245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7662" w14:textId="2C0D2DDD" w:rsidR="0024508A" w:rsidRDefault="00000000">
    <w:pPr>
      <w:pStyle w:val="Header"/>
    </w:pPr>
    <w:r>
      <w:rPr>
        <w:noProof/>
      </w:rPr>
      <w:pict w14:anchorId="7F459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6431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D5AF" w14:textId="6882EC68" w:rsidR="0024508A" w:rsidRDefault="00000000">
    <w:pPr>
      <w:pStyle w:val="Header"/>
    </w:pPr>
    <w:r>
      <w:rPr>
        <w:noProof/>
      </w:rPr>
      <w:pict w14:anchorId="1AF94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6431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C880" w14:textId="0F4CCABC" w:rsidR="0024508A" w:rsidRDefault="00000000">
    <w:pPr>
      <w:pStyle w:val="Header"/>
    </w:pPr>
    <w:r>
      <w:rPr>
        <w:noProof/>
      </w:rPr>
      <w:pict w14:anchorId="20F2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56431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9F2"/>
    <w:multiLevelType w:val="hybridMultilevel"/>
    <w:tmpl w:val="4AECD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793586"/>
    <w:multiLevelType w:val="multilevel"/>
    <w:tmpl w:val="24F4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85BA1"/>
    <w:multiLevelType w:val="hybridMultilevel"/>
    <w:tmpl w:val="D1CCF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5F507E"/>
    <w:multiLevelType w:val="multilevel"/>
    <w:tmpl w:val="9422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D0696"/>
    <w:multiLevelType w:val="hybridMultilevel"/>
    <w:tmpl w:val="94589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7A3E86"/>
    <w:multiLevelType w:val="hybridMultilevel"/>
    <w:tmpl w:val="C2221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830C96"/>
    <w:multiLevelType w:val="hybridMultilevel"/>
    <w:tmpl w:val="F6A48B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CD1D5A"/>
    <w:multiLevelType w:val="hybridMultilevel"/>
    <w:tmpl w:val="6C66E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EF1776"/>
    <w:multiLevelType w:val="hybridMultilevel"/>
    <w:tmpl w:val="74BCE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2D1963"/>
    <w:multiLevelType w:val="hybridMultilevel"/>
    <w:tmpl w:val="4FD292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104BE6"/>
    <w:multiLevelType w:val="hybridMultilevel"/>
    <w:tmpl w:val="DE4C9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BF24B6"/>
    <w:multiLevelType w:val="hybridMultilevel"/>
    <w:tmpl w:val="0C880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01B3298"/>
    <w:multiLevelType w:val="hybridMultilevel"/>
    <w:tmpl w:val="78DAD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05F6042"/>
    <w:multiLevelType w:val="hybridMultilevel"/>
    <w:tmpl w:val="F0DCB8BA"/>
    <w:lvl w:ilvl="0" w:tplc="27B0F130">
      <w:start w:val="1"/>
      <w:numFmt w:val="decimal"/>
      <w:lvlText w:val="%1."/>
      <w:lvlJc w:val="left"/>
      <w:pPr>
        <w:ind w:left="501" w:hanging="360"/>
      </w:pPr>
      <w:rPr>
        <w:b/>
        <w:bCs/>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4" w15:restartNumberingAfterBreak="0">
    <w:nsid w:val="30A26F37"/>
    <w:multiLevelType w:val="hybridMultilevel"/>
    <w:tmpl w:val="D7BCE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43E7D22"/>
    <w:multiLevelType w:val="multilevel"/>
    <w:tmpl w:val="A752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5689D"/>
    <w:multiLevelType w:val="hybridMultilevel"/>
    <w:tmpl w:val="53EC0034"/>
    <w:lvl w:ilvl="0" w:tplc="46D0E70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821185B"/>
    <w:multiLevelType w:val="hybridMultilevel"/>
    <w:tmpl w:val="4626A7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9436F48"/>
    <w:multiLevelType w:val="hybridMultilevel"/>
    <w:tmpl w:val="B7C6B4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A4C3471"/>
    <w:multiLevelType w:val="hybridMultilevel"/>
    <w:tmpl w:val="1CC05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C4860EE"/>
    <w:multiLevelType w:val="hybridMultilevel"/>
    <w:tmpl w:val="8FB8F2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3D5A57BB"/>
    <w:multiLevelType w:val="hybridMultilevel"/>
    <w:tmpl w:val="EEC23FC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41F232A6"/>
    <w:multiLevelType w:val="hybridMultilevel"/>
    <w:tmpl w:val="8F6EF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23C3499"/>
    <w:multiLevelType w:val="hybridMultilevel"/>
    <w:tmpl w:val="2CE81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54F1AFE"/>
    <w:multiLevelType w:val="hybridMultilevel"/>
    <w:tmpl w:val="89201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C343C22"/>
    <w:multiLevelType w:val="hybridMultilevel"/>
    <w:tmpl w:val="2CEE2C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0BD3139"/>
    <w:multiLevelType w:val="hybridMultilevel"/>
    <w:tmpl w:val="34224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0C43886"/>
    <w:multiLevelType w:val="hybridMultilevel"/>
    <w:tmpl w:val="5966F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31C1D26"/>
    <w:multiLevelType w:val="hybridMultilevel"/>
    <w:tmpl w:val="FD1A7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6ED0B19"/>
    <w:multiLevelType w:val="hybridMultilevel"/>
    <w:tmpl w:val="CFE03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7983CDB"/>
    <w:multiLevelType w:val="multilevel"/>
    <w:tmpl w:val="CA70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3757B1"/>
    <w:multiLevelType w:val="hybridMultilevel"/>
    <w:tmpl w:val="CF14A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689602A"/>
    <w:multiLevelType w:val="hybridMultilevel"/>
    <w:tmpl w:val="F04E7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A244665"/>
    <w:multiLevelType w:val="hybridMultilevel"/>
    <w:tmpl w:val="8AEC25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D9E04D9"/>
    <w:multiLevelType w:val="hybridMultilevel"/>
    <w:tmpl w:val="5F9EA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061133F"/>
    <w:multiLevelType w:val="multilevel"/>
    <w:tmpl w:val="1F28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0B6981"/>
    <w:multiLevelType w:val="multilevel"/>
    <w:tmpl w:val="B168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7E1873"/>
    <w:multiLevelType w:val="multilevel"/>
    <w:tmpl w:val="721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CD5E1A"/>
    <w:multiLevelType w:val="multilevel"/>
    <w:tmpl w:val="8B56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942A9B"/>
    <w:multiLevelType w:val="hybridMultilevel"/>
    <w:tmpl w:val="73642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C482C7C"/>
    <w:multiLevelType w:val="hybridMultilevel"/>
    <w:tmpl w:val="7F182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D8C47ED"/>
    <w:multiLevelType w:val="hybridMultilevel"/>
    <w:tmpl w:val="36BE84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7184653">
    <w:abstractNumId w:val="18"/>
  </w:num>
  <w:num w:numId="2" w16cid:durableId="1838569338">
    <w:abstractNumId w:val="16"/>
  </w:num>
  <w:num w:numId="3" w16cid:durableId="650596708">
    <w:abstractNumId w:val="12"/>
  </w:num>
  <w:num w:numId="4" w16cid:durableId="534125616">
    <w:abstractNumId w:val="33"/>
  </w:num>
  <w:num w:numId="5" w16cid:durableId="1249850374">
    <w:abstractNumId w:val="10"/>
  </w:num>
  <w:num w:numId="6" w16cid:durableId="952786793">
    <w:abstractNumId w:val="29"/>
  </w:num>
  <w:num w:numId="7" w16cid:durableId="813333829">
    <w:abstractNumId w:val="39"/>
  </w:num>
  <w:num w:numId="8" w16cid:durableId="1930849920">
    <w:abstractNumId w:val="34"/>
  </w:num>
  <w:num w:numId="9" w16cid:durableId="1446536285">
    <w:abstractNumId w:val="23"/>
  </w:num>
  <w:num w:numId="10" w16cid:durableId="780075951">
    <w:abstractNumId w:val="6"/>
  </w:num>
  <w:num w:numId="11" w16cid:durableId="1209415868">
    <w:abstractNumId w:val="26"/>
  </w:num>
  <w:num w:numId="12" w16cid:durableId="1654597381">
    <w:abstractNumId w:val="2"/>
  </w:num>
  <w:num w:numId="13" w16cid:durableId="1847859152">
    <w:abstractNumId w:val="24"/>
  </w:num>
  <w:num w:numId="14" w16cid:durableId="1609317136">
    <w:abstractNumId w:val="4"/>
  </w:num>
  <w:num w:numId="15" w16cid:durableId="148450954">
    <w:abstractNumId w:val="21"/>
  </w:num>
  <w:num w:numId="16" w16cid:durableId="1095709879">
    <w:abstractNumId w:val="14"/>
  </w:num>
  <w:num w:numId="17" w16cid:durableId="2089572737">
    <w:abstractNumId w:val="32"/>
  </w:num>
  <w:num w:numId="18" w16cid:durableId="349062445">
    <w:abstractNumId w:val="17"/>
  </w:num>
  <w:num w:numId="19" w16cid:durableId="1606498152">
    <w:abstractNumId w:val="40"/>
  </w:num>
  <w:num w:numId="20" w16cid:durableId="585531287">
    <w:abstractNumId w:val="7"/>
  </w:num>
  <w:num w:numId="21" w16cid:durableId="111560273">
    <w:abstractNumId w:val="0"/>
  </w:num>
  <w:num w:numId="22" w16cid:durableId="1252541756">
    <w:abstractNumId w:val="11"/>
  </w:num>
  <w:num w:numId="23" w16cid:durableId="62028322">
    <w:abstractNumId w:val="22"/>
  </w:num>
  <w:num w:numId="24" w16cid:durableId="700740810">
    <w:abstractNumId w:val="41"/>
  </w:num>
  <w:num w:numId="25" w16cid:durableId="64912338">
    <w:abstractNumId w:val="3"/>
  </w:num>
  <w:num w:numId="26" w16cid:durableId="1717704324">
    <w:abstractNumId w:val="38"/>
  </w:num>
  <w:num w:numId="27" w16cid:durableId="1022635850">
    <w:abstractNumId w:val="15"/>
  </w:num>
  <w:num w:numId="28" w16cid:durableId="1701666681">
    <w:abstractNumId w:val="36"/>
  </w:num>
  <w:num w:numId="29" w16cid:durableId="886333637">
    <w:abstractNumId w:val="30"/>
  </w:num>
  <w:num w:numId="30" w16cid:durableId="1214780449">
    <w:abstractNumId w:val="31"/>
  </w:num>
  <w:num w:numId="31" w16cid:durableId="1616517995">
    <w:abstractNumId w:val="5"/>
  </w:num>
  <w:num w:numId="32" w16cid:durableId="1378430748">
    <w:abstractNumId w:val="8"/>
  </w:num>
  <w:num w:numId="33" w16cid:durableId="577791386">
    <w:abstractNumId w:val="27"/>
  </w:num>
  <w:num w:numId="34" w16cid:durableId="1816751512">
    <w:abstractNumId w:val="19"/>
  </w:num>
  <w:num w:numId="35" w16cid:durableId="647973058">
    <w:abstractNumId w:val="28"/>
  </w:num>
  <w:num w:numId="36" w16cid:durableId="1204560015">
    <w:abstractNumId w:val="13"/>
  </w:num>
  <w:num w:numId="37" w16cid:durableId="1629435142">
    <w:abstractNumId w:val="37"/>
  </w:num>
  <w:num w:numId="38" w16cid:durableId="1987513754">
    <w:abstractNumId w:val="35"/>
  </w:num>
  <w:num w:numId="39" w16cid:durableId="1487817015">
    <w:abstractNumId w:val="9"/>
  </w:num>
  <w:num w:numId="40" w16cid:durableId="135148789">
    <w:abstractNumId w:val="25"/>
  </w:num>
  <w:num w:numId="41" w16cid:durableId="700131665">
    <w:abstractNumId w:val="20"/>
  </w:num>
  <w:num w:numId="42" w16cid:durableId="1327436303">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E15"/>
    <w:rsid w:val="00020F05"/>
    <w:rsid w:val="00022C5B"/>
    <w:rsid w:val="00022DEE"/>
    <w:rsid w:val="00023739"/>
    <w:rsid w:val="00025E88"/>
    <w:rsid w:val="00030037"/>
    <w:rsid w:val="000353EE"/>
    <w:rsid w:val="000447D5"/>
    <w:rsid w:val="000520F5"/>
    <w:rsid w:val="00063296"/>
    <w:rsid w:val="00080499"/>
    <w:rsid w:val="000A4D61"/>
    <w:rsid w:val="000A6D50"/>
    <w:rsid w:val="000C040A"/>
    <w:rsid w:val="000C17A2"/>
    <w:rsid w:val="000D4B33"/>
    <w:rsid w:val="000D6343"/>
    <w:rsid w:val="000E2388"/>
    <w:rsid w:val="000F16E1"/>
    <w:rsid w:val="000F7DA4"/>
    <w:rsid w:val="0010072D"/>
    <w:rsid w:val="0011789A"/>
    <w:rsid w:val="0013742E"/>
    <w:rsid w:val="00165F88"/>
    <w:rsid w:val="00170889"/>
    <w:rsid w:val="001726FE"/>
    <w:rsid w:val="001729D1"/>
    <w:rsid w:val="0017464F"/>
    <w:rsid w:val="001847F7"/>
    <w:rsid w:val="00190CDE"/>
    <w:rsid w:val="001A0514"/>
    <w:rsid w:val="001A4F25"/>
    <w:rsid w:val="001B0B1C"/>
    <w:rsid w:val="001B7328"/>
    <w:rsid w:val="001C2996"/>
    <w:rsid w:val="001D415A"/>
    <w:rsid w:val="001D7BE8"/>
    <w:rsid w:val="001F0B33"/>
    <w:rsid w:val="001F27A9"/>
    <w:rsid w:val="00210517"/>
    <w:rsid w:val="00217397"/>
    <w:rsid w:val="0022036C"/>
    <w:rsid w:val="002210EB"/>
    <w:rsid w:val="00231C22"/>
    <w:rsid w:val="0023397E"/>
    <w:rsid w:val="0023779E"/>
    <w:rsid w:val="0024508A"/>
    <w:rsid w:val="0024699E"/>
    <w:rsid w:val="00263B0B"/>
    <w:rsid w:val="00294701"/>
    <w:rsid w:val="00297A78"/>
    <w:rsid w:val="002A4366"/>
    <w:rsid w:val="002B085C"/>
    <w:rsid w:val="002C6A6C"/>
    <w:rsid w:val="002D5B0F"/>
    <w:rsid w:val="002E128F"/>
    <w:rsid w:val="002E6535"/>
    <w:rsid w:val="002E69E5"/>
    <w:rsid w:val="002F6438"/>
    <w:rsid w:val="00302556"/>
    <w:rsid w:val="00306411"/>
    <w:rsid w:val="003167E5"/>
    <w:rsid w:val="003237BC"/>
    <w:rsid w:val="00325DD1"/>
    <w:rsid w:val="00333906"/>
    <w:rsid w:val="0035208F"/>
    <w:rsid w:val="00356B83"/>
    <w:rsid w:val="00365767"/>
    <w:rsid w:val="0037297F"/>
    <w:rsid w:val="00373951"/>
    <w:rsid w:val="0037670F"/>
    <w:rsid w:val="003840D6"/>
    <w:rsid w:val="00387D8E"/>
    <w:rsid w:val="00390F0E"/>
    <w:rsid w:val="00395EA3"/>
    <w:rsid w:val="00397875"/>
    <w:rsid w:val="003A3006"/>
    <w:rsid w:val="003A7439"/>
    <w:rsid w:val="003B298B"/>
    <w:rsid w:val="003C56FC"/>
    <w:rsid w:val="003C710B"/>
    <w:rsid w:val="003E2E4E"/>
    <w:rsid w:val="003E3A64"/>
    <w:rsid w:val="004328D1"/>
    <w:rsid w:val="00437241"/>
    <w:rsid w:val="00454AB0"/>
    <w:rsid w:val="004A3DDF"/>
    <w:rsid w:val="004B7562"/>
    <w:rsid w:val="004C0DC7"/>
    <w:rsid w:val="004D32E9"/>
    <w:rsid w:val="004E0E3A"/>
    <w:rsid w:val="004E3CBC"/>
    <w:rsid w:val="004F1F84"/>
    <w:rsid w:val="004F2662"/>
    <w:rsid w:val="004F701B"/>
    <w:rsid w:val="00511D21"/>
    <w:rsid w:val="0051571A"/>
    <w:rsid w:val="005203D8"/>
    <w:rsid w:val="00531D25"/>
    <w:rsid w:val="005358F2"/>
    <w:rsid w:val="0053789D"/>
    <w:rsid w:val="005438BE"/>
    <w:rsid w:val="0054399D"/>
    <w:rsid w:val="00550651"/>
    <w:rsid w:val="0055280E"/>
    <w:rsid w:val="005537CD"/>
    <w:rsid w:val="00556A3C"/>
    <w:rsid w:val="00560FB7"/>
    <w:rsid w:val="00562463"/>
    <w:rsid w:val="005676DE"/>
    <w:rsid w:val="00576284"/>
    <w:rsid w:val="005A25E0"/>
    <w:rsid w:val="005A4ED6"/>
    <w:rsid w:val="005B05F6"/>
    <w:rsid w:val="005C1553"/>
    <w:rsid w:val="005C29F8"/>
    <w:rsid w:val="005C3626"/>
    <w:rsid w:val="005C706A"/>
    <w:rsid w:val="005E4271"/>
    <w:rsid w:val="00602709"/>
    <w:rsid w:val="0061313B"/>
    <w:rsid w:val="00613A0D"/>
    <w:rsid w:val="006208C7"/>
    <w:rsid w:val="006235DB"/>
    <w:rsid w:val="0063116F"/>
    <w:rsid w:val="006312B9"/>
    <w:rsid w:val="00652EC9"/>
    <w:rsid w:val="00675D60"/>
    <w:rsid w:val="0068314C"/>
    <w:rsid w:val="00684DE7"/>
    <w:rsid w:val="00686365"/>
    <w:rsid w:val="006872A4"/>
    <w:rsid w:val="0069015B"/>
    <w:rsid w:val="006920F8"/>
    <w:rsid w:val="00696017"/>
    <w:rsid w:val="006A1B86"/>
    <w:rsid w:val="006B3817"/>
    <w:rsid w:val="006C60B1"/>
    <w:rsid w:val="006E2F55"/>
    <w:rsid w:val="006E5986"/>
    <w:rsid w:val="006F0A3D"/>
    <w:rsid w:val="006F2D03"/>
    <w:rsid w:val="0070295B"/>
    <w:rsid w:val="00705B69"/>
    <w:rsid w:val="00723507"/>
    <w:rsid w:val="007242FF"/>
    <w:rsid w:val="00747900"/>
    <w:rsid w:val="007548BD"/>
    <w:rsid w:val="00765173"/>
    <w:rsid w:val="007673F5"/>
    <w:rsid w:val="00772C87"/>
    <w:rsid w:val="00772CF7"/>
    <w:rsid w:val="00774D9A"/>
    <w:rsid w:val="007818A9"/>
    <w:rsid w:val="00794AC9"/>
    <w:rsid w:val="007A1F65"/>
    <w:rsid w:val="007A4E87"/>
    <w:rsid w:val="007B1B40"/>
    <w:rsid w:val="007C3B8E"/>
    <w:rsid w:val="007C59D1"/>
    <w:rsid w:val="007C5DE6"/>
    <w:rsid w:val="007D2EF9"/>
    <w:rsid w:val="007D44EC"/>
    <w:rsid w:val="007F1D41"/>
    <w:rsid w:val="007F4268"/>
    <w:rsid w:val="007F51AA"/>
    <w:rsid w:val="0080156C"/>
    <w:rsid w:val="008059CD"/>
    <w:rsid w:val="00805EEC"/>
    <w:rsid w:val="00814329"/>
    <w:rsid w:val="008203BC"/>
    <w:rsid w:val="00826D96"/>
    <w:rsid w:val="0084706B"/>
    <w:rsid w:val="00850511"/>
    <w:rsid w:val="00854BF8"/>
    <w:rsid w:val="0085513C"/>
    <w:rsid w:val="00862FCE"/>
    <w:rsid w:val="00863D3C"/>
    <w:rsid w:val="00877106"/>
    <w:rsid w:val="00890207"/>
    <w:rsid w:val="00890D5F"/>
    <w:rsid w:val="008978EC"/>
    <w:rsid w:val="008A1846"/>
    <w:rsid w:val="008A7ACA"/>
    <w:rsid w:val="008D6195"/>
    <w:rsid w:val="008D7903"/>
    <w:rsid w:val="008E4E84"/>
    <w:rsid w:val="008E70A4"/>
    <w:rsid w:val="008F1707"/>
    <w:rsid w:val="008F35C7"/>
    <w:rsid w:val="008F747A"/>
    <w:rsid w:val="00901999"/>
    <w:rsid w:val="00915A85"/>
    <w:rsid w:val="009167FE"/>
    <w:rsid w:val="00917B6A"/>
    <w:rsid w:val="00921079"/>
    <w:rsid w:val="00926024"/>
    <w:rsid w:val="009302C3"/>
    <w:rsid w:val="00930CF4"/>
    <w:rsid w:val="00932888"/>
    <w:rsid w:val="009364BD"/>
    <w:rsid w:val="00937FD0"/>
    <w:rsid w:val="0094372D"/>
    <w:rsid w:val="00947D2F"/>
    <w:rsid w:val="009540D7"/>
    <w:rsid w:val="00961E34"/>
    <w:rsid w:val="0096771E"/>
    <w:rsid w:val="00990E0E"/>
    <w:rsid w:val="009C6E37"/>
    <w:rsid w:val="009C73B4"/>
    <w:rsid w:val="009D1F97"/>
    <w:rsid w:val="009E093E"/>
    <w:rsid w:val="009E568E"/>
    <w:rsid w:val="009E75B5"/>
    <w:rsid w:val="00A32725"/>
    <w:rsid w:val="00A60CCD"/>
    <w:rsid w:val="00A62026"/>
    <w:rsid w:val="00A704A0"/>
    <w:rsid w:val="00A83DB6"/>
    <w:rsid w:val="00AA08A8"/>
    <w:rsid w:val="00AA75B6"/>
    <w:rsid w:val="00AB06E9"/>
    <w:rsid w:val="00AB1215"/>
    <w:rsid w:val="00AD771C"/>
    <w:rsid w:val="00AF12DE"/>
    <w:rsid w:val="00B04D00"/>
    <w:rsid w:val="00B0739C"/>
    <w:rsid w:val="00B13508"/>
    <w:rsid w:val="00B160EF"/>
    <w:rsid w:val="00B21B31"/>
    <w:rsid w:val="00B22F65"/>
    <w:rsid w:val="00B31C7A"/>
    <w:rsid w:val="00B43354"/>
    <w:rsid w:val="00B5246B"/>
    <w:rsid w:val="00B56F12"/>
    <w:rsid w:val="00B67333"/>
    <w:rsid w:val="00B93794"/>
    <w:rsid w:val="00B94CFB"/>
    <w:rsid w:val="00BC1F92"/>
    <w:rsid w:val="00BC4468"/>
    <w:rsid w:val="00BD3891"/>
    <w:rsid w:val="00BE0C09"/>
    <w:rsid w:val="00BE7FE4"/>
    <w:rsid w:val="00BF2644"/>
    <w:rsid w:val="00BF51F9"/>
    <w:rsid w:val="00C02AC8"/>
    <w:rsid w:val="00C210B6"/>
    <w:rsid w:val="00C27DD2"/>
    <w:rsid w:val="00C3400E"/>
    <w:rsid w:val="00C34F5F"/>
    <w:rsid w:val="00C4734D"/>
    <w:rsid w:val="00C51CEE"/>
    <w:rsid w:val="00C65DB7"/>
    <w:rsid w:val="00C676DE"/>
    <w:rsid w:val="00C71691"/>
    <w:rsid w:val="00C74DBC"/>
    <w:rsid w:val="00C77573"/>
    <w:rsid w:val="00C83646"/>
    <w:rsid w:val="00C85066"/>
    <w:rsid w:val="00CA08CA"/>
    <w:rsid w:val="00CA1ECD"/>
    <w:rsid w:val="00CB0DBA"/>
    <w:rsid w:val="00CC466E"/>
    <w:rsid w:val="00CC5982"/>
    <w:rsid w:val="00CD132F"/>
    <w:rsid w:val="00CD70C2"/>
    <w:rsid w:val="00CE059F"/>
    <w:rsid w:val="00CF4435"/>
    <w:rsid w:val="00D05BC5"/>
    <w:rsid w:val="00D07250"/>
    <w:rsid w:val="00D14F9D"/>
    <w:rsid w:val="00D15250"/>
    <w:rsid w:val="00D15B52"/>
    <w:rsid w:val="00D213C6"/>
    <w:rsid w:val="00D251BF"/>
    <w:rsid w:val="00D26A36"/>
    <w:rsid w:val="00D6755E"/>
    <w:rsid w:val="00D75897"/>
    <w:rsid w:val="00D84681"/>
    <w:rsid w:val="00D931C0"/>
    <w:rsid w:val="00DB0869"/>
    <w:rsid w:val="00DC2A8E"/>
    <w:rsid w:val="00DC5A92"/>
    <w:rsid w:val="00DC66D2"/>
    <w:rsid w:val="00DC701F"/>
    <w:rsid w:val="00DE0E38"/>
    <w:rsid w:val="00DE271B"/>
    <w:rsid w:val="00DF0299"/>
    <w:rsid w:val="00DF541A"/>
    <w:rsid w:val="00DF784C"/>
    <w:rsid w:val="00E23842"/>
    <w:rsid w:val="00E3071D"/>
    <w:rsid w:val="00E50C97"/>
    <w:rsid w:val="00E539C8"/>
    <w:rsid w:val="00E542CE"/>
    <w:rsid w:val="00E552CA"/>
    <w:rsid w:val="00E60AC7"/>
    <w:rsid w:val="00E7285E"/>
    <w:rsid w:val="00E7496E"/>
    <w:rsid w:val="00E772EF"/>
    <w:rsid w:val="00E85DCA"/>
    <w:rsid w:val="00EC029A"/>
    <w:rsid w:val="00EC1971"/>
    <w:rsid w:val="00EC6E46"/>
    <w:rsid w:val="00EC7E15"/>
    <w:rsid w:val="00ED0BC1"/>
    <w:rsid w:val="00ED5A56"/>
    <w:rsid w:val="00EE5BCC"/>
    <w:rsid w:val="00F00FF6"/>
    <w:rsid w:val="00F02DF0"/>
    <w:rsid w:val="00F07F07"/>
    <w:rsid w:val="00F1044C"/>
    <w:rsid w:val="00F146ED"/>
    <w:rsid w:val="00F22AA2"/>
    <w:rsid w:val="00F23675"/>
    <w:rsid w:val="00F27B53"/>
    <w:rsid w:val="00F31FE6"/>
    <w:rsid w:val="00F36564"/>
    <w:rsid w:val="00F36805"/>
    <w:rsid w:val="00F72DB2"/>
    <w:rsid w:val="00F83FFF"/>
    <w:rsid w:val="00F843AD"/>
    <w:rsid w:val="00F97056"/>
    <w:rsid w:val="00FA068F"/>
    <w:rsid w:val="00FA4DB7"/>
    <w:rsid w:val="00FB7752"/>
    <w:rsid w:val="00FD268C"/>
    <w:rsid w:val="00FE5746"/>
    <w:rsid w:val="00FE69F6"/>
    <w:rsid w:val="00FF0A8F"/>
    <w:rsid w:val="00FF5662"/>
    <w:rsid w:val="00FF64F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F9879"/>
  <w15:chartTrackingRefBased/>
  <w15:docId w15:val="{CDAD51C9-97D3-49FB-8924-5C0F5C4B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38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2">
    <w:name w:val="heading 2"/>
    <w:basedOn w:val="Normal"/>
    <w:link w:val="Heading2Char"/>
    <w:uiPriority w:val="9"/>
    <w:qFormat/>
    <w:rsid w:val="00BD3891"/>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paragraph" w:styleId="Heading3">
    <w:name w:val="heading 3"/>
    <w:basedOn w:val="Normal"/>
    <w:link w:val="Heading3Char"/>
    <w:uiPriority w:val="9"/>
    <w:qFormat/>
    <w:rsid w:val="00BD3891"/>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paragraph" w:styleId="Heading4">
    <w:name w:val="heading 4"/>
    <w:basedOn w:val="Normal"/>
    <w:next w:val="Normal"/>
    <w:link w:val="Heading4Char"/>
    <w:uiPriority w:val="9"/>
    <w:semiHidden/>
    <w:unhideWhenUsed/>
    <w:qFormat/>
    <w:rsid w:val="00FF56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7E15"/>
    <w:rPr>
      <w:color w:val="0000FF"/>
      <w:u w:val="single"/>
    </w:rPr>
  </w:style>
  <w:style w:type="paragraph" w:styleId="NormalWeb">
    <w:name w:val="Normal (Web)"/>
    <w:basedOn w:val="Normal"/>
    <w:uiPriority w:val="99"/>
    <w:unhideWhenUsed/>
    <w:rsid w:val="00B56F12"/>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UnresolvedMention1">
    <w:name w:val="Unresolved Mention1"/>
    <w:basedOn w:val="DefaultParagraphFont"/>
    <w:uiPriority w:val="99"/>
    <w:semiHidden/>
    <w:unhideWhenUsed/>
    <w:rsid w:val="009302C3"/>
    <w:rPr>
      <w:color w:val="605E5C"/>
      <w:shd w:val="clear" w:color="auto" w:fill="E1DFDD"/>
    </w:rPr>
  </w:style>
  <w:style w:type="paragraph" w:styleId="ListParagraph">
    <w:name w:val="List Paragraph"/>
    <w:basedOn w:val="Normal"/>
    <w:uiPriority w:val="34"/>
    <w:qFormat/>
    <w:rsid w:val="009302C3"/>
    <w:pPr>
      <w:ind w:left="720"/>
      <w:contextualSpacing/>
    </w:pPr>
  </w:style>
  <w:style w:type="character" w:customStyle="1" w:styleId="Heading1Char">
    <w:name w:val="Heading 1 Char"/>
    <w:basedOn w:val="DefaultParagraphFont"/>
    <w:link w:val="Heading1"/>
    <w:uiPriority w:val="9"/>
    <w:rsid w:val="00BD3891"/>
    <w:rPr>
      <w:rFonts w:ascii="Times New Roman" w:eastAsia="Times New Roman" w:hAnsi="Times New Roman" w:cs="Times New Roman"/>
      <w:b/>
      <w:bCs/>
      <w:kern w:val="36"/>
      <w:sz w:val="48"/>
      <w:szCs w:val="48"/>
      <w:lang w:eastAsia="en-IN" w:bidi="hi-IN"/>
    </w:rPr>
  </w:style>
  <w:style w:type="character" w:customStyle="1" w:styleId="Heading2Char">
    <w:name w:val="Heading 2 Char"/>
    <w:basedOn w:val="DefaultParagraphFont"/>
    <w:link w:val="Heading2"/>
    <w:uiPriority w:val="9"/>
    <w:rsid w:val="00BD3891"/>
    <w:rPr>
      <w:rFonts w:ascii="Times New Roman" w:eastAsia="Times New Roman" w:hAnsi="Times New Roman" w:cs="Times New Roman"/>
      <w:b/>
      <w:bCs/>
      <w:sz w:val="36"/>
      <w:szCs w:val="36"/>
      <w:lang w:eastAsia="en-IN" w:bidi="hi-IN"/>
    </w:rPr>
  </w:style>
  <w:style w:type="character" w:customStyle="1" w:styleId="Heading3Char">
    <w:name w:val="Heading 3 Char"/>
    <w:basedOn w:val="DefaultParagraphFont"/>
    <w:link w:val="Heading3"/>
    <w:uiPriority w:val="9"/>
    <w:rsid w:val="00BD3891"/>
    <w:rPr>
      <w:rFonts w:ascii="Times New Roman" w:eastAsia="Times New Roman" w:hAnsi="Times New Roman" w:cs="Times New Roman"/>
      <w:b/>
      <w:bCs/>
      <w:sz w:val="27"/>
      <w:szCs w:val="27"/>
      <w:lang w:eastAsia="en-IN" w:bidi="hi-IN"/>
    </w:rPr>
  </w:style>
  <w:style w:type="character" w:styleId="Strong">
    <w:name w:val="Strong"/>
    <w:basedOn w:val="DefaultParagraphFont"/>
    <w:uiPriority w:val="22"/>
    <w:qFormat/>
    <w:rsid w:val="00BD3891"/>
    <w:rPr>
      <w:b/>
      <w:bCs/>
    </w:rPr>
  </w:style>
  <w:style w:type="character" w:customStyle="1" w:styleId="Heading4Char">
    <w:name w:val="Heading 4 Char"/>
    <w:basedOn w:val="DefaultParagraphFont"/>
    <w:link w:val="Heading4"/>
    <w:uiPriority w:val="9"/>
    <w:semiHidden/>
    <w:rsid w:val="00FF566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245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08A"/>
  </w:style>
  <w:style w:type="paragraph" w:styleId="Footer">
    <w:name w:val="footer"/>
    <w:basedOn w:val="Normal"/>
    <w:link w:val="FooterChar"/>
    <w:uiPriority w:val="99"/>
    <w:unhideWhenUsed/>
    <w:rsid w:val="00245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3254">
      <w:bodyDiv w:val="1"/>
      <w:marLeft w:val="0"/>
      <w:marRight w:val="0"/>
      <w:marTop w:val="0"/>
      <w:marBottom w:val="0"/>
      <w:divBdr>
        <w:top w:val="none" w:sz="0" w:space="0" w:color="auto"/>
        <w:left w:val="none" w:sz="0" w:space="0" w:color="auto"/>
        <w:bottom w:val="none" w:sz="0" w:space="0" w:color="auto"/>
        <w:right w:val="none" w:sz="0" w:space="0" w:color="auto"/>
      </w:divBdr>
    </w:div>
    <w:div w:id="51733950">
      <w:bodyDiv w:val="1"/>
      <w:marLeft w:val="0"/>
      <w:marRight w:val="0"/>
      <w:marTop w:val="0"/>
      <w:marBottom w:val="0"/>
      <w:divBdr>
        <w:top w:val="none" w:sz="0" w:space="0" w:color="auto"/>
        <w:left w:val="none" w:sz="0" w:space="0" w:color="auto"/>
        <w:bottom w:val="none" w:sz="0" w:space="0" w:color="auto"/>
        <w:right w:val="none" w:sz="0" w:space="0" w:color="auto"/>
      </w:divBdr>
    </w:div>
    <w:div w:id="65736589">
      <w:bodyDiv w:val="1"/>
      <w:marLeft w:val="0"/>
      <w:marRight w:val="0"/>
      <w:marTop w:val="0"/>
      <w:marBottom w:val="0"/>
      <w:divBdr>
        <w:top w:val="none" w:sz="0" w:space="0" w:color="auto"/>
        <w:left w:val="none" w:sz="0" w:space="0" w:color="auto"/>
        <w:bottom w:val="none" w:sz="0" w:space="0" w:color="auto"/>
        <w:right w:val="none" w:sz="0" w:space="0" w:color="auto"/>
      </w:divBdr>
    </w:div>
    <w:div w:id="93981082">
      <w:bodyDiv w:val="1"/>
      <w:marLeft w:val="0"/>
      <w:marRight w:val="0"/>
      <w:marTop w:val="0"/>
      <w:marBottom w:val="0"/>
      <w:divBdr>
        <w:top w:val="none" w:sz="0" w:space="0" w:color="auto"/>
        <w:left w:val="none" w:sz="0" w:space="0" w:color="auto"/>
        <w:bottom w:val="none" w:sz="0" w:space="0" w:color="auto"/>
        <w:right w:val="none" w:sz="0" w:space="0" w:color="auto"/>
      </w:divBdr>
    </w:div>
    <w:div w:id="121701978">
      <w:bodyDiv w:val="1"/>
      <w:marLeft w:val="0"/>
      <w:marRight w:val="0"/>
      <w:marTop w:val="0"/>
      <w:marBottom w:val="0"/>
      <w:divBdr>
        <w:top w:val="none" w:sz="0" w:space="0" w:color="auto"/>
        <w:left w:val="none" w:sz="0" w:space="0" w:color="auto"/>
        <w:bottom w:val="none" w:sz="0" w:space="0" w:color="auto"/>
        <w:right w:val="none" w:sz="0" w:space="0" w:color="auto"/>
      </w:divBdr>
    </w:div>
    <w:div w:id="159741756">
      <w:bodyDiv w:val="1"/>
      <w:marLeft w:val="0"/>
      <w:marRight w:val="0"/>
      <w:marTop w:val="0"/>
      <w:marBottom w:val="0"/>
      <w:divBdr>
        <w:top w:val="none" w:sz="0" w:space="0" w:color="auto"/>
        <w:left w:val="none" w:sz="0" w:space="0" w:color="auto"/>
        <w:bottom w:val="none" w:sz="0" w:space="0" w:color="auto"/>
        <w:right w:val="none" w:sz="0" w:space="0" w:color="auto"/>
      </w:divBdr>
    </w:div>
    <w:div w:id="178128602">
      <w:bodyDiv w:val="1"/>
      <w:marLeft w:val="0"/>
      <w:marRight w:val="0"/>
      <w:marTop w:val="0"/>
      <w:marBottom w:val="0"/>
      <w:divBdr>
        <w:top w:val="none" w:sz="0" w:space="0" w:color="auto"/>
        <w:left w:val="none" w:sz="0" w:space="0" w:color="auto"/>
        <w:bottom w:val="none" w:sz="0" w:space="0" w:color="auto"/>
        <w:right w:val="none" w:sz="0" w:space="0" w:color="auto"/>
      </w:divBdr>
    </w:div>
    <w:div w:id="233899205">
      <w:bodyDiv w:val="1"/>
      <w:marLeft w:val="0"/>
      <w:marRight w:val="0"/>
      <w:marTop w:val="0"/>
      <w:marBottom w:val="0"/>
      <w:divBdr>
        <w:top w:val="none" w:sz="0" w:space="0" w:color="auto"/>
        <w:left w:val="none" w:sz="0" w:space="0" w:color="auto"/>
        <w:bottom w:val="none" w:sz="0" w:space="0" w:color="auto"/>
        <w:right w:val="none" w:sz="0" w:space="0" w:color="auto"/>
      </w:divBdr>
    </w:div>
    <w:div w:id="255553680">
      <w:bodyDiv w:val="1"/>
      <w:marLeft w:val="0"/>
      <w:marRight w:val="0"/>
      <w:marTop w:val="0"/>
      <w:marBottom w:val="0"/>
      <w:divBdr>
        <w:top w:val="none" w:sz="0" w:space="0" w:color="auto"/>
        <w:left w:val="none" w:sz="0" w:space="0" w:color="auto"/>
        <w:bottom w:val="none" w:sz="0" w:space="0" w:color="auto"/>
        <w:right w:val="none" w:sz="0" w:space="0" w:color="auto"/>
      </w:divBdr>
    </w:div>
    <w:div w:id="307591463">
      <w:bodyDiv w:val="1"/>
      <w:marLeft w:val="0"/>
      <w:marRight w:val="0"/>
      <w:marTop w:val="0"/>
      <w:marBottom w:val="0"/>
      <w:divBdr>
        <w:top w:val="none" w:sz="0" w:space="0" w:color="auto"/>
        <w:left w:val="none" w:sz="0" w:space="0" w:color="auto"/>
        <w:bottom w:val="none" w:sz="0" w:space="0" w:color="auto"/>
        <w:right w:val="none" w:sz="0" w:space="0" w:color="auto"/>
      </w:divBdr>
    </w:div>
    <w:div w:id="316616118">
      <w:bodyDiv w:val="1"/>
      <w:marLeft w:val="0"/>
      <w:marRight w:val="0"/>
      <w:marTop w:val="0"/>
      <w:marBottom w:val="0"/>
      <w:divBdr>
        <w:top w:val="none" w:sz="0" w:space="0" w:color="auto"/>
        <w:left w:val="none" w:sz="0" w:space="0" w:color="auto"/>
        <w:bottom w:val="none" w:sz="0" w:space="0" w:color="auto"/>
        <w:right w:val="none" w:sz="0" w:space="0" w:color="auto"/>
      </w:divBdr>
    </w:div>
    <w:div w:id="321592827">
      <w:bodyDiv w:val="1"/>
      <w:marLeft w:val="0"/>
      <w:marRight w:val="0"/>
      <w:marTop w:val="0"/>
      <w:marBottom w:val="0"/>
      <w:divBdr>
        <w:top w:val="none" w:sz="0" w:space="0" w:color="auto"/>
        <w:left w:val="none" w:sz="0" w:space="0" w:color="auto"/>
        <w:bottom w:val="none" w:sz="0" w:space="0" w:color="auto"/>
        <w:right w:val="none" w:sz="0" w:space="0" w:color="auto"/>
      </w:divBdr>
    </w:div>
    <w:div w:id="385493490">
      <w:bodyDiv w:val="1"/>
      <w:marLeft w:val="0"/>
      <w:marRight w:val="0"/>
      <w:marTop w:val="0"/>
      <w:marBottom w:val="0"/>
      <w:divBdr>
        <w:top w:val="none" w:sz="0" w:space="0" w:color="auto"/>
        <w:left w:val="none" w:sz="0" w:space="0" w:color="auto"/>
        <w:bottom w:val="none" w:sz="0" w:space="0" w:color="auto"/>
        <w:right w:val="none" w:sz="0" w:space="0" w:color="auto"/>
      </w:divBdr>
    </w:div>
    <w:div w:id="414865359">
      <w:bodyDiv w:val="1"/>
      <w:marLeft w:val="0"/>
      <w:marRight w:val="0"/>
      <w:marTop w:val="0"/>
      <w:marBottom w:val="0"/>
      <w:divBdr>
        <w:top w:val="none" w:sz="0" w:space="0" w:color="auto"/>
        <w:left w:val="none" w:sz="0" w:space="0" w:color="auto"/>
        <w:bottom w:val="none" w:sz="0" w:space="0" w:color="auto"/>
        <w:right w:val="none" w:sz="0" w:space="0" w:color="auto"/>
      </w:divBdr>
    </w:div>
    <w:div w:id="435104530">
      <w:bodyDiv w:val="1"/>
      <w:marLeft w:val="0"/>
      <w:marRight w:val="0"/>
      <w:marTop w:val="0"/>
      <w:marBottom w:val="0"/>
      <w:divBdr>
        <w:top w:val="none" w:sz="0" w:space="0" w:color="auto"/>
        <w:left w:val="none" w:sz="0" w:space="0" w:color="auto"/>
        <w:bottom w:val="none" w:sz="0" w:space="0" w:color="auto"/>
        <w:right w:val="none" w:sz="0" w:space="0" w:color="auto"/>
      </w:divBdr>
    </w:div>
    <w:div w:id="473564106">
      <w:bodyDiv w:val="1"/>
      <w:marLeft w:val="0"/>
      <w:marRight w:val="0"/>
      <w:marTop w:val="0"/>
      <w:marBottom w:val="0"/>
      <w:divBdr>
        <w:top w:val="none" w:sz="0" w:space="0" w:color="auto"/>
        <w:left w:val="none" w:sz="0" w:space="0" w:color="auto"/>
        <w:bottom w:val="none" w:sz="0" w:space="0" w:color="auto"/>
        <w:right w:val="none" w:sz="0" w:space="0" w:color="auto"/>
      </w:divBdr>
    </w:div>
    <w:div w:id="512650611">
      <w:bodyDiv w:val="1"/>
      <w:marLeft w:val="0"/>
      <w:marRight w:val="0"/>
      <w:marTop w:val="0"/>
      <w:marBottom w:val="0"/>
      <w:divBdr>
        <w:top w:val="none" w:sz="0" w:space="0" w:color="auto"/>
        <w:left w:val="none" w:sz="0" w:space="0" w:color="auto"/>
        <w:bottom w:val="none" w:sz="0" w:space="0" w:color="auto"/>
        <w:right w:val="none" w:sz="0" w:space="0" w:color="auto"/>
      </w:divBdr>
    </w:div>
    <w:div w:id="581915801">
      <w:bodyDiv w:val="1"/>
      <w:marLeft w:val="0"/>
      <w:marRight w:val="0"/>
      <w:marTop w:val="0"/>
      <w:marBottom w:val="0"/>
      <w:divBdr>
        <w:top w:val="none" w:sz="0" w:space="0" w:color="auto"/>
        <w:left w:val="none" w:sz="0" w:space="0" w:color="auto"/>
        <w:bottom w:val="none" w:sz="0" w:space="0" w:color="auto"/>
        <w:right w:val="none" w:sz="0" w:space="0" w:color="auto"/>
      </w:divBdr>
    </w:div>
    <w:div w:id="584536190">
      <w:bodyDiv w:val="1"/>
      <w:marLeft w:val="0"/>
      <w:marRight w:val="0"/>
      <w:marTop w:val="0"/>
      <w:marBottom w:val="0"/>
      <w:divBdr>
        <w:top w:val="none" w:sz="0" w:space="0" w:color="auto"/>
        <w:left w:val="none" w:sz="0" w:space="0" w:color="auto"/>
        <w:bottom w:val="none" w:sz="0" w:space="0" w:color="auto"/>
        <w:right w:val="none" w:sz="0" w:space="0" w:color="auto"/>
      </w:divBdr>
    </w:div>
    <w:div w:id="585725998">
      <w:bodyDiv w:val="1"/>
      <w:marLeft w:val="0"/>
      <w:marRight w:val="0"/>
      <w:marTop w:val="0"/>
      <w:marBottom w:val="0"/>
      <w:divBdr>
        <w:top w:val="none" w:sz="0" w:space="0" w:color="auto"/>
        <w:left w:val="none" w:sz="0" w:space="0" w:color="auto"/>
        <w:bottom w:val="none" w:sz="0" w:space="0" w:color="auto"/>
        <w:right w:val="none" w:sz="0" w:space="0" w:color="auto"/>
      </w:divBdr>
    </w:div>
    <w:div w:id="621694403">
      <w:bodyDiv w:val="1"/>
      <w:marLeft w:val="0"/>
      <w:marRight w:val="0"/>
      <w:marTop w:val="0"/>
      <w:marBottom w:val="0"/>
      <w:divBdr>
        <w:top w:val="none" w:sz="0" w:space="0" w:color="auto"/>
        <w:left w:val="none" w:sz="0" w:space="0" w:color="auto"/>
        <w:bottom w:val="none" w:sz="0" w:space="0" w:color="auto"/>
        <w:right w:val="none" w:sz="0" w:space="0" w:color="auto"/>
      </w:divBdr>
    </w:div>
    <w:div w:id="825126537">
      <w:bodyDiv w:val="1"/>
      <w:marLeft w:val="0"/>
      <w:marRight w:val="0"/>
      <w:marTop w:val="0"/>
      <w:marBottom w:val="0"/>
      <w:divBdr>
        <w:top w:val="none" w:sz="0" w:space="0" w:color="auto"/>
        <w:left w:val="none" w:sz="0" w:space="0" w:color="auto"/>
        <w:bottom w:val="none" w:sz="0" w:space="0" w:color="auto"/>
        <w:right w:val="none" w:sz="0" w:space="0" w:color="auto"/>
      </w:divBdr>
    </w:div>
    <w:div w:id="833377252">
      <w:bodyDiv w:val="1"/>
      <w:marLeft w:val="0"/>
      <w:marRight w:val="0"/>
      <w:marTop w:val="0"/>
      <w:marBottom w:val="0"/>
      <w:divBdr>
        <w:top w:val="none" w:sz="0" w:space="0" w:color="auto"/>
        <w:left w:val="none" w:sz="0" w:space="0" w:color="auto"/>
        <w:bottom w:val="none" w:sz="0" w:space="0" w:color="auto"/>
        <w:right w:val="none" w:sz="0" w:space="0" w:color="auto"/>
      </w:divBdr>
    </w:div>
    <w:div w:id="845365748">
      <w:bodyDiv w:val="1"/>
      <w:marLeft w:val="0"/>
      <w:marRight w:val="0"/>
      <w:marTop w:val="0"/>
      <w:marBottom w:val="0"/>
      <w:divBdr>
        <w:top w:val="none" w:sz="0" w:space="0" w:color="auto"/>
        <w:left w:val="none" w:sz="0" w:space="0" w:color="auto"/>
        <w:bottom w:val="none" w:sz="0" w:space="0" w:color="auto"/>
        <w:right w:val="none" w:sz="0" w:space="0" w:color="auto"/>
      </w:divBdr>
    </w:div>
    <w:div w:id="860585781">
      <w:bodyDiv w:val="1"/>
      <w:marLeft w:val="0"/>
      <w:marRight w:val="0"/>
      <w:marTop w:val="0"/>
      <w:marBottom w:val="0"/>
      <w:divBdr>
        <w:top w:val="none" w:sz="0" w:space="0" w:color="auto"/>
        <w:left w:val="none" w:sz="0" w:space="0" w:color="auto"/>
        <w:bottom w:val="none" w:sz="0" w:space="0" w:color="auto"/>
        <w:right w:val="none" w:sz="0" w:space="0" w:color="auto"/>
      </w:divBdr>
    </w:div>
    <w:div w:id="911308752">
      <w:bodyDiv w:val="1"/>
      <w:marLeft w:val="0"/>
      <w:marRight w:val="0"/>
      <w:marTop w:val="0"/>
      <w:marBottom w:val="0"/>
      <w:divBdr>
        <w:top w:val="none" w:sz="0" w:space="0" w:color="auto"/>
        <w:left w:val="none" w:sz="0" w:space="0" w:color="auto"/>
        <w:bottom w:val="none" w:sz="0" w:space="0" w:color="auto"/>
        <w:right w:val="none" w:sz="0" w:space="0" w:color="auto"/>
      </w:divBdr>
    </w:div>
    <w:div w:id="951207272">
      <w:bodyDiv w:val="1"/>
      <w:marLeft w:val="0"/>
      <w:marRight w:val="0"/>
      <w:marTop w:val="0"/>
      <w:marBottom w:val="0"/>
      <w:divBdr>
        <w:top w:val="none" w:sz="0" w:space="0" w:color="auto"/>
        <w:left w:val="none" w:sz="0" w:space="0" w:color="auto"/>
        <w:bottom w:val="none" w:sz="0" w:space="0" w:color="auto"/>
        <w:right w:val="none" w:sz="0" w:space="0" w:color="auto"/>
      </w:divBdr>
    </w:div>
    <w:div w:id="1022785122">
      <w:bodyDiv w:val="1"/>
      <w:marLeft w:val="0"/>
      <w:marRight w:val="0"/>
      <w:marTop w:val="0"/>
      <w:marBottom w:val="0"/>
      <w:divBdr>
        <w:top w:val="none" w:sz="0" w:space="0" w:color="auto"/>
        <w:left w:val="none" w:sz="0" w:space="0" w:color="auto"/>
        <w:bottom w:val="none" w:sz="0" w:space="0" w:color="auto"/>
        <w:right w:val="none" w:sz="0" w:space="0" w:color="auto"/>
      </w:divBdr>
    </w:div>
    <w:div w:id="1039359513">
      <w:bodyDiv w:val="1"/>
      <w:marLeft w:val="0"/>
      <w:marRight w:val="0"/>
      <w:marTop w:val="0"/>
      <w:marBottom w:val="0"/>
      <w:divBdr>
        <w:top w:val="none" w:sz="0" w:space="0" w:color="auto"/>
        <w:left w:val="none" w:sz="0" w:space="0" w:color="auto"/>
        <w:bottom w:val="none" w:sz="0" w:space="0" w:color="auto"/>
        <w:right w:val="none" w:sz="0" w:space="0" w:color="auto"/>
      </w:divBdr>
    </w:div>
    <w:div w:id="1092358261">
      <w:bodyDiv w:val="1"/>
      <w:marLeft w:val="0"/>
      <w:marRight w:val="0"/>
      <w:marTop w:val="0"/>
      <w:marBottom w:val="0"/>
      <w:divBdr>
        <w:top w:val="none" w:sz="0" w:space="0" w:color="auto"/>
        <w:left w:val="none" w:sz="0" w:space="0" w:color="auto"/>
        <w:bottom w:val="none" w:sz="0" w:space="0" w:color="auto"/>
        <w:right w:val="none" w:sz="0" w:space="0" w:color="auto"/>
      </w:divBdr>
    </w:div>
    <w:div w:id="1164128101">
      <w:bodyDiv w:val="1"/>
      <w:marLeft w:val="0"/>
      <w:marRight w:val="0"/>
      <w:marTop w:val="0"/>
      <w:marBottom w:val="0"/>
      <w:divBdr>
        <w:top w:val="none" w:sz="0" w:space="0" w:color="auto"/>
        <w:left w:val="none" w:sz="0" w:space="0" w:color="auto"/>
        <w:bottom w:val="none" w:sz="0" w:space="0" w:color="auto"/>
        <w:right w:val="none" w:sz="0" w:space="0" w:color="auto"/>
      </w:divBdr>
    </w:div>
    <w:div w:id="1164784606">
      <w:bodyDiv w:val="1"/>
      <w:marLeft w:val="0"/>
      <w:marRight w:val="0"/>
      <w:marTop w:val="0"/>
      <w:marBottom w:val="0"/>
      <w:divBdr>
        <w:top w:val="none" w:sz="0" w:space="0" w:color="auto"/>
        <w:left w:val="none" w:sz="0" w:space="0" w:color="auto"/>
        <w:bottom w:val="none" w:sz="0" w:space="0" w:color="auto"/>
        <w:right w:val="none" w:sz="0" w:space="0" w:color="auto"/>
      </w:divBdr>
    </w:div>
    <w:div w:id="1167208811">
      <w:bodyDiv w:val="1"/>
      <w:marLeft w:val="0"/>
      <w:marRight w:val="0"/>
      <w:marTop w:val="0"/>
      <w:marBottom w:val="0"/>
      <w:divBdr>
        <w:top w:val="none" w:sz="0" w:space="0" w:color="auto"/>
        <w:left w:val="none" w:sz="0" w:space="0" w:color="auto"/>
        <w:bottom w:val="none" w:sz="0" w:space="0" w:color="auto"/>
        <w:right w:val="none" w:sz="0" w:space="0" w:color="auto"/>
      </w:divBdr>
    </w:div>
    <w:div w:id="1180774581">
      <w:bodyDiv w:val="1"/>
      <w:marLeft w:val="0"/>
      <w:marRight w:val="0"/>
      <w:marTop w:val="0"/>
      <w:marBottom w:val="0"/>
      <w:divBdr>
        <w:top w:val="none" w:sz="0" w:space="0" w:color="auto"/>
        <w:left w:val="none" w:sz="0" w:space="0" w:color="auto"/>
        <w:bottom w:val="none" w:sz="0" w:space="0" w:color="auto"/>
        <w:right w:val="none" w:sz="0" w:space="0" w:color="auto"/>
      </w:divBdr>
    </w:div>
    <w:div w:id="1286473516">
      <w:bodyDiv w:val="1"/>
      <w:marLeft w:val="0"/>
      <w:marRight w:val="0"/>
      <w:marTop w:val="0"/>
      <w:marBottom w:val="0"/>
      <w:divBdr>
        <w:top w:val="none" w:sz="0" w:space="0" w:color="auto"/>
        <w:left w:val="none" w:sz="0" w:space="0" w:color="auto"/>
        <w:bottom w:val="none" w:sz="0" w:space="0" w:color="auto"/>
        <w:right w:val="none" w:sz="0" w:space="0" w:color="auto"/>
      </w:divBdr>
    </w:div>
    <w:div w:id="1338262987">
      <w:bodyDiv w:val="1"/>
      <w:marLeft w:val="0"/>
      <w:marRight w:val="0"/>
      <w:marTop w:val="0"/>
      <w:marBottom w:val="0"/>
      <w:divBdr>
        <w:top w:val="none" w:sz="0" w:space="0" w:color="auto"/>
        <w:left w:val="none" w:sz="0" w:space="0" w:color="auto"/>
        <w:bottom w:val="none" w:sz="0" w:space="0" w:color="auto"/>
        <w:right w:val="none" w:sz="0" w:space="0" w:color="auto"/>
      </w:divBdr>
    </w:div>
    <w:div w:id="1393848687">
      <w:bodyDiv w:val="1"/>
      <w:marLeft w:val="0"/>
      <w:marRight w:val="0"/>
      <w:marTop w:val="0"/>
      <w:marBottom w:val="0"/>
      <w:divBdr>
        <w:top w:val="none" w:sz="0" w:space="0" w:color="auto"/>
        <w:left w:val="none" w:sz="0" w:space="0" w:color="auto"/>
        <w:bottom w:val="none" w:sz="0" w:space="0" w:color="auto"/>
        <w:right w:val="none" w:sz="0" w:space="0" w:color="auto"/>
      </w:divBdr>
    </w:div>
    <w:div w:id="1418138899">
      <w:bodyDiv w:val="1"/>
      <w:marLeft w:val="0"/>
      <w:marRight w:val="0"/>
      <w:marTop w:val="0"/>
      <w:marBottom w:val="0"/>
      <w:divBdr>
        <w:top w:val="none" w:sz="0" w:space="0" w:color="auto"/>
        <w:left w:val="none" w:sz="0" w:space="0" w:color="auto"/>
        <w:bottom w:val="none" w:sz="0" w:space="0" w:color="auto"/>
        <w:right w:val="none" w:sz="0" w:space="0" w:color="auto"/>
      </w:divBdr>
    </w:div>
    <w:div w:id="1480993652">
      <w:bodyDiv w:val="1"/>
      <w:marLeft w:val="0"/>
      <w:marRight w:val="0"/>
      <w:marTop w:val="0"/>
      <w:marBottom w:val="0"/>
      <w:divBdr>
        <w:top w:val="none" w:sz="0" w:space="0" w:color="auto"/>
        <w:left w:val="none" w:sz="0" w:space="0" w:color="auto"/>
        <w:bottom w:val="none" w:sz="0" w:space="0" w:color="auto"/>
        <w:right w:val="none" w:sz="0" w:space="0" w:color="auto"/>
      </w:divBdr>
    </w:div>
    <w:div w:id="1504737019">
      <w:bodyDiv w:val="1"/>
      <w:marLeft w:val="0"/>
      <w:marRight w:val="0"/>
      <w:marTop w:val="0"/>
      <w:marBottom w:val="0"/>
      <w:divBdr>
        <w:top w:val="none" w:sz="0" w:space="0" w:color="auto"/>
        <w:left w:val="none" w:sz="0" w:space="0" w:color="auto"/>
        <w:bottom w:val="none" w:sz="0" w:space="0" w:color="auto"/>
        <w:right w:val="none" w:sz="0" w:space="0" w:color="auto"/>
      </w:divBdr>
    </w:div>
    <w:div w:id="1513685894">
      <w:bodyDiv w:val="1"/>
      <w:marLeft w:val="0"/>
      <w:marRight w:val="0"/>
      <w:marTop w:val="0"/>
      <w:marBottom w:val="0"/>
      <w:divBdr>
        <w:top w:val="none" w:sz="0" w:space="0" w:color="auto"/>
        <w:left w:val="none" w:sz="0" w:space="0" w:color="auto"/>
        <w:bottom w:val="none" w:sz="0" w:space="0" w:color="auto"/>
        <w:right w:val="none" w:sz="0" w:space="0" w:color="auto"/>
      </w:divBdr>
    </w:div>
    <w:div w:id="1573388336">
      <w:bodyDiv w:val="1"/>
      <w:marLeft w:val="0"/>
      <w:marRight w:val="0"/>
      <w:marTop w:val="0"/>
      <w:marBottom w:val="0"/>
      <w:divBdr>
        <w:top w:val="none" w:sz="0" w:space="0" w:color="auto"/>
        <w:left w:val="none" w:sz="0" w:space="0" w:color="auto"/>
        <w:bottom w:val="none" w:sz="0" w:space="0" w:color="auto"/>
        <w:right w:val="none" w:sz="0" w:space="0" w:color="auto"/>
      </w:divBdr>
    </w:div>
    <w:div w:id="1619530492">
      <w:bodyDiv w:val="1"/>
      <w:marLeft w:val="0"/>
      <w:marRight w:val="0"/>
      <w:marTop w:val="0"/>
      <w:marBottom w:val="0"/>
      <w:divBdr>
        <w:top w:val="none" w:sz="0" w:space="0" w:color="auto"/>
        <w:left w:val="none" w:sz="0" w:space="0" w:color="auto"/>
        <w:bottom w:val="none" w:sz="0" w:space="0" w:color="auto"/>
        <w:right w:val="none" w:sz="0" w:space="0" w:color="auto"/>
      </w:divBdr>
    </w:div>
    <w:div w:id="1774084577">
      <w:bodyDiv w:val="1"/>
      <w:marLeft w:val="0"/>
      <w:marRight w:val="0"/>
      <w:marTop w:val="0"/>
      <w:marBottom w:val="0"/>
      <w:divBdr>
        <w:top w:val="none" w:sz="0" w:space="0" w:color="auto"/>
        <w:left w:val="none" w:sz="0" w:space="0" w:color="auto"/>
        <w:bottom w:val="none" w:sz="0" w:space="0" w:color="auto"/>
        <w:right w:val="none" w:sz="0" w:space="0" w:color="auto"/>
      </w:divBdr>
    </w:div>
    <w:div w:id="1800143875">
      <w:bodyDiv w:val="1"/>
      <w:marLeft w:val="0"/>
      <w:marRight w:val="0"/>
      <w:marTop w:val="0"/>
      <w:marBottom w:val="0"/>
      <w:divBdr>
        <w:top w:val="none" w:sz="0" w:space="0" w:color="auto"/>
        <w:left w:val="none" w:sz="0" w:space="0" w:color="auto"/>
        <w:bottom w:val="none" w:sz="0" w:space="0" w:color="auto"/>
        <w:right w:val="none" w:sz="0" w:space="0" w:color="auto"/>
      </w:divBdr>
    </w:div>
    <w:div w:id="1899122709">
      <w:bodyDiv w:val="1"/>
      <w:marLeft w:val="0"/>
      <w:marRight w:val="0"/>
      <w:marTop w:val="0"/>
      <w:marBottom w:val="0"/>
      <w:divBdr>
        <w:top w:val="none" w:sz="0" w:space="0" w:color="auto"/>
        <w:left w:val="none" w:sz="0" w:space="0" w:color="auto"/>
        <w:bottom w:val="none" w:sz="0" w:space="0" w:color="auto"/>
        <w:right w:val="none" w:sz="0" w:space="0" w:color="auto"/>
      </w:divBdr>
    </w:div>
    <w:div w:id="2022661534">
      <w:bodyDiv w:val="1"/>
      <w:marLeft w:val="0"/>
      <w:marRight w:val="0"/>
      <w:marTop w:val="0"/>
      <w:marBottom w:val="0"/>
      <w:divBdr>
        <w:top w:val="none" w:sz="0" w:space="0" w:color="auto"/>
        <w:left w:val="none" w:sz="0" w:space="0" w:color="auto"/>
        <w:bottom w:val="none" w:sz="0" w:space="0" w:color="auto"/>
        <w:right w:val="none" w:sz="0" w:space="0" w:color="auto"/>
      </w:divBdr>
    </w:div>
    <w:div w:id="2035184857">
      <w:bodyDiv w:val="1"/>
      <w:marLeft w:val="0"/>
      <w:marRight w:val="0"/>
      <w:marTop w:val="0"/>
      <w:marBottom w:val="0"/>
      <w:divBdr>
        <w:top w:val="none" w:sz="0" w:space="0" w:color="auto"/>
        <w:left w:val="none" w:sz="0" w:space="0" w:color="auto"/>
        <w:bottom w:val="none" w:sz="0" w:space="0" w:color="auto"/>
        <w:right w:val="none" w:sz="0" w:space="0" w:color="auto"/>
      </w:divBdr>
    </w:div>
    <w:div w:id="2049065252">
      <w:bodyDiv w:val="1"/>
      <w:marLeft w:val="0"/>
      <w:marRight w:val="0"/>
      <w:marTop w:val="0"/>
      <w:marBottom w:val="0"/>
      <w:divBdr>
        <w:top w:val="none" w:sz="0" w:space="0" w:color="auto"/>
        <w:left w:val="none" w:sz="0" w:space="0" w:color="auto"/>
        <w:bottom w:val="none" w:sz="0" w:space="0" w:color="auto"/>
        <w:right w:val="none" w:sz="0" w:space="0" w:color="auto"/>
      </w:divBdr>
    </w:div>
    <w:div w:id="2090958277">
      <w:bodyDiv w:val="1"/>
      <w:marLeft w:val="0"/>
      <w:marRight w:val="0"/>
      <w:marTop w:val="0"/>
      <w:marBottom w:val="0"/>
      <w:divBdr>
        <w:top w:val="none" w:sz="0" w:space="0" w:color="auto"/>
        <w:left w:val="none" w:sz="0" w:space="0" w:color="auto"/>
        <w:bottom w:val="none" w:sz="0" w:space="0" w:color="auto"/>
        <w:right w:val="none" w:sz="0" w:space="0" w:color="auto"/>
      </w:divBdr>
    </w:div>
    <w:div w:id="21441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srr/2024/v30i8227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1627</TotalTime>
  <Pages>11</Pages>
  <Words>5387</Words>
  <Characters>30707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Ammar</dc:creator>
  <cp:keywords/>
  <dc:description/>
  <cp:lastModifiedBy>BUSHRA SUMAIYA</cp:lastModifiedBy>
  <cp:revision>344</cp:revision>
  <dcterms:created xsi:type="dcterms:W3CDTF">2023-02-26T10:49:00Z</dcterms:created>
  <dcterms:modified xsi:type="dcterms:W3CDTF">2025-07-01T10:38:00Z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9cd2a8b3-c086-4f90-87c4-bb80366e6ed3</vt:lpwstr>
  </property>
</Properties>
</file>