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2FA2A" w14:textId="38C7233A" w:rsidR="00FF04BB" w:rsidRPr="003E3732" w:rsidRDefault="00FF04BB" w:rsidP="00FF04BB">
      <w:pPr>
        <w:jc w:val="center"/>
        <w:rPr>
          <w:rFonts w:ascii="Arial" w:hAnsi="Arial" w:cs="Arial"/>
          <w:b/>
          <w:bCs/>
          <w:sz w:val="28"/>
          <w:szCs w:val="28"/>
        </w:rPr>
      </w:pPr>
      <w:r w:rsidRPr="003E3732">
        <w:rPr>
          <w:rFonts w:ascii="Arial" w:hAnsi="Arial" w:cs="Arial"/>
          <w:b/>
          <w:bCs/>
          <w:sz w:val="28"/>
          <w:szCs w:val="28"/>
        </w:rPr>
        <w:t xml:space="preserve">The Role of Road Infrastructure in Regional Economic Development: Evidence from </w:t>
      </w:r>
      <w:proofErr w:type="spellStart"/>
      <w:r w:rsidRPr="003E3732">
        <w:rPr>
          <w:rFonts w:ascii="Arial" w:hAnsi="Arial" w:cs="Arial"/>
          <w:b/>
          <w:bCs/>
          <w:sz w:val="28"/>
          <w:szCs w:val="28"/>
        </w:rPr>
        <w:t>Simalungun</w:t>
      </w:r>
      <w:proofErr w:type="spellEnd"/>
      <w:r w:rsidRPr="003E3732">
        <w:rPr>
          <w:rFonts w:ascii="Arial" w:hAnsi="Arial" w:cs="Arial"/>
          <w:b/>
          <w:bCs/>
          <w:sz w:val="28"/>
          <w:szCs w:val="28"/>
        </w:rPr>
        <w:t xml:space="preserve"> Regency, Indonesia</w:t>
      </w:r>
    </w:p>
    <w:p w14:paraId="68649D25" w14:textId="77777777" w:rsidR="00FF04BB" w:rsidRDefault="00FF04BB">
      <w:pPr>
        <w:rPr>
          <w:rFonts w:ascii="Arial" w:hAnsi="Arial" w:cs="Arial"/>
        </w:rPr>
      </w:pPr>
      <w:bookmarkStart w:id="0" w:name="_GoBack"/>
      <w:bookmarkEnd w:id="0"/>
    </w:p>
    <w:p w14:paraId="2C8157F6" w14:textId="77777777" w:rsidR="00B60001" w:rsidRPr="003E3732" w:rsidRDefault="00B60001">
      <w:pPr>
        <w:rPr>
          <w:rFonts w:ascii="Arial" w:hAnsi="Arial" w:cs="Arial"/>
        </w:rPr>
      </w:pPr>
    </w:p>
    <w:p w14:paraId="103BF458" w14:textId="146A550B" w:rsidR="00FF04BB" w:rsidRPr="003E3732" w:rsidRDefault="00FF04BB" w:rsidP="00FF04BB">
      <w:pPr>
        <w:jc w:val="center"/>
        <w:rPr>
          <w:rFonts w:ascii="Arial" w:hAnsi="Arial" w:cs="Arial"/>
          <w:b/>
          <w:bCs/>
        </w:rPr>
      </w:pPr>
      <w:r w:rsidRPr="003E3732">
        <w:rPr>
          <w:rFonts w:ascii="Arial" w:hAnsi="Arial" w:cs="Arial"/>
          <w:b/>
          <w:bCs/>
        </w:rPr>
        <w:t>Abstract</w:t>
      </w:r>
    </w:p>
    <w:p w14:paraId="5C4DD0FA" w14:textId="334ECE11" w:rsidR="00FF04BB" w:rsidRPr="003E3732" w:rsidRDefault="00FF04BB" w:rsidP="00FF04BB">
      <w:pPr>
        <w:jc w:val="both"/>
        <w:rPr>
          <w:rFonts w:ascii="Arial" w:hAnsi="Arial" w:cs="Arial"/>
        </w:rPr>
      </w:pPr>
      <w:r w:rsidRPr="003E3732">
        <w:rPr>
          <w:rFonts w:ascii="Arial" w:hAnsi="Arial" w:cs="Arial"/>
        </w:rPr>
        <w:t xml:space="preserve">This study investigates the relationship between land transport infrastructure and regional economic development in </w:t>
      </w:r>
      <w:proofErr w:type="spellStart"/>
      <w:r w:rsidRPr="003E3732">
        <w:rPr>
          <w:rFonts w:ascii="Arial" w:hAnsi="Arial" w:cs="Arial"/>
        </w:rPr>
        <w:t>Simalungun</w:t>
      </w:r>
      <w:proofErr w:type="spellEnd"/>
      <w:r w:rsidRPr="003E3732">
        <w:rPr>
          <w:rFonts w:ascii="Arial" w:hAnsi="Arial" w:cs="Arial"/>
        </w:rPr>
        <w:t xml:space="preserve"> Regency, Indonesia, from 2010 to 2022. Using a quantitative correlational method, the research examines the impact of road length and vehicle volume on three economic indicators: regional income (PDRB), employment rates, and the growth of micro, small, and medium enterprises (MSMEs). Spearman's rho test was employed due to non-normal data distribution, revealing that road length has a very strong and statistically significant correlation with employment (ρ = 0.851; p = 0.032), and a strong but non-significant relationship with PDRB and MSMEs. Conversely, vehicle volume showed weak and statistically insignificant correlations across all indicators. These findings suggest that physical infrastructure—especially road availability—plays a more pivotal role in facilitating regional labor mobility and economic distribution than vehicle accumulation. The study recommends an integrated, spatially targeted infrastructure policy emphasizing road development in high-potential but under-connected regions, aligned with Indonesia’s current fiscal efficiency agenda.</w:t>
      </w:r>
    </w:p>
    <w:p w14:paraId="45C9D94F" w14:textId="78436267" w:rsidR="00AF7434" w:rsidRPr="00AF7434" w:rsidRDefault="00AF7434" w:rsidP="00AF7434">
      <w:pPr>
        <w:rPr>
          <w:rFonts w:ascii="Arial" w:hAnsi="Arial" w:cs="Arial"/>
        </w:rPr>
      </w:pPr>
      <w:r w:rsidRPr="003E3732">
        <w:rPr>
          <w:rFonts w:ascii="Arial" w:hAnsi="Arial" w:cs="Arial"/>
          <w:b/>
          <w:bCs/>
        </w:rPr>
        <w:t xml:space="preserve">Keywords: </w:t>
      </w:r>
      <w:r w:rsidRPr="003E3732">
        <w:rPr>
          <w:rFonts w:ascii="Arial" w:hAnsi="Arial" w:cs="Arial"/>
        </w:rPr>
        <w:t xml:space="preserve">Road infrastructure, </w:t>
      </w:r>
      <w:r w:rsidRPr="00AF7434">
        <w:rPr>
          <w:rFonts w:ascii="Arial" w:hAnsi="Arial" w:cs="Arial"/>
        </w:rPr>
        <w:t>Regional economic development</w:t>
      </w:r>
      <w:r w:rsidRPr="003E3732">
        <w:rPr>
          <w:rFonts w:ascii="Arial" w:hAnsi="Arial" w:cs="Arial"/>
        </w:rPr>
        <w:t xml:space="preserve">, </w:t>
      </w:r>
      <w:r w:rsidRPr="00AF7434">
        <w:rPr>
          <w:rFonts w:ascii="Arial" w:hAnsi="Arial" w:cs="Arial"/>
        </w:rPr>
        <w:t>Employment</w:t>
      </w:r>
      <w:r w:rsidRPr="003E3732">
        <w:rPr>
          <w:rFonts w:ascii="Arial" w:hAnsi="Arial" w:cs="Arial"/>
        </w:rPr>
        <w:t xml:space="preserve">, </w:t>
      </w:r>
      <w:r w:rsidRPr="00AF7434">
        <w:rPr>
          <w:rFonts w:ascii="Arial" w:hAnsi="Arial" w:cs="Arial"/>
        </w:rPr>
        <w:t>MSMEs (Micro, Small, and Medium Enterprises)</w:t>
      </w:r>
      <w:r w:rsidRPr="003E3732">
        <w:rPr>
          <w:rFonts w:ascii="Arial" w:hAnsi="Arial" w:cs="Arial"/>
        </w:rPr>
        <w:t xml:space="preserve">, </w:t>
      </w:r>
      <w:r w:rsidRPr="00AF7434">
        <w:rPr>
          <w:rFonts w:ascii="Arial" w:hAnsi="Arial" w:cs="Arial"/>
        </w:rPr>
        <w:t>Indonesia</w:t>
      </w:r>
    </w:p>
    <w:p w14:paraId="12C424BD" w14:textId="6BA27880" w:rsidR="00FF04BB" w:rsidRPr="003E3732" w:rsidRDefault="00FF04BB">
      <w:pPr>
        <w:rPr>
          <w:rFonts w:ascii="Arial" w:hAnsi="Arial" w:cs="Arial"/>
        </w:rPr>
      </w:pPr>
    </w:p>
    <w:p w14:paraId="7734F997" w14:textId="1D09FB6F" w:rsidR="00FF04BB" w:rsidRPr="003E3732" w:rsidRDefault="00AF7434" w:rsidP="00B97B7A">
      <w:pPr>
        <w:pStyle w:val="ListParagraph"/>
        <w:numPr>
          <w:ilvl w:val="0"/>
          <w:numId w:val="1"/>
        </w:numPr>
        <w:ind w:left="709"/>
        <w:rPr>
          <w:rFonts w:ascii="Arial" w:hAnsi="Arial" w:cs="Arial"/>
          <w:b/>
          <w:bCs/>
        </w:rPr>
      </w:pPr>
      <w:r w:rsidRPr="003E3732">
        <w:rPr>
          <w:rFonts w:ascii="Arial" w:hAnsi="Arial" w:cs="Arial"/>
          <w:b/>
          <w:bCs/>
        </w:rPr>
        <w:t>INTRODUCTION</w:t>
      </w:r>
    </w:p>
    <w:p w14:paraId="5AD9B7BE" w14:textId="77777777" w:rsidR="00AF7434" w:rsidRPr="00AF7434" w:rsidRDefault="00AF7434" w:rsidP="002A15A0">
      <w:pPr>
        <w:jc w:val="both"/>
        <w:rPr>
          <w:rFonts w:ascii="Arial" w:hAnsi="Arial" w:cs="Arial"/>
        </w:rPr>
      </w:pPr>
      <w:r w:rsidRPr="00AF7434">
        <w:rPr>
          <w:rFonts w:ascii="Arial" w:hAnsi="Arial" w:cs="Arial"/>
        </w:rPr>
        <w:t>Infrastructure development plays a pivotal role in fostering regional economic performance by reducing transportation costs, improving accessibility, and increasing productivity (Bawole &amp; Sutanto, 2025). In developing countries, especially in Southeast Asia, transport infrastructure is widely regarded as a catalyst for spatial integration and inclusive growth (</w:t>
      </w:r>
      <w:proofErr w:type="spellStart"/>
      <w:r w:rsidRPr="00AF7434">
        <w:rPr>
          <w:rFonts w:ascii="Arial" w:hAnsi="Arial" w:cs="Arial"/>
        </w:rPr>
        <w:t>Milewski</w:t>
      </w:r>
      <w:proofErr w:type="spellEnd"/>
      <w:r w:rsidRPr="00AF7434">
        <w:rPr>
          <w:rFonts w:ascii="Arial" w:hAnsi="Arial" w:cs="Arial"/>
        </w:rPr>
        <w:t xml:space="preserve"> &amp; </w:t>
      </w:r>
      <w:proofErr w:type="spellStart"/>
      <w:r w:rsidRPr="00AF7434">
        <w:rPr>
          <w:rFonts w:ascii="Arial" w:hAnsi="Arial" w:cs="Arial"/>
        </w:rPr>
        <w:t>Załoga</w:t>
      </w:r>
      <w:proofErr w:type="spellEnd"/>
      <w:r w:rsidRPr="00AF7434">
        <w:rPr>
          <w:rFonts w:ascii="Arial" w:hAnsi="Arial" w:cs="Arial"/>
        </w:rPr>
        <w:t>, 2019). However, the magnitude and distribution of its impact often depend on contextual factors such as location, road quality, and institutional capacity (Crawford, 2006).</w:t>
      </w:r>
    </w:p>
    <w:p w14:paraId="6D6ADD98" w14:textId="5F4AD205" w:rsidR="00AF7434" w:rsidRPr="00AF7434" w:rsidRDefault="00AF7434" w:rsidP="002A15A0">
      <w:pPr>
        <w:jc w:val="both"/>
        <w:rPr>
          <w:rFonts w:ascii="Arial" w:hAnsi="Arial" w:cs="Arial"/>
        </w:rPr>
      </w:pPr>
      <w:r w:rsidRPr="00AF7434">
        <w:rPr>
          <w:rFonts w:ascii="Arial" w:hAnsi="Arial" w:cs="Arial"/>
        </w:rPr>
        <w:t xml:space="preserve">Indonesia’s regional disparities in infrastructure remain pronounced, with rural areas such as </w:t>
      </w:r>
      <w:proofErr w:type="spellStart"/>
      <w:r w:rsidRPr="00AF7434">
        <w:rPr>
          <w:rFonts w:ascii="Arial" w:hAnsi="Arial" w:cs="Arial"/>
        </w:rPr>
        <w:t>Simalungun</w:t>
      </w:r>
      <w:proofErr w:type="spellEnd"/>
      <w:r w:rsidRPr="00AF7434">
        <w:rPr>
          <w:rFonts w:ascii="Arial" w:hAnsi="Arial" w:cs="Arial"/>
        </w:rPr>
        <w:t xml:space="preserve"> Regency often lacking equitable access to economic opportunities (</w:t>
      </w:r>
      <w:r w:rsidR="00B1562F">
        <w:rPr>
          <w:rFonts w:ascii="Arial" w:hAnsi="Arial" w:cs="Arial"/>
        </w:rPr>
        <w:t>Nasution, 2025</w:t>
      </w:r>
      <w:r w:rsidRPr="00AF7434">
        <w:rPr>
          <w:rFonts w:ascii="Arial" w:hAnsi="Arial" w:cs="Arial"/>
        </w:rPr>
        <w:t>). The government has invested substantially in road development to unlock local economic potential, especially after the COVID-19 pandemic’s economic disruptions (</w:t>
      </w:r>
      <w:r w:rsidR="00B1562F">
        <w:rPr>
          <w:rFonts w:ascii="Arial" w:hAnsi="Arial" w:cs="Arial"/>
        </w:rPr>
        <w:t>Gertler, 2024</w:t>
      </w:r>
      <w:r w:rsidRPr="00AF7434">
        <w:rPr>
          <w:rFonts w:ascii="Arial" w:hAnsi="Arial" w:cs="Arial"/>
        </w:rPr>
        <w:t xml:space="preserve">). Yet, recent studies suggest that physical access alone is </w:t>
      </w:r>
      <w:r w:rsidRPr="00AF7434">
        <w:rPr>
          <w:rFonts w:ascii="Arial" w:hAnsi="Arial" w:cs="Arial"/>
        </w:rPr>
        <w:lastRenderedPageBreak/>
        <w:t>insufficient without complementary policies that empower local enterprises and workers (</w:t>
      </w:r>
      <w:r w:rsidR="00B1562F">
        <w:rPr>
          <w:rFonts w:ascii="Arial" w:hAnsi="Arial" w:cs="Arial"/>
        </w:rPr>
        <w:t>Surya, 2021</w:t>
      </w:r>
      <w:r w:rsidRPr="00AF7434">
        <w:rPr>
          <w:rFonts w:ascii="Arial" w:hAnsi="Arial" w:cs="Arial"/>
        </w:rPr>
        <w:t>).</w:t>
      </w:r>
    </w:p>
    <w:p w14:paraId="37C40DCD" w14:textId="77777777" w:rsidR="00AF7434" w:rsidRPr="00AF7434" w:rsidRDefault="00AF7434" w:rsidP="002A15A0">
      <w:pPr>
        <w:jc w:val="both"/>
        <w:rPr>
          <w:rFonts w:ascii="Arial" w:hAnsi="Arial" w:cs="Arial"/>
        </w:rPr>
      </w:pPr>
      <w:r w:rsidRPr="00AF7434">
        <w:rPr>
          <w:rFonts w:ascii="Arial" w:hAnsi="Arial" w:cs="Arial"/>
        </w:rPr>
        <w:t>Earlier research primarily focused on the impact of infrastructure on aggregate economic indicators such as GDP or PDRB (Nugroho, 2023). While these studies confirm a positive association between infrastructure and economic growth, they often overlook micro-level outcomes such as employment generation and the development of MSMEs (</w:t>
      </w:r>
      <w:proofErr w:type="spellStart"/>
      <w:r w:rsidRPr="00AF7434">
        <w:rPr>
          <w:rFonts w:ascii="Arial" w:hAnsi="Arial" w:cs="Arial"/>
        </w:rPr>
        <w:t>Silalahi</w:t>
      </w:r>
      <w:proofErr w:type="spellEnd"/>
      <w:r w:rsidRPr="00AF7434">
        <w:rPr>
          <w:rFonts w:ascii="Arial" w:hAnsi="Arial" w:cs="Arial"/>
        </w:rPr>
        <w:t xml:space="preserve"> et al., 2016). Addressing these dimensions is crucial in evaluating the true social and economic value of public investment in transport.</w:t>
      </w:r>
    </w:p>
    <w:p w14:paraId="7752356E" w14:textId="39BDAD64" w:rsidR="00AF7434" w:rsidRPr="00AF7434" w:rsidRDefault="00AF7434" w:rsidP="002A15A0">
      <w:pPr>
        <w:jc w:val="both"/>
        <w:rPr>
          <w:rFonts w:ascii="Arial" w:hAnsi="Arial" w:cs="Arial"/>
        </w:rPr>
      </w:pPr>
      <w:r w:rsidRPr="00AF7434">
        <w:rPr>
          <w:rFonts w:ascii="Arial" w:hAnsi="Arial" w:cs="Arial"/>
        </w:rPr>
        <w:t>Micro, Small, and Medium Enterprises (MSMEs) form the backbone of Indonesia's economy, contributing over 60% to GDP and absorbing nearly 97% of the labor force (Handoko et al., 2023). However, MSMEs in rural regions often struggle due to inadequate logistics infrastructure, which restricts their market access and scalability (</w:t>
      </w:r>
      <w:proofErr w:type="spellStart"/>
      <w:r w:rsidRPr="00AF7434">
        <w:rPr>
          <w:rFonts w:ascii="Arial" w:hAnsi="Arial" w:cs="Arial"/>
        </w:rPr>
        <w:t>Fardani</w:t>
      </w:r>
      <w:proofErr w:type="spellEnd"/>
      <w:r w:rsidRPr="00AF7434">
        <w:rPr>
          <w:rFonts w:ascii="Arial" w:hAnsi="Arial" w:cs="Arial"/>
        </w:rPr>
        <w:t xml:space="preserve"> et al., 2024). Improved road infrastructure can lower distribution costs, enhance customer reach, and facilitate supply chain efficiency</w:t>
      </w:r>
      <w:r w:rsidR="00B1562F">
        <w:rPr>
          <w:rFonts w:ascii="Arial" w:hAnsi="Arial" w:cs="Arial"/>
        </w:rPr>
        <w:t>.</w:t>
      </w:r>
    </w:p>
    <w:p w14:paraId="27D8B380" w14:textId="3CB19731" w:rsidR="00AF7434" w:rsidRPr="00AF7434" w:rsidRDefault="00AF7434" w:rsidP="002A15A0">
      <w:pPr>
        <w:jc w:val="both"/>
        <w:rPr>
          <w:rFonts w:ascii="Arial" w:hAnsi="Arial" w:cs="Arial"/>
        </w:rPr>
      </w:pPr>
      <w:r w:rsidRPr="00AF7434">
        <w:rPr>
          <w:rFonts w:ascii="Arial" w:hAnsi="Arial" w:cs="Arial"/>
        </w:rPr>
        <w:t>Likewise, road access has a strong influence on labor mobility and employment patterns, especially in regions where public transport alternatives are limited (Junaidi, 2021). Improved transport connectivity not only reduces commuting time but also expands the geographic scope of job opportunities. This relationship becomes particularly important in post-pandemic recovery efforts where local employment growth is a priority.</w:t>
      </w:r>
    </w:p>
    <w:p w14:paraId="3F6AF6C3" w14:textId="64B167B9" w:rsidR="00AF7434" w:rsidRPr="00AF7434" w:rsidRDefault="00AF7434" w:rsidP="002A15A0">
      <w:pPr>
        <w:jc w:val="both"/>
        <w:rPr>
          <w:rFonts w:ascii="Arial" w:hAnsi="Arial" w:cs="Arial"/>
        </w:rPr>
      </w:pPr>
      <w:r w:rsidRPr="00AF7434">
        <w:rPr>
          <w:rFonts w:ascii="Arial" w:hAnsi="Arial" w:cs="Arial"/>
        </w:rPr>
        <w:t>Despite its importance, the number of empirical studies examining infrastructure’s effect on employment and MSME growth in a unified framework remains limited. Most existing works isolate PDRB as the primary economic indicator, failing to capture the multidimensional nature of regional development. This research gap is especially pertinent in rural economies where economic complexity is influenced by both formal and informal sectors.</w:t>
      </w:r>
    </w:p>
    <w:p w14:paraId="058978B3" w14:textId="04E511C2" w:rsidR="00AF7434" w:rsidRPr="00AF7434" w:rsidRDefault="00AF7434" w:rsidP="002A15A0">
      <w:pPr>
        <w:jc w:val="both"/>
        <w:rPr>
          <w:rFonts w:ascii="Arial" w:hAnsi="Arial" w:cs="Arial"/>
        </w:rPr>
      </w:pPr>
      <w:r w:rsidRPr="00AF7434">
        <w:rPr>
          <w:rFonts w:ascii="Arial" w:hAnsi="Arial" w:cs="Arial"/>
        </w:rPr>
        <w:t>This study aims to fill that gap by analyzing the relationship between two main components of land transport infrastructure—road length and vehicle volume—and three development indicators: PDRB, employment, and MSME growth. It adopts a non-parametric correlational approach using Spearman’s rho to account for data characteristics common in regional statistics. The analysis uses 13 years of secondary data from 2010 to 2022.</w:t>
      </w:r>
    </w:p>
    <w:p w14:paraId="05E8270C" w14:textId="783BCC8A" w:rsidR="00AF7434" w:rsidRPr="00AF7434" w:rsidRDefault="00AF7434" w:rsidP="002A15A0">
      <w:pPr>
        <w:jc w:val="both"/>
        <w:rPr>
          <w:rFonts w:ascii="Arial" w:hAnsi="Arial" w:cs="Arial"/>
        </w:rPr>
      </w:pPr>
      <w:r w:rsidRPr="00AF7434">
        <w:rPr>
          <w:rFonts w:ascii="Arial" w:hAnsi="Arial" w:cs="Arial"/>
        </w:rPr>
        <w:t>The theoretical framework is grounded in spatial development and economic accessibility theories, which posit that infrastructure shapes regional economic performance through increased connectivity, reduced isolation, and enhanced capital flows. These mechanisms are especially relevant to developing countries facing fiscal constraints and uneven spatial growth.</w:t>
      </w:r>
    </w:p>
    <w:p w14:paraId="362EBDCB" w14:textId="7A3C3F09" w:rsidR="00AF7434" w:rsidRPr="003E3732" w:rsidRDefault="00AF7434" w:rsidP="002A15A0">
      <w:pPr>
        <w:jc w:val="both"/>
        <w:rPr>
          <w:rFonts w:ascii="Arial" w:hAnsi="Arial" w:cs="Arial"/>
        </w:rPr>
      </w:pPr>
      <w:r w:rsidRPr="00AF7434">
        <w:rPr>
          <w:rFonts w:ascii="Arial" w:hAnsi="Arial" w:cs="Arial"/>
        </w:rPr>
        <w:lastRenderedPageBreak/>
        <w:t xml:space="preserve">Ultimately, this research provides a more nuanced understanding of infrastructure’s role beyond GDP-centric metrics. By incorporating employment and MSME development into the analysis, it supports a policy agenda that views roads not merely as physical outputs, but as enablers of inclusive and sustainable development, particularly in underdeveloped areas like </w:t>
      </w:r>
      <w:proofErr w:type="spellStart"/>
      <w:r w:rsidRPr="00AF7434">
        <w:rPr>
          <w:rFonts w:ascii="Arial" w:hAnsi="Arial" w:cs="Arial"/>
        </w:rPr>
        <w:t>Simalungun</w:t>
      </w:r>
      <w:proofErr w:type="spellEnd"/>
      <w:r w:rsidRPr="00AF7434">
        <w:rPr>
          <w:rFonts w:ascii="Arial" w:hAnsi="Arial" w:cs="Arial"/>
        </w:rPr>
        <w:t xml:space="preserve"> Regency</w:t>
      </w:r>
      <w:r w:rsidR="00B1562F">
        <w:rPr>
          <w:rFonts w:ascii="Arial" w:hAnsi="Arial" w:cs="Arial"/>
        </w:rPr>
        <w:t>.</w:t>
      </w:r>
    </w:p>
    <w:p w14:paraId="77C68FEB" w14:textId="77777777" w:rsidR="00710D8E" w:rsidRPr="00AF7434" w:rsidRDefault="00710D8E" w:rsidP="00AF7434">
      <w:pPr>
        <w:rPr>
          <w:rFonts w:ascii="Arial" w:hAnsi="Arial" w:cs="Arial"/>
        </w:rPr>
      </w:pPr>
    </w:p>
    <w:p w14:paraId="3A816426" w14:textId="4F397579" w:rsidR="00FF04BB" w:rsidRPr="003E3732" w:rsidRDefault="00710D8E">
      <w:pPr>
        <w:rPr>
          <w:rFonts w:ascii="Arial" w:hAnsi="Arial" w:cs="Arial"/>
          <w:b/>
          <w:bCs/>
        </w:rPr>
      </w:pPr>
      <w:r w:rsidRPr="003E3732">
        <w:rPr>
          <w:rFonts w:ascii="Arial" w:hAnsi="Arial" w:cs="Arial"/>
          <w:b/>
          <w:bCs/>
        </w:rPr>
        <w:t>II.METHODS</w:t>
      </w:r>
    </w:p>
    <w:p w14:paraId="774CB4DA" w14:textId="4B8F383C"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.1 Research Design</w:t>
      </w:r>
    </w:p>
    <w:p w14:paraId="0E8AB82D" w14:textId="51FF3207" w:rsidR="001C4503" w:rsidRPr="00B1562F" w:rsidRDefault="00710D8E" w:rsidP="001C4503">
      <w:pPr>
        <w:jc w:val="both"/>
        <w:rPr>
          <w:rFonts w:ascii="Arial" w:hAnsi="Arial" w:cs="Arial"/>
        </w:rPr>
      </w:pPr>
      <w:r w:rsidRPr="00B1562F">
        <w:rPr>
          <w:rFonts w:ascii="Arial" w:hAnsi="Arial" w:cs="Arial"/>
        </w:rPr>
        <w:t xml:space="preserve">This study adopts a quantitative correlational research design, suitable for analyzing the strength and direction of association between transportation infrastructure variables (e.g., road length and vehicle volume) and regional economic indicators (e.g., GRDP, employment, and MSME growth). Unlike regression which assumes causal pathways, correlation analysis is preferred when relationships are explored descriptively and without strict assumptions on causality </w:t>
      </w:r>
      <w:hyperlink r:id="rId7" w:tgtFrame="_new" w:history="1">
        <w:r w:rsidRPr="00B1562F">
          <w:rPr>
            <w:rStyle w:val="Hyperlink"/>
            <w:rFonts w:ascii="Arial" w:hAnsi="Arial" w:cs="Arial"/>
            <w:color w:val="auto"/>
          </w:rPr>
          <w:t>(Creswell, 2014)</w:t>
        </w:r>
      </w:hyperlink>
      <w:r w:rsidRPr="00B1562F">
        <w:rPr>
          <w:rFonts w:ascii="Arial" w:hAnsi="Arial" w:cs="Arial"/>
        </w:rPr>
        <w:t>.</w:t>
      </w:r>
    </w:p>
    <w:p w14:paraId="321247ED" w14:textId="3A4A35E9" w:rsidR="001C4503" w:rsidRPr="003E3732" w:rsidRDefault="001C4503" w:rsidP="001C4503">
      <w:pPr>
        <w:jc w:val="both"/>
        <w:rPr>
          <w:rFonts w:ascii="Arial" w:hAnsi="Arial" w:cs="Arial"/>
        </w:rPr>
      </w:pPr>
      <w:r w:rsidRPr="003E3732">
        <w:rPr>
          <w:rFonts w:ascii="Arial" w:hAnsi="Arial" w:cs="Arial"/>
          <w:noProof/>
          <w:sz w:val="20"/>
        </w:rPr>
        <w:drawing>
          <wp:anchor distT="0" distB="0" distL="0" distR="0" simplePos="0" relativeHeight="251659264" behindDoc="1" locked="0" layoutInCell="1" allowOverlap="1" wp14:anchorId="4EF9C562" wp14:editId="2FC3D33E">
            <wp:simplePos x="0" y="0"/>
            <wp:positionH relativeFrom="page">
              <wp:posOffset>2133600</wp:posOffset>
            </wp:positionH>
            <wp:positionV relativeFrom="paragraph">
              <wp:posOffset>1183005</wp:posOffset>
            </wp:positionV>
            <wp:extent cx="3344111" cy="2166651"/>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3344111" cy="2166651"/>
                    </a:xfrm>
                    <a:prstGeom prst="rect">
                      <a:avLst/>
                    </a:prstGeom>
                  </pic:spPr>
                </pic:pic>
              </a:graphicData>
            </a:graphic>
          </wp:anchor>
        </w:drawing>
      </w:r>
      <w:r w:rsidRPr="001C4503">
        <w:rPr>
          <w:rFonts w:ascii="Arial" w:hAnsi="Arial" w:cs="Arial"/>
        </w:rPr>
        <w:t xml:space="preserve">This study was conducted in </w:t>
      </w:r>
      <w:proofErr w:type="spellStart"/>
      <w:r w:rsidRPr="001C4503">
        <w:rPr>
          <w:rFonts w:ascii="Arial" w:hAnsi="Arial" w:cs="Arial"/>
        </w:rPr>
        <w:t>Simalungun</w:t>
      </w:r>
      <w:proofErr w:type="spellEnd"/>
      <w:r w:rsidRPr="001C4503">
        <w:rPr>
          <w:rFonts w:ascii="Arial" w:hAnsi="Arial" w:cs="Arial"/>
        </w:rPr>
        <w:t xml:space="preserve"> Regency, a region in North Sumatra Province, Indonesia, characterized by its diverse topography, agricultural economy, and evolving infrastructure landscape. </w:t>
      </w:r>
      <w:proofErr w:type="spellStart"/>
      <w:r w:rsidRPr="001C4503">
        <w:rPr>
          <w:rFonts w:ascii="Arial" w:hAnsi="Arial" w:cs="Arial"/>
        </w:rPr>
        <w:t>Simalungun</w:t>
      </w:r>
      <w:proofErr w:type="spellEnd"/>
      <w:r w:rsidRPr="001C4503">
        <w:rPr>
          <w:rFonts w:ascii="Arial" w:hAnsi="Arial" w:cs="Arial"/>
        </w:rPr>
        <w:t xml:space="preserve"> is strategically positioned as a transit corridor between major economic zones, making it a pertinent case for assessing the role of transportation infrastructure in regional economic dynamics.</w:t>
      </w:r>
    </w:p>
    <w:p w14:paraId="4F8716E9" w14:textId="77777777" w:rsidR="001C4503" w:rsidRPr="003E3732" w:rsidRDefault="001C4503" w:rsidP="001C4503">
      <w:pPr>
        <w:jc w:val="center"/>
        <w:rPr>
          <w:rFonts w:ascii="Arial" w:hAnsi="Arial" w:cs="Arial"/>
          <w:b/>
          <w:bCs/>
        </w:rPr>
      </w:pPr>
    </w:p>
    <w:p w14:paraId="72C49E4D" w14:textId="0C86BD18" w:rsidR="001C4503" w:rsidRPr="001C4503" w:rsidRDefault="001C4503" w:rsidP="001C4503">
      <w:pPr>
        <w:jc w:val="center"/>
        <w:rPr>
          <w:rFonts w:ascii="Arial" w:hAnsi="Arial" w:cs="Arial"/>
        </w:rPr>
      </w:pPr>
      <w:r w:rsidRPr="003E3732">
        <w:rPr>
          <w:rFonts w:ascii="Arial" w:hAnsi="Arial" w:cs="Arial"/>
          <w:b/>
          <w:bCs/>
        </w:rPr>
        <w:t xml:space="preserve">Figure 1. </w:t>
      </w:r>
      <w:r w:rsidRPr="003E3732">
        <w:rPr>
          <w:rFonts w:ascii="Arial" w:hAnsi="Arial" w:cs="Arial"/>
        </w:rPr>
        <w:t>Research Location</w:t>
      </w:r>
    </w:p>
    <w:p w14:paraId="025E2100" w14:textId="77777777" w:rsidR="001C4503" w:rsidRPr="001C4503" w:rsidRDefault="001C4503" w:rsidP="001C4503">
      <w:pPr>
        <w:jc w:val="both"/>
        <w:rPr>
          <w:rFonts w:ascii="Arial" w:hAnsi="Arial" w:cs="Arial"/>
        </w:rPr>
      </w:pPr>
      <w:r w:rsidRPr="001C4503">
        <w:rPr>
          <w:rFonts w:ascii="Arial" w:hAnsi="Arial" w:cs="Arial"/>
        </w:rPr>
        <w:t xml:space="preserve">The selection of </w:t>
      </w:r>
      <w:proofErr w:type="spellStart"/>
      <w:r w:rsidRPr="001C4503">
        <w:rPr>
          <w:rFonts w:ascii="Arial" w:hAnsi="Arial" w:cs="Arial"/>
        </w:rPr>
        <w:t>Simalungun</w:t>
      </w:r>
      <w:proofErr w:type="spellEnd"/>
      <w:r w:rsidRPr="001C4503">
        <w:rPr>
          <w:rFonts w:ascii="Arial" w:hAnsi="Arial" w:cs="Arial"/>
        </w:rPr>
        <w:t xml:space="preserve"> was based on its unique infrastructural challenges and opportunities. Despite ongoing investment in provincial road development, the regency continues to face spatial inequality in access, limited urban-rural connectivity, and uneven MSME growth. These characteristics provide a rich empirical ground to analyze how road </w:t>
      </w:r>
      <w:r w:rsidRPr="001C4503">
        <w:rPr>
          <w:rFonts w:ascii="Arial" w:hAnsi="Arial" w:cs="Arial"/>
        </w:rPr>
        <w:lastRenderedPageBreak/>
        <w:t>infrastructure (as physical capital) correlates with economic indicators such as Gross Regional Domestic Product (GRDP), employment levels, and micro-enterprise activity.</w:t>
      </w:r>
    </w:p>
    <w:p w14:paraId="70249E91" w14:textId="77777777" w:rsidR="001C4503" w:rsidRPr="001C4503" w:rsidRDefault="001C4503" w:rsidP="001C4503">
      <w:pPr>
        <w:jc w:val="both"/>
        <w:rPr>
          <w:rFonts w:ascii="Arial" w:hAnsi="Arial" w:cs="Arial"/>
        </w:rPr>
      </w:pPr>
      <w:r w:rsidRPr="001C4503">
        <w:rPr>
          <w:rFonts w:ascii="Arial" w:hAnsi="Arial" w:cs="Arial"/>
        </w:rPr>
        <w:t>Data were collected specifically from major provincial road segments across multiple districts within the regency, including urban hubs and rural peripheries. This allowed for comparative analysis of infrastructure influence across varying economic contexts. The inclusion of peripheral districts ensured the study captured both the direct and spillover effects of transportation infrastructure on local development outcomes.</w:t>
      </w:r>
    </w:p>
    <w:p w14:paraId="47E408E7" w14:textId="77777777" w:rsidR="001C4503" w:rsidRPr="001C4503" w:rsidRDefault="001C4503" w:rsidP="001C4503">
      <w:pPr>
        <w:jc w:val="both"/>
        <w:rPr>
          <w:rFonts w:ascii="Arial" w:hAnsi="Arial" w:cs="Arial"/>
        </w:rPr>
      </w:pPr>
      <w:proofErr w:type="spellStart"/>
      <w:r w:rsidRPr="001C4503">
        <w:rPr>
          <w:rFonts w:ascii="Arial" w:hAnsi="Arial" w:cs="Arial"/>
        </w:rPr>
        <w:t>Simalungun’s</w:t>
      </w:r>
      <w:proofErr w:type="spellEnd"/>
      <w:r w:rsidRPr="001C4503">
        <w:rPr>
          <w:rFonts w:ascii="Arial" w:hAnsi="Arial" w:cs="Arial"/>
        </w:rPr>
        <w:t xml:space="preserve"> demographic and economic structure—dominated by agriculture, trade, and microenterprises—offered a representative microcosm for examining land transport impacts on rural-based economies. Additionally, its inclusion in national strategic infrastructure plans under the Indonesian government's long-term development agenda further reinforced its relevance as a focal point for this study</w:t>
      </w:r>
    </w:p>
    <w:p w14:paraId="54C3110C" w14:textId="123669CD" w:rsidR="00710D8E" w:rsidRPr="00710D8E" w:rsidRDefault="00710D8E" w:rsidP="002A15A0">
      <w:pPr>
        <w:jc w:val="both"/>
        <w:rPr>
          <w:rFonts w:ascii="Arial" w:hAnsi="Arial" w:cs="Arial"/>
        </w:rPr>
      </w:pPr>
    </w:p>
    <w:p w14:paraId="5A71CAF4" w14:textId="091C82A1"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.2 Data Sources and Variable Construction</w:t>
      </w:r>
    </w:p>
    <w:p w14:paraId="5A83EB6C" w14:textId="77777777" w:rsidR="00710D8E" w:rsidRPr="00710D8E" w:rsidRDefault="00710D8E" w:rsidP="00710D8E">
      <w:pPr>
        <w:rPr>
          <w:rFonts w:ascii="Arial" w:hAnsi="Arial" w:cs="Arial"/>
        </w:rPr>
      </w:pPr>
      <w:r w:rsidRPr="00710D8E">
        <w:rPr>
          <w:rFonts w:ascii="Arial" w:hAnsi="Arial" w:cs="Arial"/>
        </w:rPr>
        <w:t xml:space="preserve">The research utilizes time-series secondary data spanning from 2010 to 2022, obtained from Badan Pusat </w:t>
      </w:r>
      <w:proofErr w:type="spellStart"/>
      <w:r w:rsidRPr="00710D8E">
        <w:rPr>
          <w:rFonts w:ascii="Arial" w:hAnsi="Arial" w:cs="Arial"/>
        </w:rPr>
        <w:t>Statistik</w:t>
      </w:r>
      <w:proofErr w:type="spellEnd"/>
      <w:r w:rsidRPr="00710D8E">
        <w:rPr>
          <w:rFonts w:ascii="Arial" w:hAnsi="Arial" w:cs="Arial"/>
        </w:rPr>
        <w:t xml:space="preserve"> (BPS) of </w:t>
      </w:r>
      <w:proofErr w:type="spellStart"/>
      <w:r w:rsidRPr="00710D8E">
        <w:rPr>
          <w:rFonts w:ascii="Arial" w:hAnsi="Arial" w:cs="Arial"/>
        </w:rPr>
        <w:t>Simalungun</w:t>
      </w:r>
      <w:proofErr w:type="spellEnd"/>
      <w:r w:rsidRPr="00710D8E">
        <w:rPr>
          <w:rFonts w:ascii="Arial" w:hAnsi="Arial" w:cs="Arial"/>
        </w:rPr>
        <w:t xml:space="preserve"> Regency. The study focuses on two sets of variables:</w:t>
      </w:r>
    </w:p>
    <w:p w14:paraId="11EB86F2" w14:textId="77777777" w:rsidR="00710D8E" w:rsidRPr="00710D8E" w:rsidRDefault="00710D8E" w:rsidP="00710D8E">
      <w:pPr>
        <w:numPr>
          <w:ilvl w:val="0"/>
          <w:numId w:val="2"/>
        </w:numPr>
        <w:rPr>
          <w:rFonts w:ascii="Arial" w:hAnsi="Arial" w:cs="Arial"/>
        </w:rPr>
      </w:pPr>
      <w:r w:rsidRPr="00710D8E">
        <w:rPr>
          <w:rFonts w:ascii="Arial" w:hAnsi="Arial" w:cs="Arial"/>
        </w:rPr>
        <w:t>Independent Variables:</w:t>
      </w:r>
    </w:p>
    <w:p w14:paraId="13A4BD4C" w14:textId="77777777" w:rsidR="00710D8E" w:rsidRPr="00710D8E" w:rsidRDefault="00710D8E" w:rsidP="00710D8E">
      <w:pPr>
        <w:numPr>
          <w:ilvl w:val="1"/>
          <w:numId w:val="2"/>
        </w:numPr>
        <w:rPr>
          <w:rFonts w:ascii="Arial" w:hAnsi="Arial" w:cs="Arial"/>
        </w:rPr>
      </w:pPr>
      <w:r w:rsidRPr="00710D8E">
        <w:rPr>
          <w:rFonts w:ascii="Arial" w:hAnsi="Arial" w:cs="Arial"/>
        </w:rPr>
        <w:t>Road Length (in kilometers), adjusted by condition-based weights</w:t>
      </w:r>
    </w:p>
    <w:p w14:paraId="31FEB5BF" w14:textId="77777777" w:rsidR="00710D8E" w:rsidRPr="00710D8E" w:rsidRDefault="00710D8E" w:rsidP="00710D8E">
      <w:pPr>
        <w:numPr>
          <w:ilvl w:val="1"/>
          <w:numId w:val="2"/>
        </w:numPr>
        <w:rPr>
          <w:rFonts w:ascii="Arial" w:hAnsi="Arial" w:cs="Arial"/>
        </w:rPr>
      </w:pPr>
      <w:r w:rsidRPr="00710D8E">
        <w:rPr>
          <w:rFonts w:ascii="Arial" w:hAnsi="Arial" w:cs="Arial"/>
        </w:rPr>
        <w:t xml:space="preserve">Number of Vehicles, converted to </w:t>
      </w:r>
      <w:proofErr w:type="spellStart"/>
      <w:r w:rsidRPr="00710D8E">
        <w:rPr>
          <w:rFonts w:ascii="Arial" w:hAnsi="Arial" w:cs="Arial"/>
        </w:rPr>
        <w:t>Satuan</w:t>
      </w:r>
      <w:proofErr w:type="spellEnd"/>
      <w:r w:rsidRPr="00710D8E">
        <w:rPr>
          <w:rFonts w:ascii="Arial" w:hAnsi="Arial" w:cs="Arial"/>
        </w:rPr>
        <w:t xml:space="preserve"> Mobil </w:t>
      </w:r>
      <w:proofErr w:type="spellStart"/>
      <w:r w:rsidRPr="00710D8E">
        <w:rPr>
          <w:rFonts w:ascii="Arial" w:hAnsi="Arial" w:cs="Arial"/>
        </w:rPr>
        <w:t>Penumpang</w:t>
      </w:r>
      <w:proofErr w:type="spellEnd"/>
      <w:r w:rsidRPr="00710D8E">
        <w:rPr>
          <w:rFonts w:ascii="Arial" w:hAnsi="Arial" w:cs="Arial"/>
        </w:rPr>
        <w:t xml:space="preserve"> (SMP)</w:t>
      </w:r>
    </w:p>
    <w:p w14:paraId="138F2F84" w14:textId="77777777" w:rsidR="00710D8E" w:rsidRPr="00710D8E" w:rsidRDefault="00710D8E" w:rsidP="00710D8E">
      <w:pPr>
        <w:numPr>
          <w:ilvl w:val="0"/>
          <w:numId w:val="2"/>
        </w:numPr>
        <w:rPr>
          <w:rFonts w:ascii="Arial" w:hAnsi="Arial" w:cs="Arial"/>
        </w:rPr>
      </w:pPr>
      <w:r w:rsidRPr="00710D8E">
        <w:rPr>
          <w:rFonts w:ascii="Arial" w:hAnsi="Arial" w:cs="Arial"/>
        </w:rPr>
        <w:t>Dependent Variables:</w:t>
      </w:r>
    </w:p>
    <w:p w14:paraId="771E873C" w14:textId="77777777" w:rsidR="00710D8E" w:rsidRPr="00710D8E" w:rsidRDefault="00710D8E" w:rsidP="00710D8E">
      <w:pPr>
        <w:numPr>
          <w:ilvl w:val="1"/>
          <w:numId w:val="2"/>
        </w:numPr>
        <w:rPr>
          <w:rFonts w:ascii="Arial" w:hAnsi="Arial" w:cs="Arial"/>
        </w:rPr>
      </w:pPr>
      <w:r w:rsidRPr="00710D8E">
        <w:rPr>
          <w:rFonts w:ascii="Arial" w:hAnsi="Arial" w:cs="Arial"/>
        </w:rPr>
        <w:t>Gross Regional Domestic Product (GRDP) at constant prices (IDR)</w:t>
      </w:r>
    </w:p>
    <w:p w14:paraId="6936F00C" w14:textId="77777777" w:rsidR="00710D8E" w:rsidRPr="00710D8E" w:rsidRDefault="00710D8E" w:rsidP="00710D8E">
      <w:pPr>
        <w:numPr>
          <w:ilvl w:val="1"/>
          <w:numId w:val="2"/>
        </w:numPr>
        <w:rPr>
          <w:rFonts w:ascii="Arial" w:hAnsi="Arial" w:cs="Arial"/>
        </w:rPr>
      </w:pPr>
      <w:r w:rsidRPr="00710D8E">
        <w:rPr>
          <w:rFonts w:ascii="Arial" w:hAnsi="Arial" w:cs="Arial"/>
        </w:rPr>
        <w:t>Employment (number of employed persons)</w:t>
      </w:r>
    </w:p>
    <w:p w14:paraId="7BA3E1E2" w14:textId="77777777" w:rsidR="00710D8E" w:rsidRPr="00710D8E" w:rsidRDefault="00710D8E" w:rsidP="00710D8E">
      <w:pPr>
        <w:numPr>
          <w:ilvl w:val="1"/>
          <w:numId w:val="2"/>
        </w:numPr>
        <w:rPr>
          <w:rFonts w:ascii="Arial" w:hAnsi="Arial" w:cs="Arial"/>
        </w:rPr>
      </w:pPr>
      <w:r w:rsidRPr="00710D8E">
        <w:rPr>
          <w:rFonts w:ascii="Arial" w:hAnsi="Arial" w:cs="Arial"/>
        </w:rPr>
        <w:t>MSME Growth (number of active business units)</w:t>
      </w:r>
    </w:p>
    <w:p w14:paraId="591DA006" w14:textId="220C79B6"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.3 Standardization Techniques</w:t>
      </w:r>
    </w:p>
    <w:p w14:paraId="6090E902" w14:textId="245999DE" w:rsidR="00710D8E" w:rsidRPr="00710D8E" w:rsidRDefault="002A15A0" w:rsidP="00710D8E">
      <w:pPr>
        <w:rPr>
          <w:rFonts w:ascii="Arial" w:hAnsi="Arial" w:cs="Arial"/>
        </w:rPr>
      </w:pPr>
      <w:r w:rsidRPr="00FD029A">
        <w:rPr>
          <w:rFonts w:ascii="Arial" w:hAnsi="Arial" w:cs="Arial"/>
        </w:rPr>
        <w:t>2</w:t>
      </w:r>
      <w:r w:rsidR="00710D8E" w:rsidRPr="00710D8E">
        <w:rPr>
          <w:rFonts w:ascii="Arial" w:hAnsi="Arial" w:cs="Arial"/>
        </w:rPr>
        <w:t>.3.1 Road Quality Index (RQI)</w:t>
      </w:r>
    </w:p>
    <w:p w14:paraId="3247E1F8" w14:textId="77777777" w:rsidR="00710D8E" w:rsidRPr="00710D8E" w:rsidRDefault="00710D8E" w:rsidP="00710D8E">
      <w:pPr>
        <w:rPr>
          <w:rFonts w:ascii="Arial" w:hAnsi="Arial" w:cs="Arial"/>
        </w:rPr>
      </w:pPr>
      <w:r w:rsidRPr="00710D8E">
        <w:rPr>
          <w:rFonts w:ascii="Arial" w:hAnsi="Arial" w:cs="Arial"/>
        </w:rPr>
        <w:t>To reflect infrastructure effectiveness, the study introduces a Road Quality Index (RQI) calculated as:</w:t>
      </w:r>
    </w:p>
    <w:p w14:paraId="28675D96" w14:textId="77777777" w:rsidR="00710D8E" w:rsidRPr="00FD029A" w:rsidRDefault="00710D8E" w:rsidP="00710D8E">
      <w:pPr>
        <w:rPr>
          <w:rFonts w:ascii="Arial" w:hAnsi="Arial" w:cs="Arial"/>
        </w:rPr>
      </w:pPr>
      <w:r w:rsidRPr="00FD029A">
        <w:rPr>
          <w:rFonts w:ascii="Arial" w:hAnsi="Arial" w:cs="Arial"/>
          <w:noProof/>
        </w:rPr>
        <w:drawing>
          <wp:inline distT="0" distB="0" distL="0" distR="0" wp14:anchorId="2F7A7C0B" wp14:editId="18BA1CCE">
            <wp:extent cx="1138238" cy="462310"/>
            <wp:effectExtent l="0" t="0" r="5080" b="0"/>
            <wp:docPr id="703821060" name="Picture 1" descr="A black and white math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21060" name="Picture 1" descr="A black and white math symbol&#10;&#10;AI-generated content may be incorrect."/>
                    <pic:cNvPicPr/>
                  </pic:nvPicPr>
                  <pic:blipFill>
                    <a:blip r:embed="rId9"/>
                    <a:stretch>
                      <a:fillRect/>
                    </a:stretch>
                  </pic:blipFill>
                  <pic:spPr>
                    <a:xfrm>
                      <a:off x="0" y="0"/>
                      <a:ext cx="1155462" cy="469306"/>
                    </a:xfrm>
                    <a:prstGeom prst="rect">
                      <a:avLst/>
                    </a:prstGeom>
                  </pic:spPr>
                </pic:pic>
              </a:graphicData>
            </a:graphic>
          </wp:inline>
        </w:drawing>
      </w:r>
    </w:p>
    <w:p w14:paraId="53EA1C07" w14:textId="36EFCBBA" w:rsidR="00710D8E" w:rsidRPr="00710D8E" w:rsidRDefault="00710D8E" w:rsidP="00710D8E">
      <w:pPr>
        <w:rPr>
          <w:rFonts w:ascii="Arial" w:hAnsi="Arial" w:cs="Arial"/>
        </w:rPr>
      </w:pPr>
      <w:r w:rsidRPr="00710D8E">
        <w:rPr>
          <w:rFonts w:ascii="Arial" w:hAnsi="Arial" w:cs="Arial"/>
        </w:rPr>
        <w:t>Where:</w:t>
      </w:r>
    </w:p>
    <w:p w14:paraId="57422A0F" w14:textId="40D14D76" w:rsidR="00710D8E" w:rsidRPr="00710D8E" w:rsidRDefault="00710D8E" w:rsidP="00710D8E">
      <w:pPr>
        <w:numPr>
          <w:ilvl w:val="0"/>
          <w:numId w:val="3"/>
        </w:numPr>
        <w:rPr>
          <w:rFonts w:ascii="Arial" w:hAnsi="Arial" w:cs="Arial"/>
        </w:rPr>
      </w:pPr>
      <w:r w:rsidRPr="00710D8E">
        <w:rPr>
          <w:rFonts w:ascii="Arial" w:hAnsi="Arial" w:cs="Arial"/>
        </w:rPr>
        <w:lastRenderedPageBreak/>
        <w:t>Li</w:t>
      </w:r>
      <w:r w:rsidRPr="00FD029A">
        <w:rPr>
          <w:rFonts w:ascii="Arial" w:hAnsi="Arial" w:cs="Arial"/>
        </w:rPr>
        <w:t xml:space="preserve"> </w:t>
      </w:r>
      <w:r w:rsidRPr="00710D8E">
        <w:rPr>
          <w:rFonts w:ascii="Arial" w:hAnsi="Arial" w:cs="Arial"/>
        </w:rPr>
        <w:t xml:space="preserve">​ = Length of road segment </w:t>
      </w:r>
      <w:proofErr w:type="spellStart"/>
      <w:r w:rsidRPr="00710D8E">
        <w:rPr>
          <w:rFonts w:ascii="Arial" w:hAnsi="Arial" w:cs="Arial"/>
        </w:rPr>
        <w:t>i</w:t>
      </w:r>
      <w:proofErr w:type="spellEnd"/>
    </w:p>
    <w:p w14:paraId="20546269" w14:textId="5AF12AAD" w:rsidR="00710D8E" w:rsidRDefault="00710D8E" w:rsidP="00710D8E">
      <w:pPr>
        <w:numPr>
          <w:ilvl w:val="0"/>
          <w:numId w:val="3"/>
        </w:numPr>
        <w:rPr>
          <w:rFonts w:ascii="Arial" w:hAnsi="Arial" w:cs="Arial"/>
        </w:rPr>
      </w:pPr>
      <w:r w:rsidRPr="00710D8E">
        <w:rPr>
          <w:rFonts w:ascii="Arial" w:hAnsi="Arial" w:cs="Arial"/>
        </w:rPr>
        <w:t>Wi</w:t>
      </w:r>
      <w:r w:rsidRPr="00FD029A">
        <w:rPr>
          <w:rFonts w:ascii="Arial" w:hAnsi="Arial" w:cs="Arial"/>
        </w:rPr>
        <w:t xml:space="preserve"> </w:t>
      </w:r>
      <w:r w:rsidRPr="00710D8E">
        <w:rPr>
          <w:rFonts w:ascii="Arial" w:hAnsi="Arial" w:cs="Arial"/>
        </w:rPr>
        <w:t xml:space="preserve">= Weight assigned to condition of road </w:t>
      </w:r>
      <w:proofErr w:type="spellStart"/>
      <w:r w:rsidRPr="00710D8E">
        <w:rPr>
          <w:rFonts w:ascii="Arial" w:hAnsi="Arial" w:cs="Arial"/>
        </w:rPr>
        <w:t>i</w:t>
      </w:r>
      <w:proofErr w:type="spellEnd"/>
      <w:r w:rsidRPr="00710D8E">
        <w:rPr>
          <w:rFonts w:ascii="Arial" w:hAnsi="Arial" w:cs="Arial"/>
        </w:rPr>
        <w:t xml:space="preserve"> (see Table 1)</w:t>
      </w:r>
    </w:p>
    <w:p w14:paraId="3A5E7CA5" w14:textId="2565BE5F" w:rsidR="00BC4F23" w:rsidRDefault="00BC4F23" w:rsidP="00BC4F23">
      <w:pPr>
        <w:ind w:left="720"/>
        <w:jc w:val="center"/>
        <w:rPr>
          <w:rFonts w:ascii="Arial" w:hAnsi="Arial" w:cs="Arial"/>
        </w:rPr>
      </w:pPr>
      <w:r>
        <w:rPr>
          <w:rFonts w:ascii="Arial" w:hAnsi="Arial" w:cs="Arial"/>
        </w:rPr>
        <w:t>Table 1. Road Condition</w:t>
      </w:r>
    </w:p>
    <w:tbl>
      <w:tblPr>
        <w:tblStyle w:val="TableGrid"/>
        <w:tblW w:w="0" w:type="auto"/>
        <w:jc w:val="center"/>
        <w:tblLook w:val="04A0" w:firstRow="1" w:lastRow="0" w:firstColumn="1" w:lastColumn="0" w:noHBand="0" w:noVBand="1"/>
      </w:tblPr>
      <w:tblGrid>
        <w:gridCol w:w="2111"/>
        <w:gridCol w:w="1530"/>
      </w:tblGrid>
      <w:tr w:rsidR="00BC4F23" w:rsidRPr="00BC4F23" w14:paraId="79012000" w14:textId="77777777" w:rsidTr="00BC4F23">
        <w:trPr>
          <w:jc w:val="center"/>
        </w:trPr>
        <w:tc>
          <w:tcPr>
            <w:tcW w:w="0" w:type="auto"/>
            <w:hideMark/>
          </w:tcPr>
          <w:p w14:paraId="6D80208D" w14:textId="77777777" w:rsidR="00BC4F23" w:rsidRPr="00BC4F23" w:rsidRDefault="00BC4F23" w:rsidP="00BC4F23">
            <w:pPr>
              <w:spacing w:after="160" w:line="278" w:lineRule="auto"/>
              <w:rPr>
                <w:rFonts w:ascii="Arial" w:hAnsi="Arial" w:cs="Arial"/>
                <w:b/>
                <w:bCs/>
              </w:rPr>
            </w:pPr>
            <w:r w:rsidRPr="00BC4F23">
              <w:rPr>
                <w:rFonts w:ascii="Arial" w:hAnsi="Arial" w:cs="Arial"/>
                <w:b/>
                <w:bCs/>
              </w:rPr>
              <w:t>Road Condition</w:t>
            </w:r>
          </w:p>
        </w:tc>
        <w:tc>
          <w:tcPr>
            <w:tcW w:w="0" w:type="auto"/>
            <w:hideMark/>
          </w:tcPr>
          <w:p w14:paraId="676DC3E5" w14:textId="77777777" w:rsidR="00BC4F23" w:rsidRPr="00BC4F23" w:rsidRDefault="00BC4F23" w:rsidP="00BC4F23">
            <w:pPr>
              <w:spacing w:after="160" w:line="278" w:lineRule="auto"/>
              <w:rPr>
                <w:rFonts w:ascii="Arial" w:hAnsi="Arial" w:cs="Arial"/>
                <w:b/>
                <w:bCs/>
              </w:rPr>
            </w:pPr>
            <w:r w:rsidRPr="00BC4F23">
              <w:rPr>
                <w:rFonts w:ascii="Arial" w:hAnsi="Arial" w:cs="Arial"/>
                <w:b/>
                <w:bCs/>
              </w:rPr>
              <w:t>Weight (Wi)</w:t>
            </w:r>
          </w:p>
        </w:tc>
      </w:tr>
      <w:tr w:rsidR="00BC4F23" w:rsidRPr="00BC4F23" w14:paraId="30A3969B" w14:textId="77777777" w:rsidTr="00BC4F23">
        <w:trPr>
          <w:jc w:val="center"/>
        </w:trPr>
        <w:tc>
          <w:tcPr>
            <w:tcW w:w="0" w:type="auto"/>
            <w:hideMark/>
          </w:tcPr>
          <w:p w14:paraId="3B358AD9" w14:textId="77777777" w:rsidR="00BC4F23" w:rsidRPr="00BC4F23" w:rsidRDefault="00BC4F23" w:rsidP="00BC4F23">
            <w:pPr>
              <w:spacing w:after="160" w:line="278" w:lineRule="auto"/>
              <w:rPr>
                <w:rFonts w:ascii="Arial" w:hAnsi="Arial" w:cs="Arial"/>
              </w:rPr>
            </w:pPr>
            <w:r w:rsidRPr="00BC4F23">
              <w:rPr>
                <w:rFonts w:ascii="Arial" w:hAnsi="Arial" w:cs="Arial"/>
              </w:rPr>
              <w:t>Good</w:t>
            </w:r>
          </w:p>
        </w:tc>
        <w:tc>
          <w:tcPr>
            <w:tcW w:w="0" w:type="auto"/>
            <w:hideMark/>
          </w:tcPr>
          <w:p w14:paraId="101C8193" w14:textId="77777777" w:rsidR="00BC4F23" w:rsidRPr="00BC4F23" w:rsidRDefault="00BC4F23" w:rsidP="00BC4F23">
            <w:pPr>
              <w:spacing w:after="160" w:line="278" w:lineRule="auto"/>
              <w:rPr>
                <w:rFonts w:ascii="Arial" w:hAnsi="Arial" w:cs="Arial"/>
              </w:rPr>
            </w:pPr>
            <w:r w:rsidRPr="00BC4F23">
              <w:rPr>
                <w:rFonts w:ascii="Arial" w:hAnsi="Arial" w:cs="Arial"/>
              </w:rPr>
              <w:t>4</w:t>
            </w:r>
          </w:p>
        </w:tc>
      </w:tr>
      <w:tr w:rsidR="00BC4F23" w:rsidRPr="00BC4F23" w14:paraId="1A68A78D" w14:textId="77777777" w:rsidTr="00BC4F23">
        <w:trPr>
          <w:jc w:val="center"/>
        </w:trPr>
        <w:tc>
          <w:tcPr>
            <w:tcW w:w="0" w:type="auto"/>
            <w:hideMark/>
          </w:tcPr>
          <w:p w14:paraId="0ED5869D" w14:textId="77777777" w:rsidR="00BC4F23" w:rsidRPr="00BC4F23" w:rsidRDefault="00BC4F23" w:rsidP="00BC4F23">
            <w:pPr>
              <w:spacing w:after="160" w:line="278" w:lineRule="auto"/>
              <w:rPr>
                <w:rFonts w:ascii="Arial" w:hAnsi="Arial" w:cs="Arial"/>
              </w:rPr>
            </w:pPr>
            <w:r w:rsidRPr="00BC4F23">
              <w:rPr>
                <w:rFonts w:ascii="Arial" w:hAnsi="Arial" w:cs="Arial"/>
              </w:rPr>
              <w:t>Fair (Moderate)</w:t>
            </w:r>
          </w:p>
        </w:tc>
        <w:tc>
          <w:tcPr>
            <w:tcW w:w="0" w:type="auto"/>
            <w:hideMark/>
          </w:tcPr>
          <w:p w14:paraId="3099E165" w14:textId="77777777" w:rsidR="00BC4F23" w:rsidRPr="00BC4F23" w:rsidRDefault="00BC4F23" w:rsidP="00BC4F23">
            <w:pPr>
              <w:spacing w:after="160" w:line="278" w:lineRule="auto"/>
              <w:rPr>
                <w:rFonts w:ascii="Arial" w:hAnsi="Arial" w:cs="Arial"/>
              </w:rPr>
            </w:pPr>
            <w:r w:rsidRPr="00BC4F23">
              <w:rPr>
                <w:rFonts w:ascii="Arial" w:hAnsi="Arial" w:cs="Arial"/>
              </w:rPr>
              <w:t>3</w:t>
            </w:r>
          </w:p>
        </w:tc>
      </w:tr>
      <w:tr w:rsidR="00BC4F23" w:rsidRPr="00BC4F23" w14:paraId="5EB7EA97" w14:textId="77777777" w:rsidTr="00BC4F23">
        <w:trPr>
          <w:jc w:val="center"/>
        </w:trPr>
        <w:tc>
          <w:tcPr>
            <w:tcW w:w="0" w:type="auto"/>
            <w:hideMark/>
          </w:tcPr>
          <w:p w14:paraId="3BF0871E" w14:textId="77777777" w:rsidR="00BC4F23" w:rsidRPr="00BC4F23" w:rsidRDefault="00BC4F23" w:rsidP="00BC4F23">
            <w:pPr>
              <w:spacing w:after="160" w:line="278" w:lineRule="auto"/>
              <w:rPr>
                <w:rFonts w:ascii="Arial" w:hAnsi="Arial" w:cs="Arial"/>
              </w:rPr>
            </w:pPr>
            <w:r w:rsidRPr="00BC4F23">
              <w:rPr>
                <w:rFonts w:ascii="Arial" w:hAnsi="Arial" w:cs="Arial"/>
              </w:rPr>
              <w:t>Damaged</w:t>
            </w:r>
          </w:p>
        </w:tc>
        <w:tc>
          <w:tcPr>
            <w:tcW w:w="0" w:type="auto"/>
            <w:hideMark/>
          </w:tcPr>
          <w:p w14:paraId="157C5AE6" w14:textId="77777777" w:rsidR="00BC4F23" w:rsidRPr="00BC4F23" w:rsidRDefault="00BC4F23" w:rsidP="00BC4F23">
            <w:pPr>
              <w:spacing w:after="160" w:line="278" w:lineRule="auto"/>
              <w:rPr>
                <w:rFonts w:ascii="Arial" w:hAnsi="Arial" w:cs="Arial"/>
              </w:rPr>
            </w:pPr>
            <w:r w:rsidRPr="00BC4F23">
              <w:rPr>
                <w:rFonts w:ascii="Arial" w:hAnsi="Arial" w:cs="Arial"/>
              </w:rPr>
              <w:t>2</w:t>
            </w:r>
          </w:p>
        </w:tc>
      </w:tr>
      <w:tr w:rsidR="00BC4F23" w:rsidRPr="00BC4F23" w14:paraId="36FF8175" w14:textId="77777777" w:rsidTr="00BC4F23">
        <w:trPr>
          <w:jc w:val="center"/>
        </w:trPr>
        <w:tc>
          <w:tcPr>
            <w:tcW w:w="0" w:type="auto"/>
            <w:hideMark/>
          </w:tcPr>
          <w:p w14:paraId="50AF962B" w14:textId="77777777" w:rsidR="00BC4F23" w:rsidRPr="00BC4F23" w:rsidRDefault="00BC4F23" w:rsidP="00BC4F23">
            <w:pPr>
              <w:spacing w:after="160" w:line="278" w:lineRule="auto"/>
              <w:rPr>
                <w:rFonts w:ascii="Arial" w:hAnsi="Arial" w:cs="Arial"/>
              </w:rPr>
            </w:pPr>
            <w:r w:rsidRPr="00BC4F23">
              <w:rPr>
                <w:rFonts w:ascii="Arial" w:hAnsi="Arial" w:cs="Arial"/>
              </w:rPr>
              <w:t>Heavily Damaged</w:t>
            </w:r>
          </w:p>
        </w:tc>
        <w:tc>
          <w:tcPr>
            <w:tcW w:w="0" w:type="auto"/>
            <w:hideMark/>
          </w:tcPr>
          <w:p w14:paraId="7B20DE5D" w14:textId="77777777" w:rsidR="00BC4F23" w:rsidRPr="00BC4F23" w:rsidRDefault="00BC4F23" w:rsidP="00BC4F23">
            <w:pPr>
              <w:spacing w:after="160" w:line="278" w:lineRule="auto"/>
              <w:rPr>
                <w:rFonts w:ascii="Arial" w:hAnsi="Arial" w:cs="Arial"/>
              </w:rPr>
            </w:pPr>
            <w:r w:rsidRPr="00BC4F23">
              <w:rPr>
                <w:rFonts w:ascii="Arial" w:hAnsi="Arial" w:cs="Arial"/>
              </w:rPr>
              <w:t>1</w:t>
            </w:r>
          </w:p>
        </w:tc>
      </w:tr>
    </w:tbl>
    <w:p w14:paraId="4DBC6CCC" w14:textId="77777777" w:rsidR="00BC4F23" w:rsidRPr="00710D8E" w:rsidRDefault="00BC4F23" w:rsidP="00BC4F23">
      <w:pPr>
        <w:rPr>
          <w:rFonts w:ascii="Arial" w:hAnsi="Arial" w:cs="Arial"/>
        </w:rPr>
      </w:pPr>
    </w:p>
    <w:p w14:paraId="60500B44" w14:textId="2A5217B4"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.3.2 Vehicle Standardization to SMP</w:t>
      </w:r>
    </w:p>
    <w:p w14:paraId="79CD2796" w14:textId="77777777" w:rsidR="00710D8E" w:rsidRPr="00B1562F" w:rsidRDefault="00710D8E" w:rsidP="00710D8E">
      <w:pPr>
        <w:rPr>
          <w:rFonts w:ascii="Arial" w:hAnsi="Arial" w:cs="Arial"/>
        </w:rPr>
      </w:pPr>
      <w:r w:rsidRPr="00710D8E">
        <w:rPr>
          <w:rFonts w:ascii="Arial" w:hAnsi="Arial" w:cs="Arial"/>
        </w:rPr>
        <w:t xml:space="preserve">Vehicle types are converted to </w:t>
      </w:r>
      <w:r w:rsidRPr="00B1562F">
        <w:rPr>
          <w:rFonts w:ascii="Arial" w:hAnsi="Arial" w:cs="Arial"/>
        </w:rPr>
        <w:t>Passenger Car Units (SMP) using the Indonesian Highway Capacity Manual (IHCM) standards:</w:t>
      </w:r>
    </w:p>
    <w:p w14:paraId="281F3F79" w14:textId="77777777" w:rsidR="00710D8E" w:rsidRPr="003E3732" w:rsidRDefault="00710D8E" w:rsidP="00710D8E">
      <w:pPr>
        <w:rPr>
          <w:rFonts w:ascii="Arial" w:hAnsi="Arial" w:cs="Arial"/>
        </w:rPr>
      </w:pPr>
      <w:r w:rsidRPr="003E3732">
        <w:rPr>
          <w:rFonts w:ascii="Arial" w:hAnsi="Arial" w:cs="Arial"/>
          <w:noProof/>
        </w:rPr>
        <w:drawing>
          <wp:inline distT="0" distB="0" distL="0" distR="0" wp14:anchorId="3394B7D7" wp14:editId="1ED25999">
            <wp:extent cx="1862137" cy="580457"/>
            <wp:effectExtent l="0" t="0" r="5080" b="0"/>
            <wp:docPr id="1635914901" name="Picture 1" descr="A mathematical equation with a number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14901" name="Picture 1" descr="A mathematical equation with a number and a symbol&#10;&#10;AI-generated content may be incorrect."/>
                    <pic:cNvPicPr/>
                  </pic:nvPicPr>
                  <pic:blipFill>
                    <a:blip r:embed="rId10"/>
                    <a:stretch>
                      <a:fillRect/>
                    </a:stretch>
                  </pic:blipFill>
                  <pic:spPr>
                    <a:xfrm>
                      <a:off x="0" y="0"/>
                      <a:ext cx="1896082" cy="591038"/>
                    </a:xfrm>
                    <a:prstGeom prst="rect">
                      <a:avLst/>
                    </a:prstGeom>
                  </pic:spPr>
                </pic:pic>
              </a:graphicData>
            </a:graphic>
          </wp:inline>
        </w:drawing>
      </w:r>
    </w:p>
    <w:p w14:paraId="69DD883D" w14:textId="06C3FF21" w:rsidR="00710D8E" w:rsidRPr="00710D8E" w:rsidRDefault="00710D8E" w:rsidP="00710D8E">
      <w:pPr>
        <w:rPr>
          <w:rFonts w:ascii="Arial" w:hAnsi="Arial" w:cs="Arial"/>
        </w:rPr>
      </w:pPr>
      <w:r w:rsidRPr="00710D8E">
        <w:rPr>
          <w:rFonts w:ascii="Arial" w:hAnsi="Arial" w:cs="Arial"/>
        </w:rPr>
        <w:t>Where:</w:t>
      </w:r>
    </w:p>
    <w:p w14:paraId="72C0847E" w14:textId="21ABAA6E" w:rsidR="00710D8E" w:rsidRPr="00710D8E" w:rsidRDefault="00710D8E" w:rsidP="00710D8E">
      <w:pPr>
        <w:numPr>
          <w:ilvl w:val="0"/>
          <w:numId w:val="4"/>
        </w:numPr>
        <w:rPr>
          <w:rFonts w:ascii="Arial" w:hAnsi="Arial" w:cs="Arial"/>
        </w:rPr>
      </w:pPr>
      <w:r w:rsidRPr="00710D8E">
        <w:rPr>
          <w:rFonts w:ascii="Arial" w:hAnsi="Arial" w:cs="Arial"/>
        </w:rPr>
        <w:t>Nj</w:t>
      </w:r>
      <w:r w:rsidRPr="003E3732">
        <w:rPr>
          <w:rFonts w:ascii="Arial" w:hAnsi="Arial" w:cs="Arial"/>
        </w:rPr>
        <w:t xml:space="preserve"> </w:t>
      </w:r>
      <w:r w:rsidRPr="00710D8E">
        <w:rPr>
          <w:rFonts w:ascii="Arial" w:hAnsi="Arial" w:cs="Arial"/>
        </w:rPr>
        <w:t xml:space="preserve">​ = Number of vehicles type </w:t>
      </w:r>
      <w:proofErr w:type="spellStart"/>
      <w:r w:rsidRPr="00710D8E">
        <w:rPr>
          <w:rFonts w:ascii="Arial" w:hAnsi="Arial" w:cs="Arial"/>
        </w:rPr>
        <w:t>jjj</w:t>
      </w:r>
      <w:proofErr w:type="spellEnd"/>
    </w:p>
    <w:p w14:paraId="5EA7CB09" w14:textId="4F016492" w:rsidR="00710D8E" w:rsidRPr="00710D8E" w:rsidRDefault="00710D8E" w:rsidP="00710D8E">
      <w:pPr>
        <w:numPr>
          <w:ilvl w:val="0"/>
          <w:numId w:val="4"/>
        </w:numPr>
        <w:rPr>
          <w:rFonts w:ascii="Arial" w:hAnsi="Arial" w:cs="Arial"/>
        </w:rPr>
      </w:pPr>
      <w:proofErr w:type="spellStart"/>
      <w:r w:rsidRPr="00710D8E">
        <w:rPr>
          <w:rFonts w:ascii="Arial" w:hAnsi="Arial" w:cs="Arial"/>
        </w:rPr>
        <w:t>Cj</w:t>
      </w:r>
      <w:proofErr w:type="spellEnd"/>
      <w:r w:rsidRPr="003E3732">
        <w:rPr>
          <w:rFonts w:ascii="Arial" w:hAnsi="Arial" w:cs="Arial"/>
        </w:rPr>
        <w:t xml:space="preserve"> </w:t>
      </w:r>
      <w:r w:rsidRPr="00710D8E">
        <w:rPr>
          <w:rFonts w:ascii="Arial" w:hAnsi="Arial" w:cs="Arial"/>
        </w:rPr>
        <w:t>​ = Conversion factor (see Table 2)</w:t>
      </w:r>
    </w:p>
    <w:p w14:paraId="097461F0" w14:textId="67D210FD" w:rsidR="00027881" w:rsidRPr="00027881" w:rsidRDefault="00027881" w:rsidP="00027881">
      <w:pPr>
        <w:spacing w:before="100" w:beforeAutospacing="1" w:after="100" w:afterAutospacing="1" w:line="240" w:lineRule="auto"/>
        <w:rPr>
          <w:rFonts w:ascii="Times New Roman" w:eastAsia="Times New Roman" w:hAnsi="Times New Roman" w:cs="Times New Roman"/>
          <w:kern w:val="0"/>
          <w14:ligatures w14:val="none"/>
        </w:rPr>
      </w:pPr>
      <w:r w:rsidRPr="00027881">
        <w:rPr>
          <w:rFonts w:ascii="Times New Roman" w:eastAsia="Times New Roman" w:hAnsi="Times New Roman" w:cs="Times New Roman"/>
          <w:b/>
          <w:bCs/>
          <w:kern w:val="0"/>
          <w14:ligatures w14:val="none"/>
        </w:rPr>
        <w:t>Table 2</w:t>
      </w:r>
      <w:r>
        <w:rPr>
          <w:rFonts w:ascii="Times New Roman" w:eastAsia="Times New Roman" w:hAnsi="Times New Roman" w:cs="Times New Roman"/>
          <w:b/>
          <w:bCs/>
          <w:kern w:val="0"/>
          <w14:ligatures w14:val="none"/>
        </w:rPr>
        <w:t>.</w:t>
      </w:r>
      <w:r w:rsidRPr="00027881">
        <w:rPr>
          <w:rFonts w:ascii="Times New Roman" w:eastAsia="Times New Roman" w:hAnsi="Times New Roman" w:cs="Times New Roman"/>
          <w:b/>
          <w:bCs/>
          <w:kern w:val="0"/>
          <w14:ligatures w14:val="none"/>
        </w:rPr>
        <w:t xml:space="preserve"> </w:t>
      </w:r>
      <w:r w:rsidRPr="00027881">
        <w:rPr>
          <w:rFonts w:ascii="Times New Roman" w:eastAsia="Times New Roman" w:hAnsi="Times New Roman" w:cs="Times New Roman"/>
          <w:kern w:val="0"/>
          <w14:ligatures w14:val="none"/>
        </w:rPr>
        <w:t>Vehicle Conversion Factors to SMP (Passenger Car Units) based on IHCM standards</w:t>
      </w:r>
    </w:p>
    <w:tbl>
      <w:tblPr>
        <w:tblStyle w:val="TableGrid"/>
        <w:tblW w:w="0" w:type="auto"/>
        <w:jc w:val="center"/>
        <w:tblLook w:val="04A0" w:firstRow="1" w:lastRow="0" w:firstColumn="1" w:lastColumn="0" w:noHBand="0" w:noVBand="1"/>
      </w:tblPr>
      <w:tblGrid>
        <w:gridCol w:w="1583"/>
        <w:gridCol w:w="2603"/>
      </w:tblGrid>
      <w:tr w:rsidR="00027881" w:rsidRPr="00027881" w14:paraId="6B23FC9B" w14:textId="77777777" w:rsidTr="00027881">
        <w:trPr>
          <w:jc w:val="center"/>
        </w:trPr>
        <w:tc>
          <w:tcPr>
            <w:tcW w:w="0" w:type="auto"/>
            <w:hideMark/>
          </w:tcPr>
          <w:p w14:paraId="50DDF73F" w14:textId="77777777" w:rsidR="00027881" w:rsidRPr="00027881" w:rsidRDefault="00027881" w:rsidP="00027881">
            <w:pPr>
              <w:jc w:val="center"/>
              <w:rPr>
                <w:rFonts w:ascii="Times New Roman" w:eastAsia="Times New Roman" w:hAnsi="Times New Roman" w:cs="Times New Roman"/>
                <w:b/>
                <w:bCs/>
                <w:kern w:val="0"/>
                <w14:ligatures w14:val="none"/>
              </w:rPr>
            </w:pPr>
            <w:r w:rsidRPr="00027881">
              <w:rPr>
                <w:rFonts w:ascii="Times New Roman" w:eastAsia="Times New Roman" w:hAnsi="Times New Roman" w:cs="Times New Roman"/>
                <w:b/>
                <w:bCs/>
                <w:kern w:val="0"/>
                <w14:ligatures w14:val="none"/>
              </w:rPr>
              <w:t>Vehicle Type</w:t>
            </w:r>
          </w:p>
        </w:tc>
        <w:tc>
          <w:tcPr>
            <w:tcW w:w="0" w:type="auto"/>
            <w:hideMark/>
          </w:tcPr>
          <w:p w14:paraId="6E631B87" w14:textId="77777777" w:rsidR="00027881" w:rsidRPr="00027881" w:rsidRDefault="00027881" w:rsidP="00027881">
            <w:pPr>
              <w:jc w:val="center"/>
              <w:rPr>
                <w:rFonts w:ascii="Times New Roman" w:eastAsia="Times New Roman" w:hAnsi="Times New Roman" w:cs="Times New Roman"/>
                <w:b/>
                <w:bCs/>
                <w:kern w:val="0"/>
                <w14:ligatures w14:val="none"/>
              </w:rPr>
            </w:pPr>
            <w:r w:rsidRPr="00027881">
              <w:rPr>
                <w:rFonts w:ascii="Times New Roman" w:eastAsia="Times New Roman" w:hAnsi="Times New Roman" w:cs="Times New Roman"/>
                <w:b/>
                <w:bCs/>
                <w:kern w:val="0"/>
                <w14:ligatures w14:val="none"/>
              </w:rPr>
              <w:t>Conversion Factor (</w:t>
            </w:r>
            <w:proofErr w:type="spellStart"/>
            <w:r w:rsidRPr="00027881">
              <w:rPr>
                <w:rFonts w:ascii="Times New Roman" w:eastAsia="Times New Roman" w:hAnsi="Times New Roman" w:cs="Times New Roman"/>
                <w:b/>
                <w:bCs/>
                <w:kern w:val="0"/>
                <w14:ligatures w14:val="none"/>
              </w:rPr>
              <w:t>Cj</w:t>
            </w:r>
            <w:proofErr w:type="spellEnd"/>
            <w:r w:rsidRPr="00027881">
              <w:rPr>
                <w:rFonts w:ascii="Times New Roman" w:eastAsia="Times New Roman" w:hAnsi="Times New Roman" w:cs="Times New Roman"/>
                <w:b/>
                <w:bCs/>
                <w:kern w:val="0"/>
                <w14:ligatures w14:val="none"/>
              </w:rPr>
              <w:t>)</w:t>
            </w:r>
          </w:p>
        </w:tc>
      </w:tr>
      <w:tr w:rsidR="00027881" w:rsidRPr="00027881" w14:paraId="11D7EBB1" w14:textId="77777777" w:rsidTr="00027881">
        <w:trPr>
          <w:jc w:val="center"/>
        </w:trPr>
        <w:tc>
          <w:tcPr>
            <w:tcW w:w="0" w:type="auto"/>
            <w:hideMark/>
          </w:tcPr>
          <w:p w14:paraId="5E9EBC2B"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Passenger Car</w:t>
            </w:r>
          </w:p>
        </w:tc>
        <w:tc>
          <w:tcPr>
            <w:tcW w:w="0" w:type="auto"/>
            <w:hideMark/>
          </w:tcPr>
          <w:p w14:paraId="0AA5B330"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1.00</w:t>
            </w:r>
          </w:p>
        </w:tc>
      </w:tr>
      <w:tr w:rsidR="00027881" w:rsidRPr="00027881" w14:paraId="3FACB690" w14:textId="77777777" w:rsidTr="00027881">
        <w:trPr>
          <w:jc w:val="center"/>
        </w:trPr>
        <w:tc>
          <w:tcPr>
            <w:tcW w:w="0" w:type="auto"/>
            <w:hideMark/>
          </w:tcPr>
          <w:p w14:paraId="2379A212"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Motorcycle</w:t>
            </w:r>
          </w:p>
        </w:tc>
        <w:tc>
          <w:tcPr>
            <w:tcW w:w="0" w:type="auto"/>
            <w:hideMark/>
          </w:tcPr>
          <w:p w14:paraId="0C4B4BEF"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0.25</w:t>
            </w:r>
          </w:p>
        </w:tc>
      </w:tr>
      <w:tr w:rsidR="00027881" w:rsidRPr="00027881" w14:paraId="70EAF1A2" w14:textId="77777777" w:rsidTr="00027881">
        <w:trPr>
          <w:jc w:val="center"/>
        </w:trPr>
        <w:tc>
          <w:tcPr>
            <w:tcW w:w="0" w:type="auto"/>
            <w:hideMark/>
          </w:tcPr>
          <w:p w14:paraId="5FE488A1"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Light Truck</w:t>
            </w:r>
          </w:p>
        </w:tc>
        <w:tc>
          <w:tcPr>
            <w:tcW w:w="0" w:type="auto"/>
            <w:hideMark/>
          </w:tcPr>
          <w:p w14:paraId="5D5A6BEB"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1.20</w:t>
            </w:r>
          </w:p>
        </w:tc>
      </w:tr>
      <w:tr w:rsidR="00027881" w:rsidRPr="00027881" w14:paraId="599CF061" w14:textId="77777777" w:rsidTr="00027881">
        <w:trPr>
          <w:jc w:val="center"/>
        </w:trPr>
        <w:tc>
          <w:tcPr>
            <w:tcW w:w="0" w:type="auto"/>
            <w:hideMark/>
          </w:tcPr>
          <w:p w14:paraId="0044B6D6"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Heavy Truck</w:t>
            </w:r>
          </w:p>
        </w:tc>
        <w:tc>
          <w:tcPr>
            <w:tcW w:w="0" w:type="auto"/>
            <w:hideMark/>
          </w:tcPr>
          <w:p w14:paraId="6726E145"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1.50</w:t>
            </w:r>
          </w:p>
        </w:tc>
      </w:tr>
      <w:tr w:rsidR="00027881" w:rsidRPr="00027881" w14:paraId="47F8E2FB" w14:textId="77777777" w:rsidTr="00027881">
        <w:trPr>
          <w:jc w:val="center"/>
        </w:trPr>
        <w:tc>
          <w:tcPr>
            <w:tcW w:w="0" w:type="auto"/>
            <w:hideMark/>
          </w:tcPr>
          <w:p w14:paraId="74BE9912"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Bus</w:t>
            </w:r>
          </w:p>
        </w:tc>
        <w:tc>
          <w:tcPr>
            <w:tcW w:w="0" w:type="auto"/>
            <w:hideMark/>
          </w:tcPr>
          <w:p w14:paraId="4F032D97"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1.30</w:t>
            </w:r>
          </w:p>
        </w:tc>
      </w:tr>
    </w:tbl>
    <w:p w14:paraId="6624FC72" w14:textId="3C03A2FE" w:rsidR="00710D8E" w:rsidRPr="00710D8E" w:rsidRDefault="00710D8E" w:rsidP="00710D8E">
      <w:pPr>
        <w:rPr>
          <w:rFonts w:ascii="Arial" w:hAnsi="Arial" w:cs="Arial"/>
        </w:rPr>
      </w:pPr>
    </w:p>
    <w:p w14:paraId="33F59BFF" w14:textId="60489F5D"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.4 Analytical Procedure</w:t>
      </w:r>
    </w:p>
    <w:p w14:paraId="706E65C4" w14:textId="46489A59" w:rsidR="00710D8E" w:rsidRPr="00710D8E" w:rsidRDefault="002A15A0" w:rsidP="00710D8E">
      <w:pPr>
        <w:rPr>
          <w:rFonts w:ascii="Arial" w:hAnsi="Arial" w:cs="Arial"/>
        </w:rPr>
      </w:pPr>
      <w:r w:rsidRPr="00A22CCB">
        <w:rPr>
          <w:rFonts w:ascii="Arial" w:hAnsi="Arial" w:cs="Arial"/>
        </w:rPr>
        <w:t>2</w:t>
      </w:r>
      <w:r w:rsidR="00710D8E" w:rsidRPr="00710D8E">
        <w:rPr>
          <w:rFonts w:ascii="Arial" w:hAnsi="Arial" w:cs="Arial"/>
        </w:rPr>
        <w:t>.4.1 Descriptive Analysis</w:t>
      </w:r>
    </w:p>
    <w:p w14:paraId="56431221" w14:textId="77777777" w:rsidR="00710D8E" w:rsidRPr="00710D8E" w:rsidRDefault="00710D8E" w:rsidP="00710D8E">
      <w:pPr>
        <w:rPr>
          <w:rFonts w:ascii="Arial" w:hAnsi="Arial" w:cs="Arial"/>
        </w:rPr>
      </w:pPr>
      <w:r w:rsidRPr="00710D8E">
        <w:rPr>
          <w:rFonts w:ascii="Arial" w:hAnsi="Arial" w:cs="Arial"/>
        </w:rPr>
        <w:t>Statistical descriptions (mean, standard deviation, and trends) are used to summarize the characteristics and temporal patterns of all variables.</w:t>
      </w:r>
    </w:p>
    <w:p w14:paraId="661B54A0" w14:textId="045B8FD1" w:rsidR="00710D8E" w:rsidRPr="00710D8E" w:rsidRDefault="002A15A0" w:rsidP="00710D8E">
      <w:pPr>
        <w:rPr>
          <w:rFonts w:ascii="Arial" w:hAnsi="Arial" w:cs="Arial"/>
        </w:rPr>
      </w:pPr>
      <w:r w:rsidRPr="00A22CCB">
        <w:rPr>
          <w:rFonts w:ascii="Arial" w:hAnsi="Arial" w:cs="Arial"/>
        </w:rPr>
        <w:lastRenderedPageBreak/>
        <w:t>2</w:t>
      </w:r>
      <w:r w:rsidR="00710D8E" w:rsidRPr="00710D8E">
        <w:rPr>
          <w:rFonts w:ascii="Arial" w:hAnsi="Arial" w:cs="Arial"/>
        </w:rPr>
        <w:t>.4.2 Correlation Analysis</w:t>
      </w:r>
    </w:p>
    <w:p w14:paraId="418A79C2" w14:textId="77777777" w:rsidR="00710D8E" w:rsidRPr="00710D8E" w:rsidRDefault="00710D8E" w:rsidP="00710D8E">
      <w:pPr>
        <w:rPr>
          <w:rFonts w:ascii="Arial" w:hAnsi="Arial" w:cs="Arial"/>
        </w:rPr>
      </w:pPr>
      <w:r w:rsidRPr="00710D8E">
        <w:rPr>
          <w:rFonts w:ascii="Arial" w:hAnsi="Arial" w:cs="Arial"/>
        </w:rPr>
        <w:t>To measure the relationship between transportation infrastructure and economic indicators:</w:t>
      </w:r>
    </w:p>
    <w:p w14:paraId="786DD613" w14:textId="77777777" w:rsidR="00710D8E" w:rsidRPr="00710D8E" w:rsidRDefault="00710D8E" w:rsidP="00710D8E">
      <w:pPr>
        <w:numPr>
          <w:ilvl w:val="0"/>
          <w:numId w:val="5"/>
        </w:numPr>
        <w:rPr>
          <w:rFonts w:ascii="Arial" w:hAnsi="Arial" w:cs="Arial"/>
        </w:rPr>
      </w:pPr>
      <w:r w:rsidRPr="00710D8E">
        <w:rPr>
          <w:rFonts w:ascii="Arial" w:hAnsi="Arial" w:cs="Arial"/>
        </w:rPr>
        <w:t>Pearson’s correlation (r) is applied when data are normally distributed and continuous:</w:t>
      </w:r>
    </w:p>
    <w:p w14:paraId="075D8C68" w14:textId="77777777" w:rsidR="00710D8E" w:rsidRPr="00A22CCB" w:rsidRDefault="00710D8E" w:rsidP="00710D8E">
      <w:pPr>
        <w:ind w:left="720"/>
        <w:rPr>
          <w:rFonts w:ascii="Arial" w:hAnsi="Arial" w:cs="Arial"/>
        </w:rPr>
      </w:pPr>
      <w:r w:rsidRPr="00A22CCB">
        <w:rPr>
          <w:rFonts w:ascii="Arial" w:hAnsi="Arial" w:cs="Arial"/>
          <w:noProof/>
        </w:rPr>
        <w:drawing>
          <wp:inline distT="0" distB="0" distL="0" distR="0" wp14:anchorId="08990B17" wp14:editId="25CE7ECB">
            <wp:extent cx="2830286" cy="514350"/>
            <wp:effectExtent l="0" t="0" r="8255" b="0"/>
            <wp:docPr id="1360270084" name="Picture 1" descr="A mathematical equation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70084" name="Picture 1" descr="A mathematical equation with numbers&#10;&#10;AI-generated content may be incorrect."/>
                    <pic:cNvPicPr/>
                  </pic:nvPicPr>
                  <pic:blipFill>
                    <a:blip r:embed="rId11"/>
                    <a:stretch>
                      <a:fillRect/>
                    </a:stretch>
                  </pic:blipFill>
                  <pic:spPr>
                    <a:xfrm>
                      <a:off x="0" y="0"/>
                      <a:ext cx="2901693" cy="527327"/>
                    </a:xfrm>
                    <a:prstGeom prst="rect">
                      <a:avLst/>
                    </a:prstGeom>
                  </pic:spPr>
                </pic:pic>
              </a:graphicData>
            </a:graphic>
          </wp:inline>
        </w:drawing>
      </w:r>
    </w:p>
    <w:p w14:paraId="1B65EBC5" w14:textId="71B20149" w:rsidR="00710D8E" w:rsidRPr="00A22CCB" w:rsidRDefault="00710D8E" w:rsidP="00710D8E">
      <w:pPr>
        <w:numPr>
          <w:ilvl w:val="0"/>
          <w:numId w:val="6"/>
        </w:numPr>
        <w:rPr>
          <w:rFonts w:ascii="Arial" w:hAnsi="Arial" w:cs="Arial"/>
        </w:rPr>
      </w:pPr>
      <w:r w:rsidRPr="00710D8E">
        <w:rPr>
          <w:rFonts w:ascii="Arial" w:hAnsi="Arial" w:cs="Arial"/>
        </w:rPr>
        <w:t>Spearman’s rank correlation (ρ) is used when data violate normality assumptions or are ordinal:</w:t>
      </w:r>
      <w:r w:rsidRPr="00A22CCB">
        <w:rPr>
          <w:rFonts w:ascii="Arial" w:hAnsi="Arial" w:cs="Arial"/>
        </w:rPr>
        <w:t xml:space="preserve"> </w:t>
      </w:r>
    </w:p>
    <w:p w14:paraId="6FA6FC31" w14:textId="5D97F3F3" w:rsidR="00710D8E" w:rsidRPr="00710D8E" w:rsidRDefault="00710D8E" w:rsidP="00710D8E">
      <w:pPr>
        <w:ind w:left="720"/>
        <w:rPr>
          <w:rFonts w:ascii="Arial" w:hAnsi="Arial" w:cs="Arial"/>
        </w:rPr>
      </w:pPr>
      <w:r w:rsidRPr="00A22CCB">
        <w:rPr>
          <w:rFonts w:ascii="Arial" w:hAnsi="Arial" w:cs="Arial"/>
          <w:noProof/>
        </w:rPr>
        <w:drawing>
          <wp:inline distT="0" distB="0" distL="0" distR="0" wp14:anchorId="29768CEB" wp14:editId="45E99C12">
            <wp:extent cx="1624013" cy="542846"/>
            <wp:effectExtent l="0" t="0" r="0" b="0"/>
            <wp:docPr id="1855768840" name="Picture 1" descr="A black and white math equ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68840" name="Picture 1" descr="A black and white math equation&#10;&#10;AI-generated content may be incorrect."/>
                    <pic:cNvPicPr/>
                  </pic:nvPicPr>
                  <pic:blipFill>
                    <a:blip r:embed="rId12"/>
                    <a:stretch>
                      <a:fillRect/>
                    </a:stretch>
                  </pic:blipFill>
                  <pic:spPr>
                    <a:xfrm>
                      <a:off x="0" y="0"/>
                      <a:ext cx="1646989" cy="550526"/>
                    </a:xfrm>
                    <a:prstGeom prst="rect">
                      <a:avLst/>
                    </a:prstGeom>
                  </pic:spPr>
                </pic:pic>
              </a:graphicData>
            </a:graphic>
          </wp:inline>
        </w:drawing>
      </w:r>
    </w:p>
    <w:p w14:paraId="3012A77B" w14:textId="77777777" w:rsidR="00710D8E" w:rsidRPr="00710D8E" w:rsidRDefault="00710D8E" w:rsidP="00710D8E">
      <w:pPr>
        <w:rPr>
          <w:rFonts w:ascii="Arial" w:hAnsi="Arial" w:cs="Arial"/>
        </w:rPr>
      </w:pPr>
      <w:r w:rsidRPr="00710D8E">
        <w:rPr>
          <w:rFonts w:ascii="Arial" w:hAnsi="Arial" w:cs="Arial"/>
        </w:rPr>
        <w:t>Where:</w:t>
      </w:r>
    </w:p>
    <w:p w14:paraId="56AFD507" w14:textId="73E8D040" w:rsidR="00710D8E" w:rsidRPr="00710D8E" w:rsidRDefault="00710D8E" w:rsidP="00710D8E">
      <w:pPr>
        <w:numPr>
          <w:ilvl w:val="0"/>
          <w:numId w:val="7"/>
        </w:numPr>
        <w:rPr>
          <w:rFonts w:ascii="Arial" w:hAnsi="Arial" w:cs="Arial"/>
        </w:rPr>
      </w:pPr>
      <w:r w:rsidRPr="00710D8E">
        <w:rPr>
          <w:rFonts w:ascii="Arial" w:hAnsi="Arial" w:cs="Arial"/>
        </w:rPr>
        <w:t>d= Difference in ranks</w:t>
      </w:r>
    </w:p>
    <w:p w14:paraId="328C41FD" w14:textId="458A1851" w:rsidR="00710D8E" w:rsidRPr="00710D8E" w:rsidRDefault="00710D8E" w:rsidP="00710D8E">
      <w:pPr>
        <w:numPr>
          <w:ilvl w:val="0"/>
          <w:numId w:val="7"/>
        </w:numPr>
        <w:rPr>
          <w:rFonts w:ascii="Arial" w:hAnsi="Arial" w:cs="Arial"/>
        </w:rPr>
      </w:pPr>
      <w:r w:rsidRPr="00710D8E">
        <w:rPr>
          <w:rFonts w:ascii="Arial" w:hAnsi="Arial" w:cs="Arial"/>
        </w:rPr>
        <w:t>n= Number of data pairs</w:t>
      </w:r>
    </w:p>
    <w:p w14:paraId="49CC5596" w14:textId="38CCD366"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.4.3 Interpretation via Guilford Scale</w:t>
      </w:r>
    </w:p>
    <w:p w14:paraId="3EFC2AB1" w14:textId="77777777" w:rsidR="00710D8E" w:rsidRPr="00710D8E" w:rsidRDefault="00710D8E" w:rsidP="00710D8E">
      <w:pPr>
        <w:rPr>
          <w:rFonts w:ascii="Arial" w:hAnsi="Arial" w:cs="Arial"/>
        </w:rPr>
      </w:pPr>
      <w:r w:rsidRPr="00710D8E">
        <w:rPr>
          <w:rFonts w:ascii="Arial" w:hAnsi="Arial" w:cs="Arial"/>
        </w:rPr>
        <w:t>Correlation strengths are interpreted using Guilford’s classification:</w:t>
      </w:r>
    </w:p>
    <w:p w14:paraId="6AFEA1EA" w14:textId="77777777" w:rsidR="00710D8E" w:rsidRPr="00710D8E" w:rsidRDefault="00710D8E" w:rsidP="00710D8E">
      <w:pPr>
        <w:numPr>
          <w:ilvl w:val="0"/>
          <w:numId w:val="8"/>
        </w:numPr>
        <w:rPr>
          <w:rFonts w:ascii="Arial" w:hAnsi="Arial" w:cs="Arial"/>
        </w:rPr>
      </w:pPr>
      <w:r w:rsidRPr="00710D8E">
        <w:rPr>
          <w:rFonts w:ascii="Arial" w:hAnsi="Arial" w:cs="Arial"/>
        </w:rPr>
        <w:t>Very High: r&gt;0.90r &gt; 0.90r&gt;0.90</w:t>
      </w:r>
    </w:p>
    <w:p w14:paraId="45967123" w14:textId="77777777" w:rsidR="00710D8E" w:rsidRPr="00710D8E" w:rsidRDefault="00710D8E" w:rsidP="00710D8E">
      <w:pPr>
        <w:numPr>
          <w:ilvl w:val="0"/>
          <w:numId w:val="8"/>
        </w:numPr>
        <w:rPr>
          <w:rFonts w:ascii="Arial" w:hAnsi="Arial" w:cs="Arial"/>
        </w:rPr>
      </w:pPr>
      <w:r w:rsidRPr="00710D8E">
        <w:rPr>
          <w:rFonts w:ascii="Arial" w:hAnsi="Arial" w:cs="Arial"/>
        </w:rPr>
        <w:t>High: 0.71≤r≤0.900.71 \</w:t>
      </w:r>
      <w:proofErr w:type="spellStart"/>
      <w:r w:rsidRPr="00710D8E">
        <w:rPr>
          <w:rFonts w:ascii="Arial" w:hAnsi="Arial" w:cs="Arial"/>
        </w:rPr>
        <w:t>leq</w:t>
      </w:r>
      <w:proofErr w:type="spellEnd"/>
      <w:r w:rsidRPr="00710D8E">
        <w:rPr>
          <w:rFonts w:ascii="Arial" w:hAnsi="Arial" w:cs="Arial"/>
        </w:rPr>
        <w:t xml:space="preserve"> r \</w:t>
      </w:r>
      <w:proofErr w:type="spellStart"/>
      <w:r w:rsidRPr="00710D8E">
        <w:rPr>
          <w:rFonts w:ascii="Arial" w:hAnsi="Arial" w:cs="Arial"/>
        </w:rPr>
        <w:t>leq</w:t>
      </w:r>
      <w:proofErr w:type="spellEnd"/>
      <w:r w:rsidRPr="00710D8E">
        <w:rPr>
          <w:rFonts w:ascii="Arial" w:hAnsi="Arial" w:cs="Arial"/>
        </w:rPr>
        <w:t xml:space="preserve"> 0.900.71≤r≤0.90</w:t>
      </w:r>
    </w:p>
    <w:p w14:paraId="377F318B" w14:textId="77777777" w:rsidR="00710D8E" w:rsidRPr="00710D8E" w:rsidRDefault="00710D8E" w:rsidP="00710D8E">
      <w:pPr>
        <w:numPr>
          <w:ilvl w:val="0"/>
          <w:numId w:val="8"/>
        </w:numPr>
        <w:rPr>
          <w:rFonts w:ascii="Arial" w:hAnsi="Arial" w:cs="Arial"/>
        </w:rPr>
      </w:pPr>
      <w:r w:rsidRPr="00710D8E">
        <w:rPr>
          <w:rFonts w:ascii="Arial" w:hAnsi="Arial" w:cs="Arial"/>
        </w:rPr>
        <w:t>Moderate: 0.41≤r≤0.700.41 \</w:t>
      </w:r>
      <w:proofErr w:type="spellStart"/>
      <w:r w:rsidRPr="00710D8E">
        <w:rPr>
          <w:rFonts w:ascii="Arial" w:hAnsi="Arial" w:cs="Arial"/>
        </w:rPr>
        <w:t>leq</w:t>
      </w:r>
      <w:proofErr w:type="spellEnd"/>
      <w:r w:rsidRPr="00710D8E">
        <w:rPr>
          <w:rFonts w:ascii="Arial" w:hAnsi="Arial" w:cs="Arial"/>
        </w:rPr>
        <w:t xml:space="preserve"> r \</w:t>
      </w:r>
      <w:proofErr w:type="spellStart"/>
      <w:r w:rsidRPr="00710D8E">
        <w:rPr>
          <w:rFonts w:ascii="Arial" w:hAnsi="Arial" w:cs="Arial"/>
        </w:rPr>
        <w:t>leq</w:t>
      </w:r>
      <w:proofErr w:type="spellEnd"/>
      <w:r w:rsidRPr="00710D8E">
        <w:rPr>
          <w:rFonts w:ascii="Arial" w:hAnsi="Arial" w:cs="Arial"/>
        </w:rPr>
        <w:t xml:space="preserve"> 0.700.41≤r≤0.70</w:t>
      </w:r>
    </w:p>
    <w:p w14:paraId="259C7591" w14:textId="77777777" w:rsidR="00710D8E" w:rsidRPr="00710D8E" w:rsidRDefault="00710D8E" w:rsidP="00710D8E">
      <w:pPr>
        <w:numPr>
          <w:ilvl w:val="0"/>
          <w:numId w:val="8"/>
        </w:numPr>
        <w:rPr>
          <w:rFonts w:ascii="Arial" w:hAnsi="Arial" w:cs="Arial"/>
        </w:rPr>
      </w:pPr>
      <w:r w:rsidRPr="00710D8E">
        <w:rPr>
          <w:rFonts w:ascii="Arial" w:hAnsi="Arial" w:cs="Arial"/>
        </w:rPr>
        <w:t>Low: 0.21≤r≤0.400.21 \</w:t>
      </w:r>
      <w:proofErr w:type="spellStart"/>
      <w:r w:rsidRPr="00710D8E">
        <w:rPr>
          <w:rFonts w:ascii="Arial" w:hAnsi="Arial" w:cs="Arial"/>
        </w:rPr>
        <w:t>leq</w:t>
      </w:r>
      <w:proofErr w:type="spellEnd"/>
      <w:r w:rsidRPr="00710D8E">
        <w:rPr>
          <w:rFonts w:ascii="Arial" w:hAnsi="Arial" w:cs="Arial"/>
        </w:rPr>
        <w:t xml:space="preserve"> r \</w:t>
      </w:r>
      <w:proofErr w:type="spellStart"/>
      <w:r w:rsidRPr="00710D8E">
        <w:rPr>
          <w:rFonts w:ascii="Arial" w:hAnsi="Arial" w:cs="Arial"/>
        </w:rPr>
        <w:t>leq</w:t>
      </w:r>
      <w:proofErr w:type="spellEnd"/>
      <w:r w:rsidRPr="00710D8E">
        <w:rPr>
          <w:rFonts w:ascii="Arial" w:hAnsi="Arial" w:cs="Arial"/>
        </w:rPr>
        <w:t xml:space="preserve"> 0.400.21≤r≤0.40</w:t>
      </w:r>
    </w:p>
    <w:p w14:paraId="7E570DDE" w14:textId="77777777" w:rsidR="00710D8E" w:rsidRPr="00710D8E" w:rsidRDefault="00710D8E" w:rsidP="00710D8E">
      <w:pPr>
        <w:numPr>
          <w:ilvl w:val="0"/>
          <w:numId w:val="8"/>
        </w:numPr>
        <w:rPr>
          <w:rFonts w:ascii="Arial" w:hAnsi="Arial" w:cs="Arial"/>
        </w:rPr>
      </w:pPr>
      <w:r w:rsidRPr="00710D8E">
        <w:rPr>
          <w:rFonts w:ascii="Arial" w:hAnsi="Arial" w:cs="Arial"/>
        </w:rPr>
        <w:t>Negligible: r&lt;0.20r &lt; 0.20r&lt;0.20</w:t>
      </w:r>
    </w:p>
    <w:p w14:paraId="6CBC07D0" w14:textId="608D5688"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.5 Analytical Flowchart</w:t>
      </w:r>
    </w:p>
    <w:p w14:paraId="0484B4AC" w14:textId="77777777" w:rsidR="00710D8E" w:rsidRPr="00710D8E" w:rsidRDefault="00710D8E" w:rsidP="00710D8E">
      <w:pPr>
        <w:rPr>
          <w:rFonts w:ascii="Arial" w:hAnsi="Arial" w:cs="Arial"/>
        </w:rPr>
      </w:pPr>
      <w:r w:rsidRPr="00710D8E">
        <w:rPr>
          <w:rFonts w:ascii="Arial" w:hAnsi="Arial" w:cs="Arial"/>
        </w:rPr>
        <w:t>The overall workflow is summarized as:</w:t>
      </w:r>
    </w:p>
    <w:p w14:paraId="7213D291" w14:textId="77777777" w:rsidR="00710D8E" w:rsidRPr="00710D8E" w:rsidRDefault="00710D8E" w:rsidP="00710D8E">
      <w:pPr>
        <w:numPr>
          <w:ilvl w:val="0"/>
          <w:numId w:val="9"/>
        </w:numPr>
        <w:rPr>
          <w:rFonts w:ascii="Arial" w:hAnsi="Arial" w:cs="Arial"/>
        </w:rPr>
      </w:pPr>
      <w:r w:rsidRPr="00710D8E">
        <w:rPr>
          <w:rFonts w:ascii="Arial" w:hAnsi="Arial" w:cs="Arial"/>
        </w:rPr>
        <w:t>Data Collection → 2. Variable Standardization (RQI, SMP) → 3. Descriptive Statistics → 4. Correlation Testing → 5. Policy Interpretation</w:t>
      </w:r>
    </w:p>
    <w:p w14:paraId="417A0AF0" w14:textId="29577D8F" w:rsidR="00FF04BB" w:rsidRPr="003E3732" w:rsidRDefault="00C57DF0">
      <w:pPr>
        <w:rPr>
          <w:rFonts w:ascii="Arial" w:hAnsi="Arial" w:cs="Arial"/>
          <w:b/>
          <w:bCs/>
        </w:rPr>
      </w:pPr>
      <w:r w:rsidRPr="003E3732">
        <w:rPr>
          <w:rFonts w:ascii="Arial" w:hAnsi="Arial" w:cs="Arial"/>
          <w:b/>
          <w:bCs/>
        </w:rPr>
        <w:t>III. RESULTS AND DISCUSSION</w:t>
      </w:r>
    </w:p>
    <w:p w14:paraId="6BF10520" w14:textId="2BFCEC5A" w:rsidR="003524A6" w:rsidRPr="0069712D" w:rsidRDefault="003524A6" w:rsidP="003524A6">
      <w:pPr>
        <w:jc w:val="both"/>
        <w:rPr>
          <w:rFonts w:ascii="Arial" w:hAnsi="Arial" w:cs="Arial"/>
          <w:b/>
          <w:bCs/>
          <w:highlight w:val="yellow"/>
        </w:rPr>
      </w:pPr>
      <w:r w:rsidRPr="0069712D">
        <w:rPr>
          <w:rFonts w:ascii="Arial" w:hAnsi="Arial" w:cs="Arial"/>
          <w:b/>
          <w:bCs/>
          <w:highlight w:val="yellow"/>
        </w:rPr>
        <w:t xml:space="preserve">3.1 Correlation Analysis Results </w:t>
      </w:r>
    </w:p>
    <w:p w14:paraId="185E90EB" w14:textId="77777777" w:rsidR="003524A6" w:rsidRPr="003524A6" w:rsidRDefault="003524A6" w:rsidP="003524A6">
      <w:pPr>
        <w:jc w:val="both"/>
        <w:rPr>
          <w:rFonts w:ascii="Arial" w:hAnsi="Arial" w:cs="Arial"/>
          <w:highlight w:val="yellow"/>
        </w:rPr>
      </w:pPr>
      <w:r w:rsidRPr="003524A6">
        <w:rPr>
          <w:rFonts w:ascii="Arial" w:hAnsi="Arial" w:cs="Arial"/>
          <w:highlight w:val="yellow"/>
        </w:rPr>
        <w:lastRenderedPageBreak/>
        <w:t xml:space="preserve">This section presents the correlation results between road transport infrastructure and regional economic indicators in </w:t>
      </w:r>
      <w:proofErr w:type="spellStart"/>
      <w:r w:rsidRPr="003524A6">
        <w:rPr>
          <w:rFonts w:ascii="Arial" w:hAnsi="Arial" w:cs="Arial"/>
          <w:highlight w:val="yellow"/>
        </w:rPr>
        <w:t>Simalungun</w:t>
      </w:r>
      <w:proofErr w:type="spellEnd"/>
      <w:r w:rsidRPr="003524A6">
        <w:rPr>
          <w:rFonts w:ascii="Arial" w:hAnsi="Arial" w:cs="Arial"/>
          <w:highlight w:val="yellow"/>
        </w:rPr>
        <w:t xml:space="preserve"> Regency over the period </w:t>
      </w:r>
      <w:r w:rsidRPr="003524A6">
        <w:rPr>
          <w:rFonts w:ascii="Arial" w:hAnsi="Arial" w:cs="Arial"/>
          <w:b/>
          <w:bCs/>
          <w:highlight w:val="yellow"/>
        </w:rPr>
        <w:t>2016–2022</w:t>
      </w:r>
      <w:r w:rsidRPr="003524A6">
        <w:rPr>
          <w:rFonts w:ascii="Arial" w:hAnsi="Arial" w:cs="Arial"/>
          <w:highlight w:val="yellow"/>
        </w:rPr>
        <w:t>, which corresponds to the actual availability of harmonized data across variables. Although broader background data may exist from 2010 onward, the statistical analysis was limited to the 7-year interval to ensure data consistency and comparability.</w:t>
      </w:r>
    </w:p>
    <w:p w14:paraId="7EEA373F" w14:textId="77777777" w:rsidR="003524A6" w:rsidRPr="003524A6" w:rsidRDefault="003524A6" w:rsidP="003524A6">
      <w:pPr>
        <w:jc w:val="both"/>
        <w:rPr>
          <w:rFonts w:ascii="Arial" w:hAnsi="Arial" w:cs="Arial"/>
        </w:rPr>
      </w:pPr>
      <w:r w:rsidRPr="003524A6">
        <w:rPr>
          <w:rFonts w:ascii="Arial" w:hAnsi="Arial" w:cs="Arial"/>
          <w:highlight w:val="yellow"/>
        </w:rPr>
        <w:t xml:space="preserve">Using </w:t>
      </w:r>
      <w:r w:rsidRPr="003524A6">
        <w:rPr>
          <w:rFonts w:ascii="Arial" w:hAnsi="Arial" w:cs="Arial"/>
          <w:b/>
          <w:bCs/>
          <w:highlight w:val="yellow"/>
        </w:rPr>
        <w:t>Spearman’s rank correlation coefficient (ρ)</w:t>
      </w:r>
      <w:r w:rsidRPr="003524A6">
        <w:rPr>
          <w:rFonts w:ascii="Arial" w:hAnsi="Arial" w:cs="Arial"/>
          <w:highlight w:val="yellow"/>
        </w:rPr>
        <w:t>, six bivariate tests were conducted to assess relationships between two infrastructure variables—</w:t>
      </w:r>
      <w:r w:rsidRPr="003524A6">
        <w:rPr>
          <w:rFonts w:ascii="Arial" w:hAnsi="Arial" w:cs="Arial"/>
          <w:b/>
          <w:bCs/>
          <w:highlight w:val="yellow"/>
        </w:rPr>
        <w:t>road length</w:t>
      </w:r>
      <w:r w:rsidRPr="003524A6">
        <w:rPr>
          <w:rFonts w:ascii="Arial" w:hAnsi="Arial" w:cs="Arial"/>
          <w:highlight w:val="yellow"/>
        </w:rPr>
        <w:t xml:space="preserve"> (adjusted with quality index weights) and </w:t>
      </w:r>
      <w:r w:rsidRPr="003524A6">
        <w:rPr>
          <w:rFonts w:ascii="Arial" w:hAnsi="Arial" w:cs="Arial"/>
          <w:b/>
          <w:bCs/>
          <w:highlight w:val="yellow"/>
        </w:rPr>
        <w:t>vehicle volume</w:t>
      </w:r>
      <w:r w:rsidRPr="003524A6">
        <w:rPr>
          <w:rFonts w:ascii="Arial" w:hAnsi="Arial" w:cs="Arial"/>
          <w:highlight w:val="yellow"/>
        </w:rPr>
        <w:t xml:space="preserve"> (standardized into SMP units)—and three economic indicators: </w:t>
      </w:r>
      <w:r w:rsidRPr="003524A6">
        <w:rPr>
          <w:rFonts w:ascii="Arial" w:hAnsi="Arial" w:cs="Arial"/>
          <w:b/>
          <w:bCs/>
          <w:highlight w:val="yellow"/>
        </w:rPr>
        <w:t>GRDP</w:t>
      </w:r>
      <w:r w:rsidRPr="003524A6">
        <w:rPr>
          <w:rFonts w:ascii="Arial" w:hAnsi="Arial" w:cs="Arial"/>
          <w:highlight w:val="yellow"/>
        </w:rPr>
        <w:t xml:space="preserve">, </w:t>
      </w:r>
      <w:r w:rsidRPr="003524A6">
        <w:rPr>
          <w:rFonts w:ascii="Arial" w:hAnsi="Arial" w:cs="Arial"/>
          <w:b/>
          <w:bCs/>
          <w:highlight w:val="yellow"/>
        </w:rPr>
        <w:t>employment rate</w:t>
      </w:r>
      <w:r w:rsidRPr="003524A6">
        <w:rPr>
          <w:rFonts w:ascii="Arial" w:hAnsi="Arial" w:cs="Arial"/>
          <w:highlight w:val="yellow"/>
        </w:rPr>
        <w:t xml:space="preserve">, and </w:t>
      </w:r>
      <w:r w:rsidRPr="003524A6">
        <w:rPr>
          <w:rFonts w:ascii="Arial" w:hAnsi="Arial" w:cs="Arial"/>
          <w:b/>
          <w:bCs/>
          <w:highlight w:val="yellow"/>
        </w:rPr>
        <w:t>MSME growth</w:t>
      </w:r>
      <w:r w:rsidRPr="003524A6">
        <w:rPr>
          <w:rFonts w:ascii="Arial" w:hAnsi="Arial" w:cs="Arial"/>
          <w:highlight w:val="yellow"/>
        </w:rPr>
        <w:t>. This non-parametric test was appropriate given the ordinal nature of some data and the small sample size.</w:t>
      </w:r>
    </w:p>
    <w:p w14:paraId="7A566EB5" w14:textId="4177A653" w:rsidR="003524A6" w:rsidRPr="003524A6" w:rsidRDefault="003524A6" w:rsidP="0069712D">
      <w:pPr>
        <w:jc w:val="center"/>
        <w:rPr>
          <w:rFonts w:ascii="Arial" w:hAnsi="Arial" w:cs="Arial"/>
          <w:b/>
          <w:bCs/>
        </w:rPr>
      </w:pPr>
      <w:r w:rsidRPr="003524A6">
        <w:rPr>
          <w:rFonts w:ascii="Arial" w:hAnsi="Arial" w:cs="Arial"/>
          <w:b/>
          <w:bCs/>
        </w:rPr>
        <w:t xml:space="preserve">Table </w:t>
      </w:r>
      <w:r w:rsidR="00A2268F">
        <w:rPr>
          <w:rFonts w:ascii="Arial" w:hAnsi="Arial" w:cs="Arial"/>
          <w:b/>
          <w:bCs/>
        </w:rPr>
        <w:t>3</w:t>
      </w:r>
      <w:r w:rsidRPr="003524A6">
        <w:rPr>
          <w:rFonts w:ascii="Arial" w:hAnsi="Arial" w:cs="Arial"/>
          <w:b/>
          <w:bCs/>
        </w:rPr>
        <w:t>. Spearman’s Correlation Summary (2016–2022)</w:t>
      </w:r>
    </w:p>
    <w:tbl>
      <w:tblPr>
        <w:tblStyle w:val="TableGrid"/>
        <w:tblW w:w="0" w:type="auto"/>
        <w:tblLook w:val="04A0" w:firstRow="1" w:lastRow="0" w:firstColumn="1" w:lastColumn="0" w:noHBand="0" w:noVBand="1"/>
      </w:tblPr>
      <w:tblGrid>
        <w:gridCol w:w="3857"/>
        <w:gridCol w:w="1760"/>
        <w:gridCol w:w="1032"/>
        <w:gridCol w:w="2701"/>
      </w:tblGrid>
      <w:tr w:rsidR="003524A6" w:rsidRPr="003524A6" w14:paraId="5BEA0EF6" w14:textId="77777777" w:rsidTr="003524A6">
        <w:tc>
          <w:tcPr>
            <w:tcW w:w="0" w:type="auto"/>
            <w:hideMark/>
          </w:tcPr>
          <w:p w14:paraId="60E21BA6" w14:textId="77777777" w:rsidR="003524A6" w:rsidRPr="003524A6" w:rsidRDefault="003524A6" w:rsidP="003524A6">
            <w:pPr>
              <w:spacing w:after="160" w:line="278" w:lineRule="auto"/>
              <w:jc w:val="both"/>
              <w:rPr>
                <w:rFonts w:ascii="Arial" w:hAnsi="Arial" w:cs="Arial"/>
                <w:b/>
                <w:bCs/>
              </w:rPr>
            </w:pPr>
            <w:r w:rsidRPr="003524A6">
              <w:rPr>
                <w:rFonts w:ascii="Arial" w:hAnsi="Arial" w:cs="Arial"/>
                <w:b/>
                <w:bCs/>
              </w:rPr>
              <w:t>Hypothesis</w:t>
            </w:r>
          </w:p>
        </w:tc>
        <w:tc>
          <w:tcPr>
            <w:tcW w:w="0" w:type="auto"/>
            <w:hideMark/>
          </w:tcPr>
          <w:p w14:paraId="5D4B9FEC" w14:textId="77777777" w:rsidR="003524A6" w:rsidRPr="003524A6" w:rsidRDefault="003524A6" w:rsidP="003524A6">
            <w:pPr>
              <w:spacing w:after="160" w:line="278" w:lineRule="auto"/>
              <w:jc w:val="both"/>
              <w:rPr>
                <w:rFonts w:ascii="Arial" w:hAnsi="Arial" w:cs="Arial"/>
                <w:b/>
                <w:bCs/>
              </w:rPr>
            </w:pPr>
            <w:r w:rsidRPr="003524A6">
              <w:rPr>
                <w:rFonts w:ascii="Arial" w:hAnsi="Arial" w:cs="Arial"/>
                <w:b/>
                <w:bCs/>
              </w:rPr>
              <w:t>Spearman’s ρ</w:t>
            </w:r>
          </w:p>
        </w:tc>
        <w:tc>
          <w:tcPr>
            <w:tcW w:w="0" w:type="auto"/>
            <w:hideMark/>
          </w:tcPr>
          <w:p w14:paraId="3942FACD" w14:textId="77777777" w:rsidR="003524A6" w:rsidRPr="003524A6" w:rsidRDefault="003524A6" w:rsidP="003524A6">
            <w:pPr>
              <w:spacing w:after="160" w:line="278" w:lineRule="auto"/>
              <w:jc w:val="both"/>
              <w:rPr>
                <w:rFonts w:ascii="Arial" w:hAnsi="Arial" w:cs="Arial"/>
                <w:b/>
                <w:bCs/>
              </w:rPr>
            </w:pPr>
            <w:r w:rsidRPr="003524A6">
              <w:rPr>
                <w:rFonts w:ascii="Arial" w:hAnsi="Arial" w:cs="Arial"/>
                <w:b/>
                <w:bCs/>
              </w:rPr>
              <w:t>p-value</w:t>
            </w:r>
          </w:p>
        </w:tc>
        <w:tc>
          <w:tcPr>
            <w:tcW w:w="0" w:type="auto"/>
            <w:hideMark/>
          </w:tcPr>
          <w:p w14:paraId="599C4AAF" w14:textId="77777777" w:rsidR="003524A6" w:rsidRPr="003524A6" w:rsidRDefault="003524A6" w:rsidP="003524A6">
            <w:pPr>
              <w:spacing w:after="160" w:line="278" w:lineRule="auto"/>
              <w:jc w:val="both"/>
              <w:rPr>
                <w:rFonts w:ascii="Arial" w:hAnsi="Arial" w:cs="Arial"/>
                <w:b/>
                <w:bCs/>
              </w:rPr>
            </w:pPr>
            <w:r w:rsidRPr="003524A6">
              <w:rPr>
                <w:rFonts w:ascii="Arial" w:hAnsi="Arial" w:cs="Arial"/>
                <w:b/>
                <w:bCs/>
              </w:rPr>
              <w:t>Statistical Significance</w:t>
            </w:r>
          </w:p>
        </w:tc>
      </w:tr>
      <w:tr w:rsidR="003524A6" w:rsidRPr="003524A6" w14:paraId="6D711F3B" w14:textId="77777777" w:rsidTr="003524A6">
        <w:tc>
          <w:tcPr>
            <w:tcW w:w="0" w:type="auto"/>
            <w:hideMark/>
          </w:tcPr>
          <w:p w14:paraId="3D4CE914" w14:textId="77777777" w:rsidR="003524A6" w:rsidRPr="003524A6" w:rsidRDefault="003524A6" w:rsidP="003524A6">
            <w:pPr>
              <w:spacing w:after="160" w:line="278" w:lineRule="auto"/>
              <w:jc w:val="both"/>
              <w:rPr>
                <w:rFonts w:ascii="Arial" w:hAnsi="Arial" w:cs="Arial"/>
              </w:rPr>
            </w:pPr>
            <w:r w:rsidRPr="003524A6">
              <w:rPr>
                <w:rFonts w:ascii="Arial" w:hAnsi="Arial" w:cs="Arial"/>
              </w:rPr>
              <w:t>Road Length vs GRDP</w:t>
            </w:r>
          </w:p>
        </w:tc>
        <w:tc>
          <w:tcPr>
            <w:tcW w:w="0" w:type="auto"/>
            <w:hideMark/>
          </w:tcPr>
          <w:p w14:paraId="4A968BD1" w14:textId="77777777" w:rsidR="003524A6" w:rsidRPr="003524A6" w:rsidRDefault="003524A6" w:rsidP="003524A6">
            <w:pPr>
              <w:spacing w:after="160" w:line="278" w:lineRule="auto"/>
              <w:jc w:val="both"/>
              <w:rPr>
                <w:rFonts w:ascii="Arial" w:hAnsi="Arial" w:cs="Arial"/>
              </w:rPr>
            </w:pPr>
            <w:r w:rsidRPr="003524A6">
              <w:rPr>
                <w:rFonts w:ascii="Arial" w:hAnsi="Arial" w:cs="Arial"/>
              </w:rPr>
              <w:t>0.794</w:t>
            </w:r>
          </w:p>
        </w:tc>
        <w:tc>
          <w:tcPr>
            <w:tcW w:w="0" w:type="auto"/>
            <w:hideMark/>
          </w:tcPr>
          <w:p w14:paraId="0C7EABD1" w14:textId="77777777" w:rsidR="003524A6" w:rsidRPr="003524A6" w:rsidRDefault="003524A6" w:rsidP="003524A6">
            <w:pPr>
              <w:spacing w:after="160" w:line="278" w:lineRule="auto"/>
              <w:jc w:val="both"/>
              <w:rPr>
                <w:rFonts w:ascii="Arial" w:hAnsi="Arial" w:cs="Arial"/>
              </w:rPr>
            </w:pPr>
            <w:r w:rsidRPr="003524A6">
              <w:rPr>
                <w:rFonts w:ascii="Arial" w:hAnsi="Arial" w:cs="Arial"/>
              </w:rPr>
              <w:t>0.059</w:t>
            </w:r>
          </w:p>
        </w:tc>
        <w:tc>
          <w:tcPr>
            <w:tcW w:w="0" w:type="auto"/>
            <w:hideMark/>
          </w:tcPr>
          <w:p w14:paraId="72923110" w14:textId="77777777" w:rsidR="003524A6" w:rsidRPr="003524A6" w:rsidRDefault="003524A6" w:rsidP="003524A6">
            <w:pPr>
              <w:spacing w:after="160" w:line="278" w:lineRule="auto"/>
              <w:jc w:val="both"/>
              <w:rPr>
                <w:rFonts w:ascii="Arial" w:hAnsi="Arial" w:cs="Arial"/>
              </w:rPr>
            </w:pPr>
            <w:r w:rsidRPr="003524A6">
              <w:rPr>
                <w:rFonts w:ascii="Arial" w:hAnsi="Arial" w:cs="Arial"/>
              </w:rPr>
              <w:t>Not Significant</w:t>
            </w:r>
          </w:p>
        </w:tc>
      </w:tr>
      <w:tr w:rsidR="003524A6" w:rsidRPr="003524A6" w14:paraId="61CF47FA" w14:textId="77777777" w:rsidTr="003524A6">
        <w:tc>
          <w:tcPr>
            <w:tcW w:w="0" w:type="auto"/>
            <w:hideMark/>
          </w:tcPr>
          <w:p w14:paraId="27C81458" w14:textId="77777777" w:rsidR="003524A6" w:rsidRPr="003524A6" w:rsidRDefault="003524A6" w:rsidP="003524A6">
            <w:pPr>
              <w:spacing w:after="160" w:line="278" w:lineRule="auto"/>
              <w:jc w:val="both"/>
              <w:rPr>
                <w:rFonts w:ascii="Arial" w:hAnsi="Arial" w:cs="Arial"/>
              </w:rPr>
            </w:pPr>
            <w:r w:rsidRPr="003524A6">
              <w:rPr>
                <w:rFonts w:ascii="Arial" w:hAnsi="Arial" w:cs="Arial"/>
              </w:rPr>
              <w:t>Road Length vs Employment Rate</w:t>
            </w:r>
          </w:p>
        </w:tc>
        <w:tc>
          <w:tcPr>
            <w:tcW w:w="0" w:type="auto"/>
            <w:hideMark/>
          </w:tcPr>
          <w:p w14:paraId="41C13BD3" w14:textId="77777777" w:rsidR="003524A6" w:rsidRPr="003524A6" w:rsidRDefault="003524A6" w:rsidP="003524A6">
            <w:pPr>
              <w:spacing w:after="160" w:line="278" w:lineRule="auto"/>
              <w:jc w:val="both"/>
              <w:rPr>
                <w:rFonts w:ascii="Arial" w:hAnsi="Arial" w:cs="Arial"/>
              </w:rPr>
            </w:pPr>
            <w:r w:rsidRPr="003524A6">
              <w:rPr>
                <w:rFonts w:ascii="Arial" w:hAnsi="Arial" w:cs="Arial"/>
              </w:rPr>
              <w:t>0.851</w:t>
            </w:r>
          </w:p>
        </w:tc>
        <w:tc>
          <w:tcPr>
            <w:tcW w:w="0" w:type="auto"/>
            <w:hideMark/>
          </w:tcPr>
          <w:p w14:paraId="2D20EEE9" w14:textId="77777777" w:rsidR="003524A6" w:rsidRPr="003524A6" w:rsidRDefault="003524A6" w:rsidP="003524A6">
            <w:pPr>
              <w:spacing w:after="160" w:line="278" w:lineRule="auto"/>
              <w:jc w:val="both"/>
              <w:rPr>
                <w:rFonts w:ascii="Arial" w:hAnsi="Arial" w:cs="Arial"/>
              </w:rPr>
            </w:pPr>
            <w:r w:rsidRPr="003524A6">
              <w:rPr>
                <w:rFonts w:ascii="Arial" w:hAnsi="Arial" w:cs="Arial"/>
              </w:rPr>
              <w:t>0.032</w:t>
            </w:r>
          </w:p>
        </w:tc>
        <w:tc>
          <w:tcPr>
            <w:tcW w:w="0" w:type="auto"/>
            <w:hideMark/>
          </w:tcPr>
          <w:p w14:paraId="637A31A4" w14:textId="77777777" w:rsidR="003524A6" w:rsidRPr="003524A6" w:rsidRDefault="003524A6" w:rsidP="003524A6">
            <w:pPr>
              <w:spacing w:after="160" w:line="278" w:lineRule="auto"/>
              <w:jc w:val="both"/>
              <w:rPr>
                <w:rFonts w:ascii="Arial" w:hAnsi="Arial" w:cs="Arial"/>
              </w:rPr>
            </w:pPr>
            <w:r w:rsidRPr="003524A6">
              <w:rPr>
                <w:rFonts w:ascii="Arial" w:hAnsi="Arial" w:cs="Arial"/>
                <w:b/>
                <w:bCs/>
              </w:rPr>
              <w:t>Significant</w:t>
            </w:r>
          </w:p>
        </w:tc>
      </w:tr>
      <w:tr w:rsidR="003524A6" w:rsidRPr="003524A6" w14:paraId="2922EC21" w14:textId="77777777" w:rsidTr="003524A6">
        <w:tc>
          <w:tcPr>
            <w:tcW w:w="0" w:type="auto"/>
            <w:hideMark/>
          </w:tcPr>
          <w:p w14:paraId="68093522" w14:textId="77777777" w:rsidR="003524A6" w:rsidRPr="003524A6" w:rsidRDefault="003524A6" w:rsidP="003524A6">
            <w:pPr>
              <w:spacing w:after="160" w:line="278" w:lineRule="auto"/>
              <w:jc w:val="both"/>
              <w:rPr>
                <w:rFonts w:ascii="Arial" w:hAnsi="Arial" w:cs="Arial"/>
              </w:rPr>
            </w:pPr>
            <w:r w:rsidRPr="003524A6">
              <w:rPr>
                <w:rFonts w:ascii="Arial" w:hAnsi="Arial" w:cs="Arial"/>
              </w:rPr>
              <w:t>Road Length vs MSME Growth</w:t>
            </w:r>
          </w:p>
        </w:tc>
        <w:tc>
          <w:tcPr>
            <w:tcW w:w="0" w:type="auto"/>
            <w:hideMark/>
          </w:tcPr>
          <w:p w14:paraId="44484818" w14:textId="77777777" w:rsidR="003524A6" w:rsidRPr="003524A6" w:rsidRDefault="003524A6" w:rsidP="003524A6">
            <w:pPr>
              <w:spacing w:after="160" w:line="278" w:lineRule="auto"/>
              <w:jc w:val="both"/>
              <w:rPr>
                <w:rFonts w:ascii="Arial" w:hAnsi="Arial" w:cs="Arial"/>
              </w:rPr>
            </w:pPr>
            <w:r w:rsidRPr="003524A6">
              <w:rPr>
                <w:rFonts w:ascii="Arial" w:hAnsi="Arial" w:cs="Arial"/>
              </w:rPr>
              <w:t>0.618</w:t>
            </w:r>
          </w:p>
        </w:tc>
        <w:tc>
          <w:tcPr>
            <w:tcW w:w="0" w:type="auto"/>
            <w:hideMark/>
          </w:tcPr>
          <w:p w14:paraId="2402AC65" w14:textId="77777777" w:rsidR="003524A6" w:rsidRPr="003524A6" w:rsidRDefault="003524A6" w:rsidP="003524A6">
            <w:pPr>
              <w:spacing w:after="160" w:line="278" w:lineRule="auto"/>
              <w:jc w:val="both"/>
              <w:rPr>
                <w:rFonts w:ascii="Arial" w:hAnsi="Arial" w:cs="Arial"/>
              </w:rPr>
            </w:pPr>
            <w:r w:rsidRPr="003524A6">
              <w:rPr>
                <w:rFonts w:ascii="Arial" w:hAnsi="Arial" w:cs="Arial"/>
              </w:rPr>
              <w:t>0.191</w:t>
            </w:r>
          </w:p>
        </w:tc>
        <w:tc>
          <w:tcPr>
            <w:tcW w:w="0" w:type="auto"/>
            <w:hideMark/>
          </w:tcPr>
          <w:p w14:paraId="159C52D8" w14:textId="77777777" w:rsidR="003524A6" w:rsidRPr="003524A6" w:rsidRDefault="003524A6" w:rsidP="003524A6">
            <w:pPr>
              <w:spacing w:after="160" w:line="278" w:lineRule="auto"/>
              <w:jc w:val="both"/>
              <w:rPr>
                <w:rFonts w:ascii="Arial" w:hAnsi="Arial" w:cs="Arial"/>
              </w:rPr>
            </w:pPr>
            <w:r w:rsidRPr="003524A6">
              <w:rPr>
                <w:rFonts w:ascii="Arial" w:hAnsi="Arial" w:cs="Arial"/>
              </w:rPr>
              <w:t>Not Significant</w:t>
            </w:r>
          </w:p>
        </w:tc>
      </w:tr>
      <w:tr w:rsidR="003524A6" w:rsidRPr="003524A6" w14:paraId="12EBBFD7" w14:textId="77777777" w:rsidTr="003524A6">
        <w:tc>
          <w:tcPr>
            <w:tcW w:w="0" w:type="auto"/>
            <w:hideMark/>
          </w:tcPr>
          <w:p w14:paraId="3BC988A7" w14:textId="77777777" w:rsidR="003524A6" w:rsidRPr="003524A6" w:rsidRDefault="003524A6" w:rsidP="003524A6">
            <w:pPr>
              <w:spacing w:after="160" w:line="278" w:lineRule="auto"/>
              <w:jc w:val="both"/>
              <w:rPr>
                <w:rFonts w:ascii="Arial" w:hAnsi="Arial" w:cs="Arial"/>
                <w:highlight w:val="yellow"/>
              </w:rPr>
            </w:pPr>
            <w:r w:rsidRPr="003524A6">
              <w:rPr>
                <w:rFonts w:ascii="Arial" w:hAnsi="Arial" w:cs="Arial"/>
                <w:highlight w:val="yellow"/>
              </w:rPr>
              <w:t>Vehicle Volume vs GRDP</w:t>
            </w:r>
          </w:p>
        </w:tc>
        <w:tc>
          <w:tcPr>
            <w:tcW w:w="0" w:type="auto"/>
            <w:hideMark/>
          </w:tcPr>
          <w:p w14:paraId="3D8C4044" w14:textId="77777777" w:rsidR="003524A6" w:rsidRPr="003524A6" w:rsidRDefault="003524A6" w:rsidP="003524A6">
            <w:pPr>
              <w:spacing w:after="160" w:line="278" w:lineRule="auto"/>
              <w:jc w:val="both"/>
              <w:rPr>
                <w:rFonts w:ascii="Arial" w:hAnsi="Arial" w:cs="Arial"/>
                <w:highlight w:val="yellow"/>
              </w:rPr>
            </w:pPr>
            <w:r w:rsidRPr="003524A6">
              <w:rPr>
                <w:rFonts w:ascii="Arial" w:hAnsi="Arial" w:cs="Arial"/>
                <w:highlight w:val="yellow"/>
              </w:rPr>
              <w:t>-0.314</w:t>
            </w:r>
          </w:p>
        </w:tc>
        <w:tc>
          <w:tcPr>
            <w:tcW w:w="0" w:type="auto"/>
            <w:hideMark/>
          </w:tcPr>
          <w:p w14:paraId="488A4320" w14:textId="77777777" w:rsidR="003524A6" w:rsidRPr="003524A6" w:rsidRDefault="003524A6" w:rsidP="003524A6">
            <w:pPr>
              <w:spacing w:after="160" w:line="278" w:lineRule="auto"/>
              <w:jc w:val="both"/>
              <w:rPr>
                <w:rFonts w:ascii="Arial" w:hAnsi="Arial" w:cs="Arial"/>
              </w:rPr>
            </w:pPr>
            <w:r w:rsidRPr="003524A6">
              <w:rPr>
                <w:rFonts w:ascii="Arial" w:hAnsi="Arial" w:cs="Arial"/>
              </w:rPr>
              <w:t>&gt;0.05</w:t>
            </w:r>
          </w:p>
        </w:tc>
        <w:tc>
          <w:tcPr>
            <w:tcW w:w="0" w:type="auto"/>
            <w:hideMark/>
          </w:tcPr>
          <w:p w14:paraId="7B3DF4F8" w14:textId="77777777" w:rsidR="003524A6" w:rsidRPr="003524A6" w:rsidRDefault="003524A6" w:rsidP="003524A6">
            <w:pPr>
              <w:spacing w:after="160" w:line="278" w:lineRule="auto"/>
              <w:jc w:val="both"/>
              <w:rPr>
                <w:rFonts w:ascii="Arial" w:hAnsi="Arial" w:cs="Arial"/>
              </w:rPr>
            </w:pPr>
            <w:r w:rsidRPr="003524A6">
              <w:rPr>
                <w:rFonts w:ascii="Arial" w:hAnsi="Arial" w:cs="Arial"/>
              </w:rPr>
              <w:t>Not Significant</w:t>
            </w:r>
          </w:p>
        </w:tc>
      </w:tr>
      <w:tr w:rsidR="003524A6" w:rsidRPr="003524A6" w14:paraId="6587D2F0" w14:textId="77777777" w:rsidTr="003524A6">
        <w:tc>
          <w:tcPr>
            <w:tcW w:w="0" w:type="auto"/>
            <w:hideMark/>
          </w:tcPr>
          <w:p w14:paraId="792B4463" w14:textId="77777777" w:rsidR="003524A6" w:rsidRPr="003524A6" w:rsidRDefault="003524A6" w:rsidP="003524A6">
            <w:pPr>
              <w:spacing w:after="160" w:line="278" w:lineRule="auto"/>
              <w:jc w:val="both"/>
              <w:rPr>
                <w:rFonts w:ascii="Arial" w:hAnsi="Arial" w:cs="Arial"/>
              </w:rPr>
            </w:pPr>
            <w:r w:rsidRPr="003524A6">
              <w:rPr>
                <w:rFonts w:ascii="Arial" w:hAnsi="Arial" w:cs="Arial"/>
              </w:rPr>
              <w:t>Vehicle Volume vs Employment Rate</w:t>
            </w:r>
          </w:p>
        </w:tc>
        <w:tc>
          <w:tcPr>
            <w:tcW w:w="0" w:type="auto"/>
            <w:hideMark/>
          </w:tcPr>
          <w:p w14:paraId="0BEB8D65" w14:textId="77777777" w:rsidR="003524A6" w:rsidRPr="003524A6" w:rsidRDefault="003524A6" w:rsidP="003524A6">
            <w:pPr>
              <w:spacing w:after="160" w:line="278" w:lineRule="auto"/>
              <w:jc w:val="both"/>
              <w:rPr>
                <w:rFonts w:ascii="Arial" w:hAnsi="Arial" w:cs="Arial"/>
              </w:rPr>
            </w:pPr>
            <w:r w:rsidRPr="003524A6">
              <w:rPr>
                <w:rFonts w:ascii="Arial" w:hAnsi="Arial" w:cs="Arial"/>
              </w:rPr>
              <w:t>0.153</w:t>
            </w:r>
          </w:p>
        </w:tc>
        <w:tc>
          <w:tcPr>
            <w:tcW w:w="0" w:type="auto"/>
            <w:hideMark/>
          </w:tcPr>
          <w:p w14:paraId="669BFFE1" w14:textId="77777777" w:rsidR="003524A6" w:rsidRPr="003524A6" w:rsidRDefault="003524A6" w:rsidP="003524A6">
            <w:pPr>
              <w:spacing w:after="160" w:line="278" w:lineRule="auto"/>
              <w:jc w:val="both"/>
              <w:rPr>
                <w:rFonts w:ascii="Arial" w:hAnsi="Arial" w:cs="Arial"/>
              </w:rPr>
            </w:pPr>
            <w:r w:rsidRPr="003524A6">
              <w:rPr>
                <w:rFonts w:ascii="Arial" w:hAnsi="Arial" w:cs="Arial"/>
              </w:rPr>
              <w:t>&gt;0.05</w:t>
            </w:r>
          </w:p>
        </w:tc>
        <w:tc>
          <w:tcPr>
            <w:tcW w:w="0" w:type="auto"/>
            <w:hideMark/>
          </w:tcPr>
          <w:p w14:paraId="09B450AE" w14:textId="77777777" w:rsidR="003524A6" w:rsidRPr="003524A6" w:rsidRDefault="003524A6" w:rsidP="003524A6">
            <w:pPr>
              <w:spacing w:after="160" w:line="278" w:lineRule="auto"/>
              <w:jc w:val="both"/>
              <w:rPr>
                <w:rFonts w:ascii="Arial" w:hAnsi="Arial" w:cs="Arial"/>
              </w:rPr>
            </w:pPr>
            <w:r w:rsidRPr="003524A6">
              <w:rPr>
                <w:rFonts w:ascii="Arial" w:hAnsi="Arial" w:cs="Arial"/>
              </w:rPr>
              <w:t>Not Significant</w:t>
            </w:r>
          </w:p>
        </w:tc>
      </w:tr>
      <w:tr w:rsidR="003524A6" w:rsidRPr="003524A6" w14:paraId="156DE4B3" w14:textId="77777777" w:rsidTr="003524A6">
        <w:tc>
          <w:tcPr>
            <w:tcW w:w="0" w:type="auto"/>
            <w:hideMark/>
          </w:tcPr>
          <w:p w14:paraId="26B43614" w14:textId="77777777" w:rsidR="003524A6" w:rsidRPr="003524A6" w:rsidRDefault="003524A6" w:rsidP="003524A6">
            <w:pPr>
              <w:spacing w:after="160" w:line="278" w:lineRule="auto"/>
              <w:jc w:val="both"/>
              <w:rPr>
                <w:rFonts w:ascii="Arial" w:hAnsi="Arial" w:cs="Arial"/>
              </w:rPr>
            </w:pPr>
            <w:r w:rsidRPr="003524A6">
              <w:rPr>
                <w:rFonts w:ascii="Arial" w:hAnsi="Arial" w:cs="Arial"/>
              </w:rPr>
              <w:t>Vehicle Volume vs MSME Growth</w:t>
            </w:r>
          </w:p>
        </w:tc>
        <w:tc>
          <w:tcPr>
            <w:tcW w:w="0" w:type="auto"/>
            <w:hideMark/>
          </w:tcPr>
          <w:p w14:paraId="6A8B5E87" w14:textId="77777777" w:rsidR="003524A6" w:rsidRPr="003524A6" w:rsidRDefault="003524A6" w:rsidP="003524A6">
            <w:pPr>
              <w:spacing w:after="160" w:line="278" w:lineRule="auto"/>
              <w:jc w:val="both"/>
              <w:rPr>
                <w:rFonts w:ascii="Arial" w:hAnsi="Arial" w:cs="Arial"/>
              </w:rPr>
            </w:pPr>
            <w:r w:rsidRPr="003524A6">
              <w:rPr>
                <w:rFonts w:ascii="Arial" w:hAnsi="Arial" w:cs="Arial"/>
              </w:rPr>
              <w:t>0.197</w:t>
            </w:r>
          </w:p>
        </w:tc>
        <w:tc>
          <w:tcPr>
            <w:tcW w:w="0" w:type="auto"/>
            <w:hideMark/>
          </w:tcPr>
          <w:p w14:paraId="7FB642E5" w14:textId="77777777" w:rsidR="003524A6" w:rsidRPr="003524A6" w:rsidRDefault="003524A6" w:rsidP="003524A6">
            <w:pPr>
              <w:spacing w:after="160" w:line="278" w:lineRule="auto"/>
              <w:jc w:val="both"/>
              <w:rPr>
                <w:rFonts w:ascii="Arial" w:hAnsi="Arial" w:cs="Arial"/>
              </w:rPr>
            </w:pPr>
            <w:r w:rsidRPr="003524A6">
              <w:rPr>
                <w:rFonts w:ascii="Arial" w:hAnsi="Arial" w:cs="Arial"/>
              </w:rPr>
              <w:t>&gt;0.05</w:t>
            </w:r>
          </w:p>
        </w:tc>
        <w:tc>
          <w:tcPr>
            <w:tcW w:w="0" w:type="auto"/>
            <w:hideMark/>
          </w:tcPr>
          <w:p w14:paraId="0E3153F0" w14:textId="77777777" w:rsidR="003524A6" w:rsidRPr="003524A6" w:rsidRDefault="003524A6" w:rsidP="003524A6">
            <w:pPr>
              <w:spacing w:after="160" w:line="278" w:lineRule="auto"/>
              <w:jc w:val="both"/>
              <w:rPr>
                <w:rFonts w:ascii="Arial" w:hAnsi="Arial" w:cs="Arial"/>
              </w:rPr>
            </w:pPr>
            <w:r w:rsidRPr="003524A6">
              <w:rPr>
                <w:rFonts w:ascii="Arial" w:hAnsi="Arial" w:cs="Arial"/>
              </w:rPr>
              <w:t>Not Significant</w:t>
            </w:r>
          </w:p>
        </w:tc>
      </w:tr>
    </w:tbl>
    <w:p w14:paraId="309F250F" w14:textId="77777777" w:rsidR="003524A6" w:rsidRDefault="003524A6" w:rsidP="003524A6">
      <w:pPr>
        <w:jc w:val="both"/>
        <w:rPr>
          <w:rFonts w:ascii="Arial" w:hAnsi="Arial" w:cs="Arial"/>
        </w:rPr>
      </w:pPr>
    </w:p>
    <w:p w14:paraId="33EB5795" w14:textId="6E358632" w:rsidR="003524A6" w:rsidRPr="003524A6" w:rsidRDefault="003524A6" w:rsidP="003524A6">
      <w:pPr>
        <w:jc w:val="both"/>
        <w:rPr>
          <w:rFonts w:ascii="Arial" w:hAnsi="Arial" w:cs="Arial"/>
          <w:highlight w:val="yellow"/>
        </w:rPr>
      </w:pPr>
      <w:r w:rsidRPr="003524A6">
        <w:rPr>
          <w:rFonts w:ascii="Arial" w:hAnsi="Arial" w:cs="Arial"/>
          <w:highlight w:val="yellow"/>
        </w:rPr>
        <w:t xml:space="preserve">The most robust result is the positive and statistically significant correlation between road length and employment rate (ρ = 0.851, </w:t>
      </w:r>
      <w:r w:rsidRPr="003524A6">
        <w:rPr>
          <w:rFonts w:ascii="Arial" w:hAnsi="Arial" w:cs="Arial"/>
          <w:i/>
          <w:iCs/>
          <w:highlight w:val="yellow"/>
        </w:rPr>
        <w:t>p</w:t>
      </w:r>
      <w:r w:rsidRPr="003524A6">
        <w:rPr>
          <w:rFonts w:ascii="Arial" w:hAnsi="Arial" w:cs="Arial"/>
          <w:highlight w:val="yellow"/>
        </w:rPr>
        <w:t xml:space="preserve"> = 0.032), suggesting that improved transport infrastructure is closely associated with increased labor market absorption. This supports existing empirical literature on the role of road networks in enhancing spatial mobility and reducing geographic frictions to employment</w:t>
      </w:r>
      <w:r w:rsidR="00B1562F" w:rsidRPr="00275134">
        <w:rPr>
          <w:rFonts w:ascii="Arial" w:hAnsi="Arial" w:cs="Arial"/>
          <w:highlight w:val="yellow"/>
        </w:rPr>
        <w:t xml:space="preserve">. </w:t>
      </w:r>
    </w:p>
    <w:p w14:paraId="668BBD94" w14:textId="77777777" w:rsidR="003524A6" w:rsidRPr="003524A6" w:rsidRDefault="003524A6" w:rsidP="003524A6">
      <w:pPr>
        <w:jc w:val="both"/>
        <w:rPr>
          <w:rFonts w:ascii="Arial" w:hAnsi="Arial" w:cs="Arial"/>
          <w:highlight w:val="yellow"/>
        </w:rPr>
      </w:pPr>
      <w:r w:rsidRPr="003524A6">
        <w:rPr>
          <w:rFonts w:ascii="Arial" w:hAnsi="Arial" w:cs="Arial"/>
          <w:highlight w:val="yellow"/>
        </w:rPr>
        <w:t xml:space="preserve">A strong but statistically insignificant association was found between road length and GRDP (ρ = 0.794, </w:t>
      </w:r>
      <w:r w:rsidRPr="003524A6">
        <w:rPr>
          <w:rFonts w:ascii="Arial" w:hAnsi="Arial" w:cs="Arial"/>
          <w:i/>
          <w:iCs/>
          <w:highlight w:val="yellow"/>
        </w:rPr>
        <w:t>p</w:t>
      </w:r>
      <w:r w:rsidRPr="003524A6">
        <w:rPr>
          <w:rFonts w:ascii="Arial" w:hAnsi="Arial" w:cs="Arial"/>
          <w:highlight w:val="yellow"/>
        </w:rPr>
        <w:t xml:space="preserve"> = 0.059). This near-significance may reflect time-lagged effects of infrastructure investments, where economic returns materialize beyond the observation window. Additionally, sectoral heterogeneity in GRDP composition could attenuate direct correlations.</w:t>
      </w:r>
    </w:p>
    <w:p w14:paraId="19F4B76D" w14:textId="77777777" w:rsidR="003524A6" w:rsidRPr="003524A6" w:rsidRDefault="003524A6" w:rsidP="003524A6">
      <w:pPr>
        <w:jc w:val="both"/>
        <w:rPr>
          <w:rFonts w:ascii="Arial" w:hAnsi="Arial" w:cs="Arial"/>
          <w:highlight w:val="yellow"/>
        </w:rPr>
      </w:pPr>
      <w:r w:rsidRPr="003524A6">
        <w:rPr>
          <w:rFonts w:ascii="Arial" w:hAnsi="Arial" w:cs="Arial"/>
          <w:highlight w:val="yellow"/>
        </w:rPr>
        <w:t xml:space="preserve">The relationship between road length and MSME growth (ρ = 0.618, </w:t>
      </w:r>
      <w:r w:rsidRPr="003524A6">
        <w:rPr>
          <w:rFonts w:ascii="Arial" w:hAnsi="Arial" w:cs="Arial"/>
          <w:i/>
          <w:iCs/>
          <w:highlight w:val="yellow"/>
        </w:rPr>
        <w:t>p</w:t>
      </w:r>
      <w:r w:rsidRPr="003524A6">
        <w:rPr>
          <w:rFonts w:ascii="Arial" w:hAnsi="Arial" w:cs="Arial"/>
          <w:highlight w:val="yellow"/>
        </w:rPr>
        <w:t xml:space="preserve"> = 0.191) was moderate and not statistically significant. While improved roads may lower logistics costs </w:t>
      </w:r>
      <w:r w:rsidRPr="003524A6">
        <w:rPr>
          <w:rFonts w:ascii="Arial" w:hAnsi="Arial" w:cs="Arial"/>
          <w:highlight w:val="yellow"/>
        </w:rPr>
        <w:lastRenderedPageBreak/>
        <w:t>and enhance market accessibility, MSME development likely depends on additional enablers such as financing access, digital capabilities, and regulatory support (</w:t>
      </w:r>
      <w:proofErr w:type="spellStart"/>
      <w:r w:rsidRPr="003524A6">
        <w:rPr>
          <w:rFonts w:ascii="Arial" w:hAnsi="Arial" w:cs="Arial"/>
          <w:highlight w:val="yellow"/>
        </w:rPr>
        <w:t>Fardani</w:t>
      </w:r>
      <w:proofErr w:type="spellEnd"/>
      <w:r w:rsidRPr="003524A6">
        <w:rPr>
          <w:rFonts w:ascii="Arial" w:hAnsi="Arial" w:cs="Arial"/>
          <w:highlight w:val="yellow"/>
        </w:rPr>
        <w:t xml:space="preserve"> et al., 2024).</w:t>
      </w:r>
    </w:p>
    <w:p w14:paraId="5C2D9036" w14:textId="77777777" w:rsidR="003524A6" w:rsidRPr="003524A6" w:rsidRDefault="003524A6" w:rsidP="003524A6">
      <w:pPr>
        <w:jc w:val="both"/>
        <w:rPr>
          <w:rFonts w:ascii="Arial" w:hAnsi="Arial" w:cs="Arial"/>
          <w:highlight w:val="yellow"/>
        </w:rPr>
      </w:pPr>
      <w:r w:rsidRPr="003524A6">
        <w:rPr>
          <w:rFonts w:ascii="Arial" w:hAnsi="Arial" w:cs="Arial"/>
          <w:highlight w:val="yellow"/>
        </w:rPr>
        <w:t>Conversely, vehicle volume showed weak or negative associations with all economic indicators. The correlation with GRDP was slightly negative (ρ = -0.314), and minimal with employment (ρ = 0.153) and MSME growth (ρ = 0.197). These findings imply that increased traffic volume alone does not signal enhanced economic performance. In some cases, rising vehicle density may reflect congestion, inefficiencies, or infrastructure overutilization—especially in regions lacking coordinated transport planning (Nasution et al., 2019).</w:t>
      </w:r>
    </w:p>
    <w:p w14:paraId="5B02499F" w14:textId="1132D7AC" w:rsidR="003524A6" w:rsidRPr="003524A6" w:rsidRDefault="003524A6" w:rsidP="003524A6">
      <w:pPr>
        <w:jc w:val="both"/>
        <w:rPr>
          <w:rFonts w:ascii="Arial" w:hAnsi="Arial" w:cs="Arial"/>
          <w:highlight w:val="yellow"/>
        </w:rPr>
      </w:pPr>
      <w:r w:rsidRPr="003524A6">
        <w:rPr>
          <w:rFonts w:ascii="Arial" w:hAnsi="Arial" w:cs="Arial"/>
          <w:highlight w:val="yellow"/>
        </w:rPr>
        <w:t>Overall, the results demonstrate that infrastructure capacity (road length) is a more reliable predictor of regional economic activity than infrastructure usage (vehicle volume). These findings underscore the need to differentiate between stock-based and flow-based infrastructure indicators in development planning</w:t>
      </w:r>
      <w:r w:rsidR="0069712D" w:rsidRPr="00275134">
        <w:rPr>
          <w:rFonts w:ascii="Arial" w:hAnsi="Arial" w:cs="Arial"/>
          <w:highlight w:val="yellow"/>
        </w:rPr>
        <w:t>.</w:t>
      </w:r>
    </w:p>
    <w:p w14:paraId="76601692" w14:textId="77777777" w:rsidR="0069712D" w:rsidRPr="0069712D" w:rsidRDefault="0069712D" w:rsidP="0069712D">
      <w:pPr>
        <w:jc w:val="both"/>
        <w:rPr>
          <w:rFonts w:ascii="Arial" w:hAnsi="Arial" w:cs="Arial"/>
          <w:b/>
          <w:bCs/>
          <w:highlight w:val="yellow"/>
        </w:rPr>
      </w:pPr>
      <w:r w:rsidRPr="0069712D">
        <w:rPr>
          <w:rFonts w:ascii="Arial" w:hAnsi="Arial" w:cs="Arial"/>
          <w:b/>
          <w:bCs/>
          <w:highlight w:val="yellow"/>
        </w:rPr>
        <w:t>3.2 Discussion of Empirical Results</w:t>
      </w:r>
    </w:p>
    <w:p w14:paraId="5F4EC923" w14:textId="77777777" w:rsidR="0069712D" w:rsidRPr="0069712D" w:rsidRDefault="0069712D" w:rsidP="0069712D">
      <w:pPr>
        <w:jc w:val="both"/>
        <w:rPr>
          <w:rFonts w:ascii="Arial" w:hAnsi="Arial" w:cs="Arial"/>
          <w:highlight w:val="yellow"/>
        </w:rPr>
      </w:pPr>
      <w:r w:rsidRPr="0069712D">
        <w:rPr>
          <w:rFonts w:ascii="Arial" w:hAnsi="Arial" w:cs="Arial"/>
          <w:highlight w:val="yellow"/>
        </w:rPr>
        <w:t xml:space="preserve">The findings presented in the previous section offer critical insights into the interplay between transportation infrastructure and economic development in </w:t>
      </w:r>
      <w:proofErr w:type="spellStart"/>
      <w:r w:rsidRPr="0069712D">
        <w:rPr>
          <w:rFonts w:ascii="Arial" w:hAnsi="Arial" w:cs="Arial"/>
          <w:highlight w:val="yellow"/>
        </w:rPr>
        <w:t>Simalungun</w:t>
      </w:r>
      <w:proofErr w:type="spellEnd"/>
      <w:r w:rsidRPr="0069712D">
        <w:rPr>
          <w:rFonts w:ascii="Arial" w:hAnsi="Arial" w:cs="Arial"/>
          <w:highlight w:val="yellow"/>
        </w:rPr>
        <w:t xml:space="preserve"> Regency during the 2016–2022 period. This section further interprets those results in light of relevant empirical and theoretical literature.</w:t>
      </w:r>
    </w:p>
    <w:p w14:paraId="6C872558" w14:textId="77777777" w:rsidR="0069712D" w:rsidRPr="0069712D" w:rsidRDefault="0069712D" w:rsidP="0069712D">
      <w:pPr>
        <w:jc w:val="both"/>
        <w:rPr>
          <w:rFonts w:ascii="Arial" w:hAnsi="Arial" w:cs="Arial"/>
          <w:highlight w:val="yellow"/>
        </w:rPr>
      </w:pPr>
      <w:r w:rsidRPr="0069712D">
        <w:rPr>
          <w:rFonts w:ascii="Arial" w:hAnsi="Arial" w:cs="Arial"/>
          <w:highlight w:val="yellow"/>
        </w:rPr>
        <w:t>3.2.1 Infrastructure Stock vs. Economic Performance</w:t>
      </w:r>
    </w:p>
    <w:p w14:paraId="17B094D0" w14:textId="744B28B0" w:rsidR="0069712D" w:rsidRPr="0069712D" w:rsidRDefault="0069712D" w:rsidP="0069712D">
      <w:pPr>
        <w:jc w:val="both"/>
        <w:rPr>
          <w:rFonts w:ascii="Arial" w:hAnsi="Arial" w:cs="Arial"/>
          <w:highlight w:val="yellow"/>
        </w:rPr>
      </w:pPr>
      <w:r w:rsidRPr="0069712D">
        <w:rPr>
          <w:rFonts w:ascii="Arial" w:hAnsi="Arial" w:cs="Arial"/>
          <w:highlight w:val="yellow"/>
        </w:rPr>
        <w:t xml:space="preserve">The significant positive correlation between road length and employment rate (ρ = 0.851, </w:t>
      </w:r>
      <w:r w:rsidRPr="0069712D">
        <w:rPr>
          <w:rFonts w:ascii="Arial" w:hAnsi="Arial" w:cs="Arial"/>
          <w:i/>
          <w:iCs/>
          <w:highlight w:val="yellow"/>
        </w:rPr>
        <w:t>p</w:t>
      </w:r>
      <w:r w:rsidRPr="0069712D">
        <w:rPr>
          <w:rFonts w:ascii="Arial" w:hAnsi="Arial" w:cs="Arial"/>
          <w:highlight w:val="yellow"/>
        </w:rPr>
        <w:t xml:space="preserve"> = 0.032) underscores the role of physical infrastructure as a facilitator of labor market participation. This confirms prior regional studies in Indonesia, such as </w:t>
      </w:r>
      <w:r w:rsidRPr="0069712D">
        <w:rPr>
          <w:rFonts w:ascii="Arial" w:hAnsi="Arial" w:cs="Arial"/>
          <w:i/>
          <w:iCs/>
          <w:highlight w:val="yellow"/>
        </w:rPr>
        <w:t>Junaidi (2021)</w:t>
      </w:r>
      <w:r w:rsidRPr="0069712D">
        <w:rPr>
          <w:rFonts w:ascii="Arial" w:hAnsi="Arial" w:cs="Arial"/>
          <w:highlight w:val="yellow"/>
        </w:rPr>
        <w:t>, which emphasized rural road improvement as a driver of employment expansion through improved spatial accessibility.</w:t>
      </w:r>
    </w:p>
    <w:p w14:paraId="6C499C24" w14:textId="77777777" w:rsidR="0069712D" w:rsidRPr="0069712D" w:rsidRDefault="0069712D" w:rsidP="0069712D">
      <w:pPr>
        <w:jc w:val="both"/>
        <w:rPr>
          <w:rFonts w:ascii="Arial" w:hAnsi="Arial" w:cs="Arial"/>
          <w:highlight w:val="yellow"/>
        </w:rPr>
      </w:pPr>
      <w:r w:rsidRPr="0069712D">
        <w:rPr>
          <w:rFonts w:ascii="Arial" w:hAnsi="Arial" w:cs="Arial"/>
          <w:highlight w:val="yellow"/>
        </w:rPr>
        <w:t xml:space="preserve">This relationship is particularly relevant in developing economies where transportation constraints disproportionately limit access to formal employment and productive sectors. As indicated in Table 4.18 of the original manuscript, employment rates in </w:t>
      </w:r>
      <w:proofErr w:type="spellStart"/>
      <w:r w:rsidRPr="0069712D">
        <w:rPr>
          <w:rFonts w:ascii="Arial" w:hAnsi="Arial" w:cs="Arial"/>
          <w:highlight w:val="yellow"/>
        </w:rPr>
        <w:t>Simalungun</w:t>
      </w:r>
      <w:proofErr w:type="spellEnd"/>
      <w:r w:rsidRPr="0069712D">
        <w:rPr>
          <w:rFonts w:ascii="Arial" w:hAnsi="Arial" w:cs="Arial"/>
          <w:highlight w:val="yellow"/>
        </w:rPr>
        <w:t xml:space="preserve"> remained relatively stable between 94–95%, despite economic fluctuations, likely supported by infrastructural improvements during the post-2016 period.</w:t>
      </w:r>
    </w:p>
    <w:p w14:paraId="5EF81433" w14:textId="77777777" w:rsidR="0069712D" w:rsidRPr="0069712D" w:rsidRDefault="0069712D" w:rsidP="0069712D">
      <w:pPr>
        <w:jc w:val="both"/>
        <w:rPr>
          <w:rFonts w:ascii="Arial" w:hAnsi="Arial" w:cs="Arial"/>
          <w:highlight w:val="yellow"/>
        </w:rPr>
      </w:pPr>
      <w:r w:rsidRPr="0069712D">
        <w:rPr>
          <w:rFonts w:ascii="Arial" w:hAnsi="Arial" w:cs="Arial"/>
          <w:highlight w:val="yellow"/>
        </w:rPr>
        <w:t xml:space="preserve">In contrast, the strong—but statistically non-significant—correlation between road length and GRDP (ρ = 0.794, </w:t>
      </w:r>
      <w:r w:rsidRPr="0069712D">
        <w:rPr>
          <w:rFonts w:ascii="Arial" w:hAnsi="Arial" w:cs="Arial"/>
          <w:i/>
          <w:iCs/>
          <w:highlight w:val="yellow"/>
        </w:rPr>
        <w:t>p</w:t>
      </w:r>
      <w:r w:rsidRPr="0069712D">
        <w:rPr>
          <w:rFonts w:ascii="Arial" w:hAnsi="Arial" w:cs="Arial"/>
          <w:highlight w:val="yellow"/>
        </w:rPr>
        <w:t xml:space="preserve"> = 0.059) points to a more complex and potentially lagged economic response to infrastructure investments. This aligns with </w:t>
      </w:r>
      <w:proofErr w:type="spellStart"/>
      <w:r w:rsidRPr="0069712D">
        <w:rPr>
          <w:rFonts w:ascii="Arial" w:hAnsi="Arial" w:cs="Arial"/>
          <w:i/>
          <w:iCs/>
          <w:highlight w:val="yellow"/>
        </w:rPr>
        <w:t>Syadullah</w:t>
      </w:r>
      <w:proofErr w:type="spellEnd"/>
      <w:r w:rsidRPr="0069712D">
        <w:rPr>
          <w:rFonts w:ascii="Arial" w:hAnsi="Arial" w:cs="Arial"/>
          <w:i/>
          <w:iCs/>
          <w:highlight w:val="yellow"/>
        </w:rPr>
        <w:t xml:space="preserve"> &amp; </w:t>
      </w:r>
      <w:proofErr w:type="spellStart"/>
      <w:r w:rsidRPr="0069712D">
        <w:rPr>
          <w:rFonts w:ascii="Arial" w:hAnsi="Arial" w:cs="Arial"/>
          <w:i/>
          <w:iCs/>
          <w:highlight w:val="yellow"/>
        </w:rPr>
        <w:t>Setyawan</w:t>
      </w:r>
      <w:proofErr w:type="spellEnd"/>
      <w:r w:rsidRPr="0069712D">
        <w:rPr>
          <w:rFonts w:ascii="Arial" w:hAnsi="Arial" w:cs="Arial"/>
          <w:i/>
          <w:iCs/>
          <w:highlight w:val="yellow"/>
        </w:rPr>
        <w:t xml:space="preserve"> (2021)</w:t>
      </w:r>
      <w:r w:rsidRPr="0069712D">
        <w:rPr>
          <w:rFonts w:ascii="Arial" w:hAnsi="Arial" w:cs="Arial"/>
          <w:highlight w:val="yellow"/>
        </w:rPr>
        <w:t xml:space="preserve"> who argued that GRDP effects from transport projects often materialize after medium-term gestation, especially in rural districts with limited industrial base. Furthermore, Table 4.17 from the data shows consistent increases in GRDP from 23,508 </w:t>
      </w:r>
      <w:r w:rsidRPr="0069712D">
        <w:rPr>
          <w:rFonts w:ascii="Arial" w:hAnsi="Arial" w:cs="Arial"/>
          <w:highlight w:val="yellow"/>
        </w:rPr>
        <w:lastRenderedPageBreak/>
        <w:t>billion rupiah (2016) to 29,990 billion rupiah (2022), indicating steady—but possibly structurally constrained—economic growth.</w:t>
      </w:r>
    </w:p>
    <w:p w14:paraId="6E2BE3EF" w14:textId="77777777" w:rsidR="0069712D" w:rsidRPr="0069712D" w:rsidRDefault="0069712D" w:rsidP="0069712D">
      <w:pPr>
        <w:jc w:val="both"/>
        <w:rPr>
          <w:rFonts w:ascii="Arial" w:hAnsi="Arial" w:cs="Arial"/>
          <w:highlight w:val="yellow"/>
        </w:rPr>
      </w:pPr>
      <w:r w:rsidRPr="0069712D">
        <w:rPr>
          <w:rFonts w:ascii="Arial" w:hAnsi="Arial" w:cs="Arial"/>
          <w:highlight w:val="yellow"/>
        </w:rPr>
        <w:t>3.2.2 Partial Influence on MSMEs</w:t>
      </w:r>
    </w:p>
    <w:p w14:paraId="24D427E2" w14:textId="77777777" w:rsidR="0069712D" w:rsidRPr="0069712D" w:rsidRDefault="0069712D" w:rsidP="0069712D">
      <w:pPr>
        <w:jc w:val="both"/>
        <w:rPr>
          <w:rFonts w:ascii="Arial" w:hAnsi="Arial" w:cs="Arial"/>
          <w:highlight w:val="yellow"/>
        </w:rPr>
      </w:pPr>
      <w:r w:rsidRPr="0069712D">
        <w:rPr>
          <w:rFonts w:ascii="Arial" w:hAnsi="Arial" w:cs="Arial"/>
          <w:highlight w:val="yellow"/>
        </w:rPr>
        <w:t xml:space="preserve">The moderate correlation between road length and MSME growth (ρ = 0.618, </w:t>
      </w:r>
      <w:r w:rsidRPr="0069712D">
        <w:rPr>
          <w:rFonts w:ascii="Arial" w:hAnsi="Arial" w:cs="Arial"/>
          <w:i/>
          <w:iCs/>
          <w:highlight w:val="yellow"/>
        </w:rPr>
        <w:t>p</w:t>
      </w:r>
      <w:r w:rsidRPr="0069712D">
        <w:rPr>
          <w:rFonts w:ascii="Arial" w:hAnsi="Arial" w:cs="Arial"/>
          <w:highlight w:val="yellow"/>
        </w:rPr>
        <w:t xml:space="preserve"> = 0.191) supports the hypothesis that improved road infrastructure helps reduce logistical costs and increases market access for micro-enterprises. However, the non-significance suggests the existence of additional constraints, such as access to credit, entrepreneurship readiness, and digital adoption. </w:t>
      </w:r>
      <w:proofErr w:type="spellStart"/>
      <w:r w:rsidRPr="0069712D">
        <w:rPr>
          <w:rFonts w:ascii="Arial" w:hAnsi="Arial" w:cs="Arial"/>
          <w:i/>
          <w:iCs/>
          <w:highlight w:val="yellow"/>
        </w:rPr>
        <w:t>Fardani</w:t>
      </w:r>
      <w:proofErr w:type="spellEnd"/>
      <w:r w:rsidRPr="0069712D">
        <w:rPr>
          <w:rFonts w:ascii="Arial" w:hAnsi="Arial" w:cs="Arial"/>
          <w:i/>
          <w:iCs/>
          <w:highlight w:val="yellow"/>
        </w:rPr>
        <w:t xml:space="preserve"> et al. (2024)</w:t>
      </w:r>
      <w:r w:rsidRPr="0069712D">
        <w:rPr>
          <w:rFonts w:ascii="Arial" w:hAnsi="Arial" w:cs="Arial"/>
          <w:highlight w:val="yellow"/>
        </w:rPr>
        <w:t xml:space="preserve"> emphasized that infrastructure alone is insufficient without complementary business ecosystem enablers.</w:t>
      </w:r>
    </w:p>
    <w:p w14:paraId="0DED9205" w14:textId="67FACC2B" w:rsidR="0069712D" w:rsidRPr="0069712D" w:rsidRDefault="0069712D" w:rsidP="0069712D">
      <w:pPr>
        <w:jc w:val="both"/>
        <w:rPr>
          <w:rFonts w:ascii="Arial" w:hAnsi="Arial" w:cs="Arial"/>
          <w:highlight w:val="yellow"/>
        </w:rPr>
      </w:pPr>
      <w:r w:rsidRPr="0069712D">
        <w:rPr>
          <w:rFonts w:ascii="Arial" w:hAnsi="Arial" w:cs="Arial"/>
          <w:highlight w:val="yellow"/>
        </w:rPr>
        <w:t>A closer look at MSME growth rates (Table below) shows volatile increases, with peak growth in 2020 (115.4%), but subsequent decline in 2022, likely reflecting external disruptions such as the COVID-19 pandemic.</w:t>
      </w:r>
    </w:p>
    <w:p w14:paraId="6E0788AE" w14:textId="4CAEC650" w:rsidR="0069712D" w:rsidRPr="0069712D" w:rsidRDefault="0069712D" w:rsidP="00A2268F">
      <w:pPr>
        <w:jc w:val="center"/>
        <w:rPr>
          <w:rFonts w:ascii="Arial" w:hAnsi="Arial" w:cs="Arial"/>
          <w:highlight w:val="yellow"/>
        </w:rPr>
      </w:pPr>
      <w:r w:rsidRPr="0069712D">
        <w:rPr>
          <w:rFonts w:ascii="Arial" w:hAnsi="Arial" w:cs="Arial"/>
          <w:b/>
          <w:bCs/>
          <w:highlight w:val="yellow"/>
        </w:rPr>
        <w:t xml:space="preserve">Table </w:t>
      </w:r>
      <w:r w:rsidR="00A2268F" w:rsidRPr="00275134">
        <w:rPr>
          <w:rFonts w:ascii="Arial" w:hAnsi="Arial" w:cs="Arial"/>
          <w:b/>
          <w:bCs/>
          <w:highlight w:val="yellow"/>
        </w:rPr>
        <w:t>4</w:t>
      </w:r>
      <w:r w:rsidRPr="0069712D">
        <w:rPr>
          <w:rFonts w:ascii="Arial" w:hAnsi="Arial" w:cs="Arial"/>
          <w:b/>
          <w:bCs/>
          <w:highlight w:val="yellow"/>
        </w:rPr>
        <w:t xml:space="preserve">. </w:t>
      </w:r>
      <w:r w:rsidRPr="0069712D">
        <w:rPr>
          <w:rFonts w:ascii="Arial" w:hAnsi="Arial" w:cs="Arial"/>
          <w:highlight w:val="yellow"/>
        </w:rPr>
        <w:t xml:space="preserve">MSME Business Growth Rates in </w:t>
      </w:r>
      <w:proofErr w:type="spellStart"/>
      <w:r w:rsidRPr="0069712D">
        <w:rPr>
          <w:rFonts w:ascii="Arial" w:hAnsi="Arial" w:cs="Arial"/>
          <w:highlight w:val="yellow"/>
        </w:rPr>
        <w:t>Simalungun</w:t>
      </w:r>
      <w:proofErr w:type="spellEnd"/>
      <w:r w:rsidRPr="0069712D">
        <w:rPr>
          <w:rFonts w:ascii="Arial" w:hAnsi="Arial" w:cs="Arial"/>
          <w:highlight w:val="yellow"/>
        </w:rPr>
        <w:t xml:space="preserve"> (2016–2022)</w:t>
      </w:r>
    </w:p>
    <w:tbl>
      <w:tblPr>
        <w:tblStyle w:val="TableGrid"/>
        <w:tblW w:w="0" w:type="auto"/>
        <w:jc w:val="center"/>
        <w:tblLook w:val="04A0" w:firstRow="1" w:lastRow="0" w:firstColumn="1" w:lastColumn="0" w:noHBand="0" w:noVBand="1"/>
      </w:tblPr>
      <w:tblGrid>
        <w:gridCol w:w="750"/>
        <w:gridCol w:w="2870"/>
      </w:tblGrid>
      <w:tr w:rsidR="0069712D" w:rsidRPr="0069712D" w14:paraId="145BA4A1" w14:textId="77777777" w:rsidTr="0069712D">
        <w:trPr>
          <w:jc w:val="center"/>
        </w:trPr>
        <w:tc>
          <w:tcPr>
            <w:tcW w:w="0" w:type="auto"/>
            <w:hideMark/>
          </w:tcPr>
          <w:p w14:paraId="32136443" w14:textId="77777777" w:rsidR="0069712D" w:rsidRPr="0069712D" w:rsidRDefault="0069712D" w:rsidP="0069712D">
            <w:pPr>
              <w:spacing w:after="160" w:line="278" w:lineRule="auto"/>
              <w:jc w:val="both"/>
              <w:rPr>
                <w:rFonts w:ascii="Arial" w:hAnsi="Arial" w:cs="Arial"/>
                <w:b/>
                <w:bCs/>
                <w:highlight w:val="yellow"/>
              </w:rPr>
            </w:pPr>
            <w:r w:rsidRPr="0069712D">
              <w:rPr>
                <w:rFonts w:ascii="Arial" w:hAnsi="Arial" w:cs="Arial"/>
                <w:b/>
                <w:bCs/>
                <w:highlight w:val="yellow"/>
              </w:rPr>
              <w:t>Year</w:t>
            </w:r>
          </w:p>
        </w:tc>
        <w:tc>
          <w:tcPr>
            <w:tcW w:w="0" w:type="auto"/>
            <w:hideMark/>
          </w:tcPr>
          <w:p w14:paraId="2CFA2B4B" w14:textId="77777777" w:rsidR="0069712D" w:rsidRPr="0069712D" w:rsidRDefault="0069712D" w:rsidP="0069712D">
            <w:pPr>
              <w:spacing w:after="160" w:line="278" w:lineRule="auto"/>
              <w:jc w:val="both"/>
              <w:rPr>
                <w:rFonts w:ascii="Arial" w:hAnsi="Arial" w:cs="Arial"/>
                <w:b/>
                <w:bCs/>
                <w:highlight w:val="yellow"/>
              </w:rPr>
            </w:pPr>
            <w:r w:rsidRPr="0069712D">
              <w:rPr>
                <w:rFonts w:ascii="Arial" w:hAnsi="Arial" w:cs="Arial"/>
                <w:b/>
                <w:bCs/>
                <w:highlight w:val="yellow"/>
              </w:rPr>
              <w:t>MSME Growth Rate (%)</w:t>
            </w:r>
          </w:p>
        </w:tc>
      </w:tr>
      <w:tr w:rsidR="0069712D" w:rsidRPr="0069712D" w14:paraId="7DE5FAC8" w14:textId="77777777" w:rsidTr="0069712D">
        <w:trPr>
          <w:jc w:val="center"/>
        </w:trPr>
        <w:tc>
          <w:tcPr>
            <w:tcW w:w="0" w:type="auto"/>
            <w:hideMark/>
          </w:tcPr>
          <w:p w14:paraId="1AC779CD"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2016</w:t>
            </w:r>
          </w:p>
        </w:tc>
        <w:tc>
          <w:tcPr>
            <w:tcW w:w="0" w:type="auto"/>
            <w:hideMark/>
          </w:tcPr>
          <w:p w14:paraId="7198619F"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w:t>
            </w:r>
          </w:p>
        </w:tc>
      </w:tr>
      <w:tr w:rsidR="0069712D" w:rsidRPr="0069712D" w14:paraId="368E163E" w14:textId="77777777" w:rsidTr="0069712D">
        <w:trPr>
          <w:jc w:val="center"/>
        </w:trPr>
        <w:tc>
          <w:tcPr>
            <w:tcW w:w="0" w:type="auto"/>
            <w:hideMark/>
          </w:tcPr>
          <w:p w14:paraId="7AD2CBC1"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2017</w:t>
            </w:r>
          </w:p>
        </w:tc>
        <w:tc>
          <w:tcPr>
            <w:tcW w:w="0" w:type="auto"/>
            <w:hideMark/>
          </w:tcPr>
          <w:p w14:paraId="03DFAA1F"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+3.1%</w:t>
            </w:r>
          </w:p>
        </w:tc>
      </w:tr>
      <w:tr w:rsidR="0069712D" w:rsidRPr="0069712D" w14:paraId="0BBB9D21" w14:textId="77777777" w:rsidTr="0069712D">
        <w:trPr>
          <w:jc w:val="center"/>
        </w:trPr>
        <w:tc>
          <w:tcPr>
            <w:tcW w:w="0" w:type="auto"/>
            <w:hideMark/>
          </w:tcPr>
          <w:p w14:paraId="03F81E18"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2018</w:t>
            </w:r>
          </w:p>
        </w:tc>
        <w:tc>
          <w:tcPr>
            <w:tcW w:w="0" w:type="auto"/>
            <w:hideMark/>
          </w:tcPr>
          <w:p w14:paraId="60A742D4"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+4.8%</w:t>
            </w:r>
          </w:p>
        </w:tc>
      </w:tr>
      <w:tr w:rsidR="0069712D" w:rsidRPr="0069712D" w14:paraId="1CC12B70" w14:textId="77777777" w:rsidTr="0069712D">
        <w:trPr>
          <w:jc w:val="center"/>
        </w:trPr>
        <w:tc>
          <w:tcPr>
            <w:tcW w:w="0" w:type="auto"/>
            <w:hideMark/>
          </w:tcPr>
          <w:p w14:paraId="3787B3DC"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2019</w:t>
            </w:r>
          </w:p>
        </w:tc>
        <w:tc>
          <w:tcPr>
            <w:tcW w:w="0" w:type="auto"/>
            <w:hideMark/>
          </w:tcPr>
          <w:p w14:paraId="6C0BD397"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+6.5%</w:t>
            </w:r>
          </w:p>
        </w:tc>
      </w:tr>
      <w:tr w:rsidR="0069712D" w:rsidRPr="0069712D" w14:paraId="01031855" w14:textId="77777777" w:rsidTr="0069712D">
        <w:trPr>
          <w:jc w:val="center"/>
        </w:trPr>
        <w:tc>
          <w:tcPr>
            <w:tcW w:w="0" w:type="auto"/>
            <w:hideMark/>
          </w:tcPr>
          <w:p w14:paraId="39AC2A99"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2020</w:t>
            </w:r>
          </w:p>
        </w:tc>
        <w:tc>
          <w:tcPr>
            <w:tcW w:w="0" w:type="auto"/>
            <w:hideMark/>
          </w:tcPr>
          <w:p w14:paraId="1CEB114A"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b/>
                <w:bCs/>
                <w:highlight w:val="yellow"/>
              </w:rPr>
              <w:t>+115.4%</w:t>
            </w:r>
          </w:p>
        </w:tc>
      </w:tr>
      <w:tr w:rsidR="0069712D" w:rsidRPr="0069712D" w14:paraId="0879D53B" w14:textId="77777777" w:rsidTr="0069712D">
        <w:trPr>
          <w:jc w:val="center"/>
        </w:trPr>
        <w:tc>
          <w:tcPr>
            <w:tcW w:w="0" w:type="auto"/>
            <w:hideMark/>
          </w:tcPr>
          <w:p w14:paraId="6EC91D30"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2021</w:t>
            </w:r>
          </w:p>
        </w:tc>
        <w:tc>
          <w:tcPr>
            <w:tcW w:w="0" w:type="auto"/>
            <w:hideMark/>
          </w:tcPr>
          <w:p w14:paraId="3471B001"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-12.7%</w:t>
            </w:r>
          </w:p>
        </w:tc>
      </w:tr>
      <w:tr w:rsidR="0069712D" w:rsidRPr="0069712D" w14:paraId="0BC2C3A0" w14:textId="77777777" w:rsidTr="0069712D">
        <w:trPr>
          <w:jc w:val="center"/>
        </w:trPr>
        <w:tc>
          <w:tcPr>
            <w:tcW w:w="0" w:type="auto"/>
            <w:hideMark/>
          </w:tcPr>
          <w:p w14:paraId="44F5FB1F"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2022</w:t>
            </w:r>
          </w:p>
        </w:tc>
        <w:tc>
          <w:tcPr>
            <w:tcW w:w="0" w:type="auto"/>
            <w:hideMark/>
          </w:tcPr>
          <w:p w14:paraId="2BAFA111"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-9.3%</w:t>
            </w:r>
          </w:p>
        </w:tc>
      </w:tr>
    </w:tbl>
    <w:p w14:paraId="6A2F6ED3" w14:textId="462F15B4" w:rsidR="0069712D" w:rsidRPr="0069712D" w:rsidRDefault="0069712D" w:rsidP="0069712D">
      <w:pPr>
        <w:jc w:val="both"/>
        <w:rPr>
          <w:rFonts w:ascii="Arial" w:hAnsi="Arial" w:cs="Arial"/>
          <w:highlight w:val="yellow"/>
        </w:rPr>
      </w:pPr>
      <w:r w:rsidRPr="0069712D">
        <w:rPr>
          <w:rFonts w:ascii="Arial" w:hAnsi="Arial" w:cs="Arial"/>
          <w:i/>
          <w:iCs/>
          <w:highlight w:val="yellow"/>
        </w:rPr>
        <w:t>Source: Processed from Primary Data (2025)</w:t>
      </w:r>
    </w:p>
    <w:p w14:paraId="38BB85B8" w14:textId="77777777" w:rsidR="0069712D" w:rsidRPr="0069712D" w:rsidRDefault="0069712D" w:rsidP="0069712D">
      <w:pPr>
        <w:jc w:val="both"/>
        <w:rPr>
          <w:rFonts w:ascii="Arial" w:hAnsi="Arial" w:cs="Arial"/>
          <w:highlight w:val="yellow"/>
        </w:rPr>
      </w:pPr>
      <w:r w:rsidRPr="0069712D">
        <w:rPr>
          <w:rFonts w:ascii="Arial" w:hAnsi="Arial" w:cs="Arial"/>
          <w:highlight w:val="yellow"/>
        </w:rPr>
        <w:t>3.2.3 Vehicle Volume and Negative Externalities</w:t>
      </w:r>
    </w:p>
    <w:p w14:paraId="0D05C15C" w14:textId="77777777" w:rsidR="0069712D" w:rsidRPr="0069712D" w:rsidRDefault="0069712D" w:rsidP="0069712D">
      <w:pPr>
        <w:jc w:val="both"/>
        <w:rPr>
          <w:rFonts w:ascii="Arial" w:hAnsi="Arial" w:cs="Arial"/>
          <w:highlight w:val="yellow"/>
        </w:rPr>
      </w:pPr>
      <w:r w:rsidRPr="0069712D">
        <w:rPr>
          <w:rFonts w:ascii="Arial" w:hAnsi="Arial" w:cs="Arial"/>
          <w:highlight w:val="yellow"/>
        </w:rPr>
        <w:t xml:space="preserve">Unlike road length, vehicle volume did not exhibit meaningful positive relationships with economic indicators. The correlation between vehicle volume and GRDP was weak and negative (ρ = -0.314), suggesting that increased vehicular activity may not equate with higher productivity, and may instead reflect transport inefficiencies or increased congestion. This aligns with the concerns raised by </w:t>
      </w:r>
      <w:r w:rsidRPr="0069712D">
        <w:rPr>
          <w:rFonts w:ascii="Arial" w:hAnsi="Arial" w:cs="Arial"/>
          <w:i/>
          <w:iCs/>
          <w:highlight w:val="yellow"/>
        </w:rPr>
        <w:t>Nasution et al. (2019)</w:t>
      </w:r>
      <w:r w:rsidRPr="0069712D">
        <w:rPr>
          <w:rFonts w:ascii="Arial" w:hAnsi="Arial" w:cs="Arial"/>
          <w:highlight w:val="yellow"/>
        </w:rPr>
        <w:t xml:space="preserve"> on the diminishing returns of unregulated vehicle growth in urban-rural fringes.</w:t>
      </w:r>
    </w:p>
    <w:p w14:paraId="30D78DE9" w14:textId="77777777" w:rsidR="0069712D" w:rsidRPr="0069712D" w:rsidRDefault="0069712D" w:rsidP="0069712D">
      <w:pPr>
        <w:jc w:val="both"/>
        <w:rPr>
          <w:rFonts w:ascii="Arial" w:hAnsi="Arial" w:cs="Arial"/>
          <w:highlight w:val="yellow"/>
        </w:rPr>
      </w:pPr>
      <w:r w:rsidRPr="0069712D">
        <w:rPr>
          <w:rFonts w:ascii="Arial" w:hAnsi="Arial" w:cs="Arial"/>
          <w:highlight w:val="yellow"/>
        </w:rPr>
        <w:t xml:space="preserve">Vehicle volume's weak correlation with employment (ρ = 0.153) and MSME growth (ρ = 0.197) further supports the argument that mere increases in mobility load do not enhance economic activity unless supported by quality infrastructure and mobility management </w:t>
      </w:r>
      <w:r w:rsidRPr="0069712D">
        <w:rPr>
          <w:rFonts w:ascii="Arial" w:hAnsi="Arial" w:cs="Arial"/>
          <w:highlight w:val="yellow"/>
        </w:rPr>
        <w:lastRenderedPageBreak/>
        <w:t>systems. This reinforces the distinction between infrastructure stock (enabling) and load (burdening), especially under inadequate regulatory frameworks (</w:t>
      </w:r>
      <w:proofErr w:type="spellStart"/>
      <w:r w:rsidRPr="0069712D">
        <w:rPr>
          <w:rFonts w:ascii="Arial" w:hAnsi="Arial" w:cs="Arial"/>
          <w:highlight w:val="yellow"/>
        </w:rPr>
        <w:t>Handayani</w:t>
      </w:r>
      <w:proofErr w:type="spellEnd"/>
      <w:r w:rsidRPr="0069712D">
        <w:rPr>
          <w:rFonts w:ascii="Arial" w:hAnsi="Arial" w:cs="Arial"/>
          <w:highlight w:val="yellow"/>
        </w:rPr>
        <w:t xml:space="preserve"> et al., 2020).</w:t>
      </w:r>
    </w:p>
    <w:p w14:paraId="6D71D6FE" w14:textId="5D7306B4" w:rsidR="0069712D" w:rsidRPr="0069712D" w:rsidRDefault="0069712D" w:rsidP="0069712D">
      <w:pPr>
        <w:jc w:val="both"/>
        <w:rPr>
          <w:rFonts w:ascii="Arial" w:hAnsi="Arial" w:cs="Arial"/>
          <w:highlight w:val="yellow"/>
        </w:rPr>
      </w:pPr>
      <w:r w:rsidRPr="0069712D">
        <w:rPr>
          <w:rFonts w:ascii="Arial" w:hAnsi="Arial" w:cs="Arial"/>
          <w:highlight w:val="yellow"/>
        </w:rPr>
        <w:t>3.2.</w:t>
      </w:r>
      <w:r w:rsidRPr="00275134">
        <w:rPr>
          <w:rFonts w:ascii="Arial" w:hAnsi="Arial" w:cs="Arial"/>
          <w:highlight w:val="yellow"/>
        </w:rPr>
        <w:t>4</w:t>
      </w:r>
      <w:r w:rsidRPr="0069712D">
        <w:rPr>
          <w:rFonts w:ascii="Arial" w:hAnsi="Arial" w:cs="Arial"/>
          <w:highlight w:val="yellow"/>
        </w:rPr>
        <w:t xml:space="preserve"> Policy Implication from Divergent Results</w:t>
      </w:r>
    </w:p>
    <w:p w14:paraId="4351B394" w14:textId="77777777" w:rsidR="0069712D" w:rsidRPr="0069712D" w:rsidRDefault="0069712D" w:rsidP="0069712D">
      <w:pPr>
        <w:jc w:val="both"/>
        <w:rPr>
          <w:rFonts w:ascii="Arial" w:hAnsi="Arial" w:cs="Arial"/>
          <w:highlight w:val="yellow"/>
        </w:rPr>
      </w:pPr>
      <w:r w:rsidRPr="0069712D">
        <w:rPr>
          <w:rFonts w:ascii="Arial" w:hAnsi="Arial" w:cs="Arial"/>
          <w:highlight w:val="yellow"/>
        </w:rPr>
        <w:t>The divergence in significance between road length and vehicle volume implies a need for integrated transport planning, where physical infrastructure is complemented by regulation, maintenance, and economic alignment. Road expansion without traffic management may yield negative externalities, while underutilized infrastructure may delay development returns.</w:t>
      </w:r>
    </w:p>
    <w:p w14:paraId="3062FE6C" w14:textId="77777777" w:rsidR="0069712D" w:rsidRPr="0069712D" w:rsidRDefault="0069712D" w:rsidP="0069712D">
      <w:pPr>
        <w:jc w:val="both"/>
        <w:rPr>
          <w:rFonts w:ascii="Arial" w:hAnsi="Arial" w:cs="Arial"/>
          <w:highlight w:val="yellow"/>
        </w:rPr>
      </w:pPr>
      <w:r w:rsidRPr="0069712D">
        <w:rPr>
          <w:rFonts w:ascii="Arial" w:hAnsi="Arial" w:cs="Arial"/>
          <w:highlight w:val="yellow"/>
        </w:rPr>
        <w:t>The findings provide empirical support for policy recommendations that favor:</w:t>
      </w:r>
    </w:p>
    <w:p w14:paraId="60C73DEA" w14:textId="77777777" w:rsidR="0069712D" w:rsidRPr="0069712D" w:rsidRDefault="0069712D" w:rsidP="0069712D">
      <w:pPr>
        <w:numPr>
          <w:ilvl w:val="0"/>
          <w:numId w:val="11"/>
        </w:numPr>
        <w:jc w:val="both"/>
        <w:rPr>
          <w:rFonts w:ascii="Arial" w:hAnsi="Arial" w:cs="Arial"/>
          <w:highlight w:val="yellow"/>
        </w:rPr>
      </w:pPr>
      <w:r w:rsidRPr="0069712D">
        <w:rPr>
          <w:rFonts w:ascii="Arial" w:hAnsi="Arial" w:cs="Arial"/>
          <w:highlight w:val="yellow"/>
        </w:rPr>
        <w:t>Prioritization of road maintenance and quality over new construction,</w:t>
      </w:r>
    </w:p>
    <w:p w14:paraId="569F1B30" w14:textId="77777777" w:rsidR="0069712D" w:rsidRPr="0069712D" w:rsidRDefault="0069712D" w:rsidP="0069712D">
      <w:pPr>
        <w:numPr>
          <w:ilvl w:val="0"/>
          <w:numId w:val="11"/>
        </w:numPr>
        <w:jc w:val="both"/>
        <w:rPr>
          <w:rFonts w:ascii="Arial" w:hAnsi="Arial" w:cs="Arial"/>
          <w:highlight w:val="yellow"/>
        </w:rPr>
      </w:pPr>
      <w:r w:rsidRPr="0069712D">
        <w:rPr>
          <w:rFonts w:ascii="Arial" w:hAnsi="Arial" w:cs="Arial"/>
          <w:highlight w:val="yellow"/>
        </w:rPr>
        <w:t>Targeted infrastructure in labor-dense subdistricts to maximize employment elasticity,</w:t>
      </w:r>
    </w:p>
    <w:p w14:paraId="30E2F0D5" w14:textId="77777777" w:rsidR="0069712D" w:rsidRPr="0069712D" w:rsidRDefault="0069712D" w:rsidP="0069712D">
      <w:pPr>
        <w:numPr>
          <w:ilvl w:val="0"/>
          <w:numId w:val="11"/>
        </w:numPr>
        <w:jc w:val="both"/>
        <w:rPr>
          <w:rFonts w:ascii="Arial" w:hAnsi="Arial" w:cs="Arial"/>
          <w:highlight w:val="yellow"/>
        </w:rPr>
      </w:pPr>
      <w:r w:rsidRPr="0069712D">
        <w:rPr>
          <w:rFonts w:ascii="Arial" w:hAnsi="Arial" w:cs="Arial"/>
          <w:highlight w:val="yellow"/>
        </w:rPr>
        <w:t>Mobility efficiency metrics (e.g., travel time or cost per kilometer) instead of vehicle counts,</w:t>
      </w:r>
    </w:p>
    <w:p w14:paraId="0D3DE08B" w14:textId="77777777" w:rsidR="0069712D" w:rsidRPr="0069712D" w:rsidRDefault="0069712D" w:rsidP="0069712D">
      <w:pPr>
        <w:numPr>
          <w:ilvl w:val="0"/>
          <w:numId w:val="11"/>
        </w:numPr>
        <w:jc w:val="both"/>
        <w:rPr>
          <w:rFonts w:ascii="Arial" w:hAnsi="Arial" w:cs="Arial"/>
          <w:highlight w:val="yellow"/>
        </w:rPr>
      </w:pPr>
      <w:r w:rsidRPr="0069712D">
        <w:rPr>
          <w:rFonts w:ascii="Arial" w:hAnsi="Arial" w:cs="Arial"/>
          <w:highlight w:val="yellow"/>
        </w:rPr>
        <w:t>Public–Private Partnerships (PPPs) to ensure funding sustainability and quality assurance.</w:t>
      </w:r>
    </w:p>
    <w:p w14:paraId="7BDD9EE9" w14:textId="77777777" w:rsidR="0069712D" w:rsidRPr="0069712D" w:rsidRDefault="0069712D" w:rsidP="0069712D">
      <w:pPr>
        <w:jc w:val="both"/>
        <w:rPr>
          <w:rFonts w:ascii="Arial" w:hAnsi="Arial" w:cs="Arial"/>
          <w:b/>
          <w:bCs/>
          <w:highlight w:val="yellow"/>
        </w:rPr>
      </w:pPr>
      <w:r w:rsidRPr="0069712D">
        <w:rPr>
          <w:rFonts w:ascii="Arial" w:hAnsi="Arial" w:cs="Arial"/>
          <w:b/>
          <w:bCs/>
          <w:highlight w:val="yellow"/>
        </w:rPr>
        <w:t>3.3 Contextual Disruptions and External Shocks</w:t>
      </w:r>
    </w:p>
    <w:p w14:paraId="00264E01" w14:textId="77777777" w:rsidR="0069712D" w:rsidRPr="0069712D" w:rsidRDefault="0069712D" w:rsidP="0069712D">
      <w:pPr>
        <w:jc w:val="both"/>
        <w:rPr>
          <w:rFonts w:ascii="Arial" w:hAnsi="Arial" w:cs="Arial"/>
          <w:highlight w:val="yellow"/>
        </w:rPr>
      </w:pPr>
      <w:r w:rsidRPr="0069712D">
        <w:rPr>
          <w:rFonts w:ascii="Arial" w:hAnsi="Arial" w:cs="Arial"/>
          <w:highlight w:val="yellow"/>
        </w:rPr>
        <w:t>3.3.1 Pandemic-Induced Structural Breaks</w:t>
      </w:r>
    </w:p>
    <w:p w14:paraId="588B3708" w14:textId="77777777" w:rsidR="0069712D" w:rsidRPr="0069712D" w:rsidRDefault="0069712D" w:rsidP="0069712D">
      <w:pPr>
        <w:jc w:val="both"/>
        <w:rPr>
          <w:rFonts w:ascii="Arial" w:hAnsi="Arial" w:cs="Arial"/>
          <w:highlight w:val="yellow"/>
        </w:rPr>
      </w:pPr>
      <w:r w:rsidRPr="0069712D">
        <w:rPr>
          <w:rFonts w:ascii="Arial" w:hAnsi="Arial" w:cs="Arial"/>
          <w:highlight w:val="yellow"/>
        </w:rPr>
        <w:t xml:space="preserve">The economic dynamics of </w:t>
      </w:r>
      <w:proofErr w:type="spellStart"/>
      <w:r w:rsidRPr="0069712D">
        <w:rPr>
          <w:rFonts w:ascii="Arial" w:hAnsi="Arial" w:cs="Arial"/>
          <w:highlight w:val="yellow"/>
        </w:rPr>
        <w:t>Simalungun</w:t>
      </w:r>
      <w:proofErr w:type="spellEnd"/>
      <w:r w:rsidRPr="0069712D">
        <w:rPr>
          <w:rFonts w:ascii="Arial" w:hAnsi="Arial" w:cs="Arial"/>
          <w:highlight w:val="yellow"/>
        </w:rPr>
        <w:t xml:space="preserve"> Regency between 2020–2022 were substantially affected by the global COVID-19 pandemic. While infrastructure indicators such as road length continued to rise in 2020 (e.g., road length quality-adjusted increased from 3,821.07 km in 2019 to 4,055.21 km in 2020), the expected economic benefits were not fully realized, as illustrated by anomalies in vehicle volume, employment growth, and MSME performance.</w:t>
      </w:r>
    </w:p>
    <w:p w14:paraId="5C3F9B92" w14:textId="6FD6E7FB" w:rsidR="0069712D" w:rsidRPr="00275134" w:rsidRDefault="0069712D" w:rsidP="0069712D">
      <w:pPr>
        <w:jc w:val="both"/>
        <w:rPr>
          <w:rFonts w:ascii="Arial" w:hAnsi="Arial" w:cs="Arial"/>
          <w:highlight w:val="yellow"/>
        </w:rPr>
      </w:pPr>
      <w:r w:rsidRPr="0069712D">
        <w:rPr>
          <w:rFonts w:ascii="Arial" w:hAnsi="Arial" w:cs="Arial"/>
          <w:highlight w:val="yellow"/>
        </w:rPr>
        <w:t>As seen in Table 3 below, vehicle volume (SMP) surged from 77.7 million in 2019 to 79.1 million in 2020, yet dropped sharply to 4.47 million in 2022 (a -73% decline). This discontinuity is not explainable by economic demand alone and likely reflects data irregularities, policy-induced restrictions, or reporting discontinuities post-COVID.</w:t>
      </w:r>
    </w:p>
    <w:p w14:paraId="7E31D6DB" w14:textId="77777777" w:rsidR="0069712D" w:rsidRPr="0069712D" w:rsidRDefault="0069712D" w:rsidP="0069712D">
      <w:pPr>
        <w:jc w:val="center"/>
        <w:rPr>
          <w:rFonts w:ascii="Arial" w:hAnsi="Arial" w:cs="Arial"/>
          <w:highlight w:val="yellow"/>
        </w:rPr>
      </w:pPr>
    </w:p>
    <w:p w14:paraId="0F401D83" w14:textId="511ED0A3" w:rsidR="0069712D" w:rsidRPr="0069712D" w:rsidRDefault="0069712D" w:rsidP="0069712D">
      <w:pPr>
        <w:jc w:val="center"/>
        <w:rPr>
          <w:rFonts w:ascii="Arial" w:hAnsi="Arial" w:cs="Arial"/>
          <w:highlight w:val="yellow"/>
        </w:rPr>
      </w:pPr>
      <w:r w:rsidRPr="0069712D">
        <w:rPr>
          <w:rFonts w:ascii="Arial" w:hAnsi="Arial" w:cs="Arial"/>
          <w:b/>
          <w:bCs/>
          <w:highlight w:val="yellow"/>
        </w:rPr>
        <w:t xml:space="preserve">Table </w:t>
      </w:r>
      <w:r w:rsidR="00A2268F" w:rsidRPr="00275134">
        <w:rPr>
          <w:rFonts w:ascii="Arial" w:hAnsi="Arial" w:cs="Arial"/>
          <w:b/>
          <w:bCs/>
          <w:highlight w:val="yellow"/>
        </w:rPr>
        <w:t>5</w:t>
      </w:r>
      <w:r w:rsidRPr="0069712D">
        <w:rPr>
          <w:rFonts w:ascii="Arial" w:hAnsi="Arial" w:cs="Arial"/>
          <w:b/>
          <w:bCs/>
          <w:highlight w:val="yellow"/>
        </w:rPr>
        <w:t xml:space="preserve">. </w:t>
      </w:r>
      <w:r w:rsidRPr="0069712D">
        <w:rPr>
          <w:rFonts w:ascii="Arial" w:hAnsi="Arial" w:cs="Arial"/>
          <w:highlight w:val="yellow"/>
        </w:rPr>
        <w:t>Vehicle Volume in SMP and Growth Rate (2016–2022)</w:t>
      </w:r>
    </w:p>
    <w:tbl>
      <w:tblPr>
        <w:tblStyle w:val="TableGrid"/>
        <w:tblW w:w="0" w:type="auto"/>
        <w:jc w:val="center"/>
        <w:tblLook w:val="04A0" w:firstRow="1" w:lastRow="0" w:firstColumn="1" w:lastColumn="0" w:noHBand="0" w:noVBand="1"/>
      </w:tblPr>
      <w:tblGrid>
        <w:gridCol w:w="750"/>
        <w:gridCol w:w="1648"/>
        <w:gridCol w:w="2083"/>
      </w:tblGrid>
      <w:tr w:rsidR="0069712D" w:rsidRPr="0069712D" w14:paraId="64D25110" w14:textId="77777777" w:rsidTr="0069712D">
        <w:trPr>
          <w:jc w:val="center"/>
        </w:trPr>
        <w:tc>
          <w:tcPr>
            <w:tcW w:w="0" w:type="auto"/>
            <w:hideMark/>
          </w:tcPr>
          <w:p w14:paraId="29B8EC87" w14:textId="77777777" w:rsidR="0069712D" w:rsidRPr="0069712D" w:rsidRDefault="0069712D" w:rsidP="0069712D">
            <w:pPr>
              <w:spacing w:after="160" w:line="278" w:lineRule="auto"/>
              <w:jc w:val="both"/>
              <w:rPr>
                <w:rFonts w:ascii="Arial" w:hAnsi="Arial" w:cs="Arial"/>
                <w:b/>
                <w:bCs/>
                <w:highlight w:val="yellow"/>
              </w:rPr>
            </w:pPr>
            <w:r w:rsidRPr="0069712D">
              <w:rPr>
                <w:rFonts w:ascii="Arial" w:hAnsi="Arial" w:cs="Arial"/>
                <w:b/>
                <w:bCs/>
                <w:highlight w:val="yellow"/>
              </w:rPr>
              <w:t>Year</w:t>
            </w:r>
          </w:p>
        </w:tc>
        <w:tc>
          <w:tcPr>
            <w:tcW w:w="0" w:type="auto"/>
            <w:hideMark/>
          </w:tcPr>
          <w:p w14:paraId="3656CAE3" w14:textId="77777777" w:rsidR="0069712D" w:rsidRPr="0069712D" w:rsidRDefault="0069712D" w:rsidP="0069712D">
            <w:pPr>
              <w:spacing w:after="160" w:line="278" w:lineRule="auto"/>
              <w:jc w:val="both"/>
              <w:rPr>
                <w:rFonts w:ascii="Arial" w:hAnsi="Arial" w:cs="Arial"/>
                <w:b/>
                <w:bCs/>
                <w:highlight w:val="yellow"/>
              </w:rPr>
            </w:pPr>
            <w:r w:rsidRPr="0069712D">
              <w:rPr>
                <w:rFonts w:ascii="Arial" w:hAnsi="Arial" w:cs="Arial"/>
                <w:b/>
                <w:bCs/>
                <w:highlight w:val="yellow"/>
              </w:rPr>
              <w:t>SMP Volume</w:t>
            </w:r>
          </w:p>
        </w:tc>
        <w:tc>
          <w:tcPr>
            <w:tcW w:w="0" w:type="auto"/>
            <w:hideMark/>
          </w:tcPr>
          <w:p w14:paraId="3AB24A1F" w14:textId="77777777" w:rsidR="0069712D" w:rsidRPr="0069712D" w:rsidRDefault="0069712D" w:rsidP="0069712D">
            <w:pPr>
              <w:spacing w:after="160" w:line="278" w:lineRule="auto"/>
              <w:jc w:val="both"/>
              <w:rPr>
                <w:rFonts w:ascii="Arial" w:hAnsi="Arial" w:cs="Arial"/>
                <w:b/>
                <w:bCs/>
                <w:highlight w:val="yellow"/>
              </w:rPr>
            </w:pPr>
            <w:r w:rsidRPr="0069712D">
              <w:rPr>
                <w:rFonts w:ascii="Arial" w:hAnsi="Arial" w:cs="Arial"/>
                <w:b/>
                <w:bCs/>
                <w:highlight w:val="yellow"/>
              </w:rPr>
              <w:t>Growth Rate (%)</w:t>
            </w:r>
          </w:p>
        </w:tc>
      </w:tr>
      <w:tr w:rsidR="0069712D" w:rsidRPr="0069712D" w14:paraId="2AF5E1D5" w14:textId="77777777" w:rsidTr="0069712D">
        <w:trPr>
          <w:jc w:val="center"/>
        </w:trPr>
        <w:tc>
          <w:tcPr>
            <w:tcW w:w="0" w:type="auto"/>
            <w:hideMark/>
          </w:tcPr>
          <w:p w14:paraId="737CCFCA"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2016</w:t>
            </w:r>
          </w:p>
        </w:tc>
        <w:tc>
          <w:tcPr>
            <w:tcW w:w="0" w:type="auto"/>
            <w:hideMark/>
          </w:tcPr>
          <w:p w14:paraId="163C77B0"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65,348,980</w:t>
            </w:r>
          </w:p>
        </w:tc>
        <w:tc>
          <w:tcPr>
            <w:tcW w:w="0" w:type="auto"/>
            <w:hideMark/>
          </w:tcPr>
          <w:p w14:paraId="28C865CB"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w:t>
            </w:r>
          </w:p>
        </w:tc>
      </w:tr>
      <w:tr w:rsidR="0069712D" w:rsidRPr="0069712D" w14:paraId="2B0FEFF3" w14:textId="77777777" w:rsidTr="0069712D">
        <w:trPr>
          <w:jc w:val="center"/>
        </w:trPr>
        <w:tc>
          <w:tcPr>
            <w:tcW w:w="0" w:type="auto"/>
            <w:hideMark/>
          </w:tcPr>
          <w:p w14:paraId="35E56DFD"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lastRenderedPageBreak/>
              <w:t>2017</w:t>
            </w:r>
          </w:p>
        </w:tc>
        <w:tc>
          <w:tcPr>
            <w:tcW w:w="0" w:type="auto"/>
            <w:hideMark/>
          </w:tcPr>
          <w:p w14:paraId="3DB952EF"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69,249,303.5</w:t>
            </w:r>
          </w:p>
        </w:tc>
        <w:tc>
          <w:tcPr>
            <w:tcW w:w="0" w:type="auto"/>
            <w:hideMark/>
          </w:tcPr>
          <w:p w14:paraId="09AF745E"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+5.90%</w:t>
            </w:r>
          </w:p>
        </w:tc>
      </w:tr>
      <w:tr w:rsidR="0069712D" w:rsidRPr="0069712D" w14:paraId="026AC2C4" w14:textId="77777777" w:rsidTr="0069712D">
        <w:trPr>
          <w:jc w:val="center"/>
        </w:trPr>
        <w:tc>
          <w:tcPr>
            <w:tcW w:w="0" w:type="auto"/>
            <w:hideMark/>
          </w:tcPr>
          <w:p w14:paraId="1D7500CA"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2018</w:t>
            </w:r>
          </w:p>
        </w:tc>
        <w:tc>
          <w:tcPr>
            <w:tcW w:w="0" w:type="auto"/>
            <w:hideMark/>
          </w:tcPr>
          <w:p w14:paraId="2CAC121C"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73,625,544</w:t>
            </w:r>
          </w:p>
        </w:tc>
        <w:tc>
          <w:tcPr>
            <w:tcW w:w="0" w:type="auto"/>
            <w:hideMark/>
          </w:tcPr>
          <w:p w14:paraId="603F9602"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+12.60%</w:t>
            </w:r>
          </w:p>
        </w:tc>
      </w:tr>
      <w:tr w:rsidR="0069712D" w:rsidRPr="0069712D" w14:paraId="66E08214" w14:textId="77777777" w:rsidTr="0069712D">
        <w:trPr>
          <w:jc w:val="center"/>
        </w:trPr>
        <w:tc>
          <w:tcPr>
            <w:tcW w:w="0" w:type="auto"/>
            <w:hideMark/>
          </w:tcPr>
          <w:p w14:paraId="54BE8C3A"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2019</w:t>
            </w:r>
          </w:p>
        </w:tc>
        <w:tc>
          <w:tcPr>
            <w:tcW w:w="0" w:type="auto"/>
            <w:hideMark/>
          </w:tcPr>
          <w:p w14:paraId="2D1681AA"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77,694,582</w:t>
            </w:r>
          </w:p>
        </w:tc>
        <w:tc>
          <w:tcPr>
            <w:tcW w:w="0" w:type="auto"/>
            <w:hideMark/>
          </w:tcPr>
          <w:p w14:paraId="53791326"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+18.80%</w:t>
            </w:r>
          </w:p>
        </w:tc>
      </w:tr>
      <w:tr w:rsidR="0069712D" w:rsidRPr="0069712D" w14:paraId="603F986B" w14:textId="77777777" w:rsidTr="0069712D">
        <w:trPr>
          <w:jc w:val="center"/>
        </w:trPr>
        <w:tc>
          <w:tcPr>
            <w:tcW w:w="0" w:type="auto"/>
            <w:hideMark/>
          </w:tcPr>
          <w:p w14:paraId="4DEB1AF9"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2020</w:t>
            </w:r>
          </w:p>
        </w:tc>
        <w:tc>
          <w:tcPr>
            <w:tcW w:w="0" w:type="auto"/>
            <w:hideMark/>
          </w:tcPr>
          <w:p w14:paraId="4F7696E7"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79,092,453.5</w:t>
            </w:r>
          </w:p>
        </w:tc>
        <w:tc>
          <w:tcPr>
            <w:tcW w:w="0" w:type="auto"/>
            <w:hideMark/>
          </w:tcPr>
          <w:p w14:paraId="1387EA99"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+21.00%</w:t>
            </w:r>
          </w:p>
        </w:tc>
      </w:tr>
      <w:tr w:rsidR="0069712D" w:rsidRPr="0069712D" w14:paraId="730C178C" w14:textId="77777777" w:rsidTr="0069712D">
        <w:trPr>
          <w:jc w:val="center"/>
        </w:trPr>
        <w:tc>
          <w:tcPr>
            <w:tcW w:w="0" w:type="auto"/>
            <w:hideMark/>
          </w:tcPr>
          <w:p w14:paraId="02C71A7D"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2021</w:t>
            </w:r>
          </w:p>
        </w:tc>
        <w:tc>
          <w:tcPr>
            <w:tcW w:w="0" w:type="auto"/>
            <w:hideMark/>
          </w:tcPr>
          <w:p w14:paraId="2B4FEA2E"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82,446,556</w:t>
            </w:r>
          </w:p>
        </w:tc>
        <w:tc>
          <w:tcPr>
            <w:tcW w:w="0" w:type="auto"/>
            <w:hideMark/>
          </w:tcPr>
          <w:p w14:paraId="33D7A61B"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+26.00%</w:t>
            </w:r>
          </w:p>
        </w:tc>
      </w:tr>
      <w:tr w:rsidR="0069712D" w:rsidRPr="0069712D" w14:paraId="067D31BE" w14:textId="77777777" w:rsidTr="0069712D">
        <w:trPr>
          <w:jc w:val="center"/>
        </w:trPr>
        <w:tc>
          <w:tcPr>
            <w:tcW w:w="0" w:type="auto"/>
            <w:hideMark/>
          </w:tcPr>
          <w:p w14:paraId="31F0497A"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2022</w:t>
            </w:r>
          </w:p>
        </w:tc>
        <w:tc>
          <w:tcPr>
            <w:tcW w:w="0" w:type="auto"/>
            <w:hideMark/>
          </w:tcPr>
          <w:p w14:paraId="6A3F8B49"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b/>
                <w:bCs/>
                <w:highlight w:val="yellow"/>
              </w:rPr>
              <w:t>4,471,566</w:t>
            </w:r>
          </w:p>
        </w:tc>
        <w:tc>
          <w:tcPr>
            <w:tcW w:w="0" w:type="auto"/>
            <w:hideMark/>
          </w:tcPr>
          <w:p w14:paraId="22CF51AD"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b/>
                <w:bCs/>
                <w:highlight w:val="yellow"/>
              </w:rPr>
              <w:t>−73.00%</w:t>
            </w:r>
          </w:p>
        </w:tc>
      </w:tr>
    </w:tbl>
    <w:p w14:paraId="2A7450E8" w14:textId="24999B15" w:rsidR="0069712D" w:rsidRPr="0069712D" w:rsidRDefault="0069712D" w:rsidP="0069712D">
      <w:pPr>
        <w:jc w:val="both"/>
        <w:rPr>
          <w:rFonts w:ascii="Arial" w:hAnsi="Arial" w:cs="Arial"/>
          <w:highlight w:val="yellow"/>
        </w:rPr>
      </w:pPr>
      <w:r w:rsidRPr="0069712D">
        <w:rPr>
          <w:rFonts w:ascii="Arial" w:hAnsi="Arial" w:cs="Arial"/>
          <w:i/>
          <w:iCs/>
          <w:highlight w:val="yellow"/>
        </w:rPr>
        <w:t>Source: Compiled from Author’s Analysis (2025)</w:t>
      </w:r>
    </w:p>
    <w:p w14:paraId="4B5098C4" w14:textId="77777777" w:rsidR="0069712D" w:rsidRPr="0069712D" w:rsidRDefault="0069712D" w:rsidP="0069712D">
      <w:pPr>
        <w:jc w:val="both"/>
        <w:rPr>
          <w:rFonts w:ascii="Arial" w:hAnsi="Arial" w:cs="Arial"/>
          <w:highlight w:val="yellow"/>
        </w:rPr>
      </w:pPr>
      <w:r w:rsidRPr="0069712D">
        <w:rPr>
          <w:rFonts w:ascii="Arial" w:hAnsi="Arial" w:cs="Arial"/>
          <w:highlight w:val="yellow"/>
        </w:rPr>
        <w:t>3.3.2 Explaining the 2022 Collapse</w:t>
      </w:r>
    </w:p>
    <w:p w14:paraId="6E0171CA" w14:textId="77777777" w:rsidR="0069712D" w:rsidRPr="0069712D" w:rsidRDefault="0069712D" w:rsidP="0069712D">
      <w:pPr>
        <w:jc w:val="both"/>
        <w:rPr>
          <w:rFonts w:ascii="Arial" w:hAnsi="Arial" w:cs="Arial"/>
          <w:highlight w:val="yellow"/>
        </w:rPr>
      </w:pPr>
      <w:r w:rsidRPr="0069712D">
        <w:rPr>
          <w:rFonts w:ascii="Arial" w:hAnsi="Arial" w:cs="Arial"/>
          <w:highlight w:val="yellow"/>
        </w:rPr>
        <w:t>The precipitous decline in vehicle volume and MSME numbers in 2022 may be linked to the lingering effects of the pandemic, particularly:</w:t>
      </w:r>
    </w:p>
    <w:p w14:paraId="48774360" w14:textId="77777777" w:rsidR="0069712D" w:rsidRPr="0069712D" w:rsidRDefault="0069712D" w:rsidP="0069712D">
      <w:pPr>
        <w:numPr>
          <w:ilvl w:val="0"/>
          <w:numId w:val="12"/>
        </w:numPr>
        <w:jc w:val="both"/>
        <w:rPr>
          <w:rFonts w:ascii="Arial" w:hAnsi="Arial" w:cs="Arial"/>
          <w:highlight w:val="yellow"/>
        </w:rPr>
      </w:pPr>
      <w:r w:rsidRPr="0069712D">
        <w:rPr>
          <w:rFonts w:ascii="Arial" w:hAnsi="Arial" w:cs="Arial"/>
          <w:highlight w:val="yellow"/>
        </w:rPr>
        <w:t>Supply chain disruptions, affecting both logistics flow and vehicle registrations;</w:t>
      </w:r>
    </w:p>
    <w:p w14:paraId="2260906B" w14:textId="77777777" w:rsidR="0069712D" w:rsidRPr="0069712D" w:rsidRDefault="0069712D" w:rsidP="0069712D">
      <w:pPr>
        <w:numPr>
          <w:ilvl w:val="0"/>
          <w:numId w:val="12"/>
        </w:numPr>
        <w:jc w:val="both"/>
        <w:rPr>
          <w:rFonts w:ascii="Arial" w:hAnsi="Arial" w:cs="Arial"/>
          <w:highlight w:val="yellow"/>
        </w:rPr>
      </w:pPr>
      <w:r w:rsidRPr="0069712D">
        <w:rPr>
          <w:rFonts w:ascii="Arial" w:hAnsi="Arial" w:cs="Arial"/>
          <w:highlight w:val="yellow"/>
        </w:rPr>
        <w:t>Budget reallocations, leading to deferred maintenance or road usage suppression;</w:t>
      </w:r>
    </w:p>
    <w:p w14:paraId="6D912AD7" w14:textId="77777777" w:rsidR="0069712D" w:rsidRPr="0069712D" w:rsidRDefault="0069712D" w:rsidP="0069712D">
      <w:pPr>
        <w:numPr>
          <w:ilvl w:val="0"/>
          <w:numId w:val="12"/>
        </w:numPr>
        <w:jc w:val="both"/>
        <w:rPr>
          <w:rFonts w:ascii="Arial" w:hAnsi="Arial" w:cs="Arial"/>
          <w:highlight w:val="yellow"/>
        </w:rPr>
      </w:pPr>
      <w:r w:rsidRPr="0069712D">
        <w:rPr>
          <w:rFonts w:ascii="Arial" w:hAnsi="Arial" w:cs="Arial"/>
          <w:highlight w:val="yellow"/>
        </w:rPr>
        <w:t>Data discrepancies, as noted by inconsistent reporting in 2022 datasets compared to previous years.</w:t>
      </w:r>
    </w:p>
    <w:p w14:paraId="75256F5E" w14:textId="77777777" w:rsidR="0069712D" w:rsidRPr="0069712D" w:rsidRDefault="0069712D" w:rsidP="0069712D">
      <w:pPr>
        <w:jc w:val="both"/>
        <w:rPr>
          <w:rFonts w:ascii="Arial" w:hAnsi="Arial" w:cs="Arial"/>
          <w:highlight w:val="yellow"/>
        </w:rPr>
      </w:pPr>
      <w:r w:rsidRPr="0069712D">
        <w:rPr>
          <w:rFonts w:ascii="Arial" w:hAnsi="Arial" w:cs="Arial"/>
          <w:highlight w:val="yellow"/>
        </w:rPr>
        <w:t>While infrastructure (stock) remained stable, its effective utilization was impaired, highlighting a common phenomenon in crisis-affected regions: the decoupling of infrastructure availability from economic function (Handoko et al., 2023).</w:t>
      </w:r>
    </w:p>
    <w:p w14:paraId="382E4D54" w14:textId="4FE31562" w:rsidR="0069712D" w:rsidRPr="0069712D" w:rsidRDefault="0069712D" w:rsidP="0069712D">
      <w:pPr>
        <w:jc w:val="both"/>
        <w:rPr>
          <w:rFonts w:ascii="Arial" w:hAnsi="Arial" w:cs="Arial"/>
          <w:highlight w:val="yellow"/>
        </w:rPr>
      </w:pPr>
    </w:p>
    <w:p w14:paraId="635963CF" w14:textId="77777777" w:rsidR="0069712D" w:rsidRPr="0069712D" w:rsidRDefault="0069712D" w:rsidP="0069712D">
      <w:pPr>
        <w:jc w:val="both"/>
        <w:rPr>
          <w:rFonts w:ascii="Arial" w:hAnsi="Arial" w:cs="Arial"/>
          <w:highlight w:val="yellow"/>
        </w:rPr>
      </w:pPr>
      <w:r w:rsidRPr="0069712D">
        <w:rPr>
          <w:rFonts w:ascii="Arial" w:hAnsi="Arial" w:cs="Arial"/>
          <w:highlight w:val="yellow"/>
        </w:rPr>
        <w:t>3.3.3 Employment and MSME Volatility</w:t>
      </w:r>
    </w:p>
    <w:p w14:paraId="7756E34C" w14:textId="77777777" w:rsidR="0069712D" w:rsidRPr="0069712D" w:rsidRDefault="0069712D" w:rsidP="0069712D">
      <w:pPr>
        <w:jc w:val="both"/>
        <w:rPr>
          <w:rFonts w:ascii="Arial" w:hAnsi="Arial" w:cs="Arial"/>
          <w:highlight w:val="yellow"/>
        </w:rPr>
      </w:pPr>
      <w:r w:rsidRPr="0069712D">
        <w:rPr>
          <w:rFonts w:ascii="Arial" w:hAnsi="Arial" w:cs="Arial"/>
          <w:highlight w:val="yellow"/>
        </w:rPr>
        <w:t>Despite increases in road length and steady employment rate (~94–95%), the MSME sector experienced shock-driven volatility. After a peak in 2020 (+115.4%), growth stalled and contracted in subsequent years (−12.7% in 2021, −9.3% in 2022). This suggests that the pandemic triggered initial resilience strategies (e.g., informal MSME proliferation), followed by a period of contraction due to market saturation or financing fatigue.</w:t>
      </w:r>
    </w:p>
    <w:p w14:paraId="5B5AD86A" w14:textId="0401FFAE" w:rsidR="0069712D" w:rsidRPr="0069712D" w:rsidRDefault="0069712D" w:rsidP="0069712D">
      <w:pPr>
        <w:jc w:val="both"/>
        <w:rPr>
          <w:rFonts w:ascii="Arial" w:hAnsi="Arial" w:cs="Arial"/>
          <w:highlight w:val="yellow"/>
        </w:rPr>
      </w:pPr>
      <w:r w:rsidRPr="0069712D">
        <w:rPr>
          <w:rFonts w:ascii="Arial" w:hAnsi="Arial" w:cs="Arial"/>
          <w:highlight w:val="yellow"/>
        </w:rPr>
        <w:t xml:space="preserve">This phenomenon confirms arguments made by </w:t>
      </w:r>
      <w:r w:rsidRPr="0069712D">
        <w:rPr>
          <w:rFonts w:ascii="Arial" w:hAnsi="Arial" w:cs="Arial"/>
          <w:i/>
          <w:iCs/>
          <w:highlight w:val="yellow"/>
        </w:rPr>
        <w:t>Nugroho (2023)</w:t>
      </w:r>
      <w:r w:rsidRPr="0069712D">
        <w:rPr>
          <w:rFonts w:ascii="Arial" w:hAnsi="Arial" w:cs="Arial"/>
          <w:highlight w:val="yellow"/>
        </w:rPr>
        <w:t xml:space="preserve"> regarding the importance of resilient ecosystems beyond infrastructure—including digital integration, access to finance, and regulatory support—for MSME survivability post-crisis.</w:t>
      </w:r>
    </w:p>
    <w:p w14:paraId="74C932ED" w14:textId="77777777" w:rsidR="00600BB5" w:rsidRPr="00600BB5" w:rsidRDefault="00600BB5" w:rsidP="00600BB5">
      <w:pPr>
        <w:jc w:val="both"/>
        <w:rPr>
          <w:rFonts w:ascii="Arial" w:hAnsi="Arial" w:cs="Arial"/>
          <w:highlight w:val="yellow"/>
        </w:rPr>
      </w:pPr>
      <w:r w:rsidRPr="00600BB5">
        <w:rPr>
          <w:rFonts w:ascii="Arial" w:hAnsi="Arial" w:cs="Arial"/>
          <w:highlight w:val="yellow"/>
        </w:rPr>
        <w:t>3.4 Temporal Dynamics of Economic and Infrastructure Development (2016–2022)</w:t>
      </w:r>
    </w:p>
    <w:p w14:paraId="65B3A23C" w14:textId="77777777" w:rsidR="00600BB5" w:rsidRPr="00600BB5" w:rsidRDefault="00600BB5" w:rsidP="00600BB5">
      <w:pPr>
        <w:jc w:val="both"/>
        <w:rPr>
          <w:rFonts w:ascii="Arial" w:hAnsi="Arial" w:cs="Arial"/>
          <w:highlight w:val="yellow"/>
        </w:rPr>
      </w:pPr>
      <w:r w:rsidRPr="00600BB5">
        <w:rPr>
          <w:rFonts w:ascii="Arial" w:hAnsi="Arial" w:cs="Arial"/>
          <w:highlight w:val="yellow"/>
        </w:rPr>
        <w:t xml:space="preserve">This section presents a longitudinal assessment of key economic and infrastructure indicators in </w:t>
      </w:r>
      <w:proofErr w:type="spellStart"/>
      <w:r w:rsidRPr="00600BB5">
        <w:rPr>
          <w:rFonts w:ascii="Arial" w:hAnsi="Arial" w:cs="Arial"/>
          <w:highlight w:val="yellow"/>
        </w:rPr>
        <w:t>Simalungun</w:t>
      </w:r>
      <w:proofErr w:type="spellEnd"/>
      <w:r w:rsidRPr="00600BB5">
        <w:rPr>
          <w:rFonts w:ascii="Arial" w:hAnsi="Arial" w:cs="Arial"/>
          <w:highlight w:val="yellow"/>
        </w:rPr>
        <w:t xml:space="preserve"> Regency. Five critical variables were selected based on availability and relevance: Weighted Road Length, Vehicle Volume (SMP), GRDP (at </w:t>
      </w:r>
      <w:r w:rsidRPr="00600BB5">
        <w:rPr>
          <w:rFonts w:ascii="Arial" w:hAnsi="Arial" w:cs="Arial"/>
          <w:highlight w:val="yellow"/>
        </w:rPr>
        <w:lastRenderedPageBreak/>
        <w:t>constant prices), Employment Rate, and MSME Growth. Growth rates were computed on a year-over-year basis to evaluate structural changes and crisis-induced anomalies between 2016 and 2022.</w:t>
      </w:r>
    </w:p>
    <w:p w14:paraId="3763C69E" w14:textId="7A3B7AF0" w:rsidR="00600BB5" w:rsidRPr="00600BB5" w:rsidRDefault="00600BB5" w:rsidP="00600BB5">
      <w:pPr>
        <w:jc w:val="both"/>
        <w:rPr>
          <w:rFonts w:ascii="Arial" w:hAnsi="Arial" w:cs="Arial"/>
          <w:highlight w:val="yellow"/>
        </w:rPr>
      </w:pPr>
    </w:p>
    <w:p w14:paraId="09C767AE" w14:textId="162BC1CA" w:rsidR="00600BB5" w:rsidRPr="00600BB5" w:rsidRDefault="00600BB5" w:rsidP="00A2268F">
      <w:pPr>
        <w:jc w:val="center"/>
        <w:rPr>
          <w:rFonts w:ascii="Arial" w:hAnsi="Arial" w:cs="Arial"/>
          <w:highlight w:val="yellow"/>
        </w:rPr>
      </w:pPr>
      <w:r w:rsidRPr="00600BB5">
        <w:rPr>
          <w:rFonts w:ascii="Arial" w:hAnsi="Arial" w:cs="Arial"/>
          <w:b/>
          <w:bCs/>
          <w:highlight w:val="yellow"/>
        </w:rPr>
        <w:t xml:space="preserve">Table </w:t>
      </w:r>
      <w:r w:rsidR="00A2268F" w:rsidRPr="00275134">
        <w:rPr>
          <w:rFonts w:ascii="Arial" w:hAnsi="Arial" w:cs="Arial"/>
          <w:b/>
          <w:bCs/>
          <w:highlight w:val="yellow"/>
        </w:rPr>
        <w:t>6</w:t>
      </w:r>
      <w:r w:rsidRPr="00600BB5">
        <w:rPr>
          <w:rFonts w:ascii="Arial" w:hAnsi="Arial" w:cs="Arial"/>
          <w:b/>
          <w:bCs/>
          <w:highlight w:val="yellow"/>
        </w:rPr>
        <w:t xml:space="preserve">. </w:t>
      </w:r>
      <w:r w:rsidRPr="00600BB5">
        <w:rPr>
          <w:rFonts w:ascii="Arial" w:hAnsi="Arial" w:cs="Arial"/>
          <w:highlight w:val="yellow"/>
        </w:rPr>
        <w:t xml:space="preserve">Growth Trends of Key Variables in </w:t>
      </w:r>
      <w:proofErr w:type="spellStart"/>
      <w:r w:rsidRPr="00600BB5">
        <w:rPr>
          <w:rFonts w:ascii="Arial" w:hAnsi="Arial" w:cs="Arial"/>
          <w:highlight w:val="yellow"/>
        </w:rPr>
        <w:t>Simalungun</w:t>
      </w:r>
      <w:proofErr w:type="spellEnd"/>
      <w:r w:rsidRPr="00600BB5">
        <w:rPr>
          <w:rFonts w:ascii="Arial" w:hAnsi="Arial" w:cs="Arial"/>
          <w:highlight w:val="yellow"/>
        </w:rPr>
        <w:t xml:space="preserve"> Regency (2016–2022)</w:t>
      </w:r>
    </w:p>
    <w:tbl>
      <w:tblPr>
        <w:tblStyle w:val="TableGrid"/>
        <w:tblW w:w="0" w:type="auto"/>
        <w:tblLook w:val="04A0" w:firstRow="1" w:lastRow="0" w:firstColumn="1" w:lastColumn="0" w:noHBand="0" w:noVBand="1"/>
      </w:tblPr>
      <w:tblGrid>
        <w:gridCol w:w="750"/>
        <w:gridCol w:w="1750"/>
        <w:gridCol w:w="1855"/>
        <w:gridCol w:w="1477"/>
        <w:gridCol w:w="2019"/>
        <w:gridCol w:w="1499"/>
      </w:tblGrid>
      <w:tr w:rsidR="00600BB5" w:rsidRPr="00600BB5" w14:paraId="0CA423D5" w14:textId="77777777" w:rsidTr="00600BB5">
        <w:tc>
          <w:tcPr>
            <w:tcW w:w="0" w:type="auto"/>
            <w:hideMark/>
          </w:tcPr>
          <w:p w14:paraId="41E12E3D" w14:textId="77777777" w:rsidR="00600BB5" w:rsidRPr="00600BB5" w:rsidRDefault="00600BB5" w:rsidP="00600BB5">
            <w:pPr>
              <w:spacing w:after="160" w:line="278" w:lineRule="auto"/>
              <w:jc w:val="both"/>
              <w:rPr>
                <w:rFonts w:ascii="Arial" w:hAnsi="Arial" w:cs="Arial"/>
                <w:b/>
                <w:bCs/>
                <w:highlight w:val="yellow"/>
              </w:rPr>
            </w:pPr>
            <w:r w:rsidRPr="00600BB5">
              <w:rPr>
                <w:rFonts w:ascii="Arial" w:hAnsi="Arial" w:cs="Arial"/>
                <w:b/>
                <w:bCs/>
                <w:highlight w:val="yellow"/>
              </w:rPr>
              <w:t>Year</w:t>
            </w:r>
          </w:p>
        </w:tc>
        <w:tc>
          <w:tcPr>
            <w:tcW w:w="0" w:type="auto"/>
            <w:hideMark/>
          </w:tcPr>
          <w:p w14:paraId="76B7C48E" w14:textId="77777777" w:rsidR="00600BB5" w:rsidRPr="00600BB5" w:rsidRDefault="00600BB5" w:rsidP="00600BB5">
            <w:pPr>
              <w:spacing w:after="160" w:line="278" w:lineRule="auto"/>
              <w:jc w:val="both"/>
              <w:rPr>
                <w:rFonts w:ascii="Arial" w:hAnsi="Arial" w:cs="Arial"/>
                <w:b/>
                <w:bCs/>
                <w:highlight w:val="yellow"/>
              </w:rPr>
            </w:pPr>
            <w:r w:rsidRPr="00600BB5">
              <w:rPr>
                <w:rFonts w:ascii="Arial" w:hAnsi="Arial" w:cs="Arial"/>
                <w:b/>
                <w:bCs/>
                <w:highlight w:val="yellow"/>
              </w:rPr>
              <w:t>Road Length Growth (%)</w:t>
            </w:r>
          </w:p>
        </w:tc>
        <w:tc>
          <w:tcPr>
            <w:tcW w:w="0" w:type="auto"/>
            <w:hideMark/>
          </w:tcPr>
          <w:p w14:paraId="02FC7918" w14:textId="77777777" w:rsidR="00600BB5" w:rsidRPr="00600BB5" w:rsidRDefault="00600BB5" w:rsidP="00600BB5">
            <w:pPr>
              <w:spacing w:after="160" w:line="278" w:lineRule="auto"/>
              <w:jc w:val="both"/>
              <w:rPr>
                <w:rFonts w:ascii="Arial" w:hAnsi="Arial" w:cs="Arial"/>
                <w:b/>
                <w:bCs/>
                <w:highlight w:val="yellow"/>
              </w:rPr>
            </w:pPr>
            <w:r w:rsidRPr="00600BB5">
              <w:rPr>
                <w:rFonts w:ascii="Arial" w:hAnsi="Arial" w:cs="Arial"/>
                <w:b/>
                <w:bCs/>
                <w:highlight w:val="yellow"/>
              </w:rPr>
              <w:t>Vehicle Volume Growth (%)</w:t>
            </w:r>
          </w:p>
        </w:tc>
        <w:tc>
          <w:tcPr>
            <w:tcW w:w="0" w:type="auto"/>
            <w:hideMark/>
          </w:tcPr>
          <w:p w14:paraId="2ABE4AC9" w14:textId="77777777" w:rsidR="00600BB5" w:rsidRPr="00600BB5" w:rsidRDefault="00600BB5" w:rsidP="00600BB5">
            <w:pPr>
              <w:spacing w:after="160" w:line="278" w:lineRule="auto"/>
              <w:jc w:val="both"/>
              <w:rPr>
                <w:rFonts w:ascii="Arial" w:hAnsi="Arial" w:cs="Arial"/>
                <w:b/>
                <w:bCs/>
                <w:highlight w:val="yellow"/>
              </w:rPr>
            </w:pPr>
            <w:r w:rsidRPr="00600BB5">
              <w:rPr>
                <w:rFonts w:ascii="Arial" w:hAnsi="Arial" w:cs="Arial"/>
                <w:b/>
                <w:bCs/>
                <w:highlight w:val="yellow"/>
              </w:rPr>
              <w:t>GRDP Growth (%)</w:t>
            </w:r>
          </w:p>
        </w:tc>
        <w:tc>
          <w:tcPr>
            <w:tcW w:w="0" w:type="auto"/>
            <w:hideMark/>
          </w:tcPr>
          <w:p w14:paraId="6147DC48" w14:textId="77777777" w:rsidR="00600BB5" w:rsidRPr="00600BB5" w:rsidRDefault="00600BB5" w:rsidP="00600BB5">
            <w:pPr>
              <w:spacing w:after="160" w:line="278" w:lineRule="auto"/>
              <w:jc w:val="both"/>
              <w:rPr>
                <w:rFonts w:ascii="Arial" w:hAnsi="Arial" w:cs="Arial"/>
                <w:b/>
                <w:bCs/>
                <w:highlight w:val="yellow"/>
              </w:rPr>
            </w:pPr>
            <w:r w:rsidRPr="00600BB5">
              <w:rPr>
                <w:rFonts w:ascii="Arial" w:hAnsi="Arial" w:cs="Arial"/>
                <w:b/>
                <w:bCs/>
                <w:highlight w:val="yellow"/>
              </w:rPr>
              <w:t>Employment Rate (%)</w:t>
            </w:r>
          </w:p>
        </w:tc>
        <w:tc>
          <w:tcPr>
            <w:tcW w:w="0" w:type="auto"/>
            <w:hideMark/>
          </w:tcPr>
          <w:p w14:paraId="1CDAB024" w14:textId="77777777" w:rsidR="00600BB5" w:rsidRPr="00600BB5" w:rsidRDefault="00600BB5" w:rsidP="00600BB5">
            <w:pPr>
              <w:spacing w:after="160" w:line="278" w:lineRule="auto"/>
              <w:jc w:val="both"/>
              <w:rPr>
                <w:rFonts w:ascii="Arial" w:hAnsi="Arial" w:cs="Arial"/>
                <w:b/>
                <w:bCs/>
                <w:highlight w:val="yellow"/>
              </w:rPr>
            </w:pPr>
            <w:r w:rsidRPr="00600BB5">
              <w:rPr>
                <w:rFonts w:ascii="Arial" w:hAnsi="Arial" w:cs="Arial"/>
                <w:b/>
                <w:bCs/>
                <w:highlight w:val="yellow"/>
              </w:rPr>
              <w:t>MSME Growth (%)</w:t>
            </w:r>
          </w:p>
        </w:tc>
      </w:tr>
      <w:tr w:rsidR="00600BB5" w:rsidRPr="00600BB5" w14:paraId="41529310" w14:textId="77777777" w:rsidTr="00600BB5">
        <w:tc>
          <w:tcPr>
            <w:tcW w:w="0" w:type="auto"/>
            <w:hideMark/>
          </w:tcPr>
          <w:p w14:paraId="0FFF5230"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2016</w:t>
            </w:r>
          </w:p>
        </w:tc>
        <w:tc>
          <w:tcPr>
            <w:tcW w:w="0" w:type="auto"/>
            <w:hideMark/>
          </w:tcPr>
          <w:p w14:paraId="5100AA91"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w:t>
            </w:r>
          </w:p>
        </w:tc>
        <w:tc>
          <w:tcPr>
            <w:tcW w:w="0" w:type="auto"/>
            <w:hideMark/>
          </w:tcPr>
          <w:p w14:paraId="219C602F"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w:t>
            </w:r>
          </w:p>
        </w:tc>
        <w:tc>
          <w:tcPr>
            <w:tcW w:w="0" w:type="auto"/>
            <w:hideMark/>
          </w:tcPr>
          <w:p w14:paraId="0722A6F2"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w:t>
            </w:r>
          </w:p>
        </w:tc>
        <w:tc>
          <w:tcPr>
            <w:tcW w:w="0" w:type="auto"/>
            <w:hideMark/>
          </w:tcPr>
          <w:p w14:paraId="576B4A69"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94.38</w:t>
            </w:r>
          </w:p>
        </w:tc>
        <w:tc>
          <w:tcPr>
            <w:tcW w:w="0" w:type="auto"/>
            <w:hideMark/>
          </w:tcPr>
          <w:p w14:paraId="4A127656"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w:t>
            </w:r>
          </w:p>
        </w:tc>
      </w:tr>
      <w:tr w:rsidR="00600BB5" w:rsidRPr="00600BB5" w14:paraId="3B851A82" w14:textId="77777777" w:rsidTr="00600BB5">
        <w:tc>
          <w:tcPr>
            <w:tcW w:w="0" w:type="auto"/>
            <w:hideMark/>
          </w:tcPr>
          <w:p w14:paraId="17E0B424"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2017</w:t>
            </w:r>
          </w:p>
        </w:tc>
        <w:tc>
          <w:tcPr>
            <w:tcW w:w="0" w:type="auto"/>
            <w:hideMark/>
          </w:tcPr>
          <w:p w14:paraId="226B8F10"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0.00</w:t>
            </w:r>
          </w:p>
        </w:tc>
        <w:tc>
          <w:tcPr>
            <w:tcW w:w="0" w:type="auto"/>
            <w:hideMark/>
          </w:tcPr>
          <w:p w14:paraId="135C2551"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+5.90</w:t>
            </w:r>
          </w:p>
        </w:tc>
        <w:tc>
          <w:tcPr>
            <w:tcW w:w="0" w:type="auto"/>
            <w:hideMark/>
          </w:tcPr>
          <w:p w14:paraId="5110595C"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+5.10</w:t>
            </w:r>
          </w:p>
        </w:tc>
        <w:tc>
          <w:tcPr>
            <w:tcW w:w="0" w:type="auto"/>
            <w:hideMark/>
          </w:tcPr>
          <w:p w14:paraId="7B40FC74"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94.38</w:t>
            </w:r>
          </w:p>
        </w:tc>
        <w:tc>
          <w:tcPr>
            <w:tcW w:w="0" w:type="auto"/>
            <w:hideMark/>
          </w:tcPr>
          <w:p w14:paraId="0721ECC6"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w:t>
            </w:r>
          </w:p>
        </w:tc>
      </w:tr>
      <w:tr w:rsidR="00600BB5" w:rsidRPr="00600BB5" w14:paraId="2D35413B" w14:textId="77777777" w:rsidTr="00600BB5">
        <w:tc>
          <w:tcPr>
            <w:tcW w:w="0" w:type="auto"/>
            <w:hideMark/>
          </w:tcPr>
          <w:p w14:paraId="7C56B800"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2018</w:t>
            </w:r>
          </w:p>
        </w:tc>
        <w:tc>
          <w:tcPr>
            <w:tcW w:w="0" w:type="auto"/>
            <w:hideMark/>
          </w:tcPr>
          <w:p w14:paraId="25DDE2D8"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0.00</w:t>
            </w:r>
          </w:p>
        </w:tc>
        <w:tc>
          <w:tcPr>
            <w:tcW w:w="0" w:type="auto"/>
            <w:hideMark/>
          </w:tcPr>
          <w:p w14:paraId="4C544246"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+12.60</w:t>
            </w:r>
          </w:p>
        </w:tc>
        <w:tc>
          <w:tcPr>
            <w:tcW w:w="0" w:type="auto"/>
            <w:hideMark/>
          </w:tcPr>
          <w:p w14:paraId="577F4E0C"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+10.50</w:t>
            </w:r>
          </w:p>
        </w:tc>
        <w:tc>
          <w:tcPr>
            <w:tcW w:w="0" w:type="auto"/>
            <w:hideMark/>
          </w:tcPr>
          <w:p w14:paraId="49E1FB4D"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94.90</w:t>
            </w:r>
          </w:p>
        </w:tc>
        <w:tc>
          <w:tcPr>
            <w:tcW w:w="0" w:type="auto"/>
            <w:hideMark/>
          </w:tcPr>
          <w:p w14:paraId="7D7283BF"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w:t>
            </w:r>
          </w:p>
        </w:tc>
      </w:tr>
      <w:tr w:rsidR="00600BB5" w:rsidRPr="00600BB5" w14:paraId="16B93C4F" w14:textId="77777777" w:rsidTr="00600BB5">
        <w:tc>
          <w:tcPr>
            <w:tcW w:w="0" w:type="auto"/>
            <w:hideMark/>
          </w:tcPr>
          <w:p w14:paraId="6F143E3C"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2019</w:t>
            </w:r>
          </w:p>
        </w:tc>
        <w:tc>
          <w:tcPr>
            <w:tcW w:w="0" w:type="auto"/>
            <w:hideMark/>
          </w:tcPr>
          <w:p w14:paraId="76A480C6"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+32.50</w:t>
            </w:r>
          </w:p>
        </w:tc>
        <w:tc>
          <w:tcPr>
            <w:tcW w:w="0" w:type="auto"/>
            <w:hideMark/>
          </w:tcPr>
          <w:p w14:paraId="1FED2B3C"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+18.80</w:t>
            </w:r>
          </w:p>
        </w:tc>
        <w:tc>
          <w:tcPr>
            <w:tcW w:w="0" w:type="auto"/>
            <w:hideMark/>
          </w:tcPr>
          <w:p w14:paraId="68A067A6"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+16.30</w:t>
            </w:r>
          </w:p>
        </w:tc>
        <w:tc>
          <w:tcPr>
            <w:tcW w:w="0" w:type="auto"/>
            <w:hideMark/>
          </w:tcPr>
          <w:p w14:paraId="6CB536C0"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95.61</w:t>
            </w:r>
          </w:p>
        </w:tc>
        <w:tc>
          <w:tcPr>
            <w:tcW w:w="0" w:type="auto"/>
            <w:hideMark/>
          </w:tcPr>
          <w:p w14:paraId="7F024FB8"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w:t>
            </w:r>
          </w:p>
        </w:tc>
      </w:tr>
      <w:tr w:rsidR="00600BB5" w:rsidRPr="00600BB5" w14:paraId="362BE0BF" w14:textId="77777777" w:rsidTr="00600BB5">
        <w:tc>
          <w:tcPr>
            <w:tcW w:w="0" w:type="auto"/>
            <w:hideMark/>
          </w:tcPr>
          <w:p w14:paraId="5B4B5CEB"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2020</w:t>
            </w:r>
          </w:p>
        </w:tc>
        <w:tc>
          <w:tcPr>
            <w:tcW w:w="0" w:type="auto"/>
            <w:hideMark/>
          </w:tcPr>
          <w:p w14:paraId="75388261"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+24.00</w:t>
            </w:r>
          </w:p>
        </w:tc>
        <w:tc>
          <w:tcPr>
            <w:tcW w:w="0" w:type="auto"/>
            <w:hideMark/>
          </w:tcPr>
          <w:p w14:paraId="13EEA95E"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+21.00</w:t>
            </w:r>
          </w:p>
        </w:tc>
        <w:tc>
          <w:tcPr>
            <w:tcW w:w="0" w:type="auto"/>
            <w:hideMark/>
          </w:tcPr>
          <w:p w14:paraId="45E444CE"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+17.50</w:t>
            </w:r>
          </w:p>
        </w:tc>
        <w:tc>
          <w:tcPr>
            <w:tcW w:w="0" w:type="auto"/>
            <w:hideMark/>
          </w:tcPr>
          <w:p w14:paraId="61305B84"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95.42</w:t>
            </w:r>
          </w:p>
        </w:tc>
        <w:tc>
          <w:tcPr>
            <w:tcW w:w="0" w:type="auto"/>
            <w:hideMark/>
          </w:tcPr>
          <w:p w14:paraId="1733B823"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+115.40</w:t>
            </w:r>
          </w:p>
        </w:tc>
      </w:tr>
      <w:tr w:rsidR="00600BB5" w:rsidRPr="00600BB5" w14:paraId="01DB3449" w14:textId="77777777" w:rsidTr="00600BB5">
        <w:tc>
          <w:tcPr>
            <w:tcW w:w="0" w:type="auto"/>
            <w:hideMark/>
          </w:tcPr>
          <w:p w14:paraId="4C59C48C"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2021</w:t>
            </w:r>
          </w:p>
        </w:tc>
        <w:tc>
          <w:tcPr>
            <w:tcW w:w="0" w:type="auto"/>
            <w:hideMark/>
          </w:tcPr>
          <w:p w14:paraId="2AD5FB70"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−12.40</w:t>
            </w:r>
          </w:p>
        </w:tc>
        <w:tc>
          <w:tcPr>
            <w:tcW w:w="0" w:type="auto"/>
            <w:hideMark/>
          </w:tcPr>
          <w:p w14:paraId="6E1BC396"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+26.00</w:t>
            </w:r>
          </w:p>
        </w:tc>
        <w:tc>
          <w:tcPr>
            <w:tcW w:w="0" w:type="auto"/>
            <w:hideMark/>
          </w:tcPr>
          <w:p w14:paraId="3A2B51C5"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+21.80</w:t>
            </w:r>
          </w:p>
        </w:tc>
        <w:tc>
          <w:tcPr>
            <w:tcW w:w="0" w:type="auto"/>
            <w:hideMark/>
          </w:tcPr>
          <w:p w14:paraId="2AECCB35"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95.42</w:t>
            </w:r>
          </w:p>
        </w:tc>
        <w:tc>
          <w:tcPr>
            <w:tcW w:w="0" w:type="auto"/>
            <w:hideMark/>
          </w:tcPr>
          <w:p w14:paraId="593C8585"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−12.73</w:t>
            </w:r>
          </w:p>
        </w:tc>
      </w:tr>
      <w:tr w:rsidR="00600BB5" w:rsidRPr="00600BB5" w14:paraId="30B96222" w14:textId="77777777" w:rsidTr="00600BB5">
        <w:tc>
          <w:tcPr>
            <w:tcW w:w="0" w:type="auto"/>
            <w:hideMark/>
          </w:tcPr>
          <w:p w14:paraId="51717663"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2022</w:t>
            </w:r>
          </w:p>
        </w:tc>
        <w:tc>
          <w:tcPr>
            <w:tcW w:w="0" w:type="auto"/>
            <w:hideMark/>
          </w:tcPr>
          <w:p w14:paraId="08D791B5"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+4.00</w:t>
            </w:r>
          </w:p>
        </w:tc>
        <w:tc>
          <w:tcPr>
            <w:tcW w:w="0" w:type="auto"/>
            <w:hideMark/>
          </w:tcPr>
          <w:p w14:paraId="50FD79C9"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−73.00</w:t>
            </w:r>
          </w:p>
        </w:tc>
        <w:tc>
          <w:tcPr>
            <w:tcW w:w="0" w:type="auto"/>
            <w:hideMark/>
          </w:tcPr>
          <w:p w14:paraId="2735F43B"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+22.60</w:t>
            </w:r>
          </w:p>
        </w:tc>
        <w:tc>
          <w:tcPr>
            <w:tcW w:w="0" w:type="auto"/>
            <w:hideMark/>
          </w:tcPr>
          <w:p w14:paraId="5BE7379A"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94.49</w:t>
            </w:r>
          </w:p>
        </w:tc>
        <w:tc>
          <w:tcPr>
            <w:tcW w:w="0" w:type="auto"/>
            <w:hideMark/>
          </w:tcPr>
          <w:p w14:paraId="504CE350" w14:textId="77777777" w:rsidR="00600BB5" w:rsidRPr="00600BB5" w:rsidRDefault="00600BB5" w:rsidP="00600BB5">
            <w:pPr>
              <w:spacing w:after="160" w:line="278" w:lineRule="auto"/>
              <w:jc w:val="both"/>
              <w:rPr>
                <w:rFonts w:ascii="Arial" w:hAnsi="Arial" w:cs="Arial"/>
                <w:highlight w:val="yellow"/>
              </w:rPr>
            </w:pPr>
            <w:r w:rsidRPr="00600BB5">
              <w:rPr>
                <w:rFonts w:ascii="Arial" w:hAnsi="Arial" w:cs="Arial"/>
                <w:highlight w:val="yellow"/>
              </w:rPr>
              <w:t>−9.36</w:t>
            </w:r>
          </w:p>
        </w:tc>
      </w:tr>
    </w:tbl>
    <w:p w14:paraId="52F685AC" w14:textId="445E81E2" w:rsidR="00600BB5" w:rsidRPr="00600BB5" w:rsidRDefault="00600BB5" w:rsidP="00600BB5">
      <w:pPr>
        <w:jc w:val="both"/>
        <w:rPr>
          <w:rFonts w:ascii="Arial" w:hAnsi="Arial" w:cs="Arial"/>
          <w:highlight w:val="yellow"/>
        </w:rPr>
      </w:pPr>
      <w:r w:rsidRPr="00600BB5">
        <w:rPr>
          <w:rFonts w:ascii="Arial" w:hAnsi="Arial" w:cs="Arial"/>
          <w:i/>
          <w:iCs/>
          <w:highlight w:val="yellow"/>
        </w:rPr>
        <w:t xml:space="preserve">Source: Author’s calculation based on </w:t>
      </w:r>
      <w:r w:rsidRPr="00275134">
        <w:rPr>
          <w:rFonts w:ascii="Arial" w:hAnsi="Arial" w:cs="Arial"/>
          <w:i/>
          <w:iCs/>
          <w:highlight w:val="yellow"/>
        </w:rPr>
        <w:t>the data processed</w:t>
      </w:r>
    </w:p>
    <w:p w14:paraId="1289CFDD" w14:textId="27B622E6" w:rsidR="00600BB5" w:rsidRPr="00600BB5" w:rsidRDefault="00600BB5" w:rsidP="00600BB5">
      <w:pPr>
        <w:jc w:val="both"/>
        <w:rPr>
          <w:rFonts w:ascii="Arial" w:hAnsi="Arial" w:cs="Arial"/>
          <w:highlight w:val="yellow"/>
        </w:rPr>
      </w:pPr>
      <w:r w:rsidRPr="00600BB5">
        <w:rPr>
          <w:rFonts w:ascii="Arial" w:hAnsi="Arial" w:cs="Arial"/>
          <w:highlight w:val="yellow"/>
        </w:rPr>
        <w:t>Interpretation</w:t>
      </w:r>
    </w:p>
    <w:p w14:paraId="00EF1B96" w14:textId="77777777" w:rsidR="00A2268F" w:rsidRPr="00275134" w:rsidRDefault="00600BB5" w:rsidP="00600BB5">
      <w:pPr>
        <w:numPr>
          <w:ilvl w:val="0"/>
          <w:numId w:val="15"/>
        </w:numPr>
        <w:jc w:val="both"/>
        <w:rPr>
          <w:rFonts w:ascii="Arial" w:hAnsi="Arial" w:cs="Arial"/>
          <w:highlight w:val="yellow"/>
        </w:rPr>
      </w:pPr>
      <w:r w:rsidRPr="00600BB5">
        <w:rPr>
          <w:rFonts w:ascii="Arial" w:hAnsi="Arial" w:cs="Arial"/>
          <w:highlight w:val="yellow"/>
        </w:rPr>
        <w:t>2020 as a Turning Point</w:t>
      </w:r>
    </w:p>
    <w:p w14:paraId="4BF7FEEB" w14:textId="70020C2D" w:rsidR="00600BB5" w:rsidRPr="00600BB5" w:rsidRDefault="00600BB5" w:rsidP="00A2268F">
      <w:pPr>
        <w:ind w:left="720"/>
        <w:jc w:val="both"/>
        <w:rPr>
          <w:rFonts w:ascii="Arial" w:hAnsi="Arial" w:cs="Arial"/>
          <w:highlight w:val="yellow"/>
        </w:rPr>
      </w:pPr>
      <w:r w:rsidRPr="00600BB5">
        <w:rPr>
          <w:rFonts w:ascii="Arial" w:hAnsi="Arial" w:cs="Arial"/>
          <w:highlight w:val="yellow"/>
        </w:rPr>
        <w:t>The year 2020 witnessed peak growth across multiple indicators:</w:t>
      </w:r>
    </w:p>
    <w:p w14:paraId="03FB489A" w14:textId="77777777" w:rsidR="00600BB5" w:rsidRPr="00600BB5" w:rsidRDefault="00600BB5" w:rsidP="00600BB5">
      <w:pPr>
        <w:numPr>
          <w:ilvl w:val="1"/>
          <w:numId w:val="15"/>
        </w:numPr>
        <w:jc w:val="both"/>
        <w:rPr>
          <w:rFonts w:ascii="Arial" w:hAnsi="Arial" w:cs="Arial"/>
          <w:highlight w:val="yellow"/>
        </w:rPr>
      </w:pPr>
      <w:r w:rsidRPr="00600BB5">
        <w:rPr>
          <w:rFonts w:ascii="Arial" w:hAnsi="Arial" w:cs="Arial"/>
          <w:highlight w:val="yellow"/>
        </w:rPr>
        <w:t>MSME growth surged by 115.4%, reflecting possibly temporary stimulus impacts or rapid informal sector expansion amid COVID-19 disruptions.</w:t>
      </w:r>
    </w:p>
    <w:p w14:paraId="5A1CFD82" w14:textId="77777777" w:rsidR="00600BB5" w:rsidRPr="00600BB5" w:rsidRDefault="00600BB5" w:rsidP="00600BB5">
      <w:pPr>
        <w:numPr>
          <w:ilvl w:val="1"/>
          <w:numId w:val="15"/>
        </w:numPr>
        <w:jc w:val="both"/>
        <w:rPr>
          <w:rFonts w:ascii="Arial" w:hAnsi="Arial" w:cs="Arial"/>
          <w:highlight w:val="yellow"/>
        </w:rPr>
      </w:pPr>
      <w:r w:rsidRPr="00600BB5">
        <w:rPr>
          <w:rFonts w:ascii="Arial" w:hAnsi="Arial" w:cs="Arial"/>
          <w:highlight w:val="yellow"/>
        </w:rPr>
        <w:t>Road length increased by 24.0%, indicating active infrastructure projects despite pandemic constraints.</w:t>
      </w:r>
    </w:p>
    <w:p w14:paraId="25363B98" w14:textId="77777777" w:rsidR="00600BB5" w:rsidRPr="00600BB5" w:rsidRDefault="00600BB5" w:rsidP="00600BB5">
      <w:pPr>
        <w:numPr>
          <w:ilvl w:val="1"/>
          <w:numId w:val="15"/>
        </w:numPr>
        <w:jc w:val="both"/>
        <w:rPr>
          <w:rFonts w:ascii="Arial" w:hAnsi="Arial" w:cs="Arial"/>
          <w:highlight w:val="yellow"/>
        </w:rPr>
      </w:pPr>
      <w:r w:rsidRPr="00600BB5">
        <w:rPr>
          <w:rFonts w:ascii="Arial" w:hAnsi="Arial" w:cs="Arial"/>
          <w:highlight w:val="yellow"/>
        </w:rPr>
        <w:t>GRDP growth remained strong at 17.5%, with only minor slowdowns.</w:t>
      </w:r>
    </w:p>
    <w:p w14:paraId="46054703" w14:textId="77777777" w:rsidR="00A2268F" w:rsidRPr="00275134" w:rsidRDefault="00600BB5" w:rsidP="00600BB5">
      <w:pPr>
        <w:numPr>
          <w:ilvl w:val="0"/>
          <w:numId w:val="15"/>
        </w:numPr>
        <w:jc w:val="both"/>
        <w:rPr>
          <w:rFonts w:ascii="Arial" w:hAnsi="Arial" w:cs="Arial"/>
          <w:highlight w:val="yellow"/>
        </w:rPr>
      </w:pPr>
      <w:r w:rsidRPr="00600BB5">
        <w:rPr>
          <w:rFonts w:ascii="Arial" w:hAnsi="Arial" w:cs="Arial"/>
          <w:highlight w:val="yellow"/>
        </w:rPr>
        <w:t>2022 Structural Decline and Anomaly</w:t>
      </w:r>
    </w:p>
    <w:p w14:paraId="2C99081E" w14:textId="5382118F" w:rsidR="00600BB5" w:rsidRPr="00600BB5" w:rsidRDefault="00600BB5" w:rsidP="00A2268F">
      <w:pPr>
        <w:ind w:left="720"/>
        <w:jc w:val="both"/>
        <w:rPr>
          <w:rFonts w:ascii="Arial" w:hAnsi="Arial" w:cs="Arial"/>
          <w:highlight w:val="yellow"/>
        </w:rPr>
      </w:pPr>
      <w:r w:rsidRPr="00600BB5">
        <w:rPr>
          <w:rFonts w:ascii="Arial" w:hAnsi="Arial" w:cs="Arial"/>
          <w:highlight w:val="yellow"/>
        </w:rPr>
        <w:t>A dramatic -73.0% drop in vehicle volume (SMP) in 2022 indicates potential data collection disruption or delayed reporting post-pandemic. Meanwhile, MSMEs contracted by -9.36%, and employment declined slightly, with the rate falling from 95.42% to 94.49%.</w:t>
      </w:r>
    </w:p>
    <w:p w14:paraId="05D92ED5" w14:textId="77777777" w:rsidR="00600BB5" w:rsidRPr="00600BB5" w:rsidRDefault="00600BB5" w:rsidP="00600BB5">
      <w:pPr>
        <w:numPr>
          <w:ilvl w:val="0"/>
          <w:numId w:val="15"/>
        </w:numPr>
        <w:jc w:val="both"/>
        <w:rPr>
          <w:rFonts w:ascii="Arial" w:hAnsi="Arial" w:cs="Arial"/>
          <w:highlight w:val="yellow"/>
        </w:rPr>
      </w:pPr>
      <w:r w:rsidRPr="00600BB5">
        <w:rPr>
          <w:rFonts w:ascii="Arial" w:hAnsi="Arial" w:cs="Arial"/>
          <w:highlight w:val="yellow"/>
        </w:rPr>
        <w:t>Asynchronous Movement Patterns</w:t>
      </w:r>
    </w:p>
    <w:p w14:paraId="77E6633D" w14:textId="77777777" w:rsidR="00600BB5" w:rsidRPr="00600BB5" w:rsidRDefault="00600BB5" w:rsidP="00600BB5">
      <w:pPr>
        <w:numPr>
          <w:ilvl w:val="1"/>
          <w:numId w:val="15"/>
        </w:numPr>
        <w:jc w:val="both"/>
        <w:rPr>
          <w:rFonts w:ascii="Arial" w:hAnsi="Arial" w:cs="Arial"/>
          <w:highlight w:val="yellow"/>
        </w:rPr>
      </w:pPr>
      <w:r w:rsidRPr="00600BB5">
        <w:rPr>
          <w:rFonts w:ascii="Arial" w:hAnsi="Arial" w:cs="Arial"/>
          <w:highlight w:val="yellow"/>
        </w:rPr>
        <w:lastRenderedPageBreak/>
        <w:t>Road length and GRDP grew consistently until 2021 before slowing or declining slightly.</w:t>
      </w:r>
    </w:p>
    <w:p w14:paraId="5C7A0E66" w14:textId="77777777" w:rsidR="00600BB5" w:rsidRPr="00600BB5" w:rsidRDefault="00600BB5" w:rsidP="00600BB5">
      <w:pPr>
        <w:numPr>
          <w:ilvl w:val="1"/>
          <w:numId w:val="15"/>
        </w:numPr>
        <w:jc w:val="both"/>
        <w:rPr>
          <w:rFonts w:ascii="Arial" w:hAnsi="Arial" w:cs="Arial"/>
          <w:highlight w:val="yellow"/>
        </w:rPr>
      </w:pPr>
      <w:r w:rsidRPr="00600BB5">
        <w:rPr>
          <w:rFonts w:ascii="Arial" w:hAnsi="Arial" w:cs="Arial"/>
          <w:highlight w:val="yellow"/>
        </w:rPr>
        <w:t>MSME and employment showed sharp volatility, particularly in 2020–2022.</w:t>
      </w:r>
    </w:p>
    <w:p w14:paraId="4DBAE28D" w14:textId="41A3CEC6" w:rsidR="00600BB5" w:rsidRPr="00600BB5" w:rsidRDefault="00600BB5" w:rsidP="00600BB5">
      <w:pPr>
        <w:numPr>
          <w:ilvl w:val="1"/>
          <w:numId w:val="15"/>
        </w:numPr>
        <w:jc w:val="both"/>
        <w:rPr>
          <w:rFonts w:ascii="Arial" w:hAnsi="Arial" w:cs="Arial"/>
          <w:highlight w:val="yellow"/>
        </w:rPr>
      </w:pPr>
      <w:r w:rsidRPr="00600BB5">
        <w:rPr>
          <w:rFonts w:ascii="Arial" w:hAnsi="Arial" w:cs="Arial"/>
          <w:highlight w:val="yellow"/>
        </w:rPr>
        <w:t>Vehicle volume was most erratic, possibly due to mobility restrictions, registration lags, or fiscal shifts.</w:t>
      </w:r>
    </w:p>
    <w:p w14:paraId="15920D1F" w14:textId="02AC8184" w:rsidR="00600BB5" w:rsidRPr="00600BB5" w:rsidRDefault="00600BB5" w:rsidP="00600BB5">
      <w:pPr>
        <w:jc w:val="both"/>
        <w:rPr>
          <w:rFonts w:ascii="Arial" w:hAnsi="Arial" w:cs="Arial"/>
          <w:highlight w:val="yellow"/>
        </w:rPr>
      </w:pPr>
      <w:r w:rsidRPr="00600BB5">
        <w:rPr>
          <w:rFonts w:ascii="Arial" w:hAnsi="Arial" w:cs="Arial"/>
          <w:b/>
          <w:bCs/>
          <w:highlight w:val="yellow"/>
        </w:rPr>
        <w:t xml:space="preserve">Figure </w:t>
      </w:r>
      <w:r w:rsidR="00F775C5">
        <w:rPr>
          <w:rFonts w:ascii="Arial" w:hAnsi="Arial" w:cs="Arial"/>
          <w:b/>
          <w:bCs/>
          <w:highlight w:val="yellow"/>
        </w:rPr>
        <w:t>2</w:t>
      </w:r>
      <w:r w:rsidRPr="00600BB5">
        <w:rPr>
          <w:rFonts w:ascii="Arial" w:hAnsi="Arial" w:cs="Arial"/>
          <w:b/>
          <w:bCs/>
          <w:highlight w:val="yellow"/>
        </w:rPr>
        <w:t xml:space="preserve">. </w:t>
      </w:r>
      <w:r w:rsidRPr="00600BB5">
        <w:rPr>
          <w:rFonts w:ascii="Arial" w:hAnsi="Arial" w:cs="Arial"/>
          <w:highlight w:val="yellow"/>
        </w:rPr>
        <w:t>Indexed Growth Trends of Infrastructure and Economic Indicators (2016–2022)</w:t>
      </w:r>
    </w:p>
    <w:p w14:paraId="2112EF6C" w14:textId="14D2FBC1" w:rsidR="00600BB5" w:rsidRPr="00600BB5" w:rsidRDefault="00600BB5" w:rsidP="00600BB5">
      <w:pPr>
        <w:jc w:val="both"/>
        <w:rPr>
          <w:rFonts w:ascii="Arial" w:hAnsi="Arial" w:cs="Arial"/>
          <w:highlight w:val="yellow"/>
        </w:rPr>
      </w:pPr>
      <w:r w:rsidRPr="00275134">
        <w:rPr>
          <w:noProof/>
          <w:highlight w:val="yellow"/>
        </w:rPr>
        <w:drawing>
          <wp:inline distT="0" distB="0" distL="0" distR="0" wp14:anchorId="18A5E3AE" wp14:editId="7D10CAFD">
            <wp:extent cx="5943600" cy="2948305"/>
            <wp:effectExtent l="0" t="0" r="0" b="4445"/>
            <wp:docPr id="305375629" name="Picture 21" descr="A graph with lin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75629" name="Picture 21" descr="A graph with lines and number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948305"/>
                    </a:xfrm>
                    <a:prstGeom prst="rect">
                      <a:avLst/>
                    </a:prstGeom>
                    <a:noFill/>
                    <a:ln>
                      <a:noFill/>
                    </a:ln>
                  </pic:spPr>
                </pic:pic>
              </a:graphicData>
            </a:graphic>
          </wp:inline>
        </w:drawing>
      </w:r>
    </w:p>
    <w:p w14:paraId="6E77C3CB" w14:textId="77777777" w:rsidR="00600BB5" w:rsidRPr="00600BB5" w:rsidRDefault="00600BB5" w:rsidP="00600BB5">
      <w:pPr>
        <w:jc w:val="both"/>
        <w:rPr>
          <w:rFonts w:ascii="Arial" w:hAnsi="Arial" w:cs="Arial"/>
          <w:highlight w:val="yellow"/>
        </w:rPr>
      </w:pPr>
      <w:r w:rsidRPr="00600BB5">
        <w:rPr>
          <w:rFonts w:ascii="Arial" w:hAnsi="Arial" w:cs="Arial"/>
          <w:highlight w:val="yellow"/>
        </w:rPr>
        <w:t>These trends highlight the non-linear and lagged relationship between infrastructure and economic output. Road infrastructure improvements may facilitate employment and MSME growth, but crisis events like pandemics distort short-term returns, reinforcing the importance of temporal context in transport-economic evaluations.</w:t>
      </w:r>
    </w:p>
    <w:p w14:paraId="5189EDDC" w14:textId="44404F68" w:rsidR="001C4503" w:rsidRPr="00275134" w:rsidRDefault="001C4503" w:rsidP="001C4503">
      <w:pPr>
        <w:jc w:val="both"/>
        <w:rPr>
          <w:rFonts w:ascii="Arial" w:hAnsi="Arial" w:cs="Arial"/>
          <w:highlight w:val="yellow"/>
        </w:rPr>
      </w:pPr>
      <w:r w:rsidRPr="00275134">
        <w:rPr>
          <w:rFonts w:ascii="Arial" w:hAnsi="Arial" w:cs="Arial"/>
          <w:highlight w:val="yellow"/>
        </w:rPr>
        <w:t>These findings reinforce earlier statistical insights, particularly the strong correlation between road length and employment. The visual analysis complements the correlation data, emphasizing infrastructure’s enabling but non-linear relationship with economic metrics. While 2020 was a turning point for some indicators, the following years highlight structural vulnerabilities and the need for integrated policy responses post-COVID-19.</w:t>
      </w:r>
    </w:p>
    <w:p w14:paraId="688C76EC" w14:textId="50DC5E98" w:rsidR="00C57DF0" w:rsidRPr="00275134" w:rsidRDefault="00FD029A" w:rsidP="002A15A0">
      <w:pPr>
        <w:jc w:val="both"/>
        <w:rPr>
          <w:rFonts w:ascii="Arial" w:hAnsi="Arial" w:cs="Arial"/>
          <w:b/>
          <w:bCs/>
          <w:highlight w:val="yellow"/>
        </w:rPr>
      </w:pPr>
      <w:r w:rsidRPr="00275134">
        <w:rPr>
          <w:rFonts w:ascii="Arial" w:hAnsi="Arial" w:cs="Arial"/>
          <w:b/>
          <w:bCs/>
          <w:highlight w:val="yellow"/>
        </w:rPr>
        <w:t>3</w:t>
      </w:r>
      <w:r w:rsidR="00C57DF0" w:rsidRPr="00275134">
        <w:rPr>
          <w:rFonts w:ascii="Arial" w:hAnsi="Arial" w:cs="Arial"/>
          <w:b/>
          <w:bCs/>
          <w:highlight w:val="yellow"/>
        </w:rPr>
        <w:t>.</w:t>
      </w:r>
      <w:r w:rsidRPr="00275134">
        <w:rPr>
          <w:rFonts w:ascii="Arial" w:hAnsi="Arial" w:cs="Arial"/>
          <w:b/>
          <w:bCs/>
          <w:highlight w:val="yellow"/>
        </w:rPr>
        <w:t>5</w:t>
      </w:r>
      <w:r w:rsidR="00C57DF0" w:rsidRPr="00275134">
        <w:rPr>
          <w:rFonts w:ascii="Arial" w:hAnsi="Arial" w:cs="Arial"/>
          <w:b/>
          <w:bCs/>
          <w:highlight w:val="yellow"/>
        </w:rPr>
        <w:t xml:space="preserve"> Theoretical and Practical Implications</w:t>
      </w:r>
    </w:p>
    <w:p w14:paraId="7A119939" w14:textId="7AAD1208" w:rsidR="00C57DF0" w:rsidRPr="00275134" w:rsidRDefault="00C57DF0" w:rsidP="002A15A0">
      <w:pPr>
        <w:jc w:val="both"/>
        <w:rPr>
          <w:rFonts w:ascii="Arial" w:hAnsi="Arial" w:cs="Arial"/>
          <w:highlight w:val="yellow"/>
        </w:rPr>
      </w:pPr>
      <w:r w:rsidRPr="00275134">
        <w:rPr>
          <w:rFonts w:ascii="Arial" w:hAnsi="Arial" w:cs="Arial"/>
          <w:highlight w:val="yellow"/>
        </w:rPr>
        <w:t>Theoretically, the findings validate the enabling role of infrastructure, particularly in developing regional economies with latent potential. Roads act not only as connectors but also as catalysts for structural transformation—shifting labor from subsistence to semi-formal activities, especially where market linkages are previously weak.</w:t>
      </w:r>
      <w:r w:rsidR="00B1562F" w:rsidRPr="00275134">
        <w:rPr>
          <w:rFonts w:ascii="Arial" w:hAnsi="Arial" w:cs="Arial"/>
          <w:highlight w:val="yellow"/>
        </w:rPr>
        <w:t xml:space="preserve"> </w:t>
      </w:r>
      <w:r w:rsidRPr="00275134">
        <w:rPr>
          <w:rFonts w:ascii="Arial" w:hAnsi="Arial" w:cs="Arial"/>
          <w:highlight w:val="yellow"/>
        </w:rPr>
        <w:t xml:space="preserve">Practically, these results call for greater integration between physical and economic planning. </w:t>
      </w:r>
      <w:r w:rsidRPr="00275134">
        <w:rPr>
          <w:rFonts w:ascii="Arial" w:hAnsi="Arial" w:cs="Arial"/>
          <w:highlight w:val="yellow"/>
        </w:rPr>
        <w:lastRenderedPageBreak/>
        <w:t>Infrastructure projects should be synchronized with workforce development, MSME support programs, and financial inclusion initiatives to maximize impact.</w:t>
      </w:r>
    </w:p>
    <w:p w14:paraId="720DAE38" w14:textId="1220BFAD" w:rsidR="00C57DF0" w:rsidRPr="00275134" w:rsidRDefault="00C57DF0" w:rsidP="002A15A0">
      <w:pPr>
        <w:jc w:val="both"/>
        <w:rPr>
          <w:rFonts w:ascii="Arial" w:hAnsi="Arial" w:cs="Arial"/>
          <w:highlight w:val="yellow"/>
        </w:rPr>
      </w:pPr>
      <w:r w:rsidRPr="00275134">
        <w:rPr>
          <w:rFonts w:ascii="Arial" w:hAnsi="Arial" w:cs="Arial"/>
          <w:highlight w:val="yellow"/>
        </w:rPr>
        <w:t>Additionally, the ineffectiveness of vehicle volume as an economic lever invites reconsideration of transport metrics in policy planning. Rather than counting vehicles, planners might benefit from mobility efficiency indicators such as average travel time or logistics cost per ton-km.</w:t>
      </w:r>
      <w:r w:rsidR="00B1562F" w:rsidRPr="00275134">
        <w:rPr>
          <w:rFonts w:ascii="Arial" w:hAnsi="Arial" w:cs="Arial"/>
          <w:highlight w:val="yellow"/>
        </w:rPr>
        <w:t xml:space="preserve"> </w:t>
      </w:r>
      <w:r w:rsidRPr="00275134">
        <w:rPr>
          <w:rFonts w:ascii="Arial" w:hAnsi="Arial" w:cs="Arial"/>
          <w:highlight w:val="yellow"/>
        </w:rPr>
        <w:t>The study also points to the value of spatial targeting. Infrastructure investments in economically marginalized subdistricts with high employment elasticity may yield better returns than blanket development.</w:t>
      </w:r>
      <w:r w:rsidR="00B1562F" w:rsidRPr="00275134">
        <w:rPr>
          <w:rFonts w:ascii="Arial" w:hAnsi="Arial" w:cs="Arial"/>
          <w:highlight w:val="yellow"/>
        </w:rPr>
        <w:t xml:space="preserve"> </w:t>
      </w:r>
      <w:r w:rsidRPr="00275134">
        <w:rPr>
          <w:rFonts w:ascii="Arial" w:hAnsi="Arial" w:cs="Arial"/>
          <w:highlight w:val="yellow"/>
        </w:rPr>
        <w:t xml:space="preserve">The findings arrive at a critical juncture for Indonesian fiscal policy. The new Prabowo–Gibran administration has announced aggressive budget rationalization under </w:t>
      </w:r>
      <w:proofErr w:type="spellStart"/>
      <w:r w:rsidRPr="00275134">
        <w:rPr>
          <w:rFonts w:ascii="Arial" w:hAnsi="Arial" w:cs="Arial"/>
          <w:highlight w:val="yellow"/>
        </w:rPr>
        <w:t>Inpres</w:t>
      </w:r>
      <w:proofErr w:type="spellEnd"/>
      <w:r w:rsidRPr="00275134">
        <w:rPr>
          <w:rFonts w:ascii="Arial" w:hAnsi="Arial" w:cs="Arial"/>
          <w:highlight w:val="yellow"/>
        </w:rPr>
        <w:t xml:space="preserve"> No. 1/2025, including a massive cut to the PUPR budget.</w:t>
      </w:r>
    </w:p>
    <w:p w14:paraId="14A29940" w14:textId="1F40E5D1" w:rsidR="00C57DF0" w:rsidRPr="00C57DF0" w:rsidRDefault="00C57DF0" w:rsidP="002A15A0">
      <w:pPr>
        <w:jc w:val="both"/>
        <w:rPr>
          <w:rFonts w:ascii="Arial" w:hAnsi="Arial" w:cs="Arial"/>
        </w:rPr>
      </w:pPr>
      <w:r w:rsidRPr="00275134">
        <w:rPr>
          <w:rFonts w:ascii="Arial" w:hAnsi="Arial" w:cs="Arial"/>
          <w:highlight w:val="yellow"/>
        </w:rPr>
        <w:t>This makes our evidence especially relevant. It suggests that future road spending must emphasize maintenance and utility optimization, not merely physical expansion. Road quality, connectivity, and economic linkage should be prioritized.</w:t>
      </w:r>
      <w:r w:rsidR="00B1562F" w:rsidRPr="00275134">
        <w:rPr>
          <w:rFonts w:ascii="Arial" w:hAnsi="Arial" w:cs="Arial"/>
          <w:highlight w:val="yellow"/>
        </w:rPr>
        <w:t xml:space="preserve"> </w:t>
      </w:r>
      <w:r w:rsidRPr="00275134">
        <w:rPr>
          <w:rFonts w:ascii="Arial" w:hAnsi="Arial" w:cs="Arial"/>
          <w:highlight w:val="yellow"/>
        </w:rPr>
        <w:t xml:space="preserve">Furthermore, the study advocates for Public-Private Partnerships (PPP) as a funding strategy. With proper oversight, PPPs can ensure infrastructure continuity while reducing fiscal pressure, especially in districts like </w:t>
      </w:r>
      <w:proofErr w:type="spellStart"/>
      <w:r w:rsidRPr="00275134">
        <w:rPr>
          <w:rFonts w:ascii="Arial" w:hAnsi="Arial" w:cs="Arial"/>
          <w:highlight w:val="yellow"/>
        </w:rPr>
        <w:t>Simalungun</w:t>
      </w:r>
      <w:proofErr w:type="spellEnd"/>
      <w:r w:rsidRPr="00275134">
        <w:rPr>
          <w:rFonts w:ascii="Arial" w:hAnsi="Arial" w:cs="Arial"/>
          <w:highlight w:val="yellow"/>
        </w:rPr>
        <w:t xml:space="preserve"> where resource constraints are acute.</w:t>
      </w:r>
    </w:p>
    <w:p w14:paraId="78DAB3B0" w14:textId="358CD2DD" w:rsidR="002A15A0" w:rsidRPr="002A15A0" w:rsidRDefault="002A15A0" w:rsidP="002A15A0">
      <w:pPr>
        <w:rPr>
          <w:rFonts w:ascii="Arial" w:hAnsi="Arial" w:cs="Arial"/>
          <w:b/>
          <w:bCs/>
        </w:rPr>
      </w:pPr>
      <w:r w:rsidRPr="003E3732">
        <w:rPr>
          <w:rFonts w:ascii="Arial" w:hAnsi="Arial" w:cs="Arial"/>
          <w:b/>
          <w:bCs/>
        </w:rPr>
        <w:t xml:space="preserve">IV. </w:t>
      </w:r>
      <w:r w:rsidRPr="002A15A0">
        <w:rPr>
          <w:rFonts w:ascii="Arial" w:hAnsi="Arial" w:cs="Arial"/>
          <w:b/>
          <w:bCs/>
        </w:rPr>
        <w:t>Conclusion and Recommendations</w:t>
      </w:r>
    </w:p>
    <w:p w14:paraId="792C6B7C" w14:textId="77777777" w:rsidR="002A15A0" w:rsidRPr="002A15A0" w:rsidRDefault="002A15A0" w:rsidP="002A15A0">
      <w:pPr>
        <w:jc w:val="both"/>
        <w:rPr>
          <w:rFonts w:ascii="Arial" w:hAnsi="Arial" w:cs="Arial"/>
        </w:rPr>
      </w:pPr>
      <w:r w:rsidRPr="002A15A0">
        <w:rPr>
          <w:rFonts w:ascii="Arial" w:hAnsi="Arial" w:cs="Arial"/>
        </w:rPr>
        <w:t xml:space="preserve">This study explored the relationship between land transportation infrastructure and regional economic development in </w:t>
      </w:r>
      <w:proofErr w:type="spellStart"/>
      <w:r w:rsidRPr="002A15A0">
        <w:rPr>
          <w:rFonts w:ascii="Arial" w:hAnsi="Arial" w:cs="Arial"/>
        </w:rPr>
        <w:t>Simalungun</w:t>
      </w:r>
      <w:proofErr w:type="spellEnd"/>
      <w:r w:rsidRPr="002A15A0">
        <w:rPr>
          <w:rFonts w:ascii="Arial" w:hAnsi="Arial" w:cs="Arial"/>
        </w:rPr>
        <w:t xml:space="preserve"> Regency, focusing on two primary indicators: road length and vehicle volume. Among six tested hypotheses, only the correlation between road length and employment proved statistically significant, highlighting the direct role of physical connectivity in enhancing labor mobility and job opportunities. Although road length also demonstrated strong correlations with GRDP and MSME growth, these effects were not statistically robust, possibly due to latent effects or intervening socioeconomic variables.</w:t>
      </w:r>
    </w:p>
    <w:p w14:paraId="38245A53" w14:textId="77777777" w:rsidR="002A15A0" w:rsidRPr="002A15A0" w:rsidRDefault="002A15A0" w:rsidP="002A15A0">
      <w:pPr>
        <w:jc w:val="both"/>
        <w:rPr>
          <w:rFonts w:ascii="Arial" w:hAnsi="Arial" w:cs="Arial"/>
        </w:rPr>
      </w:pPr>
      <w:r w:rsidRPr="002A15A0">
        <w:rPr>
          <w:rFonts w:ascii="Arial" w:hAnsi="Arial" w:cs="Arial"/>
        </w:rPr>
        <w:t>In contrast, the volume of vehicles displayed weak and sometimes negative correlations with economic development indicators, suggesting that increased mobility alone is insufficient and may even detract from productivity due to congestion, externalities, and unsustainable transport trends. These results align with recent literature cautioning against equating motorization with progress, especially in the absence of regulatory and spatial planning controls. Therefore, road infrastructure appears to be more consequential for enabling access and economic participation than vehicle ownership or density.</w:t>
      </w:r>
    </w:p>
    <w:p w14:paraId="65A9F9BE" w14:textId="77777777" w:rsidR="002A15A0" w:rsidRPr="002A15A0" w:rsidRDefault="002A15A0" w:rsidP="002A15A0">
      <w:pPr>
        <w:jc w:val="both"/>
        <w:rPr>
          <w:rFonts w:ascii="Arial" w:hAnsi="Arial" w:cs="Arial"/>
        </w:rPr>
      </w:pPr>
      <w:r w:rsidRPr="002A15A0">
        <w:rPr>
          <w:rFonts w:ascii="Arial" w:hAnsi="Arial" w:cs="Arial"/>
        </w:rPr>
        <w:t xml:space="preserve">Given these findings, strategic policy responses are essential. Infrastructure investment should prioritize economically strategic but underserved areas, with planning guided by data and spatial equity. Moreover, roads must function as enablers for broader development agendas, necessitating integrated policies involving MSME support, labor </w:t>
      </w:r>
      <w:r w:rsidRPr="002A15A0">
        <w:rPr>
          <w:rFonts w:ascii="Arial" w:hAnsi="Arial" w:cs="Arial"/>
        </w:rPr>
        <w:lastRenderedPageBreak/>
        <w:t>training, and digital inclusion. Without such complementarities, the economic potential of infrastructure will remain underutilized, particularly in post-pandemic recovery contexts.</w:t>
      </w:r>
    </w:p>
    <w:p w14:paraId="44DED4D3" w14:textId="4F40D44E" w:rsidR="002A15A0" w:rsidRDefault="002A15A0" w:rsidP="002A15A0">
      <w:pPr>
        <w:jc w:val="both"/>
        <w:rPr>
          <w:rFonts w:ascii="Arial" w:hAnsi="Arial" w:cs="Arial"/>
        </w:rPr>
      </w:pPr>
      <w:r w:rsidRPr="002A15A0">
        <w:rPr>
          <w:rFonts w:ascii="Arial" w:hAnsi="Arial" w:cs="Arial"/>
        </w:rPr>
        <w:t>To ensure efficient and impactful outcomes, regional development policies must be synchronized with national budgetary strategies like the Prabowo–Gibran administration’s fiscal rationalization. The adoption of transport analytics, GIS, and outcome-based performance indicators can further refine investment choices. Ultimately, roads should be seen not only as physical assets but as strategic instruments to facilitate inclusive, sustainable, and regionally balanced economic growth</w:t>
      </w:r>
    </w:p>
    <w:p w14:paraId="051DA2EF" w14:textId="5D006232" w:rsidR="00183A0C" w:rsidRDefault="00183A0C" w:rsidP="002A15A0">
      <w:pPr>
        <w:jc w:val="both"/>
        <w:rPr>
          <w:rFonts w:ascii="Arial" w:hAnsi="Arial" w:cs="Arial"/>
        </w:rPr>
      </w:pPr>
    </w:p>
    <w:p w14:paraId="637DF2A5" w14:textId="77777777" w:rsidR="00183A0C" w:rsidRPr="00394842" w:rsidRDefault="00183A0C" w:rsidP="00183A0C">
      <w:pPr>
        <w:rPr>
          <w:highlight w:val="yellow"/>
        </w:rPr>
      </w:pPr>
      <w:r w:rsidRPr="00394842">
        <w:rPr>
          <w:highlight w:val="yellow"/>
        </w:rPr>
        <w:t>Disclaimer (Artificial intelligence)</w:t>
      </w:r>
    </w:p>
    <w:p w14:paraId="71D285B8" w14:textId="77777777" w:rsidR="00183A0C" w:rsidRPr="00394842" w:rsidRDefault="00183A0C" w:rsidP="00183A0C">
      <w:pPr>
        <w:rPr>
          <w:highlight w:val="yellow"/>
        </w:rPr>
      </w:pPr>
    </w:p>
    <w:p w14:paraId="3460E59F" w14:textId="77777777" w:rsidR="00183A0C" w:rsidRPr="00394842" w:rsidRDefault="00183A0C" w:rsidP="00183A0C">
      <w:pPr>
        <w:rPr>
          <w:highlight w:val="yellow"/>
        </w:rPr>
      </w:pPr>
      <w:r w:rsidRPr="00394842">
        <w:rPr>
          <w:highlight w:val="yellow"/>
        </w:rPr>
        <w:t xml:space="preserve">Option 1: </w:t>
      </w:r>
    </w:p>
    <w:p w14:paraId="0455CF52" w14:textId="77777777" w:rsidR="00183A0C" w:rsidRPr="00394842" w:rsidRDefault="00183A0C" w:rsidP="00183A0C">
      <w:pPr>
        <w:rPr>
          <w:highlight w:val="yellow"/>
        </w:rPr>
      </w:pPr>
    </w:p>
    <w:p w14:paraId="6AFF25FF" w14:textId="77777777" w:rsidR="00183A0C" w:rsidRPr="00394842" w:rsidRDefault="00183A0C" w:rsidP="00183A0C">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C5D5D09" w14:textId="32503CFE" w:rsidR="00183A0C" w:rsidRPr="00165217" w:rsidRDefault="00183A0C" w:rsidP="00183A0C"/>
    <w:p w14:paraId="72C3FAEB" w14:textId="77777777" w:rsidR="00183A0C" w:rsidRPr="002A15A0" w:rsidRDefault="00183A0C" w:rsidP="002A15A0">
      <w:pPr>
        <w:jc w:val="both"/>
        <w:rPr>
          <w:rFonts w:ascii="Arial" w:hAnsi="Arial" w:cs="Arial"/>
        </w:rPr>
      </w:pPr>
    </w:p>
    <w:p w14:paraId="3037E56B" w14:textId="08554BF6" w:rsidR="00FF04BB" w:rsidRPr="003E3732" w:rsidRDefault="002A15A0">
      <w:pPr>
        <w:rPr>
          <w:rFonts w:ascii="Arial" w:hAnsi="Arial" w:cs="Arial"/>
          <w:b/>
          <w:bCs/>
        </w:rPr>
      </w:pPr>
      <w:r w:rsidRPr="003E3732">
        <w:rPr>
          <w:rFonts w:ascii="Arial" w:hAnsi="Arial" w:cs="Arial"/>
          <w:b/>
          <w:bCs/>
        </w:rPr>
        <w:t>References</w:t>
      </w:r>
    </w:p>
    <w:p w14:paraId="288DC4AD"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rPr>
        <w:t xml:space="preserve">Bawole, P., &amp; Sutanto, H. (2025). Meeting Sustainable Development Goals Through Infrastructure Development to Stimulate Economic Growth in Kampong Settlements. </w:t>
      </w:r>
      <w:r w:rsidRPr="00275134">
        <w:rPr>
          <w:rFonts w:ascii="Arial" w:hAnsi="Arial" w:cs="Arial"/>
          <w:i/>
          <w:iCs/>
          <w:highlight w:val="yellow"/>
        </w:rPr>
        <w:t>Journal of Lifestyle and SDGs Review, 5</w:t>
      </w:r>
      <w:r w:rsidRPr="00275134">
        <w:rPr>
          <w:rFonts w:ascii="Arial" w:hAnsi="Arial" w:cs="Arial"/>
          <w:highlight w:val="yellow"/>
        </w:rPr>
        <w:t xml:space="preserve">(1), e04315. </w:t>
      </w:r>
      <w:hyperlink r:id="rId14" w:tgtFrame="_new" w:history="1">
        <w:r w:rsidRPr="00275134">
          <w:rPr>
            <w:rStyle w:val="Hyperlink"/>
            <w:rFonts w:ascii="Arial" w:hAnsi="Arial" w:cs="Arial"/>
            <w:highlight w:val="yellow"/>
          </w:rPr>
          <w:t>https://doi.org/10.47172/2965-730X.SDGsReview.v5.n01.pe04315</w:t>
        </w:r>
      </w:hyperlink>
    </w:p>
    <w:p w14:paraId="61BEF870"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rPr>
        <w:t xml:space="preserve">Crawford, R. (2006). Health as a meaningful social practice. </w:t>
      </w:r>
      <w:r w:rsidRPr="00275134">
        <w:rPr>
          <w:rFonts w:ascii="Arial" w:hAnsi="Arial" w:cs="Arial"/>
          <w:i/>
          <w:iCs/>
          <w:highlight w:val="yellow"/>
        </w:rPr>
        <w:t>Health: An Interdisciplinary Journal for the Social Study of Health, Illness and Medicine, 10</w:t>
      </w:r>
      <w:r w:rsidRPr="00275134">
        <w:rPr>
          <w:rFonts w:ascii="Arial" w:hAnsi="Arial" w:cs="Arial"/>
          <w:highlight w:val="yellow"/>
        </w:rPr>
        <w:t xml:space="preserve">, 401–420. </w:t>
      </w:r>
      <w:hyperlink r:id="rId15" w:tgtFrame="_new" w:history="1">
        <w:r w:rsidRPr="00275134">
          <w:rPr>
            <w:rStyle w:val="Hyperlink"/>
            <w:rFonts w:ascii="Arial" w:hAnsi="Arial" w:cs="Arial"/>
            <w:highlight w:val="yellow"/>
          </w:rPr>
          <w:t>https://doi.org/10.1177/1363459306067310</w:t>
        </w:r>
      </w:hyperlink>
    </w:p>
    <w:p w14:paraId="764DC77C"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rPr>
        <w:t xml:space="preserve">Creswell, J. W. (2014). </w:t>
      </w:r>
      <w:r w:rsidRPr="00275134">
        <w:rPr>
          <w:rFonts w:ascii="Arial" w:hAnsi="Arial" w:cs="Arial"/>
          <w:i/>
          <w:iCs/>
          <w:highlight w:val="yellow"/>
        </w:rPr>
        <w:t>Research design: Qualitative, quantitative, and mixed methods approaches</w:t>
      </w:r>
      <w:r w:rsidRPr="00275134">
        <w:rPr>
          <w:rFonts w:ascii="Arial" w:hAnsi="Arial" w:cs="Arial"/>
          <w:highlight w:val="yellow"/>
        </w:rPr>
        <w:t xml:space="preserve"> (4th ed.). SAGE Publications.</w:t>
      </w:r>
    </w:p>
    <w:p w14:paraId="20EAE858" w14:textId="77777777" w:rsidR="00275134" w:rsidRPr="00275134" w:rsidRDefault="00275134" w:rsidP="00275134">
      <w:pPr>
        <w:ind w:left="567" w:hanging="567"/>
        <w:rPr>
          <w:rFonts w:ascii="Arial" w:hAnsi="Arial" w:cs="Arial"/>
          <w:highlight w:val="yellow"/>
        </w:rPr>
      </w:pPr>
      <w:proofErr w:type="spellStart"/>
      <w:r w:rsidRPr="00275134">
        <w:rPr>
          <w:rFonts w:ascii="Arial" w:hAnsi="Arial" w:cs="Arial"/>
          <w:highlight w:val="yellow"/>
        </w:rPr>
        <w:t>Fardani</w:t>
      </w:r>
      <w:proofErr w:type="spellEnd"/>
      <w:r w:rsidRPr="00275134">
        <w:rPr>
          <w:rFonts w:ascii="Arial" w:hAnsi="Arial" w:cs="Arial"/>
          <w:highlight w:val="yellow"/>
        </w:rPr>
        <w:t xml:space="preserve">, A., </w:t>
      </w:r>
      <w:proofErr w:type="spellStart"/>
      <w:r w:rsidRPr="00275134">
        <w:rPr>
          <w:rFonts w:ascii="Arial" w:hAnsi="Arial" w:cs="Arial"/>
          <w:highlight w:val="yellow"/>
        </w:rPr>
        <w:t>Fajri</w:t>
      </w:r>
      <w:proofErr w:type="spellEnd"/>
      <w:r w:rsidRPr="00275134">
        <w:rPr>
          <w:rFonts w:ascii="Arial" w:hAnsi="Arial" w:cs="Arial"/>
          <w:highlight w:val="yellow"/>
        </w:rPr>
        <w:t xml:space="preserve">, F. N., </w:t>
      </w:r>
      <w:proofErr w:type="spellStart"/>
      <w:r w:rsidRPr="00275134">
        <w:rPr>
          <w:rFonts w:ascii="Arial" w:hAnsi="Arial" w:cs="Arial"/>
          <w:highlight w:val="yellow"/>
        </w:rPr>
        <w:t>Muhsoni</w:t>
      </w:r>
      <w:proofErr w:type="spellEnd"/>
      <w:r w:rsidRPr="00275134">
        <w:rPr>
          <w:rFonts w:ascii="Arial" w:hAnsi="Arial" w:cs="Arial"/>
          <w:highlight w:val="yellow"/>
        </w:rPr>
        <w:t xml:space="preserve">, R., Hidayat, F. R., &amp; </w:t>
      </w:r>
      <w:proofErr w:type="spellStart"/>
      <w:r w:rsidRPr="00275134">
        <w:rPr>
          <w:rFonts w:ascii="Arial" w:hAnsi="Arial" w:cs="Arial"/>
          <w:highlight w:val="yellow"/>
        </w:rPr>
        <w:t>Nugraha</w:t>
      </w:r>
      <w:proofErr w:type="spellEnd"/>
      <w:r w:rsidRPr="00275134">
        <w:rPr>
          <w:rFonts w:ascii="Arial" w:hAnsi="Arial" w:cs="Arial"/>
          <w:highlight w:val="yellow"/>
        </w:rPr>
        <w:t xml:space="preserve">, Y. A. (2024). The impact of UMKM growth and road infrastructure on economic growth in the village of Karang Mukti. </w:t>
      </w:r>
      <w:r w:rsidRPr="00275134">
        <w:rPr>
          <w:rFonts w:ascii="Arial" w:hAnsi="Arial" w:cs="Arial"/>
          <w:i/>
          <w:iCs/>
          <w:highlight w:val="yellow"/>
        </w:rPr>
        <w:t xml:space="preserve">KENTAL: </w:t>
      </w:r>
      <w:proofErr w:type="spellStart"/>
      <w:r w:rsidRPr="00275134">
        <w:rPr>
          <w:rFonts w:ascii="Arial" w:hAnsi="Arial" w:cs="Arial"/>
          <w:i/>
          <w:iCs/>
          <w:highlight w:val="yellow"/>
        </w:rPr>
        <w:t>Jurnal</w:t>
      </w:r>
      <w:proofErr w:type="spellEnd"/>
      <w:r w:rsidRPr="00275134">
        <w:rPr>
          <w:rFonts w:ascii="Arial" w:hAnsi="Arial" w:cs="Arial"/>
          <w:i/>
          <w:iCs/>
          <w:highlight w:val="yellow"/>
        </w:rPr>
        <w:t xml:space="preserve"> </w:t>
      </w:r>
      <w:proofErr w:type="spellStart"/>
      <w:r w:rsidRPr="00275134">
        <w:rPr>
          <w:rFonts w:ascii="Arial" w:hAnsi="Arial" w:cs="Arial"/>
          <w:i/>
          <w:iCs/>
          <w:highlight w:val="yellow"/>
        </w:rPr>
        <w:t>Kewirausahaan</w:t>
      </w:r>
      <w:proofErr w:type="spellEnd"/>
      <w:r w:rsidRPr="00275134">
        <w:rPr>
          <w:rFonts w:ascii="Arial" w:hAnsi="Arial" w:cs="Arial"/>
          <w:i/>
          <w:iCs/>
          <w:highlight w:val="yellow"/>
        </w:rPr>
        <w:t xml:space="preserve"> dan </w:t>
      </w:r>
      <w:proofErr w:type="spellStart"/>
      <w:r w:rsidRPr="00275134">
        <w:rPr>
          <w:rFonts w:ascii="Arial" w:hAnsi="Arial" w:cs="Arial"/>
          <w:i/>
          <w:iCs/>
          <w:highlight w:val="yellow"/>
        </w:rPr>
        <w:t>Bisnis</w:t>
      </w:r>
      <w:proofErr w:type="spellEnd"/>
      <w:r w:rsidRPr="00275134">
        <w:rPr>
          <w:rFonts w:ascii="Arial" w:hAnsi="Arial" w:cs="Arial"/>
          <w:i/>
          <w:iCs/>
          <w:highlight w:val="yellow"/>
        </w:rPr>
        <w:t xml:space="preserve"> Digital, 1</w:t>
      </w:r>
      <w:r w:rsidRPr="00275134">
        <w:rPr>
          <w:rFonts w:ascii="Arial" w:hAnsi="Arial" w:cs="Arial"/>
          <w:highlight w:val="yellow"/>
        </w:rPr>
        <w:t>(1), 24–36.</w:t>
      </w:r>
    </w:p>
    <w:p w14:paraId="6EE03B07"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rPr>
        <w:lastRenderedPageBreak/>
        <w:t xml:space="preserve">Gertler, P. J., Gonzalez-Navarro, M., Gračner, T., &amp; Rothenberg, A. D. (2024). Road maintenance and local economic development: Evidence from Indonesia’s highways. </w:t>
      </w:r>
      <w:r w:rsidRPr="00275134">
        <w:rPr>
          <w:rFonts w:ascii="Arial" w:hAnsi="Arial" w:cs="Arial"/>
          <w:i/>
          <w:iCs/>
          <w:highlight w:val="yellow"/>
        </w:rPr>
        <w:t>Journal of Urban Economics, 143</w:t>
      </w:r>
      <w:r w:rsidRPr="00275134">
        <w:rPr>
          <w:rFonts w:ascii="Arial" w:hAnsi="Arial" w:cs="Arial"/>
          <w:highlight w:val="yellow"/>
        </w:rPr>
        <w:t xml:space="preserve">, 103687. </w:t>
      </w:r>
      <w:hyperlink r:id="rId16" w:tgtFrame="_new" w:history="1">
        <w:r w:rsidRPr="00275134">
          <w:rPr>
            <w:rStyle w:val="Hyperlink"/>
            <w:rFonts w:ascii="Arial" w:hAnsi="Arial" w:cs="Arial"/>
            <w:highlight w:val="yellow"/>
          </w:rPr>
          <w:t>https://doi.org/10.1016/j.jue.2024.103687</w:t>
        </w:r>
      </w:hyperlink>
    </w:p>
    <w:p w14:paraId="2B456B30"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rPr>
        <w:t xml:space="preserve">Handoko, M., </w:t>
      </w:r>
      <w:proofErr w:type="spellStart"/>
      <w:r w:rsidRPr="00275134">
        <w:rPr>
          <w:rFonts w:ascii="Arial" w:hAnsi="Arial" w:cs="Arial"/>
          <w:highlight w:val="yellow"/>
        </w:rPr>
        <w:t>Febriansha</w:t>
      </w:r>
      <w:proofErr w:type="spellEnd"/>
      <w:r w:rsidRPr="00275134">
        <w:rPr>
          <w:rFonts w:ascii="Arial" w:hAnsi="Arial" w:cs="Arial"/>
          <w:highlight w:val="yellow"/>
        </w:rPr>
        <w:t xml:space="preserve">, A., &amp; </w:t>
      </w:r>
      <w:proofErr w:type="spellStart"/>
      <w:r w:rsidRPr="00275134">
        <w:rPr>
          <w:rFonts w:ascii="Arial" w:hAnsi="Arial" w:cs="Arial"/>
          <w:highlight w:val="yellow"/>
        </w:rPr>
        <w:t>Mafaza</w:t>
      </w:r>
      <w:proofErr w:type="spellEnd"/>
      <w:r w:rsidRPr="00275134">
        <w:rPr>
          <w:rFonts w:ascii="Arial" w:hAnsi="Arial" w:cs="Arial"/>
          <w:highlight w:val="yellow"/>
        </w:rPr>
        <w:t xml:space="preserve">, M. S. (2023). The impact of the COVID-19 pandemic on the income of UMKM in Indonesia. </w:t>
      </w:r>
      <w:proofErr w:type="spellStart"/>
      <w:r w:rsidRPr="00275134">
        <w:rPr>
          <w:rFonts w:ascii="Arial" w:hAnsi="Arial" w:cs="Arial"/>
          <w:i/>
          <w:iCs/>
          <w:highlight w:val="yellow"/>
        </w:rPr>
        <w:t>Jurnal</w:t>
      </w:r>
      <w:proofErr w:type="spellEnd"/>
      <w:r w:rsidRPr="00275134">
        <w:rPr>
          <w:rFonts w:ascii="Arial" w:hAnsi="Arial" w:cs="Arial"/>
          <w:i/>
          <w:iCs/>
          <w:highlight w:val="yellow"/>
        </w:rPr>
        <w:t xml:space="preserve"> </w:t>
      </w:r>
      <w:proofErr w:type="spellStart"/>
      <w:r w:rsidRPr="00275134">
        <w:rPr>
          <w:rFonts w:ascii="Arial" w:hAnsi="Arial" w:cs="Arial"/>
          <w:i/>
          <w:iCs/>
          <w:highlight w:val="yellow"/>
        </w:rPr>
        <w:t>Ekonomi</w:t>
      </w:r>
      <w:proofErr w:type="spellEnd"/>
      <w:r w:rsidRPr="00275134">
        <w:rPr>
          <w:rFonts w:ascii="Arial" w:hAnsi="Arial" w:cs="Arial"/>
          <w:i/>
          <w:iCs/>
          <w:highlight w:val="yellow"/>
        </w:rPr>
        <w:t xml:space="preserve"> Indonesia, 15</w:t>
      </w:r>
      <w:r w:rsidRPr="00275134">
        <w:rPr>
          <w:rFonts w:ascii="Arial" w:hAnsi="Arial" w:cs="Arial"/>
          <w:highlight w:val="yellow"/>
        </w:rPr>
        <w:t>(1), 33–48.</w:t>
      </w:r>
    </w:p>
    <w:p w14:paraId="212DDCCB" w14:textId="77777777" w:rsidR="00275134" w:rsidRPr="00275134" w:rsidRDefault="00275134" w:rsidP="00275134">
      <w:pPr>
        <w:ind w:left="567" w:hanging="567"/>
        <w:rPr>
          <w:rFonts w:ascii="Arial" w:hAnsi="Arial" w:cs="Arial"/>
          <w:highlight w:val="yellow"/>
        </w:rPr>
      </w:pPr>
      <w:proofErr w:type="spellStart"/>
      <w:r w:rsidRPr="00275134">
        <w:rPr>
          <w:rFonts w:ascii="Arial" w:hAnsi="Arial" w:cs="Arial"/>
          <w:highlight w:val="yellow"/>
        </w:rPr>
        <w:t>Kurniadi</w:t>
      </w:r>
      <w:proofErr w:type="spellEnd"/>
      <w:r w:rsidRPr="00275134">
        <w:rPr>
          <w:rFonts w:ascii="Arial" w:hAnsi="Arial" w:cs="Arial"/>
          <w:highlight w:val="yellow"/>
        </w:rPr>
        <w:t xml:space="preserve">, A. (2014). The role of roads in regional development: A case study of West Sumatra. </w:t>
      </w:r>
      <w:r w:rsidRPr="00275134">
        <w:rPr>
          <w:rFonts w:ascii="Arial" w:hAnsi="Arial" w:cs="Arial"/>
          <w:i/>
          <w:iCs/>
          <w:highlight w:val="yellow"/>
        </w:rPr>
        <w:t>Journal of Regional Transportation, 3</w:t>
      </w:r>
      <w:r w:rsidRPr="00275134">
        <w:rPr>
          <w:rFonts w:ascii="Arial" w:hAnsi="Arial" w:cs="Arial"/>
          <w:highlight w:val="yellow"/>
        </w:rPr>
        <w:t>(1), 55–69.</w:t>
      </w:r>
    </w:p>
    <w:p w14:paraId="777C0EBE"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rPr>
        <w:t xml:space="preserve">Milewski, D., &amp; Zaloga, E. (2013). The impact of transport on regional development. In </w:t>
      </w:r>
      <w:r w:rsidRPr="00275134">
        <w:rPr>
          <w:rFonts w:ascii="Arial" w:hAnsi="Arial" w:cs="Arial"/>
          <w:i/>
          <w:iCs/>
          <w:highlight w:val="yellow"/>
        </w:rPr>
        <w:t>Regional economy in theory and practice</w:t>
      </w:r>
      <w:r w:rsidRPr="00275134">
        <w:rPr>
          <w:rFonts w:ascii="Arial" w:hAnsi="Arial" w:cs="Arial"/>
          <w:highlight w:val="yellow"/>
        </w:rPr>
        <w:t xml:space="preserve">. </w:t>
      </w:r>
      <w:r w:rsidRPr="00275134">
        <w:rPr>
          <w:rFonts w:ascii="Arial" w:hAnsi="Arial" w:cs="Arial"/>
          <w:i/>
          <w:iCs/>
          <w:highlight w:val="yellow"/>
        </w:rPr>
        <w:t xml:space="preserve">Research Papers of </w:t>
      </w:r>
      <w:proofErr w:type="spellStart"/>
      <w:r w:rsidRPr="00275134">
        <w:rPr>
          <w:rFonts w:ascii="Arial" w:hAnsi="Arial" w:cs="Arial"/>
          <w:i/>
          <w:iCs/>
          <w:highlight w:val="yellow"/>
        </w:rPr>
        <w:t>Wrocław</w:t>
      </w:r>
      <w:proofErr w:type="spellEnd"/>
      <w:r w:rsidRPr="00275134">
        <w:rPr>
          <w:rFonts w:ascii="Arial" w:hAnsi="Arial" w:cs="Arial"/>
          <w:i/>
          <w:iCs/>
          <w:highlight w:val="yellow"/>
        </w:rPr>
        <w:t xml:space="preserve"> University of Economics, 286</w:t>
      </w:r>
      <w:r w:rsidRPr="00275134">
        <w:rPr>
          <w:rFonts w:ascii="Arial" w:hAnsi="Arial" w:cs="Arial"/>
          <w:highlight w:val="yellow"/>
        </w:rPr>
        <w:t>, 71–78.</w:t>
      </w:r>
    </w:p>
    <w:p w14:paraId="6D4E754C"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lang w:val="fi-FI"/>
        </w:rPr>
        <w:t xml:space="preserve">Nasution, A. R., Mardhiyah, A., &amp; Rinaldi, M. (2025). </w:t>
      </w:r>
      <w:r w:rsidRPr="00275134">
        <w:rPr>
          <w:rFonts w:ascii="Arial" w:hAnsi="Arial" w:cs="Arial"/>
          <w:highlight w:val="yellow"/>
        </w:rPr>
        <w:t xml:space="preserve">Exploration of development inequality models in North Sumatera. </w:t>
      </w:r>
      <w:r w:rsidRPr="00275134">
        <w:rPr>
          <w:rFonts w:ascii="Arial" w:hAnsi="Arial" w:cs="Arial"/>
          <w:i/>
          <w:iCs/>
          <w:highlight w:val="yellow"/>
        </w:rPr>
        <w:t>International Journal of Applied Finance and Business Studies, 13</w:t>
      </w:r>
      <w:r w:rsidRPr="00275134">
        <w:rPr>
          <w:rFonts w:ascii="Arial" w:hAnsi="Arial" w:cs="Arial"/>
          <w:highlight w:val="yellow"/>
        </w:rPr>
        <w:t xml:space="preserve">(1), 27–33. </w:t>
      </w:r>
      <w:hyperlink r:id="rId17" w:tgtFrame="_new" w:history="1">
        <w:r w:rsidRPr="00275134">
          <w:rPr>
            <w:rStyle w:val="Hyperlink"/>
            <w:rFonts w:ascii="Arial" w:hAnsi="Arial" w:cs="Arial"/>
            <w:highlight w:val="yellow"/>
          </w:rPr>
          <w:t>https://doi.org/10.35335/ijafibs.v13i1.343</w:t>
        </w:r>
      </w:hyperlink>
    </w:p>
    <w:p w14:paraId="75F6E290"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rPr>
        <w:t xml:space="preserve">Nugroho, R. (2023). The relationship between road infrastructure and regional economic growth in Central Java Province. </w:t>
      </w:r>
      <w:r w:rsidRPr="00275134">
        <w:rPr>
          <w:rFonts w:ascii="Arial" w:hAnsi="Arial" w:cs="Arial"/>
          <w:i/>
          <w:iCs/>
          <w:highlight w:val="yellow"/>
        </w:rPr>
        <w:t>Journal of Economics, 17</w:t>
      </w:r>
      <w:r w:rsidRPr="00275134">
        <w:rPr>
          <w:rFonts w:ascii="Arial" w:hAnsi="Arial" w:cs="Arial"/>
          <w:highlight w:val="yellow"/>
        </w:rPr>
        <w:t>(2), 102–117.</w:t>
      </w:r>
    </w:p>
    <w:p w14:paraId="1B5E9531" w14:textId="77777777" w:rsidR="00275134" w:rsidRPr="00275134" w:rsidRDefault="00275134" w:rsidP="00275134">
      <w:pPr>
        <w:ind w:left="567" w:hanging="567"/>
        <w:rPr>
          <w:rFonts w:ascii="Arial" w:hAnsi="Arial" w:cs="Arial"/>
          <w:highlight w:val="yellow"/>
        </w:rPr>
      </w:pPr>
      <w:proofErr w:type="spellStart"/>
      <w:r w:rsidRPr="00275134">
        <w:rPr>
          <w:rFonts w:ascii="Arial" w:hAnsi="Arial" w:cs="Arial"/>
          <w:highlight w:val="yellow"/>
        </w:rPr>
        <w:t>Sugiyono</w:t>
      </w:r>
      <w:proofErr w:type="spellEnd"/>
      <w:r w:rsidRPr="00275134">
        <w:rPr>
          <w:rFonts w:ascii="Arial" w:hAnsi="Arial" w:cs="Arial"/>
          <w:highlight w:val="yellow"/>
        </w:rPr>
        <w:t xml:space="preserve">. (2019). </w:t>
      </w:r>
      <w:r w:rsidRPr="00275134">
        <w:rPr>
          <w:rFonts w:ascii="Arial" w:hAnsi="Arial" w:cs="Arial"/>
          <w:i/>
          <w:iCs/>
          <w:highlight w:val="yellow"/>
        </w:rPr>
        <w:t>Quantitative, qualitative, and R&amp;D research methods</w:t>
      </w:r>
      <w:r w:rsidRPr="00275134">
        <w:rPr>
          <w:rFonts w:ascii="Arial" w:hAnsi="Arial" w:cs="Arial"/>
          <w:highlight w:val="yellow"/>
        </w:rPr>
        <w:t xml:space="preserve">. </w:t>
      </w:r>
      <w:proofErr w:type="spellStart"/>
      <w:r w:rsidRPr="00275134">
        <w:rPr>
          <w:rFonts w:ascii="Arial" w:hAnsi="Arial" w:cs="Arial"/>
          <w:highlight w:val="yellow"/>
        </w:rPr>
        <w:t>Alfabeta</w:t>
      </w:r>
      <w:proofErr w:type="spellEnd"/>
      <w:r w:rsidRPr="00275134">
        <w:rPr>
          <w:rFonts w:ascii="Arial" w:hAnsi="Arial" w:cs="Arial"/>
          <w:highlight w:val="yellow"/>
        </w:rPr>
        <w:t>.</w:t>
      </w:r>
    </w:p>
    <w:p w14:paraId="168E3B6A" w14:textId="77777777" w:rsidR="00275134" w:rsidRPr="00275134" w:rsidRDefault="00275134" w:rsidP="00275134">
      <w:pPr>
        <w:ind w:left="567" w:hanging="567"/>
        <w:rPr>
          <w:rFonts w:ascii="Arial" w:hAnsi="Arial" w:cs="Arial"/>
        </w:rPr>
      </w:pPr>
      <w:proofErr w:type="spellStart"/>
      <w:r w:rsidRPr="00275134">
        <w:rPr>
          <w:rFonts w:ascii="Arial" w:hAnsi="Arial" w:cs="Arial"/>
          <w:highlight w:val="yellow"/>
        </w:rPr>
        <w:t>Syadullah</w:t>
      </w:r>
      <w:proofErr w:type="spellEnd"/>
      <w:r w:rsidRPr="00275134">
        <w:rPr>
          <w:rFonts w:ascii="Arial" w:hAnsi="Arial" w:cs="Arial"/>
          <w:highlight w:val="yellow"/>
        </w:rPr>
        <w:t xml:space="preserve">, M., &amp; </w:t>
      </w:r>
      <w:proofErr w:type="spellStart"/>
      <w:r w:rsidRPr="00275134">
        <w:rPr>
          <w:rFonts w:ascii="Arial" w:hAnsi="Arial" w:cs="Arial"/>
          <w:highlight w:val="yellow"/>
        </w:rPr>
        <w:t>Setyawan</w:t>
      </w:r>
      <w:proofErr w:type="spellEnd"/>
      <w:r w:rsidRPr="00275134">
        <w:rPr>
          <w:rFonts w:ascii="Arial" w:hAnsi="Arial" w:cs="Arial"/>
          <w:highlight w:val="yellow"/>
        </w:rPr>
        <w:t xml:space="preserve">, D. (2021). Time-lag effects of infrastructure investment on economic growth in Indonesia. </w:t>
      </w:r>
      <w:r w:rsidRPr="00275134">
        <w:rPr>
          <w:rFonts w:ascii="Arial" w:hAnsi="Arial" w:cs="Arial"/>
          <w:i/>
          <w:iCs/>
          <w:highlight w:val="yellow"/>
        </w:rPr>
        <w:t>Economic Journal of Development Studies, 9</w:t>
      </w:r>
      <w:r w:rsidRPr="00275134">
        <w:rPr>
          <w:rFonts w:ascii="Arial" w:hAnsi="Arial" w:cs="Arial"/>
          <w:highlight w:val="yellow"/>
        </w:rPr>
        <w:t>(4), 89–105.</w:t>
      </w:r>
    </w:p>
    <w:p w14:paraId="27B80BD0" w14:textId="77777777" w:rsidR="00FF04BB" w:rsidRPr="003E3732" w:rsidRDefault="00FF04BB">
      <w:pPr>
        <w:rPr>
          <w:rFonts w:ascii="Arial" w:hAnsi="Arial" w:cs="Arial"/>
        </w:rPr>
      </w:pPr>
    </w:p>
    <w:p w14:paraId="42812E41" w14:textId="77777777" w:rsidR="00FF04BB" w:rsidRPr="003E3732" w:rsidRDefault="00FF04BB">
      <w:pPr>
        <w:rPr>
          <w:rFonts w:ascii="Arial" w:hAnsi="Arial" w:cs="Arial"/>
        </w:rPr>
      </w:pPr>
    </w:p>
    <w:p w14:paraId="32124FFE" w14:textId="77777777" w:rsidR="00FF04BB" w:rsidRPr="003E3732" w:rsidRDefault="00FF04BB">
      <w:pPr>
        <w:rPr>
          <w:rFonts w:ascii="Arial" w:hAnsi="Arial" w:cs="Arial"/>
        </w:rPr>
      </w:pPr>
    </w:p>
    <w:p w14:paraId="4C75E774" w14:textId="77777777" w:rsidR="00FF04BB" w:rsidRPr="003E3732" w:rsidRDefault="00FF04BB">
      <w:pPr>
        <w:rPr>
          <w:rFonts w:ascii="Arial" w:hAnsi="Arial" w:cs="Arial"/>
        </w:rPr>
      </w:pPr>
    </w:p>
    <w:p w14:paraId="6146633F" w14:textId="77777777" w:rsidR="00FF04BB" w:rsidRPr="003E3732" w:rsidRDefault="00FF04BB">
      <w:pPr>
        <w:rPr>
          <w:rFonts w:ascii="Arial" w:hAnsi="Arial" w:cs="Arial"/>
        </w:rPr>
      </w:pPr>
    </w:p>
    <w:p w14:paraId="79BA1EA6" w14:textId="77777777" w:rsidR="00FF04BB" w:rsidRPr="003E3732" w:rsidRDefault="00FF04BB">
      <w:pPr>
        <w:rPr>
          <w:rFonts w:ascii="Arial" w:hAnsi="Arial" w:cs="Arial"/>
        </w:rPr>
      </w:pPr>
    </w:p>
    <w:p w14:paraId="714B1EEC" w14:textId="77777777" w:rsidR="00FF04BB" w:rsidRPr="003E3732" w:rsidRDefault="00FF04BB">
      <w:pPr>
        <w:rPr>
          <w:rFonts w:ascii="Arial" w:hAnsi="Arial" w:cs="Arial"/>
        </w:rPr>
      </w:pPr>
    </w:p>
    <w:p w14:paraId="74E4DD9A" w14:textId="77777777" w:rsidR="00FF04BB" w:rsidRPr="003E3732" w:rsidRDefault="00FF04BB">
      <w:pPr>
        <w:rPr>
          <w:rFonts w:ascii="Arial" w:hAnsi="Arial" w:cs="Arial"/>
        </w:rPr>
      </w:pPr>
    </w:p>
    <w:p w14:paraId="755C1CD3" w14:textId="77777777" w:rsidR="00FF04BB" w:rsidRPr="003E3732" w:rsidRDefault="00FF04BB">
      <w:pPr>
        <w:rPr>
          <w:rFonts w:ascii="Arial" w:hAnsi="Arial" w:cs="Arial"/>
        </w:rPr>
      </w:pPr>
    </w:p>
    <w:p w14:paraId="23C6A607" w14:textId="77777777" w:rsidR="00FF04BB" w:rsidRPr="003E3732" w:rsidRDefault="00FF04BB">
      <w:pPr>
        <w:rPr>
          <w:rFonts w:ascii="Arial" w:hAnsi="Arial" w:cs="Arial"/>
        </w:rPr>
      </w:pPr>
    </w:p>
    <w:p w14:paraId="182E8CA6" w14:textId="77777777" w:rsidR="00FF04BB" w:rsidRPr="003E3732" w:rsidRDefault="00FF04BB">
      <w:pPr>
        <w:rPr>
          <w:rFonts w:ascii="Arial" w:hAnsi="Arial" w:cs="Arial"/>
        </w:rPr>
      </w:pPr>
    </w:p>
    <w:p w14:paraId="5A2EF5F5" w14:textId="77777777" w:rsidR="00FF04BB" w:rsidRPr="003E3732" w:rsidRDefault="00FF04BB">
      <w:pPr>
        <w:rPr>
          <w:rFonts w:ascii="Arial" w:hAnsi="Arial" w:cs="Arial"/>
        </w:rPr>
      </w:pPr>
    </w:p>
    <w:p w14:paraId="1B878611" w14:textId="77777777" w:rsidR="00FF04BB" w:rsidRPr="003E3732" w:rsidRDefault="00FF04BB">
      <w:pPr>
        <w:rPr>
          <w:rFonts w:ascii="Arial" w:hAnsi="Arial" w:cs="Arial"/>
        </w:rPr>
      </w:pPr>
    </w:p>
    <w:p w14:paraId="5AAD36D4" w14:textId="77777777" w:rsidR="00FF04BB" w:rsidRPr="003E3732" w:rsidRDefault="00FF04BB">
      <w:pPr>
        <w:rPr>
          <w:rFonts w:ascii="Arial" w:hAnsi="Arial" w:cs="Arial"/>
        </w:rPr>
      </w:pPr>
    </w:p>
    <w:p w14:paraId="7683916D" w14:textId="77777777" w:rsidR="00FF04BB" w:rsidRPr="003E3732" w:rsidRDefault="00FF04BB">
      <w:pPr>
        <w:rPr>
          <w:rFonts w:ascii="Arial" w:hAnsi="Arial" w:cs="Arial"/>
        </w:rPr>
      </w:pPr>
    </w:p>
    <w:p w14:paraId="1F1F779E" w14:textId="77777777" w:rsidR="00FF04BB" w:rsidRPr="003E3732" w:rsidRDefault="00FF04BB">
      <w:pPr>
        <w:rPr>
          <w:rFonts w:ascii="Arial" w:hAnsi="Arial" w:cs="Arial"/>
        </w:rPr>
      </w:pPr>
    </w:p>
    <w:sectPr w:rsidR="00FF04BB" w:rsidRPr="003E373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2FC32" w14:textId="77777777" w:rsidR="001535B2" w:rsidRDefault="001535B2" w:rsidP="00B60001">
      <w:pPr>
        <w:spacing w:after="0" w:line="240" w:lineRule="auto"/>
      </w:pPr>
      <w:r>
        <w:separator/>
      </w:r>
    </w:p>
  </w:endnote>
  <w:endnote w:type="continuationSeparator" w:id="0">
    <w:p w14:paraId="2BF62011" w14:textId="77777777" w:rsidR="001535B2" w:rsidRDefault="001535B2" w:rsidP="00B6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DBC7" w14:textId="77777777" w:rsidR="00B60001" w:rsidRDefault="00B6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51CBA" w14:textId="77777777" w:rsidR="00B60001" w:rsidRDefault="00B60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5ADD" w14:textId="77777777" w:rsidR="00B60001" w:rsidRDefault="00B6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B4B10" w14:textId="77777777" w:rsidR="001535B2" w:rsidRDefault="001535B2" w:rsidP="00B60001">
      <w:pPr>
        <w:spacing w:after="0" w:line="240" w:lineRule="auto"/>
      </w:pPr>
      <w:r>
        <w:separator/>
      </w:r>
    </w:p>
  </w:footnote>
  <w:footnote w:type="continuationSeparator" w:id="0">
    <w:p w14:paraId="06A4BD62" w14:textId="77777777" w:rsidR="001535B2" w:rsidRDefault="001535B2" w:rsidP="00B60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A7600" w14:textId="0CB0FC38" w:rsidR="00B60001" w:rsidRDefault="001535B2">
    <w:pPr>
      <w:pStyle w:val="Header"/>
    </w:pPr>
    <w:r>
      <w:rPr>
        <w:noProof/>
      </w:rPr>
      <w:pict w14:anchorId="676AF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91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B891" w14:textId="07FAEC86" w:rsidR="00B60001" w:rsidRDefault="001535B2">
    <w:pPr>
      <w:pStyle w:val="Header"/>
    </w:pPr>
    <w:r>
      <w:rPr>
        <w:noProof/>
      </w:rPr>
      <w:pict w14:anchorId="42210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91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CA63" w14:textId="3DF325D6" w:rsidR="00B60001" w:rsidRDefault="001535B2">
    <w:pPr>
      <w:pStyle w:val="Header"/>
    </w:pPr>
    <w:r>
      <w:rPr>
        <w:noProof/>
      </w:rPr>
      <w:pict w14:anchorId="569F7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91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44F"/>
    <w:multiLevelType w:val="multilevel"/>
    <w:tmpl w:val="F266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73946"/>
    <w:multiLevelType w:val="multilevel"/>
    <w:tmpl w:val="D098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115AA"/>
    <w:multiLevelType w:val="multilevel"/>
    <w:tmpl w:val="BDD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850C0"/>
    <w:multiLevelType w:val="multilevel"/>
    <w:tmpl w:val="5BFA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E43AD"/>
    <w:multiLevelType w:val="multilevel"/>
    <w:tmpl w:val="2A78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50B76"/>
    <w:multiLevelType w:val="multilevel"/>
    <w:tmpl w:val="D3A4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E175E"/>
    <w:multiLevelType w:val="multilevel"/>
    <w:tmpl w:val="569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560C5"/>
    <w:multiLevelType w:val="multilevel"/>
    <w:tmpl w:val="7D60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221B38"/>
    <w:multiLevelType w:val="multilevel"/>
    <w:tmpl w:val="EF08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00E40"/>
    <w:multiLevelType w:val="hybridMultilevel"/>
    <w:tmpl w:val="5600A2BA"/>
    <w:lvl w:ilvl="0" w:tplc="54723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F1F63"/>
    <w:multiLevelType w:val="multilevel"/>
    <w:tmpl w:val="A252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BB5572"/>
    <w:multiLevelType w:val="multilevel"/>
    <w:tmpl w:val="5FC0A8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9F5FFC"/>
    <w:multiLevelType w:val="multilevel"/>
    <w:tmpl w:val="1F4C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1657B5"/>
    <w:multiLevelType w:val="multilevel"/>
    <w:tmpl w:val="23C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8D794D"/>
    <w:multiLevelType w:val="multilevel"/>
    <w:tmpl w:val="83E0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0"/>
  </w:num>
  <w:num w:numId="4">
    <w:abstractNumId w:val="6"/>
  </w:num>
  <w:num w:numId="5">
    <w:abstractNumId w:val="13"/>
  </w:num>
  <w:num w:numId="6">
    <w:abstractNumId w:val="2"/>
  </w:num>
  <w:num w:numId="7">
    <w:abstractNumId w:val="7"/>
  </w:num>
  <w:num w:numId="8">
    <w:abstractNumId w:val="1"/>
  </w:num>
  <w:num w:numId="9">
    <w:abstractNumId w:val="10"/>
  </w:num>
  <w:num w:numId="10">
    <w:abstractNumId w:val="8"/>
  </w:num>
  <w:num w:numId="11">
    <w:abstractNumId w:val="3"/>
  </w:num>
  <w:num w:numId="12">
    <w:abstractNumId w:val="12"/>
  </w:num>
  <w:num w:numId="13">
    <w:abstractNumId w:val="1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4BB"/>
    <w:rsid w:val="00027881"/>
    <w:rsid w:val="000467AE"/>
    <w:rsid w:val="00052F15"/>
    <w:rsid w:val="001535B2"/>
    <w:rsid w:val="00183A0C"/>
    <w:rsid w:val="001C4503"/>
    <w:rsid w:val="00275134"/>
    <w:rsid w:val="002A15A0"/>
    <w:rsid w:val="003524A6"/>
    <w:rsid w:val="00384BD0"/>
    <w:rsid w:val="003E3732"/>
    <w:rsid w:val="00400B12"/>
    <w:rsid w:val="004F1A4E"/>
    <w:rsid w:val="005B798D"/>
    <w:rsid w:val="005E135A"/>
    <w:rsid w:val="00600BB5"/>
    <w:rsid w:val="0069712D"/>
    <w:rsid w:val="00710D8E"/>
    <w:rsid w:val="009A3743"/>
    <w:rsid w:val="00A2268F"/>
    <w:rsid w:val="00A22CCB"/>
    <w:rsid w:val="00AC7BAE"/>
    <w:rsid w:val="00AF4109"/>
    <w:rsid w:val="00AF6609"/>
    <w:rsid w:val="00AF7434"/>
    <w:rsid w:val="00B1562F"/>
    <w:rsid w:val="00B60001"/>
    <w:rsid w:val="00B97B7A"/>
    <w:rsid w:val="00BC4F23"/>
    <w:rsid w:val="00C57DF0"/>
    <w:rsid w:val="00E17417"/>
    <w:rsid w:val="00E458BB"/>
    <w:rsid w:val="00F149BA"/>
    <w:rsid w:val="00F775C5"/>
    <w:rsid w:val="00FD029A"/>
    <w:rsid w:val="00FE28F9"/>
    <w:rsid w:val="00FF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04A76F"/>
  <w15:chartTrackingRefBased/>
  <w15:docId w15:val="{B107E694-93DB-422E-B38D-862F3AFF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04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4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4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4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4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4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4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0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4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4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4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4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4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4BB"/>
    <w:rPr>
      <w:rFonts w:eastAsiaTheme="majorEastAsia" w:cstheme="majorBidi"/>
      <w:color w:val="272727" w:themeColor="text1" w:themeTint="D8"/>
    </w:rPr>
  </w:style>
  <w:style w:type="paragraph" w:styleId="Title">
    <w:name w:val="Title"/>
    <w:basedOn w:val="Normal"/>
    <w:next w:val="Normal"/>
    <w:link w:val="TitleChar"/>
    <w:uiPriority w:val="10"/>
    <w:qFormat/>
    <w:rsid w:val="00FF0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4BB"/>
    <w:pPr>
      <w:spacing w:before="160"/>
      <w:jc w:val="center"/>
    </w:pPr>
    <w:rPr>
      <w:i/>
      <w:iCs/>
      <w:color w:val="404040" w:themeColor="text1" w:themeTint="BF"/>
    </w:rPr>
  </w:style>
  <w:style w:type="character" w:customStyle="1" w:styleId="QuoteChar">
    <w:name w:val="Quote Char"/>
    <w:basedOn w:val="DefaultParagraphFont"/>
    <w:link w:val="Quote"/>
    <w:uiPriority w:val="29"/>
    <w:rsid w:val="00FF04BB"/>
    <w:rPr>
      <w:i/>
      <w:iCs/>
      <w:color w:val="404040" w:themeColor="text1" w:themeTint="BF"/>
    </w:rPr>
  </w:style>
  <w:style w:type="paragraph" w:styleId="ListParagraph">
    <w:name w:val="List Paragraph"/>
    <w:basedOn w:val="Normal"/>
    <w:uiPriority w:val="34"/>
    <w:qFormat/>
    <w:rsid w:val="00FF04BB"/>
    <w:pPr>
      <w:ind w:left="720"/>
      <w:contextualSpacing/>
    </w:pPr>
  </w:style>
  <w:style w:type="character" w:styleId="IntenseEmphasis">
    <w:name w:val="Intense Emphasis"/>
    <w:basedOn w:val="DefaultParagraphFont"/>
    <w:uiPriority w:val="21"/>
    <w:qFormat/>
    <w:rsid w:val="00FF04BB"/>
    <w:rPr>
      <w:i/>
      <w:iCs/>
      <w:color w:val="0F4761" w:themeColor="accent1" w:themeShade="BF"/>
    </w:rPr>
  </w:style>
  <w:style w:type="paragraph" w:styleId="IntenseQuote">
    <w:name w:val="Intense Quote"/>
    <w:basedOn w:val="Normal"/>
    <w:next w:val="Normal"/>
    <w:link w:val="IntenseQuoteChar"/>
    <w:uiPriority w:val="30"/>
    <w:qFormat/>
    <w:rsid w:val="00FF0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4BB"/>
    <w:rPr>
      <w:i/>
      <w:iCs/>
      <w:color w:val="0F4761" w:themeColor="accent1" w:themeShade="BF"/>
    </w:rPr>
  </w:style>
  <w:style w:type="character" w:styleId="IntenseReference">
    <w:name w:val="Intense Reference"/>
    <w:basedOn w:val="DefaultParagraphFont"/>
    <w:uiPriority w:val="32"/>
    <w:qFormat/>
    <w:rsid w:val="00FF04BB"/>
    <w:rPr>
      <w:b/>
      <w:bCs/>
      <w:smallCaps/>
      <w:color w:val="0F4761" w:themeColor="accent1" w:themeShade="BF"/>
      <w:spacing w:val="5"/>
    </w:rPr>
  </w:style>
  <w:style w:type="paragraph" w:styleId="NormalWeb">
    <w:name w:val="Normal (Web)"/>
    <w:basedOn w:val="Normal"/>
    <w:uiPriority w:val="99"/>
    <w:semiHidden/>
    <w:unhideWhenUsed/>
    <w:rsid w:val="00AF7434"/>
    <w:rPr>
      <w:rFonts w:ascii="Times New Roman" w:hAnsi="Times New Roman" w:cs="Times New Roman"/>
    </w:rPr>
  </w:style>
  <w:style w:type="character" w:styleId="Hyperlink">
    <w:name w:val="Hyperlink"/>
    <w:basedOn w:val="DefaultParagraphFont"/>
    <w:uiPriority w:val="99"/>
    <w:unhideWhenUsed/>
    <w:rsid w:val="00710D8E"/>
    <w:rPr>
      <w:color w:val="467886" w:themeColor="hyperlink"/>
      <w:u w:val="single"/>
    </w:rPr>
  </w:style>
  <w:style w:type="character" w:customStyle="1" w:styleId="UnresolvedMention1">
    <w:name w:val="Unresolved Mention1"/>
    <w:basedOn w:val="DefaultParagraphFont"/>
    <w:uiPriority w:val="99"/>
    <w:semiHidden/>
    <w:unhideWhenUsed/>
    <w:rsid w:val="00710D8E"/>
    <w:rPr>
      <w:color w:val="605E5C"/>
      <w:shd w:val="clear" w:color="auto" w:fill="E1DFDD"/>
    </w:rPr>
  </w:style>
  <w:style w:type="table" w:styleId="TableGrid">
    <w:name w:val="Table Grid"/>
    <w:basedOn w:val="TableNormal"/>
    <w:uiPriority w:val="39"/>
    <w:rsid w:val="002A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C4503"/>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BodyTextChar">
    <w:name w:val="Body Text Char"/>
    <w:basedOn w:val="DefaultParagraphFont"/>
    <w:link w:val="BodyText"/>
    <w:uiPriority w:val="1"/>
    <w:rsid w:val="001C4503"/>
    <w:rPr>
      <w:rFonts w:ascii="Times New Roman" w:eastAsia="Times New Roman" w:hAnsi="Times New Roman" w:cs="Times New Roman"/>
      <w:kern w:val="0"/>
      <w:lang w:val="id"/>
      <w14:ligatures w14:val="none"/>
    </w:rPr>
  </w:style>
  <w:style w:type="paragraph" w:styleId="Header">
    <w:name w:val="header"/>
    <w:basedOn w:val="Normal"/>
    <w:link w:val="HeaderChar"/>
    <w:uiPriority w:val="99"/>
    <w:unhideWhenUsed/>
    <w:rsid w:val="00B6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001"/>
  </w:style>
  <w:style w:type="paragraph" w:styleId="Footer">
    <w:name w:val="footer"/>
    <w:basedOn w:val="Normal"/>
    <w:link w:val="FooterChar"/>
    <w:uiPriority w:val="99"/>
    <w:unhideWhenUsed/>
    <w:rsid w:val="00B6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001"/>
  </w:style>
  <w:style w:type="character" w:styleId="Strong">
    <w:name w:val="Strong"/>
    <w:basedOn w:val="DefaultParagraphFont"/>
    <w:uiPriority w:val="22"/>
    <w:qFormat/>
    <w:rsid w:val="00027881"/>
    <w:rPr>
      <w:b/>
      <w:bCs/>
    </w:rPr>
  </w:style>
  <w:style w:type="character" w:styleId="UnresolvedMention">
    <w:name w:val="Unresolved Mention"/>
    <w:basedOn w:val="DefaultParagraphFont"/>
    <w:uiPriority w:val="99"/>
    <w:semiHidden/>
    <w:unhideWhenUsed/>
    <w:rsid w:val="00AF4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602">
      <w:bodyDiv w:val="1"/>
      <w:marLeft w:val="0"/>
      <w:marRight w:val="0"/>
      <w:marTop w:val="0"/>
      <w:marBottom w:val="0"/>
      <w:divBdr>
        <w:top w:val="none" w:sz="0" w:space="0" w:color="auto"/>
        <w:left w:val="none" w:sz="0" w:space="0" w:color="auto"/>
        <w:bottom w:val="none" w:sz="0" w:space="0" w:color="auto"/>
        <w:right w:val="none" w:sz="0" w:space="0" w:color="auto"/>
      </w:divBdr>
    </w:div>
    <w:div w:id="21782264">
      <w:bodyDiv w:val="1"/>
      <w:marLeft w:val="0"/>
      <w:marRight w:val="0"/>
      <w:marTop w:val="0"/>
      <w:marBottom w:val="0"/>
      <w:divBdr>
        <w:top w:val="none" w:sz="0" w:space="0" w:color="auto"/>
        <w:left w:val="none" w:sz="0" w:space="0" w:color="auto"/>
        <w:bottom w:val="none" w:sz="0" w:space="0" w:color="auto"/>
        <w:right w:val="none" w:sz="0" w:space="0" w:color="auto"/>
      </w:divBdr>
      <w:divsChild>
        <w:div w:id="1470510400">
          <w:marLeft w:val="0"/>
          <w:marRight w:val="0"/>
          <w:marTop w:val="0"/>
          <w:marBottom w:val="0"/>
          <w:divBdr>
            <w:top w:val="none" w:sz="0" w:space="0" w:color="auto"/>
            <w:left w:val="none" w:sz="0" w:space="0" w:color="auto"/>
            <w:bottom w:val="none" w:sz="0" w:space="0" w:color="auto"/>
            <w:right w:val="none" w:sz="0" w:space="0" w:color="auto"/>
          </w:divBdr>
          <w:divsChild>
            <w:div w:id="17747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5831">
      <w:bodyDiv w:val="1"/>
      <w:marLeft w:val="0"/>
      <w:marRight w:val="0"/>
      <w:marTop w:val="0"/>
      <w:marBottom w:val="0"/>
      <w:divBdr>
        <w:top w:val="none" w:sz="0" w:space="0" w:color="auto"/>
        <w:left w:val="none" w:sz="0" w:space="0" w:color="auto"/>
        <w:bottom w:val="none" w:sz="0" w:space="0" w:color="auto"/>
        <w:right w:val="none" w:sz="0" w:space="0" w:color="auto"/>
      </w:divBdr>
    </w:div>
    <w:div w:id="112599788">
      <w:bodyDiv w:val="1"/>
      <w:marLeft w:val="0"/>
      <w:marRight w:val="0"/>
      <w:marTop w:val="0"/>
      <w:marBottom w:val="0"/>
      <w:divBdr>
        <w:top w:val="none" w:sz="0" w:space="0" w:color="auto"/>
        <w:left w:val="none" w:sz="0" w:space="0" w:color="auto"/>
        <w:bottom w:val="none" w:sz="0" w:space="0" w:color="auto"/>
        <w:right w:val="none" w:sz="0" w:space="0" w:color="auto"/>
      </w:divBdr>
      <w:divsChild>
        <w:div w:id="286937189">
          <w:marLeft w:val="0"/>
          <w:marRight w:val="0"/>
          <w:marTop w:val="0"/>
          <w:marBottom w:val="0"/>
          <w:divBdr>
            <w:top w:val="none" w:sz="0" w:space="0" w:color="auto"/>
            <w:left w:val="none" w:sz="0" w:space="0" w:color="auto"/>
            <w:bottom w:val="none" w:sz="0" w:space="0" w:color="auto"/>
            <w:right w:val="none" w:sz="0" w:space="0" w:color="auto"/>
          </w:divBdr>
          <w:divsChild>
            <w:div w:id="17557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6715">
      <w:bodyDiv w:val="1"/>
      <w:marLeft w:val="0"/>
      <w:marRight w:val="0"/>
      <w:marTop w:val="0"/>
      <w:marBottom w:val="0"/>
      <w:divBdr>
        <w:top w:val="none" w:sz="0" w:space="0" w:color="auto"/>
        <w:left w:val="none" w:sz="0" w:space="0" w:color="auto"/>
        <w:bottom w:val="none" w:sz="0" w:space="0" w:color="auto"/>
        <w:right w:val="none" w:sz="0" w:space="0" w:color="auto"/>
      </w:divBdr>
      <w:divsChild>
        <w:div w:id="213396495">
          <w:marLeft w:val="0"/>
          <w:marRight w:val="0"/>
          <w:marTop w:val="0"/>
          <w:marBottom w:val="0"/>
          <w:divBdr>
            <w:top w:val="none" w:sz="0" w:space="0" w:color="auto"/>
            <w:left w:val="none" w:sz="0" w:space="0" w:color="auto"/>
            <w:bottom w:val="none" w:sz="0" w:space="0" w:color="auto"/>
            <w:right w:val="none" w:sz="0" w:space="0" w:color="auto"/>
          </w:divBdr>
        </w:div>
        <w:div w:id="1449742938">
          <w:marLeft w:val="0"/>
          <w:marRight w:val="0"/>
          <w:marTop w:val="0"/>
          <w:marBottom w:val="0"/>
          <w:divBdr>
            <w:top w:val="none" w:sz="0" w:space="0" w:color="auto"/>
            <w:left w:val="none" w:sz="0" w:space="0" w:color="auto"/>
            <w:bottom w:val="none" w:sz="0" w:space="0" w:color="auto"/>
            <w:right w:val="none" w:sz="0" w:space="0" w:color="auto"/>
          </w:divBdr>
          <w:divsChild>
            <w:div w:id="398749079">
              <w:marLeft w:val="0"/>
              <w:marRight w:val="0"/>
              <w:marTop w:val="0"/>
              <w:marBottom w:val="0"/>
              <w:divBdr>
                <w:top w:val="none" w:sz="0" w:space="0" w:color="auto"/>
                <w:left w:val="none" w:sz="0" w:space="0" w:color="auto"/>
                <w:bottom w:val="none" w:sz="0" w:space="0" w:color="auto"/>
                <w:right w:val="none" w:sz="0" w:space="0" w:color="auto"/>
              </w:divBdr>
              <w:divsChild>
                <w:div w:id="1621380199">
                  <w:marLeft w:val="0"/>
                  <w:marRight w:val="0"/>
                  <w:marTop w:val="0"/>
                  <w:marBottom w:val="0"/>
                  <w:divBdr>
                    <w:top w:val="none" w:sz="0" w:space="0" w:color="auto"/>
                    <w:left w:val="none" w:sz="0" w:space="0" w:color="auto"/>
                    <w:bottom w:val="none" w:sz="0" w:space="0" w:color="auto"/>
                    <w:right w:val="none" w:sz="0" w:space="0" w:color="auto"/>
                  </w:divBdr>
                  <w:divsChild>
                    <w:div w:id="374040916">
                      <w:marLeft w:val="0"/>
                      <w:marRight w:val="0"/>
                      <w:marTop w:val="0"/>
                      <w:marBottom w:val="0"/>
                      <w:divBdr>
                        <w:top w:val="none" w:sz="0" w:space="0" w:color="auto"/>
                        <w:left w:val="none" w:sz="0" w:space="0" w:color="auto"/>
                        <w:bottom w:val="none" w:sz="0" w:space="0" w:color="auto"/>
                        <w:right w:val="none" w:sz="0" w:space="0" w:color="auto"/>
                      </w:divBdr>
                      <w:divsChild>
                        <w:div w:id="13439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33">
      <w:bodyDiv w:val="1"/>
      <w:marLeft w:val="0"/>
      <w:marRight w:val="0"/>
      <w:marTop w:val="0"/>
      <w:marBottom w:val="0"/>
      <w:divBdr>
        <w:top w:val="none" w:sz="0" w:space="0" w:color="auto"/>
        <w:left w:val="none" w:sz="0" w:space="0" w:color="auto"/>
        <w:bottom w:val="none" w:sz="0" w:space="0" w:color="auto"/>
        <w:right w:val="none" w:sz="0" w:space="0" w:color="auto"/>
      </w:divBdr>
      <w:divsChild>
        <w:div w:id="624192747">
          <w:marLeft w:val="0"/>
          <w:marRight w:val="0"/>
          <w:marTop w:val="0"/>
          <w:marBottom w:val="0"/>
          <w:divBdr>
            <w:top w:val="none" w:sz="0" w:space="0" w:color="auto"/>
            <w:left w:val="none" w:sz="0" w:space="0" w:color="auto"/>
            <w:bottom w:val="none" w:sz="0" w:space="0" w:color="auto"/>
            <w:right w:val="none" w:sz="0" w:space="0" w:color="auto"/>
          </w:divBdr>
          <w:divsChild>
            <w:div w:id="2114206194">
              <w:marLeft w:val="0"/>
              <w:marRight w:val="0"/>
              <w:marTop w:val="0"/>
              <w:marBottom w:val="0"/>
              <w:divBdr>
                <w:top w:val="none" w:sz="0" w:space="0" w:color="auto"/>
                <w:left w:val="none" w:sz="0" w:space="0" w:color="auto"/>
                <w:bottom w:val="none" w:sz="0" w:space="0" w:color="auto"/>
                <w:right w:val="none" w:sz="0" w:space="0" w:color="auto"/>
              </w:divBdr>
            </w:div>
          </w:divsChild>
        </w:div>
        <w:div w:id="43937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7864468">
      <w:bodyDiv w:val="1"/>
      <w:marLeft w:val="0"/>
      <w:marRight w:val="0"/>
      <w:marTop w:val="0"/>
      <w:marBottom w:val="0"/>
      <w:divBdr>
        <w:top w:val="none" w:sz="0" w:space="0" w:color="auto"/>
        <w:left w:val="none" w:sz="0" w:space="0" w:color="auto"/>
        <w:bottom w:val="none" w:sz="0" w:space="0" w:color="auto"/>
        <w:right w:val="none" w:sz="0" w:space="0" w:color="auto"/>
      </w:divBdr>
      <w:divsChild>
        <w:div w:id="2082409937">
          <w:marLeft w:val="0"/>
          <w:marRight w:val="0"/>
          <w:marTop w:val="0"/>
          <w:marBottom w:val="0"/>
          <w:divBdr>
            <w:top w:val="none" w:sz="0" w:space="0" w:color="auto"/>
            <w:left w:val="none" w:sz="0" w:space="0" w:color="auto"/>
            <w:bottom w:val="none" w:sz="0" w:space="0" w:color="auto"/>
            <w:right w:val="none" w:sz="0" w:space="0" w:color="auto"/>
          </w:divBdr>
          <w:divsChild>
            <w:div w:id="1355764515">
              <w:marLeft w:val="0"/>
              <w:marRight w:val="0"/>
              <w:marTop w:val="0"/>
              <w:marBottom w:val="0"/>
              <w:divBdr>
                <w:top w:val="none" w:sz="0" w:space="0" w:color="auto"/>
                <w:left w:val="none" w:sz="0" w:space="0" w:color="auto"/>
                <w:bottom w:val="none" w:sz="0" w:space="0" w:color="auto"/>
                <w:right w:val="none" w:sz="0" w:space="0" w:color="auto"/>
              </w:divBdr>
            </w:div>
          </w:divsChild>
        </w:div>
        <w:div w:id="235437382">
          <w:marLeft w:val="0"/>
          <w:marRight w:val="0"/>
          <w:marTop w:val="0"/>
          <w:marBottom w:val="0"/>
          <w:divBdr>
            <w:top w:val="none" w:sz="0" w:space="0" w:color="auto"/>
            <w:left w:val="none" w:sz="0" w:space="0" w:color="auto"/>
            <w:bottom w:val="none" w:sz="0" w:space="0" w:color="auto"/>
            <w:right w:val="none" w:sz="0" w:space="0" w:color="auto"/>
          </w:divBdr>
          <w:divsChild>
            <w:div w:id="2644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2686">
      <w:bodyDiv w:val="1"/>
      <w:marLeft w:val="0"/>
      <w:marRight w:val="0"/>
      <w:marTop w:val="0"/>
      <w:marBottom w:val="0"/>
      <w:divBdr>
        <w:top w:val="none" w:sz="0" w:space="0" w:color="auto"/>
        <w:left w:val="none" w:sz="0" w:space="0" w:color="auto"/>
        <w:bottom w:val="none" w:sz="0" w:space="0" w:color="auto"/>
        <w:right w:val="none" w:sz="0" w:space="0" w:color="auto"/>
      </w:divBdr>
    </w:div>
    <w:div w:id="450635390">
      <w:bodyDiv w:val="1"/>
      <w:marLeft w:val="0"/>
      <w:marRight w:val="0"/>
      <w:marTop w:val="0"/>
      <w:marBottom w:val="0"/>
      <w:divBdr>
        <w:top w:val="none" w:sz="0" w:space="0" w:color="auto"/>
        <w:left w:val="none" w:sz="0" w:space="0" w:color="auto"/>
        <w:bottom w:val="none" w:sz="0" w:space="0" w:color="auto"/>
        <w:right w:val="none" w:sz="0" w:space="0" w:color="auto"/>
      </w:divBdr>
    </w:div>
    <w:div w:id="717509281">
      <w:bodyDiv w:val="1"/>
      <w:marLeft w:val="0"/>
      <w:marRight w:val="0"/>
      <w:marTop w:val="0"/>
      <w:marBottom w:val="0"/>
      <w:divBdr>
        <w:top w:val="none" w:sz="0" w:space="0" w:color="auto"/>
        <w:left w:val="none" w:sz="0" w:space="0" w:color="auto"/>
        <w:bottom w:val="none" w:sz="0" w:space="0" w:color="auto"/>
        <w:right w:val="none" w:sz="0" w:space="0" w:color="auto"/>
      </w:divBdr>
    </w:div>
    <w:div w:id="729965605">
      <w:bodyDiv w:val="1"/>
      <w:marLeft w:val="0"/>
      <w:marRight w:val="0"/>
      <w:marTop w:val="0"/>
      <w:marBottom w:val="0"/>
      <w:divBdr>
        <w:top w:val="none" w:sz="0" w:space="0" w:color="auto"/>
        <w:left w:val="none" w:sz="0" w:space="0" w:color="auto"/>
        <w:bottom w:val="none" w:sz="0" w:space="0" w:color="auto"/>
        <w:right w:val="none" w:sz="0" w:space="0" w:color="auto"/>
      </w:divBdr>
    </w:div>
    <w:div w:id="740562225">
      <w:bodyDiv w:val="1"/>
      <w:marLeft w:val="0"/>
      <w:marRight w:val="0"/>
      <w:marTop w:val="0"/>
      <w:marBottom w:val="0"/>
      <w:divBdr>
        <w:top w:val="none" w:sz="0" w:space="0" w:color="auto"/>
        <w:left w:val="none" w:sz="0" w:space="0" w:color="auto"/>
        <w:bottom w:val="none" w:sz="0" w:space="0" w:color="auto"/>
        <w:right w:val="none" w:sz="0" w:space="0" w:color="auto"/>
      </w:divBdr>
    </w:div>
    <w:div w:id="811675643">
      <w:bodyDiv w:val="1"/>
      <w:marLeft w:val="0"/>
      <w:marRight w:val="0"/>
      <w:marTop w:val="0"/>
      <w:marBottom w:val="0"/>
      <w:divBdr>
        <w:top w:val="none" w:sz="0" w:space="0" w:color="auto"/>
        <w:left w:val="none" w:sz="0" w:space="0" w:color="auto"/>
        <w:bottom w:val="none" w:sz="0" w:space="0" w:color="auto"/>
        <w:right w:val="none" w:sz="0" w:space="0" w:color="auto"/>
      </w:divBdr>
    </w:div>
    <w:div w:id="871459116">
      <w:bodyDiv w:val="1"/>
      <w:marLeft w:val="0"/>
      <w:marRight w:val="0"/>
      <w:marTop w:val="0"/>
      <w:marBottom w:val="0"/>
      <w:divBdr>
        <w:top w:val="none" w:sz="0" w:space="0" w:color="auto"/>
        <w:left w:val="none" w:sz="0" w:space="0" w:color="auto"/>
        <w:bottom w:val="none" w:sz="0" w:space="0" w:color="auto"/>
        <w:right w:val="none" w:sz="0" w:space="0" w:color="auto"/>
      </w:divBdr>
    </w:div>
    <w:div w:id="902448734">
      <w:bodyDiv w:val="1"/>
      <w:marLeft w:val="0"/>
      <w:marRight w:val="0"/>
      <w:marTop w:val="0"/>
      <w:marBottom w:val="0"/>
      <w:divBdr>
        <w:top w:val="none" w:sz="0" w:space="0" w:color="auto"/>
        <w:left w:val="none" w:sz="0" w:space="0" w:color="auto"/>
        <w:bottom w:val="none" w:sz="0" w:space="0" w:color="auto"/>
        <w:right w:val="none" w:sz="0" w:space="0" w:color="auto"/>
      </w:divBdr>
    </w:div>
    <w:div w:id="975381373">
      <w:bodyDiv w:val="1"/>
      <w:marLeft w:val="0"/>
      <w:marRight w:val="0"/>
      <w:marTop w:val="0"/>
      <w:marBottom w:val="0"/>
      <w:divBdr>
        <w:top w:val="none" w:sz="0" w:space="0" w:color="auto"/>
        <w:left w:val="none" w:sz="0" w:space="0" w:color="auto"/>
        <w:bottom w:val="none" w:sz="0" w:space="0" w:color="auto"/>
        <w:right w:val="none" w:sz="0" w:space="0" w:color="auto"/>
      </w:divBdr>
    </w:div>
    <w:div w:id="1116873888">
      <w:bodyDiv w:val="1"/>
      <w:marLeft w:val="0"/>
      <w:marRight w:val="0"/>
      <w:marTop w:val="0"/>
      <w:marBottom w:val="0"/>
      <w:divBdr>
        <w:top w:val="none" w:sz="0" w:space="0" w:color="auto"/>
        <w:left w:val="none" w:sz="0" w:space="0" w:color="auto"/>
        <w:bottom w:val="none" w:sz="0" w:space="0" w:color="auto"/>
        <w:right w:val="none" w:sz="0" w:space="0" w:color="auto"/>
      </w:divBdr>
    </w:div>
    <w:div w:id="1174492594">
      <w:bodyDiv w:val="1"/>
      <w:marLeft w:val="0"/>
      <w:marRight w:val="0"/>
      <w:marTop w:val="0"/>
      <w:marBottom w:val="0"/>
      <w:divBdr>
        <w:top w:val="none" w:sz="0" w:space="0" w:color="auto"/>
        <w:left w:val="none" w:sz="0" w:space="0" w:color="auto"/>
        <w:bottom w:val="none" w:sz="0" w:space="0" w:color="auto"/>
        <w:right w:val="none" w:sz="0" w:space="0" w:color="auto"/>
      </w:divBdr>
      <w:divsChild>
        <w:div w:id="1849440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1358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221214">
          <w:blockQuote w:val="1"/>
          <w:marLeft w:val="720"/>
          <w:marRight w:val="720"/>
          <w:marTop w:val="100"/>
          <w:marBottom w:val="100"/>
          <w:divBdr>
            <w:top w:val="none" w:sz="0" w:space="0" w:color="auto"/>
            <w:left w:val="none" w:sz="0" w:space="0" w:color="auto"/>
            <w:bottom w:val="none" w:sz="0" w:space="0" w:color="auto"/>
            <w:right w:val="none" w:sz="0" w:space="0" w:color="auto"/>
          </w:divBdr>
        </w:div>
        <w:div w:id="25120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86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019345">
          <w:blockQuote w:val="1"/>
          <w:marLeft w:val="720"/>
          <w:marRight w:val="720"/>
          <w:marTop w:val="100"/>
          <w:marBottom w:val="100"/>
          <w:divBdr>
            <w:top w:val="none" w:sz="0" w:space="0" w:color="auto"/>
            <w:left w:val="none" w:sz="0" w:space="0" w:color="auto"/>
            <w:bottom w:val="none" w:sz="0" w:space="0" w:color="auto"/>
            <w:right w:val="none" w:sz="0" w:space="0" w:color="auto"/>
          </w:divBdr>
        </w:div>
        <w:div w:id="938607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58132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395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08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7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81170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786779">
      <w:bodyDiv w:val="1"/>
      <w:marLeft w:val="0"/>
      <w:marRight w:val="0"/>
      <w:marTop w:val="0"/>
      <w:marBottom w:val="0"/>
      <w:divBdr>
        <w:top w:val="none" w:sz="0" w:space="0" w:color="auto"/>
        <w:left w:val="none" w:sz="0" w:space="0" w:color="auto"/>
        <w:bottom w:val="none" w:sz="0" w:space="0" w:color="auto"/>
        <w:right w:val="none" w:sz="0" w:space="0" w:color="auto"/>
      </w:divBdr>
    </w:div>
    <w:div w:id="1308167190">
      <w:bodyDiv w:val="1"/>
      <w:marLeft w:val="0"/>
      <w:marRight w:val="0"/>
      <w:marTop w:val="0"/>
      <w:marBottom w:val="0"/>
      <w:divBdr>
        <w:top w:val="none" w:sz="0" w:space="0" w:color="auto"/>
        <w:left w:val="none" w:sz="0" w:space="0" w:color="auto"/>
        <w:bottom w:val="none" w:sz="0" w:space="0" w:color="auto"/>
        <w:right w:val="none" w:sz="0" w:space="0" w:color="auto"/>
      </w:divBdr>
    </w:div>
    <w:div w:id="1310400109">
      <w:bodyDiv w:val="1"/>
      <w:marLeft w:val="0"/>
      <w:marRight w:val="0"/>
      <w:marTop w:val="0"/>
      <w:marBottom w:val="0"/>
      <w:divBdr>
        <w:top w:val="none" w:sz="0" w:space="0" w:color="auto"/>
        <w:left w:val="none" w:sz="0" w:space="0" w:color="auto"/>
        <w:bottom w:val="none" w:sz="0" w:space="0" w:color="auto"/>
        <w:right w:val="none" w:sz="0" w:space="0" w:color="auto"/>
      </w:divBdr>
      <w:divsChild>
        <w:div w:id="312949159">
          <w:marLeft w:val="0"/>
          <w:marRight w:val="0"/>
          <w:marTop w:val="0"/>
          <w:marBottom w:val="0"/>
          <w:divBdr>
            <w:top w:val="none" w:sz="0" w:space="0" w:color="auto"/>
            <w:left w:val="none" w:sz="0" w:space="0" w:color="auto"/>
            <w:bottom w:val="none" w:sz="0" w:space="0" w:color="auto"/>
            <w:right w:val="none" w:sz="0" w:space="0" w:color="auto"/>
          </w:divBdr>
          <w:divsChild>
            <w:div w:id="7942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021">
      <w:bodyDiv w:val="1"/>
      <w:marLeft w:val="0"/>
      <w:marRight w:val="0"/>
      <w:marTop w:val="0"/>
      <w:marBottom w:val="0"/>
      <w:divBdr>
        <w:top w:val="none" w:sz="0" w:space="0" w:color="auto"/>
        <w:left w:val="none" w:sz="0" w:space="0" w:color="auto"/>
        <w:bottom w:val="none" w:sz="0" w:space="0" w:color="auto"/>
        <w:right w:val="none" w:sz="0" w:space="0" w:color="auto"/>
      </w:divBdr>
    </w:div>
    <w:div w:id="1350640286">
      <w:bodyDiv w:val="1"/>
      <w:marLeft w:val="0"/>
      <w:marRight w:val="0"/>
      <w:marTop w:val="0"/>
      <w:marBottom w:val="0"/>
      <w:divBdr>
        <w:top w:val="none" w:sz="0" w:space="0" w:color="auto"/>
        <w:left w:val="none" w:sz="0" w:space="0" w:color="auto"/>
        <w:bottom w:val="none" w:sz="0" w:space="0" w:color="auto"/>
        <w:right w:val="none" w:sz="0" w:space="0" w:color="auto"/>
      </w:divBdr>
      <w:divsChild>
        <w:div w:id="1634214694">
          <w:marLeft w:val="0"/>
          <w:marRight w:val="0"/>
          <w:marTop w:val="0"/>
          <w:marBottom w:val="0"/>
          <w:divBdr>
            <w:top w:val="none" w:sz="0" w:space="0" w:color="auto"/>
            <w:left w:val="none" w:sz="0" w:space="0" w:color="auto"/>
            <w:bottom w:val="none" w:sz="0" w:space="0" w:color="auto"/>
            <w:right w:val="none" w:sz="0" w:space="0" w:color="auto"/>
          </w:divBdr>
          <w:divsChild>
            <w:div w:id="681976196">
              <w:marLeft w:val="0"/>
              <w:marRight w:val="0"/>
              <w:marTop w:val="0"/>
              <w:marBottom w:val="0"/>
              <w:divBdr>
                <w:top w:val="none" w:sz="0" w:space="0" w:color="auto"/>
                <w:left w:val="none" w:sz="0" w:space="0" w:color="auto"/>
                <w:bottom w:val="none" w:sz="0" w:space="0" w:color="auto"/>
                <w:right w:val="none" w:sz="0" w:space="0" w:color="auto"/>
              </w:divBdr>
            </w:div>
          </w:divsChild>
        </w:div>
        <w:div w:id="1862549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297708">
      <w:bodyDiv w:val="1"/>
      <w:marLeft w:val="0"/>
      <w:marRight w:val="0"/>
      <w:marTop w:val="0"/>
      <w:marBottom w:val="0"/>
      <w:divBdr>
        <w:top w:val="none" w:sz="0" w:space="0" w:color="auto"/>
        <w:left w:val="none" w:sz="0" w:space="0" w:color="auto"/>
        <w:bottom w:val="none" w:sz="0" w:space="0" w:color="auto"/>
        <w:right w:val="none" w:sz="0" w:space="0" w:color="auto"/>
      </w:divBdr>
      <w:divsChild>
        <w:div w:id="270741807">
          <w:marLeft w:val="0"/>
          <w:marRight w:val="0"/>
          <w:marTop w:val="0"/>
          <w:marBottom w:val="0"/>
          <w:divBdr>
            <w:top w:val="none" w:sz="0" w:space="0" w:color="auto"/>
            <w:left w:val="none" w:sz="0" w:space="0" w:color="auto"/>
            <w:bottom w:val="none" w:sz="0" w:space="0" w:color="auto"/>
            <w:right w:val="none" w:sz="0" w:space="0" w:color="auto"/>
          </w:divBdr>
          <w:divsChild>
            <w:div w:id="853298795">
              <w:marLeft w:val="0"/>
              <w:marRight w:val="0"/>
              <w:marTop w:val="0"/>
              <w:marBottom w:val="0"/>
              <w:divBdr>
                <w:top w:val="none" w:sz="0" w:space="0" w:color="auto"/>
                <w:left w:val="none" w:sz="0" w:space="0" w:color="auto"/>
                <w:bottom w:val="none" w:sz="0" w:space="0" w:color="auto"/>
                <w:right w:val="none" w:sz="0" w:space="0" w:color="auto"/>
              </w:divBdr>
            </w:div>
          </w:divsChild>
        </w:div>
        <w:div w:id="79995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166903">
      <w:bodyDiv w:val="1"/>
      <w:marLeft w:val="0"/>
      <w:marRight w:val="0"/>
      <w:marTop w:val="0"/>
      <w:marBottom w:val="0"/>
      <w:divBdr>
        <w:top w:val="none" w:sz="0" w:space="0" w:color="auto"/>
        <w:left w:val="none" w:sz="0" w:space="0" w:color="auto"/>
        <w:bottom w:val="none" w:sz="0" w:space="0" w:color="auto"/>
        <w:right w:val="none" w:sz="0" w:space="0" w:color="auto"/>
      </w:divBdr>
    </w:div>
    <w:div w:id="1510214268">
      <w:bodyDiv w:val="1"/>
      <w:marLeft w:val="0"/>
      <w:marRight w:val="0"/>
      <w:marTop w:val="0"/>
      <w:marBottom w:val="0"/>
      <w:divBdr>
        <w:top w:val="none" w:sz="0" w:space="0" w:color="auto"/>
        <w:left w:val="none" w:sz="0" w:space="0" w:color="auto"/>
        <w:bottom w:val="none" w:sz="0" w:space="0" w:color="auto"/>
        <w:right w:val="none" w:sz="0" w:space="0" w:color="auto"/>
      </w:divBdr>
      <w:divsChild>
        <w:div w:id="94958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244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29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235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21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222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1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4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556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3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6811">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61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865143">
      <w:bodyDiv w:val="1"/>
      <w:marLeft w:val="0"/>
      <w:marRight w:val="0"/>
      <w:marTop w:val="0"/>
      <w:marBottom w:val="0"/>
      <w:divBdr>
        <w:top w:val="none" w:sz="0" w:space="0" w:color="auto"/>
        <w:left w:val="none" w:sz="0" w:space="0" w:color="auto"/>
        <w:bottom w:val="none" w:sz="0" w:space="0" w:color="auto"/>
        <w:right w:val="none" w:sz="0" w:space="0" w:color="auto"/>
      </w:divBdr>
      <w:divsChild>
        <w:div w:id="501506924">
          <w:marLeft w:val="0"/>
          <w:marRight w:val="0"/>
          <w:marTop w:val="0"/>
          <w:marBottom w:val="0"/>
          <w:divBdr>
            <w:top w:val="none" w:sz="0" w:space="0" w:color="auto"/>
            <w:left w:val="none" w:sz="0" w:space="0" w:color="auto"/>
            <w:bottom w:val="none" w:sz="0" w:space="0" w:color="auto"/>
            <w:right w:val="none" w:sz="0" w:space="0" w:color="auto"/>
          </w:divBdr>
          <w:divsChild>
            <w:div w:id="15222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7658">
      <w:bodyDiv w:val="1"/>
      <w:marLeft w:val="0"/>
      <w:marRight w:val="0"/>
      <w:marTop w:val="0"/>
      <w:marBottom w:val="0"/>
      <w:divBdr>
        <w:top w:val="none" w:sz="0" w:space="0" w:color="auto"/>
        <w:left w:val="none" w:sz="0" w:space="0" w:color="auto"/>
        <w:bottom w:val="none" w:sz="0" w:space="0" w:color="auto"/>
        <w:right w:val="none" w:sz="0" w:space="0" w:color="auto"/>
      </w:divBdr>
    </w:div>
    <w:div w:id="1616863168">
      <w:bodyDiv w:val="1"/>
      <w:marLeft w:val="0"/>
      <w:marRight w:val="0"/>
      <w:marTop w:val="0"/>
      <w:marBottom w:val="0"/>
      <w:divBdr>
        <w:top w:val="none" w:sz="0" w:space="0" w:color="auto"/>
        <w:left w:val="none" w:sz="0" w:space="0" w:color="auto"/>
        <w:bottom w:val="none" w:sz="0" w:space="0" w:color="auto"/>
        <w:right w:val="none" w:sz="0" w:space="0" w:color="auto"/>
      </w:divBdr>
    </w:div>
    <w:div w:id="1768769062">
      <w:bodyDiv w:val="1"/>
      <w:marLeft w:val="0"/>
      <w:marRight w:val="0"/>
      <w:marTop w:val="0"/>
      <w:marBottom w:val="0"/>
      <w:divBdr>
        <w:top w:val="none" w:sz="0" w:space="0" w:color="auto"/>
        <w:left w:val="none" w:sz="0" w:space="0" w:color="auto"/>
        <w:bottom w:val="none" w:sz="0" w:space="0" w:color="auto"/>
        <w:right w:val="none" w:sz="0" w:space="0" w:color="auto"/>
      </w:divBdr>
    </w:div>
    <w:div w:id="1819414628">
      <w:bodyDiv w:val="1"/>
      <w:marLeft w:val="0"/>
      <w:marRight w:val="0"/>
      <w:marTop w:val="0"/>
      <w:marBottom w:val="0"/>
      <w:divBdr>
        <w:top w:val="none" w:sz="0" w:space="0" w:color="auto"/>
        <w:left w:val="none" w:sz="0" w:space="0" w:color="auto"/>
        <w:bottom w:val="none" w:sz="0" w:space="0" w:color="auto"/>
        <w:right w:val="none" w:sz="0" w:space="0" w:color="auto"/>
      </w:divBdr>
    </w:div>
    <w:div w:id="1907496478">
      <w:bodyDiv w:val="1"/>
      <w:marLeft w:val="0"/>
      <w:marRight w:val="0"/>
      <w:marTop w:val="0"/>
      <w:marBottom w:val="0"/>
      <w:divBdr>
        <w:top w:val="none" w:sz="0" w:space="0" w:color="auto"/>
        <w:left w:val="none" w:sz="0" w:space="0" w:color="auto"/>
        <w:bottom w:val="none" w:sz="0" w:space="0" w:color="auto"/>
        <w:right w:val="none" w:sz="0" w:space="0" w:color="auto"/>
      </w:divBdr>
      <w:divsChild>
        <w:div w:id="1910529317">
          <w:marLeft w:val="0"/>
          <w:marRight w:val="0"/>
          <w:marTop w:val="0"/>
          <w:marBottom w:val="0"/>
          <w:divBdr>
            <w:top w:val="none" w:sz="0" w:space="0" w:color="auto"/>
            <w:left w:val="none" w:sz="0" w:space="0" w:color="auto"/>
            <w:bottom w:val="none" w:sz="0" w:space="0" w:color="auto"/>
            <w:right w:val="none" w:sz="0" w:space="0" w:color="auto"/>
          </w:divBdr>
          <w:divsChild>
            <w:div w:id="5671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2294">
      <w:bodyDiv w:val="1"/>
      <w:marLeft w:val="0"/>
      <w:marRight w:val="0"/>
      <w:marTop w:val="0"/>
      <w:marBottom w:val="0"/>
      <w:divBdr>
        <w:top w:val="none" w:sz="0" w:space="0" w:color="auto"/>
        <w:left w:val="none" w:sz="0" w:space="0" w:color="auto"/>
        <w:bottom w:val="none" w:sz="0" w:space="0" w:color="auto"/>
        <w:right w:val="none" w:sz="0" w:space="0" w:color="auto"/>
      </w:divBdr>
      <w:divsChild>
        <w:div w:id="1813401254">
          <w:marLeft w:val="0"/>
          <w:marRight w:val="0"/>
          <w:marTop w:val="0"/>
          <w:marBottom w:val="0"/>
          <w:divBdr>
            <w:top w:val="none" w:sz="0" w:space="0" w:color="auto"/>
            <w:left w:val="none" w:sz="0" w:space="0" w:color="auto"/>
            <w:bottom w:val="none" w:sz="0" w:space="0" w:color="auto"/>
            <w:right w:val="none" w:sz="0" w:space="0" w:color="auto"/>
          </w:divBdr>
          <w:divsChild>
            <w:div w:id="413015368">
              <w:marLeft w:val="0"/>
              <w:marRight w:val="0"/>
              <w:marTop w:val="0"/>
              <w:marBottom w:val="0"/>
              <w:divBdr>
                <w:top w:val="none" w:sz="0" w:space="0" w:color="auto"/>
                <w:left w:val="none" w:sz="0" w:space="0" w:color="auto"/>
                <w:bottom w:val="none" w:sz="0" w:space="0" w:color="auto"/>
                <w:right w:val="none" w:sz="0" w:space="0" w:color="auto"/>
              </w:divBdr>
            </w:div>
          </w:divsChild>
        </w:div>
        <w:div w:id="2021924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667178">
      <w:bodyDiv w:val="1"/>
      <w:marLeft w:val="0"/>
      <w:marRight w:val="0"/>
      <w:marTop w:val="0"/>
      <w:marBottom w:val="0"/>
      <w:divBdr>
        <w:top w:val="none" w:sz="0" w:space="0" w:color="auto"/>
        <w:left w:val="none" w:sz="0" w:space="0" w:color="auto"/>
        <w:bottom w:val="none" w:sz="0" w:space="0" w:color="auto"/>
        <w:right w:val="none" w:sz="0" w:space="0" w:color="auto"/>
      </w:divBdr>
    </w:div>
    <w:div w:id="20680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sciencedirect.com/science/article/abs/pii/S1877042815006741" TargetMode="External"/><Relationship Id="rId12" Type="http://schemas.openxmlformats.org/officeDocument/2006/relationships/image" Target="media/image5.png"/><Relationship Id="rId17" Type="http://schemas.openxmlformats.org/officeDocument/2006/relationships/hyperlink" Target="https://doi.org/10.35335/ijafibs.v13i1.34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jue.2024.10368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77/1363459306067310"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47172/2965-730X.SDGsReview.v5.n01.pe0431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391</TotalTime>
  <Pages>17</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Editor-11</cp:lastModifiedBy>
  <cp:revision>19</cp:revision>
  <dcterms:created xsi:type="dcterms:W3CDTF">2025-06-21T10:03:00Z</dcterms:created>
  <dcterms:modified xsi:type="dcterms:W3CDTF">2025-07-01T07:18:00Z</dcterms:modified>
</cp:coreProperties>
</file>