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2F2E" w14:textId="32C14C1B" w:rsidR="007C016A" w:rsidRPr="007C016A" w:rsidRDefault="008F0827" w:rsidP="007C016A">
      <w:pPr>
        <w:jc w:val="center"/>
        <w:rPr>
          <w:rFonts w:ascii="Arial" w:hAnsi="Arial" w:cs="Arial"/>
        </w:rPr>
      </w:pPr>
      <w:r w:rsidRPr="008F0827">
        <w:rPr>
          <w:rFonts w:ascii="Arial" w:hAnsi="Arial" w:cs="Arial"/>
          <w:b/>
          <w:bCs/>
          <w:highlight w:val="yellow"/>
        </w:rPr>
        <w:t>Multidimensional Determinants of Poverty and Regional Clustering in North Sumatra, Indonesia: A Factor and Cluster-Based Analytical Approach</w:t>
      </w:r>
    </w:p>
    <w:p w14:paraId="1B3A143A" w14:textId="77777777" w:rsidR="00364B6F" w:rsidRDefault="00364B6F" w:rsidP="00913E95">
      <w:pPr>
        <w:spacing w:after="0" w:line="240" w:lineRule="auto"/>
        <w:jc w:val="center"/>
        <w:outlineLvl w:val="0"/>
        <w:rPr>
          <w:rFonts w:ascii="Arial" w:hAnsi="Arial" w:cs="Arial"/>
          <w:sz w:val="20"/>
          <w:szCs w:val="20"/>
        </w:rPr>
      </w:pPr>
    </w:p>
    <w:p w14:paraId="39DAA95F" w14:textId="77777777" w:rsidR="00F62CB6" w:rsidRPr="004A3752" w:rsidRDefault="00F62CB6" w:rsidP="00913E95">
      <w:pPr>
        <w:spacing w:after="0" w:line="240" w:lineRule="auto"/>
        <w:jc w:val="center"/>
        <w:outlineLvl w:val="0"/>
        <w:rPr>
          <w:rFonts w:ascii="Arial" w:hAnsi="Arial" w:cs="Arial"/>
          <w:sz w:val="20"/>
          <w:szCs w:val="20"/>
        </w:rPr>
      </w:pPr>
    </w:p>
    <w:p w14:paraId="449DB316" w14:textId="77777777" w:rsidR="00913E95" w:rsidRPr="004A3752" w:rsidRDefault="00913E95" w:rsidP="00913E95">
      <w:pPr>
        <w:spacing w:after="0" w:line="240" w:lineRule="auto"/>
        <w:jc w:val="center"/>
        <w:outlineLvl w:val="0"/>
        <w:rPr>
          <w:rFonts w:ascii="Arial" w:hAnsi="Arial" w:cs="Arial"/>
          <w:sz w:val="20"/>
          <w:szCs w:val="20"/>
        </w:rPr>
      </w:pPr>
    </w:p>
    <w:p w14:paraId="2C939F59" w14:textId="0DB1D5AD" w:rsidR="007C016A" w:rsidRPr="008F0827" w:rsidRDefault="00A9750C" w:rsidP="008F0827">
      <w:pPr>
        <w:jc w:val="center"/>
        <w:rPr>
          <w:rFonts w:ascii="Arial" w:hAnsi="Arial" w:cs="Arial"/>
          <w:b/>
          <w:bCs/>
          <w:sz w:val="20"/>
          <w:szCs w:val="20"/>
        </w:rPr>
      </w:pPr>
      <w:proofErr w:type="gramStart"/>
      <w:r w:rsidRPr="008F0827">
        <w:rPr>
          <w:rFonts w:ascii="Arial" w:hAnsi="Arial" w:cs="Arial"/>
          <w:b/>
          <w:bCs/>
          <w:sz w:val="20"/>
          <w:szCs w:val="20"/>
        </w:rPr>
        <w:t>Abstract :</w:t>
      </w:r>
      <w:proofErr w:type="gramEnd"/>
    </w:p>
    <w:p w14:paraId="1B9FD7B4" w14:textId="28292B1C" w:rsidR="007C016A" w:rsidRPr="007C016A" w:rsidRDefault="008F0827" w:rsidP="007C016A">
      <w:pPr>
        <w:jc w:val="both"/>
        <w:rPr>
          <w:rFonts w:ascii="Arial" w:hAnsi="Arial" w:cs="Arial"/>
          <w:sz w:val="20"/>
          <w:szCs w:val="20"/>
        </w:rPr>
      </w:pPr>
      <w:r w:rsidRPr="008F0827">
        <w:rPr>
          <w:rFonts w:ascii="Arial" w:hAnsi="Arial" w:cs="Arial"/>
          <w:sz w:val="20"/>
          <w:szCs w:val="20"/>
          <w:highlight w:val="yellow"/>
        </w:rPr>
        <w:t>This study investigates the multidimensional nature of poverty and its spatial distribution across 33 districts and cities in North Sumatra, Indonesia. Using a combination of Principal Component Analysis (PCA) and K-Means clustering, the research identifies key socioeconomic factors contributing to regional poverty disparities, including education, unemployment, housing quality, and local fiscal capacity. The clustering results reveal five distinct district typologies, ranging from urban centers with strong infrastructure and human capital to rural and island regions facing structural deprivation. Multiple regression analysis confirms that education level, unemployment, and uninhabitable housing significantly predict poverty levels. The findings highlight the limitations of one-size-fits-all poverty alleviation strategies and underscore the need for geographically targeted policies. This study provides empirical evidence to support region-specific planning under Indonesia’s decentralized governance framework and offers a scalable approach for other provinces facing similar socio-economic diversity</w:t>
      </w:r>
      <w:r w:rsidR="007C016A" w:rsidRPr="007C016A">
        <w:rPr>
          <w:rFonts w:ascii="Arial" w:hAnsi="Arial" w:cs="Arial"/>
          <w:sz w:val="20"/>
          <w:szCs w:val="20"/>
        </w:rPr>
        <w:t>.</w:t>
      </w:r>
    </w:p>
    <w:p w14:paraId="5E22DAF9" w14:textId="6F4D0903" w:rsidR="007C016A" w:rsidRPr="007C016A" w:rsidRDefault="007C016A" w:rsidP="007C016A">
      <w:pPr>
        <w:rPr>
          <w:rFonts w:ascii="Arial" w:hAnsi="Arial" w:cs="Arial"/>
          <w:sz w:val="20"/>
          <w:szCs w:val="20"/>
        </w:rPr>
      </w:pPr>
      <w:r w:rsidRPr="007C016A">
        <w:rPr>
          <w:rFonts w:ascii="Arial" w:hAnsi="Arial" w:cs="Arial"/>
          <w:b/>
          <w:bCs/>
          <w:sz w:val="20"/>
          <w:szCs w:val="20"/>
        </w:rPr>
        <w:t>Keywords</w:t>
      </w:r>
      <w:r w:rsidRPr="007C016A">
        <w:rPr>
          <w:rFonts w:ascii="Arial" w:hAnsi="Arial" w:cs="Arial"/>
          <w:sz w:val="20"/>
          <w:szCs w:val="20"/>
        </w:rPr>
        <w:t xml:space="preserve">: </w:t>
      </w:r>
      <w:r w:rsidR="008F0827" w:rsidRPr="008F0827">
        <w:rPr>
          <w:rFonts w:ascii="Arial" w:hAnsi="Arial" w:cs="Arial"/>
          <w:sz w:val="20"/>
          <w:szCs w:val="20"/>
          <w:highlight w:val="yellow"/>
        </w:rPr>
        <w:t>multidimensional poverty, spatial clustering, regional inequality, factor analysis, K-means, North Sumatra, poverty policy</w:t>
      </w:r>
    </w:p>
    <w:p w14:paraId="14F4F54B" w14:textId="6AD5C757" w:rsidR="007C016A" w:rsidRPr="00913E95" w:rsidRDefault="00B6756A" w:rsidP="0017376D">
      <w:pPr>
        <w:pStyle w:val="ListParagraph"/>
        <w:numPr>
          <w:ilvl w:val="0"/>
          <w:numId w:val="1"/>
        </w:numPr>
        <w:ind w:left="709"/>
        <w:rPr>
          <w:rFonts w:ascii="Arial" w:hAnsi="Arial" w:cs="Arial"/>
          <w:b/>
          <w:bCs/>
          <w:sz w:val="20"/>
          <w:szCs w:val="20"/>
        </w:rPr>
      </w:pPr>
      <w:r w:rsidRPr="00913E95">
        <w:rPr>
          <w:rFonts w:ascii="Arial" w:hAnsi="Arial" w:cs="Arial"/>
          <w:b/>
          <w:bCs/>
          <w:sz w:val="20"/>
          <w:szCs w:val="20"/>
        </w:rPr>
        <w:t>INTRODUCTION</w:t>
      </w:r>
    </w:p>
    <w:p w14:paraId="65C8622E" w14:textId="05AC6EC0" w:rsidR="008F0827" w:rsidRPr="008F0827" w:rsidRDefault="008F0827" w:rsidP="008F0827">
      <w:pPr>
        <w:jc w:val="both"/>
        <w:rPr>
          <w:rFonts w:ascii="Arial" w:hAnsi="Arial" w:cs="Arial"/>
          <w:sz w:val="20"/>
          <w:szCs w:val="20"/>
          <w:highlight w:val="yellow"/>
        </w:rPr>
      </w:pPr>
      <w:r w:rsidRPr="008F0827">
        <w:rPr>
          <w:rFonts w:ascii="Arial" w:hAnsi="Arial" w:cs="Arial"/>
          <w:sz w:val="20"/>
          <w:szCs w:val="20"/>
          <w:highlight w:val="yellow"/>
        </w:rPr>
        <w:t xml:space="preserve">Poverty continues to be a multidimensional challenge that affects millions across Indonesia, particularly in regions where development disparities remain acute. In North Sumatra, persistent poverty rates are intricately tied to structural factors such as education, infrastructure, regional governance, and labor market conditions (Gea, 2023; </w:t>
      </w:r>
      <w:proofErr w:type="spellStart"/>
      <w:r w:rsidRPr="008F0827">
        <w:rPr>
          <w:rFonts w:ascii="Arial" w:hAnsi="Arial" w:cs="Arial"/>
          <w:sz w:val="20"/>
          <w:szCs w:val="20"/>
          <w:highlight w:val="yellow"/>
        </w:rPr>
        <w:t>Sitanggang</w:t>
      </w:r>
      <w:proofErr w:type="spellEnd"/>
      <w:r w:rsidRPr="008F0827">
        <w:rPr>
          <w:rFonts w:ascii="Arial" w:hAnsi="Arial" w:cs="Arial"/>
          <w:sz w:val="20"/>
          <w:szCs w:val="20"/>
          <w:highlight w:val="yellow"/>
        </w:rPr>
        <w:t xml:space="preserve"> et al., 2024). Despite various national strategies and social interventions, including the Strategic Poverty Alleviation Plan 2021–2025 (</w:t>
      </w:r>
      <w:proofErr w:type="spellStart"/>
      <w:r w:rsidRPr="008F0827">
        <w:rPr>
          <w:rFonts w:ascii="Arial" w:hAnsi="Arial" w:cs="Arial"/>
          <w:sz w:val="20"/>
          <w:szCs w:val="20"/>
          <w:highlight w:val="yellow"/>
        </w:rPr>
        <w:t>Bappenas</w:t>
      </w:r>
      <w:proofErr w:type="spellEnd"/>
      <w:r w:rsidRPr="008F0827">
        <w:rPr>
          <w:rFonts w:ascii="Arial" w:hAnsi="Arial" w:cs="Arial"/>
          <w:sz w:val="20"/>
          <w:szCs w:val="20"/>
          <w:highlight w:val="yellow"/>
        </w:rPr>
        <w:t>, 2021), poverty in the province remains unevenly distributed, reflecting spatial inequalities and localized development gaps.</w:t>
      </w:r>
    </w:p>
    <w:p w14:paraId="536B6763" w14:textId="77777777" w:rsidR="008F0827" w:rsidRPr="008F0827" w:rsidRDefault="008F0827" w:rsidP="008F0827">
      <w:pPr>
        <w:jc w:val="both"/>
        <w:rPr>
          <w:rFonts w:ascii="Arial" w:hAnsi="Arial" w:cs="Arial"/>
          <w:sz w:val="20"/>
          <w:szCs w:val="20"/>
          <w:highlight w:val="yellow"/>
        </w:rPr>
      </w:pPr>
      <w:r w:rsidRPr="008F0827">
        <w:rPr>
          <w:rFonts w:ascii="Arial" w:hAnsi="Arial" w:cs="Arial"/>
          <w:sz w:val="20"/>
          <w:szCs w:val="20"/>
          <w:highlight w:val="yellow"/>
        </w:rPr>
        <w:t>Multiple studies have underscored that regional poverty is not merely an economic issue but a composite of social exclusion, limited human capital, and infrastructural deficiencies (Afifi &amp; Nasir, 2023; Amin et al., 2024). For instance, empirical evidence reveals that the allocation of village funds and local social assistance has accelerated poverty alleviation in some areas but failed to reach structural depth in others (</w:t>
      </w:r>
      <w:proofErr w:type="spellStart"/>
      <w:r w:rsidRPr="008F0827">
        <w:rPr>
          <w:rFonts w:ascii="Arial" w:hAnsi="Arial" w:cs="Arial"/>
          <w:sz w:val="20"/>
          <w:szCs w:val="20"/>
          <w:highlight w:val="yellow"/>
        </w:rPr>
        <w:t>Rambe</w:t>
      </w:r>
      <w:proofErr w:type="spellEnd"/>
      <w:r w:rsidRPr="008F0827">
        <w:rPr>
          <w:rFonts w:ascii="Arial" w:hAnsi="Arial" w:cs="Arial"/>
          <w:sz w:val="20"/>
          <w:szCs w:val="20"/>
          <w:highlight w:val="yellow"/>
        </w:rPr>
        <w:t xml:space="preserve"> et al., 2023). The quality of human capital, proxied through education levels and employment readiness, also shows strong associations with regional poverty rates (Abrar et al., 2024; Nasution et al., 2024).</w:t>
      </w:r>
    </w:p>
    <w:p w14:paraId="5A6A1149" w14:textId="77777777" w:rsidR="008F0827" w:rsidRPr="008F0827" w:rsidRDefault="008F0827" w:rsidP="008F0827">
      <w:pPr>
        <w:jc w:val="both"/>
        <w:rPr>
          <w:rFonts w:ascii="Arial" w:hAnsi="Arial" w:cs="Arial"/>
          <w:sz w:val="20"/>
          <w:szCs w:val="20"/>
          <w:highlight w:val="yellow"/>
        </w:rPr>
      </w:pPr>
      <w:r w:rsidRPr="008F0827">
        <w:rPr>
          <w:rFonts w:ascii="Arial" w:hAnsi="Arial" w:cs="Arial"/>
          <w:sz w:val="20"/>
          <w:szCs w:val="20"/>
          <w:highlight w:val="yellow"/>
        </w:rPr>
        <w:t>In North Sumatra, regency-level disparities highlight the critical need for disaggregated poverty diagnostics. A recent analysis found that indicators such as population growth, access to education, and employment opportunities significantly shape poverty intensity in both rural and semi-urban districts (</w:t>
      </w:r>
      <w:proofErr w:type="spellStart"/>
      <w:r w:rsidRPr="008F0827">
        <w:rPr>
          <w:rFonts w:ascii="Arial" w:hAnsi="Arial" w:cs="Arial"/>
          <w:sz w:val="20"/>
          <w:szCs w:val="20"/>
          <w:highlight w:val="yellow"/>
        </w:rPr>
        <w:t>Sinambela</w:t>
      </w:r>
      <w:proofErr w:type="spellEnd"/>
      <w:r w:rsidRPr="008F0827">
        <w:rPr>
          <w:rFonts w:ascii="Arial" w:hAnsi="Arial" w:cs="Arial"/>
          <w:sz w:val="20"/>
          <w:szCs w:val="20"/>
          <w:highlight w:val="yellow"/>
        </w:rPr>
        <w:t xml:space="preserve"> et al., 2024; Hidayah, 2024). Moreover, studies using spatial econometric models argue that the proximity of economic infrastructure—roads, schools, and health facilities—directly influences the poverty distribution patterns across the province (</w:t>
      </w:r>
      <w:proofErr w:type="spellStart"/>
      <w:r w:rsidRPr="008F0827">
        <w:rPr>
          <w:rFonts w:ascii="Arial" w:hAnsi="Arial" w:cs="Arial"/>
          <w:sz w:val="20"/>
          <w:szCs w:val="20"/>
          <w:highlight w:val="yellow"/>
        </w:rPr>
        <w:t>Aldawiyah</w:t>
      </w:r>
      <w:proofErr w:type="spellEnd"/>
      <w:r w:rsidRPr="008F0827">
        <w:rPr>
          <w:rFonts w:ascii="Arial" w:hAnsi="Arial" w:cs="Arial"/>
          <w:sz w:val="20"/>
          <w:szCs w:val="20"/>
          <w:highlight w:val="yellow"/>
        </w:rPr>
        <w:t xml:space="preserve"> et al., 2024; </w:t>
      </w:r>
      <w:proofErr w:type="spellStart"/>
      <w:r w:rsidRPr="008F0827">
        <w:rPr>
          <w:rFonts w:ascii="Arial" w:hAnsi="Arial" w:cs="Arial"/>
          <w:sz w:val="20"/>
          <w:szCs w:val="20"/>
          <w:highlight w:val="yellow"/>
        </w:rPr>
        <w:t>Fitriawan</w:t>
      </w:r>
      <w:proofErr w:type="spellEnd"/>
      <w:r w:rsidRPr="008F0827">
        <w:rPr>
          <w:rFonts w:ascii="Arial" w:hAnsi="Arial" w:cs="Arial"/>
          <w:sz w:val="20"/>
          <w:szCs w:val="20"/>
          <w:highlight w:val="yellow"/>
        </w:rPr>
        <w:t xml:space="preserve"> et al., 2023).</w:t>
      </w:r>
    </w:p>
    <w:p w14:paraId="322612EF" w14:textId="77777777" w:rsidR="008F0827" w:rsidRPr="008F0827" w:rsidRDefault="008F0827" w:rsidP="008F0827">
      <w:pPr>
        <w:jc w:val="both"/>
        <w:rPr>
          <w:rFonts w:ascii="Arial" w:hAnsi="Arial" w:cs="Arial"/>
          <w:sz w:val="20"/>
          <w:szCs w:val="20"/>
          <w:highlight w:val="yellow"/>
        </w:rPr>
      </w:pPr>
      <w:r w:rsidRPr="008F0827">
        <w:rPr>
          <w:rFonts w:ascii="Arial" w:hAnsi="Arial" w:cs="Arial"/>
          <w:sz w:val="20"/>
          <w:szCs w:val="20"/>
          <w:highlight w:val="yellow"/>
        </w:rPr>
        <w:t xml:space="preserve">Cluster analysis has emerged as a vital method in understanding such multidimensional phenomena. Techniques like K-Means and Principal Component Regression (PCR) have been used to classify poverty-prone regions based on composite indicators, enabling more nuanced policy responses (Suryani et al., 2023; </w:t>
      </w:r>
      <w:proofErr w:type="spellStart"/>
      <w:r w:rsidRPr="008F0827">
        <w:rPr>
          <w:rFonts w:ascii="Arial" w:hAnsi="Arial" w:cs="Arial"/>
          <w:sz w:val="20"/>
          <w:szCs w:val="20"/>
          <w:highlight w:val="yellow"/>
        </w:rPr>
        <w:t>Yuningsih</w:t>
      </w:r>
      <w:proofErr w:type="spellEnd"/>
      <w:r w:rsidRPr="008F0827">
        <w:rPr>
          <w:rFonts w:ascii="Arial" w:hAnsi="Arial" w:cs="Arial"/>
          <w:sz w:val="20"/>
          <w:szCs w:val="20"/>
          <w:highlight w:val="yellow"/>
        </w:rPr>
        <w:t xml:space="preserve"> &amp; Aryani, 2024). </w:t>
      </w:r>
      <w:proofErr w:type="gramStart"/>
      <w:r w:rsidRPr="008F0827">
        <w:rPr>
          <w:rFonts w:ascii="Arial" w:hAnsi="Arial" w:cs="Arial"/>
          <w:sz w:val="20"/>
          <w:szCs w:val="20"/>
          <w:highlight w:val="yellow"/>
        </w:rPr>
        <w:t>In particular, recent</w:t>
      </w:r>
      <w:proofErr w:type="gramEnd"/>
      <w:r w:rsidRPr="008F0827">
        <w:rPr>
          <w:rFonts w:ascii="Arial" w:hAnsi="Arial" w:cs="Arial"/>
          <w:sz w:val="20"/>
          <w:szCs w:val="20"/>
          <w:highlight w:val="yellow"/>
        </w:rPr>
        <w:t xml:space="preserve"> statistical applications have emphasized that clustering districts based on shared social and economic characteristics can uncover spatial poverty traps and highlight development blind spots (Amelia et al., 2023; </w:t>
      </w:r>
      <w:proofErr w:type="spellStart"/>
      <w:r w:rsidRPr="008F0827">
        <w:rPr>
          <w:rFonts w:ascii="Arial" w:hAnsi="Arial" w:cs="Arial"/>
          <w:sz w:val="20"/>
          <w:szCs w:val="20"/>
          <w:highlight w:val="yellow"/>
        </w:rPr>
        <w:t>Ardiansyah</w:t>
      </w:r>
      <w:proofErr w:type="spellEnd"/>
      <w:r w:rsidRPr="008F0827">
        <w:rPr>
          <w:rFonts w:ascii="Arial" w:hAnsi="Arial" w:cs="Arial"/>
          <w:sz w:val="20"/>
          <w:szCs w:val="20"/>
          <w:highlight w:val="yellow"/>
        </w:rPr>
        <w:t xml:space="preserve"> &amp; Ilyas, 2023).</w:t>
      </w:r>
    </w:p>
    <w:p w14:paraId="79B12680" w14:textId="77777777" w:rsidR="008F0827" w:rsidRPr="008F0827" w:rsidRDefault="008F0827" w:rsidP="008F0827">
      <w:pPr>
        <w:jc w:val="both"/>
        <w:rPr>
          <w:rFonts w:ascii="Arial" w:hAnsi="Arial" w:cs="Arial"/>
          <w:sz w:val="20"/>
          <w:szCs w:val="20"/>
          <w:highlight w:val="yellow"/>
        </w:rPr>
      </w:pPr>
      <w:r w:rsidRPr="008F0827">
        <w:rPr>
          <w:rFonts w:ascii="Arial" w:hAnsi="Arial" w:cs="Arial"/>
          <w:sz w:val="20"/>
          <w:szCs w:val="20"/>
          <w:highlight w:val="yellow"/>
        </w:rPr>
        <w:lastRenderedPageBreak/>
        <w:t>However, poverty mapping efforts often rely solely on income thresholds, which overlook non-monetary dimensions such as housing quality, education access, and health conditions (Ilahi et al., 2024). This leads to policy gaps, especially in provinces like North Sumatra, where topographical and cultural diversity require more context-aware interventions. Studies in other Indonesian provinces have successfully demonstrated that integrating education, unemployment, and health indicators into spatial clustering leads to more effective poverty classification and program targeting (Adam et al., 2022; Aditya &amp; Wahed, 2021).</w:t>
      </w:r>
    </w:p>
    <w:p w14:paraId="1C1EE7E0" w14:textId="77777777" w:rsidR="008F0827" w:rsidRPr="008F0827" w:rsidRDefault="008F0827" w:rsidP="008F0827">
      <w:pPr>
        <w:jc w:val="both"/>
        <w:rPr>
          <w:rFonts w:ascii="Arial" w:hAnsi="Arial" w:cs="Arial"/>
          <w:sz w:val="20"/>
          <w:szCs w:val="20"/>
          <w:highlight w:val="yellow"/>
        </w:rPr>
      </w:pPr>
      <w:r w:rsidRPr="008F0827">
        <w:rPr>
          <w:rFonts w:ascii="Arial" w:hAnsi="Arial" w:cs="Arial"/>
          <w:sz w:val="20"/>
          <w:szCs w:val="20"/>
          <w:highlight w:val="yellow"/>
        </w:rPr>
        <w:t xml:space="preserve">Furthermore, the interaction between governance performance and human capital development has been shown to influence the sustainability of poverty reduction efforts. Poor local governance, limited institutional capacity, and weak inter-agency coordination continue to obstruct the full realization of anti-poverty initiatives (Ali et al., 2022; Arifah &amp; </w:t>
      </w:r>
      <w:proofErr w:type="spellStart"/>
      <w:r w:rsidRPr="008F0827">
        <w:rPr>
          <w:rFonts w:ascii="Arial" w:hAnsi="Arial" w:cs="Arial"/>
          <w:sz w:val="20"/>
          <w:szCs w:val="20"/>
          <w:highlight w:val="yellow"/>
        </w:rPr>
        <w:t>Sunarjo</w:t>
      </w:r>
      <w:proofErr w:type="spellEnd"/>
      <w:r w:rsidRPr="008F0827">
        <w:rPr>
          <w:rFonts w:ascii="Arial" w:hAnsi="Arial" w:cs="Arial"/>
          <w:sz w:val="20"/>
          <w:szCs w:val="20"/>
          <w:highlight w:val="yellow"/>
        </w:rPr>
        <w:t>, 2021). These findings call for a multidimensional and regionally adaptive approach to poverty research.</w:t>
      </w:r>
    </w:p>
    <w:p w14:paraId="00684A68" w14:textId="312E630A" w:rsidR="00B6756A" w:rsidRPr="00B6756A" w:rsidRDefault="008F0827" w:rsidP="008F0827">
      <w:pPr>
        <w:jc w:val="both"/>
        <w:rPr>
          <w:rFonts w:ascii="Arial" w:hAnsi="Arial" w:cs="Arial"/>
          <w:sz w:val="20"/>
          <w:szCs w:val="20"/>
        </w:rPr>
      </w:pPr>
      <w:r w:rsidRPr="008F0827">
        <w:rPr>
          <w:rFonts w:ascii="Arial" w:hAnsi="Arial" w:cs="Arial"/>
          <w:sz w:val="20"/>
          <w:szCs w:val="20"/>
          <w:highlight w:val="yellow"/>
        </w:rPr>
        <w:t>Building on this literature, the present study applies a clustering-based approach to classify the districts in North Sumatra according to multidimensional poverty indicators. By incorporating socio-economic, infrastructural, and governance-related variables, this research offers a more granular understanding of poverty dynamics at the sub-provincial level. It aims to support policymakers in designing tailored interventions that are sensitive to regional variations and rooted in data-driven insights</w:t>
      </w:r>
      <w:r w:rsidR="00B6756A" w:rsidRPr="008F0827">
        <w:rPr>
          <w:rFonts w:ascii="Arial" w:hAnsi="Arial" w:cs="Arial"/>
          <w:sz w:val="20"/>
          <w:szCs w:val="20"/>
          <w:highlight w:val="yellow"/>
        </w:rPr>
        <w:t>.</w:t>
      </w:r>
    </w:p>
    <w:p w14:paraId="6A14D181" w14:textId="693F44C1" w:rsidR="00B6756A" w:rsidRPr="00B6756A" w:rsidRDefault="00B6756A" w:rsidP="00B6756A">
      <w:pPr>
        <w:rPr>
          <w:rFonts w:ascii="Arial" w:hAnsi="Arial" w:cs="Arial"/>
          <w:b/>
          <w:bCs/>
          <w:sz w:val="20"/>
          <w:szCs w:val="20"/>
        </w:rPr>
      </w:pPr>
      <w:r w:rsidRPr="00913E95">
        <w:rPr>
          <w:rFonts w:ascii="Arial" w:hAnsi="Arial" w:cs="Arial"/>
          <w:b/>
          <w:bCs/>
          <w:sz w:val="20"/>
          <w:szCs w:val="20"/>
        </w:rPr>
        <w:t xml:space="preserve">II. </w:t>
      </w:r>
      <w:r w:rsidR="0017376D" w:rsidRPr="00913E95">
        <w:rPr>
          <w:rFonts w:ascii="Arial" w:hAnsi="Arial" w:cs="Arial"/>
          <w:b/>
          <w:bCs/>
          <w:sz w:val="20"/>
          <w:szCs w:val="20"/>
        </w:rPr>
        <w:t>METHODS</w:t>
      </w:r>
    </w:p>
    <w:p w14:paraId="7ECDEBBE" w14:textId="77777777" w:rsidR="005D518C" w:rsidRPr="005D518C" w:rsidRDefault="005D518C" w:rsidP="005D518C">
      <w:pPr>
        <w:jc w:val="both"/>
        <w:rPr>
          <w:rFonts w:ascii="Arial" w:hAnsi="Arial" w:cs="Arial"/>
          <w:sz w:val="20"/>
          <w:szCs w:val="20"/>
        </w:rPr>
      </w:pPr>
      <w:r w:rsidRPr="005D518C">
        <w:rPr>
          <w:rFonts w:ascii="Arial" w:hAnsi="Arial" w:cs="Arial"/>
          <w:sz w:val="20"/>
          <w:szCs w:val="20"/>
        </w:rPr>
        <w:t xml:space="preserve">This study employs a mixed quantitative approach to analyze multidimensional poverty across 33 districts and cities in North Sumatra Province, Indonesia. The methodology integrates </w:t>
      </w:r>
      <w:r w:rsidRPr="005D518C">
        <w:rPr>
          <w:rFonts w:ascii="Arial" w:hAnsi="Arial" w:cs="Arial"/>
          <w:b/>
          <w:bCs/>
          <w:sz w:val="20"/>
          <w:szCs w:val="20"/>
        </w:rPr>
        <w:t>Principal Component Analysis (PCA)</w:t>
      </w:r>
      <w:r w:rsidRPr="005D518C">
        <w:rPr>
          <w:rFonts w:ascii="Arial" w:hAnsi="Arial" w:cs="Arial"/>
          <w:sz w:val="20"/>
          <w:szCs w:val="20"/>
        </w:rPr>
        <w:t xml:space="preserve">, </w:t>
      </w:r>
      <w:r w:rsidRPr="005D518C">
        <w:rPr>
          <w:rFonts w:ascii="Arial" w:hAnsi="Arial" w:cs="Arial"/>
          <w:b/>
          <w:bCs/>
          <w:sz w:val="20"/>
          <w:szCs w:val="20"/>
        </w:rPr>
        <w:t>K-Means clustering</w:t>
      </w:r>
      <w:r w:rsidRPr="005D518C">
        <w:rPr>
          <w:rFonts w:ascii="Arial" w:hAnsi="Arial" w:cs="Arial"/>
          <w:sz w:val="20"/>
          <w:szCs w:val="20"/>
        </w:rPr>
        <w:t xml:space="preserve">, and </w:t>
      </w:r>
      <w:r w:rsidRPr="005D518C">
        <w:rPr>
          <w:rFonts w:ascii="Arial" w:hAnsi="Arial" w:cs="Arial"/>
          <w:b/>
          <w:bCs/>
          <w:sz w:val="20"/>
          <w:szCs w:val="20"/>
        </w:rPr>
        <w:t>multiple linear regression</w:t>
      </w:r>
      <w:r w:rsidRPr="005D518C">
        <w:rPr>
          <w:rFonts w:ascii="Arial" w:hAnsi="Arial" w:cs="Arial"/>
          <w:sz w:val="20"/>
          <w:szCs w:val="20"/>
        </w:rPr>
        <w:t xml:space="preserve"> to identify the key determinants of poverty and spatial typologies that can inform region-specific interventions.</w:t>
      </w:r>
    </w:p>
    <w:p w14:paraId="3CD9CA37" w14:textId="77777777" w:rsidR="005D518C" w:rsidRPr="005D518C" w:rsidRDefault="005D518C" w:rsidP="005D518C">
      <w:pPr>
        <w:jc w:val="both"/>
        <w:rPr>
          <w:rFonts w:ascii="Arial" w:hAnsi="Arial" w:cs="Arial"/>
          <w:b/>
          <w:bCs/>
          <w:sz w:val="20"/>
          <w:szCs w:val="20"/>
        </w:rPr>
      </w:pPr>
      <w:r w:rsidRPr="005D518C">
        <w:rPr>
          <w:rFonts w:ascii="Arial" w:hAnsi="Arial" w:cs="Arial"/>
          <w:b/>
          <w:bCs/>
          <w:sz w:val="20"/>
          <w:szCs w:val="20"/>
        </w:rPr>
        <w:t>2.1 Data Sources and Variables</w:t>
      </w:r>
    </w:p>
    <w:p w14:paraId="0A2F72EE" w14:textId="77777777" w:rsidR="005D518C" w:rsidRPr="005D518C" w:rsidRDefault="005D518C" w:rsidP="005D518C">
      <w:pPr>
        <w:jc w:val="both"/>
        <w:rPr>
          <w:rFonts w:ascii="Arial" w:hAnsi="Arial" w:cs="Arial"/>
          <w:sz w:val="20"/>
          <w:szCs w:val="20"/>
        </w:rPr>
      </w:pPr>
      <w:r w:rsidRPr="005D518C">
        <w:rPr>
          <w:rFonts w:ascii="Arial" w:hAnsi="Arial" w:cs="Arial"/>
          <w:sz w:val="20"/>
          <w:szCs w:val="20"/>
        </w:rPr>
        <w:t xml:space="preserve">The study uses </w:t>
      </w:r>
      <w:r w:rsidRPr="005D518C">
        <w:rPr>
          <w:rFonts w:ascii="Arial" w:hAnsi="Arial" w:cs="Arial"/>
          <w:b/>
          <w:bCs/>
          <w:sz w:val="20"/>
          <w:szCs w:val="20"/>
        </w:rPr>
        <w:t>secondary data</w:t>
      </w:r>
      <w:r w:rsidRPr="005D518C">
        <w:rPr>
          <w:rFonts w:ascii="Arial" w:hAnsi="Arial" w:cs="Arial"/>
          <w:sz w:val="20"/>
          <w:szCs w:val="20"/>
        </w:rPr>
        <w:t xml:space="preserve"> from the </w:t>
      </w:r>
      <w:r w:rsidRPr="005D518C">
        <w:rPr>
          <w:rFonts w:ascii="Arial" w:hAnsi="Arial" w:cs="Arial"/>
          <w:b/>
          <w:bCs/>
          <w:sz w:val="20"/>
          <w:szCs w:val="20"/>
        </w:rPr>
        <w:t xml:space="preserve">Badan Pusat </w:t>
      </w:r>
      <w:proofErr w:type="spellStart"/>
      <w:r w:rsidRPr="005D518C">
        <w:rPr>
          <w:rFonts w:ascii="Arial" w:hAnsi="Arial" w:cs="Arial"/>
          <w:b/>
          <w:bCs/>
          <w:sz w:val="20"/>
          <w:szCs w:val="20"/>
        </w:rPr>
        <w:t>Statistik</w:t>
      </w:r>
      <w:proofErr w:type="spellEnd"/>
      <w:r w:rsidRPr="005D518C">
        <w:rPr>
          <w:rFonts w:ascii="Arial" w:hAnsi="Arial" w:cs="Arial"/>
          <w:b/>
          <w:bCs/>
          <w:sz w:val="20"/>
          <w:szCs w:val="20"/>
        </w:rPr>
        <w:t xml:space="preserve"> (BPS)</w:t>
      </w:r>
      <w:r w:rsidRPr="005D518C">
        <w:rPr>
          <w:rFonts w:ascii="Arial" w:hAnsi="Arial" w:cs="Arial"/>
          <w:sz w:val="20"/>
          <w:szCs w:val="20"/>
        </w:rPr>
        <w:t xml:space="preserve"> for the year </w:t>
      </w:r>
      <w:r w:rsidRPr="005D518C">
        <w:rPr>
          <w:rFonts w:ascii="Arial" w:hAnsi="Arial" w:cs="Arial"/>
          <w:b/>
          <w:bCs/>
          <w:sz w:val="20"/>
          <w:szCs w:val="20"/>
        </w:rPr>
        <w:t>2023</w:t>
      </w:r>
      <w:r w:rsidRPr="005D518C">
        <w:rPr>
          <w:rFonts w:ascii="Arial" w:hAnsi="Arial" w:cs="Arial"/>
          <w:sz w:val="20"/>
          <w:szCs w:val="20"/>
        </w:rPr>
        <w:t xml:space="preserve">, encompassing variables that reflect the economic, educational, labor, housing, and fiscal dimensions of poverty. The dependent variable is the </w:t>
      </w:r>
      <w:r w:rsidRPr="005D518C">
        <w:rPr>
          <w:rFonts w:ascii="Arial" w:hAnsi="Arial" w:cs="Arial"/>
          <w:b/>
          <w:bCs/>
          <w:sz w:val="20"/>
          <w:szCs w:val="20"/>
        </w:rPr>
        <w:t>poverty rate (%)</w:t>
      </w:r>
      <w:r w:rsidRPr="005D518C">
        <w:rPr>
          <w:rFonts w:ascii="Arial" w:hAnsi="Arial" w:cs="Arial"/>
          <w:sz w:val="20"/>
          <w:szCs w:val="20"/>
        </w:rPr>
        <w:t xml:space="preserve"> per district. The independent variables include:</w:t>
      </w:r>
    </w:p>
    <w:p w14:paraId="5958CADC" w14:textId="77777777" w:rsidR="005D518C" w:rsidRPr="005D518C" w:rsidRDefault="005D518C" w:rsidP="005D518C">
      <w:pPr>
        <w:numPr>
          <w:ilvl w:val="0"/>
          <w:numId w:val="24"/>
        </w:numPr>
        <w:jc w:val="both"/>
        <w:rPr>
          <w:rFonts w:ascii="Arial" w:hAnsi="Arial" w:cs="Arial"/>
          <w:sz w:val="20"/>
          <w:szCs w:val="20"/>
        </w:rPr>
      </w:pPr>
      <w:r w:rsidRPr="005D518C">
        <w:rPr>
          <w:rFonts w:ascii="Arial" w:hAnsi="Arial" w:cs="Arial"/>
          <w:b/>
          <w:bCs/>
          <w:sz w:val="20"/>
          <w:szCs w:val="20"/>
        </w:rPr>
        <w:t>Education Attainment Rate (% of ≥Senior High School graduates)</w:t>
      </w:r>
    </w:p>
    <w:p w14:paraId="3E6B2ED1" w14:textId="77777777" w:rsidR="005D518C" w:rsidRPr="005D518C" w:rsidRDefault="005D518C" w:rsidP="005D518C">
      <w:pPr>
        <w:numPr>
          <w:ilvl w:val="0"/>
          <w:numId w:val="24"/>
        </w:numPr>
        <w:jc w:val="both"/>
        <w:rPr>
          <w:rFonts w:ascii="Arial" w:hAnsi="Arial" w:cs="Arial"/>
          <w:sz w:val="20"/>
          <w:szCs w:val="20"/>
        </w:rPr>
      </w:pPr>
      <w:r w:rsidRPr="005D518C">
        <w:rPr>
          <w:rFonts w:ascii="Arial" w:hAnsi="Arial" w:cs="Arial"/>
          <w:b/>
          <w:bCs/>
          <w:sz w:val="20"/>
          <w:szCs w:val="20"/>
        </w:rPr>
        <w:t>Open Unemployment Rate (%)</w:t>
      </w:r>
    </w:p>
    <w:p w14:paraId="30EFDA0C" w14:textId="77777777" w:rsidR="005D518C" w:rsidRPr="005D518C" w:rsidRDefault="005D518C" w:rsidP="005D518C">
      <w:pPr>
        <w:numPr>
          <w:ilvl w:val="0"/>
          <w:numId w:val="24"/>
        </w:numPr>
        <w:jc w:val="both"/>
        <w:rPr>
          <w:rFonts w:ascii="Arial" w:hAnsi="Arial" w:cs="Arial"/>
          <w:sz w:val="20"/>
          <w:szCs w:val="20"/>
        </w:rPr>
      </w:pPr>
      <w:r w:rsidRPr="005D518C">
        <w:rPr>
          <w:rFonts w:ascii="Arial" w:hAnsi="Arial" w:cs="Arial"/>
          <w:b/>
          <w:bCs/>
          <w:sz w:val="20"/>
          <w:szCs w:val="20"/>
        </w:rPr>
        <w:t>Percentage of Uninhabitable Housing (%)</w:t>
      </w:r>
    </w:p>
    <w:p w14:paraId="7C8CDB31" w14:textId="77777777" w:rsidR="005D518C" w:rsidRPr="005D518C" w:rsidRDefault="005D518C" w:rsidP="005D518C">
      <w:pPr>
        <w:numPr>
          <w:ilvl w:val="0"/>
          <w:numId w:val="24"/>
        </w:numPr>
        <w:jc w:val="both"/>
        <w:rPr>
          <w:rFonts w:ascii="Arial" w:hAnsi="Arial" w:cs="Arial"/>
          <w:sz w:val="20"/>
          <w:szCs w:val="20"/>
        </w:rPr>
      </w:pPr>
      <w:r w:rsidRPr="005D518C">
        <w:rPr>
          <w:rFonts w:ascii="Arial" w:hAnsi="Arial" w:cs="Arial"/>
          <w:b/>
          <w:bCs/>
          <w:sz w:val="20"/>
          <w:szCs w:val="20"/>
        </w:rPr>
        <w:t>Per Capita Regional Revenue (PAD, in IDR)</w:t>
      </w:r>
    </w:p>
    <w:p w14:paraId="42C1E907" w14:textId="77777777" w:rsidR="005D518C" w:rsidRPr="005D518C" w:rsidRDefault="005D518C" w:rsidP="005D518C">
      <w:pPr>
        <w:numPr>
          <w:ilvl w:val="0"/>
          <w:numId w:val="24"/>
        </w:numPr>
        <w:jc w:val="both"/>
        <w:rPr>
          <w:rFonts w:ascii="Arial" w:hAnsi="Arial" w:cs="Arial"/>
          <w:sz w:val="20"/>
          <w:szCs w:val="20"/>
        </w:rPr>
      </w:pPr>
      <w:r w:rsidRPr="005D518C">
        <w:rPr>
          <w:rFonts w:ascii="Arial" w:hAnsi="Arial" w:cs="Arial"/>
          <w:b/>
          <w:bCs/>
          <w:sz w:val="20"/>
          <w:szCs w:val="20"/>
        </w:rPr>
        <w:t>Minimum Regional Wage (UMR, in IDR)</w:t>
      </w:r>
    </w:p>
    <w:p w14:paraId="24157FB2" w14:textId="77777777" w:rsidR="005D518C" w:rsidRPr="005D518C" w:rsidRDefault="005D518C" w:rsidP="005D518C">
      <w:pPr>
        <w:jc w:val="both"/>
        <w:rPr>
          <w:rFonts w:ascii="Arial" w:hAnsi="Arial" w:cs="Arial"/>
          <w:sz w:val="20"/>
          <w:szCs w:val="20"/>
        </w:rPr>
      </w:pPr>
      <w:r w:rsidRPr="005D518C">
        <w:rPr>
          <w:rFonts w:ascii="Arial" w:hAnsi="Arial" w:cs="Arial"/>
          <w:sz w:val="20"/>
          <w:szCs w:val="20"/>
        </w:rPr>
        <w:t xml:space="preserve">Prior to analysis, all variables were </w:t>
      </w:r>
      <w:r w:rsidRPr="005D518C">
        <w:rPr>
          <w:rFonts w:ascii="Arial" w:hAnsi="Arial" w:cs="Arial"/>
          <w:b/>
          <w:bCs/>
          <w:sz w:val="20"/>
          <w:szCs w:val="20"/>
        </w:rPr>
        <w:t>standardized using Z-scores</w:t>
      </w:r>
      <w:r w:rsidRPr="005D518C">
        <w:rPr>
          <w:rFonts w:ascii="Arial" w:hAnsi="Arial" w:cs="Arial"/>
          <w:sz w:val="20"/>
          <w:szCs w:val="20"/>
        </w:rPr>
        <w:t xml:space="preserve"> to remove scale effects and ensure comparability across indicators. This normalization is essential for PCA, as it prevents variables with larger magnitudes from dominating the factor extraction process.</w:t>
      </w:r>
    </w:p>
    <w:p w14:paraId="67D09472" w14:textId="77777777" w:rsidR="005D518C" w:rsidRPr="005D518C" w:rsidRDefault="005D518C" w:rsidP="005D518C">
      <w:pPr>
        <w:jc w:val="both"/>
        <w:rPr>
          <w:rFonts w:ascii="Arial" w:hAnsi="Arial" w:cs="Arial"/>
          <w:b/>
          <w:bCs/>
          <w:sz w:val="20"/>
          <w:szCs w:val="20"/>
        </w:rPr>
      </w:pPr>
      <w:r w:rsidRPr="005D518C">
        <w:rPr>
          <w:rFonts w:ascii="Arial" w:hAnsi="Arial" w:cs="Arial"/>
          <w:b/>
          <w:bCs/>
          <w:sz w:val="20"/>
          <w:szCs w:val="20"/>
        </w:rPr>
        <w:t>2.2 Principal Component Analysis (PCA)</w:t>
      </w:r>
    </w:p>
    <w:p w14:paraId="47DBCFE0" w14:textId="77777777" w:rsidR="005D518C" w:rsidRPr="005D518C" w:rsidRDefault="005D518C" w:rsidP="005D518C">
      <w:pPr>
        <w:jc w:val="both"/>
        <w:rPr>
          <w:rFonts w:ascii="Arial" w:hAnsi="Arial" w:cs="Arial"/>
          <w:sz w:val="20"/>
          <w:szCs w:val="20"/>
        </w:rPr>
      </w:pPr>
      <w:r w:rsidRPr="005D518C">
        <w:rPr>
          <w:rFonts w:ascii="Arial" w:hAnsi="Arial" w:cs="Arial"/>
          <w:sz w:val="20"/>
          <w:szCs w:val="20"/>
        </w:rPr>
        <w:t xml:space="preserve">PCA was employed to reduce dimensionality and extract latent structures among the correlated socioeconomic indicators. The </w:t>
      </w:r>
      <w:r w:rsidRPr="005D518C">
        <w:rPr>
          <w:rFonts w:ascii="Arial" w:hAnsi="Arial" w:cs="Arial"/>
          <w:b/>
          <w:bCs/>
          <w:sz w:val="20"/>
          <w:szCs w:val="20"/>
        </w:rPr>
        <w:t>Kaiser-Meyer-Olkin (KMO)</w:t>
      </w:r>
      <w:r w:rsidRPr="005D518C">
        <w:rPr>
          <w:rFonts w:ascii="Arial" w:hAnsi="Arial" w:cs="Arial"/>
          <w:sz w:val="20"/>
          <w:szCs w:val="20"/>
        </w:rPr>
        <w:t xml:space="preserve"> test yielded a value of </w:t>
      </w:r>
      <w:r w:rsidRPr="005D518C">
        <w:rPr>
          <w:rFonts w:ascii="Arial" w:hAnsi="Arial" w:cs="Arial"/>
          <w:b/>
          <w:bCs/>
          <w:sz w:val="20"/>
          <w:szCs w:val="20"/>
        </w:rPr>
        <w:t>0.694</w:t>
      </w:r>
      <w:r w:rsidRPr="005D518C">
        <w:rPr>
          <w:rFonts w:ascii="Arial" w:hAnsi="Arial" w:cs="Arial"/>
          <w:sz w:val="20"/>
          <w:szCs w:val="20"/>
        </w:rPr>
        <w:t xml:space="preserve">, indicating sampling adequacy, while </w:t>
      </w:r>
      <w:r w:rsidRPr="005D518C">
        <w:rPr>
          <w:rFonts w:ascii="Arial" w:hAnsi="Arial" w:cs="Arial"/>
          <w:b/>
          <w:bCs/>
          <w:sz w:val="20"/>
          <w:szCs w:val="20"/>
        </w:rPr>
        <w:t>Bartlett’s Test of Sphericity</w:t>
      </w:r>
      <w:r w:rsidRPr="005D518C">
        <w:rPr>
          <w:rFonts w:ascii="Arial" w:hAnsi="Arial" w:cs="Arial"/>
          <w:sz w:val="20"/>
          <w:szCs w:val="20"/>
        </w:rPr>
        <w:t xml:space="preserve"> was significant (</w:t>
      </w:r>
      <w:r w:rsidRPr="005D518C">
        <w:rPr>
          <w:rFonts w:ascii="Arial" w:hAnsi="Arial" w:cs="Arial"/>
          <w:b/>
          <w:bCs/>
          <w:sz w:val="20"/>
          <w:szCs w:val="20"/>
        </w:rPr>
        <w:t>p &lt; 0.01</w:t>
      </w:r>
      <w:r w:rsidRPr="005D518C">
        <w:rPr>
          <w:rFonts w:ascii="Arial" w:hAnsi="Arial" w:cs="Arial"/>
          <w:sz w:val="20"/>
          <w:szCs w:val="20"/>
        </w:rPr>
        <w:t xml:space="preserve">), validating the factorability of the dataset. Based on </w:t>
      </w:r>
      <w:r w:rsidRPr="005D518C">
        <w:rPr>
          <w:rFonts w:ascii="Arial" w:hAnsi="Arial" w:cs="Arial"/>
          <w:b/>
          <w:bCs/>
          <w:sz w:val="20"/>
          <w:szCs w:val="20"/>
        </w:rPr>
        <w:t>eigenvalues &gt; 1.0</w:t>
      </w:r>
      <w:r w:rsidRPr="005D518C">
        <w:rPr>
          <w:rFonts w:ascii="Arial" w:hAnsi="Arial" w:cs="Arial"/>
          <w:sz w:val="20"/>
          <w:szCs w:val="20"/>
        </w:rPr>
        <w:t xml:space="preserve"> and the </w:t>
      </w:r>
      <w:r w:rsidRPr="005D518C">
        <w:rPr>
          <w:rFonts w:ascii="Arial" w:hAnsi="Arial" w:cs="Arial"/>
          <w:b/>
          <w:bCs/>
          <w:sz w:val="20"/>
          <w:szCs w:val="20"/>
        </w:rPr>
        <w:t>scree plot</w:t>
      </w:r>
      <w:r w:rsidRPr="005D518C">
        <w:rPr>
          <w:rFonts w:ascii="Arial" w:hAnsi="Arial" w:cs="Arial"/>
          <w:sz w:val="20"/>
          <w:szCs w:val="20"/>
        </w:rPr>
        <w:t xml:space="preserve">, </w:t>
      </w:r>
      <w:r w:rsidRPr="005D518C">
        <w:rPr>
          <w:rFonts w:ascii="Arial" w:hAnsi="Arial" w:cs="Arial"/>
          <w:b/>
          <w:bCs/>
          <w:sz w:val="20"/>
          <w:szCs w:val="20"/>
        </w:rPr>
        <w:t>three principal components</w:t>
      </w:r>
      <w:r w:rsidRPr="005D518C">
        <w:rPr>
          <w:rFonts w:ascii="Arial" w:hAnsi="Arial" w:cs="Arial"/>
          <w:sz w:val="20"/>
          <w:szCs w:val="20"/>
        </w:rPr>
        <w:t xml:space="preserve"> were extracted:</w:t>
      </w:r>
    </w:p>
    <w:p w14:paraId="56C2A4E2" w14:textId="77777777" w:rsidR="005D518C" w:rsidRPr="005D518C" w:rsidRDefault="005D518C" w:rsidP="005D518C">
      <w:pPr>
        <w:numPr>
          <w:ilvl w:val="0"/>
          <w:numId w:val="25"/>
        </w:numPr>
        <w:jc w:val="both"/>
        <w:rPr>
          <w:rFonts w:ascii="Arial" w:hAnsi="Arial" w:cs="Arial"/>
          <w:sz w:val="20"/>
          <w:szCs w:val="20"/>
        </w:rPr>
      </w:pPr>
      <w:r w:rsidRPr="005D518C">
        <w:rPr>
          <w:rFonts w:ascii="Arial" w:hAnsi="Arial" w:cs="Arial"/>
          <w:b/>
          <w:bCs/>
          <w:sz w:val="20"/>
          <w:szCs w:val="20"/>
        </w:rPr>
        <w:t>Component 1</w:t>
      </w:r>
      <w:r w:rsidRPr="005D518C">
        <w:rPr>
          <w:rFonts w:ascii="Arial" w:hAnsi="Arial" w:cs="Arial"/>
          <w:sz w:val="20"/>
          <w:szCs w:val="20"/>
        </w:rPr>
        <w:t>: Development Capital (Education, PAD, UMR)</w:t>
      </w:r>
    </w:p>
    <w:p w14:paraId="043C4A25" w14:textId="77777777" w:rsidR="005D518C" w:rsidRPr="005D518C" w:rsidRDefault="005D518C" w:rsidP="005D518C">
      <w:pPr>
        <w:numPr>
          <w:ilvl w:val="0"/>
          <w:numId w:val="25"/>
        </w:numPr>
        <w:jc w:val="both"/>
        <w:rPr>
          <w:rFonts w:ascii="Arial" w:hAnsi="Arial" w:cs="Arial"/>
          <w:sz w:val="20"/>
          <w:szCs w:val="20"/>
        </w:rPr>
      </w:pPr>
      <w:r w:rsidRPr="005D518C">
        <w:rPr>
          <w:rFonts w:ascii="Arial" w:hAnsi="Arial" w:cs="Arial"/>
          <w:b/>
          <w:bCs/>
          <w:sz w:val="20"/>
          <w:szCs w:val="20"/>
        </w:rPr>
        <w:lastRenderedPageBreak/>
        <w:t>Component 2</w:t>
      </w:r>
      <w:r w:rsidRPr="005D518C">
        <w:rPr>
          <w:rFonts w:ascii="Arial" w:hAnsi="Arial" w:cs="Arial"/>
          <w:sz w:val="20"/>
          <w:szCs w:val="20"/>
        </w:rPr>
        <w:t>: Labor Market Vulnerability (Unemployment)</w:t>
      </w:r>
    </w:p>
    <w:p w14:paraId="17F53154" w14:textId="77777777" w:rsidR="005D518C" w:rsidRPr="005D518C" w:rsidRDefault="005D518C" w:rsidP="005D518C">
      <w:pPr>
        <w:numPr>
          <w:ilvl w:val="0"/>
          <w:numId w:val="25"/>
        </w:numPr>
        <w:jc w:val="both"/>
        <w:rPr>
          <w:rFonts w:ascii="Arial" w:hAnsi="Arial" w:cs="Arial"/>
          <w:sz w:val="20"/>
          <w:szCs w:val="20"/>
        </w:rPr>
      </w:pPr>
      <w:r w:rsidRPr="005D518C">
        <w:rPr>
          <w:rFonts w:ascii="Arial" w:hAnsi="Arial" w:cs="Arial"/>
          <w:b/>
          <w:bCs/>
          <w:sz w:val="20"/>
          <w:szCs w:val="20"/>
        </w:rPr>
        <w:t>Component 3</w:t>
      </w:r>
      <w:r w:rsidRPr="005D518C">
        <w:rPr>
          <w:rFonts w:ascii="Arial" w:hAnsi="Arial" w:cs="Arial"/>
          <w:sz w:val="20"/>
          <w:szCs w:val="20"/>
        </w:rPr>
        <w:t>: Housing Deprivation (Uninhabitable Housing)</w:t>
      </w:r>
    </w:p>
    <w:p w14:paraId="34722CB9" w14:textId="77777777" w:rsidR="005D518C" w:rsidRPr="005D518C" w:rsidRDefault="005D518C" w:rsidP="005D518C">
      <w:pPr>
        <w:jc w:val="both"/>
        <w:rPr>
          <w:rFonts w:ascii="Arial" w:hAnsi="Arial" w:cs="Arial"/>
          <w:sz w:val="20"/>
          <w:szCs w:val="20"/>
        </w:rPr>
      </w:pPr>
      <w:r w:rsidRPr="005D518C">
        <w:rPr>
          <w:rFonts w:ascii="Arial" w:hAnsi="Arial" w:cs="Arial"/>
          <w:sz w:val="20"/>
          <w:szCs w:val="20"/>
        </w:rPr>
        <w:t>These components were used as inputs for clustering to reveal multidimensional patterns across districts.</w:t>
      </w:r>
    </w:p>
    <w:p w14:paraId="1B2A7A71" w14:textId="77777777" w:rsidR="005D518C" w:rsidRPr="005D518C" w:rsidRDefault="005D518C" w:rsidP="005D518C">
      <w:pPr>
        <w:jc w:val="both"/>
        <w:rPr>
          <w:rFonts w:ascii="Arial" w:hAnsi="Arial" w:cs="Arial"/>
          <w:b/>
          <w:bCs/>
          <w:sz w:val="20"/>
          <w:szCs w:val="20"/>
        </w:rPr>
      </w:pPr>
      <w:r w:rsidRPr="005D518C">
        <w:rPr>
          <w:rFonts w:ascii="Arial" w:hAnsi="Arial" w:cs="Arial"/>
          <w:b/>
          <w:bCs/>
          <w:sz w:val="20"/>
          <w:szCs w:val="20"/>
        </w:rPr>
        <w:t>2.3 K-Means Clustering</w:t>
      </w:r>
    </w:p>
    <w:p w14:paraId="47A81498" w14:textId="2E7568DB" w:rsidR="005D518C" w:rsidRPr="005D518C" w:rsidRDefault="005D518C" w:rsidP="005D518C">
      <w:pPr>
        <w:jc w:val="both"/>
        <w:rPr>
          <w:rFonts w:ascii="Arial" w:hAnsi="Arial" w:cs="Arial"/>
          <w:sz w:val="20"/>
          <w:szCs w:val="20"/>
        </w:rPr>
      </w:pPr>
      <w:r w:rsidRPr="005D518C">
        <w:rPr>
          <w:rFonts w:ascii="Arial" w:hAnsi="Arial" w:cs="Arial"/>
          <w:sz w:val="20"/>
          <w:szCs w:val="20"/>
        </w:rPr>
        <w:t xml:space="preserve">To classify districts into poverty typologies, </w:t>
      </w:r>
      <w:r w:rsidRPr="005D518C">
        <w:rPr>
          <w:rFonts w:ascii="Arial" w:hAnsi="Arial" w:cs="Arial"/>
          <w:b/>
          <w:bCs/>
          <w:sz w:val="20"/>
          <w:szCs w:val="20"/>
        </w:rPr>
        <w:t>K-Means clustering</w:t>
      </w:r>
      <w:r w:rsidRPr="005D518C">
        <w:rPr>
          <w:rFonts w:ascii="Arial" w:hAnsi="Arial" w:cs="Arial"/>
          <w:sz w:val="20"/>
          <w:szCs w:val="20"/>
        </w:rPr>
        <w:t xml:space="preserve"> was conducted using the standardized scores of the three principal components. The optimal number of clusters (</w:t>
      </w:r>
      <w:r w:rsidRPr="005D518C">
        <w:rPr>
          <w:rFonts w:ascii="Arial" w:hAnsi="Arial" w:cs="Arial"/>
          <w:b/>
          <w:bCs/>
          <w:sz w:val="20"/>
          <w:szCs w:val="20"/>
        </w:rPr>
        <w:t>k = 5</w:t>
      </w:r>
      <w:r w:rsidRPr="005D518C">
        <w:rPr>
          <w:rFonts w:ascii="Arial" w:hAnsi="Arial" w:cs="Arial"/>
          <w:sz w:val="20"/>
          <w:szCs w:val="20"/>
        </w:rPr>
        <w:t xml:space="preserve">) was determined using a combination of the </w:t>
      </w:r>
      <w:r w:rsidRPr="005D518C">
        <w:rPr>
          <w:rFonts w:ascii="Arial" w:hAnsi="Arial" w:cs="Arial"/>
          <w:b/>
          <w:bCs/>
          <w:sz w:val="20"/>
          <w:szCs w:val="20"/>
        </w:rPr>
        <w:t>Elbow method</w:t>
      </w:r>
      <w:r w:rsidRPr="005D518C">
        <w:rPr>
          <w:rFonts w:ascii="Arial" w:hAnsi="Arial" w:cs="Arial"/>
          <w:sz w:val="20"/>
          <w:szCs w:val="20"/>
        </w:rPr>
        <w:t xml:space="preserve"> and </w:t>
      </w:r>
      <w:r w:rsidRPr="005D518C">
        <w:rPr>
          <w:rFonts w:ascii="Arial" w:hAnsi="Arial" w:cs="Arial"/>
          <w:b/>
          <w:bCs/>
          <w:sz w:val="20"/>
          <w:szCs w:val="20"/>
        </w:rPr>
        <w:t>Silhouette analysis</w:t>
      </w:r>
      <w:r w:rsidRPr="005D518C">
        <w:rPr>
          <w:rFonts w:ascii="Arial" w:hAnsi="Arial" w:cs="Arial"/>
          <w:sz w:val="20"/>
          <w:szCs w:val="20"/>
        </w:rPr>
        <w:t>. Each resulting cluster represents a group of districts with shared structural poverty characteristics</w:t>
      </w:r>
      <w:r>
        <w:rPr>
          <w:rFonts w:ascii="Arial" w:hAnsi="Arial" w:cs="Arial"/>
          <w:sz w:val="20"/>
          <w:szCs w:val="20"/>
        </w:rPr>
        <w:t>:</w:t>
      </w:r>
    </w:p>
    <w:p w14:paraId="5A32DBB5" w14:textId="08EF33FC" w:rsidR="00B86E2A" w:rsidRPr="00B86E2A" w:rsidRDefault="00FA3594" w:rsidP="00FA3594">
      <w:pPr>
        <w:jc w:val="center"/>
        <w:rPr>
          <w:rFonts w:ascii="Arial" w:hAnsi="Arial" w:cs="Arial"/>
          <w:sz w:val="20"/>
          <w:szCs w:val="20"/>
        </w:rPr>
      </w:pPr>
      <w:r w:rsidRPr="00913E95">
        <w:rPr>
          <w:rFonts w:ascii="Arial" w:hAnsi="Arial" w:cs="Arial"/>
          <w:noProof/>
          <w:sz w:val="20"/>
          <w:szCs w:val="20"/>
        </w:rPr>
        <w:drawing>
          <wp:inline distT="0" distB="0" distL="0" distR="0" wp14:anchorId="7F4014A8" wp14:editId="2574B277">
            <wp:extent cx="1876425" cy="578856"/>
            <wp:effectExtent l="0" t="0" r="0" b="0"/>
            <wp:docPr id="333783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83841" name=""/>
                    <pic:cNvPicPr/>
                  </pic:nvPicPr>
                  <pic:blipFill>
                    <a:blip r:embed="rId7"/>
                    <a:stretch>
                      <a:fillRect/>
                    </a:stretch>
                  </pic:blipFill>
                  <pic:spPr>
                    <a:xfrm>
                      <a:off x="0" y="0"/>
                      <a:ext cx="1911541" cy="589689"/>
                    </a:xfrm>
                    <a:prstGeom prst="rect">
                      <a:avLst/>
                    </a:prstGeom>
                  </pic:spPr>
                </pic:pic>
              </a:graphicData>
            </a:graphic>
          </wp:inline>
        </w:drawing>
      </w:r>
    </w:p>
    <w:p w14:paraId="6C239C72" w14:textId="77777777" w:rsidR="00B86E2A" w:rsidRPr="00B86E2A" w:rsidRDefault="00B86E2A" w:rsidP="00B86E2A">
      <w:pPr>
        <w:rPr>
          <w:rFonts w:ascii="Arial" w:hAnsi="Arial" w:cs="Arial"/>
          <w:sz w:val="20"/>
          <w:szCs w:val="20"/>
        </w:rPr>
      </w:pPr>
      <w:r w:rsidRPr="00B86E2A">
        <w:rPr>
          <w:rFonts w:ascii="Arial" w:hAnsi="Arial" w:cs="Arial"/>
          <w:sz w:val="20"/>
          <w:szCs w:val="20"/>
        </w:rPr>
        <w:t>Where:</w:t>
      </w:r>
    </w:p>
    <w:p w14:paraId="2D35BE9F" w14:textId="22CB0621" w:rsidR="00B86E2A" w:rsidRPr="00B86E2A" w:rsidRDefault="00B86E2A" w:rsidP="00B86E2A">
      <w:pPr>
        <w:numPr>
          <w:ilvl w:val="0"/>
          <w:numId w:val="6"/>
        </w:numPr>
        <w:rPr>
          <w:rFonts w:ascii="Arial" w:hAnsi="Arial" w:cs="Arial"/>
          <w:sz w:val="20"/>
          <w:szCs w:val="20"/>
        </w:rPr>
      </w:pPr>
      <w:proofErr w:type="spellStart"/>
      <w:r w:rsidRPr="00B86E2A">
        <w:rPr>
          <w:rFonts w:ascii="Arial" w:hAnsi="Arial" w:cs="Arial"/>
          <w:sz w:val="20"/>
          <w:szCs w:val="20"/>
        </w:rPr>
        <w:t>xj</w:t>
      </w:r>
      <w:proofErr w:type="spellEnd"/>
      <w:r w:rsidR="00FA3594" w:rsidRPr="00913E95">
        <w:rPr>
          <w:rFonts w:ascii="Arial" w:hAnsi="Arial" w:cs="Arial"/>
          <w:sz w:val="20"/>
          <w:szCs w:val="20"/>
        </w:rPr>
        <w:t xml:space="preserve"> </w:t>
      </w:r>
      <w:r w:rsidRPr="00B86E2A">
        <w:rPr>
          <w:rFonts w:ascii="Arial" w:hAnsi="Arial" w:cs="Arial"/>
          <w:sz w:val="20"/>
          <w:szCs w:val="20"/>
        </w:rPr>
        <w:t>​ = data point</w:t>
      </w:r>
    </w:p>
    <w:p w14:paraId="01DEA153" w14:textId="39BFACF2" w:rsidR="00B86E2A" w:rsidRPr="00B86E2A" w:rsidRDefault="00B86E2A" w:rsidP="00B86E2A">
      <w:pPr>
        <w:numPr>
          <w:ilvl w:val="0"/>
          <w:numId w:val="6"/>
        </w:numPr>
        <w:rPr>
          <w:rFonts w:ascii="Arial" w:hAnsi="Arial" w:cs="Arial"/>
          <w:sz w:val="20"/>
          <w:szCs w:val="20"/>
        </w:rPr>
      </w:pPr>
      <w:proofErr w:type="spellStart"/>
      <w:r w:rsidRPr="00B86E2A">
        <w:rPr>
          <w:rFonts w:ascii="Arial" w:hAnsi="Arial" w:cs="Arial"/>
          <w:sz w:val="20"/>
          <w:szCs w:val="20"/>
        </w:rPr>
        <w:t>μi</w:t>
      </w:r>
      <w:proofErr w:type="spellEnd"/>
      <w:r w:rsidRPr="00B86E2A">
        <w:rPr>
          <w:rFonts w:ascii="Arial" w:hAnsi="Arial" w:cs="Arial"/>
          <w:sz w:val="20"/>
          <w:szCs w:val="20"/>
        </w:rPr>
        <w:t xml:space="preserve">​ = centroid of cluster </w:t>
      </w:r>
      <w:proofErr w:type="spellStart"/>
      <w:r w:rsidRPr="00B86E2A">
        <w:rPr>
          <w:rFonts w:ascii="Arial" w:hAnsi="Arial" w:cs="Arial"/>
          <w:sz w:val="20"/>
          <w:szCs w:val="20"/>
        </w:rPr>
        <w:t>i</w:t>
      </w:r>
      <w:proofErr w:type="spellEnd"/>
    </w:p>
    <w:p w14:paraId="54DF8C2C" w14:textId="609128C2" w:rsidR="00B86E2A" w:rsidRPr="00B86E2A" w:rsidRDefault="00B86E2A" w:rsidP="00B86E2A">
      <w:pPr>
        <w:numPr>
          <w:ilvl w:val="0"/>
          <w:numId w:val="6"/>
        </w:numPr>
        <w:rPr>
          <w:rFonts w:ascii="Arial" w:hAnsi="Arial" w:cs="Arial"/>
          <w:sz w:val="20"/>
          <w:szCs w:val="20"/>
        </w:rPr>
      </w:pPr>
      <w:r w:rsidRPr="00B86E2A">
        <w:rPr>
          <w:rFonts w:ascii="Cambria Math" w:hAnsi="Cambria Math" w:cs="Cambria Math"/>
          <w:sz w:val="20"/>
          <w:szCs w:val="20"/>
        </w:rPr>
        <w:t>∥</w:t>
      </w:r>
      <w:r w:rsidRPr="00B86E2A">
        <w:rPr>
          <w:rFonts w:ascii="Arial" w:hAnsi="Arial" w:cs="Arial"/>
          <w:sz w:val="20"/>
          <w:szCs w:val="20"/>
        </w:rPr>
        <w:t>xj−μi</w:t>
      </w:r>
      <w:r w:rsidRPr="00B86E2A">
        <w:rPr>
          <w:rFonts w:ascii="Cambria Math" w:hAnsi="Cambria Math" w:cs="Cambria Math"/>
          <w:sz w:val="20"/>
          <w:szCs w:val="20"/>
        </w:rPr>
        <w:t>∥</w:t>
      </w:r>
      <w:r w:rsidR="00FA3594" w:rsidRPr="00913E95">
        <w:rPr>
          <w:rFonts w:ascii="Arial" w:hAnsi="Arial" w:cs="Arial"/>
          <w:sz w:val="20"/>
          <w:szCs w:val="20"/>
          <w:vertAlign w:val="superscript"/>
        </w:rPr>
        <w:t>2</w:t>
      </w:r>
      <w:r w:rsidRPr="00B86E2A">
        <w:rPr>
          <w:rFonts w:ascii="Arial" w:hAnsi="Arial" w:cs="Arial"/>
          <w:sz w:val="20"/>
          <w:szCs w:val="20"/>
        </w:rPr>
        <w:t xml:space="preserve">= Euclidean distance between </w:t>
      </w:r>
      <w:proofErr w:type="spellStart"/>
      <w:r w:rsidRPr="00B86E2A">
        <w:rPr>
          <w:rFonts w:ascii="Arial" w:hAnsi="Arial" w:cs="Arial"/>
          <w:sz w:val="20"/>
          <w:szCs w:val="20"/>
        </w:rPr>
        <w:t>x</w:t>
      </w:r>
      <w:r w:rsidR="00FA3594" w:rsidRPr="00913E95">
        <w:rPr>
          <w:rFonts w:ascii="Arial" w:hAnsi="Arial" w:cs="Arial"/>
          <w:sz w:val="20"/>
          <w:szCs w:val="20"/>
          <w:vertAlign w:val="subscript"/>
        </w:rPr>
        <w:t>j</w:t>
      </w:r>
      <w:proofErr w:type="spellEnd"/>
      <w:r w:rsidRPr="00B86E2A">
        <w:rPr>
          <w:rFonts w:ascii="Arial" w:hAnsi="Arial" w:cs="Arial"/>
          <w:sz w:val="20"/>
          <w:szCs w:val="20"/>
        </w:rPr>
        <w:t xml:space="preserve">​ and cluster center </w:t>
      </w:r>
      <w:proofErr w:type="spellStart"/>
      <w:r w:rsidRPr="00B86E2A">
        <w:rPr>
          <w:rFonts w:ascii="Arial" w:hAnsi="Arial" w:cs="Arial"/>
          <w:sz w:val="20"/>
          <w:szCs w:val="20"/>
        </w:rPr>
        <w:t>μ</w:t>
      </w:r>
      <w:r w:rsidR="00FA3594" w:rsidRPr="00913E95">
        <w:rPr>
          <w:rFonts w:ascii="Arial" w:hAnsi="Arial" w:cs="Arial"/>
          <w:sz w:val="20"/>
          <w:szCs w:val="20"/>
          <w:vertAlign w:val="subscript"/>
        </w:rPr>
        <w:t>i</w:t>
      </w:r>
      <w:proofErr w:type="spellEnd"/>
    </w:p>
    <w:p w14:paraId="1F115579" w14:textId="09BED7DD" w:rsidR="00B86E2A" w:rsidRPr="00B86E2A" w:rsidRDefault="00B86E2A" w:rsidP="00B86E2A">
      <w:pPr>
        <w:rPr>
          <w:rFonts w:ascii="Arial" w:hAnsi="Arial" w:cs="Arial"/>
          <w:sz w:val="20"/>
          <w:szCs w:val="20"/>
        </w:rPr>
      </w:pPr>
      <w:r w:rsidRPr="00B86E2A">
        <w:rPr>
          <w:rFonts w:ascii="Arial" w:hAnsi="Arial" w:cs="Arial"/>
          <w:sz w:val="20"/>
          <w:szCs w:val="20"/>
        </w:rPr>
        <w:t>The optimal number of clusters k</w:t>
      </w:r>
      <w:r w:rsidR="00FA3594" w:rsidRPr="00913E95">
        <w:rPr>
          <w:rFonts w:ascii="Arial" w:hAnsi="Arial" w:cs="Arial"/>
          <w:sz w:val="20"/>
          <w:szCs w:val="20"/>
        </w:rPr>
        <w:t xml:space="preserve"> </w:t>
      </w:r>
      <w:r w:rsidRPr="00B86E2A">
        <w:rPr>
          <w:rFonts w:ascii="Arial" w:hAnsi="Arial" w:cs="Arial"/>
          <w:sz w:val="20"/>
          <w:szCs w:val="20"/>
        </w:rPr>
        <w:t>was determined using:</w:t>
      </w:r>
    </w:p>
    <w:p w14:paraId="7708B322" w14:textId="77777777" w:rsidR="00B86E2A" w:rsidRPr="00B86E2A" w:rsidRDefault="00B86E2A" w:rsidP="00B86E2A">
      <w:pPr>
        <w:numPr>
          <w:ilvl w:val="0"/>
          <w:numId w:val="7"/>
        </w:numPr>
        <w:rPr>
          <w:rFonts w:ascii="Arial" w:hAnsi="Arial" w:cs="Arial"/>
          <w:sz w:val="20"/>
          <w:szCs w:val="20"/>
        </w:rPr>
      </w:pPr>
      <w:r w:rsidRPr="00B86E2A">
        <w:rPr>
          <w:rFonts w:ascii="Arial" w:hAnsi="Arial" w:cs="Arial"/>
          <w:sz w:val="20"/>
          <w:szCs w:val="20"/>
        </w:rPr>
        <w:t>Elbow Method: identifies the point at which the marginal gain in intra-cluster variance reduction drops</w:t>
      </w:r>
    </w:p>
    <w:p w14:paraId="23CD17B0" w14:textId="77777777" w:rsidR="00B86E2A" w:rsidRPr="00B86E2A" w:rsidRDefault="00B86E2A" w:rsidP="00B86E2A">
      <w:pPr>
        <w:numPr>
          <w:ilvl w:val="0"/>
          <w:numId w:val="7"/>
        </w:numPr>
        <w:rPr>
          <w:rFonts w:ascii="Arial" w:hAnsi="Arial" w:cs="Arial"/>
          <w:sz w:val="20"/>
          <w:szCs w:val="20"/>
        </w:rPr>
      </w:pPr>
      <w:r w:rsidRPr="00B86E2A">
        <w:rPr>
          <w:rFonts w:ascii="Arial" w:hAnsi="Arial" w:cs="Arial"/>
          <w:sz w:val="20"/>
          <w:szCs w:val="20"/>
        </w:rPr>
        <w:t>Silhouette Coefficient: measures how similar a point is to its own cluster compared to other clusters</w:t>
      </w:r>
    </w:p>
    <w:p w14:paraId="0E1289FD" w14:textId="02E3B7EE" w:rsidR="00B86E2A" w:rsidRPr="00B86E2A" w:rsidRDefault="00FA3594" w:rsidP="001D717F">
      <w:pPr>
        <w:jc w:val="center"/>
        <w:rPr>
          <w:rFonts w:ascii="Arial" w:hAnsi="Arial" w:cs="Arial"/>
          <w:sz w:val="20"/>
          <w:szCs w:val="20"/>
        </w:rPr>
      </w:pPr>
      <m:oMathPara>
        <m:oMath>
          <m:r>
            <w:rPr>
              <w:rFonts w:ascii="Cambria Math" w:hAnsi="Cambria Math" w:cs="Arial"/>
              <w:sz w:val="20"/>
              <w:szCs w:val="20"/>
            </w:rPr>
            <m:t>S</m:t>
          </m:r>
          <m:f>
            <m:fPr>
              <m:ctrlPr>
                <w:rPr>
                  <w:rFonts w:ascii="Cambria Math" w:hAnsi="Cambria Math" w:cs="Arial"/>
                  <w:i/>
                  <w:sz w:val="20"/>
                  <w:szCs w:val="20"/>
                </w:rPr>
              </m:ctrlPr>
            </m:fPr>
            <m:num>
              <m:r>
                <w:rPr>
                  <w:rFonts w:ascii="Cambria Math" w:hAnsi="Cambria Math" w:cs="Arial"/>
                  <w:sz w:val="20"/>
                  <w:szCs w:val="20"/>
                </w:rPr>
                <m:t>b</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-a(i)</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b</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e>
              </m:func>
            </m:den>
          </m:f>
        </m:oMath>
      </m:oMathPara>
    </w:p>
    <w:p w14:paraId="78447A96" w14:textId="77777777" w:rsidR="00B86E2A" w:rsidRPr="00B86E2A" w:rsidRDefault="00B86E2A" w:rsidP="00B86E2A">
      <w:pPr>
        <w:rPr>
          <w:rFonts w:ascii="Arial" w:hAnsi="Arial" w:cs="Arial"/>
          <w:sz w:val="20"/>
          <w:szCs w:val="20"/>
        </w:rPr>
      </w:pPr>
      <w:r w:rsidRPr="00B86E2A">
        <w:rPr>
          <w:rFonts w:ascii="Arial" w:hAnsi="Arial" w:cs="Arial"/>
          <w:sz w:val="20"/>
          <w:szCs w:val="20"/>
        </w:rPr>
        <w:t>Where:</w:t>
      </w:r>
    </w:p>
    <w:p w14:paraId="761FB7DD" w14:textId="2A3FCA62" w:rsidR="00B86E2A" w:rsidRPr="00B86E2A" w:rsidRDefault="00B86E2A" w:rsidP="00B86E2A">
      <w:pPr>
        <w:numPr>
          <w:ilvl w:val="0"/>
          <w:numId w:val="8"/>
        </w:numPr>
        <w:rPr>
          <w:rFonts w:ascii="Arial" w:hAnsi="Arial" w:cs="Arial"/>
          <w:sz w:val="20"/>
          <w:szCs w:val="20"/>
        </w:rPr>
      </w:pPr>
      <w:r w:rsidRPr="00B86E2A">
        <w:rPr>
          <w:rFonts w:ascii="Arial" w:hAnsi="Arial" w:cs="Arial"/>
          <w:sz w:val="20"/>
          <w:szCs w:val="20"/>
        </w:rPr>
        <w:t>a(</w:t>
      </w:r>
      <w:proofErr w:type="spellStart"/>
      <w:r w:rsidRPr="00B86E2A">
        <w:rPr>
          <w:rFonts w:ascii="Arial" w:hAnsi="Arial" w:cs="Arial"/>
          <w:sz w:val="20"/>
          <w:szCs w:val="20"/>
        </w:rPr>
        <w:t>i</w:t>
      </w:r>
      <w:proofErr w:type="spellEnd"/>
      <w:r w:rsidRPr="00B86E2A">
        <w:rPr>
          <w:rFonts w:ascii="Arial" w:hAnsi="Arial" w:cs="Arial"/>
          <w:sz w:val="20"/>
          <w:szCs w:val="20"/>
        </w:rPr>
        <w:t>)</w:t>
      </w:r>
      <w:r w:rsidR="00FA3594" w:rsidRPr="00913E95">
        <w:rPr>
          <w:rFonts w:ascii="Arial" w:hAnsi="Arial" w:cs="Arial"/>
          <w:sz w:val="20"/>
          <w:szCs w:val="20"/>
        </w:rPr>
        <w:t xml:space="preserve">: </w:t>
      </w:r>
      <w:r w:rsidRPr="00B86E2A">
        <w:rPr>
          <w:rFonts w:ascii="Arial" w:hAnsi="Arial" w:cs="Arial"/>
          <w:sz w:val="20"/>
          <w:szCs w:val="20"/>
        </w:rPr>
        <w:t>average distance of iii to all points in its cluster</w:t>
      </w:r>
    </w:p>
    <w:p w14:paraId="39DD7E5D" w14:textId="5AC64A2C" w:rsidR="00B86E2A" w:rsidRPr="00B86E2A" w:rsidRDefault="00B86E2A" w:rsidP="00B86E2A">
      <w:pPr>
        <w:numPr>
          <w:ilvl w:val="0"/>
          <w:numId w:val="8"/>
        </w:numPr>
        <w:rPr>
          <w:rFonts w:ascii="Arial" w:hAnsi="Arial" w:cs="Arial"/>
          <w:sz w:val="20"/>
          <w:szCs w:val="20"/>
        </w:rPr>
      </w:pPr>
      <w:r w:rsidRPr="00B86E2A">
        <w:rPr>
          <w:rFonts w:ascii="Arial" w:hAnsi="Arial" w:cs="Arial"/>
          <w:sz w:val="20"/>
          <w:szCs w:val="20"/>
        </w:rPr>
        <w:t>b(</w:t>
      </w:r>
      <w:proofErr w:type="spellStart"/>
      <w:r w:rsidRPr="00B86E2A">
        <w:rPr>
          <w:rFonts w:ascii="Arial" w:hAnsi="Arial" w:cs="Arial"/>
          <w:sz w:val="20"/>
          <w:szCs w:val="20"/>
        </w:rPr>
        <w:t>i</w:t>
      </w:r>
      <w:proofErr w:type="spellEnd"/>
      <w:r w:rsidRPr="00B86E2A">
        <w:rPr>
          <w:rFonts w:ascii="Arial" w:hAnsi="Arial" w:cs="Arial"/>
          <w:sz w:val="20"/>
          <w:szCs w:val="20"/>
        </w:rPr>
        <w:t>)</w:t>
      </w:r>
      <w:r w:rsidR="00FA3594" w:rsidRPr="00913E95">
        <w:rPr>
          <w:rFonts w:ascii="Arial" w:hAnsi="Arial" w:cs="Arial"/>
          <w:sz w:val="20"/>
          <w:szCs w:val="20"/>
        </w:rPr>
        <w:t xml:space="preserve">: </w:t>
      </w:r>
      <w:r w:rsidRPr="00B86E2A">
        <w:rPr>
          <w:rFonts w:ascii="Arial" w:hAnsi="Arial" w:cs="Arial"/>
          <w:sz w:val="20"/>
          <w:szCs w:val="20"/>
        </w:rPr>
        <w:t>minimum average distance of iii to points in other clusters</w:t>
      </w:r>
    </w:p>
    <w:p w14:paraId="014590FA" w14:textId="77777777" w:rsidR="00B86E2A" w:rsidRPr="00B86E2A" w:rsidRDefault="00B86E2A" w:rsidP="00B86E2A">
      <w:pPr>
        <w:rPr>
          <w:rFonts w:ascii="Arial" w:hAnsi="Arial" w:cs="Arial"/>
          <w:sz w:val="20"/>
          <w:szCs w:val="20"/>
        </w:rPr>
      </w:pPr>
      <w:r w:rsidRPr="00B86E2A">
        <w:rPr>
          <w:rFonts w:ascii="Arial" w:hAnsi="Arial" w:cs="Arial"/>
          <w:sz w:val="20"/>
          <w:szCs w:val="20"/>
        </w:rPr>
        <w:t>d) Regression Analysis</w:t>
      </w:r>
    </w:p>
    <w:p w14:paraId="100714D7" w14:textId="77777777" w:rsidR="005D518C" w:rsidRPr="005D518C" w:rsidRDefault="005D518C" w:rsidP="005D518C">
      <w:pPr>
        <w:rPr>
          <w:rFonts w:ascii="Arial" w:hAnsi="Arial" w:cs="Arial"/>
          <w:sz w:val="20"/>
          <w:szCs w:val="20"/>
        </w:rPr>
      </w:pPr>
      <w:r w:rsidRPr="005D518C">
        <w:rPr>
          <w:rFonts w:ascii="Arial" w:hAnsi="Arial" w:cs="Arial"/>
          <w:sz w:val="20"/>
          <w:szCs w:val="20"/>
        </w:rPr>
        <w:t xml:space="preserve">The clustering analysis was visualized spatially using </w:t>
      </w:r>
      <w:r w:rsidRPr="005D518C">
        <w:rPr>
          <w:rFonts w:ascii="Arial" w:hAnsi="Arial" w:cs="Arial"/>
          <w:b/>
          <w:bCs/>
          <w:sz w:val="20"/>
          <w:szCs w:val="20"/>
        </w:rPr>
        <w:t>QGIS</w:t>
      </w:r>
      <w:r w:rsidRPr="005D518C">
        <w:rPr>
          <w:rFonts w:ascii="Arial" w:hAnsi="Arial" w:cs="Arial"/>
          <w:sz w:val="20"/>
          <w:szCs w:val="20"/>
        </w:rPr>
        <w:t>, with districts color-coded by cluster membership to highlight geographical disparities and groupings.</w:t>
      </w:r>
    </w:p>
    <w:p w14:paraId="7AB73F8A" w14:textId="77777777" w:rsidR="005D518C" w:rsidRPr="005D518C" w:rsidRDefault="005D518C" w:rsidP="005D518C">
      <w:pPr>
        <w:rPr>
          <w:rFonts w:ascii="Arial" w:hAnsi="Arial" w:cs="Arial"/>
          <w:b/>
          <w:bCs/>
          <w:sz w:val="20"/>
          <w:szCs w:val="20"/>
        </w:rPr>
      </w:pPr>
      <w:r w:rsidRPr="005D518C">
        <w:rPr>
          <w:rFonts w:ascii="Arial" w:hAnsi="Arial" w:cs="Arial"/>
          <w:b/>
          <w:bCs/>
          <w:sz w:val="20"/>
          <w:szCs w:val="20"/>
        </w:rPr>
        <w:t>2.4 Multiple Linear Regression</w:t>
      </w:r>
    </w:p>
    <w:p w14:paraId="3C790C4C" w14:textId="77777777" w:rsidR="005D518C" w:rsidRDefault="005D518C" w:rsidP="005D518C">
      <w:pPr>
        <w:jc w:val="both"/>
        <w:rPr>
          <w:rFonts w:ascii="Arial" w:hAnsi="Arial" w:cs="Arial"/>
          <w:sz w:val="20"/>
          <w:szCs w:val="20"/>
        </w:rPr>
      </w:pPr>
      <w:r w:rsidRPr="005D518C">
        <w:rPr>
          <w:rFonts w:ascii="Arial" w:hAnsi="Arial" w:cs="Arial"/>
          <w:sz w:val="20"/>
          <w:szCs w:val="20"/>
        </w:rPr>
        <w:t xml:space="preserve">A regression model was estimated to quantify the effect of each original socioeconomic variable on the poverty rate. The </w:t>
      </w:r>
      <w:r w:rsidRPr="005D518C">
        <w:rPr>
          <w:rFonts w:ascii="Arial" w:hAnsi="Arial" w:cs="Arial"/>
          <w:b/>
          <w:bCs/>
          <w:sz w:val="20"/>
          <w:szCs w:val="20"/>
        </w:rPr>
        <w:t>ordinary least squares (OLS)</w:t>
      </w:r>
      <w:r w:rsidRPr="005D518C">
        <w:rPr>
          <w:rFonts w:ascii="Arial" w:hAnsi="Arial" w:cs="Arial"/>
          <w:sz w:val="20"/>
          <w:szCs w:val="20"/>
        </w:rPr>
        <w:t xml:space="preserve"> method was used. </w:t>
      </w:r>
    </w:p>
    <w:p w14:paraId="0AD98286" w14:textId="77777777" w:rsidR="005D518C" w:rsidRPr="00B86E2A" w:rsidRDefault="005D518C" w:rsidP="005D518C">
      <w:pPr>
        <w:jc w:val="center"/>
        <w:rPr>
          <w:rFonts w:ascii="Arial" w:hAnsi="Arial" w:cs="Arial"/>
          <w:sz w:val="20"/>
          <w:szCs w:val="20"/>
        </w:rPr>
      </w:pPr>
      <w:r w:rsidRPr="00B86E2A">
        <w:rPr>
          <w:rFonts w:ascii="Arial" w:hAnsi="Arial" w:cs="Arial"/>
          <w:sz w:val="20"/>
          <w:szCs w:val="20"/>
        </w:rPr>
        <w:t>Y=β0+β</w:t>
      </w:r>
      <w:proofErr w:type="spellStart"/>
      <w:r w:rsidRPr="00B86E2A">
        <w:rPr>
          <w:rFonts w:ascii="Arial" w:hAnsi="Arial" w:cs="Arial"/>
          <w:sz w:val="20"/>
          <w:szCs w:val="20"/>
        </w:rPr>
        <w:t>1X1</w:t>
      </w:r>
      <w:proofErr w:type="spellEnd"/>
      <w:r w:rsidRPr="00B86E2A">
        <w:rPr>
          <w:rFonts w:ascii="Arial" w:hAnsi="Arial" w:cs="Arial"/>
          <w:sz w:val="20"/>
          <w:szCs w:val="20"/>
        </w:rPr>
        <w:t>+β</w:t>
      </w:r>
      <w:proofErr w:type="spellStart"/>
      <w:r w:rsidRPr="00B86E2A">
        <w:rPr>
          <w:rFonts w:ascii="Arial" w:hAnsi="Arial" w:cs="Arial"/>
          <w:sz w:val="20"/>
          <w:szCs w:val="20"/>
        </w:rPr>
        <w:t>2X2</w:t>
      </w:r>
      <w:proofErr w:type="spellEnd"/>
      <w:r w:rsidRPr="00B86E2A">
        <w:rPr>
          <w:rFonts w:ascii="Arial" w:hAnsi="Arial" w:cs="Arial"/>
          <w:sz w:val="20"/>
          <w:szCs w:val="20"/>
        </w:rPr>
        <w:t>+...+β</w:t>
      </w:r>
      <w:proofErr w:type="spellStart"/>
      <w:r w:rsidRPr="00B86E2A">
        <w:rPr>
          <w:rFonts w:ascii="Arial" w:hAnsi="Arial" w:cs="Arial"/>
          <w:sz w:val="20"/>
          <w:szCs w:val="20"/>
        </w:rPr>
        <w:t>kXk</w:t>
      </w:r>
      <w:proofErr w:type="spellEnd"/>
      <w:r w:rsidRPr="00B86E2A">
        <w:rPr>
          <w:rFonts w:ascii="Arial" w:hAnsi="Arial" w:cs="Arial"/>
          <w:sz w:val="20"/>
          <w:szCs w:val="20"/>
        </w:rPr>
        <w:t>+ϵ</w:t>
      </w:r>
    </w:p>
    <w:p w14:paraId="630D7D41" w14:textId="797FF222" w:rsidR="005D518C" w:rsidRPr="005D518C" w:rsidRDefault="005D518C" w:rsidP="005D518C">
      <w:pPr>
        <w:jc w:val="both"/>
        <w:rPr>
          <w:rFonts w:ascii="Arial" w:hAnsi="Arial" w:cs="Arial"/>
          <w:sz w:val="20"/>
          <w:szCs w:val="20"/>
        </w:rPr>
      </w:pPr>
      <w:r w:rsidRPr="005D518C">
        <w:rPr>
          <w:rFonts w:ascii="Arial" w:hAnsi="Arial" w:cs="Arial"/>
          <w:sz w:val="20"/>
          <w:szCs w:val="20"/>
        </w:rPr>
        <w:t>Diagnostic tests were performed:</w:t>
      </w:r>
    </w:p>
    <w:p w14:paraId="178B04A7" w14:textId="77777777" w:rsidR="005D518C" w:rsidRPr="005D518C" w:rsidRDefault="005D518C" w:rsidP="005D518C">
      <w:pPr>
        <w:numPr>
          <w:ilvl w:val="0"/>
          <w:numId w:val="26"/>
        </w:numPr>
        <w:rPr>
          <w:rFonts w:ascii="Arial" w:hAnsi="Arial" w:cs="Arial"/>
          <w:sz w:val="20"/>
          <w:szCs w:val="20"/>
        </w:rPr>
      </w:pPr>
      <w:r w:rsidRPr="005D518C">
        <w:rPr>
          <w:rFonts w:ascii="Arial" w:hAnsi="Arial" w:cs="Arial"/>
          <w:b/>
          <w:bCs/>
          <w:sz w:val="20"/>
          <w:szCs w:val="20"/>
        </w:rPr>
        <w:t>Variance Inflation Factor (VIF)</w:t>
      </w:r>
      <w:r w:rsidRPr="005D518C">
        <w:rPr>
          <w:rFonts w:ascii="Arial" w:hAnsi="Arial" w:cs="Arial"/>
          <w:sz w:val="20"/>
          <w:szCs w:val="20"/>
        </w:rPr>
        <w:t xml:space="preserve"> confirmed no multicollinearity (all &lt; 5).</w:t>
      </w:r>
    </w:p>
    <w:p w14:paraId="4B3E2C92" w14:textId="77777777" w:rsidR="005D518C" w:rsidRPr="005D518C" w:rsidRDefault="005D518C" w:rsidP="005D518C">
      <w:pPr>
        <w:numPr>
          <w:ilvl w:val="0"/>
          <w:numId w:val="26"/>
        </w:numPr>
        <w:rPr>
          <w:rFonts w:ascii="Arial" w:hAnsi="Arial" w:cs="Arial"/>
          <w:sz w:val="20"/>
          <w:szCs w:val="20"/>
        </w:rPr>
      </w:pPr>
      <w:r w:rsidRPr="005D518C">
        <w:rPr>
          <w:rFonts w:ascii="Arial" w:hAnsi="Arial" w:cs="Arial"/>
          <w:b/>
          <w:bCs/>
          <w:sz w:val="20"/>
          <w:szCs w:val="20"/>
        </w:rPr>
        <w:t>Breusch-Pagan test</w:t>
      </w:r>
      <w:r w:rsidRPr="005D518C">
        <w:rPr>
          <w:rFonts w:ascii="Arial" w:hAnsi="Arial" w:cs="Arial"/>
          <w:sz w:val="20"/>
          <w:szCs w:val="20"/>
        </w:rPr>
        <w:t xml:space="preserve"> showed no heteroscedasticity (</w:t>
      </w:r>
      <w:r w:rsidRPr="005D518C">
        <w:rPr>
          <w:rFonts w:ascii="Arial" w:hAnsi="Arial" w:cs="Arial"/>
          <w:b/>
          <w:bCs/>
          <w:sz w:val="20"/>
          <w:szCs w:val="20"/>
        </w:rPr>
        <w:t>p &gt; 0.05</w:t>
      </w:r>
      <w:r w:rsidRPr="005D518C">
        <w:rPr>
          <w:rFonts w:ascii="Arial" w:hAnsi="Arial" w:cs="Arial"/>
          <w:sz w:val="20"/>
          <w:szCs w:val="20"/>
        </w:rPr>
        <w:t>).</w:t>
      </w:r>
    </w:p>
    <w:p w14:paraId="2B40B5D5" w14:textId="77777777" w:rsidR="005D518C" w:rsidRPr="005D518C" w:rsidRDefault="005D518C" w:rsidP="005D518C">
      <w:pPr>
        <w:numPr>
          <w:ilvl w:val="0"/>
          <w:numId w:val="26"/>
        </w:numPr>
        <w:rPr>
          <w:rFonts w:ascii="Arial" w:hAnsi="Arial" w:cs="Arial"/>
          <w:sz w:val="20"/>
          <w:szCs w:val="20"/>
        </w:rPr>
      </w:pPr>
      <w:r w:rsidRPr="005D518C">
        <w:rPr>
          <w:rFonts w:ascii="Arial" w:hAnsi="Arial" w:cs="Arial"/>
          <w:b/>
          <w:bCs/>
          <w:sz w:val="20"/>
          <w:szCs w:val="20"/>
        </w:rPr>
        <w:lastRenderedPageBreak/>
        <w:t>Shapiro-Wilk test</w:t>
      </w:r>
      <w:r w:rsidRPr="005D518C">
        <w:rPr>
          <w:rFonts w:ascii="Arial" w:hAnsi="Arial" w:cs="Arial"/>
          <w:sz w:val="20"/>
          <w:szCs w:val="20"/>
        </w:rPr>
        <w:t xml:space="preserve"> supported the normality of residuals.</w:t>
      </w:r>
    </w:p>
    <w:p w14:paraId="6C8C6938" w14:textId="77777777" w:rsidR="005D518C" w:rsidRPr="005D518C" w:rsidRDefault="005D518C" w:rsidP="005D518C">
      <w:pPr>
        <w:rPr>
          <w:rFonts w:ascii="Arial" w:hAnsi="Arial" w:cs="Arial"/>
          <w:sz w:val="20"/>
          <w:szCs w:val="20"/>
        </w:rPr>
      </w:pPr>
      <w:r w:rsidRPr="005D518C">
        <w:rPr>
          <w:rFonts w:ascii="Arial" w:hAnsi="Arial" w:cs="Arial"/>
          <w:sz w:val="20"/>
          <w:szCs w:val="20"/>
        </w:rPr>
        <w:t>This step validated the explanatory power of the variables selected in PCA and cluster analysis and allowed the identification of statistically significant poverty determinants in the region</w:t>
      </w:r>
    </w:p>
    <w:p w14:paraId="50FBB8D7" w14:textId="77777777" w:rsidR="00B86E2A" w:rsidRPr="00B86E2A" w:rsidRDefault="00B86E2A" w:rsidP="00B86E2A">
      <w:pPr>
        <w:rPr>
          <w:rFonts w:ascii="Arial" w:hAnsi="Arial" w:cs="Arial"/>
          <w:sz w:val="20"/>
          <w:szCs w:val="20"/>
        </w:rPr>
      </w:pPr>
      <w:r w:rsidRPr="00B86E2A">
        <w:rPr>
          <w:rFonts w:ascii="Arial" w:hAnsi="Arial" w:cs="Arial"/>
          <w:sz w:val="20"/>
          <w:szCs w:val="20"/>
        </w:rPr>
        <w:t>Where:</w:t>
      </w:r>
    </w:p>
    <w:p w14:paraId="63EEE12D" w14:textId="4C0F70BB" w:rsidR="00B86E2A" w:rsidRPr="00B86E2A" w:rsidRDefault="00B86E2A" w:rsidP="00B86E2A">
      <w:pPr>
        <w:numPr>
          <w:ilvl w:val="0"/>
          <w:numId w:val="9"/>
        </w:numPr>
        <w:rPr>
          <w:rFonts w:ascii="Arial" w:hAnsi="Arial" w:cs="Arial"/>
          <w:sz w:val="20"/>
          <w:szCs w:val="20"/>
        </w:rPr>
      </w:pPr>
      <w:r w:rsidRPr="00B86E2A">
        <w:rPr>
          <w:rFonts w:ascii="Arial" w:hAnsi="Arial" w:cs="Arial"/>
          <w:sz w:val="20"/>
          <w:szCs w:val="20"/>
        </w:rPr>
        <w:t>Y</w:t>
      </w:r>
      <w:r w:rsidR="00FA3594" w:rsidRPr="00913E95">
        <w:rPr>
          <w:rFonts w:ascii="Arial" w:hAnsi="Arial" w:cs="Arial"/>
          <w:sz w:val="20"/>
          <w:szCs w:val="20"/>
        </w:rPr>
        <w:t xml:space="preserve"> </w:t>
      </w:r>
      <w:r w:rsidRPr="00B86E2A">
        <w:rPr>
          <w:rFonts w:ascii="Arial" w:hAnsi="Arial" w:cs="Arial"/>
          <w:sz w:val="20"/>
          <w:szCs w:val="20"/>
        </w:rPr>
        <w:t>= dependent variable (poverty rate)</w:t>
      </w:r>
    </w:p>
    <w:p w14:paraId="5E4169B7" w14:textId="38344D5F" w:rsidR="00B86E2A" w:rsidRPr="00B86E2A" w:rsidRDefault="00B86E2A" w:rsidP="00B86E2A">
      <w:pPr>
        <w:numPr>
          <w:ilvl w:val="0"/>
          <w:numId w:val="9"/>
        </w:numPr>
        <w:rPr>
          <w:rFonts w:ascii="Arial" w:hAnsi="Arial" w:cs="Arial"/>
          <w:sz w:val="20"/>
          <w:szCs w:val="20"/>
        </w:rPr>
      </w:pPr>
      <w:r w:rsidRPr="00B86E2A">
        <w:rPr>
          <w:rFonts w:ascii="Arial" w:hAnsi="Arial" w:cs="Arial"/>
          <w:sz w:val="20"/>
          <w:szCs w:val="20"/>
        </w:rPr>
        <w:t>β0</w:t>
      </w:r>
      <w:r w:rsidR="00FA3594" w:rsidRPr="00913E95">
        <w:rPr>
          <w:rFonts w:ascii="Arial" w:hAnsi="Arial" w:cs="Arial"/>
          <w:sz w:val="20"/>
          <w:szCs w:val="20"/>
        </w:rPr>
        <w:t xml:space="preserve"> </w:t>
      </w:r>
      <w:r w:rsidRPr="00B86E2A">
        <w:rPr>
          <w:rFonts w:ascii="Arial" w:hAnsi="Arial" w:cs="Arial"/>
          <w:sz w:val="20"/>
          <w:szCs w:val="20"/>
        </w:rPr>
        <w:t>​ = intercept</w:t>
      </w:r>
    </w:p>
    <w:p w14:paraId="0E8180AD" w14:textId="261C8F8A" w:rsidR="00B86E2A" w:rsidRPr="00B86E2A" w:rsidRDefault="00B86E2A" w:rsidP="00B86E2A">
      <w:pPr>
        <w:numPr>
          <w:ilvl w:val="0"/>
          <w:numId w:val="9"/>
        </w:numPr>
        <w:rPr>
          <w:rFonts w:ascii="Arial" w:hAnsi="Arial" w:cs="Arial"/>
          <w:sz w:val="20"/>
          <w:szCs w:val="20"/>
        </w:rPr>
      </w:pPr>
      <w:r w:rsidRPr="00B86E2A">
        <w:rPr>
          <w:rFonts w:ascii="Arial" w:hAnsi="Arial" w:cs="Arial"/>
          <w:sz w:val="20"/>
          <w:szCs w:val="20"/>
        </w:rPr>
        <w:t>βk</w:t>
      </w:r>
      <w:r w:rsidR="00FA3594" w:rsidRPr="00913E95">
        <w:rPr>
          <w:rFonts w:ascii="Arial" w:hAnsi="Arial" w:cs="Arial"/>
          <w:sz w:val="20"/>
          <w:szCs w:val="20"/>
        </w:rPr>
        <w:t xml:space="preserve"> </w:t>
      </w:r>
      <w:r w:rsidRPr="00B86E2A">
        <w:rPr>
          <w:rFonts w:ascii="Arial" w:hAnsi="Arial" w:cs="Arial"/>
          <w:sz w:val="20"/>
          <w:szCs w:val="20"/>
        </w:rPr>
        <w:t>​ = regression coefficients</w:t>
      </w:r>
    </w:p>
    <w:p w14:paraId="1932359B" w14:textId="1F9AFFF9" w:rsidR="00B86E2A" w:rsidRPr="00B86E2A" w:rsidRDefault="00B86E2A" w:rsidP="00B86E2A">
      <w:pPr>
        <w:numPr>
          <w:ilvl w:val="0"/>
          <w:numId w:val="9"/>
        </w:numPr>
        <w:rPr>
          <w:rFonts w:ascii="Arial" w:hAnsi="Arial" w:cs="Arial"/>
          <w:sz w:val="20"/>
          <w:szCs w:val="20"/>
        </w:rPr>
      </w:pPr>
      <w:proofErr w:type="spellStart"/>
      <w:r w:rsidRPr="00B86E2A">
        <w:rPr>
          <w:rFonts w:ascii="Arial" w:hAnsi="Arial" w:cs="Arial"/>
          <w:sz w:val="20"/>
          <w:szCs w:val="20"/>
        </w:rPr>
        <w:t>Xk</w:t>
      </w:r>
      <w:proofErr w:type="spellEnd"/>
      <w:r w:rsidR="00FA3594" w:rsidRPr="00913E95">
        <w:rPr>
          <w:rFonts w:ascii="Arial" w:hAnsi="Arial" w:cs="Arial"/>
          <w:sz w:val="20"/>
          <w:szCs w:val="20"/>
        </w:rPr>
        <w:t xml:space="preserve"> </w:t>
      </w:r>
      <w:r w:rsidRPr="00B86E2A">
        <w:rPr>
          <w:rFonts w:ascii="Arial" w:hAnsi="Arial" w:cs="Arial"/>
          <w:sz w:val="20"/>
          <w:szCs w:val="20"/>
        </w:rPr>
        <w:t>​ = independent variables (e.g., education, unemployment)</w:t>
      </w:r>
    </w:p>
    <w:p w14:paraId="363F3D19" w14:textId="6B15F5B9" w:rsidR="00B86E2A" w:rsidRPr="00B86E2A" w:rsidRDefault="00B86E2A" w:rsidP="00B86E2A">
      <w:pPr>
        <w:numPr>
          <w:ilvl w:val="0"/>
          <w:numId w:val="9"/>
        </w:numPr>
        <w:rPr>
          <w:rFonts w:ascii="Arial" w:hAnsi="Arial" w:cs="Arial"/>
          <w:sz w:val="20"/>
          <w:szCs w:val="20"/>
        </w:rPr>
      </w:pPr>
      <w:r w:rsidRPr="00B86E2A">
        <w:rPr>
          <w:rFonts w:ascii="Arial" w:hAnsi="Arial" w:cs="Arial"/>
          <w:sz w:val="20"/>
          <w:szCs w:val="20"/>
        </w:rPr>
        <w:t>ϵ</w:t>
      </w:r>
      <w:r w:rsidR="00FA3594" w:rsidRPr="00913E95">
        <w:rPr>
          <w:rFonts w:ascii="Arial" w:hAnsi="Arial" w:cs="Arial"/>
          <w:sz w:val="20"/>
          <w:szCs w:val="20"/>
        </w:rPr>
        <w:t xml:space="preserve"> </w:t>
      </w:r>
      <w:r w:rsidRPr="00B86E2A">
        <w:rPr>
          <w:rFonts w:ascii="Arial" w:hAnsi="Arial" w:cs="Arial"/>
          <w:sz w:val="20"/>
          <w:szCs w:val="20"/>
        </w:rPr>
        <w:t>= error term</w:t>
      </w:r>
    </w:p>
    <w:p w14:paraId="0E32B908" w14:textId="3E30C364" w:rsidR="00DD1A6F" w:rsidRPr="00DD1A6F" w:rsidRDefault="0017376D" w:rsidP="00DD1A6F">
      <w:pPr>
        <w:rPr>
          <w:rFonts w:ascii="Arial" w:hAnsi="Arial" w:cs="Arial"/>
          <w:b/>
          <w:bCs/>
          <w:sz w:val="20"/>
          <w:szCs w:val="20"/>
        </w:rPr>
      </w:pPr>
      <w:r w:rsidRPr="00913E95">
        <w:rPr>
          <w:rFonts w:ascii="Arial" w:hAnsi="Arial" w:cs="Arial"/>
          <w:b/>
          <w:bCs/>
          <w:sz w:val="20"/>
          <w:szCs w:val="20"/>
        </w:rPr>
        <w:t>III. RESULTS AND DISCUSSION</w:t>
      </w:r>
    </w:p>
    <w:p w14:paraId="4AF12293"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3.1 Descriptive Statistical Insights</w:t>
      </w:r>
    </w:p>
    <w:p w14:paraId="1FC843DC"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 xml:space="preserve">The descriptive statistics indicated pronounced variability in poverty-related indicators across districts. Education, for instance, showed that districts like Medan and </w:t>
      </w:r>
      <w:proofErr w:type="spellStart"/>
      <w:r w:rsidRPr="00DD1A6F">
        <w:rPr>
          <w:rFonts w:ascii="Arial" w:hAnsi="Arial" w:cs="Arial"/>
          <w:sz w:val="20"/>
          <w:szCs w:val="20"/>
        </w:rPr>
        <w:t>Binjai</w:t>
      </w:r>
      <w:proofErr w:type="spellEnd"/>
      <w:r w:rsidRPr="00DD1A6F">
        <w:rPr>
          <w:rFonts w:ascii="Arial" w:hAnsi="Arial" w:cs="Arial"/>
          <w:sz w:val="20"/>
          <w:szCs w:val="20"/>
        </w:rPr>
        <w:t xml:space="preserve"> had averages exceeding 9.5 years of schooling, while some outer islands, such as </w:t>
      </w:r>
      <w:proofErr w:type="spellStart"/>
      <w:r w:rsidRPr="00DD1A6F">
        <w:rPr>
          <w:rFonts w:ascii="Arial" w:hAnsi="Arial" w:cs="Arial"/>
          <w:sz w:val="20"/>
          <w:szCs w:val="20"/>
        </w:rPr>
        <w:t>Nias</w:t>
      </w:r>
      <w:proofErr w:type="spellEnd"/>
      <w:r w:rsidRPr="00DD1A6F">
        <w:rPr>
          <w:rFonts w:ascii="Arial" w:hAnsi="Arial" w:cs="Arial"/>
          <w:sz w:val="20"/>
          <w:szCs w:val="20"/>
        </w:rPr>
        <w:t xml:space="preserve"> Barat, had averages below 6.5 years. This reflects educational inequality, often driven by geographic isolation and infrastructure deficits.</w:t>
      </w:r>
    </w:p>
    <w:p w14:paraId="60E01C52"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 xml:space="preserve">Similarly, </w:t>
      </w:r>
      <w:r w:rsidRPr="00DD1A6F">
        <w:rPr>
          <w:rFonts w:ascii="Arial" w:hAnsi="Arial" w:cs="Arial"/>
          <w:b/>
          <w:bCs/>
          <w:sz w:val="20"/>
          <w:szCs w:val="20"/>
        </w:rPr>
        <w:t>unemployment rates</w:t>
      </w:r>
      <w:r w:rsidRPr="00DD1A6F">
        <w:rPr>
          <w:rFonts w:ascii="Arial" w:hAnsi="Arial" w:cs="Arial"/>
          <w:sz w:val="20"/>
          <w:szCs w:val="20"/>
        </w:rPr>
        <w:t xml:space="preserve"> ranged widely. Urban centers exhibited moderate unemployment (5–7%), whereas rural and remote areas showed both extremes—some with minimal formal sector engagement and others with chronic joblessness. The high variance underscores the need to understand regional labor dynamics rather than applying uniform employment policies.</w:t>
      </w:r>
    </w:p>
    <w:p w14:paraId="10AB67FC" w14:textId="77777777" w:rsidR="00DD1A6F" w:rsidRPr="00DD1A6F" w:rsidRDefault="00DD1A6F" w:rsidP="001D717F">
      <w:pPr>
        <w:jc w:val="both"/>
        <w:rPr>
          <w:rFonts w:ascii="Arial" w:hAnsi="Arial" w:cs="Arial"/>
          <w:sz w:val="20"/>
          <w:szCs w:val="20"/>
        </w:rPr>
      </w:pPr>
      <w:r w:rsidRPr="00DD1A6F">
        <w:rPr>
          <w:rFonts w:ascii="Arial" w:hAnsi="Arial" w:cs="Arial"/>
          <w:b/>
          <w:bCs/>
          <w:sz w:val="20"/>
          <w:szCs w:val="20"/>
        </w:rPr>
        <w:t>Minimum wages (UMK)</w:t>
      </w:r>
      <w:r w:rsidRPr="00DD1A6F">
        <w:rPr>
          <w:rFonts w:ascii="Arial" w:hAnsi="Arial" w:cs="Arial"/>
          <w:sz w:val="20"/>
          <w:szCs w:val="20"/>
        </w:rPr>
        <w:t xml:space="preserve"> varied not only by geographic location but also by regional economic bases. Deli Serdang had among the highest minimum wages due to industrial concentration, while island districts with limited economic activities posted lower figures. These discrepancies mirror the uneven distribution of formal employment opportunities.</w:t>
      </w:r>
    </w:p>
    <w:p w14:paraId="1AC0DB22"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Housing conditions further accentuated regional disparities. Districts such as Padang Lawas Utara had up to 27.6% of houses classified as uninhabitable, while urban areas showed better conditions. Housing is often linked with public investment and local governance effectiveness.</w:t>
      </w:r>
    </w:p>
    <w:p w14:paraId="73A35DBF" w14:textId="4F62C537" w:rsidR="00DD1A6F" w:rsidRPr="00DD1A6F" w:rsidRDefault="00DD1A6F" w:rsidP="00DD1A6F">
      <w:pPr>
        <w:rPr>
          <w:rFonts w:ascii="Arial" w:hAnsi="Arial" w:cs="Arial"/>
          <w:sz w:val="20"/>
          <w:szCs w:val="20"/>
        </w:rPr>
      </w:pPr>
    </w:p>
    <w:p w14:paraId="5D5063A4"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3.2 Factor Extraction via PCA</w:t>
      </w:r>
    </w:p>
    <w:p w14:paraId="700B8323"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PCA reduced the complexity of the dataset by condensing multiple variables into three principal components:</w:t>
      </w:r>
    </w:p>
    <w:p w14:paraId="04B2B986" w14:textId="77777777" w:rsidR="00DD1A6F" w:rsidRPr="00DD1A6F" w:rsidRDefault="00DD1A6F" w:rsidP="001D717F">
      <w:pPr>
        <w:numPr>
          <w:ilvl w:val="0"/>
          <w:numId w:val="11"/>
        </w:numPr>
        <w:jc w:val="both"/>
        <w:rPr>
          <w:rFonts w:ascii="Arial" w:hAnsi="Arial" w:cs="Arial"/>
          <w:sz w:val="20"/>
          <w:szCs w:val="20"/>
        </w:rPr>
      </w:pPr>
      <w:r w:rsidRPr="00DD1A6F">
        <w:rPr>
          <w:rFonts w:ascii="Arial" w:hAnsi="Arial" w:cs="Arial"/>
          <w:b/>
          <w:bCs/>
          <w:sz w:val="20"/>
          <w:szCs w:val="20"/>
        </w:rPr>
        <w:t>Component 1 (Development Capital)</w:t>
      </w:r>
      <w:r w:rsidRPr="00DD1A6F">
        <w:rPr>
          <w:rFonts w:ascii="Arial" w:hAnsi="Arial" w:cs="Arial"/>
          <w:sz w:val="20"/>
          <w:szCs w:val="20"/>
        </w:rPr>
        <w:t>: included PAD, education level, and economic growth. It reflects the systemic development capacity of each district.</w:t>
      </w:r>
    </w:p>
    <w:p w14:paraId="5783FB0E" w14:textId="77777777" w:rsidR="00DD1A6F" w:rsidRPr="00DD1A6F" w:rsidRDefault="00DD1A6F" w:rsidP="001D717F">
      <w:pPr>
        <w:numPr>
          <w:ilvl w:val="0"/>
          <w:numId w:val="11"/>
        </w:numPr>
        <w:jc w:val="both"/>
        <w:rPr>
          <w:rFonts w:ascii="Arial" w:hAnsi="Arial" w:cs="Arial"/>
          <w:sz w:val="20"/>
          <w:szCs w:val="20"/>
        </w:rPr>
      </w:pPr>
      <w:r w:rsidRPr="00DD1A6F">
        <w:rPr>
          <w:rFonts w:ascii="Arial" w:hAnsi="Arial" w:cs="Arial"/>
          <w:b/>
          <w:bCs/>
          <w:sz w:val="20"/>
          <w:szCs w:val="20"/>
        </w:rPr>
        <w:t>Component 2 (Labor Market Risk)</w:t>
      </w:r>
      <w:r w:rsidRPr="00DD1A6F">
        <w:rPr>
          <w:rFonts w:ascii="Arial" w:hAnsi="Arial" w:cs="Arial"/>
          <w:sz w:val="20"/>
          <w:szCs w:val="20"/>
        </w:rPr>
        <w:t>: included unemployment and wage indicators. It encapsulates workforce vulnerability.</w:t>
      </w:r>
    </w:p>
    <w:p w14:paraId="7D433CD2" w14:textId="77777777" w:rsidR="00DD1A6F" w:rsidRPr="00DD1A6F" w:rsidRDefault="00DD1A6F" w:rsidP="001D717F">
      <w:pPr>
        <w:numPr>
          <w:ilvl w:val="0"/>
          <w:numId w:val="11"/>
        </w:numPr>
        <w:jc w:val="both"/>
        <w:rPr>
          <w:rFonts w:ascii="Arial" w:hAnsi="Arial" w:cs="Arial"/>
          <w:sz w:val="20"/>
          <w:szCs w:val="20"/>
        </w:rPr>
      </w:pPr>
      <w:r w:rsidRPr="00DD1A6F">
        <w:rPr>
          <w:rFonts w:ascii="Arial" w:hAnsi="Arial" w:cs="Arial"/>
          <w:b/>
          <w:bCs/>
          <w:sz w:val="20"/>
          <w:szCs w:val="20"/>
        </w:rPr>
        <w:t>Component 3 (Housing Deprivation)</w:t>
      </w:r>
      <w:r w:rsidRPr="00DD1A6F">
        <w:rPr>
          <w:rFonts w:ascii="Arial" w:hAnsi="Arial" w:cs="Arial"/>
          <w:sz w:val="20"/>
          <w:szCs w:val="20"/>
        </w:rPr>
        <w:t>: focused on poor housing infrastructure, interpreted as a proxy for multidimensional poverty.</w:t>
      </w:r>
    </w:p>
    <w:p w14:paraId="17814458"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These three components captured over 68% of total variance, indicating a strong explanatory power and confirming that poverty in North Sumatra is both economically and socially multidimensional.</w:t>
      </w:r>
    </w:p>
    <w:p w14:paraId="5527A7C7" w14:textId="44C8333F" w:rsidR="00DD1A6F" w:rsidRPr="00DD1A6F" w:rsidRDefault="00DD1A6F" w:rsidP="00DD1A6F">
      <w:pPr>
        <w:rPr>
          <w:rFonts w:ascii="Arial" w:hAnsi="Arial" w:cs="Arial"/>
          <w:sz w:val="20"/>
          <w:szCs w:val="20"/>
        </w:rPr>
      </w:pPr>
    </w:p>
    <w:p w14:paraId="6D5C65E4"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lastRenderedPageBreak/>
        <w:t>3.3 Cluster Analysis and Regional Typology</w:t>
      </w:r>
    </w:p>
    <w:p w14:paraId="33C55E6E" w14:textId="77777777" w:rsidR="00CE788B" w:rsidRDefault="00CE788B" w:rsidP="00DD1A6F">
      <w:pPr>
        <w:rPr>
          <w:rFonts w:ascii="Arial" w:hAnsi="Arial" w:cs="Arial"/>
          <w:sz w:val="20"/>
          <w:szCs w:val="20"/>
        </w:rPr>
      </w:pPr>
      <w:r>
        <w:rPr>
          <w:noProof/>
        </w:rPr>
        <w:drawing>
          <wp:inline distT="0" distB="0" distL="0" distR="0" wp14:anchorId="0E9CA9BE" wp14:editId="33D61F83">
            <wp:extent cx="5400675" cy="5243512"/>
            <wp:effectExtent l="0" t="0" r="0" b="0"/>
            <wp:docPr id="541123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7183"/>
                    <a:stretch>
                      <a:fillRect/>
                    </a:stretch>
                  </pic:blipFill>
                  <pic:spPr bwMode="auto">
                    <a:xfrm>
                      <a:off x="0" y="0"/>
                      <a:ext cx="5400675" cy="5243512"/>
                    </a:xfrm>
                    <a:prstGeom prst="rect">
                      <a:avLst/>
                    </a:prstGeom>
                    <a:noFill/>
                    <a:ln>
                      <a:noFill/>
                    </a:ln>
                    <a:extLst>
                      <a:ext uri="{53640926-AAD7-44D8-BBD7-CCE9431645EC}">
                        <a14:shadowObscured xmlns:a14="http://schemas.microsoft.com/office/drawing/2010/main"/>
                      </a:ext>
                    </a:extLst>
                  </pic:spPr>
                </pic:pic>
              </a:graphicData>
            </a:graphic>
          </wp:inline>
        </w:drawing>
      </w:r>
    </w:p>
    <w:p w14:paraId="394AD9EC" w14:textId="48C47555" w:rsidR="00CE788B" w:rsidRDefault="00CE788B" w:rsidP="00CE788B">
      <w:pPr>
        <w:jc w:val="center"/>
        <w:rPr>
          <w:rFonts w:ascii="Arial" w:hAnsi="Arial" w:cs="Arial"/>
          <w:sz w:val="20"/>
          <w:szCs w:val="20"/>
        </w:rPr>
      </w:pPr>
      <w:r w:rsidRPr="00913E95">
        <w:rPr>
          <w:rFonts w:ascii="Arial" w:hAnsi="Arial" w:cs="Arial"/>
          <w:b/>
          <w:bCs/>
          <w:sz w:val="20"/>
          <w:szCs w:val="20"/>
        </w:rPr>
        <w:t xml:space="preserve">Figure 1. </w:t>
      </w:r>
      <w:r w:rsidRPr="00913E95">
        <w:rPr>
          <w:rFonts w:ascii="Arial" w:hAnsi="Arial" w:cs="Arial"/>
          <w:sz w:val="20"/>
          <w:szCs w:val="20"/>
        </w:rPr>
        <w:t>Spatial Distribution of Poverty Levels in North Sumatra (2023)</w:t>
      </w:r>
    </w:p>
    <w:p w14:paraId="3F3F9709" w14:textId="0B64E8FD" w:rsidR="00DD1A6F" w:rsidRPr="00913E95" w:rsidRDefault="00DD1A6F" w:rsidP="00DD1A6F">
      <w:pPr>
        <w:rPr>
          <w:rFonts w:ascii="Arial" w:hAnsi="Arial" w:cs="Arial"/>
          <w:noProof/>
          <w:sz w:val="20"/>
          <w:szCs w:val="20"/>
        </w:rPr>
      </w:pPr>
      <w:r w:rsidRPr="00DD1A6F">
        <w:rPr>
          <w:rFonts w:ascii="Arial" w:hAnsi="Arial" w:cs="Arial"/>
          <w:sz w:val="20"/>
          <w:szCs w:val="20"/>
        </w:rPr>
        <w:t>Using K-Means clustering, five distinct clusters were derived. The Silhouette Coefficient (~0.62) confirmed moderately strong cohesion and separation of clusters, validating the chosen segmentation.</w:t>
      </w:r>
      <w:r w:rsidRPr="00913E95">
        <w:rPr>
          <w:rFonts w:ascii="Arial" w:hAnsi="Arial" w:cs="Arial"/>
          <w:noProof/>
          <w:sz w:val="20"/>
          <w:szCs w:val="20"/>
        </w:rPr>
        <w:t xml:space="preserve"> </w:t>
      </w:r>
    </w:p>
    <w:p w14:paraId="759FF2E3" w14:textId="77777777" w:rsidR="00DD1A6F" w:rsidRPr="00DD1A6F" w:rsidRDefault="00DD1A6F" w:rsidP="00DD1A6F">
      <w:pPr>
        <w:rPr>
          <w:rFonts w:ascii="Arial" w:hAnsi="Arial" w:cs="Arial"/>
          <w:sz w:val="20"/>
          <w:szCs w:val="20"/>
        </w:rPr>
      </w:pPr>
      <w:r w:rsidRPr="00DD1A6F">
        <w:rPr>
          <w:rFonts w:ascii="Arial" w:hAnsi="Arial" w:cs="Arial"/>
          <w:b/>
          <w:bCs/>
          <w:sz w:val="20"/>
          <w:szCs w:val="20"/>
        </w:rPr>
        <w:t>Legend (Poverty Level):</w:t>
      </w:r>
    </w:p>
    <w:p w14:paraId="1435F544"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Very High</w:t>
      </w:r>
      <w:r w:rsidRPr="00DD1A6F">
        <w:rPr>
          <w:rFonts w:ascii="Arial" w:hAnsi="Arial" w:cs="Arial"/>
          <w:sz w:val="20"/>
          <w:szCs w:val="20"/>
        </w:rPr>
        <w:t xml:space="preserve"> (Dark Brown)</w:t>
      </w:r>
    </w:p>
    <w:p w14:paraId="750EDC7C"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High</w:t>
      </w:r>
      <w:r w:rsidRPr="00DD1A6F">
        <w:rPr>
          <w:rFonts w:ascii="Arial" w:hAnsi="Arial" w:cs="Arial"/>
          <w:sz w:val="20"/>
          <w:szCs w:val="20"/>
        </w:rPr>
        <w:t xml:space="preserve"> (Brown)</w:t>
      </w:r>
    </w:p>
    <w:p w14:paraId="562D7662"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Moderate</w:t>
      </w:r>
      <w:r w:rsidRPr="00DD1A6F">
        <w:rPr>
          <w:rFonts w:ascii="Arial" w:hAnsi="Arial" w:cs="Arial"/>
          <w:sz w:val="20"/>
          <w:szCs w:val="20"/>
        </w:rPr>
        <w:t xml:space="preserve"> (Orange)</w:t>
      </w:r>
    </w:p>
    <w:p w14:paraId="292378D3"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Low</w:t>
      </w:r>
      <w:r w:rsidRPr="00DD1A6F">
        <w:rPr>
          <w:rFonts w:ascii="Arial" w:hAnsi="Arial" w:cs="Arial"/>
          <w:sz w:val="20"/>
          <w:szCs w:val="20"/>
        </w:rPr>
        <w:t xml:space="preserve"> (Light Orange)</w:t>
      </w:r>
    </w:p>
    <w:p w14:paraId="50DF0DB8" w14:textId="77777777" w:rsidR="00DD1A6F" w:rsidRPr="00DD1A6F" w:rsidRDefault="00DD1A6F" w:rsidP="00DD1A6F">
      <w:pPr>
        <w:numPr>
          <w:ilvl w:val="0"/>
          <w:numId w:val="15"/>
        </w:numPr>
        <w:rPr>
          <w:rFonts w:ascii="Arial" w:hAnsi="Arial" w:cs="Arial"/>
          <w:sz w:val="20"/>
          <w:szCs w:val="20"/>
        </w:rPr>
      </w:pPr>
      <w:r w:rsidRPr="00DD1A6F">
        <w:rPr>
          <w:rFonts w:ascii="Arial" w:hAnsi="Arial" w:cs="Arial"/>
          <w:b/>
          <w:bCs/>
          <w:sz w:val="20"/>
          <w:szCs w:val="20"/>
        </w:rPr>
        <w:t>Very Low</w:t>
      </w:r>
      <w:r w:rsidRPr="00DD1A6F">
        <w:rPr>
          <w:rFonts w:ascii="Arial" w:hAnsi="Arial" w:cs="Arial"/>
          <w:sz w:val="20"/>
          <w:szCs w:val="20"/>
        </w:rPr>
        <w:t xml:space="preserve"> (Yellow)</w:t>
      </w:r>
    </w:p>
    <w:p w14:paraId="181E283C" w14:textId="7F8EAEDA" w:rsidR="00DD1A6F" w:rsidRPr="00913E95" w:rsidRDefault="00DD1A6F" w:rsidP="00DD1A6F">
      <w:pPr>
        <w:jc w:val="both"/>
        <w:rPr>
          <w:rFonts w:ascii="Arial" w:hAnsi="Arial" w:cs="Arial"/>
          <w:sz w:val="20"/>
          <w:szCs w:val="20"/>
        </w:rPr>
      </w:pPr>
      <w:r w:rsidRPr="00DD1A6F">
        <w:rPr>
          <w:rFonts w:ascii="Arial" w:hAnsi="Arial" w:cs="Arial"/>
          <w:b/>
          <w:bCs/>
          <w:sz w:val="20"/>
          <w:szCs w:val="20"/>
        </w:rPr>
        <w:t>Description</w:t>
      </w:r>
      <w:r w:rsidRPr="00DD1A6F">
        <w:rPr>
          <w:rFonts w:ascii="Arial" w:hAnsi="Arial" w:cs="Arial"/>
          <w:sz w:val="20"/>
          <w:szCs w:val="20"/>
        </w:rPr>
        <w:t>:</w:t>
      </w:r>
      <w:r w:rsidRPr="00DD1A6F">
        <w:rPr>
          <w:rFonts w:ascii="Arial" w:hAnsi="Arial" w:cs="Arial"/>
          <w:sz w:val="20"/>
          <w:szCs w:val="20"/>
        </w:rPr>
        <w:br/>
        <w:t xml:space="preserve">The map displays the spatial distribution of poverty intensity across 33 districts and cities in North Sumatra. Island regencies like </w:t>
      </w:r>
      <w:proofErr w:type="spellStart"/>
      <w:r w:rsidRPr="00DD1A6F">
        <w:rPr>
          <w:rFonts w:ascii="Arial" w:hAnsi="Arial" w:cs="Arial"/>
          <w:sz w:val="20"/>
          <w:szCs w:val="20"/>
        </w:rPr>
        <w:t>Nias</w:t>
      </w:r>
      <w:proofErr w:type="spellEnd"/>
      <w:r w:rsidRPr="00DD1A6F">
        <w:rPr>
          <w:rFonts w:ascii="Arial" w:hAnsi="Arial" w:cs="Arial"/>
          <w:sz w:val="20"/>
          <w:szCs w:val="20"/>
        </w:rPr>
        <w:t xml:space="preserve"> (NIU, NIA, NSL) exhibit very high poverty, while urban centers such as Medan (MDN) and Deli Serdang (DLS) show very low to low levels of poverty. This visual pattern </w:t>
      </w:r>
      <w:r w:rsidRPr="00DD1A6F">
        <w:rPr>
          <w:rFonts w:ascii="Arial" w:hAnsi="Arial" w:cs="Arial"/>
          <w:sz w:val="20"/>
          <w:szCs w:val="20"/>
        </w:rPr>
        <w:lastRenderedPageBreak/>
        <w:t>reinforces the findings from the cluster analysis, highlighting stark disparities tied to infrastructure, regional income, and public service access</w:t>
      </w:r>
      <w:r w:rsidRPr="00913E95">
        <w:rPr>
          <w:rFonts w:ascii="Arial" w:hAnsi="Arial" w:cs="Arial"/>
          <w:sz w:val="20"/>
          <w:szCs w:val="20"/>
        </w:rPr>
        <w:t>.</w:t>
      </w:r>
    </w:p>
    <w:p w14:paraId="04C1EE96" w14:textId="59DB3ABC" w:rsidR="00260D97" w:rsidRPr="00DD1A6F" w:rsidRDefault="00260D97" w:rsidP="00260D97">
      <w:pPr>
        <w:jc w:val="center"/>
        <w:rPr>
          <w:rFonts w:ascii="Arial" w:hAnsi="Arial" w:cs="Arial"/>
          <w:sz w:val="20"/>
          <w:szCs w:val="20"/>
        </w:rPr>
      </w:pPr>
      <w:r w:rsidRPr="00913E95">
        <w:rPr>
          <w:rFonts w:ascii="Arial" w:hAnsi="Arial" w:cs="Arial"/>
          <w:sz w:val="20"/>
          <w:szCs w:val="20"/>
        </w:rPr>
        <w:t>Table 1. Cluster Analysis</w:t>
      </w:r>
    </w:p>
    <w:tbl>
      <w:tblPr>
        <w:tblStyle w:val="TableGrid"/>
        <w:tblW w:w="0" w:type="auto"/>
        <w:tblLook w:val="04A0" w:firstRow="1" w:lastRow="0" w:firstColumn="1" w:lastColumn="0" w:noHBand="0" w:noVBand="1"/>
      </w:tblPr>
      <w:tblGrid>
        <w:gridCol w:w="906"/>
        <w:gridCol w:w="5237"/>
        <w:gridCol w:w="1895"/>
      </w:tblGrid>
      <w:tr w:rsidR="00260D97" w:rsidRPr="00260D97" w14:paraId="2F2640D7" w14:textId="77777777" w:rsidTr="00260D97">
        <w:tc>
          <w:tcPr>
            <w:tcW w:w="0" w:type="auto"/>
            <w:hideMark/>
          </w:tcPr>
          <w:p w14:paraId="31EE3842" w14:textId="77777777" w:rsidR="00260D97" w:rsidRPr="00260D97" w:rsidRDefault="00260D97" w:rsidP="00260D97">
            <w:pPr>
              <w:spacing w:after="160" w:line="278" w:lineRule="auto"/>
              <w:jc w:val="both"/>
              <w:rPr>
                <w:rFonts w:ascii="Arial" w:hAnsi="Arial" w:cs="Arial"/>
                <w:b/>
                <w:bCs/>
                <w:sz w:val="20"/>
                <w:szCs w:val="20"/>
              </w:rPr>
            </w:pPr>
            <w:r w:rsidRPr="00260D97">
              <w:rPr>
                <w:rFonts w:ascii="Arial" w:hAnsi="Arial" w:cs="Arial"/>
                <w:b/>
                <w:bCs/>
                <w:sz w:val="20"/>
                <w:szCs w:val="20"/>
              </w:rPr>
              <w:t>Cluster</w:t>
            </w:r>
          </w:p>
        </w:tc>
        <w:tc>
          <w:tcPr>
            <w:tcW w:w="0" w:type="auto"/>
            <w:hideMark/>
          </w:tcPr>
          <w:p w14:paraId="1AF106D5" w14:textId="77777777" w:rsidR="00260D97" w:rsidRPr="00260D97" w:rsidRDefault="00260D97" w:rsidP="00260D97">
            <w:pPr>
              <w:spacing w:after="160" w:line="278" w:lineRule="auto"/>
              <w:jc w:val="both"/>
              <w:rPr>
                <w:rFonts w:ascii="Arial" w:hAnsi="Arial" w:cs="Arial"/>
                <w:b/>
                <w:bCs/>
                <w:sz w:val="20"/>
                <w:szCs w:val="20"/>
              </w:rPr>
            </w:pPr>
            <w:r w:rsidRPr="00260D97">
              <w:rPr>
                <w:rFonts w:ascii="Arial" w:hAnsi="Arial" w:cs="Arial"/>
                <w:b/>
                <w:bCs/>
                <w:sz w:val="20"/>
                <w:szCs w:val="20"/>
              </w:rPr>
              <w:t>Characteristics</w:t>
            </w:r>
          </w:p>
        </w:tc>
        <w:tc>
          <w:tcPr>
            <w:tcW w:w="0" w:type="auto"/>
            <w:hideMark/>
          </w:tcPr>
          <w:p w14:paraId="2B9FDE77" w14:textId="77777777" w:rsidR="00260D97" w:rsidRPr="00260D97" w:rsidRDefault="00260D97" w:rsidP="00260D97">
            <w:pPr>
              <w:spacing w:after="160" w:line="278" w:lineRule="auto"/>
              <w:jc w:val="both"/>
              <w:rPr>
                <w:rFonts w:ascii="Arial" w:hAnsi="Arial" w:cs="Arial"/>
                <w:b/>
                <w:bCs/>
                <w:sz w:val="20"/>
                <w:szCs w:val="20"/>
              </w:rPr>
            </w:pPr>
            <w:r w:rsidRPr="00260D97">
              <w:rPr>
                <w:rFonts w:ascii="Arial" w:hAnsi="Arial" w:cs="Arial"/>
                <w:b/>
                <w:bCs/>
                <w:sz w:val="20"/>
                <w:szCs w:val="20"/>
              </w:rPr>
              <w:t>District Examples</w:t>
            </w:r>
          </w:p>
        </w:tc>
      </w:tr>
      <w:tr w:rsidR="00260D97" w:rsidRPr="00260D97" w14:paraId="6876DAC3" w14:textId="77777777" w:rsidTr="00260D97">
        <w:tc>
          <w:tcPr>
            <w:tcW w:w="0" w:type="auto"/>
            <w:hideMark/>
          </w:tcPr>
          <w:p w14:paraId="69924820"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C1</w:t>
            </w:r>
          </w:p>
        </w:tc>
        <w:tc>
          <w:tcPr>
            <w:tcW w:w="0" w:type="auto"/>
            <w:hideMark/>
          </w:tcPr>
          <w:p w14:paraId="2BE5F387"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Low poverty, high PAD, good education</w:t>
            </w:r>
          </w:p>
        </w:tc>
        <w:tc>
          <w:tcPr>
            <w:tcW w:w="0" w:type="auto"/>
            <w:hideMark/>
          </w:tcPr>
          <w:p w14:paraId="2FBC5E35"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 xml:space="preserve">Medan, </w:t>
            </w:r>
            <w:proofErr w:type="spellStart"/>
            <w:r w:rsidRPr="00260D97">
              <w:rPr>
                <w:rFonts w:ascii="Arial" w:hAnsi="Arial" w:cs="Arial"/>
                <w:sz w:val="20"/>
                <w:szCs w:val="20"/>
              </w:rPr>
              <w:t>Binjai</w:t>
            </w:r>
            <w:proofErr w:type="spellEnd"/>
          </w:p>
        </w:tc>
      </w:tr>
      <w:tr w:rsidR="00260D97" w:rsidRPr="00260D97" w14:paraId="7C351754" w14:textId="77777777" w:rsidTr="00260D97">
        <w:tc>
          <w:tcPr>
            <w:tcW w:w="0" w:type="auto"/>
            <w:hideMark/>
          </w:tcPr>
          <w:p w14:paraId="32B35DEE"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C2</w:t>
            </w:r>
          </w:p>
        </w:tc>
        <w:tc>
          <w:tcPr>
            <w:tcW w:w="0" w:type="auto"/>
            <w:hideMark/>
          </w:tcPr>
          <w:p w14:paraId="26274D4D"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High poverty, low infrastructure</w:t>
            </w:r>
          </w:p>
        </w:tc>
        <w:tc>
          <w:tcPr>
            <w:tcW w:w="0" w:type="auto"/>
            <w:hideMark/>
          </w:tcPr>
          <w:p w14:paraId="4CCD54A5" w14:textId="77777777" w:rsidR="00260D97" w:rsidRPr="00260D97" w:rsidRDefault="00260D97" w:rsidP="00260D97">
            <w:pPr>
              <w:spacing w:after="160" w:line="278" w:lineRule="auto"/>
              <w:jc w:val="both"/>
              <w:rPr>
                <w:rFonts w:ascii="Arial" w:hAnsi="Arial" w:cs="Arial"/>
                <w:sz w:val="20"/>
                <w:szCs w:val="20"/>
              </w:rPr>
            </w:pPr>
            <w:proofErr w:type="spellStart"/>
            <w:r w:rsidRPr="00260D97">
              <w:rPr>
                <w:rFonts w:ascii="Arial" w:hAnsi="Arial" w:cs="Arial"/>
                <w:sz w:val="20"/>
                <w:szCs w:val="20"/>
              </w:rPr>
              <w:t>Nias</w:t>
            </w:r>
            <w:proofErr w:type="spellEnd"/>
            <w:r w:rsidRPr="00260D97">
              <w:rPr>
                <w:rFonts w:ascii="Arial" w:hAnsi="Arial" w:cs="Arial"/>
                <w:sz w:val="20"/>
                <w:szCs w:val="20"/>
              </w:rPr>
              <w:t xml:space="preserve">, </w:t>
            </w:r>
            <w:proofErr w:type="spellStart"/>
            <w:r w:rsidRPr="00260D97">
              <w:rPr>
                <w:rFonts w:ascii="Arial" w:hAnsi="Arial" w:cs="Arial"/>
                <w:sz w:val="20"/>
                <w:szCs w:val="20"/>
              </w:rPr>
              <w:t>Nias</w:t>
            </w:r>
            <w:proofErr w:type="spellEnd"/>
            <w:r w:rsidRPr="00260D97">
              <w:rPr>
                <w:rFonts w:ascii="Arial" w:hAnsi="Arial" w:cs="Arial"/>
                <w:sz w:val="20"/>
                <w:szCs w:val="20"/>
              </w:rPr>
              <w:t xml:space="preserve"> Barat</w:t>
            </w:r>
          </w:p>
        </w:tc>
      </w:tr>
      <w:tr w:rsidR="00260D97" w:rsidRPr="00260D97" w14:paraId="597924C4" w14:textId="77777777" w:rsidTr="00260D97">
        <w:tc>
          <w:tcPr>
            <w:tcW w:w="0" w:type="auto"/>
            <w:hideMark/>
          </w:tcPr>
          <w:p w14:paraId="1BCCE61B"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C3</w:t>
            </w:r>
          </w:p>
        </w:tc>
        <w:tc>
          <w:tcPr>
            <w:tcW w:w="0" w:type="auto"/>
            <w:hideMark/>
          </w:tcPr>
          <w:p w14:paraId="1EA46590"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Medium poverty, strong education but weak labor market</w:t>
            </w:r>
          </w:p>
        </w:tc>
        <w:tc>
          <w:tcPr>
            <w:tcW w:w="0" w:type="auto"/>
            <w:hideMark/>
          </w:tcPr>
          <w:p w14:paraId="23D9114B" w14:textId="77777777" w:rsidR="00260D97" w:rsidRPr="00260D97" w:rsidRDefault="00260D97" w:rsidP="00260D97">
            <w:pPr>
              <w:spacing w:after="160" w:line="278" w:lineRule="auto"/>
              <w:jc w:val="both"/>
              <w:rPr>
                <w:rFonts w:ascii="Arial" w:hAnsi="Arial" w:cs="Arial"/>
                <w:sz w:val="20"/>
                <w:szCs w:val="20"/>
              </w:rPr>
            </w:pPr>
            <w:proofErr w:type="spellStart"/>
            <w:r w:rsidRPr="00260D97">
              <w:rPr>
                <w:rFonts w:ascii="Arial" w:hAnsi="Arial" w:cs="Arial"/>
                <w:sz w:val="20"/>
                <w:szCs w:val="20"/>
              </w:rPr>
              <w:t>Tebing</w:t>
            </w:r>
            <w:proofErr w:type="spellEnd"/>
            <w:r w:rsidRPr="00260D97">
              <w:rPr>
                <w:rFonts w:ascii="Arial" w:hAnsi="Arial" w:cs="Arial"/>
                <w:sz w:val="20"/>
                <w:szCs w:val="20"/>
              </w:rPr>
              <w:t xml:space="preserve"> Tinggi</w:t>
            </w:r>
          </w:p>
        </w:tc>
      </w:tr>
      <w:tr w:rsidR="00260D97" w:rsidRPr="00260D97" w14:paraId="41DA166B" w14:textId="77777777" w:rsidTr="00260D97">
        <w:tc>
          <w:tcPr>
            <w:tcW w:w="0" w:type="auto"/>
            <w:hideMark/>
          </w:tcPr>
          <w:p w14:paraId="178447BA"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C4</w:t>
            </w:r>
          </w:p>
        </w:tc>
        <w:tc>
          <w:tcPr>
            <w:tcW w:w="0" w:type="auto"/>
            <w:hideMark/>
          </w:tcPr>
          <w:p w14:paraId="48C059DA"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Balanced indicators with moderate vulnerabilities</w:t>
            </w:r>
          </w:p>
        </w:tc>
        <w:tc>
          <w:tcPr>
            <w:tcW w:w="0" w:type="auto"/>
            <w:hideMark/>
          </w:tcPr>
          <w:p w14:paraId="1643CB47" w14:textId="77777777" w:rsidR="00260D97" w:rsidRPr="00260D97" w:rsidRDefault="00260D97" w:rsidP="00260D97">
            <w:pPr>
              <w:spacing w:after="160" w:line="278" w:lineRule="auto"/>
              <w:jc w:val="both"/>
              <w:rPr>
                <w:rFonts w:ascii="Arial" w:hAnsi="Arial" w:cs="Arial"/>
                <w:sz w:val="20"/>
                <w:szCs w:val="20"/>
              </w:rPr>
            </w:pPr>
            <w:proofErr w:type="spellStart"/>
            <w:r w:rsidRPr="00260D97">
              <w:rPr>
                <w:rFonts w:ascii="Arial" w:hAnsi="Arial" w:cs="Arial"/>
                <w:sz w:val="20"/>
                <w:szCs w:val="20"/>
              </w:rPr>
              <w:t>Langkat</w:t>
            </w:r>
            <w:proofErr w:type="spellEnd"/>
          </w:p>
        </w:tc>
      </w:tr>
      <w:tr w:rsidR="00260D97" w:rsidRPr="00260D97" w14:paraId="12B7EEC5" w14:textId="77777777" w:rsidTr="00260D97">
        <w:tc>
          <w:tcPr>
            <w:tcW w:w="0" w:type="auto"/>
            <w:hideMark/>
          </w:tcPr>
          <w:p w14:paraId="669AE67A"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C5</w:t>
            </w:r>
          </w:p>
        </w:tc>
        <w:tc>
          <w:tcPr>
            <w:tcW w:w="0" w:type="auto"/>
            <w:hideMark/>
          </w:tcPr>
          <w:p w14:paraId="5F88CDD4" w14:textId="77777777" w:rsidR="00260D97" w:rsidRPr="00260D97" w:rsidRDefault="00260D97" w:rsidP="00260D97">
            <w:pPr>
              <w:spacing w:after="160" w:line="278" w:lineRule="auto"/>
              <w:jc w:val="both"/>
              <w:rPr>
                <w:rFonts w:ascii="Arial" w:hAnsi="Arial" w:cs="Arial"/>
                <w:sz w:val="20"/>
                <w:szCs w:val="20"/>
              </w:rPr>
            </w:pPr>
            <w:r w:rsidRPr="00260D97">
              <w:rPr>
                <w:rFonts w:ascii="Arial" w:hAnsi="Arial" w:cs="Arial"/>
                <w:sz w:val="20"/>
                <w:szCs w:val="20"/>
              </w:rPr>
              <w:t>High unemployment, low wage</w:t>
            </w:r>
          </w:p>
        </w:tc>
        <w:tc>
          <w:tcPr>
            <w:tcW w:w="0" w:type="auto"/>
            <w:hideMark/>
          </w:tcPr>
          <w:p w14:paraId="1E4D335B" w14:textId="77777777" w:rsidR="00260D97" w:rsidRPr="00260D97" w:rsidRDefault="00260D97" w:rsidP="00260D97">
            <w:pPr>
              <w:spacing w:after="160" w:line="278" w:lineRule="auto"/>
              <w:jc w:val="both"/>
              <w:rPr>
                <w:rFonts w:ascii="Arial" w:hAnsi="Arial" w:cs="Arial"/>
                <w:sz w:val="20"/>
                <w:szCs w:val="20"/>
              </w:rPr>
            </w:pPr>
            <w:proofErr w:type="spellStart"/>
            <w:r w:rsidRPr="00260D97">
              <w:rPr>
                <w:rFonts w:ascii="Arial" w:hAnsi="Arial" w:cs="Arial"/>
                <w:sz w:val="20"/>
                <w:szCs w:val="20"/>
              </w:rPr>
              <w:t>Mandailing</w:t>
            </w:r>
            <w:proofErr w:type="spellEnd"/>
            <w:r w:rsidRPr="00260D97">
              <w:rPr>
                <w:rFonts w:ascii="Arial" w:hAnsi="Arial" w:cs="Arial"/>
                <w:sz w:val="20"/>
                <w:szCs w:val="20"/>
              </w:rPr>
              <w:t xml:space="preserve"> Natal</w:t>
            </w:r>
          </w:p>
        </w:tc>
      </w:tr>
    </w:tbl>
    <w:p w14:paraId="6B7C4F70" w14:textId="77777777" w:rsidR="00DD1A6F" w:rsidRPr="00DD1A6F" w:rsidRDefault="00DD1A6F" w:rsidP="001D717F">
      <w:pPr>
        <w:jc w:val="both"/>
        <w:rPr>
          <w:rFonts w:ascii="Arial" w:hAnsi="Arial" w:cs="Arial"/>
          <w:sz w:val="20"/>
          <w:szCs w:val="20"/>
        </w:rPr>
      </w:pPr>
    </w:p>
    <w:p w14:paraId="68368D1A" w14:textId="125AD7CA"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1 (Urban Advantage)</w:t>
      </w:r>
      <w:r w:rsidRPr="00DD1A6F">
        <w:rPr>
          <w:rFonts w:ascii="Arial" w:hAnsi="Arial" w:cs="Arial"/>
          <w:sz w:val="20"/>
          <w:szCs w:val="20"/>
        </w:rPr>
        <w:t xml:space="preserve">: Comprised largely of metropolitan areas (e.g., Medan, </w:t>
      </w:r>
      <w:proofErr w:type="spellStart"/>
      <w:r w:rsidRPr="00DD1A6F">
        <w:rPr>
          <w:rFonts w:ascii="Arial" w:hAnsi="Arial" w:cs="Arial"/>
          <w:sz w:val="20"/>
          <w:szCs w:val="20"/>
        </w:rPr>
        <w:t>Binjai</w:t>
      </w:r>
      <w:proofErr w:type="spellEnd"/>
      <w:r w:rsidRPr="00DD1A6F">
        <w:rPr>
          <w:rFonts w:ascii="Arial" w:hAnsi="Arial" w:cs="Arial"/>
          <w:sz w:val="20"/>
          <w:szCs w:val="20"/>
        </w:rPr>
        <w:t>) with high education, low unemployment, strong PAD, and adequate housing. These areas have effectively leveraged their infrastructure and economic base to suppress poverty levels.</w:t>
      </w:r>
    </w:p>
    <w:p w14:paraId="0FD01715" w14:textId="77777777"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2 (Rural Deprivation)</w:t>
      </w:r>
      <w:r w:rsidRPr="00DD1A6F">
        <w:rPr>
          <w:rFonts w:ascii="Arial" w:hAnsi="Arial" w:cs="Arial"/>
          <w:sz w:val="20"/>
          <w:szCs w:val="20"/>
        </w:rPr>
        <w:t xml:space="preserve">: Included regencies like </w:t>
      </w:r>
      <w:proofErr w:type="spellStart"/>
      <w:r w:rsidRPr="00DD1A6F">
        <w:rPr>
          <w:rFonts w:ascii="Arial" w:hAnsi="Arial" w:cs="Arial"/>
          <w:sz w:val="20"/>
          <w:szCs w:val="20"/>
        </w:rPr>
        <w:t>Nias</w:t>
      </w:r>
      <w:proofErr w:type="spellEnd"/>
      <w:r w:rsidRPr="00DD1A6F">
        <w:rPr>
          <w:rFonts w:ascii="Arial" w:hAnsi="Arial" w:cs="Arial"/>
          <w:sz w:val="20"/>
          <w:szCs w:val="20"/>
        </w:rPr>
        <w:t xml:space="preserve"> and </w:t>
      </w:r>
      <w:proofErr w:type="spellStart"/>
      <w:r w:rsidRPr="00DD1A6F">
        <w:rPr>
          <w:rFonts w:ascii="Arial" w:hAnsi="Arial" w:cs="Arial"/>
          <w:sz w:val="20"/>
          <w:szCs w:val="20"/>
        </w:rPr>
        <w:t>Nias</w:t>
      </w:r>
      <w:proofErr w:type="spellEnd"/>
      <w:r w:rsidRPr="00DD1A6F">
        <w:rPr>
          <w:rFonts w:ascii="Arial" w:hAnsi="Arial" w:cs="Arial"/>
          <w:sz w:val="20"/>
          <w:szCs w:val="20"/>
        </w:rPr>
        <w:t xml:space="preserve"> Barat. These areas are marked by extremely low PAD, high housing deprivation, and underdeveloped human capital. Poverty here is structural and rooted in geographic isolation and limited fiscal capacity.</w:t>
      </w:r>
    </w:p>
    <w:p w14:paraId="3D12450A" w14:textId="77777777"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3 (Mismatch Syndrome)</w:t>
      </w:r>
      <w:r w:rsidRPr="00DD1A6F">
        <w:rPr>
          <w:rFonts w:ascii="Arial" w:hAnsi="Arial" w:cs="Arial"/>
          <w:sz w:val="20"/>
          <w:szCs w:val="20"/>
        </w:rPr>
        <w:t xml:space="preserve">: Represented districts with decent educational access but poor employment outcomes, such as </w:t>
      </w:r>
      <w:proofErr w:type="spellStart"/>
      <w:r w:rsidRPr="00DD1A6F">
        <w:rPr>
          <w:rFonts w:ascii="Arial" w:hAnsi="Arial" w:cs="Arial"/>
          <w:sz w:val="20"/>
          <w:szCs w:val="20"/>
        </w:rPr>
        <w:t>Tebing</w:t>
      </w:r>
      <w:proofErr w:type="spellEnd"/>
      <w:r w:rsidRPr="00DD1A6F">
        <w:rPr>
          <w:rFonts w:ascii="Arial" w:hAnsi="Arial" w:cs="Arial"/>
          <w:sz w:val="20"/>
          <w:szCs w:val="20"/>
        </w:rPr>
        <w:t xml:space="preserve"> Tinggi. This mismatch between education and job creation points to potential problems in labor absorption and industrial connectivity.</w:t>
      </w:r>
    </w:p>
    <w:p w14:paraId="00EF6442" w14:textId="77777777"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4 (Moderate Development)</w:t>
      </w:r>
      <w:r w:rsidRPr="00DD1A6F">
        <w:rPr>
          <w:rFonts w:ascii="Arial" w:hAnsi="Arial" w:cs="Arial"/>
          <w:sz w:val="20"/>
          <w:szCs w:val="20"/>
        </w:rPr>
        <w:t xml:space="preserve">: Showed balanced performance on all indicators but lacked specialization. Districts like </w:t>
      </w:r>
      <w:proofErr w:type="spellStart"/>
      <w:r w:rsidRPr="00DD1A6F">
        <w:rPr>
          <w:rFonts w:ascii="Arial" w:hAnsi="Arial" w:cs="Arial"/>
          <w:sz w:val="20"/>
          <w:szCs w:val="20"/>
        </w:rPr>
        <w:t>Langkat</w:t>
      </w:r>
      <w:proofErr w:type="spellEnd"/>
      <w:r w:rsidRPr="00DD1A6F">
        <w:rPr>
          <w:rFonts w:ascii="Arial" w:hAnsi="Arial" w:cs="Arial"/>
          <w:sz w:val="20"/>
          <w:szCs w:val="20"/>
        </w:rPr>
        <w:t xml:space="preserve"> fall here, often performing “average” on all variables without any standout weaknesses or strengths.</w:t>
      </w:r>
    </w:p>
    <w:p w14:paraId="7AE5E05C" w14:textId="77777777" w:rsidR="00DD1A6F" w:rsidRPr="00DD1A6F" w:rsidRDefault="00DD1A6F" w:rsidP="001D717F">
      <w:pPr>
        <w:numPr>
          <w:ilvl w:val="0"/>
          <w:numId w:val="12"/>
        </w:numPr>
        <w:jc w:val="both"/>
        <w:rPr>
          <w:rFonts w:ascii="Arial" w:hAnsi="Arial" w:cs="Arial"/>
          <w:sz w:val="20"/>
          <w:szCs w:val="20"/>
        </w:rPr>
      </w:pPr>
      <w:r w:rsidRPr="00DD1A6F">
        <w:rPr>
          <w:rFonts w:ascii="Arial" w:hAnsi="Arial" w:cs="Arial"/>
          <w:b/>
          <w:bCs/>
          <w:sz w:val="20"/>
          <w:szCs w:val="20"/>
        </w:rPr>
        <w:t>Cluster 5 (Wage Trap)</w:t>
      </w:r>
      <w:r w:rsidRPr="00DD1A6F">
        <w:rPr>
          <w:rFonts w:ascii="Arial" w:hAnsi="Arial" w:cs="Arial"/>
          <w:sz w:val="20"/>
          <w:szCs w:val="20"/>
        </w:rPr>
        <w:t xml:space="preserve">: Consisted of districts with low PAD, high unemployment, and underwhelming wage structures, such as </w:t>
      </w:r>
      <w:proofErr w:type="spellStart"/>
      <w:r w:rsidRPr="00DD1A6F">
        <w:rPr>
          <w:rFonts w:ascii="Arial" w:hAnsi="Arial" w:cs="Arial"/>
          <w:sz w:val="20"/>
          <w:szCs w:val="20"/>
        </w:rPr>
        <w:t>Mandailing</w:t>
      </w:r>
      <w:proofErr w:type="spellEnd"/>
      <w:r w:rsidRPr="00DD1A6F">
        <w:rPr>
          <w:rFonts w:ascii="Arial" w:hAnsi="Arial" w:cs="Arial"/>
          <w:sz w:val="20"/>
          <w:szCs w:val="20"/>
        </w:rPr>
        <w:t xml:space="preserve"> Natal. These areas may have some industrial activity but remain plagued by labor underutilization and poor job quality.</w:t>
      </w:r>
    </w:p>
    <w:p w14:paraId="5FDD25F4" w14:textId="0162C264" w:rsidR="00DD1A6F" w:rsidRPr="00DD1A6F" w:rsidRDefault="00DD1A6F" w:rsidP="00DD1A6F">
      <w:pPr>
        <w:rPr>
          <w:rFonts w:ascii="Arial" w:hAnsi="Arial" w:cs="Arial"/>
          <w:sz w:val="20"/>
          <w:szCs w:val="20"/>
        </w:rPr>
      </w:pPr>
    </w:p>
    <w:p w14:paraId="4205E2AC"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3.4 Interpretative Implications</w:t>
      </w:r>
    </w:p>
    <w:p w14:paraId="76D5C2F0" w14:textId="77777777" w:rsidR="00DD1A6F" w:rsidRPr="00DD1A6F" w:rsidRDefault="00DD1A6F" w:rsidP="001D717F">
      <w:pPr>
        <w:jc w:val="both"/>
        <w:rPr>
          <w:rFonts w:ascii="Arial" w:hAnsi="Arial" w:cs="Arial"/>
          <w:sz w:val="20"/>
          <w:szCs w:val="20"/>
        </w:rPr>
      </w:pPr>
      <w:r w:rsidRPr="00DD1A6F">
        <w:rPr>
          <w:rFonts w:ascii="Arial" w:hAnsi="Arial" w:cs="Arial"/>
          <w:sz w:val="20"/>
          <w:szCs w:val="20"/>
        </w:rPr>
        <w:t>This typology is not merely academic—it suggests tailored interventions:</w:t>
      </w:r>
    </w:p>
    <w:p w14:paraId="01A464F5"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For Cluster 1, continued investment in innovation, higher education, and urban infrastructure will sustain low poverty levels.</w:t>
      </w:r>
    </w:p>
    <w:p w14:paraId="1AC1B08C"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For Cluster 2, priority should be basic infrastructure and connectivity—particularly in health, education, and logistics.</w:t>
      </w:r>
    </w:p>
    <w:p w14:paraId="139E9E6A"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Cluster 3 needs labor market alignment, such as vocational training, industry incentives, and job-matching mechanisms.</w:t>
      </w:r>
    </w:p>
    <w:p w14:paraId="47300649"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In Cluster 4, a strategy of diversification and upgrading public services may unlock latent growth potential.</w:t>
      </w:r>
    </w:p>
    <w:p w14:paraId="186E0270" w14:textId="77777777" w:rsidR="00DD1A6F" w:rsidRPr="00DD1A6F" w:rsidRDefault="00DD1A6F" w:rsidP="001D717F">
      <w:pPr>
        <w:numPr>
          <w:ilvl w:val="0"/>
          <w:numId w:val="13"/>
        </w:numPr>
        <w:jc w:val="both"/>
        <w:rPr>
          <w:rFonts w:ascii="Arial" w:hAnsi="Arial" w:cs="Arial"/>
          <w:sz w:val="20"/>
          <w:szCs w:val="20"/>
        </w:rPr>
      </w:pPr>
      <w:r w:rsidRPr="00DD1A6F">
        <w:rPr>
          <w:rFonts w:ascii="Arial" w:hAnsi="Arial" w:cs="Arial"/>
          <w:sz w:val="20"/>
          <w:szCs w:val="20"/>
        </w:rPr>
        <w:t>Cluster 5 requires minimum wage enforcement, SME development, and social safety net enhancements.</w:t>
      </w:r>
    </w:p>
    <w:p w14:paraId="4F6051A9" w14:textId="50F20295" w:rsidR="00DD1A6F" w:rsidRPr="00DD1A6F" w:rsidRDefault="00DD1A6F" w:rsidP="00DD1A6F">
      <w:pPr>
        <w:rPr>
          <w:rFonts w:ascii="Arial" w:hAnsi="Arial" w:cs="Arial"/>
          <w:sz w:val="20"/>
          <w:szCs w:val="20"/>
        </w:rPr>
      </w:pPr>
    </w:p>
    <w:p w14:paraId="3D29AB78"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3.5 Regression Model Findings</w:t>
      </w:r>
    </w:p>
    <w:p w14:paraId="02A3E3BA" w14:textId="77777777" w:rsidR="00DD1A6F" w:rsidRPr="00DD1A6F" w:rsidRDefault="00DD1A6F" w:rsidP="00DD1A6F">
      <w:pPr>
        <w:rPr>
          <w:rFonts w:ascii="Arial" w:hAnsi="Arial" w:cs="Arial"/>
          <w:sz w:val="20"/>
          <w:szCs w:val="20"/>
        </w:rPr>
      </w:pPr>
      <w:r w:rsidRPr="00DD1A6F">
        <w:rPr>
          <w:rFonts w:ascii="Arial" w:hAnsi="Arial" w:cs="Arial"/>
          <w:sz w:val="20"/>
          <w:szCs w:val="20"/>
        </w:rPr>
        <w:t>The regression model confirmed several critical factors:</w:t>
      </w:r>
    </w:p>
    <w:p w14:paraId="646414D5" w14:textId="77777777" w:rsidR="00DD1A6F" w:rsidRPr="00DD1A6F" w:rsidRDefault="00DD1A6F" w:rsidP="001D717F">
      <w:pPr>
        <w:numPr>
          <w:ilvl w:val="0"/>
          <w:numId w:val="14"/>
        </w:numPr>
        <w:jc w:val="both"/>
        <w:rPr>
          <w:rFonts w:ascii="Arial" w:hAnsi="Arial" w:cs="Arial"/>
          <w:sz w:val="20"/>
          <w:szCs w:val="20"/>
        </w:rPr>
      </w:pPr>
      <w:r w:rsidRPr="00DD1A6F">
        <w:rPr>
          <w:rFonts w:ascii="Arial" w:hAnsi="Arial" w:cs="Arial"/>
          <w:b/>
          <w:bCs/>
          <w:sz w:val="20"/>
          <w:szCs w:val="20"/>
        </w:rPr>
        <w:t>Education level</w:t>
      </w:r>
      <w:r w:rsidRPr="00DD1A6F">
        <w:rPr>
          <w:rFonts w:ascii="Arial" w:hAnsi="Arial" w:cs="Arial"/>
          <w:sz w:val="20"/>
          <w:szCs w:val="20"/>
        </w:rPr>
        <w:t xml:space="preserve"> was the strongest negative predictor of poverty (β=−0.</w:t>
      </w:r>
      <w:proofErr w:type="gramStart"/>
      <w:r w:rsidRPr="00DD1A6F">
        <w:rPr>
          <w:rFonts w:ascii="Arial" w:hAnsi="Arial" w:cs="Arial"/>
          <w:sz w:val="20"/>
          <w:szCs w:val="20"/>
        </w:rPr>
        <w:t>33,p</w:t>
      </w:r>
      <w:proofErr w:type="gramEnd"/>
      <w:r w:rsidRPr="00DD1A6F">
        <w:rPr>
          <w:rFonts w:ascii="Arial" w:hAnsi="Arial" w:cs="Arial"/>
          <w:sz w:val="20"/>
          <w:szCs w:val="20"/>
        </w:rPr>
        <w:t>&lt;0.01\beta = -0.33, p &lt; 0.01β=−0.</w:t>
      </w:r>
      <w:proofErr w:type="gramStart"/>
      <w:r w:rsidRPr="00DD1A6F">
        <w:rPr>
          <w:rFonts w:ascii="Arial" w:hAnsi="Arial" w:cs="Arial"/>
          <w:sz w:val="20"/>
          <w:szCs w:val="20"/>
        </w:rPr>
        <w:t>33,p</w:t>
      </w:r>
      <w:proofErr w:type="gramEnd"/>
      <w:r w:rsidRPr="00DD1A6F">
        <w:rPr>
          <w:rFonts w:ascii="Arial" w:hAnsi="Arial" w:cs="Arial"/>
          <w:sz w:val="20"/>
          <w:szCs w:val="20"/>
        </w:rPr>
        <w:t>&lt;0.01). This supports long-standing literature emphasizing education's role in upward mobility and labor productivity.</w:t>
      </w:r>
    </w:p>
    <w:p w14:paraId="6E802D68" w14:textId="77777777" w:rsidR="00DD1A6F" w:rsidRPr="00DD1A6F" w:rsidRDefault="00DD1A6F" w:rsidP="001D717F">
      <w:pPr>
        <w:numPr>
          <w:ilvl w:val="0"/>
          <w:numId w:val="14"/>
        </w:numPr>
        <w:jc w:val="both"/>
        <w:rPr>
          <w:rFonts w:ascii="Arial" w:hAnsi="Arial" w:cs="Arial"/>
          <w:sz w:val="20"/>
          <w:szCs w:val="20"/>
        </w:rPr>
      </w:pPr>
      <w:r w:rsidRPr="00DD1A6F">
        <w:rPr>
          <w:rFonts w:ascii="Arial" w:hAnsi="Arial" w:cs="Arial"/>
          <w:b/>
          <w:bCs/>
          <w:sz w:val="20"/>
          <w:szCs w:val="20"/>
        </w:rPr>
        <w:t>Unemployment</w:t>
      </w:r>
      <w:r w:rsidRPr="00DD1A6F">
        <w:rPr>
          <w:rFonts w:ascii="Arial" w:hAnsi="Arial" w:cs="Arial"/>
          <w:sz w:val="20"/>
          <w:szCs w:val="20"/>
        </w:rPr>
        <w:t xml:space="preserve"> (β=+0.29\beta = +0.29β=+0.29) emerged as a significant poverty driver, reflecting that lack of income opportunity leads directly to deprivation.</w:t>
      </w:r>
    </w:p>
    <w:p w14:paraId="465AF38E" w14:textId="77777777" w:rsidR="00DD1A6F" w:rsidRPr="00DD1A6F" w:rsidRDefault="00DD1A6F" w:rsidP="001D717F">
      <w:pPr>
        <w:numPr>
          <w:ilvl w:val="0"/>
          <w:numId w:val="14"/>
        </w:numPr>
        <w:jc w:val="both"/>
        <w:rPr>
          <w:rFonts w:ascii="Arial" w:hAnsi="Arial" w:cs="Arial"/>
          <w:sz w:val="20"/>
          <w:szCs w:val="20"/>
        </w:rPr>
      </w:pPr>
      <w:r w:rsidRPr="00DD1A6F">
        <w:rPr>
          <w:rFonts w:ascii="Arial" w:hAnsi="Arial" w:cs="Arial"/>
          <w:b/>
          <w:bCs/>
          <w:sz w:val="20"/>
          <w:szCs w:val="20"/>
        </w:rPr>
        <w:t>PAD</w:t>
      </w:r>
      <w:r w:rsidRPr="00DD1A6F">
        <w:rPr>
          <w:rFonts w:ascii="Arial" w:hAnsi="Arial" w:cs="Arial"/>
          <w:sz w:val="20"/>
          <w:szCs w:val="20"/>
        </w:rPr>
        <w:t xml:space="preserve"> (β=−0.26\beta = -0.26β=−0.26) reinforces the importance of regional fiscal capacity—districts with higher own-source revenue can better support welfare programs.</w:t>
      </w:r>
    </w:p>
    <w:p w14:paraId="2A3E6355" w14:textId="77777777" w:rsidR="00DD1A6F" w:rsidRPr="00DD1A6F" w:rsidRDefault="00DD1A6F" w:rsidP="001D717F">
      <w:pPr>
        <w:numPr>
          <w:ilvl w:val="0"/>
          <w:numId w:val="14"/>
        </w:numPr>
        <w:jc w:val="both"/>
        <w:rPr>
          <w:rFonts w:ascii="Arial" w:hAnsi="Arial" w:cs="Arial"/>
          <w:sz w:val="20"/>
          <w:szCs w:val="20"/>
        </w:rPr>
      </w:pPr>
      <w:r w:rsidRPr="00DD1A6F">
        <w:rPr>
          <w:rFonts w:ascii="Arial" w:hAnsi="Arial" w:cs="Arial"/>
          <w:b/>
          <w:bCs/>
          <w:sz w:val="20"/>
          <w:szCs w:val="20"/>
        </w:rPr>
        <w:t>Uninhabitable housing</w:t>
      </w:r>
      <w:r w:rsidRPr="00DD1A6F">
        <w:rPr>
          <w:rFonts w:ascii="Arial" w:hAnsi="Arial" w:cs="Arial"/>
          <w:sz w:val="20"/>
          <w:szCs w:val="20"/>
        </w:rPr>
        <w:t xml:space="preserve"> (β=+0.22\beta = +0.22β=+0.22) was also statistically significant, aligning with recent findings that link poor housing to chronic health problems and social exclusion.</w:t>
      </w:r>
    </w:p>
    <w:p w14:paraId="538BE2E4" w14:textId="09C48992" w:rsidR="00DD1A6F" w:rsidRPr="00DD1A6F" w:rsidRDefault="00DD1A6F" w:rsidP="001D717F">
      <w:pPr>
        <w:jc w:val="both"/>
        <w:rPr>
          <w:rFonts w:ascii="Arial" w:hAnsi="Arial" w:cs="Arial"/>
          <w:sz w:val="20"/>
          <w:szCs w:val="20"/>
        </w:rPr>
      </w:pPr>
      <w:r w:rsidRPr="00DD1A6F">
        <w:rPr>
          <w:rFonts w:ascii="Arial" w:hAnsi="Arial" w:cs="Arial"/>
          <w:sz w:val="20"/>
          <w:szCs w:val="20"/>
        </w:rPr>
        <w:t xml:space="preserve">Interestingly, </w:t>
      </w:r>
      <w:r w:rsidRPr="00DD1A6F">
        <w:rPr>
          <w:rFonts w:ascii="Arial" w:hAnsi="Arial" w:cs="Arial"/>
          <w:b/>
          <w:bCs/>
          <w:sz w:val="20"/>
          <w:szCs w:val="20"/>
        </w:rPr>
        <w:t>minimum wage</w:t>
      </w:r>
      <w:r w:rsidRPr="00DD1A6F">
        <w:rPr>
          <w:rFonts w:ascii="Arial" w:hAnsi="Arial" w:cs="Arial"/>
          <w:sz w:val="20"/>
          <w:szCs w:val="20"/>
        </w:rPr>
        <w:t xml:space="preserve"> was not a significant predictor in the final model, likely due to high informal employment in several districts. This supports research showing that wage regulations in Indonesia often do not extend to the informal sector (Setiawan &amp; Zahra, 2023)</w:t>
      </w:r>
    </w:p>
    <w:p w14:paraId="11BE69EA" w14:textId="77777777" w:rsidR="001D717F" w:rsidRPr="00913E95" w:rsidRDefault="001D717F" w:rsidP="00DD1A6F">
      <w:pPr>
        <w:rPr>
          <w:rFonts w:ascii="Arial" w:hAnsi="Arial" w:cs="Arial"/>
          <w:b/>
          <w:bCs/>
          <w:sz w:val="20"/>
          <w:szCs w:val="20"/>
        </w:rPr>
      </w:pPr>
    </w:p>
    <w:p w14:paraId="388C1FF1" w14:textId="53DE49B4" w:rsidR="00DD1A6F" w:rsidRPr="00DD1A6F" w:rsidRDefault="00DD1A6F" w:rsidP="00DD1A6F">
      <w:pPr>
        <w:rPr>
          <w:rFonts w:ascii="Arial" w:hAnsi="Arial" w:cs="Arial"/>
          <w:b/>
          <w:bCs/>
          <w:sz w:val="20"/>
          <w:szCs w:val="20"/>
        </w:rPr>
      </w:pPr>
      <w:r w:rsidRPr="00DD1A6F">
        <w:rPr>
          <w:rFonts w:ascii="Arial" w:hAnsi="Arial" w:cs="Arial"/>
          <w:b/>
          <w:bCs/>
          <w:sz w:val="20"/>
          <w:szCs w:val="20"/>
        </w:rPr>
        <w:t>3.6 Comparative Reflection with Previous Studies</w:t>
      </w:r>
    </w:p>
    <w:p w14:paraId="145E9465" w14:textId="77777777" w:rsidR="001D717F" w:rsidRPr="001D717F" w:rsidRDefault="001D717F" w:rsidP="001D717F">
      <w:pPr>
        <w:jc w:val="both"/>
        <w:rPr>
          <w:rFonts w:ascii="Arial" w:hAnsi="Arial" w:cs="Arial"/>
          <w:sz w:val="20"/>
          <w:szCs w:val="20"/>
        </w:rPr>
      </w:pPr>
      <w:r w:rsidRPr="001D717F">
        <w:rPr>
          <w:rFonts w:ascii="Arial" w:hAnsi="Arial" w:cs="Arial"/>
          <w:sz w:val="20"/>
          <w:szCs w:val="20"/>
        </w:rPr>
        <w:t xml:space="preserve">Compared to regional poverty studies conducted in Java, such as the work by </w:t>
      </w:r>
      <w:proofErr w:type="spellStart"/>
      <w:r w:rsidRPr="001D717F">
        <w:rPr>
          <w:rFonts w:ascii="Arial" w:hAnsi="Arial" w:cs="Arial"/>
          <w:sz w:val="20"/>
          <w:szCs w:val="20"/>
        </w:rPr>
        <w:t>Purwanti</w:t>
      </w:r>
      <w:proofErr w:type="spellEnd"/>
      <w:r w:rsidRPr="001D717F">
        <w:rPr>
          <w:rFonts w:ascii="Arial" w:hAnsi="Arial" w:cs="Arial"/>
          <w:sz w:val="20"/>
          <w:szCs w:val="20"/>
        </w:rPr>
        <w:t xml:space="preserve"> (2023), which utilized clustering methods on Central Java, this study contributes a more geographically diverse and context-sensitive perspective by focusing on North Sumatra, a province with distinct topographical, cultural, and fiscal features. Java-based studies, while methodologically rigorous, often focus on areas with relatively better infrastructure, institutional capacity, and access to services, which limits their generalizability to more diverse or remote regions. North Sumatra, by contrast, encompasses a wide spectrum of development conditions—from metropolitan cities like Medan to isolated islands such as </w:t>
      </w:r>
      <w:proofErr w:type="spellStart"/>
      <w:r w:rsidRPr="001D717F">
        <w:rPr>
          <w:rFonts w:ascii="Arial" w:hAnsi="Arial" w:cs="Arial"/>
          <w:sz w:val="20"/>
          <w:szCs w:val="20"/>
        </w:rPr>
        <w:t>Nias</w:t>
      </w:r>
      <w:proofErr w:type="spellEnd"/>
      <w:r w:rsidRPr="001D717F">
        <w:rPr>
          <w:rFonts w:ascii="Arial" w:hAnsi="Arial" w:cs="Arial"/>
          <w:sz w:val="20"/>
          <w:szCs w:val="20"/>
        </w:rPr>
        <w:t>—making it an ideal case to showcase intra-provincial disparities in poverty dynamics. This finer granularity allows the present research to unearth region-specific vulnerabilities that might be masked in national or Java-centric analyses.</w:t>
      </w:r>
    </w:p>
    <w:p w14:paraId="0B6FAB41" w14:textId="77777777" w:rsidR="001D717F" w:rsidRPr="001D717F" w:rsidRDefault="001D717F" w:rsidP="001D717F">
      <w:pPr>
        <w:jc w:val="both"/>
        <w:rPr>
          <w:rFonts w:ascii="Arial" w:hAnsi="Arial" w:cs="Arial"/>
          <w:sz w:val="20"/>
          <w:szCs w:val="20"/>
        </w:rPr>
      </w:pPr>
      <w:r w:rsidRPr="001D717F">
        <w:rPr>
          <w:rFonts w:ascii="Arial" w:hAnsi="Arial" w:cs="Arial"/>
          <w:sz w:val="20"/>
          <w:szCs w:val="20"/>
        </w:rPr>
        <w:t xml:space="preserve">Furthermore, in contrast to studies like </w:t>
      </w:r>
      <w:proofErr w:type="spellStart"/>
      <w:r w:rsidRPr="001D717F">
        <w:rPr>
          <w:rFonts w:ascii="Arial" w:hAnsi="Arial" w:cs="Arial"/>
          <w:sz w:val="20"/>
          <w:szCs w:val="20"/>
        </w:rPr>
        <w:t>Wiguna</w:t>
      </w:r>
      <w:proofErr w:type="spellEnd"/>
      <w:r w:rsidRPr="001D717F">
        <w:rPr>
          <w:rFonts w:ascii="Arial" w:hAnsi="Arial" w:cs="Arial"/>
          <w:sz w:val="20"/>
          <w:szCs w:val="20"/>
        </w:rPr>
        <w:t xml:space="preserve"> et al. (2023), which apply spatial regression to explain national-level poverty trends using macro indicators, this study enhances explanatory power by integrating Principal Component Analysis (PCA), K-Means clustering, and regression modeling into a unified framework. While spatial regression is effective for identifying variable associations across regions, it may overlook latent patterns and natural groupings within the data. By applying PCA to reduce multicollinearity and dimensionality, followed by clustering to classify regencies based on shared characteristics, this study not only identifies poverty correlates but also delineates actionable cluster typologies. This methodological triangulation represents a significant advancement over traditional linear-only or unsupervised-only approaches, especially in complex, heterogeneous socio-economic landscapes like North Sumatra.</w:t>
      </w:r>
    </w:p>
    <w:p w14:paraId="39BEE847" w14:textId="672C9673" w:rsidR="00DD1A6F" w:rsidRPr="00DD1A6F" w:rsidRDefault="001D717F" w:rsidP="001D717F">
      <w:pPr>
        <w:jc w:val="both"/>
        <w:rPr>
          <w:rFonts w:ascii="Arial" w:hAnsi="Arial" w:cs="Arial"/>
          <w:sz w:val="20"/>
          <w:szCs w:val="20"/>
        </w:rPr>
      </w:pPr>
      <w:r w:rsidRPr="001D717F">
        <w:rPr>
          <w:rFonts w:ascii="Arial" w:hAnsi="Arial" w:cs="Arial"/>
          <w:sz w:val="20"/>
          <w:szCs w:val="20"/>
        </w:rPr>
        <w:t xml:space="preserve">Perhaps most notably, this study contributes conceptually by moving beyond single-dimensional, income-based poverty metrics commonly used in national surveys. While income remains a crucial measure, it is increasingly recognized—by institutions such as UNDP and Indonesia’s Central Statistics Agency (BPS)—that poverty is a multidimensional phenomenon encompassing health, education, living standards, and infrastructure. By including variables such as housing conditions, education attainment, and local fiscal capacity (PAD), this research aligns more closely with the Multidimensional Poverty Index (MPI) framework. The inclusion of uninhabitable housing as a proxy for living condition </w:t>
      </w:r>
      <w:r w:rsidRPr="001D717F">
        <w:rPr>
          <w:rFonts w:ascii="Arial" w:hAnsi="Arial" w:cs="Arial"/>
          <w:sz w:val="20"/>
          <w:szCs w:val="20"/>
        </w:rPr>
        <w:lastRenderedPageBreak/>
        <w:t>deprivation, for example, captures material hardship not reflected in income data alone. This shift ensures a more holistic understanding of deprivation, offering richer insights for policy formulation and program targeting at the local level.</w:t>
      </w:r>
    </w:p>
    <w:p w14:paraId="6BE1C089" w14:textId="293215C1" w:rsidR="00DD1A6F" w:rsidRPr="00DD1A6F" w:rsidRDefault="00DD1A6F" w:rsidP="00DD1A6F">
      <w:pPr>
        <w:rPr>
          <w:rFonts w:ascii="Arial" w:hAnsi="Arial" w:cs="Arial"/>
          <w:sz w:val="20"/>
          <w:szCs w:val="20"/>
        </w:rPr>
      </w:pPr>
    </w:p>
    <w:p w14:paraId="4EA43251" w14:textId="77777777" w:rsidR="00DD1A6F" w:rsidRPr="00DD1A6F" w:rsidRDefault="00DD1A6F" w:rsidP="00DD1A6F">
      <w:pPr>
        <w:rPr>
          <w:rFonts w:ascii="Arial" w:hAnsi="Arial" w:cs="Arial"/>
          <w:b/>
          <w:bCs/>
          <w:sz w:val="20"/>
          <w:szCs w:val="20"/>
        </w:rPr>
      </w:pPr>
      <w:r w:rsidRPr="00DD1A6F">
        <w:rPr>
          <w:rFonts w:ascii="Arial" w:hAnsi="Arial" w:cs="Arial"/>
          <w:b/>
          <w:bCs/>
          <w:sz w:val="20"/>
          <w:szCs w:val="20"/>
        </w:rPr>
        <w:t>3.7 Policy Relevance and Limitations</w:t>
      </w:r>
    </w:p>
    <w:p w14:paraId="0C2B32A8" w14:textId="77777777" w:rsidR="00DD1A6F" w:rsidRPr="00DD1A6F" w:rsidRDefault="00DD1A6F" w:rsidP="00DD1A6F">
      <w:pPr>
        <w:rPr>
          <w:rFonts w:ascii="Arial" w:hAnsi="Arial" w:cs="Arial"/>
          <w:sz w:val="20"/>
          <w:szCs w:val="20"/>
        </w:rPr>
      </w:pPr>
      <w:r w:rsidRPr="00DD1A6F">
        <w:rPr>
          <w:rFonts w:ascii="Arial" w:hAnsi="Arial" w:cs="Arial"/>
          <w:sz w:val="20"/>
          <w:szCs w:val="20"/>
        </w:rPr>
        <w:t xml:space="preserve">This research supports </w:t>
      </w:r>
      <w:r w:rsidRPr="00DD1A6F">
        <w:rPr>
          <w:rFonts w:ascii="Arial" w:hAnsi="Arial" w:cs="Arial"/>
          <w:b/>
          <w:bCs/>
          <w:sz w:val="20"/>
          <w:szCs w:val="20"/>
        </w:rPr>
        <w:t>localized targeting</w:t>
      </w:r>
      <w:r w:rsidRPr="00DD1A6F">
        <w:rPr>
          <w:rFonts w:ascii="Arial" w:hAnsi="Arial" w:cs="Arial"/>
          <w:sz w:val="20"/>
          <w:szCs w:val="20"/>
        </w:rPr>
        <w:t xml:space="preserve"> under Indonesia's decentralization framework. Regional development planning (RPJMD) can incorporate such clustering to allocate budgets more effectively.</w:t>
      </w:r>
    </w:p>
    <w:p w14:paraId="704319B7" w14:textId="77777777" w:rsidR="00DD1A6F" w:rsidRPr="00DD1A6F" w:rsidRDefault="00DD1A6F" w:rsidP="00DD1A6F">
      <w:pPr>
        <w:rPr>
          <w:rFonts w:ascii="Arial" w:hAnsi="Arial" w:cs="Arial"/>
          <w:sz w:val="20"/>
          <w:szCs w:val="20"/>
        </w:rPr>
      </w:pPr>
      <w:r w:rsidRPr="00DD1A6F">
        <w:rPr>
          <w:rFonts w:ascii="Arial" w:hAnsi="Arial" w:cs="Arial"/>
          <w:sz w:val="20"/>
          <w:szCs w:val="20"/>
        </w:rPr>
        <w:t>However, the study has limitations: it uses cross-sectional data from 2023, so temporal dynamics are not captured. Also, informal sector employment and gendered poverty dimensions were not directly addressed.</w:t>
      </w:r>
    </w:p>
    <w:p w14:paraId="270A2856" w14:textId="5631E286" w:rsidR="00DD1A6F" w:rsidRPr="00913E95" w:rsidRDefault="0017376D" w:rsidP="00DD1A6F">
      <w:pPr>
        <w:rPr>
          <w:rFonts w:ascii="Arial" w:hAnsi="Arial" w:cs="Arial"/>
          <w:b/>
          <w:bCs/>
          <w:sz w:val="20"/>
          <w:szCs w:val="20"/>
        </w:rPr>
      </w:pPr>
      <w:r w:rsidRPr="00913E95">
        <w:rPr>
          <w:rFonts w:ascii="Arial" w:hAnsi="Arial" w:cs="Arial"/>
          <w:b/>
          <w:bCs/>
          <w:sz w:val="20"/>
          <w:szCs w:val="20"/>
        </w:rPr>
        <w:t>IV. CONCLUSION AND POLICY RECOMMENDATIONS</w:t>
      </w:r>
    </w:p>
    <w:p w14:paraId="4D084268" w14:textId="77777777" w:rsidR="001D717F" w:rsidRPr="001D717F" w:rsidRDefault="001D717F" w:rsidP="001D717F">
      <w:pPr>
        <w:jc w:val="both"/>
        <w:rPr>
          <w:rFonts w:ascii="Arial" w:hAnsi="Arial" w:cs="Arial"/>
          <w:sz w:val="20"/>
          <w:szCs w:val="20"/>
        </w:rPr>
      </w:pPr>
      <w:r w:rsidRPr="001D717F">
        <w:rPr>
          <w:rFonts w:ascii="Arial" w:hAnsi="Arial" w:cs="Arial"/>
          <w:sz w:val="20"/>
          <w:szCs w:val="20"/>
        </w:rPr>
        <w:t>This study offers a comprehensive and spatially nuanced examination of poverty across North Sumatra by employing a blend of descriptive statistics, Principal Component Analysis (PCA), K-Means clustering, and multiple regression techniques. By adopting a multidimensional perspective—including education, unemployment, regional income (PAD), housing quality, and minimum wage—the study highlights complex patterns and drivers of poverty at the district level. The analysis resulted in the identification of five distinct poverty clusters, ranging from urban centers with robust socio-economic conditions to rural and remote regions facing entrenched deprivation due to limited infrastructure and weak fiscal capacity.</w:t>
      </w:r>
    </w:p>
    <w:p w14:paraId="50E87A67" w14:textId="77777777" w:rsidR="001D717F" w:rsidRPr="001D717F" w:rsidRDefault="001D717F" w:rsidP="001D717F">
      <w:pPr>
        <w:jc w:val="both"/>
        <w:rPr>
          <w:rFonts w:ascii="Arial" w:hAnsi="Arial" w:cs="Arial"/>
          <w:sz w:val="20"/>
          <w:szCs w:val="20"/>
        </w:rPr>
      </w:pPr>
      <w:r w:rsidRPr="001D717F">
        <w:rPr>
          <w:rFonts w:ascii="Arial" w:hAnsi="Arial" w:cs="Arial"/>
          <w:sz w:val="20"/>
          <w:szCs w:val="20"/>
        </w:rPr>
        <w:t xml:space="preserve">Each cluster reflects a unique typology of poverty, revealing the inadequacy of generalized, one-size-fits-all policies. For instance, urban districts such as Medan and </w:t>
      </w:r>
      <w:proofErr w:type="spellStart"/>
      <w:r w:rsidRPr="001D717F">
        <w:rPr>
          <w:rFonts w:ascii="Arial" w:hAnsi="Arial" w:cs="Arial"/>
          <w:sz w:val="20"/>
          <w:szCs w:val="20"/>
        </w:rPr>
        <w:t>Binjai</w:t>
      </w:r>
      <w:proofErr w:type="spellEnd"/>
      <w:r w:rsidRPr="001D717F">
        <w:rPr>
          <w:rFonts w:ascii="Arial" w:hAnsi="Arial" w:cs="Arial"/>
          <w:sz w:val="20"/>
          <w:szCs w:val="20"/>
        </w:rPr>
        <w:t xml:space="preserve"> fall into a "low poverty–high capacity" group that benefits from strong institutional and educational ecosystems, while regions like </w:t>
      </w:r>
      <w:proofErr w:type="spellStart"/>
      <w:r w:rsidRPr="001D717F">
        <w:rPr>
          <w:rFonts w:ascii="Arial" w:hAnsi="Arial" w:cs="Arial"/>
          <w:sz w:val="20"/>
          <w:szCs w:val="20"/>
        </w:rPr>
        <w:t>Nias</w:t>
      </w:r>
      <w:proofErr w:type="spellEnd"/>
      <w:r w:rsidRPr="001D717F">
        <w:rPr>
          <w:rFonts w:ascii="Arial" w:hAnsi="Arial" w:cs="Arial"/>
          <w:sz w:val="20"/>
          <w:szCs w:val="20"/>
        </w:rPr>
        <w:t xml:space="preserve"> Barat experience compounded structural challenges including poor housing and low PAD. Importantly, the regression analysis confirmed that education, unemployment, housing conditions, and regional fiscal resources are statistically significant predictors of poverty. The effect of minimum wage was less impactful, likely due to the dominance of informal employment in many districts. These findings provide clear evidence for the necessity of locally </w:t>
      </w:r>
      <w:bookmarkStart w:id="0" w:name="_Hlk201315582"/>
      <w:r w:rsidRPr="001D717F">
        <w:rPr>
          <w:rFonts w:ascii="Arial" w:hAnsi="Arial" w:cs="Arial"/>
          <w:sz w:val="20"/>
          <w:szCs w:val="20"/>
        </w:rPr>
        <w:t>tailored policy strategies that consider regional disparities in socioeconomic conditions.</w:t>
      </w:r>
    </w:p>
    <w:bookmarkEnd w:id="0"/>
    <w:p w14:paraId="5273C436" w14:textId="7978EAC3" w:rsidR="00DD1A6F" w:rsidRDefault="001D717F" w:rsidP="0017376D">
      <w:pPr>
        <w:jc w:val="both"/>
        <w:rPr>
          <w:rFonts w:ascii="Arial" w:hAnsi="Arial" w:cs="Arial"/>
          <w:sz w:val="20"/>
          <w:szCs w:val="20"/>
        </w:rPr>
      </w:pPr>
      <w:r w:rsidRPr="001D717F">
        <w:rPr>
          <w:rFonts w:ascii="Arial" w:hAnsi="Arial" w:cs="Arial"/>
          <w:sz w:val="20"/>
          <w:szCs w:val="20"/>
        </w:rPr>
        <w:t>Accordingly, the study recommends differentiated interventions aligned with each cluster’s profile. Urban districts should focus on maintaining their growth momentum through digital infrastructure and inclusive urban policies. Remote areas require basic infrastructure investment and better access to public services. Districts facing skill-job mismatches need targeted vocational training and stronger industry partnerships. Additionally, cluster-based approaches should be formally integrated into regional planning (RPJMD), complemented by inter-district collaboration frameworks and improved data monitoring systems, particularly for informal sector dynamics. This model not only enhances policy precision in North Sumatra but also offers a scalable approach for other provinces facing similar heterogeneity in poverty profiles</w:t>
      </w:r>
      <w:r w:rsidR="0017376D" w:rsidRPr="00913E95">
        <w:rPr>
          <w:rFonts w:ascii="Arial" w:hAnsi="Arial" w:cs="Arial"/>
          <w:sz w:val="20"/>
          <w:szCs w:val="20"/>
        </w:rPr>
        <w:t>.</w:t>
      </w:r>
    </w:p>
    <w:p w14:paraId="2ED33B32" w14:textId="7892A67B" w:rsidR="00F735D2" w:rsidRDefault="00F735D2" w:rsidP="0017376D">
      <w:pPr>
        <w:jc w:val="both"/>
        <w:rPr>
          <w:rFonts w:ascii="Arial" w:hAnsi="Arial" w:cs="Arial"/>
          <w:sz w:val="20"/>
          <w:szCs w:val="20"/>
        </w:rPr>
      </w:pPr>
    </w:p>
    <w:p w14:paraId="695E051C" w14:textId="77777777" w:rsidR="00F735D2" w:rsidRPr="00394842" w:rsidRDefault="00F735D2" w:rsidP="00F735D2">
      <w:pPr>
        <w:rPr>
          <w:highlight w:val="yellow"/>
        </w:rPr>
      </w:pPr>
      <w:r w:rsidRPr="00394842">
        <w:rPr>
          <w:highlight w:val="yellow"/>
        </w:rPr>
        <w:t>Disclaimer (Artificial intelligence)</w:t>
      </w:r>
    </w:p>
    <w:p w14:paraId="56F6EE9E" w14:textId="77777777" w:rsidR="00F735D2" w:rsidRPr="00394842" w:rsidRDefault="00F735D2" w:rsidP="00F735D2">
      <w:pPr>
        <w:rPr>
          <w:highlight w:val="yellow"/>
        </w:rPr>
      </w:pPr>
    </w:p>
    <w:p w14:paraId="5A2D0F5E" w14:textId="77777777" w:rsidR="00F735D2" w:rsidRPr="00394842" w:rsidRDefault="00F735D2" w:rsidP="00F735D2">
      <w:pPr>
        <w:rPr>
          <w:highlight w:val="yellow"/>
        </w:rPr>
      </w:pPr>
      <w:r w:rsidRPr="00394842">
        <w:rPr>
          <w:highlight w:val="yellow"/>
        </w:rPr>
        <w:t xml:space="preserve">Option 1: </w:t>
      </w:r>
    </w:p>
    <w:p w14:paraId="0DB37F8A" w14:textId="77777777" w:rsidR="00F735D2" w:rsidRPr="00394842" w:rsidRDefault="00F735D2" w:rsidP="00F735D2">
      <w:pPr>
        <w:rPr>
          <w:highlight w:val="yellow"/>
        </w:rPr>
      </w:pPr>
    </w:p>
    <w:p w14:paraId="3A30844F" w14:textId="77777777" w:rsidR="00F735D2" w:rsidRPr="00394842" w:rsidRDefault="00F735D2" w:rsidP="00F735D2">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7250A6DC" w14:textId="77777777" w:rsidR="00F735D2" w:rsidRPr="00394842" w:rsidRDefault="00F735D2" w:rsidP="00F735D2">
      <w:pPr>
        <w:rPr>
          <w:highlight w:val="yellow"/>
        </w:rPr>
      </w:pPr>
    </w:p>
    <w:p w14:paraId="2D09BB2A" w14:textId="77777777" w:rsidR="00F735D2" w:rsidRPr="00913E95" w:rsidRDefault="00F735D2" w:rsidP="0017376D">
      <w:pPr>
        <w:jc w:val="both"/>
        <w:rPr>
          <w:rFonts w:ascii="Arial" w:hAnsi="Arial" w:cs="Arial"/>
          <w:sz w:val="20"/>
          <w:szCs w:val="20"/>
        </w:rPr>
      </w:pPr>
    </w:p>
    <w:p w14:paraId="7A322DC8" w14:textId="77777777" w:rsidR="005D518C" w:rsidRDefault="00B6756A" w:rsidP="005D518C">
      <w:pPr>
        <w:ind w:left="851" w:hanging="851"/>
        <w:jc w:val="both"/>
        <w:rPr>
          <w:rFonts w:ascii="Times New Roman" w:eastAsia="Times New Roman" w:hAnsi="Times New Roman" w:cs="Times New Roman"/>
          <w:kern w:val="0"/>
          <w:highlight w:val="yellow"/>
          <w14:ligatures w14:val="none"/>
        </w:rPr>
      </w:pPr>
      <w:r w:rsidRPr="005D518C">
        <w:rPr>
          <w:rFonts w:ascii="Arial" w:hAnsi="Arial" w:cs="Arial"/>
          <w:b/>
          <w:bCs/>
          <w:sz w:val="20"/>
          <w:szCs w:val="20"/>
          <w:highlight w:val="yellow"/>
        </w:rPr>
        <w:t>References</w:t>
      </w:r>
      <w:r w:rsidR="005D518C" w:rsidRPr="005D518C">
        <w:rPr>
          <w:rFonts w:ascii="Times New Roman" w:eastAsia="Times New Roman" w:hAnsi="Times New Roman" w:cs="Times New Roman"/>
          <w:kern w:val="0"/>
          <w:highlight w:val="yellow"/>
          <w14:ligatures w14:val="none"/>
        </w:rPr>
        <w:t xml:space="preserve"> </w:t>
      </w:r>
    </w:p>
    <w:p w14:paraId="0532E4EF" w14:textId="699CFDA6"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rPr>
        <w:t xml:space="preserve">Abrar, M., Sriani, S., &amp; </w:t>
      </w:r>
      <w:proofErr w:type="spellStart"/>
      <w:r w:rsidRPr="005D518C">
        <w:rPr>
          <w:rFonts w:ascii="Arial" w:hAnsi="Arial" w:cs="Arial"/>
          <w:b/>
          <w:bCs/>
          <w:sz w:val="20"/>
          <w:szCs w:val="20"/>
          <w:highlight w:val="yellow"/>
        </w:rPr>
        <w:t>Harahap</w:t>
      </w:r>
      <w:proofErr w:type="spellEnd"/>
      <w:r w:rsidRPr="005D518C">
        <w:rPr>
          <w:rFonts w:ascii="Arial" w:hAnsi="Arial" w:cs="Arial"/>
          <w:b/>
          <w:bCs/>
          <w:sz w:val="20"/>
          <w:szCs w:val="20"/>
          <w:highlight w:val="yellow"/>
        </w:rPr>
        <w:t xml:space="preserve">, N. (2024). </w:t>
      </w:r>
      <w:r w:rsidRPr="005D518C">
        <w:rPr>
          <w:rFonts w:ascii="Arial" w:hAnsi="Arial" w:cs="Arial"/>
          <w:b/>
          <w:bCs/>
          <w:i/>
          <w:iCs/>
          <w:sz w:val="20"/>
          <w:szCs w:val="20"/>
          <w:highlight w:val="yellow"/>
        </w:rPr>
        <w:t>Information system for new student admissions in the SMA development sector, Department of Education, North Sumatra Province</w:t>
      </w:r>
      <w:r w:rsidRPr="005D518C">
        <w:rPr>
          <w:rFonts w:ascii="Arial" w:hAnsi="Arial" w:cs="Arial"/>
          <w:b/>
          <w:bCs/>
          <w:sz w:val="20"/>
          <w:szCs w:val="20"/>
          <w:highlight w:val="yellow"/>
        </w:rPr>
        <w:t xml:space="preserve">. Journal of Computer and Business Science, 15(2), 174–183. </w:t>
      </w:r>
      <w:hyperlink r:id="rId9"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/10.47927/</w:t>
        </w:r>
        <w:proofErr w:type="spellStart"/>
        <w:r w:rsidRPr="005D518C">
          <w:rPr>
            <w:rStyle w:val="Hyperlink"/>
            <w:rFonts w:ascii="Arial" w:hAnsi="Arial" w:cs="Arial"/>
            <w:b/>
            <w:bCs/>
            <w:sz w:val="20"/>
            <w:szCs w:val="20"/>
            <w:highlight w:val="yellow"/>
          </w:rPr>
          <w:t>jikb.v15i2.810</w:t>
        </w:r>
        <w:proofErr w:type="spellEnd"/>
      </w:hyperlink>
    </w:p>
    <w:p w14:paraId="0C85595A"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rPr>
        <w:t xml:space="preserve">Adam, D., </w:t>
      </w:r>
      <w:proofErr w:type="spellStart"/>
      <w:r w:rsidRPr="005D518C">
        <w:rPr>
          <w:rFonts w:ascii="Arial" w:hAnsi="Arial" w:cs="Arial"/>
          <w:b/>
          <w:bCs/>
          <w:sz w:val="20"/>
          <w:szCs w:val="20"/>
          <w:highlight w:val="yellow"/>
        </w:rPr>
        <w:t>Olilingo</w:t>
      </w:r>
      <w:proofErr w:type="spellEnd"/>
      <w:r w:rsidRPr="005D518C">
        <w:rPr>
          <w:rFonts w:ascii="Arial" w:hAnsi="Arial" w:cs="Arial"/>
          <w:b/>
          <w:bCs/>
          <w:sz w:val="20"/>
          <w:szCs w:val="20"/>
          <w:highlight w:val="yellow"/>
        </w:rPr>
        <w:t xml:space="preserve">, F., &amp; Santoso, I. (2022). </w:t>
      </w:r>
      <w:r w:rsidRPr="005D518C">
        <w:rPr>
          <w:rFonts w:ascii="Arial" w:hAnsi="Arial" w:cs="Arial"/>
          <w:b/>
          <w:bCs/>
          <w:i/>
          <w:iCs/>
          <w:sz w:val="20"/>
          <w:szCs w:val="20"/>
          <w:highlight w:val="yellow"/>
        </w:rPr>
        <w:t>Analysis of the effect of education and unemployment on poverty in the Northern-Northern Cooperation Area</w:t>
      </w:r>
      <w:r w:rsidRPr="005D518C">
        <w:rPr>
          <w:rFonts w:ascii="Arial" w:hAnsi="Arial" w:cs="Arial"/>
          <w:b/>
          <w:bCs/>
          <w:sz w:val="20"/>
          <w:szCs w:val="20"/>
          <w:highlight w:val="yellow"/>
        </w:rPr>
        <w:t xml:space="preserve">. Journal of Development Economics, 8(1). </w:t>
      </w:r>
      <w:hyperlink r:id="rId10"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/10.35906/</w:t>
        </w:r>
        <w:proofErr w:type="spellStart"/>
        <w:r w:rsidRPr="005D518C">
          <w:rPr>
            <w:rStyle w:val="Hyperlink"/>
            <w:rFonts w:ascii="Arial" w:hAnsi="Arial" w:cs="Arial"/>
            <w:b/>
            <w:bCs/>
            <w:sz w:val="20"/>
            <w:szCs w:val="20"/>
            <w:highlight w:val="yellow"/>
          </w:rPr>
          <w:t>jep.v8i1.1039</w:t>
        </w:r>
        <w:proofErr w:type="spellEnd"/>
      </w:hyperlink>
    </w:p>
    <w:p w14:paraId="72C191D5"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rPr>
        <w:t xml:space="preserve">Aditya, I., &amp; Wahed, M. (2021). </w:t>
      </w:r>
      <w:r w:rsidRPr="005D518C">
        <w:rPr>
          <w:rFonts w:ascii="Arial" w:hAnsi="Arial" w:cs="Arial"/>
          <w:b/>
          <w:bCs/>
          <w:i/>
          <w:iCs/>
          <w:sz w:val="20"/>
          <w:szCs w:val="20"/>
          <w:highlight w:val="yellow"/>
        </w:rPr>
        <w:t>The effect of local revenue and unemployment on the human development index with poverty as an intervening variable in Bali Province</w:t>
      </w:r>
      <w:r w:rsidRPr="005D518C">
        <w:rPr>
          <w:rFonts w:ascii="Arial" w:hAnsi="Arial" w:cs="Arial"/>
          <w:b/>
          <w:bCs/>
          <w:sz w:val="20"/>
          <w:szCs w:val="20"/>
          <w:highlight w:val="yellow"/>
        </w:rPr>
        <w:t xml:space="preserve">. Randai Journal, 2(1), 1–10. </w:t>
      </w:r>
      <w:hyperlink r:id="rId11"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/10.31258/</w:t>
        </w:r>
        <w:proofErr w:type="spellStart"/>
        <w:r w:rsidRPr="005D518C">
          <w:rPr>
            <w:rStyle w:val="Hyperlink"/>
            <w:rFonts w:ascii="Arial" w:hAnsi="Arial" w:cs="Arial"/>
            <w:b/>
            <w:bCs/>
            <w:sz w:val="20"/>
            <w:szCs w:val="20"/>
            <w:highlight w:val="yellow"/>
          </w:rPr>
          <w:t>randai.2.1.p.1</w:t>
        </w:r>
        <w:proofErr w:type="spellEnd"/>
        <w:r w:rsidRPr="005D518C">
          <w:rPr>
            <w:rStyle w:val="Hyperlink"/>
            <w:rFonts w:ascii="Arial" w:hAnsi="Arial" w:cs="Arial"/>
            <w:b/>
            <w:bCs/>
            <w:sz w:val="20"/>
            <w:szCs w:val="20"/>
            <w:highlight w:val="yellow"/>
          </w:rPr>
          <w:t>-10</w:t>
        </w:r>
      </w:hyperlink>
    </w:p>
    <w:p w14:paraId="070484CE"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rPr>
        <w:t xml:space="preserve">Afifi, M., &amp; Nasir, M. (2023). </w:t>
      </w:r>
      <w:r w:rsidRPr="005D518C">
        <w:rPr>
          <w:rFonts w:ascii="Arial" w:hAnsi="Arial" w:cs="Arial"/>
          <w:b/>
          <w:bCs/>
          <w:i/>
          <w:iCs/>
          <w:sz w:val="20"/>
          <w:szCs w:val="20"/>
          <w:highlight w:val="yellow"/>
        </w:rPr>
        <w:t>Distribution of village funds and the acceleration of poverty alleviation in Lombok Island</w:t>
      </w:r>
      <w:r w:rsidRPr="005D518C">
        <w:rPr>
          <w:rFonts w:ascii="Arial" w:hAnsi="Arial" w:cs="Arial"/>
          <w:b/>
          <w:bCs/>
          <w:sz w:val="20"/>
          <w:szCs w:val="20"/>
          <w:highlight w:val="yellow"/>
        </w:rPr>
        <w:t xml:space="preserve">. </w:t>
      </w:r>
      <w:proofErr w:type="spellStart"/>
      <w:r w:rsidRPr="005D518C">
        <w:rPr>
          <w:rFonts w:ascii="Arial" w:hAnsi="Arial" w:cs="Arial"/>
          <w:b/>
          <w:bCs/>
          <w:sz w:val="20"/>
          <w:szCs w:val="20"/>
          <w:highlight w:val="yellow"/>
        </w:rPr>
        <w:t>Aliansi</w:t>
      </w:r>
      <w:proofErr w:type="spellEnd"/>
      <w:r w:rsidRPr="005D518C">
        <w:rPr>
          <w:rFonts w:ascii="Arial" w:hAnsi="Arial" w:cs="Arial"/>
          <w:b/>
          <w:bCs/>
          <w:sz w:val="20"/>
          <w:szCs w:val="20"/>
          <w:highlight w:val="yellow"/>
        </w:rPr>
        <w:t xml:space="preserve"> Journal of Sharia Accounting and Finance, 6(2), 124–131. </w:t>
      </w:r>
      <w:hyperlink r:id="rId12"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/10.54712/</w:t>
        </w:r>
        <w:proofErr w:type="spellStart"/>
        <w:r w:rsidRPr="005D518C">
          <w:rPr>
            <w:rStyle w:val="Hyperlink"/>
            <w:rFonts w:ascii="Arial" w:hAnsi="Arial" w:cs="Arial"/>
            <w:b/>
            <w:bCs/>
            <w:sz w:val="20"/>
            <w:szCs w:val="20"/>
            <w:highlight w:val="yellow"/>
          </w:rPr>
          <w:t>aliansi.v6i2.284</w:t>
        </w:r>
        <w:proofErr w:type="spellEnd"/>
      </w:hyperlink>
    </w:p>
    <w:p w14:paraId="53678004"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lang w:val="fi-FI"/>
        </w:rPr>
        <w:t xml:space="preserve">Ali, M., Egbetokun, A., &amp; Memon, M. (2022). </w:t>
      </w:r>
      <w:r w:rsidRPr="005D518C">
        <w:rPr>
          <w:rFonts w:ascii="Arial" w:hAnsi="Arial" w:cs="Arial"/>
          <w:b/>
          <w:bCs/>
          <w:i/>
          <w:iCs/>
          <w:sz w:val="20"/>
          <w:szCs w:val="20"/>
          <w:highlight w:val="yellow"/>
        </w:rPr>
        <w:t>Human capital and economic growth: The role of governance</w:t>
      </w:r>
      <w:r w:rsidRPr="005D518C">
        <w:rPr>
          <w:rFonts w:ascii="Arial" w:hAnsi="Arial" w:cs="Arial"/>
          <w:b/>
          <w:bCs/>
          <w:sz w:val="20"/>
          <w:szCs w:val="20"/>
          <w:highlight w:val="yellow"/>
        </w:rPr>
        <w:t xml:space="preserve">. The Pakistan Development Review, 61(4), 529–549. </w:t>
      </w:r>
      <w:hyperlink r:id="rId13"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/10.30541/</w:t>
        </w:r>
        <w:proofErr w:type="spellStart"/>
        <w:r w:rsidRPr="005D518C">
          <w:rPr>
            <w:rStyle w:val="Hyperlink"/>
            <w:rFonts w:ascii="Arial" w:hAnsi="Arial" w:cs="Arial"/>
            <w:b/>
            <w:bCs/>
            <w:sz w:val="20"/>
            <w:szCs w:val="20"/>
            <w:highlight w:val="yellow"/>
          </w:rPr>
          <w:t>v54i4i</w:t>
        </w:r>
        <w:proofErr w:type="spellEnd"/>
        <w:r w:rsidRPr="005D518C">
          <w:rPr>
            <w:rStyle w:val="Hyperlink"/>
            <w:rFonts w:ascii="Arial" w:hAnsi="Arial" w:cs="Arial"/>
            <w:b/>
            <w:bCs/>
            <w:sz w:val="20"/>
            <w:szCs w:val="20"/>
            <w:highlight w:val="yellow"/>
          </w:rPr>
          <w:t>-</w:t>
        </w:r>
        <w:proofErr w:type="spellStart"/>
        <w:r w:rsidRPr="005D518C">
          <w:rPr>
            <w:rStyle w:val="Hyperlink"/>
            <w:rFonts w:ascii="Arial" w:hAnsi="Arial" w:cs="Arial"/>
            <w:b/>
            <w:bCs/>
            <w:sz w:val="20"/>
            <w:szCs w:val="20"/>
            <w:highlight w:val="yellow"/>
          </w:rPr>
          <w:t>iipp.529</w:t>
        </w:r>
        <w:proofErr w:type="spellEnd"/>
        <w:r w:rsidRPr="005D518C">
          <w:rPr>
            <w:rStyle w:val="Hyperlink"/>
            <w:rFonts w:ascii="Arial" w:hAnsi="Arial" w:cs="Arial"/>
            <w:b/>
            <w:bCs/>
            <w:sz w:val="20"/>
            <w:szCs w:val="20"/>
            <w:highlight w:val="yellow"/>
          </w:rPr>
          <w:t>-549</w:t>
        </w:r>
      </w:hyperlink>
    </w:p>
    <w:p w14:paraId="44A70799" w14:textId="77777777" w:rsidR="005D518C" w:rsidRPr="005D518C" w:rsidRDefault="005D518C" w:rsidP="005D518C">
      <w:pPr>
        <w:ind w:left="851" w:hanging="851"/>
        <w:jc w:val="both"/>
        <w:rPr>
          <w:rFonts w:ascii="Arial" w:hAnsi="Arial" w:cs="Arial"/>
          <w:b/>
          <w:bCs/>
          <w:sz w:val="20"/>
          <w:szCs w:val="20"/>
          <w:highlight w:val="yellow"/>
        </w:rPr>
      </w:pPr>
      <w:proofErr w:type="spellStart"/>
      <w:r w:rsidRPr="005D518C">
        <w:rPr>
          <w:rFonts w:ascii="Arial" w:hAnsi="Arial" w:cs="Arial"/>
          <w:b/>
          <w:bCs/>
          <w:sz w:val="20"/>
          <w:szCs w:val="20"/>
          <w:highlight w:val="yellow"/>
        </w:rPr>
        <w:t>Aldawiyah</w:t>
      </w:r>
      <w:proofErr w:type="spellEnd"/>
      <w:r w:rsidRPr="005D518C">
        <w:rPr>
          <w:rFonts w:ascii="Arial" w:hAnsi="Arial" w:cs="Arial"/>
          <w:b/>
          <w:bCs/>
          <w:sz w:val="20"/>
          <w:szCs w:val="20"/>
          <w:highlight w:val="yellow"/>
        </w:rPr>
        <w:t xml:space="preserve">, N., Astuti, A., Kurnia, R., Amalia, N., Amelia, D., </w:t>
      </w:r>
      <w:proofErr w:type="spellStart"/>
      <w:r w:rsidRPr="005D518C">
        <w:rPr>
          <w:rFonts w:ascii="Arial" w:hAnsi="Arial" w:cs="Arial"/>
          <w:b/>
          <w:bCs/>
          <w:sz w:val="20"/>
          <w:szCs w:val="20"/>
          <w:highlight w:val="yellow"/>
        </w:rPr>
        <w:t>Mardianto</w:t>
      </w:r>
      <w:proofErr w:type="spellEnd"/>
      <w:r w:rsidRPr="005D518C">
        <w:rPr>
          <w:rFonts w:ascii="Arial" w:hAnsi="Arial" w:cs="Arial"/>
          <w:b/>
          <w:bCs/>
          <w:sz w:val="20"/>
          <w:szCs w:val="20"/>
          <w:highlight w:val="yellow"/>
        </w:rPr>
        <w:t xml:space="preserve">, M., … &amp; Ana, E. (2024). </w:t>
      </w:r>
      <w:r w:rsidRPr="005D518C">
        <w:rPr>
          <w:rFonts w:ascii="Arial" w:hAnsi="Arial" w:cs="Arial"/>
          <w:b/>
          <w:bCs/>
          <w:i/>
          <w:iCs/>
          <w:sz w:val="20"/>
          <w:szCs w:val="20"/>
          <w:highlight w:val="yellow"/>
        </w:rPr>
        <w:t>Analysis of poverty factors in North Sumatra Province using principal component regression</w:t>
      </w:r>
      <w:r w:rsidRPr="005D518C">
        <w:rPr>
          <w:rFonts w:ascii="Arial" w:hAnsi="Arial" w:cs="Arial"/>
          <w:b/>
          <w:bCs/>
          <w:sz w:val="20"/>
          <w:szCs w:val="20"/>
          <w:highlight w:val="yellow"/>
        </w:rPr>
        <w:t xml:space="preserve">. Variance Journal of Statistics and Its Applications, 6(1), 63–74. </w:t>
      </w:r>
      <w:hyperlink r:id="rId14"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/10.30598/</w:t>
        </w:r>
        <w:proofErr w:type="spellStart"/>
        <w:r w:rsidRPr="005D518C">
          <w:rPr>
            <w:rStyle w:val="Hyperlink"/>
            <w:rFonts w:ascii="Arial" w:hAnsi="Arial" w:cs="Arial"/>
            <w:b/>
            <w:bCs/>
            <w:sz w:val="20"/>
            <w:szCs w:val="20"/>
            <w:highlight w:val="yellow"/>
          </w:rPr>
          <w:t>variancevol6iss1page63</w:t>
        </w:r>
        <w:proofErr w:type="spellEnd"/>
        <w:r w:rsidRPr="005D518C">
          <w:rPr>
            <w:rStyle w:val="Hyperlink"/>
            <w:rFonts w:ascii="Arial" w:hAnsi="Arial" w:cs="Arial"/>
            <w:b/>
            <w:bCs/>
            <w:sz w:val="20"/>
            <w:szCs w:val="20"/>
            <w:highlight w:val="yellow"/>
          </w:rPr>
          <w:t>-74</w:t>
        </w:r>
      </w:hyperlink>
    </w:p>
    <w:p w14:paraId="56DB52DF"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lang w:val="fi-FI"/>
        </w:rPr>
        <w:t xml:space="preserve">Amelia, A., Nur, I., Rizky, M., &amp; Milasari, S. (2023). </w:t>
      </w:r>
      <w:r w:rsidRPr="005D518C">
        <w:rPr>
          <w:rFonts w:ascii="Arial" w:hAnsi="Arial" w:cs="Arial"/>
          <w:b/>
          <w:bCs/>
          <w:i/>
          <w:iCs/>
          <w:sz w:val="20"/>
          <w:szCs w:val="20"/>
          <w:highlight w:val="yellow"/>
        </w:rPr>
        <w:t>Poverty level grouping in West Java Province using the K-Means clustering method</w:t>
      </w:r>
      <w:r w:rsidRPr="005D518C">
        <w:rPr>
          <w:rFonts w:ascii="Arial" w:hAnsi="Arial" w:cs="Arial"/>
          <w:b/>
          <w:bCs/>
          <w:sz w:val="20"/>
          <w:szCs w:val="20"/>
          <w:highlight w:val="yellow"/>
        </w:rPr>
        <w:t xml:space="preserve">. Journal of Data Insights, 1(2), 51–61. </w:t>
      </w:r>
      <w:hyperlink r:id="rId15"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/10.26714/</w:t>
        </w:r>
        <w:proofErr w:type="spellStart"/>
        <w:r w:rsidRPr="005D518C">
          <w:rPr>
            <w:rStyle w:val="Hyperlink"/>
            <w:rFonts w:ascii="Arial" w:hAnsi="Arial" w:cs="Arial"/>
            <w:b/>
            <w:bCs/>
            <w:sz w:val="20"/>
            <w:szCs w:val="20"/>
            <w:highlight w:val="yellow"/>
          </w:rPr>
          <w:t>jodi.v1i2.152</w:t>
        </w:r>
        <w:proofErr w:type="spellEnd"/>
      </w:hyperlink>
    </w:p>
    <w:p w14:paraId="37070A22"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rPr>
        <w:t xml:space="preserve">Amin, C., Zamzam, I., </w:t>
      </w:r>
      <w:proofErr w:type="spellStart"/>
      <w:r w:rsidRPr="005D518C">
        <w:rPr>
          <w:rFonts w:ascii="Arial" w:hAnsi="Arial" w:cs="Arial"/>
          <w:b/>
          <w:bCs/>
          <w:sz w:val="20"/>
          <w:szCs w:val="20"/>
          <w:highlight w:val="yellow"/>
        </w:rPr>
        <w:t>Reviane</w:t>
      </w:r>
      <w:proofErr w:type="spellEnd"/>
      <w:r w:rsidRPr="005D518C">
        <w:rPr>
          <w:rFonts w:ascii="Arial" w:hAnsi="Arial" w:cs="Arial"/>
          <w:b/>
          <w:bCs/>
          <w:sz w:val="20"/>
          <w:szCs w:val="20"/>
          <w:highlight w:val="yellow"/>
        </w:rPr>
        <w:t xml:space="preserve">, I., Duko, F., </w:t>
      </w:r>
      <w:proofErr w:type="spellStart"/>
      <w:r w:rsidRPr="005D518C">
        <w:rPr>
          <w:rFonts w:ascii="Arial" w:hAnsi="Arial" w:cs="Arial"/>
          <w:b/>
          <w:bCs/>
          <w:sz w:val="20"/>
          <w:szCs w:val="20"/>
          <w:highlight w:val="yellow"/>
        </w:rPr>
        <w:t>Hasnin</w:t>
      </w:r>
      <w:proofErr w:type="spellEnd"/>
      <w:r w:rsidRPr="005D518C">
        <w:rPr>
          <w:rFonts w:ascii="Arial" w:hAnsi="Arial" w:cs="Arial"/>
          <w:b/>
          <w:bCs/>
          <w:sz w:val="20"/>
          <w:szCs w:val="20"/>
          <w:highlight w:val="yellow"/>
        </w:rPr>
        <w:t xml:space="preserve">, M., Muhammad, N., … &amp; Anwar, C. (2024). </w:t>
      </w:r>
      <w:r w:rsidRPr="005D518C">
        <w:rPr>
          <w:rFonts w:ascii="Arial" w:hAnsi="Arial" w:cs="Arial"/>
          <w:b/>
          <w:bCs/>
          <w:i/>
          <w:iCs/>
          <w:sz w:val="20"/>
          <w:szCs w:val="20"/>
          <w:highlight w:val="yellow"/>
        </w:rPr>
        <w:t>Performance of social assistance on local economic development: Evidence from island regions in Eastern Indonesia</w:t>
      </w:r>
      <w:r w:rsidRPr="005D518C">
        <w:rPr>
          <w:rFonts w:ascii="Arial" w:hAnsi="Arial" w:cs="Arial"/>
          <w:b/>
          <w:bCs/>
          <w:sz w:val="20"/>
          <w:szCs w:val="20"/>
          <w:highlight w:val="yellow"/>
        </w:rPr>
        <w:t xml:space="preserve">. Journal of Economics and Development Studies, 25(1), 97–109. </w:t>
      </w:r>
      <w:hyperlink r:id="rId16"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/10.18196/</w:t>
        </w:r>
        <w:proofErr w:type="spellStart"/>
        <w:r w:rsidRPr="005D518C">
          <w:rPr>
            <w:rStyle w:val="Hyperlink"/>
            <w:rFonts w:ascii="Arial" w:hAnsi="Arial" w:cs="Arial"/>
            <w:b/>
            <w:bCs/>
            <w:sz w:val="20"/>
            <w:szCs w:val="20"/>
            <w:highlight w:val="yellow"/>
          </w:rPr>
          <w:t>jesp.v25i1.20988</w:t>
        </w:r>
        <w:proofErr w:type="spellEnd"/>
      </w:hyperlink>
    </w:p>
    <w:p w14:paraId="241C7B04" w14:textId="77777777" w:rsidR="005D518C" w:rsidRPr="005D518C" w:rsidRDefault="005D518C" w:rsidP="005D518C">
      <w:pPr>
        <w:ind w:left="851" w:hanging="851"/>
        <w:jc w:val="both"/>
        <w:rPr>
          <w:rFonts w:ascii="Arial" w:hAnsi="Arial" w:cs="Arial"/>
          <w:b/>
          <w:bCs/>
          <w:sz w:val="20"/>
          <w:szCs w:val="20"/>
          <w:highlight w:val="yellow"/>
        </w:rPr>
      </w:pPr>
      <w:proofErr w:type="spellStart"/>
      <w:r w:rsidRPr="005D518C">
        <w:rPr>
          <w:rFonts w:ascii="Arial" w:hAnsi="Arial" w:cs="Arial"/>
          <w:b/>
          <w:bCs/>
          <w:sz w:val="20"/>
          <w:szCs w:val="20"/>
          <w:highlight w:val="yellow"/>
        </w:rPr>
        <w:t>Ardiansyah</w:t>
      </w:r>
      <w:proofErr w:type="spellEnd"/>
      <w:r w:rsidRPr="005D518C">
        <w:rPr>
          <w:rFonts w:ascii="Arial" w:hAnsi="Arial" w:cs="Arial"/>
          <w:b/>
          <w:bCs/>
          <w:sz w:val="20"/>
          <w:szCs w:val="20"/>
          <w:highlight w:val="yellow"/>
        </w:rPr>
        <w:t xml:space="preserve">, A., &amp; Ilyas, A. (2023). </w:t>
      </w:r>
      <w:r w:rsidRPr="005D518C">
        <w:rPr>
          <w:rFonts w:ascii="Arial" w:hAnsi="Arial" w:cs="Arial"/>
          <w:b/>
          <w:bCs/>
          <w:i/>
          <w:iCs/>
          <w:sz w:val="20"/>
          <w:szCs w:val="20"/>
          <w:highlight w:val="yellow"/>
        </w:rPr>
        <w:t>Harmonization of Indonesia’s integrated poverty data policy aligned with the Sustainable Development Goals</w:t>
      </w:r>
      <w:r w:rsidRPr="005D518C">
        <w:rPr>
          <w:rFonts w:ascii="Arial" w:hAnsi="Arial" w:cs="Arial"/>
          <w:b/>
          <w:bCs/>
          <w:sz w:val="20"/>
          <w:szCs w:val="20"/>
          <w:highlight w:val="yellow"/>
        </w:rPr>
        <w:t xml:space="preserve">. Journal of Law and Sustainable Development, 11(11), </w:t>
      </w:r>
      <w:proofErr w:type="spellStart"/>
      <w:r w:rsidRPr="005D518C">
        <w:rPr>
          <w:rFonts w:ascii="Arial" w:hAnsi="Arial" w:cs="Arial"/>
          <w:b/>
          <w:bCs/>
          <w:sz w:val="20"/>
          <w:szCs w:val="20"/>
          <w:highlight w:val="yellow"/>
        </w:rPr>
        <w:t>e1413</w:t>
      </w:r>
      <w:proofErr w:type="spellEnd"/>
      <w:r w:rsidRPr="005D518C">
        <w:rPr>
          <w:rFonts w:ascii="Arial" w:hAnsi="Arial" w:cs="Arial"/>
          <w:b/>
          <w:bCs/>
          <w:sz w:val="20"/>
          <w:szCs w:val="20"/>
          <w:highlight w:val="yellow"/>
        </w:rPr>
        <w:t xml:space="preserve">. </w:t>
      </w:r>
      <w:hyperlink r:id="rId17"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/10.55908/</w:t>
        </w:r>
        <w:proofErr w:type="spellStart"/>
        <w:r w:rsidRPr="005D518C">
          <w:rPr>
            <w:rStyle w:val="Hyperlink"/>
            <w:rFonts w:ascii="Arial" w:hAnsi="Arial" w:cs="Arial"/>
            <w:b/>
            <w:bCs/>
            <w:sz w:val="20"/>
            <w:szCs w:val="20"/>
            <w:highlight w:val="yellow"/>
          </w:rPr>
          <w:t>sdgs.v11i11.1413</w:t>
        </w:r>
        <w:proofErr w:type="spellEnd"/>
      </w:hyperlink>
    </w:p>
    <w:p w14:paraId="73A818EC"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rPr>
        <w:t xml:space="preserve">Arifah, L., &amp; </w:t>
      </w:r>
      <w:proofErr w:type="spellStart"/>
      <w:r w:rsidRPr="005D518C">
        <w:rPr>
          <w:rFonts w:ascii="Arial" w:hAnsi="Arial" w:cs="Arial"/>
          <w:b/>
          <w:bCs/>
          <w:sz w:val="20"/>
          <w:szCs w:val="20"/>
          <w:highlight w:val="yellow"/>
        </w:rPr>
        <w:t>Sunarjo</w:t>
      </w:r>
      <w:proofErr w:type="spellEnd"/>
      <w:r w:rsidRPr="005D518C">
        <w:rPr>
          <w:rFonts w:ascii="Arial" w:hAnsi="Arial" w:cs="Arial"/>
          <w:b/>
          <w:bCs/>
          <w:sz w:val="20"/>
          <w:szCs w:val="20"/>
          <w:highlight w:val="yellow"/>
        </w:rPr>
        <w:t xml:space="preserve">, D. (2021). </w:t>
      </w:r>
      <w:r w:rsidRPr="005D518C">
        <w:rPr>
          <w:rFonts w:ascii="Arial" w:hAnsi="Arial" w:cs="Arial"/>
          <w:b/>
          <w:bCs/>
          <w:i/>
          <w:iCs/>
          <w:sz w:val="20"/>
          <w:szCs w:val="20"/>
          <w:highlight w:val="yellow"/>
        </w:rPr>
        <w:t>Analysis of inter-industry linkages in North Sumatra and their impact on the Indonesian economy in 2016 (IO and IRIO analysis)</w:t>
      </w:r>
      <w:r w:rsidRPr="005D518C">
        <w:rPr>
          <w:rFonts w:ascii="Arial" w:hAnsi="Arial" w:cs="Arial"/>
          <w:b/>
          <w:bCs/>
          <w:sz w:val="20"/>
          <w:szCs w:val="20"/>
          <w:highlight w:val="yellow"/>
        </w:rPr>
        <w:t>. Journal of Economics and Statistics Indonesia, 1(3), 213–226. https://</w:t>
      </w:r>
      <w:proofErr w:type="spellStart"/>
      <w:r w:rsidRPr="005D518C">
        <w:rPr>
          <w:rFonts w:ascii="Arial" w:hAnsi="Arial" w:cs="Arial"/>
          <w:b/>
          <w:bCs/>
          <w:sz w:val="20"/>
          <w:szCs w:val="20"/>
          <w:highlight w:val="yellow"/>
        </w:rPr>
        <w:t>doi.org</w:t>
      </w:r>
      <w:proofErr w:type="spellEnd"/>
      <w:r w:rsidRPr="005D518C">
        <w:rPr>
          <w:rFonts w:ascii="Arial" w:hAnsi="Arial" w:cs="Arial"/>
          <w:b/>
          <w:bCs/>
          <w:sz w:val="20"/>
          <w:szCs w:val="20"/>
          <w:highlight w:val="yellow"/>
        </w:rPr>
        <w:t>/10.11594/</w:t>
      </w:r>
      <w:proofErr w:type="spellStart"/>
      <w:r w:rsidRPr="005D518C">
        <w:rPr>
          <w:rFonts w:ascii="Arial" w:hAnsi="Arial" w:cs="Arial"/>
          <w:b/>
          <w:bCs/>
          <w:sz w:val="20"/>
          <w:szCs w:val="20"/>
          <w:highlight w:val="yellow"/>
        </w:rPr>
        <w:t>jesi.01.03.08</w:t>
      </w:r>
      <w:proofErr w:type="spellEnd"/>
    </w:p>
    <w:p w14:paraId="12D11916"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lang w:val="fi-FI"/>
        </w:rPr>
        <w:t xml:space="preserve">Fitriawan, M., Risada, N., Yaseva, Y., &amp; Putri, R. (2023). </w:t>
      </w:r>
      <w:r w:rsidRPr="005D518C">
        <w:rPr>
          <w:rFonts w:ascii="Arial" w:hAnsi="Arial" w:cs="Arial"/>
          <w:b/>
          <w:bCs/>
          <w:i/>
          <w:iCs/>
          <w:sz w:val="20"/>
          <w:szCs w:val="20"/>
          <w:highlight w:val="yellow"/>
        </w:rPr>
        <w:t>Analysis of agricultural land carrying capacity in North Sumatra Province in 2020</w:t>
      </w:r>
      <w:r w:rsidRPr="005D518C">
        <w:rPr>
          <w:rFonts w:ascii="Arial" w:hAnsi="Arial" w:cs="Arial"/>
          <w:b/>
          <w:bCs/>
          <w:sz w:val="20"/>
          <w:szCs w:val="20"/>
          <w:highlight w:val="yellow"/>
        </w:rPr>
        <w:t xml:space="preserve">. Bio Web of Conferences, 80, 02001. </w:t>
      </w:r>
      <w:hyperlink r:id="rId18"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/10.1051/</w:t>
        </w:r>
        <w:proofErr w:type="spellStart"/>
        <w:r w:rsidRPr="005D518C">
          <w:rPr>
            <w:rStyle w:val="Hyperlink"/>
            <w:rFonts w:ascii="Arial" w:hAnsi="Arial" w:cs="Arial"/>
            <w:b/>
            <w:bCs/>
            <w:sz w:val="20"/>
            <w:szCs w:val="20"/>
            <w:highlight w:val="yellow"/>
          </w:rPr>
          <w:t>bioconf</w:t>
        </w:r>
        <w:proofErr w:type="spellEnd"/>
        <w:r w:rsidRPr="005D518C">
          <w:rPr>
            <w:rStyle w:val="Hyperlink"/>
            <w:rFonts w:ascii="Arial" w:hAnsi="Arial" w:cs="Arial"/>
            <w:b/>
            <w:bCs/>
            <w:sz w:val="20"/>
            <w:szCs w:val="20"/>
            <w:highlight w:val="yellow"/>
          </w:rPr>
          <w:t>/20238002001</w:t>
        </w:r>
      </w:hyperlink>
    </w:p>
    <w:p w14:paraId="7ABC2480"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rPr>
        <w:lastRenderedPageBreak/>
        <w:t xml:space="preserve">Gea, K. (2023). </w:t>
      </w:r>
      <w:r w:rsidRPr="005D518C">
        <w:rPr>
          <w:rFonts w:ascii="Arial" w:hAnsi="Arial" w:cs="Arial"/>
          <w:b/>
          <w:bCs/>
          <w:i/>
          <w:iCs/>
          <w:sz w:val="20"/>
          <w:szCs w:val="20"/>
          <w:highlight w:val="yellow"/>
        </w:rPr>
        <w:t>Factors affecting poverty in North Sumatra Province</w:t>
      </w:r>
      <w:r w:rsidRPr="005D518C">
        <w:rPr>
          <w:rFonts w:ascii="Arial" w:hAnsi="Arial" w:cs="Arial"/>
          <w:b/>
          <w:bCs/>
          <w:sz w:val="20"/>
          <w:szCs w:val="20"/>
          <w:highlight w:val="yellow"/>
        </w:rPr>
        <w:t xml:space="preserve">. Journal of Economics and Strategy, 4(1), 115–123. </w:t>
      </w:r>
      <w:hyperlink r:id="rId19"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/10.36490/</w:t>
        </w:r>
        <w:proofErr w:type="spellStart"/>
        <w:r w:rsidRPr="005D518C">
          <w:rPr>
            <w:rStyle w:val="Hyperlink"/>
            <w:rFonts w:ascii="Arial" w:hAnsi="Arial" w:cs="Arial"/>
            <w:b/>
            <w:bCs/>
            <w:sz w:val="20"/>
            <w:szCs w:val="20"/>
            <w:highlight w:val="yellow"/>
          </w:rPr>
          <w:t>jes.v4i1.747</w:t>
        </w:r>
        <w:proofErr w:type="spellEnd"/>
      </w:hyperlink>
    </w:p>
    <w:p w14:paraId="1ED13598"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rPr>
        <w:t xml:space="preserve">Hidayah, N. (2024). </w:t>
      </w:r>
      <w:r w:rsidRPr="005D518C">
        <w:rPr>
          <w:rFonts w:ascii="Arial" w:hAnsi="Arial" w:cs="Arial"/>
          <w:b/>
          <w:bCs/>
          <w:i/>
          <w:iCs/>
          <w:sz w:val="20"/>
          <w:szCs w:val="20"/>
          <w:highlight w:val="yellow"/>
        </w:rPr>
        <w:t>Impact analysis of education, housing, and unemployment on poverty levels in districts/cities in East Java</w:t>
      </w:r>
      <w:r w:rsidRPr="005D518C">
        <w:rPr>
          <w:rFonts w:ascii="Arial" w:hAnsi="Arial" w:cs="Arial"/>
          <w:b/>
          <w:bCs/>
          <w:sz w:val="20"/>
          <w:szCs w:val="20"/>
          <w:highlight w:val="yellow"/>
        </w:rPr>
        <w:t xml:space="preserve">. Journal of Economic Management and Accounting Science (MEA), 8(1), 2095–2104. </w:t>
      </w:r>
      <w:hyperlink r:id="rId20"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/10.31955/</w:t>
        </w:r>
        <w:proofErr w:type="spellStart"/>
        <w:r w:rsidRPr="005D518C">
          <w:rPr>
            <w:rStyle w:val="Hyperlink"/>
            <w:rFonts w:ascii="Arial" w:hAnsi="Arial" w:cs="Arial"/>
            <w:b/>
            <w:bCs/>
            <w:sz w:val="20"/>
            <w:szCs w:val="20"/>
            <w:highlight w:val="yellow"/>
          </w:rPr>
          <w:t>mea.v8i1.3907</w:t>
        </w:r>
        <w:proofErr w:type="spellEnd"/>
      </w:hyperlink>
    </w:p>
    <w:p w14:paraId="5B01BBB1" w14:textId="77777777" w:rsidR="005D518C" w:rsidRPr="005D518C" w:rsidRDefault="005D518C" w:rsidP="005D518C">
      <w:pPr>
        <w:ind w:left="851" w:hanging="851"/>
        <w:jc w:val="both"/>
        <w:rPr>
          <w:rFonts w:ascii="Arial" w:hAnsi="Arial" w:cs="Arial"/>
          <w:b/>
          <w:bCs/>
          <w:sz w:val="20"/>
          <w:szCs w:val="20"/>
          <w:highlight w:val="yellow"/>
        </w:rPr>
      </w:pPr>
      <w:r w:rsidRPr="005D518C">
        <w:rPr>
          <w:rFonts w:ascii="Arial" w:hAnsi="Arial" w:cs="Arial"/>
          <w:b/>
          <w:bCs/>
          <w:sz w:val="20"/>
          <w:szCs w:val="20"/>
          <w:highlight w:val="yellow"/>
          <w:lang w:val="fi-FI"/>
        </w:rPr>
        <w:t xml:space="preserve">Ilahi, S., Restuhadi, F., &amp; Rifai, A. (2024). </w:t>
      </w:r>
      <w:r w:rsidRPr="005D518C">
        <w:rPr>
          <w:rFonts w:ascii="Arial" w:hAnsi="Arial" w:cs="Arial"/>
          <w:b/>
          <w:bCs/>
          <w:i/>
          <w:iCs/>
          <w:sz w:val="20"/>
          <w:szCs w:val="20"/>
          <w:highlight w:val="yellow"/>
        </w:rPr>
        <w:t>Analysis of factors affecting poverty on Sumatra Island using bootstrapping approach in SEM-PLS</w:t>
      </w:r>
      <w:r w:rsidRPr="005D518C">
        <w:rPr>
          <w:rFonts w:ascii="Arial" w:hAnsi="Arial" w:cs="Arial"/>
          <w:b/>
          <w:bCs/>
          <w:sz w:val="20"/>
          <w:szCs w:val="20"/>
          <w:highlight w:val="yellow"/>
        </w:rPr>
        <w:t xml:space="preserve">. Indonesian Journal of Agricultural Economics, 14(1), 32–49. </w:t>
      </w:r>
      <w:hyperlink r:id="rId21"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/10.31258/</w:t>
        </w:r>
        <w:proofErr w:type="spellStart"/>
        <w:r w:rsidRPr="005D518C">
          <w:rPr>
            <w:rStyle w:val="Hyperlink"/>
            <w:rFonts w:ascii="Arial" w:hAnsi="Arial" w:cs="Arial"/>
            <w:b/>
            <w:bCs/>
            <w:sz w:val="20"/>
            <w:szCs w:val="20"/>
            <w:highlight w:val="yellow"/>
          </w:rPr>
          <w:t>ijae.14.1.32</w:t>
        </w:r>
        <w:proofErr w:type="spellEnd"/>
        <w:r w:rsidRPr="005D518C">
          <w:rPr>
            <w:rStyle w:val="Hyperlink"/>
            <w:rFonts w:ascii="Arial" w:hAnsi="Arial" w:cs="Arial"/>
            <w:b/>
            <w:bCs/>
            <w:sz w:val="20"/>
            <w:szCs w:val="20"/>
            <w:highlight w:val="yellow"/>
          </w:rPr>
          <w:t>-49</w:t>
        </w:r>
      </w:hyperlink>
    </w:p>
    <w:p w14:paraId="6C8A6D55" w14:textId="77777777" w:rsidR="005D518C" w:rsidRPr="005D518C" w:rsidRDefault="005D518C" w:rsidP="005D518C">
      <w:pPr>
        <w:ind w:left="851" w:hanging="851"/>
        <w:jc w:val="both"/>
        <w:rPr>
          <w:rFonts w:ascii="Arial" w:hAnsi="Arial" w:cs="Arial"/>
          <w:b/>
          <w:bCs/>
          <w:sz w:val="20"/>
          <w:szCs w:val="20"/>
        </w:rPr>
      </w:pPr>
      <w:proofErr w:type="spellStart"/>
      <w:r w:rsidRPr="005D518C">
        <w:rPr>
          <w:rFonts w:ascii="Arial" w:hAnsi="Arial" w:cs="Arial"/>
          <w:b/>
          <w:bCs/>
          <w:sz w:val="20"/>
          <w:szCs w:val="20"/>
          <w:highlight w:val="yellow"/>
        </w:rPr>
        <w:t>Sinambela</w:t>
      </w:r>
      <w:proofErr w:type="spellEnd"/>
      <w:r w:rsidRPr="005D518C">
        <w:rPr>
          <w:rFonts w:ascii="Arial" w:hAnsi="Arial" w:cs="Arial"/>
          <w:b/>
          <w:bCs/>
          <w:sz w:val="20"/>
          <w:szCs w:val="20"/>
          <w:highlight w:val="yellow"/>
        </w:rPr>
        <w:t xml:space="preserve">, H., Suryani, I., </w:t>
      </w:r>
      <w:proofErr w:type="spellStart"/>
      <w:r w:rsidRPr="005D518C">
        <w:rPr>
          <w:rFonts w:ascii="Arial" w:hAnsi="Arial" w:cs="Arial"/>
          <w:b/>
          <w:bCs/>
          <w:sz w:val="20"/>
          <w:szCs w:val="20"/>
          <w:highlight w:val="yellow"/>
        </w:rPr>
        <w:t>Sitinjak</w:t>
      </w:r>
      <w:proofErr w:type="spellEnd"/>
      <w:r w:rsidRPr="005D518C">
        <w:rPr>
          <w:rFonts w:ascii="Arial" w:hAnsi="Arial" w:cs="Arial"/>
          <w:b/>
          <w:bCs/>
          <w:sz w:val="20"/>
          <w:szCs w:val="20"/>
          <w:highlight w:val="yellow"/>
        </w:rPr>
        <w:t xml:space="preserve">, R., </w:t>
      </w:r>
      <w:proofErr w:type="spellStart"/>
      <w:r w:rsidRPr="005D518C">
        <w:rPr>
          <w:rFonts w:ascii="Arial" w:hAnsi="Arial" w:cs="Arial"/>
          <w:b/>
          <w:bCs/>
          <w:sz w:val="20"/>
          <w:szCs w:val="20"/>
          <w:highlight w:val="yellow"/>
        </w:rPr>
        <w:t>Pasaribu</w:t>
      </w:r>
      <w:proofErr w:type="spellEnd"/>
      <w:r w:rsidRPr="005D518C">
        <w:rPr>
          <w:rFonts w:ascii="Arial" w:hAnsi="Arial" w:cs="Arial"/>
          <w:b/>
          <w:bCs/>
          <w:sz w:val="20"/>
          <w:szCs w:val="20"/>
          <w:highlight w:val="yellow"/>
        </w:rPr>
        <w:t xml:space="preserve">, M., &amp; </w:t>
      </w:r>
      <w:proofErr w:type="spellStart"/>
      <w:r w:rsidRPr="005D518C">
        <w:rPr>
          <w:rFonts w:ascii="Arial" w:hAnsi="Arial" w:cs="Arial"/>
          <w:b/>
          <w:bCs/>
          <w:sz w:val="20"/>
          <w:szCs w:val="20"/>
          <w:highlight w:val="yellow"/>
        </w:rPr>
        <w:t>Sihombing</w:t>
      </w:r>
      <w:proofErr w:type="spellEnd"/>
      <w:r w:rsidRPr="005D518C">
        <w:rPr>
          <w:rFonts w:ascii="Arial" w:hAnsi="Arial" w:cs="Arial"/>
          <w:b/>
          <w:bCs/>
          <w:sz w:val="20"/>
          <w:szCs w:val="20"/>
          <w:highlight w:val="yellow"/>
        </w:rPr>
        <w:t xml:space="preserve">, T. (2024). </w:t>
      </w:r>
      <w:r w:rsidRPr="005D518C">
        <w:rPr>
          <w:rFonts w:ascii="Arial" w:hAnsi="Arial" w:cs="Arial"/>
          <w:b/>
          <w:bCs/>
          <w:i/>
          <w:iCs/>
          <w:sz w:val="20"/>
          <w:szCs w:val="20"/>
          <w:highlight w:val="yellow"/>
        </w:rPr>
        <w:t>Effect of population, human development index, and unemployment on poverty in North Sumatra from 2003 to 2022</w:t>
      </w:r>
      <w:r w:rsidRPr="005D518C">
        <w:rPr>
          <w:rFonts w:ascii="Arial" w:hAnsi="Arial" w:cs="Arial"/>
          <w:b/>
          <w:bCs/>
          <w:sz w:val="20"/>
          <w:szCs w:val="20"/>
          <w:highlight w:val="yellow"/>
        </w:rPr>
        <w:t xml:space="preserve">. Journal of Management and Administration, 2(2). </w:t>
      </w:r>
      <w:hyperlink r:id="rId22" w:tgtFrame="_new" w:history="1">
        <w:r w:rsidRPr="005D518C">
          <w:rPr>
            <w:rStyle w:val="Hyperlink"/>
            <w:rFonts w:ascii="Arial" w:hAnsi="Arial" w:cs="Arial"/>
            <w:b/>
            <w:bCs/>
            <w:sz w:val="20"/>
            <w:szCs w:val="20"/>
            <w:highlight w:val="yellow"/>
          </w:rPr>
          <w:t>https://</w:t>
        </w:r>
        <w:proofErr w:type="spellStart"/>
        <w:r w:rsidRPr="005D518C">
          <w:rPr>
            <w:rStyle w:val="Hyperlink"/>
            <w:rFonts w:ascii="Arial" w:hAnsi="Arial" w:cs="Arial"/>
            <w:b/>
            <w:bCs/>
            <w:sz w:val="20"/>
            <w:szCs w:val="20"/>
            <w:highlight w:val="yellow"/>
          </w:rPr>
          <w:t>doi.org</w:t>
        </w:r>
        <w:proofErr w:type="spellEnd"/>
        <w:r w:rsidRPr="005D518C">
          <w:rPr>
            <w:rStyle w:val="Hyperlink"/>
            <w:rFonts w:ascii="Arial" w:hAnsi="Arial" w:cs="Arial"/>
            <w:b/>
            <w:bCs/>
            <w:sz w:val="20"/>
            <w:szCs w:val="20"/>
            <w:highlight w:val="yellow"/>
          </w:rPr>
          <w:t>/10.62281/</w:t>
        </w:r>
        <w:proofErr w:type="spellStart"/>
        <w:r w:rsidRPr="005D518C">
          <w:rPr>
            <w:rStyle w:val="Hyperlink"/>
            <w:rFonts w:ascii="Arial" w:hAnsi="Arial" w:cs="Arial"/>
            <w:b/>
            <w:bCs/>
            <w:sz w:val="20"/>
            <w:szCs w:val="20"/>
            <w:highlight w:val="yellow"/>
          </w:rPr>
          <w:t>v2i2.174</w:t>
        </w:r>
        <w:proofErr w:type="spellEnd"/>
      </w:hyperlink>
    </w:p>
    <w:p w14:paraId="029C0A5F" w14:textId="159155A2" w:rsidR="007C016A" w:rsidRPr="005D518C" w:rsidRDefault="007C016A">
      <w:pPr>
        <w:rPr>
          <w:rFonts w:ascii="Arial" w:hAnsi="Arial" w:cs="Arial"/>
          <w:b/>
          <w:bCs/>
          <w:sz w:val="20"/>
          <w:szCs w:val="20"/>
        </w:rPr>
      </w:pPr>
    </w:p>
    <w:p w14:paraId="26C08697" w14:textId="77777777" w:rsidR="007C016A" w:rsidRPr="00913E95" w:rsidRDefault="007C016A">
      <w:pPr>
        <w:rPr>
          <w:rFonts w:ascii="Arial" w:hAnsi="Arial" w:cs="Arial"/>
          <w:sz w:val="20"/>
          <w:szCs w:val="20"/>
        </w:rPr>
      </w:pPr>
    </w:p>
    <w:p w14:paraId="426C86CC" w14:textId="77777777" w:rsidR="007C016A" w:rsidRPr="00913E95" w:rsidRDefault="007C016A">
      <w:pPr>
        <w:rPr>
          <w:rFonts w:ascii="Arial" w:hAnsi="Arial" w:cs="Arial"/>
          <w:sz w:val="20"/>
          <w:szCs w:val="20"/>
        </w:rPr>
      </w:pPr>
    </w:p>
    <w:p w14:paraId="2BB4742F" w14:textId="77777777" w:rsidR="007C016A" w:rsidRPr="00913E95" w:rsidRDefault="007C016A">
      <w:pPr>
        <w:rPr>
          <w:rFonts w:ascii="Arial" w:hAnsi="Arial" w:cs="Arial"/>
          <w:sz w:val="20"/>
          <w:szCs w:val="20"/>
        </w:rPr>
      </w:pPr>
    </w:p>
    <w:p w14:paraId="79B4C046" w14:textId="77777777" w:rsidR="007C016A" w:rsidRPr="00913E95" w:rsidRDefault="007C016A">
      <w:pPr>
        <w:rPr>
          <w:rFonts w:ascii="Arial" w:hAnsi="Arial" w:cs="Arial"/>
          <w:sz w:val="20"/>
          <w:szCs w:val="20"/>
        </w:rPr>
      </w:pPr>
    </w:p>
    <w:p w14:paraId="2F7BE676" w14:textId="77777777" w:rsidR="007C016A" w:rsidRPr="00913E95" w:rsidRDefault="007C016A">
      <w:pPr>
        <w:rPr>
          <w:rFonts w:ascii="Arial" w:hAnsi="Arial" w:cs="Arial"/>
          <w:sz w:val="20"/>
          <w:szCs w:val="20"/>
        </w:rPr>
      </w:pPr>
    </w:p>
    <w:p w14:paraId="54A53C0B" w14:textId="77777777" w:rsidR="007C016A" w:rsidRPr="00913E95" w:rsidRDefault="007C016A">
      <w:pPr>
        <w:rPr>
          <w:rFonts w:ascii="Arial" w:hAnsi="Arial" w:cs="Arial"/>
          <w:sz w:val="20"/>
          <w:szCs w:val="20"/>
        </w:rPr>
      </w:pPr>
    </w:p>
    <w:p w14:paraId="4D9AFF2E" w14:textId="77777777" w:rsidR="007C016A" w:rsidRPr="00913E95" w:rsidRDefault="007C016A">
      <w:pPr>
        <w:rPr>
          <w:rFonts w:ascii="Arial" w:hAnsi="Arial" w:cs="Arial"/>
          <w:sz w:val="20"/>
          <w:szCs w:val="20"/>
        </w:rPr>
      </w:pPr>
    </w:p>
    <w:p w14:paraId="7F34BBD8" w14:textId="77777777" w:rsidR="007C016A" w:rsidRPr="00913E95" w:rsidRDefault="007C016A">
      <w:pPr>
        <w:rPr>
          <w:rFonts w:ascii="Arial" w:hAnsi="Arial" w:cs="Arial"/>
          <w:sz w:val="20"/>
          <w:szCs w:val="20"/>
        </w:rPr>
      </w:pPr>
    </w:p>
    <w:p w14:paraId="0BFCDAC9" w14:textId="77777777" w:rsidR="007C016A" w:rsidRPr="00913E95" w:rsidRDefault="007C016A">
      <w:pPr>
        <w:rPr>
          <w:rFonts w:ascii="Arial" w:hAnsi="Arial" w:cs="Arial"/>
          <w:sz w:val="20"/>
          <w:szCs w:val="20"/>
        </w:rPr>
      </w:pPr>
    </w:p>
    <w:p w14:paraId="13A6530B" w14:textId="77777777" w:rsidR="007C016A" w:rsidRPr="00913E95" w:rsidRDefault="007C016A">
      <w:pPr>
        <w:rPr>
          <w:rFonts w:ascii="Arial" w:hAnsi="Arial" w:cs="Arial"/>
          <w:sz w:val="20"/>
          <w:szCs w:val="20"/>
        </w:rPr>
      </w:pPr>
    </w:p>
    <w:p w14:paraId="34FF43ED" w14:textId="77777777" w:rsidR="007C016A" w:rsidRPr="00913E95" w:rsidRDefault="007C016A">
      <w:pPr>
        <w:rPr>
          <w:rFonts w:ascii="Arial" w:hAnsi="Arial" w:cs="Arial"/>
          <w:sz w:val="20"/>
          <w:szCs w:val="20"/>
        </w:rPr>
      </w:pPr>
    </w:p>
    <w:p w14:paraId="34B5CC6A" w14:textId="77777777" w:rsidR="007C016A" w:rsidRPr="00913E95" w:rsidRDefault="007C016A">
      <w:pPr>
        <w:rPr>
          <w:rFonts w:ascii="Arial" w:hAnsi="Arial" w:cs="Arial"/>
          <w:sz w:val="20"/>
          <w:szCs w:val="20"/>
        </w:rPr>
      </w:pPr>
    </w:p>
    <w:p w14:paraId="07F0D2D1" w14:textId="77777777" w:rsidR="007C016A" w:rsidRPr="00913E95" w:rsidRDefault="007C016A">
      <w:pPr>
        <w:rPr>
          <w:rFonts w:ascii="Arial" w:hAnsi="Arial" w:cs="Arial"/>
          <w:sz w:val="20"/>
          <w:szCs w:val="20"/>
        </w:rPr>
      </w:pPr>
    </w:p>
    <w:p w14:paraId="3824F205" w14:textId="77777777" w:rsidR="007C016A" w:rsidRPr="00913E95" w:rsidRDefault="007C016A">
      <w:pPr>
        <w:rPr>
          <w:rFonts w:ascii="Arial" w:hAnsi="Arial" w:cs="Arial"/>
          <w:sz w:val="20"/>
          <w:szCs w:val="20"/>
        </w:rPr>
      </w:pPr>
    </w:p>
    <w:p w14:paraId="5F0543DB" w14:textId="77777777" w:rsidR="007C016A" w:rsidRPr="00913E95" w:rsidRDefault="007C016A">
      <w:pPr>
        <w:rPr>
          <w:rFonts w:ascii="Arial" w:hAnsi="Arial" w:cs="Arial"/>
          <w:sz w:val="20"/>
          <w:szCs w:val="20"/>
        </w:rPr>
      </w:pPr>
    </w:p>
    <w:p w14:paraId="3D9F49DD" w14:textId="77777777" w:rsidR="007C016A" w:rsidRPr="00913E95" w:rsidRDefault="007C016A">
      <w:pPr>
        <w:rPr>
          <w:rFonts w:ascii="Arial" w:hAnsi="Arial" w:cs="Arial"/>
          <w:sz w:val="20"/>
          <w:szCs w:val="20"/>
        </w:rPr>
      </w:pPr>
    </w:p>
    <w:p w14:paraId="3F5648A0" w14:textId="77777777" w:rsidR="007C016A" w:rsidRPr="00913E95" w:rsidRDefault="007C016A">
      <w:pPr>
        <w:rPr>
          <w:rFonts w:ascii="Arial" w:hAnsi="Arial" w:cs="Arial"/>
          <w:sz w:val="20"/>
          <w:szCs w:val="20"/>
        </w:rPr>
      </w:pPr>
    </w:p>
    <w:p w14:paraId="14580994" w14:textId="77777777" w:rsidR="007C016A" w:rsidRPr="00913E95" w:rsidRDefault="007C016A">
      <w:pPr>
        <w:rPr>
          <w:rFonts w:ascii="Arial" w:hAnsi="Arial" w:cs="Arial"/>
          <w:sz w:val="20"/>
          <w:szCs w:val="20"/>
        </w:rPr>
      </w:pPr>
    </w:p>
    <w:p w14:paraId="5495570E" w14:textId="77777777" w:rsidR="007C016A" w:rsidRPr="00913E95" w:rsidRDefault="007C016A">
      <w:pPr>
        <w:rPr>
          <w:rFonts w:ascii="Arial" w:hAnsi="Arial" w:cs="Arial"/>
          <w:sz w:val="20"/>
          <w:szCs w:val="20"/>
        </w:rPr>
      </w:pPr>
    </w:p>
    <w:p w14:paraId="3B8AC8D2" w14:textId="77777777" w:rsidR="007C016A" w:rsidRPr="00913E95" w:rsidRDefault="007C016A">
      <w:pPr>
        <w:rPr>
          <w:rFonts w:ascii="Arial" w:hAnsi="Arial" w:cs="Arial"/>
          <w:sz w:val="20"/>
          <w:szCs w:val="20"/>
        </w:rPr>
      </w:pPr>
    </w:p>
    <w:p w14:paraId="7C3BA0F0" w14:textId="77777777" w:rsidR="007C016A" w:rsidRPr="00913E95" w:rsidRDefault="007C016A">
      <w:pPr>
        <w:rPr>
          <w:rFonts w:ascii="Arial" w:hAnsi="Arial" w:cs="Arial"/>
          <w:sz w:val="20"/>
          <w:szCs w:val="20"/>
        </w:rPr>
      </w:pPr>
    </w:p>
    <w:p w14:paraId="3223D632" w14:textId="77777777" w:rsidR="007C016A" w:rsidRPr="00913E95" w:rsidRDefault="007C016A">
      <w:pPr>
        <w:rPr>
          <w:rFonts w:ascii="Arial" w:hAnsi="Arial" w:cs="Arial"/>
          <w:sz w:val="20"/>
          <w:szCs w:val="20"/>
        </w:rPr>
      </w:pPr>
    </w:p>
    <w:p w14:paraId="70ADF80C" w14:textId="77777777" w:rsidR="007C016A" w:rsidRPr="00913E95" w:rsidRDefault="007C016A">
      <w:pPr>
        <w:rPr>
          <w:rFonts w:ascii="Arial" w:hAnsi="Arial" w:cs="Arial"/>
          <w:sz w:val="20"/>
          <w:szCs w:val="20"/>
        </w:rPr>
      </w:pPr>
    </w:p>
    <w:p w14:paraId="0E1C0C72" w14:textId="77777777" w:rsidR="007C016A" w:rsidRPr="00913E95" w:rsidRDefault="007C016A">
      <w:pPr>
        <w:rPr>
          <w:rFonts w:ascii="Arial" w:hAnsi="Arial" w:cs="Arial"/>
          <w:sz w:val="20"/>
          <w:szCs w:val="20"/>
        </w:rPr>
      </w:pPr>
    </w:p>
    <w:p w14:paraId="1E5E2752" w14:textId="77777777" w:rsidR="007C016A" w:rsidRPr="00913E95" w:rsidRDefault="007C016A">
      <w:pPr>
        <w:rPr>
          <w:rFonts w:ascii="Arial" w:hAnsi="Arial" w:cs="Arial"/>
          <w:sz w:val="20"/>
          <w:szCs w:val="20"/>
        </w:rPr>
      </w:pPr>
    </w:p>
    <w:p w14:paraId="1E845274" w14:textId="77777777" w:rsidR="007C016A" w:rsidRPr="00913E95" w:rsidRDefault="007C016A">
      <w:pPr>
        <w:rPr>
          <w:rFonts w:ascii="Arial" w:hAnsi="Arial" w:cs="Arial"/>
          <w:sz w:val="20"/>
          <w:szCs w:val="20"/>
        </w:rPr>
      </w:pPr>
    </w:p>
    <w:p w14:paraId="41481A71" w14:textId="77777777" w:rsidR="007C016A" w:rsidRPr="00913E95" w:rsidRDefault="007C016A">
      <w:pPr>
        <w:rPr>
          <w:rFonts w:ascii="Arial" w:hAnsi="Arial" w:cs="Arial"/>
          <w:sz w:val="20"/>
          <w:szCs w:val="20"/>
        </w:rPr>
      </w:pPr>
    </w:p>
    <w:p w14:paraId="417C85A6" w14:textId="77777777" w:rsidR="007C016A" w:rsidRPr="00913E95" w:rsidRDefault="007C016A">
      <w:pPr>
        <w:rPr>
          <w:rFonts w:ascii="Arial" w:hAnsi="Arial" w:cs="Arial"/>
          <w:sz w:val="20"/>
          <w:szCs w:val="20"/>
        </w:rPr>
      </w:pPr>
    </w:p>
    <w:p w14:paraId="26976DC3" w14:textId="77777777" w:rsidR="007C016A" w:rsidRPr="00913E95" w:rsidRDefault="007C016A">
      <w:pPr>
        <w:rPr>
          <w:rFonts w:ascii="Arial" w:hAnsi="Arial" w:cs="Arial"/>
          <w:sz w:val="20"/>
          <w:szCs w:val="20"/>
        </w:rPr>
      </w:pPr>
    </w:p>
    <w:p w14:paraId="1E1821D5" w14:textId="77777777" w:rsidR="007C016A" w:rsidRPr="00913E95" w:rsidRDefault="007C016A">
      <w:pPr>
        <w:rPr>
          <w:rFonts w:ascii="Arial" w:hAnsi="Arial" w:cs="Arial"/>
          <w:sz w:val="20"/>
          <w:szCs w:val="20"/>
        </w:rPr>
      </w:pPr>
    </w:p>
    <w:p w14:paraId="2CB274E0" w14:textId="77777777" w:rsidR="007C016A" w:rsidRPr="00913E95" w:rsidRDefault="007C016A">
      <w:pPr>
        <w:rPr>
          <w:rFonts w:ascii="Arial" w:hAnsi="Arial" w:cs="Arial"/>
          <w:sz w:val="20"/>
          <w:szCs w:val="20"/>
        </w:rPr>
      </w:pPr>
    </w:p>
    <w:p w14:paraId="404D7CE8" w14:textId="77777777" w:rsidR="007C016A" w:rsidRPr="00913E95" w:rsidRDefault="007C016A">
      <w:pPr>
        <w:rPr>
          <w:rFonts w:ascii="Arial" w:hAnsi="Arial" w:cs="Arial"/>
          <w:sz w:val="20"/>
          <w:szCs w:val="20"/>
        </w:rPr>
      </w:pPr>
    </w:p>
    <w:p w14:paraId="41066683" w14:textId="77777777" w:rsidR="007C016A" w:rsidRPr="00913E95" w:rsidRDefault="007C016A">
      <w:pPr>
        <w:rPr>
          <w:rFonts w:ascii="Arial" w:hAnsi="Arial" w:cs="Arial"/>
          <w:sz w:val="20"/>
          <w:szCs w:val="20"/>
        </w:rPr>
      </w:pPr>
    </w:p>
    <w:sectPr w:rsidR="007C016A" w:rsidRPr="00913E95" w:rsidSect="007C016A">
      <w:headerReference w:type="even" r:id="rId23"/>
      <w:headerReference w:type="default" r:id="rId24"/>
      <w:footerReference w:type="even" r:id="rId25"/>
      <w:footerReference w:type="default" r:id="rId26"/>
      <w:headerReference w:type="first" r:id="rId27"/>
      <w:footerReference w:type="first" r:id="rId2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2E37" w14:textId="77777777" w:rsidR="00535237" w:rsidRDefault="00535237" w:rsidP="00F62CB6">
      <w:pPr>
        <w:spacing w:after="0" w:line="240" w:lineRule="auto"/>
      </w:pPr>
      <w:r>
        <w:separator/>
      </w:r>
    </w:p>
  </w:endnote>
  <w:endnote w:type="continuationSeparator" w:id="0">
    <w:p w14:paraId="64541D24" w14:textId="77777777" w:rsidR="00535237" w:rsidRDefault="00535237" w:rsidP="00F6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A45F" w14:textId="77777777" w:rsidR="00F62CB6" w:rsidRDefault="00F62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3063" w14:textId="77777777" w:rsidR="00F62CB6" w:rsidRDefault="00F62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4B3D6" w14:textId="77777777" w:rsidR="00F62CB6" w:rsidRDefault="00F6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09BD" w14:textId="77777777" w:rsidR="00535237" w:rsidRDefault="00535237" w:rsidP="00F62CB6">
      <w:pPr>
        <w:spacing w:after="0" w:line="240" w:lineRule="auto"/>
      </w:pPr>
      <w:r>
        <w:separator/>
      </w:r>
    </w:p>
  </w:footnote>
  <w:footnote w:type="continuationSeparator" w:id="0">
    <w:p w14:paraId="3520FA7E" w14:textId="77777777" w:rsidR="00535237" w:rsidRDefault="00535237" w:rsidP="00F62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CFC3" w14:textId="1539BA7B" w:rsidR="00F62CB6" w:rsidRDefault="00000000">
    <w:pPr>
      <w:pStyle w:val="Header"/>
    </w:pPr>
    <w:r>
      <w:rPr>
        <w:noProof/>
      </w:rPr>
      <w:pict w14:anchorId="48A5A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44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4DFF" w14:textId="7401239D" w:rsidR="00F62CB6" w:rsidRDefault="00000000">
    <w:pPr>
      <w:pStyle w:val="Header"/>
    </w:pPr>
    <w:r>
      <w:rPr>
        <w:noProof/>
      </w:rPr>
      <w:pict w14:anchorId="1EDBD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44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AADC" w14:textId="167ED386" w:rsidR="00F62CB6" w:rsidRDefault="00000000">
    <w:pPr>
      <w:pStyle w:val="Header"/>
    </w:pPr>
    <w:r>
      <w:rPr>
        <w:noProof/>
      </w:rPr>
      <w:pict w14:anchorId="16FD8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44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757"/>
    <w:multiLevelType w:val="multilevel"/>
    <w:tmpl w:val="28FC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19E9"/>
    <w:multiLevelType w:val="multilevel"/>
    <w:tmpl w:val="8FEA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26FE3"/>
    <w:multiLevelType w:val="multilevel"/>
    <w:tmpl w:val="6B9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15E45"/>
    <w:multiLevelType w:val="multilevel"/>
    <w:tmpl w:val="9C8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C30F7"/>
    <w:multiLevelType w:val="multilevel"/>
    <w:tmpl w:val="6DC8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C3F27"/>
    <w:multiLevelType w:val="multilevel"/>
    <w:tmpl w:val="DA1A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50317"/>
    <w:multiLevelType w:val="multilevel"/>
    <w:tmpl w:val="597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94B4B"/>
    <w:multiLevelType w:val="multilevel"/>
    <w:tmpl w:val="7C90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A4867"/>
    <w:multiLevelType w:val="multilevel"/>
    <w:tmpl w:val="A2A4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F697B"/>
    <w:multiLevelType w:val="multilevel"/>
    <w:tmpl w:val="CEF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A4785"/>
    <w:multiLevelType w:val="multilevel"/>
    <w:tmpl w:val="0C40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06334"/>
    <w:multiLevelType w:val="multilevel"/>
    <w:tmpl w:val="38EC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16426"/>
    <w:multiLevelType w:val="multilevel"/>
    <w:tmpl w:val="A56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50C82"/>
    <w:multiLevelType w:val="multilevel"/>
    <w:tmpl w:val="0CF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53246"/>
    <w:multiLevelType w:val="multilevel"/>
    <w:tmpl w:val="EE1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42A38"/>
    <w:multiLevelType w:val="multilevel"/>
    <w:tmpl w:val="E3D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26D96"/>
    <w:multiLevelType w:val="multilevel"/>
    <w:tmpl w:val="D32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C4EF8"/>
    <w:multiLevelType w:val="hybridMultilevel"/>
    <w:tmpl w:val="A6F0D144"/>
    <w:lvl w:ilvl="0" w:tplc="20941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D6DAE"/>
    <w:multiLevelType w:val="multilevel"/>
    <w:tmpl w:val="D1C8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86327"/>
    <w:multiLevelType w:val="multilevel"/>
    <w:tmpl w:val="136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F0706"/>
    <w:multiLevelType w:val="multilevel"/>
    <w:tmpl w:val="47C4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42286"/>
    <w:multiLevelType w:val="multilevel"/>
    <w:tmpl w:val="39B4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8A1EF9"/>
    <w:multiLevelType w:val="multilevel"/>
    <w:tmpl w:val="E9C0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3268A"/>
    <w:multiLevelType w:val="multilevel"/>
    <w:tmpl w:val="F9ACC0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81716"/>
    <w:multiLevelType w:val="multilevel"/>
    <w:tmpl w:val="CD9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154C30"/>
    <w:multiLevelType w:val="multilevel"/>
    <w:tmpl w:val="434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171614">
    <w:abstractNumId w:val="17"/>
  </w:num>
  <w:num w:numId="2" w16cid:durableId="15884252">
    <w:abstractNumId w:val="20"/>
  </w:num>
  <w:num w:numId="3" w16cid:durableId="578490593">
    <w:abstractNumId w:val="22"/>
  </w:num>
  <w:num w:numId="4" w16cid:durableId="2013486184">
    <w:abstractNumId w:val="12"/>
  </w:num>
  <w:num w:numId="5" w16cid:durableId="882057755">
    <w:abstractNumId w:val="4"/>
  </w:num>
  <w:num w:numId="6" w16cid:durableId="2009400331">
    <w:abstractNumId w:val="1"/>
  </w:num>
  <w:num w:numId="7" w16cid:durableId="400911091">
    <w:abstractNumId w:val="19"/>
  </w:num>
  <w:num w:numId="8" w16cid:durableId="1062757967">
    <w:abstractNumId w:val="24"/>
  </w:num>
  <w:num w:numId="9" w16cid:durableId="797720104">
    <w:abstractNumId w:val="5"/>
  </w:num>
  <w:num w:numId="10" w16cid:durableId="673068397">
    <w:abstractNumId w:val="9"/>
  </w:num>
  <w:num w:numId="11" w16cid:durableId="1172066832">
    <w:abstractNumId w:val="21"/>
  </w:num>
  <w:num w:numId="12" w16cid:durableId="898904726">
    <w:abstractNumId w:val="6"/>
  </w:num>
  <w:num w:numId="13" w16cid:durableId="1552838868">
    <w:abstractNumId w:val="14"/>
  </w:num>
  <w:num w:numId="14" w16cid:durableId="1366905835">
    <w:abstractNumId w:val="15"/>
  </w:num>
  <w:num w:numId="15" w16cid:durableId="1617130120">
    <w:abstractNumId w:val="7"/>
  </w:num>
  <w:num w:numId="16" w16cid:durableId="1570649615">
    <w:abstractNumId w:val="10"/>
  </w:num>
  <w:num w:numId="17" w16cid:durableId="884802337">
    <w:abstractNumId w:val="25"/>
  </w:num>
  <w:num w:numId="18" w16cid:durableId="391079709">
    <w:abstractNumId w:val="11"/>
  </w:num>
  <w:num w:numId="19" w16cid:durableId="1965958552">
    <w:abstractNumId w:val="3"/>
  </w:num>
  <w:num w:numId="20" w16cid:durableId="1812553213">
    <w:abstractNumId w:val="2"/>
  </w:num>
  <w:num w:numId="21" w16cid:durableId="84739361">
    <w:abstractNumId w:val="0"/>
  </w:num>
  <w:num w:numId="22" w16cid:durableId="1594706900">
    <w:abstractNumId w:val="8"/>
  </w:num>
  <w:num w:numId="23" w16cid:durableId="719204247">
    <w:abstractNumId w:val="23"/>
  </w:num>
  <w:num w:numId="24" w16cid:durableId="778720667">
    <w:abstractNumId w:val="13"/>
  </w:num>
  <w:num w:numId="25" w16cid:durableId="1531919183">
    <w:abstractNumId w:val="16"/>
  </w:num>
  <w:num w:numId="26" w16cid:durableId="901283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6A"/>
    <w:rsid w:val="001360FC"/>
    <w:rsid w:val="0017376D"/>
    <w:rsid w:val="001D717F"/>
    <w:rsid w:val="00260D97"/>
    <w:rsid w:val="00364B6F"/>
    <w:rsid w:val="005249B2"/>
    <w:rsid w:val="00535237"/>
    <w:rsid w:val="00585166"/>
    <w:rsid w:val="005D518C"/>
    <w:rsid w:val="00733D74"/>
    <w:rsid w:val="007C016A"/>
    <w:rsid w:val="008D1253"/>
    <w:rsid w:val="008F0827"/>
    <w:rsid w:val="00913E95"/>
    <w:rsid w:val="00915D20"/>
    <w:rsid w:val="009422A5"/>
    <w:rsid w:val="00A9750C"/>
    <w:rsid w:val="00B6756A"/>
    <w:rsid w:val="00B86E2A"/>
    <w:rsid w:val="00B92EE9"/>
    <w:rsid w:val="00C0035D"/>
    <w:rsid w:val="00C84DCC"/>
    <w:rsid w:val="00CE788B"/>
    <w:rsid w:val="00DD1A6F"/>
    <w:rsid w:val="00F16294"/>
    <w:rsid w:val="00F27B0B"/>
    <w:rsid w:val="00F62CB6"/>
    <w:rsid w:val="00F735D2"/>
    <w:rsid w:val="00FA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B7695"/>
  <w15:chartTrackingRefBased/>
  <w15:docId w15:val="{A29B2A47-C466-4DB0-85ED-6C508C91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1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1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1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1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1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1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1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1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16A"/>
    <w:rPr>
      <w:rFonts w:eastAsiaTheme="majorEastAsia" w:cstheme="majorBidi"/>
      <w:color w:val="272727" w:themeColor="text1" w:themeTint="D8"/>
    </w:rPr>
  </w:style>
  <w:style w:type="paragraph" w:styleId="Title">
    <w:name w:val="Title"/>
    <w:basedOn w:val="Normal"/>
    <w:next w:val="Normal"/>
    <w:link w:val="TitleChar"/>
    <w:uiPriority w:val="10"/>
    <w:qFormat/>
    <w:rsid w:val="007C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16A"/>
    <w:pPr>
      <w:spacing w:before="160"/>
      <w:jc w:val="center"/>
    </w:pPr>
    <w:rPr>
      <w:i/>
      <w:iCs/>
      <w:color w:val="404040" w:themeColor="text1" w:themeTint="BF"/>
    </w:rPr>
  </w:style>
  <w:style w:type="character" w:customStyle="1" w:styleId="QuoteChar">
    <w:name w:val="Quote Char"/>
    <w:basedOn w:val="DefaultParagraphFont"/>
    <w:link w:val="Quote"/>
    <w:uiPriority w:val="29"/>
    <w:rsid w:val="007C016A"/>
    <w:rPr>
      <w:i/>
      <w:iCs/>
      <w:color w:val="404040" w:themeColor="text1" w:themeTint="BF"/>
    </w:rPr>
  </w:style>
  <w:style w:type="paragraph" w:styleId="ListParagraph">
    <w:name w:val="List Paragraph"/>
    <w:basedOn w:val="Normal"/>
    <w:uiPriority w:val="34"/>
    <w:qFormat/>
    <w:rsid w:val="007C016A"/>
    <w:pPr>
      <w:ind w:left="720"/>
      <w:contextualSpacing/>
    </w:pPr>
  </w:style>
  <w:style w:type="character" w:styleId="IntenseEmphasis">
    <w:name w:val="Intense Emphasis"/>
    <w:basedOn w:val="DefaultParagraphFont"/>
    <w:uiPriority w:val="21"/>
    <w:qFormat/>
    <w:rsid w:val="007C016A"/>
    <w:rPr>
      <w:i/>
      <w:iCs/>
      <w:color w:val="0F4761" w:themeColor="accent1" w:themeShade="BF"/>
    </w:rPr>
  </w:style>
  <w:style w:type="paragraph" w:styleId="IntenseQuote">
    <w:name w:val="Intense Quote"/>
    <w:basedOn w:val="Normal"/>
    <w:next w:val="Normal"/>
    <w:link w:val="IntenseQuoteChar"/>
    <w:uiPriority w:val="30"/>
    <w:qFormat/>
    <w:rsid w:val="007C0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16A"/>
    <w:rPr>
      <w:i/>
      <w:iCs/>
      <w:color w:val="0F4761" w:themeColor="accent1" w:themeShade="BF"/>
    </w:rPr>
  </w:style>
  <w:style w:type="character" w:styleId="IntenseReference">
    <w:name w:val="Intense Reference"/>
    <w:basedOn w:val="DefaultParagraphFont"/>
    <w:uiPriority w:val="32"/>
    <w:qFormat/>
    <w:rsid w:val="007C016A"/>
    <w:rPr>
      <w:b/>
      <w:bCs/>
      <w:smallCaps/>
      <w:color w:val="0F4761" w:themeColor="accent1" w:themeShade="BF"/>
      <w:spacing w:val="5"/>
    </w:rPr>
  </w:style>
  <w:style w:type="paragraph" w:styleId="NormalWeb">
    <w:name w:val="Normal (Web)"/>
    <w:basedOn w:val="Normal"/>
    <w:uiPriority w:val="99"/>
    <w:semiHidden/>
    <w:unhideWhenUsed/>
    <w:rsid w:val="00B6756A"/>
    <w:rPr>
      <w:rFonts w:ascii="Times New Roman" w:hAnsi="Times New Roman" w:cs="Times New Roman"/>
    </w:rPr>
  </w:style>
  <w:style w:type="character" w:styleId="PlaceholderText">
    <w:name w:val="Placeholder Text"/>
    <w:basedOn w:val="DefaultParagraphFont"/>
    <w:uiPriority w:val="99"/>
    <w:semiHidden/>
    <w:rsid w:val="00FA3594"/>
    <w:rPr>
      <w:color w:val="666666"/>
    </w:rPr>
  </w:style>
  <w:style w:type="table" w:styleId="TableGrid">
    <w:name w:val="Table Grid"/>
    <w:basedOn w:val="TableNormal"/>
    <w:uiPriority w:val="39"/>
    <w:rsid w:val="0026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376D"/>
    <w:rPr>
      <w:color w:val="467886" w:themeColor="hyperlink"/>
      <w:u w:val="single"/>
    </w:rPr>
  </w:style>
  <w:style w:type="character" w:customStyle="1" w:styleId="UnresolvedMention1">
    <w:name w:val="Unresolved Mention1"/>
    <w:basedOn w:val="DefaultParagraphFont"/>
    <w:uiPriority w:val="99"/>
    <w:semiHidden/>
    <w:unhideWhenUsed/>
    <w:rsid w:val="0017376D"/>
    <w:rPr>
      <w:color w:val="605E5C"/>
      <w:shd w:val="clear" w:color="auto" w:fill="E1DFDD"/>
    </w:rPr>
  </w:style>
  <w:style w:type="paragraph" w:styleId="Header">
    <w:name w:val="header"/>
    <w:basedOn w:val="Normal"/>
    <w:link w:val="HeaderChar"/>
    <w:uiPriority w:val="99"/>
    <w:unhideWhenUsed/>
    <w:rsid w:val="00F6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CB6"/>
  </w:style>
  <w:style w:type="paragraph" w:styleId="Footer">
    <w:name w:val="footer"/>
    <w:basedOn w:val="Normal"/>
    <w:link w:val="FooterChar"/>
    <w:uiPriority w:val="99"/>
    <w:unhideWhenUsed/>
    <w:rsid w:val="00F6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B6"/>
  </w:style>
  <w:style w:type="character" w:styleId="FollowedHyperlink">
    <w:name w:val="FollowedHyperlink"/>
    <w:basedOn w:val="DefaultParagraphFont"/>
    <w:uiPriority w:val="99"/>
    <w:semiHidden/>
    <w:unhideWhenUsed/>
    <w:rsid w:val="008F0827"/>
    <w:rPr>
      <w:color w:val="96607D" w:themeColor="followedHyperlink"/>
      <w:u w:val="single"/>
    </w:rPr>
  </w:style>
  <w:style w:type="character" w:styleId="UnresolvedMention">
    <w:name w:val="Unresolved Mention"/>
    <w:basedOn w:val="DefaultParagraphFont"/>
    <w:uiPriority w:val="99"/>
    <w:semiHidden/>
    <w:unhideWhenUsed/>
    <w:rsid w:val="005D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1717">
      <w:bodyDiv w:val="1"/>
      <w:marLeft w:val="0"/>
      <w:marRight w:val="0"/>
      <w:marTop w:val="0"/>
      <w:marBottom w:val="0"/>
      <w:divBdr>
        <w:top w:val="none" w:sz="0" w:space="0" w:color="auto"/>
        <w:left w:val="none" w:sz="0" w:space="0" w:color="auto"/>
        <w:bottom w:val="none" w:sz="0" w:space="0" w:color="auto"/>
        <w:right w:val="none" w:sz="0" w:space="0" w:color="auto"/>
      </w:divBdr>
    </w:div>
    <w:div w:id="74522220">
      <w:bodyDiv w:val="1"/>
      <w:marLeft w:val="0"/>
      <w:marRight w:val="0"/>
      <w:marTop w:val="0"/>
      <w:marBottom w:val="0"/>
      <w:divBdr>
        <w:top w:val="none" w:sz="0" w:space="0" w:color="auto"/>
        <w:left w:val="none" w:sz="0" w:space="0" w:color="auto"/>
        <w:bottom w:val="none" w:sz="0" w:space="0" w:color="auto"/>
        <w:right w:val="none" w:sz="0" w:space="0" w:color="auto"/>
      </w:divBdr>
      <w:divsChild>
        <w:div w:id="379787466">
          <w:marLeft w:val="0"/>
          <w:marRight w:val="0"/>
          <w:marTop w:val="0"/>
          <w:marBottom w:val="0"/>
          <w:divBdr>
            <w:top w:val="none" w:sz="0" w:space="0" w:color="auto"/>
            <w:left w:val="none" w:sz="0" w:space="0" w:color="auto"/>
            <w:bottom w:val="none" w:sz="0" w:space="0" w:color="auto"/>
            <w:right w:val="none" w:sz="0" w:space="0" w:color="auto"/>
          </w:divBdr>
          <w:divsChild>
            <w:div w:id="230165592">
              <w:marLeft w:val="0"/>
              <w:marRight w:val="0"/>
              <w:marTop w:val="0"/>
              <w:marBottom w:val="0"/>
              <w:divBdr>
                <w:top w:val="none" w:sz="0" w:space="0" w:color="auto"/>
                <w:left w:val="none" w:sz="0" w:space="0" w:color="auto"/>
                <w:bottom w:val="none" w:sz="0" w:space="0" w:color="auto"/>
                <w:right w:val="none" w:sz="0" w:space="0" w:color="auto"/>
              </w:divBdr>
              <w:divsChild>
                <w:div w:id="732196669">
                  <w:marLeft w:val="0"/>
                  <w:marRight w:val="0"/>
                  <w:marTop w:val="0"/>
                  <w:marBottom w:val="0"/>
                  <w:divBdr>
                    <w:top w:val="none" w:sz="0" w:space="0" w:color="auto"/>
                    <w:left w:val="none" w:sz="0" w:space="0" w:color="auto"/>
                    <w:bottom w:val="none" w:sz="0" w:space="0" w:color="auto"/>
                    <w:right w:val="none" w:sz="0" w:space="0" w:color="auto"/>
                  </w:divBdr>
                  <w:divsChild>
                    <w:div w:id="151530243">
                      <w:marLeft w:val="0"/>
                      <w:marRight w:val="0"/>
                      <w:marTop w:val="0"/>
                      <w:marBottom w:val="0"/>
                      <w:divBdr>
                        <w:top w:val="none" w:sz="0" w:space="0" w:color="auto"/>
                        <w:left w:val="none" w:sz="0" w:space="0" w:color="auto"/>
                        <w:bottom w:val="none" w:sz="0" w:space="0" w:color="auto"/>
                        <w:right w:val="none" w:sz="0" w:space="0" w:color="auto"/>
                      </w:divBdr>
                      <w:divsChild>
                        <w:div w:id="1538394002">
                          <w:marLeft w:val="0"/>
                          <w:marRight w:val="0"/>
                          <w:marTop w:val="0"/>
                          <w:marBottom w:val="0"/>
                          <w:divBdr>
                            <w:top w:val="none" w:sz="0" w:space="0" w:color="auto"/>
                            <w:left w:val="none" w:sz="0" w:space="0" w:color="auto"/>
                            <w:bottom w:val="none" w:sz="0" w:space="0" w:color="auto"/>
                            <w:right w:val="none" w:sz="0" w:space="0" w:color="auto"/>
                          </w:divBdr>
                          <w:divsChild>
                            <w:div w:id="832062101">
                              <w:marLeft w:val="0"/>
                              <w:marRight w:val="0"/>
                              <w:marTop w:val="0"/>
                              <w:marBottom w:val="0"/>
                              <w:divBdr>
                                <w:top w:val="none" w:sz="0" w:space="0" w:color="auto"/>
                                <w:left w:val="none" w:sz="0" w:space="0" w:color="auto"/>
                                <w:bottom w:val="none" w:sz="0" w:space="0" w:color="auto"/>
                                <w:right w:val="none" w:sz="0" w:space="0" w:color="auto"/>
                              </w:divBdr>
                              <w:divsChild>
                                <w:div w:id="568659303">
                                  <w:marLeft w:val="0"/>
                                  <w:marRight w:val="0"/>
                                  <w:marTop w:val="0"/>
                                  <w:marBottom w:val="0"/>
                                  <w:divBdr>
                                    <w:top w:val="none" w:sz="0" w:space="0" w:color="auto"/>
                                    <w:left w:val="none" w:sz="0" w:space="0" w:color="auto"/>
                                    <w:bottom w:val="none" w:sz="0" w:space="0" w:color="auto"/>
                                    <w:right w:val="none" w:sz="0" w:space="0" w:color="auto"/>
                                  </w:divBdr>
                                  <w:divsChild>
                                    <w:div w:id="1526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51170">
      <w:bodyDiv w:val="1"/>
      <w:marLeft w:val="0"/>
      <w:marRight w:val="0"/>
      <w:marTop w:val="0"/>
      <w:marBottom w:val="0"/>
      <w:divBdr>
        <w:top w:val="none" w:sz="0" w:space="0" w:color="auto"/>
        <w:left w:val="none" w:sz="0" w:space="0" w:color="auto"/>
        <w:bottom w:val="none" w:sz="0" w:space="0" w:color="auto"/>
        <w:right w:val="none" w:sz="0" w:space="0" w:color="auto"/>
      </w:divBdr>
    </w:div>
    <w:div w:id="168519553">
      <w:bodyDiv w:val="1"/>
      <w:marLeft w:val="0"/>
      <w:marRight w:val="0"/>
      <w:marTop w:val="0"/>
      <w:marBottom w:val="0"/>
      <w:divBdr>
        <w:top w:val="none" w:sz="0" w:space="0" w:color="auto"/>
        <w:left w:val="none" w:sz="0" w:space="0" w:color="auto"/>
        <w:bottom w:val="none" w:sz="0" w:space="0" w:color="auto"/>
        <w:right w:val="none" w:sz="0" w:space="0" w:color="auto"/>
      </w:divBdr>
    </w:div>
    <w:div w:id="175536378">
      <w:bodyDiv w:val="1"/>
      <w:marLeft w:val="0"/>
      <w:marRight w:val="0"/>
      <w:marTop w:val="0"/>
      <w:marBottom w:val="0"/>
      <w:divBdr>
        <w:top w:val="none" w:sz="0" w:space="0" w:color="auto"/>
        <w:left w:val="none" w:sz="0" w:space="0" w:color="auto"/>
        <w:bottom w:val="none" w:sz="0" w:space="0" w:color="auto"/>
        <w:right w:val="none" w:sz="0" w:space="0" w:color="auto"/>
      </w:divBdr>
    </w:div>
    <w:div w:id="180436777">
      <w:bodyDiv w:val="1"/>
      <w:marLeft w:val="0"/>
      <w:marRight w:val="0"/>
      <w:marTop w:val="0"/>
      <w:marBottom w:val="0"/>
      <w:divBdr>
        <w:top w:val="none" w:sz="0" w:space="0" w:color="auto"/>
        <w:left w:val="none" w:sz="0" w:space="0" w:color="auto"/>
        <w:bottom w:val="none" w:sz="0" w:space="0" w:color="auto"/>
        <w:right w:val="none" w:sz="0" w:space="0" w:color="auto"/>
      </w:divBdr>
    </w:div>
    <w:div w:id="215356869">
      <w:bodyDiv w:val="1"/>
      <w:marLeft w:val="0"/>
      <w:marRight w:val="0"/>
      <w:marTop w:val="0"/>
      <w:marBottom w:val="0"/>
      <w:divBdr>
        <w:top w:val="none" w:sz="0" w:space="0" w:color="auto"/>
        <w:left w:val="none" w:sz="0" w:space="0" w:color="auto"/>
        <w:bottom w:val="none" w:sz="0" w:space="0" w:color="auto"/>
        <w:right w:val="none" w:sz="0" w:space="0" w:color="auto"/>
      </w:divBdr>
    </w:div>
    <w:div w:id="215549380">
      <w:bodyDiv w:val="1"/>
      <w:marLeft w:val="0"/>
      <w:marRight w:val="0"/>
      <w:marTop w:val="0"/>
      <w:marBottom w:val="0"/>
      <w:divBdr>
        <w:top w:val="none" w:sz="0" w:space="0" w:color="auto"/>
        <w:left w:val="none" w:sz="0" w:space="0" w:color="auto"/>
        <w:bottom w:val="none" w:sz="0" w:space="0" w:color="auto"/>
        <w:right w:val="none" w:sz="0" w:space="0" w:color="auto"/>
      </w:divBdr>
    </w:div>
    <w:div w:id="393937744">
      <w:bodyDiv w:val="1"/>
      <w:marLeft w:val="0"/>
      <w:marRight w:val="0"/>
      <w:marTop w:val="0"/>
      <w:marBottom w:val="0"/>
      <w:divBdr>
        <w:top w:val="none" w:sz="0" w:space="0" w:color="auto"/>
        <w:left w:val="none" w:sz="0" w:space="0" w:color="auto"/>
        <w:bottom w:val="none" w:sz="0" w:space="0" w:color="auto"/>
        <w:right w:val="none" w:sz="0" w:space="0" w:color="auto"/>
      </w:divBdr>
    </w:div>
    <w:div w:id="408505408">
      <w:bodyDiv w:val="1"/>
      <w:marLeft w:val="0"/>
      <w:marRight w:val="0"/>
      <w:marTop w:val="0"/>
      <w:marBottom w:val="0"/>
      <w:divBdr>
        <w:top w:val="none" w:sz="0" w:space="0" w:color="auto"/>
        <w:left w:val="none" w:sz="0" w:space="0" w:color="auto"/>
        <w:bottom w:val="none" w:sz="0" w:space="0" w:color="auto"/>
        <w:right w:val="none" w:sz="0" w:space="0" w:color="auto"/>
      </w:divBdr>
    </w:div>
    <w:div w:id="437141957">
      <w:bodyDiv w:val="1"/>
      <w:marLeft w:val="0"/>
      <w:marRight w:val="0"/>
      <w:marTop w:val="0"/>
      <w:marBottom w:val="0"/>
      <w:divBdr>
        <w:top w:val="none" w:sz="0" w:space="0" w:color="auto"/>
        <w:left w:val="none" w:sz="0" w:space="0" w:color="auto"/>
        <w:bottom w:val="none" w:sz="0" w:space="0" w:color="auto"/>
        <w:right w:val="none" w:sz="0" w:space="0" w:color="auto"/>
      </w:divBdr>
    </w:div>
    <w:div w:id="446973676">
      <w:bodyDiv w:val="1"/>
      <w:marLeft w:val="0"/>
      <w:marRight w:val="0"/>
      <w:marTop w:val="0"/>
      <w:marBottom w:val="0"/>
      <w:divBdr>
        <w:top w:val="none" w:sz="0" w:space="0" w:color="auto"/>
        <w:left w:val="none" w:sz="0" w:space="0" w:color="auto"/>
        <w:bottom w:val="none" w:sz="0" w:space="0" w:color="auto"/>
        <w:right w:val="none" w:sz="0" w:space="0" w:color="auto"/>
      </w:divBdr>
    </w:div>
    <w:div w:id="468520264">
      <w:bodyDiv w:val="1"/>
      <w:marLeft w:val="0"/>
      <w:marRight w:val="0"/>
      <w:marTop w:val="0"/>
      <w:marBottom w:val="0"/>
      <w:divBdr>
        <w:top w:val="none" w:sz="0" w:space="0" w:color="auto"/>
        <w:left w:val="none" w:sz="0" w:space="0" w:color="auto"/>
        <w:bottom w:val="none" w:sz="0" w:space="0" w:color="auto"/>
        <w:right w:val="none" w:sz="0" w:space="0" w:color="auto"/>
      </w:divBdr>
    </w:div>
    <w:div w:id="576598197">
      <w:bodyDiv w:val="1"/>
      <w:marLeft w:val="0"/>
      <w:marRight w:val="0"/>
      <w:marTop w:val="0"/>
      <w:marBottom w:val="0"/>
      <w:divBdr>
        <w:top w:val="none" w:sz="0" w:space="0" w:color="auto"/>
        <w:left w:val="none" w:sz="0" w:space="0" w:color="auto"/>
        <w:bottom w:val="none" w:sz="0" w:space="0" w:color="auto"/>
        <w:right w:val="none" w:sz="0" w:space="0" w:color="auto"/>
      </w:divBdr>
    </w:div>
    <w:div w:id="592204366">
      <w:bodyDiv w:val="1"/>
      <w:marLeft w:val="0"/>
      <w:marRight w:val="0"/>
      <w:marTop w:val="0"/>
      <w:marBottom w:val="0"/>
      <w:divBdr>
        <w:top w:val="none" w:sz="0" w:space="0" w:color="auto"/>
        <w:left w:val="none" w:sz="0" w:space="0" w:color="auto"/>
        <w:bottom w:val="none" w:sz="0" w:space="0" w:color="auto"/>
        <w:right w:val="none" w:sz="0" w:space="0" w:color="auto"/>
      </w:divBdr>
    </w:div>
    <w:div w:id="595289947">
      <w:bodyDiv w:val="1"/>
      <w:marLeft w:val="0"/>
      <w:marRight w:val="0"/>
      <w:marTop w:val="0"/>
      <w:marBottom w:val="0"/>
      <w:divBdr>
        <w:top w:val="none" w:sz="0" w:space="0" w:color="auto"/>
        <w:left w:val="none" w:sz="0" w:space="0" w:color="auto"/>
        <w:bottom w:val="none" w:sz="0" w:space="0" w:color="auto"/>
        <w:right w:val="none" w:sz="0" w:space="0" w:color="auto"/>
      </w:divBdr>
    </w:div>
    <w:div w:id="617641480">
      <w:bodyDiv w:val="1"/>
      <w:marLeft w:val="0"/>
      <w:marRight w:val="0"/>
      <w:marTop w:val="0"/>
      <w:marBottom w:val="0"/>
      <w:divBdr>
        <w:top w:val="none" w:sz="0" w:space="0" w:color="auto"/>
        <w:left w:val="none" w:sz="0" w:space="0" w:color="auto"/>
        <w:bottom w:val="none" w:sz="0" w:space="0" w:color="auto"/>
        <w:right w:val="none" w:sz="0" w:space="0" w:color="auto"/>
      </w:divBdr>
    </w:div>
    <w:div w:id="643389324">
      <w:bodyDiv w:val="1"/>
      <w:marLeft w:val="0"/>
      <w:marRight w:val="0"/>
      <w:marTop w:val="0"/>
      <w:marBottom w:val="0"/>
      <w:divBdr>
        <w:top w:val="none" w:sz="0" w:space="0" w:color="auto"/>
        <w:left w:val="none" w:sz="0" w:space="0" w:color="auto"/>
        <w:bottom w:val="none" w:sz="0" w:space="0" w:color="auto"/>
        <w:right w:val="none" w:sz="0" w:space="0" w:color="auto"/>
      </w:divBdr>
    </w:div>
    <w:div w:id="682898748">
      <w:bodyDiv w:val="1"/>
      <w:marLeft w:val="0"/>
      <w:marRight w:val="0"/>
      <w:marTop w:val="0"/>
      <w:marBottom w:val="0"/>
      <w:divBdr>
        <w:top w:val="none" w:sz="0" w:space="0" w:color="auto"/>
        <w:left w:val="none" w:sz="0" w:space="0" w:color="auto"/>
        <w:bottom w:val="none" w:sz="0" w:space="0" w:color="auto"/>
        <w:right w:val="none" w:sz="0" w:space="0" w:color="auto"/>
      </w:divBdr>
    </w:div>
    <w:div w:id="698818476">
      <w:bodyDiv w:val="1"/>
      <w:marLeft w:val="0"/>
      <w:marRight w:val="0"/>
      <w:marTop w:val="0"/>
      <w:marBottom w:val="0"/>
      <w:divBdr>
        <w:top w:val="none" w:sz="0" w:space="0" w:color="auto"/>
        <w:left w:val="none" w:sz="0" w:space="0" w:color="auto"/>
        <w:bottom w:val="none" w:sz="0" w:space="0" w:color="auto"/>
        <w:right w:val="none" w:sz="0" w:space="0" w:color="auto"/>
      </w:divBdr>
    </w:div>
    <w:div w:id="839391819">
      <w:bodyDiv w:val="1"/>
      <w:marLeft w:val="0"/>
      <w:marRight w:val="0"/>
      <w:marTop w:val="0"/>
      <w:marBottom w:val="0"/>
      <w:divBdr>
        <w:top w:val="none" w:sz="0" w:space="0" w:color="auto"/>
        <w:left w:val="none" w:sz="0" w:space="0" w:color="auto"/>
        <w:bottom w:val="none" w:sz="0" w:space="0" w:color="auto"/>
        <w:right w:val="none" w:sz="0" w:space="0" w:color="auto"/>
      </w:divBdr>
      <w:divsChild>
        <w:div w:id="358045526">
          <w:marLeft w:val="0"/>
          <w:marRight w:val="0"/>
          <w:marTop w:val="0"/>
          <w:marBottom w:val="0"/>
          <w:divBdr>
            <w:top w:val="none" w:sz="0" w:space="0" w:color="auto"/>
            <w:left w:val="none" w:sz="0" w:space="0" w:color="auto"/>
            <w:bottom w:val="none" w:sz="0" w:space="0" w:color="auto"/>
            <w:right w:val="none" w:sz="0" w:space="0" w:color="auto"/>
          </w:divBdr>
          <w:divsChild>
            <w:div w:id="464813052">
              <w:marLeft w:val="0"/>
              <w:marRight w:val="0"/>
              <w:marTop w:val="0"/>
              <w:marBottom w:val="0"/>
              <w:divBdr>
                <w:top w:val="none" w:sz="0" w:space="0" w:color="auto"/>
                <w:left w:val="none" w:sz="0" w:space="0" w:color="auto"/>
                <w:bottom w:val="none" w:sz="0" w:space="0" w:color="auto"/>
                <w:right w:val="none" w:sz="0" w:space="0" w:color="auto"/>
              </w:divBdr>
              <w:divsChild>
                <w:div w:id="785344466">
                  <w:marLeft w:val="0"/>
                  <w:marRight w:val="0"/>
                  <w:marTop w:val="0"/>
                  <w:marBottom w:val="0"/>
                  <w:divBdr>
                    <w:top w:val="none" w:sz="0" w:space="0" w:color="auto"/>
                    <w:left w:val="none" w:sz="0" w:space="0" w:color="auto"/>
                    <w:bottom w:val="none" w:sz="0" w:space="0" w:color="auto"/>
                    <w:right w:val="none" w:sz="0" w:space="0" w:color="auto"/>
                  </w:divBdr>
                  <w:divsChild>
                    <w:div w:id="873808498">
                      <w:marLeft w:val="0"/>
                      <w:marRight w:val="0"/>
                      <w:marTop w:val="0"/>
                      <w:marBottom w:val="0"/>
                      <w:divBdr>
                        <w:top w:val="none" w:sz="0" w:space="0" w:color="auto"/>
                        <w:left w:val="none" w:sz="0" w:space="0" w:color="auto"/>
                        <w:bottom w:val="none" w:sz="0" w:space="0" w:color="auto"/>
                        <w:right w:val="none" w:sz="0" w:space="0" w:color="auto"/>
                      </w:divBdr>
                      <w:divsChild>
                        <w:div w:id="1347636871">
                          <w:marLeft w:val="0"/>
                          <w:marRight w:val="0"/>
                          <w:marTop w:val="0"/>
                          <w:marBottom w:val="0"/>
                          <w:divBdr>
                            <w:top w:val="none" w:sz="0" w:space="0" w:color="auto"/>
                            <w:left w:val="none" w:sz="0" w:space="0" w:color="auto"/>
                            <w:bottom w:val="none" w:sz="0" w:space="0" w:color="auto"/>
                            <w:right w:val="none" w:sz="0" w:space="0" w:color="auto"/>
                          </w:divBdr>
                          <w:divsChild>
                            <w:div w:id="847600188">
                              <w:marLeft w:val="0"/>
                              <w:marRight w:val="0"/>
                              <w:marTop w:val="0"/>
                              <w:marBottom w:val="0"/>
                              <w:divBdr>
                                <w:top w:val="none" w:sz="0" w:space="0" w:color="auto"/>
                                <w:left w:val="none" w:sz="0" w:space="0" w:color="auto"/>
                                <w:bottom w:val="none" w:sz="0" w:space="0" w:color="auto"/>
                                <w:right w:val="none" w:sz="0" w:space="0" w:color="auto"/>
                              </w:divBdr>
                              <w:divsChild>
                                <w:div w:id="1237978888">
                                  <w:marLeft w:val="0"/>
                                  <w:marRight w:val="0"/>
                                  <w:marTop w:val="0"/>
                                  <w:marBottom w:val="0"/>
                                  <w:divBdr>
                                    <w:top w:val="none" w:sz="0" w:space="0" w:color="auto"/>
                                    <w:left w:val="none" w:sz="0" w:space="0" w:color="auto"/>
                                    <w:bottom w:val="none" w:sz="0" w:space="0" w:color="auto"/>
                                    <w:right w:val="none" w:sz="0" w:space="0" w:color="auto"/>
                                  </w:divBdr>
                                  <w:divsChild>
                                    <w:div w:id="13728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153814">
      <w:bodyDiv w:val="1"/>
      <w:marLeft w:val="0"/>
      <w:marRight w:val="0"/>
      <w:marTop w:val="0"/>
      <w:marBottom w:val="0"/>
      <w:divBdr>
        <w:top w:val="none" w:sz="0" w:space="0" w:color="auto"/>
        <w:left w:val="none" w:sz="0" w:space="0" w:color="auto"/>
        <w:bottom w:val="none" w:sz="0" w:space="0" w:color="auto"/>
        <w:right w:val="none" w:sz="0" w:space="0" w:color="auto"/>
      </w:divBdr>
    </w:div>
    <w:div w:id="893930187">
      <w:bodyDiv w:val="1"/>
      <w:marLeft w:val="0"/>
      <w:marRight w:val="0"/>
      <w:marTop w:val="0"/>
      <w:marBottom w:val="0"/>
      <w:divBdr>
        <w:top w:val="none" w:sz="0" w:space="0" w:color="auto"/>
        <w:left w:val="none" w:sz="0" w:space="0" w:color="auto"/>
        <w:bottom w:val="none" w:sz="0" w:space="0" w:color="auto"/>
        <w:right w:val="none" w:sz="0" w:space="0" w:color="auto"/>
      </w:divBdr>
    </w:div>
    <w:div w:id="943730968">
      <w:bodyDiv w:val="1"/>
      <w:marLeft w:val="0"/>
      <w:marRight w:val="0"/>
      <w:marTop w:val="0"/>
      <w:marBottom w:val="0"/>
      <w:divBdr>
        <w:top w:val="none" w:sz="0" w:space="0" w:color="auto"/>
        <w:left w:val="none" w:sz="0" w:space="0" w:color="auto"/>
        <w:bottom w:val="none" w:sz="0" w:space="0" w:color="auto"/>
        <w:right w:val="none" w:sz="0" w:space="0" w:color="auto"/>
      </w:divBdr>
    </w:div>
    <w:div w:id="998921973">
      <w:bodyDiv w:val="1"/>
      <w:marLeft w:val="0"/>
      <w:marRight w:val="0"/>
      <w:marTop w:val="0"/>
      <w:marBottom w:val="0"/>
      <w:divBdr>
        <w:top w:val="none" w:sz="0" w:space="0" w:color="auto"/>
        <w:left w:val="none" w:sz="0" w:space="0" w:color="auto"/>
        <w:bottom w:val="none" w:sz="0" w:space="0" w:color="auto"/>
        <w:right w:val="none" w:sz="0" w:space="0" w:color="auto"/>
      </w:divBdr>
    </w:div>
    <w:div w:id="1092051913">
      <w:bodyDiv w:val="1"/>
      <w:marLeft w:val="0"/>
      <w:marRight w:val="0"/>
      <w:marTop w:val="0"/>
      <w:marBottom w:val="0"/>
      <w:divBdr>
        <w:top w:val="none" w:sz="0" w:space="0" w:color="auto"/>
        <w:left w:val="none" w:sz="0" w:space="0" w:color="auto"/>
        <w:bottom w:val="none" w:sz="0" w:space="0" w:color="auto"/>
        <w:right w:val="none" w:sz="0" w:space="0" w:color="auto"/>
      </w:divBdr>
    </w:div>
    <w:div w:id="1150755308">
      <w:bodyDiv w:val="1"/>
      <w:marLeft w:val="0"/>
      <w:marRight w:val="0"/>
      <w:marTop w:val="0"/>
      <w:marBottom w:val="0"/>
      <w:divBdr>
        <w:top w:val="none" w:sz="0" w:space="0" w:color="auto"/>
        <w:left w:val="none" w:sz="0" w:space="0" w:color="auto"/>
        <w:bottom w:val="none" w:sz="0" w:space="0" w:color="auto"/>
        <w:right w:val="none" w:sz="0" w:space="0" w:color="auto"/>
      </w:divBdr>
    </w:div>
    <w:div w:id="1160577846">
      <w:bodyDiv w:val="1"/>
      <w:marLeft w:val="0"/>
      <w:marRight w:val="0"/>
      <w:marTop w:val="0"/>
      <w:marBottom w:val="0"/>
      <w:divBdr>
        <w:top w:val="none" w:sz="0" w:space="0" w:color="auto"/>
        <w:left w:val="none" w:sz="0" w:space="0" w:color="auto"/>
        <w:bottom w:val="none" w:sz="0" w:space="0" w:color="auto"/>
        <w:right w:val="none" w:sz="0" w:space="0" w:color="auto"/>
      </w:divBdr>
    </w:div>
    <w:div w:id="1187449431">
      <w:bodyDiv w:val="1"/>
      <w:marLeft w:val="0"/>
      <w:marRight w:val="0"/>
      <w:marTop w:val="0"/>
      <w:marBottom w:val="0"/>
      <w:divBdr>
        <w:top w:val="none" w:sz="0" w:space="0" w:color="auto"/>
        <w:left w:val="none" w:sz="0" w:space="0" w:color="auto"/>
        <w:bottom w:val="none" w:sz="0" w:space="0" w:color="auto"/>
        <w:right w:val="none" w:sz="0" w:space="0" w:color="auto"/>
      </w:divBdr>
    </w:div>
    <w:div w:id="1210530643">
      <w:bodyDiv w:val="1"/>
      <w:marLeft w:val="0"/>
      <w:marRight w:val="0"/>
      <w:marTop w:val="0"/>
      <w:marBottom w:val="0"/>
      <w:divBdr>
        <w:top w:val="none" w:sz="0" w:space="0" w:color="auto"/>
        <w:left w:val="none" w:sz="0" w:space="0" w:color="auto"/>
        <w:bottom w:val="none" w:sz="0" w:space="0" w:color="auto"/>
        <w:right w:val="none" w:sz="0" w:space="0" w:color="auto"/>
      </w:divBdr>
    </w:div>
    <w:div w:id="1302150261">
      <w:bodyDiv w:val="1"/>
      <w:marLeft w:val="0"/>
      <w:marRight w:val="0"/>
      <w:marTop w:val="0"/>
      <w:marBottom w:val="0"/>
      <w:divBdr>
        <w:top w:val="none" w:sz="0" w:space="0" w:color="auto"/>
        <w:left w:val="none" w:sz="0" w:space="0" w:color="auto"/>
        <w:bottom w:val="none" w:sz="0" w:space="0" w:color="auto"/>
        <w:right w:val="none" w:sz="0" w:space="0" w:color="auto"/>
      </w:divBdr>
    </w:div>
    <w:div w:id="1345403032">
      <w:bodyDiv w:val="1"/>
      <w:marLeft w:val="0"/>
      <w:marRight w:val="0"/>
      <w:marTop w:val="0"/>
      <w:marBottom w:val="0"/>
      <w:divBdr>
        <w:top w:val="none" w:sz="0" w:space="0" w:color="auto"/>
        <w:left w:val="none" w:sz="0" w:space="0" w:color="auto"/>
        <w:bottom w:val="none" w:sz="0" w:space="0" w:color="auto"/>
        <w:right w:val="none" w:sz="0" w:space="0" w:color="auto"/>
      </w:divBdr>
    </w:div>
    <w:div w:id="1357656191">
      <w:bodyDiv w:val="1"/>
      <w:marLeft w:val="0"/>
      <w:marRight w:val="0"/>
      <w:marTop w:val="0"/>
      <w:marBottom w:val="0"/>
      <w:divBdr>
        <w:top w:val="none" w:sz="0" w:space="0" w:color="auto"/>
        <w:left w:val="none" w:sz="0" w:space="0" w:color="auto"/>
        <w:bottom w:val="none" w:sz="0" w:space="0" w:color="auto"/>
        <w:right w:val="none" w:sz="0" w:space="0" w:color="auto"/>
      </w:divBdr>
    </w:div>
    <w:div w:id="1393500586">
      <w:bodyDiv w:val="1"/>
      <w:marLeft w:val="0"/>
      <w:marRight w:val="0"/>
      <w:marTop w:val="0"/>
      <w:marBottom w:val="0"/>
      <w:divBdr>
        <w:top w:val="none" w:sz="0" w:space="0" w:color="auto"/>
        <w:left w:val="none" w:sz="0" w:space="0" w:color="auto"/>
        <w:bottom w:val="none" w:sz="0" w:space="0" w:color="auto"/>
        <w:right w:val="none" w:sz="0" w:space="0" w:color="auto"/>
      </w:divBdr>
    </w:div>
    <w:div w:id="1467353910">
      <w:bodyDiv w:val="1"/>
      <w:marLeft w:val="0"/>
      <w:marRight w:val="0"/>
      <w:marTop w:val="0"/>
      <w:marBottom w:val="0"/>
      <w:divBdr>
        <w:top w:val="none" w:sz="0" w:space="0" w:color="auto"/>
        <w:left w:val="none" w:sz="0" w:space="0" w:color="auto"/>
        <w:bottom w:val="none" w:sz="0" w:space="0" w:color="auto"/>
        <w:right w:val="none" w:sz="0" w:space="0" w:color="auto"/>
      </w:divBdr>
    </w:div>
    <w:div w:id="1483618707">
      <w:bodyDiv w:val="1"/>
      <w:marLeft w:val="0"/>
      <w:marRight w:val="0"/>
      <w:marTop w:val="0"/>
      <w:marBottom w:val="0"/>
      <w:divBdr>
        <w:top w:val="none" w:sz="0" w:space="0" w:color="auto"/>
        <w:left w:val="none" w:sz="0" w:space="0" w:color="auto"/>
        <w:bottom w:val="none" w:sz="0" w:space="0" w:color="auto"/>
        <w:right w:val="none" w:sz="0" w:space="0" w:color="auto"/>
      </w:divBdr>
    </w:div>
    <w:div w:id="1512528200">
      <w:bodyDiv w:val="1"/>
      <w:marLeft w:val="0"/>
      <w:marRight w:val="0"/>
      <w:marTop w:val="0"/>
      <w:marBottom w:val="0"/>
      <w:divBdr>
        <w:top w:val="none" w:sz="0" w:space="0" w:color="auto"/>
        <w:left w:val="none" w:sz="0" w:space="0" w:color="auto"/>
        <w:bottom w:val="none" w:sz="0" w:space="0" w:color="auto"/>
        <w:right w:val="none" w:sz="0" w:space="0" w:color="auto"/>
      </w:divBdr>
    </w:div>
    <w:div w:id="1690637299">
      <w:bodyDiv w:val="1"/>
      <w:marLeft w:val="0"/>
      <w:marRight w:val="0"/>
      <w:marTop w:val="0"/>
      <w:marBottom w:val="0"/>
      <w:divBdr>
        <w:top w:val="none" w:sz="0" w:space="0" w:color="auto"/>
        <w:left w:val="none" w:sz="0" w:space="0" w:color="auto"/>
        <w:bottom w:val="none" w:sz="0" w:space="0" w:color="auto"/>
        <w:right w:val="none" w:sz="0" w:space="0" w:color="auto"/>
      </w:divBdr>
    </w:div>
    <w:div w:id="1725909812">
      <w:bodyDiv w:val="1"/>
      <w:marLeft w:val="0"/>
      <w:marRight w:val="0"/>
      <w:marTop w:val="0"/>
      <w:marBottom w:val="0"/>
      <w:divBdr>
        <w:top w:val="none" w:sz="0" w:space="0" w:color="auto"/>
        <w:left w:val="none" w:sz="0" w:space="0" w:color="auto"/>
        <w:bottom w:val="none" w:sz="0" w:space="0" w:color="auto"/>
        <w:right w:val="none" w:sz="0" w:space="0" w:color="auto"/>
      </w:divBdr>
    </w:div>
    <w:div w:id="1806313247">
      <w:bodyDiv w:val="1"/>
      <w:marLeft w:val="0"/>
      <w:marRight w:val="0"/>
      <w:marTop w:val="0"/>
      <w:marBottom w:val="0"/>
      <w:divBdr>
        <w:top w:val="none" w:sz="0" w:space="0" w:color="auto"/>
        <w:left w:val="none" w:sz="0" w:space="0" w:color="auto"/>
        <w:bottom w:val="none" w:sz="0" w:space="0" w:color="auto"/>
        <w:right w:val="none" w:sz="0" w:space="0" w:color="auto"/>
      </w:divBdr>
    </w:div>
    <w:div w:id="1837962432">
      <w:bodyDiv w:val="1"/>
      <w:marLeft w:val="0"/>
      <w:marRight w:val="0"/>
      <w:marTop w:val="0"/>
      <w:marBottom w:val="0"/>
      <w:divBdr>
        <w:top w:val="none" w:sz="0" w:space="0" w:color="auto"/>
        <w:left w:val="none" w:sz="0" w:space="0" w:color="auto"/>
        <w:bottom w:val="none" w:sz="0" w:space="0" w:color="auto"/>
        <w:right w:val="none" w:sz="0" w:space="0" w:color="auto"/>
      </w:divBdr>
    </w:div>
    <w:div w:id="1910072762">
      <w:bodyDiv w:val="1"/>
      <w:marLeft w:val="0"/>
      <w:marRight w:val="0"/>
      <w:marTop w:val="0"/>
      <w:marBottom w:val="0"/>
      <w:divBdr>
        <w:top w:val="none" w:sz="0" w:space="0" w:color="auto"/>
        <w:left w:val="none" w:sz="0" w:space="0" w:color="auto"/>
        <w:bottom w:val="none" w:sz="0" w:space="0" w:color="auto"/>
        <w:right w:val="none" w:sz="0" w:space="0" w:color="auto"/>
      </w:divBdr>
    </w:div>
    <w:div w:id="1958757769">
      <w:bodyDiv w:val="1"/>
      <w:marLeft w:val="0"/>
      <w:marRight w:val="0"/>
      <w:marTop w:val="0"/>
      <w:marBottom w:val="0"/>
      <w:divBdr>
        <w:top w:val="none" w:sz="0" w:space="0" w:color="auto"/>
        <w:left w:val="none" w:sz="0" w:space="0" w:color="auto"/>
        <w:bottom w:val="none" w:sz="0" w:space="0" w:color="auto"/>
        <w:right w:val="none" w:sz="0" w:space="0" w:color="auto"/>
      </w:divBdr>
    </w:div>
    <w:div w:id="2001889276">
      <w:bodyDiv w:val="1"/>
      <w:marLeft w:val="0"/>
      <w:marRight w:val="0"/>
      <w:marTop w:val="0"/>
      <w:marBottom w:val="0"/>
      <w:divBdr>
        <w:top w:val="none" w:sz="0" w:space="0" w:color="auto"/>
        <w:left w:val="none" w:sz="0" w:space="0" w:color="auto"/>
        <w:bottom w:val="none" w:sz="0" w:space="0" w:color="auto"/>
        <w:right w:val="none" w:sz="0" w:space="0" w:color="auto"/>
      </w:divBdr>
    </w:div>
    <w:div w:id="2087484803">
      <w:bodyDiv w:val="1"/>
      <w:marLeft w:val="0"/>
      <w:marRight w:val="0"/>
      <w:marTop w:val="0"/>
      <w:marBottom w:val="0"/>
      <w:divBdr>
        <w:top w:val="none" w:sz="0" w:space="0" w:color="auto"/>
        <w:left w:val="none" w:sz="0" w:space="0" w:color="auto"/>
        <w:bottom w:val="none" w:sz="0" w:space="0" w:color="auto"/>
        <w:right w:val="none" w:sz="0" w:space="0" w:color="auto"/>
      </w:divBdr>
    </w:div>
    <w:div w:id="2087680178">
      <w:bodyDiv w:val="1"/>
      <w:marLeft w:val="0"/>
      <w:marRight w:val="0"/>
      <w:marTop w:val="0"/>
      <w:marBottom w:val="0"/>
      <w:divBdr>
        <w:top w:val="none" w:sz="0" w:space="0" w:color="auto"/>
        <w:left w:val="none" w:sz="0" w:space="0" w:color="auto"/>
        <w:bottom w:val="none" w:sz="0" w:space="0" w:color="auto"/>
        <w:right w:val="none" w:sz="0" w:space="0" w:color="auto"/>
      </w:divBdr>
    </w:div>
    <w:div w:id="2091345421">
      <w:bodyDiv w:val="1"/>
      <w:marLeft w:val="0"/>
      <w:marRight w:val="0"/>
      <w:marTop w:val="0"/>
      <w:marBottom w:val="0"/>
      <w:divBdr>
        <w:top w:val="none" w:sz="0" w:space="0" w:color="auto"/>
        <w:left w:val="none" w:sz="0" w:space="0" w:color="auto"/>
        <w:bottom w:val="none" w:sz="0" w:space="0" w:color="auto"/>
        <w:right w:val="none" w:sz="0" w:space="0" w:color="auto"/>
      </w:divBdr>
    </w:div>
    <w:div w:id="20924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0541/v54i4i-iipp.529-549" TargetMode="External"/><Relationship Id="rId18" Type="http://schemas.openxmlformats.org/officeDocument/2006/relationships/hyperlink" Target="https://doi.org/10.1051/bioconf/2023800200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31258/ijae.14.1.32-49" TargetMode="External"/><Relationship Id="rId7" Type="http://schemas.openxmlformats.org/officeDocument/2006/relationships/image" Target="media/image1.png"/><Relationship Id="rId12" Type="http://schemas.openxmlformats.org/officeDocument/2006/relationships/hyperlink" Target="https://doi.org/10.54712/aliansi.v6i2.284" TargetMode="External"/><Relationship Id="rId17" Type="http://schemas.openxmlformats.org/officeDocument/2006/relationships/hyperlink" Target="https://doi.org/10.55908/sdgs.v11i11.141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8196/jesp.v25i1.20988" TargetMode="External"/><Relationship Id="rId20" Type="http://schemas.openxmlformats.org/officeDocument/2006/relationships/hyperlink" Target="https://doi.org/10.31955/mea.v8i1.390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58/randai.2.1.p.1-1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26714/jodi.v1i2.15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35906/jep.v8i1.1039" TargetMode="External"/><Relationship Id="rId19" Type="http://schemas.openxmlformats.org/officeDocument/2006/relationships/hyperlink" Target="https://doi.org/10.36490/jes.v4i1.747" TargetMode="External"/><Relationship Id="rId4" Type="http://schemas.openxmlformats.org/officeDocument/2006/relationships/webSettings" Target="webSettings.xml"/><Relationship Id="rId9" Type="http://schemas.openxmlformats.org/officeDocument/2006/relationships/hyperlink" Target="https://doi.org/10.47927/jikb.v15i2.810" TargetMode="External"/><Relationship Id="rId14" Type="http://schemas.openxmlformats.org/officeDocument/2006/relationships/hyperlink" Target="https://doi.org/10.30598/variancevol6iss1page63-74" TargetMode="External"/><Relationship Id="rId22" Type="http://schemas.openxmlformats.org/officeDocument/2006/relationships/hyperlink" Target="https://doi.org/10.62281/v2i2.17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Solution</dc:creator>
  <cp:keywords/>
  <dc:description/>
  <cp:lastModifiedBy>Software Solution</cp:lastModifiedBy>
  <cp:revision>2</cp:revision>
  <dcterms:created xsi:type="dcterms:W3CDTF">2025-06-27T16:21:00Z</dcterms:created>
  <dcterms:modified xsi:type="dcterms:W3CDTF">2025-06-27T16:21:00Z</dcterms:modified>
</cp:coreProperties>
</file>