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67679" w14:textId="68CBB431" w:rsidR="00F407A4" w:rsidRPr="00F31EC7" w:rsidRDefault="007F6962" w:rsidP="00F407A4">
      <w:pPr>
        <w:jc w:val="center"/>
        <w:rPr>
          <w:rFonts w:ascii="Arial" w:hAnsi="Arial" w:cs="Arial"/>
          <w:b/>
          <w:bCs/>
          <w:sz w:val="28"/>
          <w:szCs w:val="28"/>
        </w:rPr>
      </w:pPr>
      <w:r w:rsidRPr="007F6962">
        <w:rPr>
          <w:rFonts w:ascii="Arial" w:hAnsi="Arial" w:cs="Arial"/>
          <w:b/>
          <w:bCs/>
          <w:sz w:val="28"/>
          <w:szCs w:val="28"/>
          <w:highlight w:val="yellow"/>
        </w:rPr>
        <w:t>Strategic Planning of Vegetable Horticulture-Based Food Security to Enhance Local Economic Growth and Regional Development in Deli Serdang, Indonesia</w:t>
      </w:r>
    </w:p>
    <w:p w14:paraId="4C2FC919" w14:textId="77777777" w:rsidR="00F407A4" w:rsidRPr="00F31EC7" w:rsidRDefault="00F407A4">
      <w:pPr>
        <w:rPr>
          <w:rFonts w:ascii="Arial" w:hAnsi="Arial" w:cs="Arial"/>
        </w:rPr>
      </w:pPr>
    </w:p>
    <w:p w14:paraId="2019409F" w14:textId="77777777" w:rsidR="00F407A4" w:rsidRPr="00F31EC7" w:rsidRDefault="00F407A4" w:rsidP="00F407A4">
      <w:pPr>
        <w:jc w:val="center"/>
        <w:rPr>
          <w:rFonts w:ascii="Arial" w:hAnsi="Arial" w:cs="Arial"/>
        </w:rPr>
      </w:pPr>
      <w:r w:rsidRPr="00F31EC7">
        <w:rPr>
          <w:rFonts w:ascii="Arial" w:hAnsi="Arial" w:cs="Arial"/>
          <w:b/>
          <w:bCs/>
        </w:rPr>
        <w:t>Abstract</w:t>
      </w:r>
    </w:p>
    <w:p w14:paraId="2A1959B7" w14:textId="77777777" w:rsidR="00E155BB" w:rsidRPr="00E155BB" w:rsidRDefault="00E155BB" w:rsidP="00E155BB">
      <w:pPr>
        <w:jc w:val="both"/>
        <w:rPr>
          <w:rFonts w:ascii="Arial" w:hAnsi="Arial" w:cs="Arial"/>
          <w:highlight w:val="green"/>
        </w:rPr>
      </w:pPr>
      <w:r w:rsidRPr="00E155BB">
        <w:rPr>
          <w:rFonts w:ascii="Arial" w:hAnsi="Arial" w:cs="Arial"/>
          <w:highlight w:val="green"/>
        </w:rPr>
        <w:t>The increasing demand for horticultural produce and the strategic role of agriculture in regional development necessitate more integrated and spatially informed planning in agrarian regions like Indonesia. Despite favorable agroecological conditions, Deli Serdang Regency has not fully capitalized on its vegetable horticulture potential due to fragmented institutional support, inefficient marketing chains, and the absence of data-driven zoning. Addressing this gap, the present study evaluates the strategic value of red chili (</w:t>
      </w:r>
      <w:r w:rsidRPr="00E155BB">
        <w:rPr>
          <w:rFonts w:ascii="Arial" w:hAnsi="Arial" w:cs="Arial"/>
          <w:i/>
          <w:iCs/>
          <w:highlight w:val="green"/>
        </w:rPr>
        <w:t>Capsicum annuum</w:t>
      </w:r>
      <w:r w:rsidRPr="00E155BB">
        <w:rPr>
          <w:rFonts w:ascii="Arial" w:hAnsi="Arial" w:cs="Arial"/>
          <w:highlight w:val="green"/>
        </w:rPr>
        <w:t>) and bird’s eye chili (</w:t>
      </w:r>
      <w:r w:rsidRPr="00E155BB">
        <w:rPr>
          <w:rFonts w:ascii="Arial" w:hAnsi="Arial" w:cs="Arial"/>
          <w:i/>
          <w:iCs/>
          <w:highlight w:val="green"/>
        </w:rPr>
        <w:t>Capsicum frutescens</w:t>
      </w:r>
      <w:r w:rsidRPr="00E155BB">
        <w:rPr>
          <w:rFonts w:ascii="Arial" w:hAnsi="Arial" w:cs="Arial"/>
          <w:highlight w:val="green"/>
        </w:rPr>
        <w:t>) in enhancing local food security and economic growth.</w:t>
      </w:r>
    </w:p>
    <w:p w14:paraId="29939746" w14:textId="77777777" w:rsidR="00E155BB" w:rsidRPr="00E155BB" w:rsidRDefault="00E155BB" w:rsidP="00E155BB">
      <w:pPr>
        <w:jc w:val="both"/>
        <w:rPr>
          <w:rFonts w:ascii="Arial" w:hAnsi="Arial" w:cs="Arial"/>
          <w:highlight w:val="green"/>
        </w:rPr>
      </w:pPr>
      <w:r w:rsidRPr="00E155BB">
        <w:rPr>
          <w:rFonts w:ascii="Arial" w:hAnsi="Arial" w:cs="Arial"/>
          <w:highlight w:val="green"/>
        </w:rPr>
        <w:t>This research employs a descriptive-quantitative design integrating multiple analytical tools: Location Quotient (LQ) to assess comparative advantage, Shift Share Analysis (SSA) for competitiveness, R/C ratio for farm feasibility, and marketing margin analysis to evaluate distribution efficiency. To guide strategic planning, the A’WOT method—combining Analytical Hierarchy Process (AHP) with SWOT analysis—was applied to identify priority development strategies.</w:t>
      </w:r>
    </w:p>
    <w:p w14:paraId="1E1F3172" w14:textId="77777777" w:rsidR="00E155BB" w:rsidRPr="00E155BB" w:rsidRDefault="00E155BB" w:rsidP="00E155BB">
      <w:pPr>
        <w:jc w:val="both"/>
        <w:rPr>
          <w:rFonts w:ascii="Arial" w:hAnsi="Arial" w:cs="Arial"/>
          <w:highlight w:val="green"/>
        </w:rPr>
      </w:pPr>
      <w:r w:rsidRPr="00E155BB">
        <w:rPr>
          <w:rFonts w:ascii="Arial" w:hAnsi="Arial" w:cs="Arial"/>
          <w:highlight w:val="green"/>
        </w:rPr>
        <w:t xml:space="preserve">The findings reveal that both chili commodities exhibit strong comparative (LQ &gt; 1) and competitive </w:t>
      </w:r>
      <w:proofErr w:type="gramStart"/>
      <w:r w:rsidRPr="00E155BB">
        <w:rPr>
          <w:rFonts w:ascii="Arial" w:hAnsi="Arial" w:cs="Arial"/>
          <w:highlight w:val="green"/>
        </w:rPr>
        <w:t>advantages, and</w:t>
      </w:r>
      <w:proofErr w:type="gramEnd"/>
      <w:r w:rsidRPr="00E155BB">
        <w:rPr>
          <w:rFonts w:ascii="Arial" w:hAnsi="Arial" w:cs="Arial"/>
          <w:highlight w:val="green"/>
        </w:rPr>
        <w:t xml:space="preserve"> are economically feasible (R/C ratios ranging from 1.57 to 2.13). However, farmers receive only 48–56% of final market prices due to fragmented cooperatives, inadequate post-harvest infrastructure, and limited access to digital markets. The SWOT-AHP framework indicates that leveraging agroecological diversity and consistent yield potential can drive regional competitiveness if supported by targeted institutional reforms.</w:t>
      </w:r>
    </w:p>
    <w:p w14:paraId="03D0D4BB" w14:textId="5528F53B" w:rsidR="00F407A4" w:rsidRPr="00E155BB" w:rsidRDefault="00E155BB" w:rsidP="00F407A4">
      <w:pPr>
        <w:jc w:val="both"/>
        <w:rPr>
          <w:rFonts w:ascii="Arial" w:hAnsi="Arial" w:cs="Arial"/>
          <w:highlight w:val="green"/>
        </w:rPr>
      </w:pPr>
      <w:r w:rsidRPr="00E155BB">
        <w:rPr>
          <w:rFonts w:ascii="Arial" w:hAnsi="Arial" w:cs="Arial"/>
          <w:highlight w:val="green"/>
        </w:rPr>
        <w:t>The study recommends strengthening farmer cooperatives, investing in cold storage and logistics, and aligning cultivation zones with agroecological suitability through spatial planning. These interventions offer a replicable model for integrating horticultural development into regional policy frameworks, thereby enhancing food security, rural livelihoods, and climate resilience</w:t>
      </w:r>
      <w:r w:rsidR="00F407A4" w:rsidRPr="00E155BB">
        <w:rPr>
          <w:rFonts w:ascii="Arial" w:hAnsi="Arial" w:cs="Arial"/>
          <w:highlight w:val="green"/>
        </w:rPr>
        <w:t>.</w:t>
      </w:r>
    </w:p>
    <w:p w14:paraId="7D7DA98D" w14:textId="77777777" w:rsidR="00F407A4" w:rsidRPr="00F31EC7" w:rsidRDefault="00F407A4" w:rsidP="00F407A4">
      <w:pPr>
        <w:rPr>
          <w:rFonts w:ascii="Arial" w:hAnsi="Arial" w:cs="Arial"/>
        </w:rPr>
      </w:pPr>
      <w:r w:rsidRPr="00F31EC7">
        <w:rPr>
          <w:rFonts w:ascii="Arial" w:hAnsi="Arial" w:cs="Arial"/>
          <w:b/>
          <w:bCs/>
        </w:rPr>
        <w:t>Keywords</w:t>
      </w:r>
      <w:r w:rsidRPr="00F31EC7">
        <w:rPr>
          <w:rFonts w:ascii="Arial" w:hAnsi="Arial" w:cs="Arial"/>
        </w:rPr>
        <w:t>: regional planning, vegetable horticulture, food security, agribusiness, Deli Serdang</w:t>
      </w:r>
    </w:p>
    <w:p w14:paraId="68B884C1" w14:textId="77777777" w:rsidR="00F407A4" w:rsidRPr="00F31EC7" w:rsidRDefault="00F407A4" w:rsidP="00F31EC7">
      <w:pPr>
        <w:pStyle w:val="ListParagraph"/>
        <w:numPr>
          <w:ilvl w:val="0"/>
          <w:numId w:val="10"/>
        </w:numPr>
        <w:ind w:left="709"/>
        <w:jc w:val="both"/>
        <w:rPr>
          <w:rFonts w:ascii="Arial" w:hAnsi="Arial" w:cs="Arial"/>
          <w:b/>
          <w:bCs/>
        </w:rPr>
      </w:pPr>
      <w:proofErr w:type="spellStart"/>
      <w:r w:rsidRPr="00F31EC7">
        <w:rPr>
          <w:rFonts w:ascii="Arial" w:hAnsi="Arial" w:cs="Arial"/>
          <w:b/>
          <w:bCs/>
        </w:rPr>
        <w:t>Indtroduction</w:t>
      </w:r>
      <w:proofErr w:type="spellEnd"/>
    </w:p>
    <w:p w14:paraId="28A7351A" w14:textId="77777777" w:rsidR="00E155BB" w:rsidRPr="00E155BB" w:rsidRDefault="00E155BB" w:rsidP="00E155BB">
      <w:pPr>
        <w:jc w:val="both"/>
        <w:rPr>
          <w:rFonts w:ascii="Arial" w:hAnsi="Arial" w:cs="Arial"/>
          <w:highlight w:val="green"/>
        </w:rPr>
      </w:pPr>
      <w:r w:rsidRPr="00E155BB">
        <w:rPr>
          <w:rFonts w:ascii="Arial" w:hAnsi="Arial" w:cs="Arial"/>
          <w:highlight w:val="green"/>
        </w:rPr>
        <w:lastRenderedPageBreak/>
        <w:t xml:space="preserve">In recent years, regional development strategies have increasingly emphasized the integration of local agricultural strengths into spatial planning frameworks to foster inclusive and sustainable growth. Particularly in agrarian contexts like Indonesia, vegetable horticulture has emerged as a promising subsector due to its short production cycles, income-generating potential, and direct contribution to household nutrition and food security (Afandi, 2020; </w:t>
      </w:r>
      <w:proofErr w:type="spellStart"/>
      <w:r w:rsidRPr="00E155BB">
        <w:rPr>
          <w:rFonts w:ascii="Arial" w:hAnsi="Arial" w:cs="Arial"/>
          <w:highlight w:val="green"/>
        </w:rPr>
        <w:t>Mulyani</w:t>
      </w:r>
      <w:proofErr w:type="spellEnd"/>
      <w:r w:rsidRPr="00E155BB">
        <w:rPr>
          <w:rFonts w:ascii="Arial" w:hAnsi="Arial" w:cs="Arial"/>
          <w:highlight w:val="green"/>
        </w:rPr>
        <w:t>, 2020). However, the performance of the horticultural sector remains suboptimal, often constrained by institutional fragmentation, weak integration in spatial planning, and a lack of coordinated value chain governance (</w:t>
      </w:r>
      <w:proofErr w:type="spellStart"/>
      <w:r w:rsidRPr="00E155BB">
        <w:rPr>
          <w:rFonts w:ascii="Arial" w:hAnsi="Arial" w:cs="Arial"/>
          <w:highlight w:val="green"/>
        </w:rPr>
        <w:t>Arifianto</w:t>
      </w:r>
      <w:proofErr w:type="spellEnd"/>
      <w:r w:rsidRPr="00E155BB">
        <w:rPr>
          <w:rFonts w:ascii="Arial" w:hAnsi="Arial" w:cs="Arial"/>
          <w:highlight w:val="green"/>
        </w:rPr>
        <w:t xml:space="preserve">, 2023; </w:t>
      </w:r>
      <w:proofErr w:type="spellStart"/>
      <w:r w:rsidRPr="00E155BB">
        <w:rPr>
          <w:rFonts w:ascii="Arial" w:hAnsi="Arial" w:cs="Arial"/>
          <w:highlight w:val="green"/>
        </w:rPr>
        <w:t>Handayani</w:t>
      </w:r>
      <w:proofErr w:type="spellEnd"/>
      <w:r w:rsidRPr="00E155BB">
        <w:rPr>
          <w:rFonts w:ascii="Arial" w:hAnsi="Arial" w:cs="Arial"/>
          <w:highlight w:val="green"/>
        </w:rPr>
        <w:t xml:space="preserve"> et al., 2024).</w:t>
      </w:r>
    </w:p>
    <w:p w14:paraId="31ACF44C" w14:textId="77777777" w:rsidR="00E155BB" w:rsidRPr="00E155BB" w:rsidRDefault="00E155BB" w:rsidP="00E155BB">
      <w:pPr>
        <w:jc w:val="both"/>
        <w:rPr>
          <w:rFonts w:ascii="Arial" w:hAnsi="Arial" w:cs="Arial"/>
          <w:highlight w:val="green"/>
        </w:rPr>
      </w:pPr>
    </w:p>
    <w:p w14:paraId="5324D6E2" w14:textId="77777777" w:rsidR="00E155BB" w:rsidRPr="00E155BB" w:rsidRDefault="00E155BB" w:rsidP="00E155BB">
      <w:pPr>
        <w:jc w:val="both"/>
        <w:rPr>
          <w:rFonts w:ascii="Arial" w:hAnsi="Arial" w:cs="Arial"/>
          <w:highlight w:val="green"/>
        </w:rPr>
      </w:pPr>
      <w:r w:rsidRPr="00E155BB">
        <w:rPr>
          <w:rFonts w:ascii="Arial" w:hAnsi="Arial" w:cs="Arial"/>
          <w:highlight w:val="green"/>
        </w:rPr>
        <w:t xml:space="preserve">Agriculture continues to serve as a foundation of Indonesia’s economy, contributing to rural employment and food security across the archipelago. Within this sector, chili </w:t>
      </w:r>
      <w:proofErr w:type="gramStart"/>
      <w:r w:rsidRPr="00E155BB">
        <w:rPr>
          <w:rFonts w:ascii="Arial" w:hAnsi="Arial" w:cs="Arial"/>
          <w:highlight w:val="green"/>
        </w:rPr>
        <w:t>commodities—</w:t>
      </w:r>
      <w:proofErr w:type="gramEnd"/>
      <w:r w:rsidRPr="00E155BB">
        <w:rPr>
          <w:rFonts w:ascii="Arial" w:hAnsi="Arial" w:cs="Arial"/>
          <w:highlight w:val="green"/>
        </w:rPr>
        <w:t>especially red chili (Capsicum annuum) and bird’s eye chili (Capsicum frutescens)—have become critical, not only as dietary staples but also as high-value crops with strong market demand. Yet, regions like Deli Serdang Regency in North Sumatra, despite their agroecological diversity, have not fully capitalized on their horticultural potential. This is largely due to fragmented farmer organizations, inadequate access to post-harvest and cold storage facilities, and weak integration of spatial and institutional planning.</w:t>
      </w:r>
    </w:p>
    <w:p w14:paraId="47547CAF" w14:textId="77777777" w:rsidR="00E155BB" w:rsidRPr="00E155BB" w:rsidRDefault="00E155BB" w:rsidP="00E155BB">
      <w:pPr>
        <w:jc w:val="both"/>
        <w:rPr>
          <w:rFonts w:ascii="Arial" w:hAnsi="Arial" w:cs="Arial"/>
          <w:highlight w:val="green"/>
        </w:rPr>
      </w:pPr>
    </w:p>
    <w:p w14:paraId="0F402496" w14:textId="77777777" w:rsidR="00E155BB" w:rsidRPr="00E155BB" w:rsidRDefault="00E155BB" w:rsidP="00E155BB">
      <w:pPr>
        <w:jc w:val="both"/>
        <w:rPr>
          <w:rFonts w:ascii="Arial" w:hAnsi="Arial" w:cs="Arial"/>
          <w:highlight w:val="green"/>
        </w:rPr>
      </w:pPr>
      <w:r w:rsidRPr="00E155BB">
        <w:rPr>
          <w:rFonts w:ascii="Arial" w:hAnsi="Arial" w:cs="Arial"/>
          <w:highlight w:val="green"/>
        </w:rPr>
        <w:t>The urgency to enhance domestic vegetable production is further amplified by Indonesia’s persistent vegetable trade deficit and underperformance in achieving national self-sufficiency goals. The country continues to import substantial volumes of chili to stabilize prices during shortages, despite having suitable agroclimatic zones for year-round cultivation. This paradox points to a deeper structural issue: a lack of localized planning that aligns land use with agroecological suitability and market access.</w:t>
      </w:r>
    </w:p>
    <w:p w14:paraId="2AC84E42" w14:textId="77777777" w:rsidR="00E155BB" w:rsidRPr="00E155BB" w:rsidRDefault="00E155BB" w:rsidP="00E155BB">
      <w:pPr>
        <w:jc w:val="both"/>
        <w:rPr>
          <w:rFonts w:ascii="Arial" w:hAnsi="Arial" w:cs="Arial"/>
          <w:highlight w:val="green"/>
        </w:rPr>
      </w:pPr>
    </w:p>
    <w:p w14:paraId="616F038E" w14:textId="77777777" w:rsidR="00E155BB" w:rsidRPr="00E155BB" w:rsidRDefault="00E155BB" w:rsidP="00E155BB">
      <w:pPr>
        <w:jc w:val="both"/>
        <w:rPr>
          <w:rFonts w:ascii="Arial" w:hAnsi="Arial" w:cs="Arial"/>
          <w:highlight w:val="green"/>
        </w:rPr>
      </w:pPr>
      <w:r w:rsidRPr="00E155BB">
        <w:rPr>
          <w:rFonts w:ascii="Arial" w:hAnsi="Arial" w:cs="Arial"/>
          <w:highlight w:val="green"/>
        </w:rPr>
        <w:t>The spatial dimension of horticultural development plays a critical role in optimizing land use, managing ecological risks, and aligning production with consumer demand. Evidence suggests that integrated regional development planning, when informed by land suitability evaluations and agroecological zoning, can substantially improve agricultural productivity and resilience (</w:t>
      </w:r>
      <w:proofErr w:type="spellStart"/>
      <w:r w:rsidRPr="00E155BB">
        <w:rPr>
          <w:rFonts w:ascii="Arial" w:hAnsi="Arial" w:cs="Arial"/>
          <w:highlight w:val="green"/>
        </w:rPr>
        <w:t>Hardjowigeno</w:t>
      </w:r>
      <w:proofErr w:type="spellEnd"/>
      <w:r w:rsidRPr="00E155BB">
        <w:rPr>
          <w:rFonts w:ascii="Arial" w:hAnsi="Arial" w:cs="Arial"/>
          <w:highlight w:val="green"/>
        </w:rPr>
        <w:t xml:space="preserve"> &amp; </w:t>
      </w:r>
      <w:proofErr w:type="spellStart"/>
      <w:r w:rsidRPr="00E155BB">
        <w:rPr>
          <w:rFonts w:ascii="Arial" w:hAnsi="Arial" w:cs="Arial"/>
          <w:highlight w:val="green"/>
        </w:rPr>
        <w:t>Widiatmaka</w:t>
      </w:r>
      <w:proofErr w:type="spellEnd"/>
      <w:r w:rsidRPr="00E155BB">
        <w:rPr>
          <w:rFonts w:ascii="Arial" w:hAnsi="Arial" w:cs="Arial"/>
          <w:highlight w:val="green"/>
        </w:rPr>
        <w:t>, 2007; Henny et al., 2020). In regions like Deli Serdang, which exhibit diverse agroecosystems and a strong horticultural tradition, these spatial advantages remain largely untapped due to weak institutional alignment and low technological uptake (Putra, 2021; Lubis, 2021).</w:t>
      </w:r>
    </w:p>
    <w:p w14:paraId="7AE846A8" w14:textId="77777777" w:rsidR="00E155BB" w:rsidRPr="00E155BB" w:rsidRDefault="00E155BB" w:rsidP="00E155BB">
      <w:pPr>
        <w:jc w:val="both"/>
        <w:rPr>
          <w:rFonts w:ascii="Arial" w:hAnsi="Arial" w:cs="Arial"/>
          <w:highlight w:val="green"/>
        </w:rPr>
      </w:pPr>
    </w:p>
    <w:p w14:paraId="3BEBA6B3" w14:textId="77777777" w:rsidR="00E155BB" w:rsidRPr="00E155BB" w:rsidRDefault="00E155BB" w:rsidP="00E155BB">
      <w:pPr>
        <w:jc w:val="both"/>
        <w:rPr>
          <w:rFonts w:ascii="Arial" w:hAnsi="Arial" w:cs="Arial"/>
          <w:highlight w:val="green"/>
        </w:rPr>
      </w:pPr>
      <w:r w:rsidRPr="00E155BB">
        <w:rPr>
          <w:rFonts w:ascii="Arial" w:hAnsi="Arial" w:cs="Arial"/>
          <w:highlight w:val="green"/>
        </w:rPr>
        <w:lastRenderedPageBreak/>
        <w:t xml:space="preserve">National consumption of vegetables, including chili, remains below FAO-recommended nutritional thresholds, highlighting both </w:t>
      </w:r>
      <w:proofErr w:type="gramStart"/>
      <w:r w:rsidRPr="00E155BB">
        <w:rPr>
          <w:rFonts w:ascii="Arial" w:hAnsi="Arial" w:cs="Arial"/>
          <w:highlight w:val="green"/>
        </w:rPr>
        <w:t>a health</w:t>
      </w:r>
      <w:proofErr w:type="gramEnd"/>
      <w:r w:rsidRPr="00E155BB">
        <w:rPr>
          <w:rFonts w:ascii="Arial" w:hAnsi="Arial" w:cs="Arial"/>
          <w:highlight w:val="green"/>
        </w:rPr>
        <w:t xml:space="preserve"> concern and </w:t>
      </w:r>
      <w:proofErr w:type="gramStart"/>
      <w:r w:rsidRPr="00E155BB">
        <w:rPr>
          <w:rFonts w:ascii="Arial" w:hAnsi="Arial" w:cs="Arial"/>
          <w:highlight w:val="green"/>
        </w:rPr>
        <w:t>a market</w:t>
      </w:r>
      <w:proofErr w:type="gramEnd"/>
      <w:r w:rsidRPr="00E155BB">
        <w:rPr>
          <w:rFonts w:ascii="Arial" w:hAnsi="Arial" w:cs="Arial"/>
          <w:highlight w:val="green"/>
        </w:rPr>
        <w:t xml:space="preserve"> opportunity. At the same time, farmers in Deli Serdang are poorly integrated into profitable value chains, lacking bargaining power and institutional support to compete with imports or benefit from rising domestic demand.</w:t>
      </w:r>
    </w:p>
    <w:p w14:paraId="5A66EAAE" w14:textId="77777777" w:rsidR="00E155BB" w:rsidRPr="00E155BB" w:rsidRDefault="00E155BB" w:rsidP="00E155BB">
      <w:pPr>
        <w:jc w:val="both"/>
        <w:rPr>
          <w:rFonts w:ascii="Arial" w:hAnsi="Arial" w:cs="Arial"/>
          <w:highlight w:val="green"/>
        </w:rPr>
      </w:pPr>
    </w:p>
    <w:p w14:paraId="39460441" w14:textId="77777777" w:rsidR="00E155BB" w:rsidRPr="00E155BB" w:rsidRDefault="00E155BB" w:rsidP="00E155BB">
      <w:pPr>
        <w:jc w:val="both"/>
        <w:rPr>
          <w:rFonts w:ascii="Arial" w:hAnsi="Arial" w:cs="Arial"/>
          <w:highlight w:val="green"/>
        </w:rPr>
      </w:pPr>
      <w:r w:rsidRPr="00E155BB">
        <w:rPr>
          <w:rFonts w:ascii="Arial" w:hAnsi="Arial" w:cs="Arial"/>
          <w:highlight w:val="green"/>
        </w:rPr>
        <w:t>To address these multidimensional challenges, scholars and policymakers have advocated for the adoption of strategic planning tools that combine spatial, economic, and institutional analyses. Approaches such as SWOT-AHP have proven effective in structuring policy decisions in complex, multi-stakeholder environments, allowing for a more systematic prioritization of development actions (</w:t>
      </w:r>
      <w:proofErr w:type="spellStart"/>
      <w:r w:rsidRPr="00E155BB">
        <w:rPr>
          <w:rFonts w:ascii="Arial" w:hAnsi="Arial" w:cs="Arial"/>
          <w:highlight w:val="green"/>
        </w:rPr>
        <w:t>Buzadjija</w:t>
      </w:r>
      <w:proofErr w:type="spellEnd"/>
      <w:r w:rsidRPr="00E155BB">
        <w:rPr>
          <w:rFonts w:ascii="Arial" w:hAnsi="Arial" w:cs="Arial"/>
          <w:highlight w:val="green"/>
        </w:rPr>
        <w:t xml:space="preserve"> et al., 2014; Sari et al., 2020). When complemented by participatory land-use assessments and climate-resilient planning, such frameworks can yield sustainable and locally grounded development outcomes (Putri et al., 2023; Hartono et al., 2020).</w:t>
      </w:r>
    </w:p>
    <w:p w14:paraId="4E1E12CB" w14:textId="77777777" w:rsidR="00E155BB" w:rsidRPr="00E155BB" w:rsidRDefault="00E155BB" w:rsidP="00E155BB">
      <w:pPr>
        <w:jc w:val="both"/>
        <w:rPr>
          <w:rFonts w:ascii="Arial" w:hAnsi="Arial" w:cs="Arial"/>
          <w:highlight w:val="green"/>
        </w:rPr>
      </w:pPr>
    </w:p>
    <w:p w14:paraId="72C3E623" w14:textId="77777777" w:rsidR="00E155BB" w:rsidRPr="00E155BB" w:rsidRDefault="00E155BB" w:rsidP="00E155BB">
      <w:pPr>
        <w:jc w:val="both"/>
        <w:rPr>
          <w:rFonts w:ascii="Arial" w:hAnsi="Arial" w:cs="Arial"/>
          <w:highlight w:val="green"/>
        </w:rPr>
      </w:pPr>
      <w:r w:rsidRPr="00E155BB">
        <w:rPr>
          <w:rFonts w:ascii="Arial" w:hAnsi="Arial" w:cs="Arial"/>
          <w:highlight w:val="green"/>
        </w:rPr>
        <w:t xml:space="preserve">The role of farmer organizations, cooperatives, and digital market platforms also warrants attention. Studies show that access to digitalized marketing channels such as </w:t>
      </w:r>
      <w:proofErr w:type="spellStart"/>
      <w:r w:rsidRPr="00E155BB">
        <w:rPr>
          <w:rFonts w:ascii="Arial" w:hAnsi="Arial" w:cs="Arial"/>
          <w:highlight w:val="green"/>
        </w:rPr>
        <w:t>TaniHub</w:t>
      </w:r>
      <w:proofErr w:type="spellEnd"/>
      <w:r w:rsidRPr="00E155BB">
        <w:rPr>
          <w:rFonts w:ascii="Arial" w:hAnsi="Arial" w:cs="Arial"/>
          <w:highlight w:val="green"/>
        </w:rPr>
        <w:t xml:space="preserve"> and structured partnerships in closed-loop systems significantly enhance farmer profitability and bargaining power (</w:t>
      </w:r>
      <w:proofErr w:type="spellStart"/>
      <w:r w:rsidRPr="00E155BB">
        <w:rPr>
          <w:rFonts w:ascii="Arial" w:hAnsi="Arial" w:cs="Arial"/>
          <w:highlight w:val="green"/>
        </w:rPr>
        <w:t>Kusnadi</w:t>
      </w:r>
      <w:proofErr w:type="spellEnd"/>
      <w:r w:rsidRPr="00E155BB">
        <w:rPr>
          <w:rFonts w:ascii="Arial" w:hAnsi="Arial" w:cs="Arial"/>
          <w:highlight w:val="green"/>
        </w:rPr>
        <w:t xml:space="preserve">, 2022; Siregar, 2022). Moreover, institutional </w:t>
      </w:r>
      <w:proofErr w:type="gramStart"/>
      <w:r w:rsidRPr="00E155BB">
        <w:rPr>
          <w:rFonts w:ascii="Arial" w:hAnsi="Arial" w:cs="Arial"/>
          <w:highlight w:val="green"/>
        </w:rPr>
        <w:t>strengthening—</w:t>
      </w:r>
      <w:proofErr w:type="gramEnd"/>
      <w:r w:rsidRPr="00E155BB">
        <w:rPr>
          <w:rFonts w:ascii="Arial" w:hAnsi="Arial" w:cs="Arial"/>
          <w:highlight w:val="green"/>
        </w:rPr>
        <w:t xml:space="preserve">particularly in the form of cooperative development and inclusive </w:t>
      </w:r>
      <w:proofErr w:type="gramStart"/>
      <w:r w:rsidRPr="00E155BB">
        <w:rPr>
          <w:rFonts w:ascii="Arial" w:hAnsi="Arial" w:cs="Arial"/>
          <w:highlight w:val="green"/>
        </w:rPr>
        <w:t>financing—</w:t>
      </w:r>
      <w:proofErr w:type="gramEnd"/>
      <w:r w:rsidRPr="00E155BB">
        <w:rPr>
          <w:rFonts w:ascii="Arial" w:hAnsi="Arial" w:cs="Arial"/>
          <w:highlight w:val="green"/>
        </w:rPr>
        <w:t>has demonstrated positive impacts on smallholder participation in competitive value chains (</w:t>
      </w:r>
      <w:proofErr w:type="spellStart"/>
      <w:r w:rsidRPr="00E155BB">
        <w:rPr>
          <w:rFonts w:ascii="Arial" w:hAnsi="Arial" w:cs="Arial"/>
          <w:highlight w:val="green"/>
        </w:rPr>
        <w:t>Hutabarat</w:t>
      </w:r>
      <w:proofErr w:type="spellEnd"/>
      <w:r w:rsidRPr="00E155BB">
        <w:rPr>
          <w:rFonts w:ascii="Arial" w:hAnsi="Arial" w:cs="Arial"/>
          <w:highlight w:val="green"/>
        </w:rPr>
        <w:t>, 2021; Sari, 2021).</w:t>
      </w:r>
    </w:p>
    <w:p w14:paraId="6060B83C" w14:textId="77777777" w:rsidR="00E155BB" w:rsidRPr="00E155BB" w:rsidRDefault="00E155BB" w:rsidP="00E155BB">
      <w:pPr>
        <w:jc w:val="both"/>
        <w:rPr>
          <w:rFonts w:ascii="Arial" w:hAnsi="Arial" w:cs="Arial"/>
          <w:highlight w:val="green"/>
        </w:rPr>
      </w:pPr>
    </w:p>
    <w:p w14:paraId="7988C8CF" w14:textId="77777777" w:rsidR="00E155BB" w:rsidRPr="00E155BB" w:rsidRDefault="00E155BB" w:rsidP="00E155BB">
      <w:pPr>
        <w:jc w:val="both"/>
        <w:rPr>
          <w:rFonts w:ascii="Arial" w:hAnsi="Arial" w:cs="Arial"/>
          <w:highlight w:val="green"/>
        </w:rPr>
      </w:pPr>
      <w:r w:rsidRPr="00E155BB">
        <w:rPr>
          <w:rFonts w:ascii="Arial" w:hAnsi="Arial" w:cs="Arial"/>
          <w:highlight w:val="green"/>
        </w:rPr>
        <w:t xml:space="preserve">Furthermore, localized horticultural development must be aligned with broader sustainability goals, particularly </w:t>
      </w:r>
      <w:proofErr w:type="gramStart"/>
      <w:r w:rsidRPr="00E155BB">
        <w:rPr>
          <w:rFonts w:ascii="Arial" w:hAnsi="Arial" w:cs="Arial"/>
          <w:highlight w:val="green"/>
        </w:rPr>
        <w:t>in light of</w:t>
      </w:r>
      <w:proofErr w:type="gramEnd"/>
      <w:r w:rsidRPr="00E155BB">
        <w:rPr>
          <w:rFonts w:ascii="Arial" w:hAnsi="Arial" w:cs="Arial"/>
          <w:highlight w:val="green"/>
        </w:rPr>
        <w:t xml:space="preserve"> increasing climate variability and land use pressures. Climate-adaptive strategies embedded in spatial planning can mitigate risk and ensure continuity in vegetable production systems (Putri et al., 2022; Arsyad, 2006). This includes promoting diversified farming systems, strengthening extension services, and enhancing access to appropriate agricultural technology (Fauzi, 2020; Nasution, 2023).</w:t>
      </w:r>
    </w:p>
    <w:p w14:paraId="0F8CA670" w14:textId="77777777" w:rsidR="00E155BB" w:rsidRPr="00E155BB" w:rsidRDefault="00E155BB" w:rsidP="00E155BB">
      <w:pPr>
        <w:jc w:val="both"/>
        <w:rPr>
          <w:rFonts w:ascii="Arial" w:hAnsi="Arial" w:cs="Arial"/>
          <w:highlight w:val="green"/>
        </w:rPr>
      </w:pPr>
    </w:p>
    <w:p w14:paraId="21D9C645" w14:textId="77777777" w:rsidR="00E155BB" w:rsidRPr="00E155BB" w:rsidRDefault="00E155BB" w:rsidP="00E155BB">
      <w:pPr>
        <w:jc w:val="both"/>
        <w:rPr>
          <w:rFonts w:ascii="Arial" w:hAnsi="Arial" w:cs="Arial"/>
          <w:highlight w:val="green"/>
        </w:rPr>
      </w:pPr>
      <w:r w:rsidRPr="00E155BB">
        <w:rPr>
          <w:rFonts w:ascii="Arial" w:hAnsi="Arial" w:cs="Arial"/>
          <w:highlight w:val="green"/>
        </w:rPr>
        <w:t xml:space="preserve">Despite Deli Serdang’s agroecological diversity and long-standing agricultural base, the regency has yet to fully leverage its potential in vegetable horticulture. Previous studies have not sufficiently addressed the intersection of spatial zoning, value chain optimization, and institutional integration within this context. This represents a critical research gap in regional agricultural development planning. The present study responds </w:t>
      </w:r>
      <w:r w:rsidRPr="00E155BB">
        <w:rPr>
          <w:rFonts w:ascii="Arial" w:hAnsi="Arial" w:cs="Arial"/>
          <w:highlight w:val="green"/>
        </w:rPr>
        <w:lastRenderedPageBreak/>
        <w:t xml:space="preserve">to this gap by exploring the strategic potential of vegetable horticulture-based regional development in Deli Serdang using an integrative, multi-criteria framework. The research synthesizes agroecological assessments, institutional diagnostics, and value chain analyses to provide actionable recommendations for local planners and stakeholders. By drawing from national policy initiatives and grounded empirical data, the study aspires to offer a replicable model for other agrarian regions facing similar development constraints (Kementerian </w:t>
      </w:r>
      <w:proofErr w:type="spellStart"/>
      <w:r w:rsidRPr="00E155BB">
        <w:rPr>
          <w:rFonts w:ascii="Arial" w:hAnsi="Arial" w:cs="Arial"/>
          <w:highlight w:val="green"/>
        </w:rPr>
        <w:t>Pertanian</w:t>
      </w:r>
      <w:proofErr w:type="spellEnd"/>
      <w:r w:rsidRPr="00E155BB">
        <w:rPr>
          <w:rFonts w:ascii="Arial" w:hAnsi="Arial" w:cs="Arial"/>
          <w:highlight w:val="green"/>
        </w:rPr>
        <w:t xml:space="preserve">, 2024; </w:t>
      </w:r>
      <w:proofErr w:type="spellStart"/>
      <w:r w:rsidRPr="00E155BB">
        <w:rPr>
          <w:rFonts w:ascii="Arial" w:hAnsi="Arial" w:cs="Arial"/>
          <w:highlight w:val="green"/>
        </w:rPr>
        <w:t>Djaenuddin</w:t>
      </w:r>
      <w:proofErr w:type="spellEnd"/>
      <w:r w:rsidRPr="00E155BB">
        <w:rPr>
          <w:rFonts w:ascii="Arial" w:hAnsi="Arial" w:cs="Arial"/>
          <w:highlight w:val="green"/>
        </w:rPr>
        <w:t>, 2008).</w:t>
      </w:r>
    </w:p>
    <w:p w14:paraId="3A9805A8" w14:textId="77777777" w:rsidR="00E155BB" w:rsidRPr="00E155BB" w:rsidRDefault="00E155BB" w:rsidP="00E155BB">
      <w:pPr>
        <w:jc w:val="both"/>
        <w:rPr>
          <w:rFonts w:ascii="Arial" w:hAnsi="Arial" w:cs="Arial"/>
          <w:highlight w:val="green"/>
        </w:rPr>
      </w:pPr>
    </w:p>
    <w:p w14:paraId="2CC66FFD" w14:textId="751DC788" w:rsidR="00F407A4" w:rsidRPr="009D3176" w:rsidRDefault="00E155BB" w:rsidP="00E155BB">
      <w:pPr>
        <w:jc w:val="both"/>
        <w:rPr>
          <w:rFonts w:ascii="Arial" w:hAnsi="Arial" w:cs="Arial"/>
          <w:highlight w:val="yellow"/>
        </w:rPr>
      </w:pPr>
      <w:r w:rsidRPr="00E155BB">
        <w:rPr>
          <w:rFonts w:ascii="Arial" w:hAnsi="Arial" w:cs="Arial"/>
          <w:highlight w:val="green"/>
        </w:rPr>
        <w:t>Ultimately, integrating horticulture into regional spatial development is not merely a sectoral objective, but a broader pathway toward enhancing food security, reducing rural poverty, and building climate-resilient local economies. The lessons drawn from Deli Serdang can serve as strategic inputs for provincial and national agendas aimed at transforming Indonesia’s agricultural landscape through more participatory, data-driven, and ecologically sustainable approaches</w:t>
      </w:r>
      <w:r w:rsidR="00F407A4" w:rsidRPr="00F31EC7">
        <w:rPr>
          <w:rFonts w:ascii="Arial" w:hAnsi="Arial" w:cs="Arial"/>
        </w:rPr>
        <w:t>.</w:t>
      </w:r>
    </w:p>
    <w:p w14:paraId="08C5F52B" w14:textId="0964EF56" w:rsidR="00F31EC7" w:rsidRPr="003B097E" w:rsidRDefault="00F31EC7" w:rsidP="00F31EC7">
      <w:pPr>
        <w:pStyle w:val="ListParagraph"/>
        <w:numPr>
          <w:ilvl w:val="0"/>
          <w:numId w:val="10"/>
        </w:numPr>
        <w:ind w:left="709"/>
        <w:rPr>
          <w:rFonts w:ascii="Arial" w:hAnsi="Arial" w:cs="Arial"/>
          <w:b/>
          <w:bCs/>
        </w:rPr>
      </w:pPr>
      <w:r>
        <w:rPr>
          <w:rFonts w:ascii="Arial" w:hAnsi="Arial" w:cs="Arial"/>
          <w:b/>
          <w:bCs/>
        </w:rPr>
        <w:t>Methodology</w:t>
      </w:r>
    </w:p>
    <w:p w14:paraId="14E4DE01" w14:textId="2A7441FF" w:rsidR="000A2FF1" w:rsidRPr="00F31EC7" w:rsidRDefault="000A2FF1" w:rsidP="00F31EC7">
      <w:pPr>
        <w:pStyle w:val="ListParagraph"/>
        <w:numPr>
          <w:ilvl w:val="1"/>
          <w:numId w:val="10"/>
        </w:numPr>
        <w:ind w:left="426" w:hanging="426"/>
        <w:rPr>
          <w:rFonts w:ascii="Arial" w:hAnsi="Arial" w:cs="Arial"/>
          <w:b/>
          <w:bCs/>
        </w:rPr>
      </w:pPr>
      <w:r w:rsidRPr="00F31EC7">
        <w:rPr>
          <w:rFonts w:ascii="Arial" w:hAnsi="Arial" w:cs="Arial"/>
          <w:b/>
          <w:bCs/>
        </w:rPr>
        <w:t>Research Design</w:t>
      </w:r>
    </w:p>
    <w:p w14:paraId="2B258323" w14:textId="199C8F0A" w:rsidR="000A2FF1" w:rsidRPr="000A2FF1" w:rsidRDefault="00F93CFF" w:rsidP="00F31EC7">
      <w:pPr>
        <w:jc w:val="both"/>
        <w:rPr>
          <w:rFonts w:ascii="Arial" w:hAnsi="Arial" w:cs="Arial"/>
        </w:rPr>
      </w:pPr>
      <w:r w:rsidRPr="00F93CFF">
        <w:rPr>
          <w:rFonts w:ascii="Arial" w:hAnsi="Arial" w:cs="Arial"/>
          <w:highlight w:val="yellow"/>
        </w:rPr>
        <w:t xml:space="preserve">This study employs a </w:t>
      </w:r>
      <w:r w:rsidRPr="00F93CFF">
        <w:rPr>
          <w:rFonts w:ascii="Arial" w:hAnsi="Arial" w:cs="Arial"/>
          <w:b/>
          <w:bCs/>
          <w:highlight w:val="yellow"/>
        </w:rPr>
        <w:t>descriptive-quantitative approach</w:t>
      </w:r>
      <w:r w:rsidRPr="00F93CFF">
        <w:rPr>
          <w:rFonts w:ascii="Arial" w:hAnsi="Arial" w:cs="Arial"/>
          <w:highlight w:val="yellow"/>
        </w:rPr>
        <w:t xml:space="preserve"> supported by spatial and institutional analysis to evaluate the strategic potential of vegetable horticulture-based development in Deli Serdang, Indonesia. The research design integrates a set of analytical tools—</w:t>
      </w:r>
      <w:r w:rsidRPr="00F93CFF">
        <w:rPr>
          <w:rFonts w:ascii="Arial" w:hAnsi="Arial" w:cs="Arial"/>
          <w:b/>
          <w:bCs/>
          <w:highlight w:val="yellow"/>
        </w:rPr>
        <w:t>Location Quotient (LQ)</w:t>
      </w:r>
      <w:r w:rsidRPr="00F93CFF">
        <w:rPr>
          <w:rFonts w:ascii="Arial" w:hAnsi="Arial" w:cs="Arial"/>
          <w:highlight w:val="yellow"/>
        </w:rPr>
        <w:t xml:space="preserve">, </w:t>
      </w:r>
      <w:r w:rsidRPr="00F93CFF">
        <w:rPr>
          <w:rFonts w:ascii="Arial" w:hAnsi="Arial" w:cs="Arial"/>
          <w:b/>
          <w:bCs/>
          <w:highlight w:val="yellow"/>
        </w:rPr>
        <w:t>Shift Share Analysis (SSA)</w:t>
      </w:r>
      <w:r w:rsidRPr="00F93CFF">
        <w:rPr>
          <w:rFonts w:ascii="Arial" w:hAnsi="Arial" w:cs="Arial"/>
          <w:highlight w:val="yellow"/>
        </w:rPr>
        <w:t xml:space="preserve">, </w:t>
      </w:r>
      <w:r w:rsidRPr="00F93CFF">
        <w:rPr>
          <w:rFonts w:ascii="Arial" w:hAnsi="Arial" w:cs="Arial"/>
          <w:b/>
          <w:bCs/>
          <w:highlight w:val="yellow"/>
        </w:rPr>
        <w:t>farm feasibility analysis (R/C ratio)</w:t>
      </w:r>
      <w:r w:rsidRPr="00F93CFF">
        <w:rPr>
          <w:rFonts w:ascii="Arial" w:hAnsi="Arial" w:cs="Arial"/>
          <w:highlight w:val="yellow"/>
        </w:rPr>
        <w:t xml:space="preserve">, </w:t>
      </w:r>
      <w:r w:rsidRPr="00F93CFF">
        <w:rPr>
          <w:rFonts w:ascii="Arial" w:hAnsi="Arial" w:cs="Arial"/>
          <w:b/>
          <w:bCs/>
          <w:highlight w:val="yellow"/>
        </w:rPr>
        <w:t>marketing margin assessment</w:t>
      </w:r>
      <w:r w:rsidRPr="00F93CFF">
        <w:rPr>
          <w:rFonts w:ascii="Arial" w:hAnsi="Arial" w:cs="Arial"/>
          <w:highlight w:val="yellow"/>
        </w:rPr>
        <w:t xml:space="preserve">, and </w:t>
      </w:r>
      <w:r w:rsidRPr="00F93CFF">
        <w:rPr>
          <w:rFonts w:ascii="Arial" w:hAnsi="Arial" w:cs="Arial"/>
          <w:b/>
          <w:bCs/>
          <w:highlight w:val="yellow"/>
        </w:rPr>
        <w:t>A’WOT (Analytical Hierarchy Process + SWOT)</w:t>
      </w:r>
      <w:r w:rsidRPr="00F93CFF">
        <w:rPr>
          <w:rFonts w:ascii="Arial" w:hAnsi="Arial" w:cs="Arial"/>
          <w:highlight w:val="yellow"/>
        </w:rPr>
        <w:t>—to systematically examine agroecological potential, economic viability, market dynamics, and strategic development pathways. This multi-criteria framework enables a holistic understanding of the region's horticultural sector while providing an evidence-based foundation for regional planning and policy formulation (</w:t>
      </w:r>
      <w:proofErr w:type="spellStart"/>
      <w:r w:rsidRPr="00F93CFF">
        <w:rPr>
          <w:rFonts w:ascii="Arial" w:hAnsi="Arial" w:cs="Arial"/>
          <w:highlight w:val="yellow"/>
        </w:rPr>
        <w:t>Widiatmaka</w:t>
      </w:r>
      <w:proofErr w:type="spellEnd"/>
      <w:r w:rsidRPr="00F93CFF">
        <w:rPr>
          <w:rFonts w:ascii="Arial" w:hAnsi="Arial" w:cs="Arial"/>
          <w:highlight w:val="yellow"/>
        </w:rPr>
        <w:t xml:space="preserve"> et al., 2015; </w:t>
      </w:r>
      <w:proofErr w:type="spellStart"/>
      <w:r w:rsidRPr="00F93CFF">
        <w:rPr>
          <w:rFonts w:ascii="Arial" w:hAnsi="Arial" w:cs="Arial"/>
          <w:highlight w:val="yellow"/>
        </w:rPr>
        <w:t>Buzadjija</w:t>
      </w:r>
      <w:proofErr w:type="spellEnd"/>
      <w:r w:rsidRPr="00F93CFF">
        <w:rPr>
          <w:rFonts w:ascii="Arial" w:hAnsi="Arial" w:cs="Arial"/>
          <w:highlight w:val="yellow"/>
        </w:rPr>
        <w:t xml:space="preserve"> et al., 2017).</w:t>
      </w:r>
    </w:p>
    <w:p w14:paraId="5924A716" w14:textId="2F14FE73" w:rsidR="000A2FF1" w:rsidRPr="000A2FF1" w:rsidRDefault="00F31EC7" w:rsidP="000A2FF1">
      <w:pPr>
        <w:rPr>
          <w:rFonts w:ascii="Arial" w:hAnsi="Arial" w:cs="Arial"/>
          <w:b/>
          <w:bCs/>
        </w:rPr>
      </w:pPr>
      <w:r>
        <w:rPr>
          <w:rFonts w:ascii="Arial" w:hAnsi="Arial" w:cs="Arial"/>
          <w:b/>
          <w:bCs/>
        </w:rPr>
        <w:t>2.</w:t>
      </w:r>
      <w:r w:rsidR="000A2FF1" w:rsidRPr="000A2FF1">
        <w:rPr>
          <w:rFonts w:ascii="Arial" w:hAnsi="Arial" w:cs="Arial"/>
          <w:b/>
          <w:bCs/>
        </w:rPr>
        <w:t>2 Study Area and Duration</w:t>
      </w:r>
    </w:p>
    <w:p w14:paraId="6E2ADADE" w14:textId="6F691189" w:rsidR="000A2FF1" w:rsidRPr="000A2FF1" w:rsidRDefault="000A2FF1" w:rsidP="00F31EC7">
      <w:pPr>
        <w:jc w:val="both"/>
        <w:rPr>
          <w:rFonts w:ascii="Arial" w:hAnsi="Arial" w:cs="Arial"/>
        </w:rPr>
      </w:pPr>
      <w:r w:rsidRPr="000A2FF1">
        <w:rPr>
          <w:rFonts w:ascii="Arial" w:hAnsi="Arial" w:cs="Arial"/>
        </w:rPr>
        <w:t xml:space="preserve">The research was conducted in Deli Serdang Regency, located in North Sumatra Province, covering an area of approximately 2,497 km². The study focused on selected subdistricts known for significant horticultural activity, including </w:t>
      </w:r>
      <w:proofErr w:type="spellStart"/>
      <w:r w:rsidRPr="000A2FF1">
        <w:rPr>
          <w:rFonts w:ascii="Arial" w:hAnsi="Arial" w:cs="Arial"/>
        </w:rPr>
        <w:t>Beringin</w:t>
      </w:r>
      <w:proofErr w:type="spellEnd"/>
      <w:r w:rsidRPr="000A2FF1">
        <w:rPr>
          <w:rFonts w:ascii="Arial" w:hAnsi="Arial" w:cs="Arial"/>
        </w:rPr>
        <w:t xml:space="preserve">, </w:t>
      </w:r>
      <w:proofErr w:type="spellStart"/>
      <w:r w:rsidRPr="000A2FF1">
        <w:rPr>
          <w:rFonts w:ascii="Arial" w:hAnsi="Arial" w:cs="Arial"/>
        </w:rPr>
        <w:t>Lubuk</w:t>
      </w:r>
      <w:proofErr w:type="spellEnd"/>
      <w:r w:rsidRPr="000A2FF1">
        <w:rPr>
          <w:rFonts w:ascii="Arial" w:hAnsi="Arial" w:cs="Arial"/>
        </w:rPr>
        <w:t xml:space="preserve"> Pakam, and </w:t>
      </w:r>
      <w:proofErr w:type="spellStart"/>
      <w:r w:rsidRPr="000A2FF1">
        <w:rPr>
          <w:rFonts w:ascii="Arial" w:hAnsi="Arial" w:cs="Arial"/>
        </w:rPr>
        <w:t>Sibolangit</w:t>
      </w:r>
      <w:proofErr w:type="spellEnd"/>
      <w:r w:rsidRPr="000A2FF1">
        <w:rPr>
          <w:rFonts w:ascii="Arial" w:hAnsi="Arial" w:cs="Arial"/>
        </w:rPr>
        <w:t xml:space="preserve">. Data collection and fieldwork were conducted over a three-month period from April to </w:t>
      </w:r>
      <w:r w:rsidR="005A1525">
        <w:rPr>
          <w:rFonts w:ascii="Arial" w:hAnsi="Arial" w:cs="Arial"/>
        </w:rPr>
        <w:t>Ma</w:t>
      </w:r>
      <w:r w:rsidR="001303C2">
        <w:rPr>
          <w:rFonts w:ascii="Arial" w:hAnsi="Arial" w:cs="Arial"/>
        </w:rPr>
        <w:t>y</w:t>
      </w:r>
      <w:r w:rsidRPr="000A2FF1">
        <w:rPr>
          <w:rFonts w:ascii="Arial" w:hAnsi="Arial" w:cs="Arial"/>
        </w:rPr>
        <w:t xml:space="preserve"> 2025, encompassing both planting and post-harvest phases to ensure representative data across production cycles.</w:t>
      </w:r>
    </w:p>
    <w:p w14:paraId="7D1B7BB8" w14:textId="1F71A43F" w:rsidR="000A2FF1" w:rsidRPr="000A2FF1" w:rsidRDefault="00F31EC7" w:rsidP="000A2FF1">
      <w:pPr>
        <w:rPr>
          <w:rFonts w:ascii="Arial" w:hAnsi="Arial" w:cs="Arial"/>
          <w:b/>
          <w:bCs/>
        </w:rPr>
      </w:pPr>
      <w:r>
        <w:rPr>
          <w:rFonts w:ascii="Arial" w:hAnsi="Arial" w:cs="Arial"/>
          <w:b/>
          <w:bCs/>
        </w:rPr>
        <w:t>2.</w:t>
      </w:r>
      <w:r w:rsidR="000A2FF1" w:rsidRPr="000A2FF1">
        <w:rPr>
          <w:rFonts w:ascii="Arial" w:hAnsi="Arial" w:cs="Arial"/>
          <w:b/>
          <w:bCs/>
        </w:rPr>
        <w:t>3 Data Sources and Types</w:t>
      </w:r>
    </w:p>
    <w:p w14:paraId="22663277" w14:textId="77777777" w:rsidR="000A2FF1" w:rsidRPr="000A2FF1" w:rsidRDefault="000A2FF1" w:rsidP="000A2FF1">
      <w:pPr>
        <w:rPr>
          <w:rFonts w:ascii="Arial" w:hAnsi="Arial" w:cs="Arial"/>
        </w:rPr>
      </w:pPr>
      <w:r w:rsidRPr="000A2FF1">
        <w:rPr>
          <w:rFonts w:ascii="Arial" w:hAnsi="Arial" w:cs="Arial"/>
        </w:rPr>
        <w:t>Two primary types of data were used:</w:t>
      </w:r>
    </w:p>
    <w:p w14:paraId="45AAB302" w14:textId="77777777" w:rsidR="000A2FF1" w:rsidRPr="000A2FF1" w:rsidRDefault="000A2FF1" w:rsidP="00F31EC7">
      <w:pPr>
        <w:numPr>
          <w:ilvl w:val="0"/>
          <w:numId w:val="11"/>
        </w:numPr>
        <w:jc w:val="both"/>
        <w:rPr>
          <w:rFonts w:ascii="Arial" w:hAnsi="Arial" w:cs="Arial"/>
        </w:rPr>
      </w:pPr>
      <w:r w:rsidRPr="000A2FF1">
        <w:rPr>
          <w:rFonts w:ascii="Arial" w:hAnsi="Arial" w:cs="Arial"/>
        </w:rPr>
        <w:lastRenderedPageBreak/>
        <w:t>Primary data: Collected via structured questionnaires and in-depth interviews with key stakeholders, including local government officials, extension officers, farmers, and agricultural experts. The stakeholder selection was conducted using purposive sampling to ensure expertise relevance (</w:t>
      </w:r>
      <w:proofErr w:type="spellStart"/>
      <w:r w:rsidRPr="000A2FF1">
        <w:rPr>
          <w:rFonts w:ascii="Arial" w:hAnsi="Arial" w:cs="Arial"/>
        </w:rPr>
        <w:t>Buzadjija</w:t>
      </w:r>
      <w:proofErr w:type="spellEnd"/>
      <w:r w:rsidRPr="000A2FF1">
        <w:rPr>
          <w:rFonts w:ascii="Arial" w:hAnsi="Arial" w:cs="Arial"/>
        </w:rPr>
        <w:t xml:space="preserve"> et al., 2017).</w:t>
      </w:r>
    </w:p>
    <w:p w14:paraId="40A21AE9" w14:textId="77777777" w:rsidR="000A2FF1" w:rsidRPr="000A2FF1" w:rsidRDefault="000A2FF1" w:rsidP="00F31EC7">
      <w:pPr>
        <w:numPr>
          <w:ilvl w:val="0"/>
          <w:numId w:val="11"/>
        </w:numPr>
        <w:jc w:val="both"/>
        <w:rPr>
          <w:rFonts w:ascii="Arial" w:hAnsi="Arial" w:cs="Arial"/>
        </w:rPr>
      </w:pPr>
      <w:r w:rsidRPr="000A2FF1">
        <w:rPr>
          <w:rFonts w:ascii="Arial" w:hAnsi="Arial" w:cs="Arial"/>
        </w:rPr>
        <w:t>Secondary data: Gathered from official sources such as the Central Bureau of Statistics (BPS), the Department of Agriculture of Deli Serdang, and relevant academic publications. These datasets included information on land use, crop yields, prices, population demographics, and spatial zoning maps.</w:t>
      </w:r>
    </w:p>
    <w:p w14:paraId="25EF258D" w14:textId="31AC656A" w:rsidR="000A2FF1" w:rsidRPr="000A2FF1" w:rsidRDefault="00F31EC7" w:rsidP="000A2FF1">
      <w:pPr>
        <w:rPr>
          <w:rFonts w:ascii="Arial" w:hAnsi="Arial" w:cs="Arial"/>
          <w:b/>
          <w:bCs/>
        </w:rPr>
      </w:pPr>
      <w:r>
        <w:rPr>
          <w:rFonts w:ascii="Arial" w:hAnsi="Arial" w:cs="Arial"/>
          <w:b/>
          <w:bCs/>
        </w:rPr>
        <w:t>2.</w:t>
      </w:r>
      <w:r w:rsidR="000A2FF1" w:rsidRPr="000A2FF1">
        <w:rPr>
          <w:rFonts w:ascii="Arial" w:hAnsi="Arial" w:cs="Arial"/>
          <w:b/>
          <w:bCs/>
        </w:rPr>
        <w:t>4 Commodity Identification Analysis</w:t>
      </w:r>
    </w:p>
    <w:p w14:paraId="628061F2" w14:textId="77777777" w:rsidR="000A2FF1" w:rsidRPr="000A2FF1" w:rsidRDefault="000A2FF1" w:rsidP="000A2FF1">
      <w:pPr>
        <w:rPr>
          <w:rFonts w:ascii="Arial" w:hAnsi="Arial" w:cs="Arial"/>
        </w:rPr>
      </w:pPr>
      <w:r w:rsidRPr="000A2FF1">
        <w:rPr>
          <w:rFonts w:ascii="Arial" w:hAnsi="Arial" w:cs="Arial"/>
        </w:rPr>
        <w:t>To determine regional horticultural commodity advantages, the study utilized two main tools:</w:t>
      </w:r>
    </w:p>
    <w:p w14:paraId="723A64F1" w14:textId="77777777" w:rsidR="000A2FF1" w:rsidRPr="000A2FF1" w:rsidRDefault="000A2FF1" w:rsidP="00F31EC7">
      <w:pPr>
        <w:numPr>
          <w:ilvl w:val="0"/>
          <w:numId w:val="12"/>
        </w:numPr>
        <w:jc w:val="both"/>
        <w:rPr>
          <w:rFonts w:ascii="Arial" w:hAnsi="Arial" w:cs="Arial"/>
        </w:rPr>
      </w:pPr>
      <w:r w:rsidRPr="000A2FF1">
        <w:rPr>
          <w:rFonts w:ascii="Arial" w:hAnsi="Arial" w:cs="Arial"/>
        </w:rPr>
        <w:t>Location Quotient (LQ): Measured comparative advantage by comparing the share of vegetable crop production in a specific subdistrict to that in the broader regency. LQ values greater than 1 indicated a comparative advantage (</w:t>
      </w:r>
      <w:proofErr w:type="spellStart"/>
      <w:r w:rsidRPr="000A2FF1">
        <w:rPr>
          <w:rFonts w:ascii="Arial" w:hAnsi="Arial" w:cs="Arial"/>
        </w:rPr>
        <w:t>Hendayana</w:t>
      </w:r>
      <w:proofErr w:type="spellEnd"/>
      <w:r w:rsidRPr="000A2FF1">
        <w:rPr>
          <w:rFonts w:ascii="Arial" w:hAnsi="Arial" w:cs="Arial"/>
        </w:rPr>
        <w:t>, 2003).</w:t>
      </w:r>
    </w:p>
    <w:p w14:paraId="453F5E32" w14:textId="77777777" w:rsidR="000A2FF1" w:rsidRPr="000A2FF1" w:rsidRDefault="000A2FF1" w:rsidP="00F31EC7">
      <w:pPr>
        <w:numPr>
          <w:ilvl w:val="0"/>
          <w:numId w:val="12"/>
        </w:numPr>
        <w:jc w:val="both"/>
        <w:rPr>
          <w:rFonts w:ascii="Arial" w:hAnsi="Arial" w:cs="Arial"/>
        </w:rPr>
      </w:pPr>
      <w:r w:rsidRPr="000A2FF1">
        <w:rPr>
          <w:rFonts w:ascii="Arial" w:hAnsi="Arial" w:cs="Arial"/>
        </w:rPr>
        <w:t>Shift Share Analysis (SSA): Evaluated competitive growth by decomposing regional production change into national, industrial, and differential effects. Commodities with positive differential effects were classified as competitively advantaged.</w:t>
      </w:r>
    </w:p>
    <w:p w14:paraId="2B0D8CB1" w14:textId="55106047" w:rsidR="000A2FF1" w:rsidRPr="000A2FF1" w:rsidRDefault="00F31EC7" w:rsidP="000A2FF1">
      <w:pPr>
        <w:rPr>
          <w:rFonts w:ascii="Arial" w:hAnsi="Arial" w:cs="Arial"/>
          <w:b/>
          <w:bCs/>
        </w:rPr>
      </w:pPr>
      <w:r>
        <w:rPr>
          <w:rFonts w:ascii="Arial" w:hAnsi="Arial" w:cs="Arial"/>
          <w:b/>
          <w:bCs/>
        </w:rPr>
        <w:t>2.</w:t>
      </w:r>
      <w:r w:rsidR="000A2FF1" w:rsidRPr="000A2FF1">
        <w:rPr>
          <w:rFonts w:ascii="Arial" w:hAnsi="Arial" w:cs="Arial"/>
          <w:b/>
          <w:bCs/>
        </w:rPr>
        <w:t>5 Farm Feasibility and Marketing Chain</w:t>
      </w:r>
    </w:p>
    <w:p w14:paraId="41DB24B0" w14:textId="77777777" w:rsidR="000A2FF1" w:rsidRPr="000A2FF1" w:rsidRDefault="000A2FF1" w:rsidP="00F31EC7">
      <w:pPr>
        <w:jc w:val="both"/>
        <w:rPr>
          <w:rFonts w:ascii="Arial" w:hAnsi="Arial" w:cs="Arial"/>
        </w:rPr>
      </w:pPr>
      <w:r w:rsidRPr="000A2FF1">
        <w:rPr>
          <w:rFonts w:ascii="Arial" w:hAnsi="Arial" w:cs="Arial"/>
        </w:rPr>
        <w:t>Economic viability was assessed using the R/C ratio, which compares total revenue (R) to total production cost (C). An R/C ratio greater than 1 implies a profitable enterprise (</w:t>
      </w:r>
      <w:proofErr w:type="spellStart"/>
      <w:r w:rsidRPr="000A2FF1">
        <w:rPr>
          <w:rFonts w:ascii="Arial" w:hAnsi="Arial" w:cs="Arial"/>
        </w:rPr>
        <w:t>Soekartawi</w:t>
      </w:r>
      <w:proofErr w:type="spellEnd"/>
      <w:r w:rsidRPr="000A2FF1">
        <w:rPr>
          <w:rFonts w:ascii="Arial" w:hAnsi="Arial" w:cs="Arial"/>
        </w:rPr>
        <w:t>, 2005).</w:t>
      </w:r>
      <w:r w:rsidRPr="000A2FF1">
        <w:rPr>
          <w:rFonts w:ascii="Arial" w:hAnsi="Arial" w:cs="Arial"/>
        </w:rPr>
        <w:br/>
        <w:t xml:space="preserve">To examine market dynamics, marketing margin analysis was conducted across the distribution chain—from farmer to final consumer. This analysis revealed price spread and intermediary gains, identifying inefficiencies or value bottlenecks (Rahim &amp; </w:t>
      </w:r>
      <w:proofErr w:type="spellStart"/>
      <w:r w:rsidRPr="000A2FF1">
        <w:rPr>
          <w:rFonts w:ascii="Arial" w:hAnsi="Arial" w:cs="Arial"/>
        </w:rPr>
        <w:t>Hastuti</w:t>
      </w:r>
      <w:proofErr w:type="spellEnd"/>
      <w:r w:rsidRPr="000A2FF1">
        <w:rPr>
          <w:rFonts w:ascii="Arial" w:hAnsi="Arial" w:cs="Arial"/>
        </w:rPr>
        <w:t>, 2008).</w:t>
      </w:r>
    </w:p>
    <w:p w14:paraId="0F1B4B3B" w14:textId="6AF26FC2" w:rsidR="000A2FF1" w:rsidRPr="000A2FF1" w:rsidRDefault="00F31EC7" w:rsidP="000A2FF1">
      <w:pPr>
        <w:rPr>
          <w:rFonts w:ascii="Arial" w:hAnsi="Arial" w:cs="Arial"/>
          <w:b/>
          <w:bCs/>
        </w:rPr>
      </w:pPr>
      <w:r>
        <w:rPr>
          <w:rFonts w:ascii="Arial" w:hAnsi="Arial" w:cs="Arial"/>
          <w:b/>
          <w:bCs/>
        </w:rPr>
        <w:t>2.</w:t>
      </w:r>
      <w:r w:rsidR="000A2FF1" w:rsidRPr="000A2FF1">
        <w:rPr>
          <w:rFonts w:ascii="Arial" w:hAnsi="Arial" w:cs="Arial"/>
          <w:b/>
          <w:bCs/>
        </w:rPr>
        <w:t>6 Strategic Planning Using A’WOT</w:t>
      </w:r>
    </w:p>
    <w:p w14:paraId="2521E15D" w14:textId="77777777" w:rsidR="000A2FF1" w:rsidRDefault="000A2FF1" w:rsidP="00F31EC7">
      <w:pPr>
        <w:jc w:val="both"/>
        <w:rPr>
          <w:rFonts w:ascii="Arial" w:hAnsi="Arial" w:cs="Arial"/>
        </w:rPr>
      </w:pPr>
      <w:r w:rsidRPr="000A2FF1">
        <w:rPr>
          <w:rFonts w:ascii="Arial" w:hAnsi="Arial" w:cs="Arial"/>
        </w:rPr>
        <w:t>A combined A’WOT method (Analytical Hierarchy Process + SWOT) was used to formulate development strategies. In the first stage, SWOT factors were derived from expert input and field analysis, identifying key internal strengths and weaknesses, and external opportunities and threats.</w:t>
      </w:r>
      <w:r w:rsidRPr="000A2FF1">
        <w:rPr>
          <w:rFonts w:ascii="Arial" w:hAnsi="Arial" w:cs="Arial"/>
        </w:rPr>
        <w:br/>
        <w:t>Next, AHP pairwise comparisons were applied to prioritize SWOT elements, using consistency ratio (CR &lt; 0.1) as an acceptance criterion (Yüksel &amp; Dağdeviren, 2007). Final strategies were developed by matching weighted SWOT components into SO, ST, WO, and WT strategy matrices.</w:t>
      </w:r>
    </w:p>
    <w:p w14:paraId="2FB10DEF" w14:textId="77777777" w:rsidR="00F31EC7" w:rsidRPr="000A2FF1" w:rsidRDefault="00F31EC7" w:rsidP="00F31EC7">
      <w:pPr>
        <w:jc w:val="both"/>
        <w:rPr>
          <w:rFonts w:ascii="Arial" w:hAnsi="Arial" w:cs="Arial"/>
        </w:rPr>
      </w:pPr>
    </w:p>
    <w:p w14:paraId="1EB8E31F" w14:textId="77777777" w:rsidR="00F31EC7" w:rsidRDefault="00F31EC7" w:rsidP="00F31EC7">
      <w:pPr>
        <w:pStyle w:val="ListParagraph"/>
        <w:numPr>
          <w:ilvl w:val="0"/>
          <w:numId w:val="10"/>
        </w:numPr>
        <w:ind w:left="709"/>
        <w:rPr>
          <w:rFonts w:ascii="Arial" w:hAnsi="Arial" w:cs="Arial"/>
          <w:b/>
          <w:bCs/>
        </w:rPr>
      </w:pPr>
      <w:r>
        <w:rPr>
          <w:rFonts w:ascii="Arial" w:hAnsi="Arial" w:cs="Arial"/>
          <w:b/>
          <w:bCs/>
        </w:rPr>
        <w:t>Results and Discussion</w:t>
      </w:r>
    </w:p>
    <w:p w14:paraId="2ABFB439" w14:textId="0C6DDAFE" w:rsidR="000A2FF1" w:rsidRPr="00F31EC7" w:rsidRDefault="00F31EC7" w:rsidP="00F31EC7">
      <w:pPr>
        <w:rPr>
          <w:rFonts w:ascii="Arial" w:hAnsi="Arial" w:cs="Arial"/>
          <w:b/>
          <w:bCs/>
        </w:rPr>
      </w:pPr>
      <w:r>
        <w:rPr>
          <w:rFonts w:ascii="Arial" w:hAnsi="Arial" w:cs="Arial"/>
          <w:b/>
          <w:bCs/>
        </w:rPr>
        <w:t xml:space="preserve">3.1 </w:t>
      </w:r>
      <w:r w:rsidR="000A2FF1" w:rsidRPr="00F31EC7">
        <w:rPr>
          <w:rFonts w:ascii="Arial" w:hAnsi="Arial" w:cs="Arial"/>
          <w:b/>
          <w:bCs/>
        </w:rPr>
        <w:t>Identification of Leading Vegetable Commodities</w:t>
      </w:r>
    </w:p>
    <w:p w14:paraId="19605C18" w14:textId="77777777" w:rsidR="00F93CFF" w:rsidRPr="00F93CFF" w:rsidRDefault="00F93CFF" w:rsidP="00F93CFF">
      <w:pPr>
        <w:jc w:val="both"/>
        <w:rPr>
          <w:rFonts w:ascii="Arial" w:hAnsi="Arial" w:cs="Arial"/>
          <w:highlight w:val="yellow"/>
        </w:rPr>
      </w:pPr>
      <w:r w:rsidRPr="00F93CFF">
        <w:rPr>
          <w:rFonts w:ascii="Arial" w:hAnsi="Arial" w:cs="Arial"/>
          <w:highlight w:val="yellow"/>
        </w:rPr>
        <w:t xml:space="preserve">The Location Quotient (LQ) and Shift Share Analysis (SSA) identified </w:t>
      </w:r>
      <w:r w:rsidRPr="00F93CFF">
        <w:rPr>
          <w:rFonts w:ascii="Arial" w:hAnsi="Arial" w:cs="Arial"/>
          <w:b/>
          <w:bCs/>
          <w:highlight w:val="yellow"/>
        </w:rPr>
        <w:t>red chili (Capsicum annuum)</w:t>
      </w:r>
      <w:r w:rsidRPr="00F93CFF">
        <w:rPr>
          <w:rFonts w:ascii="Arial" w:hAnsi="Arial" w:cs="Arial"/>
          <w:highlight w:val="yellow"/>
        </w:rPr>
        <w:t xml:space="preserve"> and </w:t>
      </w:r>
      <w:r w:rsidRPr="00F93CFF">
        <w:rPr>
          <w:rFonts w:ascii="Arial" w:hAnsi="Arial" w:cs="Arial"/>
          <w:b/>
          <w:bCs/>
          <w:highlight w:val="yellow"/>
        </w:rPr>
        <w:t>bird’s eye chili (Capsicum frutescens)</w:t>
      </w:r>
      <w:r w:rsidRPr="00F93CFF">
        <w:rPr>
          <w:rFonts w:ascii="Arial" w:hAnsi="Arial" w:cs="Arial"/>
          <w:highlight w:val="yellow"/>
        </w:rPr>
        <w:t xml:space="preserve"> as the dominant horticultural commodities in Deli Serdang. Red chili recorded LQ values ranging from </w:t>
      </w:r>
      <w:r w:rsidRPr="00F93CFF">
        <w:rPr>
          <w:rFonts w:ascii="Arial" w:hAnsi="Arial" w:cs="Arial"/>
          <w:b/>
          <w:bCs/>
          <w:highlight w:val="yellow"/>
        </w:rPr>
        <w:t>1.32 to 1.76</w:t>
      </w:r>
      <w:r w:rsidRPr="00F93CFF">
        <w:rPr>
          <w:rFonts w:ascii="Arial" w:hAnsi="Arial" w:cs="Arial"/>
          <w:highlight w:val="yellow"/>
        </w:rPr>
        <w:t xml:space="preserve"> across selected subdistricts, signaling a strong </w:t>
      </w:r>
      <w:r w:rsidRPr="00F93CFF">
        <w:rPr>
          <w:rFonts w:ascii="Arial" w:hAnsi="Arial" w:cs="Arial"/>
          <w:b/>
          <w:bCs/>
          <w:highlight w:val="yellow"/>
        </w:rPr>
        <w:t>comparative advantage</w:t>
      </w:r>
      <w:r w:rsidRPr="00F93CFF">
        <w:rPr>
          <w:rFonts w:ascii="Arial" w:hAnsi="Arial" w:cs="Arial"/>
          <w:highlight w:val="yellow"/>
        </w:rPr>
        <w:t xml:space="preserve">. Simultaneously, bird’s eye chili showed consistently </w:t>
      </w:r>
      <w:r w:rsidRPr="00F93CFF">
        <w:rPr>
          <w:rFonts w:ascii="Arial" w:hAnsi="Arial" w:cs="Arial"/>
          <w:b/>
          <w:bCs/>
          <w:highlight w:val="yellow"/>
        </w:rPr>
        <w:t>positive differential effects</w:t>
      </w:r>
      <w:r w:rsidRPr="00F93CFF">
        <w:rPr>
          <w:rFonts w:ascii="Arial" w:hAnsi="Arial" w:cs="Arial"/>
          <w:highlight w:val="yellow"/>
        </w:rPr>
        <w:t xml:space="preserve"> in SSA, confirming a </w:t>
      </w:r>
      <w:r w:rsidRPr="00F93CFF">
        <w:rPr>
          <w:rFonts w:ascii="Arial" w:hAnsi="Arial" w:cs="Arial"/>
          <w:b/>
          <w:bCs/>
          <w:highlight w:val="yellow"/>
        </w:rPr>
        <w:t>competitive growth pattern</w:t>
      </w:r>
      <w:r w:rsidRPr="00F93CFF">
        <w:rPr>
          <w:rFonts w:ascii="Arial" w:hAnsi="Arial" w:cs="Arial"/>
          <w:highlight w:val="yellow"/>
        </w:rPr>
        <w:t xml:space="preserve"> over a five-year period.</w:t>
      </w:r>
    </w:p>
    <w:p w14:paraId="7EE8E56A" w14:textId="470BBC43" w:rsidR="000A2FF1" w:rsidRPr="00F93CFF" w:rsidRDefault="00F93CFF" w:rsidP="00F31EC7">
      <w:pPr>
        <w:jc w:val="both"/>
        <w:rPr>
          <w:rFonts w:ascii="Arial" w:hAnsi="Arial" w:cs="Arial"/>
        </w:rPr>
      </w:pPr>
      <w:r w:rsidRPr="00F93CFF">
        <w:rPr>
          <w:rFonts w:ascii="Arial" w:hAnsi="Arial" w:cs="Arial"/>
          <w:highlight w:val="yellow"/>
        </w:rPr>
        <w:t xml:space="preserve">These results reinforce earlier findings by </w:t>
      </w:r>
      <w:proofErr w:type="spellStart"/>
      <w:r w:rsidRPr="00F93CFF">
        <w:rPr>
          <w:rFonts w:ascii="Arial" w:hAnsi="Arial" w:cs="Arial"/>
          <w:b/>
          <w:bCs/>
          <w:highlight w:val="yellow"/>
        </w:rPr>
        <w:t>Handayani</w:t>
      </w:r>
      <w:proofErr w:type="spellEnd"/>
      <w:r w:rsidRPr="00F93CFF">
        <w:rPr>
          <w:rFonts w:ascii="Arial" w:hAnsi="Arial" w:cs="Arial"/>
          <w:b/>
          <w:bCs/>
          <w:highlight w:val="yellow"/>
        </w:rPr>
        <w:t xml:space="preserve"> et al. (2024)</w:t>
      </w:r>
      <w:r w:rsidRPr="00F93CFF">
        <w:rPr>
          <w:rFonts w:ascii="Arial" w:hAnsi="Arial" w:cs="Arial"/>
          <w:highlight w:val="yellow"/>
        </w:rPr>
        <w:t xml:space="preserve">, which emphasized the suitability of chili commodities for tropical agroecosystems due to their adaptability and high demand elasticity. The geographic clustering of these crops in both </w:t>
      </w:r>
      <w:r w:rsidRPr="00F93CFF">
        <w:rPr>
          <w:rFonts w:ascii="Arial" w:hAnsi="Arial" w:cs="Arial"/>
          <w:b/>
          <w:bCs/>
          <w:highlight w:val="yellow"/>
        </w:rPr>
        <w:t xml:space="preserve">lowland (e.g., </w:t>
      </w:r>
      <w:proofErr w:type="spellStart"/>
      <w:r w:rsidRPr="00F93CFF">
        <w:rPr>
          <w:rFonts w:ascii="Arial" w:hAnsi="Arial" w:cs="Arial"/>
          <w:b/>
          <w:bCs/>
          <w:highlight w:val="yellow"/>
        </w:rPr>
        <w:t>Beringin</w:t>
      </w:r>
      <w:proofErr w:type="spellEnd"/>
      <w:r w:rsidRPr="00F93CFF">
        <w:rPr>
          <w:rFonts w:ascii="Arial" w:hAnsi="Arial" w:cs="Arial"/>
          <w:b/>
          <w:bCs/>
          <w:highlight w:val="yellow"/>
        </w:rPr>
        <w:t>)</w:t>
      </w:r>
      <w:r w:rsidRPr="00F93CFF">
        <w:rPr>
          <w:rFonts w:ascii="Arial" w:hAnsi="Arial" w:cs="Arial"/>
          <w:highlight w:val="yellow"/>
        </w:rPr>
        <w:t xml:space="preserve"> and </w:t>
      </w:r>
      <w:r w:rsidRPr="00F93CFF">
        <w:rPr>
          <w:rFonts w:ascii="Arial" w:hAnsi="Arial" w:cs="Arial"/>
          <w:b/>
          <w:bCs/>
          <w:highlight w:val="yellow"/>
        </w:rPr>
        <w:t xml:space="preserve">upland (e.g., </w:t>
      </w:r>
      <w:proofErr w:type="spellStart"/>
      <w:r w:rsidRPr="00F93CFF">
        <w:rPr>
          <w:rFonts w:ascii="Arial" w:hAnsi="Arial" w:cs="Arial"/>
          <w:b/>
          <w:bCs/>
          <w:highlight w:val="yellow"/>
        </w:rPr>
        <w:t>Sibolangit</w:t>
      </w:r>
      <w:proofErr w:type="spellEnd"/>
      <w:r w:rsidRPr="00F93CFF">
        <w:rPr>
          <w:rFonts w:ascii="Arial" w:hAnsi="Arial" w:cs="Arial"/>
          <w:b/>
          <w:bCs/>
          <w:highlight w:val="yellow"/>
        </w:rPr>
        <w:t>)</w:t>
      </w:r>
      <w:r w:rsidRPr="00F93CFF">
        <w:rPr>
          <w:rFonts w:ascii="Arial" w:hAnsi="Arial" w:cs="Arial"/>
          <w:highlight w:val="yellow"/>
        </w:rPr>
        <w:t xml:space="preserve"> zones presents an opportunity for </w:t>
      </w:r>
      <w:r w:rsidRPr="00F93CFF">
        <w:rPr>
          <w:rFonts w:ascii="Arial" w:hAnsi="Arial" w:cs="Arial"/>
          <w:b/>
          <w:bCs/>
          <w:highlight w:val="yellow"/>
        </w:rPr>
        <w:t>year-round production cycles</w:t>
      </w:r>
      <w:r w:rsidRPr="00F93CFF">
        <w:rPr>
          <w:rFonts w:ascii="Arial" w:hAnsi="Arial" w:cs="Arial"/>
          <w:highlight w:val="yellow"/>
        </w:rPr>
        <w:t>, thereby reducing seasonal vulnerability and increasing supply stability. This spatial advantage, however, has not yet been fully integrated into local agricultural zoning plans</w:t>
      </w:r>
      <w:r w:rsidR="000A2FF1" w:rsidRPr="00F93CFF">
        <w:rPr>
          <w:rFonts w:ascii="Arial" w:hAnsi="Arial" w:cs="Arial"/>
        </w:rPr>
        <w:t>.</w:t>
      </w:r>
    </w:p>
    <w:p w14:paraId="47B60420" w14:textId="68F1E4BF" w:rsidR="000A2FF1" w:rsidRPr="000A2FF1" w:rsidRDefault="00F31EC7" w:rsidP="000A2FF1">
      <w:pPr>
        <w:rPr>
          <w:rFonts w:ascii="Arial" w:hAnsi="Arial" w:cs="Arial"/>
          <w:b/>
          <w:bCs/>
        </w:rPr>
      </w:pPr>
      <w:r>
        <w:rPr>
          <w:rFonts w:ascii="Arial" w:hAnsi="Arial" w:cs="Arial"/>
          <w:b/>
          <w:bCs/>
        </w:rPr>
        <w:t>3.</w:t>
      </w:r>
      <w:r w:rsidR="000A2FF1" w:rsidRPr="000A2FF1">
        <w:rPr>
          <w:rFonts w:ascii="Arial" w:hAnsi="Arial" w:cs="Arial"/>
          <w:b/>
          <w:bCs/>
        </w:rPr>
        <w:t>2 Farm Feasibility and Economic Viability</w:t>
      </w:r>
    </w:p>
    <w:p w14:paraId="2CC919C4" w14:textId="77777777" w:rsidR="000A2FF1" w:rsidRPr="000A2FF1" w:rsidRDefault="000A2FF1" w:rsidP="00F31EC7">
      <w:pPr>
        <w:jc w:val="both"/>
        <w:rPr>
          <w:rFonts w:ascii="Arial" w:hAnsi="Arial" w:cs="Arial"/>
        </w:rPr>
      </w:pPr>
      <w:r w:rsidRPr="000A2FF1">
        <w:rPr>
          <w:rFonts w:ascii="Arial" w:hAnsi="Arial" w:cs="Arial"/>
        </w:rPr>
        <w:t>The R/C ratio analysis showed that red chili cultivation yielded values between 1.82 to 2.13, while bird’s eye chili ranged from 1.57 to 1.95, indicating strong economic feasibility. Despite higher input costs for hybrid seeds and pest control, gross margins remained attractive due to favorable market prices and short harvest cycles.</w:t>
      </w:r>
    </w:p>
    <w:p w14:paraId="39EE3B63" w14:textId="77777777" w:rsidR="000A2FF1" w:rsidRPr="000A2FF1" w:rsidRDefault="000A2FF1" w:rsidP="00F31EC7">
      <w:pPr>
        <w:jc w:val="both"/>
        <w:rPr>
          <w:rFonts w:ascii="Arial" w:hAnsi="Arial" w:cs="Arial"/>
        </w:rPr>
      </w:pPr>
      <w:r w:rsidRPr="000A2FF1">
        <w:rPr>
          <w:rFonts w:ascii="Arial" w:hAnsi="Arial" w:cs="Arial"/>
        </w:rPr>
        <w:t xml:space="preserve">These results corroborate </w:t>
      </w:r>
      <w:proofErr w:type="spellStart"/>
      <w:r w:rsidRPr="000A2FF1">
        <w:rPr>
          <w:rFonts w:ascii="Arial" w:hAnsi="Arial" w:cs="Arial"/>
        </w:rPr>
        <w:t>Soekartawi’s</w:t>
      </w:r>
      <w:proofErr w:type="spellEnd"/>
      <w:r w:rsidRPr="000A2FF1">
        <w:rPr>
          <w:rFonts w:ascii="Arial" w:hAnsi="Arial" w:cs="Arial"/>
        </w:rPr>
        <w:t xml:space="preserve"> (2005) benchmarks for viable seasonal cropping systems. However, variations in R/C values between subdistricts were often linked to access to irrigation and extension services. Subdistricts with better institutional support (e.g., </w:t>
      </w:r>
      <w:proofErr w:type="spellStart"/>
      <w:r w:rsidRPr="000A2FF1">
        <w:rPr>
          <w:rFonts w:ascii="Arial" w:hAnsi="Arial" w:cs="Arial"/>
        </w:rPr>
        <w:t>Batang</w:t>
      </w:r>
      <w:proofErr w:type="spellEnd"/>
      <w:r w:rsidRPr="000A2FF1">
        <w:rPr>
          <w:rFonts w:ascii="Arial" w:hAnsi="Arial" w:cs="Arial"/>
        </w:rPr>
        <w:t xml:space="preserve"> </w:t>
      </w:r>
      <w:proofErr w:type="spellStart"/>
      <w:r w:rsidRPr="000A2FF1">
        <w:rPr>
          <w:rFonts w:ascii="Arial" w:hAnsi="Arial" w:cs="Arial"/>
        </w:rPr>
        <w:t>Kuis</w:t>
      </w:r>
      <w:proofErr w:type="spellEnd"/>
      <w:r w:rsidRPr="000A2FF1">
        <w:rPr>
          <w:rFonts w:ascii="Arial" w:hAnsi="Arial" w:cs="Arial"/>
        </w:rPr>
        <w:t>) exhibited higher profitability per hectare, illustrating the interplay between technical efficiency and enabling environments.</w:t>
      </w:r>
    </w:p>
    <w:p w14:paraId="03690DE0" w14:textId="191C9072" w:rsidR="000A2FF1" w:rsidRPr="000A2FF1" w:rsidRDefault="00F31EC7" w:rsidP="000A2FF1">
      <w:pPr>
        <w:rPr>
          <w:rFonts w:ascii="Arial" w:hAnsi="Arial" w:cs="Arial"/>
          <w:b/>
          <w:bCs/>
        </w:rPr>
      </w:pPr>
      <w:r>
        <w:rPr>
          <w:rFonts w:ascii="Arial" w:hAnsi="Arial" w:cs="Arial"/>
          <w:b/>
          <w:bCs/>
        </w:rPr>
        <w:t>3.</w:t>
      </w:r>
      <w:r w:rsidR="000A2FF1" w:rsidRPr="000A2FF1">
        <w:rPr>
          <w:rFonts w:ascii="Arial" w:hAnsi="Arial" w:cs="Arial"/>
          <w:b/>
          <w:bCs/>
        </w:rPr>
        <w:t>3 Marketing Chain and Value Capture</w:t>
      </w:r>
    </w:p>
    <w:p w14:paraId="7045F3BC" w14:textId="77777777" w:rsidR="000A2FF1" w:rsidRPr="000A2FF1" w:rsidRDefault="000A2FF1" w:rsidP="00F31EC7">
      <w:pPr>
        <w:jc w:val="both"/>
        <w:rPr>
          <w:rFonts w:ascii="Arial" w:hAnsi="Arial" w:cs="Arial"/>
        </w:rPr>
      </w:pPr>
      <w:r w:rsidRPr="000A2FF1">
        <w:rPr>
          <w:rFonts w:ascii="Arial" w:hAnsi="Arial" w:cs="Arial"/>
        </w:rPr>
        <w:t>Marketing margin analysis revealed significant inefficiencies in the distribution chain. Farmers received only 48–56% of the final consumer price, with intermediaries (collectors, wholesalers) absorbing the remainder. The highest margins were observed in red chili, primarily due to perishability risks and lack of cold storage infrastructure.</w:t>
      </w:r>
    </w:p>
    <w:p w14:paraId="46A45753" w14:textId="77777777" w:rsidR="000A2FF1" w:rsidRPr="000A2FF1" w:rsidRDefault="000A2FF1" w:rsidP="00F31EC7">
      <w:pPr>
        <w:jc w:val="both"/>
        <w:rPr>
          <w:rFonts w:ascii="Arial" w:hAnsi="Arial" w:cs="Arial"/>
        </w:rPr>
      </w:pPr>
      <w:r w:rsidRPr="000A2FF1">
        <w:rPr>
          <w:rFonts w:ascii="Arial" w:hAnsi="Arial" w:cs="Arial"/>
        </w:rPr>
        <w:t xml:space="preserve">This pattern reflects findings by Rahim &amp; </w:t>
      </w:r>
      <w:proofErr w:type="spellStart"/>
      <w:r w:rsidRPr="000A2FF1">
        <w:rPr>
          <w:rFonts w:ascii="Arial" w:hAnsi="Arial" w:cs="Arial"/>
        </w:rPr>
        <w:t>Hastuti</w:t>
      </w:r>
      <w:proofErr w:type="spellEnd"/>
      <w:r w:rsidRPr="000A2FF1">
        <w:rPr>
          <w:rFonts w:ascii="Arial" w:hAnsi="Arial" w:cs="Arial"/>
        </w:rPr>
        <w:t xml:space="preserve"> (2008), who noted that high intermediary margins often persist in horticultural markets lacking cooperative networks or centralized auction systems. In Deli Serdang, the absence of organized marketing </w:t>
      </w:r>
      <w:r w:rsidRPr="000A2FF1">
        <w:rPr>
          <w:rFonts w:ascii="Arial" w:hAnsi="Arial" w:cs="Arial"/>
        </w:rPr>
        <w:lastRenderedPageBreak/>
        <w:t>institutions or price information systems limits farmer bargaining power, leading to asymmetric price-setting dynamics.</w:t>
      </w:r>
    </w:p>
    <w:p w14:paraId="29B6F7E0" w14:textId="790FC1EE" w:rsidR="000A2FF1" w:rsidRPr="000A2FF1" w:rsidRDefault="00F31EC7" w:rsidP="000A2FF1">
      <w:pPr>
        <w:rPr>
          <w:rFonts w:ascii="Arial" w:hAnsi="Arial" w:cs="Arial"/>
          <w:b/>
          <w:bCs/>
        </w:rPr>
      </w:pPr>
      <w:r>
        <w:rPr>
          <w:rFonts w:ascii="Arial" w:hAnsi="Arial" w:cs="Arial"/>
          <w:b/>
          <w:bCs/>
        </w:rPr>
        <w:t>3.</w:t>
      </w:r>
      <w:r w:rsidR="000A2FF1" w:rsidRPr="000A2FF1">
        <w:rPr>
          <w:rFonts w:ascii="Arial" w:hAnsi="Arial" w:cs="Arial"/>
          <w:b/>
          <w:bCs/>
        </w:rPr>
        <w:t>4 SWOT-AHP-Based Strategic Planning</w:t>
      </w:r>
    </w:p>
    <w:p w14:paraId="679EB6FF" w14:textId="77777777" w:rsidR="000A2FF1" w:rsidRPr="000A2FF1" w:rsidRDefault="000A2FF1" w:rsidP="00F31EC7">
      <w:pPr>
        <w:jc w:val="both"/>
        <w:rPr>
          <w:rFonts w:ascii="Arial" w:hAnsi="Arial" w:cs="Arial"/>
        </w:rPr>
      </w:pPr>
      <w:r w:rsidRPr="000A2FF1">
        <w:rPr>
          <w:rFonts w:ascii="Arial" w:hAnsi="Arial" w:cs="Arial"/>
        </w:rPr>
        <w:t>To identify key leverage points for regional development based on vegetable horticulture, this study applied a SWOT-AHP approach that quantifies internal and external strategic factors through weighting and scoring. The results are synthesized in the Internal Factor Analysis Summary (IFAS) and External Factor Analysis Summary (EFAS), as shown in Tables 1 and 2.</w:t>
      </w:r>
    </w:p>
    <w:p w14:paraId="4EDF3A64" w14:textId="703CF490" w:rsidR="000A2FF1" w:rsidRPr="000A2FF1" w:rsidRDefault="00F31EC7" w:rsidP="000A2FF1">
      <w:pPr>
        <w:rPr>
          <w:rFonts w:ascii="Arial" w:hAnsi="Arial" w:cs="Arial"/>
          <w:b/>
          <w:bCs/>
        </w:rPr>
      </w:pPr>
      <w:r>
        <w:rPr>
          <w:rFonts w:ascii="Segoe UI Emoji" w:hAnsi="Segoe UI Emoji" w:cs="Segoe UI Emoji"/>
          <w:b/>
          <w:bCs/>
        </w:rPr>
        <w:t xml:space="preserve">3.4.1 </w:t>
      </w:r>
      <w:r w:rsidR="000A2FF1" w:rsidRPr="000A2FF1">
        <w:rPr>
          <w:rFonts w:ascii="Arial" w:hAnsi="Arial" w:cs="Arial"/>
          <w:b/>
          <w:bCs/>
        </w:rPr>
        <w:t>Internal Factor Analysis Summary (IFAS)</w:t>
      </w:r>
    </w:p>
    <w:p w14:paraId="64CFDB6D" w14:textId="77777777" w:rsidR="000A2FF1" w:rsidRPr="000A2FF1" w:rsidRDefault="000A2FF1" w:rsidP="00F31EC7">
      <w:pPr>
        <w:jc w:val="both"/>
        <w:rPr>
          <w:rFonts w:ascii="Arial" w:hAnsi="Arial" w:cs="Arial"/>
        </w:rPr>
      </w:pPr>
      <w:r w:rsidRPr="000A2FF1">
        <w:rPr>
          <w:rFonts w:ascii="Arial" w:hAnsi="Arial" w:cs="Arial"/>
        </w:rPr>
        <w:t xml:space="preserve">The IFAS matrix (Table 1) evaluates internal strengths and weaknesses that affect the region’s ability to develop its horticultural sector. The highest-weighted strength was </w:t>
      </w:r>
      <w:r w:rsidRPr="000A2FF1">
        <w:rPr>
          <w:rFonts w:ascii="Arial" w:hAnsi="Arial" w:cs="Arial"/>
          <w:i/>
          <w:iCs/>
        </w:rPr>
        <w:t>high agroecological diversity</w:t>
      </w:r>
      <w:r w:rsidRPr="000A2FF1">
        <w:rPr>
          <w:rFonts w:ascii="Arial" w:hAnsi="Arial" w:cs="Arial"/>
        </w:rPr>
        <w:t xml:space="preserve"> (weight = 0.15; score = 0.60), reflecting Deli Serdang's ability to grow a variety of crops across both lowland and upland ecosystems. Another significant strength was the </w:t>
      </w:r>
      <w:r w:rsidRPr="000A2FF1">
        <w:rPr>
          <w:rFonts w:ascii="Arial" w:hAnsi="Arial" w:cs="Arial"/>
          <w:i/>
          <w:iCs/>
        </w:rPr>
        <w:t>potential for year-round production</w:t>
      </w:r>
      <w:r w:rsidRPr="000A2FF1">
        <w:rPr>
          <w:rFonts w:ascii="Arial" w:hAnsi="Arial" w:cs="Arial"/>
        </w:rPr>
        <w:t xml:space="preserve"> (weight = 0.10; score = 0.40), enabled by favorable climate and established cropping cycles.</w:t>
      </w:r>
    </w:p>
    <w:p w14:paraId="1521E148" w14:textId="77777777" w:rsidR="000A2FF1" w:rsidRPr="000A2FF1" w:rsidRDefault="000A2FF1" w:rsidP="00F31EC7">
      <w:pPr>
        <w:jc w:val="both"/>
        <w:rPr>
          <w:rFonts w:ascii="Arial" w:hAnsi="Arial" w:cs="Arial"/>
        </w:rPr>
      </w:pPr>
      <w:r w:rsidRPr="000A2FF1">
        <w:rPr>
          <w:rFonts w:ascii="Arial" w:hAnsi="Arial" w:cs="Arial"/>
        </w:rPr>
        <w:t xml:space="preserve">On the other hand, internal weaknesses were also notable. </w:t>
      </w:r>
      <w:r w:rsidRPr="000A2FF1">
        <w:rPr>
          <w:rFonts w:ascii="Arial" w:hAnsi="Arial" w:cs="Arial"/>
          <w:i/>
          <w:iCs/>
        </w:rPr>
        <w:t>Fragmented farmer institutions</w:t>
      </w:r>
      <w:r w:rsidRPr="000A2FF1">
        <w:rPr>
          <w:rFonts w:ascii="Arial" w:hAnsi="Arial" w:cs="Arial"/>
        </w:rPr>
        <w:t xml:space="preserve"> (weight = 0.12; score = 0.24) indicate organizational inefficiencies, while </w:t>
      </w:r>
      <w:r w:rsidRPr="000A2FF1">
        <w:rPr>
          <w:rFonts w:ascii="Arial" w:hAnsi="Arial" w:cs="Arial"/>
          <w:i/>
          <w:iCs/>
        </w:rPr>
        <w:t>limited access to finance and inputs</w:t>
      </w:r>
      <w:r w:rsidRPr="000A2FF1">
        <w:rPr>
          <w:rFonts w:ascii="Arial" w:hAnsi="Arial" w:cs="Arial"/>
        </w:rPr>
        <w:t xml:space="preserve"> (weight = 0.13; score = 0.26) hinders productivity improvements. The total weighted score of 1.50 suggests that internal strengths slightly outweigh weaknesses, providing a foundation for positive development if key gaps are addressed.</w:t>
      </w:r>
    </w:p>
    <w:p w14:paraId="3B2660D3" w14:textId="77777777" w:rsidR="000A2FF1" w:rsidRPr="000A2FF1" w:rsidRDefault="000A2FF1" w:rsidP="00F31EC7">
      <w:pPr>
        <w:jc w:val="center"/>
        <w:rPr>
          <w:rFonts w:ascii="Arial" w:hAnsi="Arial" w:cs="Arial"/>
          <w:b/>
          <w:bCs/>
        </w:rPr>
      </w:pPr>
      <w:r w:rsidRPr="000A2FF1">
        <w:rPr>
          <w:rFonts w:ascii="Arial" w:hAnsi="Arial" w:cs="Arial"/>
          <w:b/>
          <w:bCs/>
        </w:rPr>
        <w:t>Table 1. Internal Factor Analysis Summary (IFAS)</w:t>
      </w:r>
    </w:p>
    <w:tbl>
      <w:tblPr>
        <w:tblStyle w:val="TableGrid"/>
        <w:tblW w:w="0" w:type="auto"/>
        <w:jc w:val="center"/>
        <w:tblLook w:val="04A0" w:firstRow="1" w:lastRow="0" w:firstColumn="1" w:lastColumn="0" w:noHBand="0" w:noVBand="1"/>
      </w:tblPr>
      <w:tblGrid>
        <w:gridCol w:w="603"/>
        <w:gridCol w:w="2949"/>
        <w:gridCol w:w="1012"/>
        <w:gridCol w:w="963"/>
        <w:gridCol w:w="884"/>
        <w:gridCol w:w="2939"/>
      </w:tblGrid>
      <w:tr w:rsidR="000A2FF1" w:rsidRPr="000A2FF1" w14:paraId="2C5C2C45" w14:textId="77777777" w:rsidTr="00F31EC7">
        <w:trPr>
          <w:jc w:val="center"/>
        </w:trPr>
        <w:tc>
          <w:tcPr>
            <w:tcW w:w="0" w:type="auto"/>
            <w:hideMark/>
          </w:tcPr>
          <w:p w14:paraId="4A5D48D5"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No.</w:t>
            </w:r>
          </w:p>
        </w:tc>
        <w:tc>
          <w:tcPr>
            <w:tcW w:w="0" w:type="auto"/>
            <w:hideMark/>
          </w:tcPr>
          <w:p w14:paraId="77BFE679"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Internal Factors</w:t>
            </w:r>
          </w:p>
        </w:tc>
        <w:tc>
          <w:tcPr>
            <w:tcW w:w="0" w:type="auto"/>
            <w:hideMark/>
          </w:tcPr>
          <w:p w14:paraId="17F99AA8"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Weight</w:t>
            </w:r>
          </w:p>
        </w:tc>
        <w:tc>
          <w:tcPr>
            <w:tcW w:w="0" w:type="auto"/>
            <w:hideMark/>
          </w:tcPr>
          <w:p w14:paraId="5DAEEBAE"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Rating</w:t>
            </w:r>
          </w:p>
        </w:tc>
        <w:tc>
          <w:tcPr>
            <w:tcW w:w="0" w:type="auto"/>
            <w:hideMark/>
          </w:tcPr>
          <w:p w14:paraId="1A946B73"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Score</w:t>
            </w:r>
          </w:p>
        </w:tc>
        <w:tc>
          <w:tcPr>
            <w:tcW w:w="0" w:type="auto"/>
            <w:hideMark/>
          </w:tcPr>
          <w:p w14:paraId="4AEACA35"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Description</w:t>
            </w:r>
          </w:p>
        </w:tc>
      </w:tr>
      <w:tr w:rsidR="000A2FF1" w:rsidRPr="000A2FF1" w14:paraId="19BDDA39" w14:textId="77777777" w:rsidTr="00F31EC7">
        <w:trPr>
          <w:jc w:val="center"/>
        </w:trPr>
        <w:tc>
          <w:tcPr>
            <w:tcW w:w="0" w:type="auto"/>
            <w:hideMark/>
          </w:tcPr>
          <w:p w14:paraId="671B24D0" w14:textId="77777777" w:rsidR="000A2FF1" w:rsidRPr="000A2FF1" w:rsidRDefault="000A2FF1" w:rsidP="000A2FF1">
            <w:pPr>
              <w:spacing w:after="160" w:line="278" w:lineRule="auto"/>
              <w:rPr>
                <w:rFonts w:ascii="Arial" w:hAnsi="Arial" w:cs="Arial"/>
              </w:rPr>
            </w:pPr>
            <w:r w:rsidRPr="000A2FF1">
              <w:rPr>
                <w:rFonts w:ascii="Arial" w:hAnsi="Arial" w:cs="Arial"/>
              </w:rPr>
              <w:t>1</w:t>
            </w:r>
          </w:p>
        </w:tc>
        <w:tc>
          <w:tcPr>
            <w:tcW w:w="0" w:type="auto"/>
            <w:hideMark/>
          </w:tcPr>
          <w:p w14:paraId="17601FEC" w14:textId="77777777" w:rsidR="000A2FF1" w:rsidRPr="000A2FF1" w:rsidRDefault="000A2FF1" w:rsidP="000A2FF1">
            <w:pPr>
              <w:spacing w:after="160" w:line="278" w:lineRule="auto"/>
              <w:rPr>
                <w:rFonts w:ascii="Arial" w:hAnsi="Arial" w:cs="Arial"/>
              </w:rPr>
            </w:pPr>
            <w:r w:rsidRPr="000A2FF1">
              <w:rPr>
                <w:rFonts w:ascii="Arial" w:hAnsi="Arial" w:cs="Arial"/>
              </w:rPr>
              <w:t>High agroecological diversity</w:t>
            </w:r>
          </w:p>
        </w:tc>
        <w:tc>
          <w:tcPr>
            <w:tcW w:w="0" w:type="auto"/>
            <w:hideMark/>
          </w:tcPr>
          <w:p w14:paraId="5DB56AD6" w14:textId="77777777" w:rsidR="000A2FF1" w:rsidRPr="000A2FF1" w:rsidRDefault="000A2FF1" w:rsidP="000A2FF1">
            <w:pPr>
              <w:spacing w:after="160" w:line="278" w:lineRule="auto"/>
              <w:rPr>
                <w:rFonts w:ascii="Arial" w:hAnsi="Arial" w:cs="Arial"/>
              </w:rPr>
            </w:pPr>
            <w:r w:rsidRPr="000A2FF1">
              <w:rPr>
                <w:rFonts w:ascii="Arial" w:hAnsi="Arial" w:cs="Arial"/>
              </w:rPr>
              <w:t>0.15</w:t>
            </w:r>
          </w:p>
        </w:tc>
        <w:tc>
          <w:tcPr>
            <w:tcW w:w="0" w:type="auto"/>
            <w:hideMark/>
          </w:tcPr>
          <w:p w14:paraId="13D0863C" w14:textId="77777777" w:rsidR="000A2FF1" w:rsidRPr="000A2FF1" w:rsidRDefault="000A2FF1" w:rsidP="000A2FF1">
            <w:pPr>
              <w:spacing w:after="160" w:line="278" w:lineRule="auto"/>
              <w:rPr>
                <w:rFonts w:ascii="Arial" w:hAnsi="Arial" w:cs="Arial"/>
              </w:rPr>
            </w:pPr>
            <w:r w:rsidRPr="000A2FF1">
              <w:rPr>
                <w:rFonts w:ascii="Arial" w:hAnsi="Arial" w:cs="Arial"/>
              </w:rPr>
              <w:t>4</w:t>
            </w:r>
          </w:p>
        </w:tc>
        <w:tc>
          <w:tcPr>
            <w:tcW w:w="0" w:type="auto"/>
            <w:hideMark/>
          </w:tcPr>
          <w:p w14:paraId="41BA7441" w14:textId="77777777" w:rsidR="000A2FF1" w:rsidRPr="000A2FF1" w:rsidRDefault="000A2FF1" w:rsidP="000A2FF1">
            <w:pPr>
              <w:spacing w:after="160" w:line="278" w:lineRule="auto"/>
              <w:rPr>
                <w:rFonts w:ascii="Arial" w:hAnsi="Arial" w:cs="Arial"/>
              </w:rPr>
            </w:pPr>
            <w:r w:rsidRPr="000A2FF1">
              <w:rPr>
                <w:rFonts w:ascii="Arial" w:hAnsi="Arial" w:cs="Arial"/>
              </w:rPr>
              <w:t>0.60</w:t>
            </w:r>
          </w:p>
        </w:tc>
        <w:tc>
          <w:tcPr>
            <w:tcW w:w="0" w:type="auto"/>
            <w:hideMark/>
          </w:tcPr>
          <w:p w14:paraId="290AADE4" w14:textId="77777777" w:rsidR="000A2FF1" w:rsidRPr="000A2FF1" w:rsidRDefault="000A2FF1" w:rsidP="000A2FF1">
            <w:pPr>
              <w:spacing w:after="160" w:line="278" w:lineRule="auto"/>
              <w:rPr>
                <w:rFonts w:ascii="Arial" w:hAnsi="Arial" w:cs="Arial"/>
              </w:rPr>
            </w:pPr>
            <w:r w:rsidRPr="000A2FF1">
              <w:rPr>
                <w:rFonts w:ascii="Arial" w:hAnsi="Arial" w:cs="Arial"/>
              </w:rPr>
              <w:t>Strength in varied climate &amp; soil zones</w:t>
            </w:r>
          </w:p>
        </w:tc>
      </w:tr>
      <w:tr w:rsidR="000A2FF1" w:rsidRPr="000A2FF1" w14:paraId="499A0EF8" w14:textId="77777777" w:rsidTr="00F31EC7">
        <w:trPr>
          <w:jc w:val="center"/>
        </w:trPr>
        <w:tc>
          <w:tcPr>
            <w:tcW w:w="0" w:type="auto"/>
            <w:hideMark/>
          </w:tcPr>
          <w:p w14:paraId="236980BE" w14:textId="77777777" w:rsidR="000A2FF1" w:rsidRPr="000A2FF1" w:rsidRDefault="000A2FF1" w:rsidP="000A2FF1">
            <w:pPr>
              <w:spacing w:after="160" w:line="278" w:lineRule="auto"/>
              <w:rPr>
                <w:rFonts w:ascii="Arial" w:hAnsi="Arial" w:cs="Arial"/>
              </w:rPr>
            </w:pPr>
            <w:r w:rsidRPr="000A2FF1">
              <w:rPr>
                <w:rFonts w:ascii="Arial" w:hAnsi="Arial" w:cs="Arial"/>
              </w:rPr>
              <w:t>2</w:t>
            </w:r>
          </w:p>
        </w:tc>
        <w:tc>
          <w:tcPr>
            <w:tcW w:w="0" w:type="auto"/>
            <w:hideMark/>
          </w:tcPr>
          <w:p w14:paraId="217CD02B" w14:textId="77777777" w:rsidR="000A2FF1" w:rsidRPr="000A2FF1" w:rsidRDefault="000A2FF1" w:rsidP="000A2FF1">
            <w:pPr>
              <w:spacing w:after="160" w:line="278" w:lineRule="auto"/>
              <w:rPr>
                <w:rFonts w:ascii="Arial" w:hAnsi="Arial" w:cs="Arial"/>
              </w:rPr>
            </w:pPr>
            <w:r w:rsidRPr="000A2FF1">
              <w:rPr>
                <w:rFonts w:ascii="Arial" w:hAnsi="Arial" w:cs="Arial"/>
              </w:rPr>
              <w:t>Year-round production potential</w:t>
            </w:r>
          </w:p>
        </w:tc>
        <w:tc>
          <w:tcPr>
            <w:tcW w:w="0" w:type="auto"/>
            <w:hideMark/>
          </w:tcPr>
          <w:p w14:paraId="4C4ABE9D" w14:textId="77777777" w:rsidR="000A2FF1" w:rsidRPr="000A2FF1" w:rsidRDefault="000A2FF1" w:rsidP="000A2FF1">
            <w:pPr>
              <w:spacing w:after="160" w:line="278" w:lineRule="auto"/>
              <w:rPr>
                <w:rFonts w:ascii="Arial" w:hAnsi="Arial" w:cs="Arial"/>
              </w:rPr>
            </w:pPr>
            <w:r w:rsidRPr="000A2FF1">
              <w:rPr>
                <w:rFonts w:ascii="Arial" w:hAnsi="Arial" w:cs="Arial"/>
              </w:rPr>
              <w:t>0.10</w:t>
            </w:r>
          </w:p>
        </w:tc>
        <w:tc>
          <w:tcPr>
            <w:tcW w:w="0" w:type="auto"/>
            <w:hideMark/>
          </w:tcPr>
          <w:p w14:paraId="6A7F6154" w14:textId="77777777" w:rsidR="000A2FF1" w:rsidRPr="000A2FF1" w:rsidRDefault="000A2FF1" w:rsidP="000A2FF1">
            <w:pPr>
              <w:spacing w:after="160" w:line="278" w:lineRule="auto"/>
              <w:rPr>
                <w:rFonts w:ascii="Arial" w:hAnsi="Arial" w:cs="Arial"/>
              </w:rPr>
            </w:pPr>
            <w:r w:rsidRPr="000A2FF1">
              <w:rPr>
                <w:rFonts w:ascii="Arial" w:hAnsi="Arial" w:cs="Arial"/>
              </w:rPr>
              <w:t>4</w:t>
            </w:r>
          </w:p>
        </w:tc>
        <w:tc>
          <w:tcPr>
            <w:tcW w:w="0" w:type="auto"/>
            <w:hideMark/>
          </w:tcPr>
          <w:p w14:paraId="33C5BA9E" w14:textId="77777777" w:rsidR="000A2FF1" w:rsidRPr="000A2FF1" w:rsidRDefault="000A2FF1" w:rsidP="000A2FF1">
            <w:pPr>
              <w:spacing w:after="160" w:line="278" w:lineRule="auto"/>
              <w:rPr>
                <w:rFonts w:ascii="Arial" w:hAnsi="Arial" w:cs="Arial"/>
              </w:rPr>
            </w:pPr>
            <w:r w:rsidRPr="000A2FF1">
              <w:rPr>
                <w:rFonts w:ascii="Arial" w:hAnsi="Arial" w:cs="Arial"/>
              </w:rPr>
              <w:t>0.40</w:t>
            </w:r>
          </w:p>
        </w:tc>
        <w:tc>
          <w:tcPr>
            <w:tcW w:w="0" w:type="auto"/>
            <w:hideMark/>
          </w:tcPr>
          <w:p w14:paraId="439516D7" w14:textId="77777777" w:rsidR="000A2FF1" w:rsidRPr="000A2FF1" w:rsidRDefault="000A2FF1" w:rsidP="000A2FF1">
            <w:pPr>
              <w:spacing w:after="160" w:line="278" w:lineRule="auto"/>
              <w:rPr>
                <w:rFonts w:ascii="Arial" w:hAnsi="Arial" w:cs="Arial"/>
              </w:rPr>
            </w:pPr>
            <w:r w:rsidRPr="000A2FF1">
              <w:rPr>
                <w:rFonts w:ascii="Arial" w:hAnsi="Arial" w:cs="Arial"/>
              </w:rPr>
              <w:t>Consistent supply across seasons</w:t>
            </w:r>
          </w:p>
        </w:tc>
      </w:tr>
      <w:tr w:rsidR="000A2FF1" w:rsidRPr="000A2FF1" w14:paraId="3640360A" w14:textId="77777777" w:rsidTr="00F31EC7">
        <w:trPr>
          <w:jc w:val="center"/>
        </w:trPr>
        <w:tc>
          <w:tcPr>
            <w:tcW w:w="0" w:type="auto"/>
            <w:hideMark/>
          </w:tcPr>
          <w:p w14:paraId="363D2A45" w14:textId="77777777" w:rsidR="000A2FF1" w:rsidRPr="000A2FF1" w:rsidRDefault="000A2FF1" w:rsidP="000A2FF1">
            <w:pPr>
              <w:spacing w:after="160" w:line="278" w:lineRule="auto"/>
              <w:rPr>
                <w:rFonts w:ascii="Arial" w:hAnsi="Arial" w:cs="Arial"/>
              </w:rPr>
            </w:pPr>
            <w:r w:rsidRPr="000A2FF1">
              <w:rPr>
                <w:rFonts w:ascii="Arial" w:hAnsi="Arial" w:cs="Arial"/>
              </w:rPr>
              <w:t>3</w:t>
            </w:r>
          </w:p>
        </w:tc>
        <w:tc>
          <w:tcPr>
            <w:tcW w:w="0" w:type="auto"/>
            <w:hideMark/>
          </w:tcPr>
          <w:p w14:paraId="638B5B4D" w14:textId="77777777" w:rsidR="000A2FF1" w:rsidRPr="000A2FF1" w:rsidRDefault="000A2FF1" w:rsidP="000A2FF1">
            <w:pPr>
              <w:spacing w:after="160" w:line="278" w:lineRule="auto"/>
              <w:rPr>
                <w:rFonts w:ascii="Arial" w:hAnsi="Arial" w:cs="Arial"/>
              </w:rPr>
            </w:pPr>
            <w:r w:rsidRPr="000A2FF1">
              <w:rPr>
                <w:rFonts w:ascii="Arial" w:hAnsi="Arial" w:cs="Arial"/>
              </w:rPr>
              <w:t>Fragmented farmer institutions</w:t>
            </w:r>
          </w:p>
        </w:tc>
        <w:tc>
          <w:tcPr>
            <w:tcW w:w="0" w:type="auto"/>
            <w:hideMark/>
          </w:tcPr>
          <w:p w14:paraId="743A88B0" w14:textId="77777777" w:rsidR="000A2FF1" w:rsidRPr="000A2FF1" w:rsidRDefault="000A2FF1" w:rsidP="000A2FF1">
            <w:pPr>
              <w:spacing w:after="160" w:line="278" w:lineRule="auto"/>
              <w:rPr>
                <w:rFonts w:ascii="Arial" w:hAnsi="Arial" w:cs="Arial"/>
              </w:rPr>
            </w:pPr>
            <w:r w:rsidRPr="000A2FF1">
              <w:rPr>
                <w:rFonts w:ascii="Arial" w:hAnsi="Arial" w:cs="Arial"/>
              </w:rPr>
              <w:t>0.12</w:t>
            </w:r>
          </w:p>
        </w:tc>
        <w:tc>
          <w:tcPr>
            <w:tcW w:w="0" w:type="auto"/>
            <w:hideMark/>
          </w:tcPr>
          <w:p w14:paraId="049AC17A" w14:textId="77777777" w:rsidR="000A2FF1" w:rsidRPr="000A2FF1" w:rsidRDefault="000A2FF1" w:rsidP="000A2FF1">
            <w:pPr>
              <w:spacing w:after="160" w:line="278" w:lineRule="auto"/>
              <w:rPr>
                <w:rFonts w:ascii="Arial" w:hAnsi="Arial" w:cs="Arial"/>
              </w:rPr>
            </w:pPr>
            <w:r w:rsidRPr="000A2FF1">
              <w:rPr>
                <w:rFonts w:ascii="Arial" w:hAnsi="Arial" w:cs="Arial"/>
              </w:rPr>
              <w:t>2</w:t>
            </w:r>
          </w:p>
        </w:tc>
        <w:tc>
          <w:tcPr>
            <w:tcW w:w="0" w:type="auto"/>
            <w:hideMark/>
          </w:tcPr>
          <w:p w14:paraId="3FFD0A69" w14:textId="77777777" w:rsidR="000A2FF1" w:rsidRPr="000A2FF1" w:rsidRDefault="000A2FF1" w:rsidP="000A2FF1">
            <w:pPr>
              <w:spacing w:after="160" w:line="278" w:lineRule="auto"/>
              <w:rPr>
                <w:rFonts w:ascii="Arial" w:hAnsi="Arial" w:cs="Arial"/>
              </w:rPr>
            </w:pPr>
            <w:r w:rsidRPr="000A2FF1">
              <w:rPr>
                <w:rFonts w:ascii="Arial" w:hAnsi="Arial" w:cs="Arial"/>
              </w:rPr>
              <w:t>0.24</w:t>
            </w:r>
          </w:p>
        </w:tc>
        <w:tc>
          <w:tcPr>
            <w:tcW w:w="0" w:type="auto"/>
            <w:hideMark/>
          </w:tcPr>
          <w:p w14:paraId="6985349C" w14:textId="77777777" w:rsidR="000A2FF1" w:rsidRPr="000A2FF1" w:rsidRDefault="000A2FF1" w:rsidP="000A2FF1">
            <w:pPr>
              <w:spacing w:after="160" w:line="278" w:lineRule="auto"/>
              <w:rPr>
                <w:rFonts w:ascii="Arial" w:hAnsi="Arial" w:cs="Arial"/>
              </w:rPr>
            </w:pPr>
            <w:r w:rsidRPr="000A2FF1">
              <w:rPr>
                <w:rFonts w:ascii="Arial" w:hAnsi="Arial" w:cs="Arial"/>
              </w:rPr>
              <w:t>Weak cooperative structures</w:t>
            </w:r>
          </w:p>
        </w:tc>
      </w:tr>
      <w:tr w:rsidR="000A2FF1" w:rsidRPr="000A2FF1" w14:paraId="64573514" w14:textId="77777777" w:rsidTr="00F31EC7">
        <w:trPr>
          <w:jc w:val="center"/>
        </w:trPr>
        <w:tc>
          <w:tcPr>
            <w:tcW w:w="0" w:type="auto"/>
            <w:hideMark/>
          </w:tcPr>
          <w:p w14:paraId="5865F0A7" w14:textId="77777777" w:rsidR="000A2FF1" w:rsidRPr="000A2FF1" w:rsidRDefault="000A2FF1" w:rsidP="000A2FF1">
            <w:pPr>
              <w:spacing w:after="160" w:line="278" w:lineRule="auto"/>
              <w:rPr>
                <w:rFonts w:ascii="Arial" w:hAnsi="Arial" w:cs="Arial"/>
              </w:rPr>
            </w:pPr>
            <w:r w:rsidRPr="000A2FF1">
              <w:rPr>
                <w:rFonts w:ascii="Arial" w:hAnsi="Arial" w:cs="Arial"/>
              </w:rPr>
              <w:t>4</w:t>
            </w:r>
          </w:p>
        </w:tc>
        <w:tc>
          <w:tcPr>
            <w:tcW w:w="0" w:type="auto"/>
            <w:hideMark/>
          </w:tcPr>
          <w:p w14:paraId="59CE1A65" w14:textId="77777777" w:rsidR="000A2FF1" w:rsidRPr="000A2FF1" w:rsidRDefault="000A2FF1" w:rsidP="000A2FF1">
            <w:pPr>
              <w:spacing w:after="160" w:line="278" w:lineRule="auto"/>
              <w:rPr>
                <w:rFonts w:ascii="Arial" w:hAnsi="Arial" w:cs="Arial"/>
              </w:rPr>
            </w:pPr>
            <w:r w:rsidRPr="000A2FF1">
              <w:rPr>
                <w:rFonts w:ascii="Arial" w:hAnsi="Arial" w:cs="Arial"/>
              </w:rPr>
              <w:t>Limited access to finance and inputs</w:t>
            </w:r>
          </w:p>
        </w:tc>
        <w:tc>
          <w:tcPr>
            <w:tcW w:w="0" w:type="auto"/>
            <w:hideMark/>
          </w:tcPr>
          <w:p w14:paraId="52D78BD4" w14:textId="77777777" w:rsidR="000A2FF1" w:rsidRPr="000A2FF1" w:rsidRDefault="000A2FF1" w:rsidP="000A2FF1">
            <w:pPr>
              <w:spacing w:after="160" w:line="278" w:lineRule="auto"/>
              <w:rPr>
                <w:rFonts w:ascii="Arial" w:hAnsi="Arial" w:cs="Arial"/>
              </w:rPr>
            </w:pPr>
            <w:r w:rsidRPr="000A2FF1">
              <w:rPr>
                <w:rFonts w:ascii="Arial" w:hAnsi="Arial" w:cs="Arial"/>
              </w:rPr>
              <w:t>0.13</w:t>
            </w:r>
          </w:p>
        </w:tc>
        <w:tc>
          <w:tcPr>
            <w:tcW w:w="0" w:type="auto"/>
            <w:hideMark/>
          </w:tcPr>
          <w:p w14:paraId="321C1683" w14:textId="77777777" w:rsidR="000A2FF1" w:rsidRPr="000A2FF1" w:rsidRDefault="000A2FF1" w:rsidP="000A2FF1">
            <w:pPr>
              <w:spacing w:after="160" w:line="278" w:lineRule="auto"/>
              <w:rPr>
                <w:rFonts w:ascii="Arial" w:hAnsi="Arial" w:cs="Arial"/>
              </w:rPr>
            </w:pPr>
            <w:r w:rsidRPr="000A2FF1">
              <w:rPr>
                <w:rFonts w:ascii="Arial" w:hAnsi="Arial" w:cs="Arial"/>
              </w:rPr>
              <w:t>2</w:t>
            </w:r>
          </w:p>
        </w:tc>
        <w:tc>
          <w:tcPr>
            <w:tcW w:w="0" w:type="auto"/>
            <w:hideMark/>
          </w:tcPr>
          <w:p w14:paraId="7A9878E7" w14:textId="77777777" w:rsidR="000A2FF1" w:rsidRPr="000A2FF1" w:rsidRDefault="000A2FF1" w:rsidP="000A2FF1">
            <w:pPr>
              <w:spacing w:after="160" w:line="278" w:lineRule="auto"/>
              <w:rPr>
                <w:rFonts w:ascii="Arial" w:hAnsi="Arial" w:cs="Arial"/>
              </w:rPr>
            </w:pPr>
            <w:r w:rsidRPr="000A2FF1">
              <w:rPr>
                <w:rFonts w:ascii="Arial" w:hAnsi="Arial" w:cs="Arial"/>
              </w:rPr>
              <w:t>0.26</w:t>
            </w:r>
          </w:p>
        </w:tc>
        <w:tc>
          <w:tcPr>
            <w:tcW w:w="0" w:type="auto"/>
            <w:hideMark/>
          </w:tcPr>
          <w:p w14:paraId="4663238A" w14:textId="77777777" w:rsidR="000A2FF1" w:rsidRPr="000A2FF1" w:rsidRDefault="000A2FF1" w:rsidP="000A2FF1">
            <w:pPr>
              <w:spacing w:after="160" w:line="278" w:lineRule="auto"/>
              <w:rPr>
                <w:rFonts w:ascii="Arial" w:hAnsi="Arial" w:cs="Arial"/>
              </w:rPr>
            </w:pPr>
            <w:r w:rsidRPr="000A2FF1">
              <w:rPr>
                <w:rFonts w:ascii="Arial" w:hAnsi="Arial" w:cs="Arial"/>
              </w:rPr>
              <w:t>Low access to credit, fertilizer, etc.</w:t>
            </w:r>
          </w:p>
        </w:tc>
      </w:tr>
      <w:tr w:rsidR="000A2FF1" w:rsidRPr="000A2FF1" w14:paraId="1F755830" w14:textId="77777777" w:rsidTr="00F31EC7">
        <w:trPr>
          <w:jc w:val="center"/>
        </w:trPr>
        <w:tc>
          <w:tcPr>
            <w:tcW w:w="0" w:type="auto"/>
            <w:hideMark/>
          </w:tcPr>
          <w:p w14:paraId="009C3934" w14:textId="77777777" w:rsidR="000A2FF1" w:rsidRPr="000A2FF1" w:rsidRDefault="000A2FF1" w:rsidP="000A2FF1">
            <w:pPr>
              <w:spacing w:after="160" w:line="278" w:lineRule="auto"/>
              <w:rPr>
                <w:rFonts w:ascii="Arial" w:hAnsi="Arial" w:cs="Arial"/>
              </w:rPr>
            </w:pPr>
          </w:p>
        </w:tc>
        <w:tc>
          <w:tcPr>
            <w:tcW w:w="0" w:type="auto"/>
            <w:hideMark/>
          </w:tcPr>
          <w:p w14:paraId="044B39D0" w14:textId="77777777" w:rsidR="000A2FF1" w:rsidRPr="000A2FF1" w:rsidRDefault="000A2FF1" w:rsidP="000A2FF1">
            <w:pPr>
              <w:spacing w:after="160" w:line="278" w:lineRule="auto"/>
              <w:rPr>
                <w:rFonts w:ascii="Arial" w:hAnsi="Arial" w:cs="Arial"/>
              </w:rPr>
            </w:pPr>
            <w:r w:rsidRPr="000A2FF1">
              <w:rPr>
                <w:rFonts w:ascii="Arial" w:hAnsi="Arial" w:cs="Arial"/>
                <w:b/>
                <w:bCs/>
              </w:rPr>
              <w:t>Total</w:t>
            </w:r>
          </w:p>
        </w:tc>
        <w:tc>
          <w:tcPr>
            <w:tcW w:w="0" w:type="auto"/>
            <w:hideMark/>
          </w:tcPr>
          <w:p w14:paraId="54F5A3B3" w14:textId="77777777" w:rsidR="000A2FF1" w:rsidRPr="000A2FF1" w:rsidRDefault="000A2FF1" w:rsidP="000A2FF1">
            <w:pPr>
              <w:spacing w:after="160" w:line="278" w:lineRule="auto"/>
              <w:rPr>
                <w:rFonts w:ascii="Arial" w:hAnsi="Arial" w:cs="Arial"/>
              </w:rPr>
            </w:pPr>
            <w:r w:rsidRPr="000A2FF1">
              <w:rPr>
                <w:rFonts w:ascii="Arial" w:hAnsi="Arial" w:cs="Arial"/>
                <w:b/>
                <w:bCs/>
              </w:rPr>
              <w:t>0.50</w:t>
            </w:r>
          </w:p>
        </w:tc>
        <w:tc>
          <w:tcPr>
            <w:tcW w:w="0" w:type="auto"/>
            <w:hideMark/>
          </w:tcPr>
          <w:p w14:paraId="6E95E5C5" w14:textId="77777777" w:rsidR="000A2FF1" w:rsidRPr="000A2FF1" w:rsidRDefault="000A2FF1" w:rsidP="000A2FF1">
            <w:pPr>
              <w:spacing w:after="160" w:line="278" w:lineRule="auto"/>
              <w:rPr>
                <w:rFonts w:ascii="Arial" w:hAnsi="Arial" w:cs="Arial"/>
              </w:rPr>
            </w:pPr>
          </w:p>
        </w:tc>
        <w:tc>
          <w:tcPr>
            <w:tcW w:w="0" w:type="auto"/>
            <w:hideMark/>
          </w:tcPr>
          <w:p w14:paraId="079CAC0F" w14:textId="77777777" w:rsidR="000A2FF1" w:rsidRPr="000A2FF1" w:rsidRDefault="000A2FF1" w:rsidP="000A2FF1">
            <w:pPr>
              <w:spacing w:after="160" w:line="278" w:lineRule="auto"/>
              <w:rPr>
                <w:rFonts w:ascii="Arial" w:hAnsi="Arial" w:cs="Arial"/>
              </w:rPr>
            </w:pPr>
            <w:r w:rsidRPr="000A2FF1">
              <w:rPr>
                <w:rFonts w:ascii="Arial" w:hAnsi="Arial" w:cs="Arial"/>
                <w:b/>
                <w:bCs/>
              </w:rPr>
              <w:t>1.50</w:t>
            </w:r>
          </w:p>
        </w:tc>
        <w:tc>
          <w:tcPr>
            <w:tcW w:w="0" w:type="auto"/>
            <w:hideMark/>
          </w:tcPr>
          <w:p w14:paraId="208167BC" w14:textId="77777777" w:rsidR="000A2FF1" w:rsidRPr="000A2FF1" w:rsidRDefault="000A2FF1" w:rsidP="000A2FF1">
            <w:pPr>
              <w:spacing w:after="160" w:line="278" w:lineRule="auto"/>
              <w:rPr>
                <w:rFonts w:ascii="Arial" w:hAnsi="Arial" w:cs="Arial"/>
              </w:rPr>
            </w:pPr>
          </w:p>
        </w:tc>
      </w:tr>
    </w:tbl>
    <w:p w14:paraId="3214B3F7" w14:textId="77777777" w:rsidR="00F31EC7" w:rsidRDefault="00F31EC7" w:rsidP="000A2FF1">
      <w:pPr>
        <w:rPr>
          <w:rFonts w:ascii="Arial" w:hAnsi="Arial" w:cs="Arial"/>
          <w:b/>
          <w:bCs/>
        </w:rPr>
      </w:pPr>
    </w:p>
    <w:p w14:paraId="4A21A5F6" w14:textId="1D4E3666" w:rsidR="000A2FF1" w:rsidRPr="000A2FF1" w:rsidRDefault="00F31EC7" w:rsidP="000A2FF1">
      <w:pPr>
        <w:rPr>
          <w:rFonts w:ascii="Arial" w:hAnsi="Arial" w:cs="Arial"/>
          <w:b/>
          <w:bCs/>
        </w:rPr>
      </w:pPr>
      <w:r>
        <w:rPr>
          <w:rFonts w:ascii="Arial" w:hAnsi="Arial" w:cs="Arial"/>
          <w:b/>
          <w:bCs/>
        </w:rPr>
        <w:lastRenderedPageBreak/>
        <w:t xml:space="preserve">3.4.2 </w:t>
      </w:r>
      <w:r w:rsidR="000A2FF1" w:rsidRPr="000A2FF1">
        <w:rPr>
          <w:rFonts w:ascii="Arial" w:hAnsi="Arial" w:cs="Arial"/>
          <w:b/>
          <w:bCs/>
        </w:rPr>
        <w:t>External Factor Analysis Summary (EFAS)</w:t>
      </w:r>
    </w:p>
    <w:p w14:paraId="07E8AEBB" w14:textId="77777777" w:rsidR="000A2FF1" w:rsidRPr="000A2FF1" w:rsidRDefault="000A2FF1" w:rsidP="00F31EC7">
      <w:pPr>
        <w:jc w:val="both"/>
        <w:rPr>
          <w:rFonts w:ascii="Arial" w:hAnsi="Arial" w:cs="Arial"/>
        </w:rPr>
      </w:pPr>
      <w:r w:rsidRPr="000A2FF1">
        <w:rPr>
          <w:rFonts w:ascii="Arial" w:hAnsi="Arial" w:cs="Arial"/>
        </w:rPr>
        <w:t xml:space="preserve">The EFAS matrix (Table 2) captures opportunities and threats originating from the external environment. The most promising opportunity is the </w:t>
      </w:r>
      <w:r w:rsidRPr="000A2FF1">
        <w:rPr>
          <w:rFonts w:ascii="Arial" w:hAnsi="Arial" w:cs="Arial"/>
          <w:i/>
          <w:iCs/>
        </w:rPr>
        <w:t>rising national demand for chili</w:t>
      </w:r>
      <w:r w:rsidRPr="000A2FF1">
        <w:rPr>
          <w:rFonts w:ascii="Arial" w:hAnsi="Arial" w:cs="Arial"/>
        </w:rPr>
        <w:t xml:space="preserve"> (weight = 0.15; score = 0.60), driven by increasing consumption patterns and market growth. </w:t>
      </w:r>
      <w:r w:rsidRPr="000A2FF1">
        <w:rPr>
          <w:rFonts w:ascii="Arial" w:hAnsi="Arial" w:cs="Arial"/>
          <w:i/>
          <w:iCs/>
        </w:rPr>
        <w:t>Government support through policy and incentives</w:t>
      </w:r>
      <w:r w:rsidRPr="000A2FF1">
        <w:rPr>
          <w:rFonts w:ascii="Arial" w:hAnsi="Arial" w:cs="Arial"/>
        </w:rPr>
        <w:t xml:space="preserve"> also presents an opportunity (weight = 0.10; score = 0.30), although its influence is moderate and often limited by implementation capacity.</w:t>
      </w:r>
    </w:p>
    <w:p w14:paraId="0483DFAE" w14:textId="77777777" w:rsidR="000A2FF1" w:rsidRPr="000A2FF1" w:rsidRDefault="000A2FF1" w:rsidP="00F31EC7">
      <w:pPr>
        <w:jc w:val="both"/>
        <w:rPr>
          <w:rFonts w:ascii="Arial" w:hAnsi="Arial" w:cs="Arial"/>
        </w:rPr>
      </w:pPr>
      <w:r w:rsidRPr="000A2FF1">
        <w:rPr>
          <w:rFonts w:ascii="Arial" w:hAnsi="Arial" w:cs="Arial"/>
        </w:rPr>
        <w:t xml:space="preserve">Conversely, external threats must be mitigated. </w:t>
      </w:r>
      <w:r w:rsidRPr="000A2FF1">
        <w:rPr>
          <w:rFonts w:ascii="Arial" w:hAnsi="Arial" w:cs="Arial"/>
          <w:i/>
          <w:iCs/>
        </w:rPr>
        <w:t>High post-harvest losses</w:t>
      </w:r>
      <w:r w:rsidRPr="000A2FF1">
        <w:rPr>
          <w:rFonts w:ascii="Arial" w:hAnsi="Arial" w:cs="Arial"/>
        </w:rPr>
        <w:t xml:space="preserve"> due to inadequate handling and storage systems (weight = 0.15; score = 0.30) significantly affect farmer incomes. Additionally, </w:t>
      </w:r>
      <w:r w:rsidRPr="000A2FF1">
        <w:rPr>
          <w:rFonts w:ascii="Arial" w:hAnsi="Arial" w:cs="Arial"/>
          <w:i/>
          <w:iCs/>
        </w:rPr>
        <w:t>climate variability</w:t>
      </w:r>
      <w:r w:rsidRPr="000A2FF1">
        <w:rPr>
          <w:rFonts w:ascii="Arial" w:hAnsi="Arial" w:cs="Arial"/>
        </w:rPr>
        <w:t xml:space="preserve"> (weight = 0.10; score = 0.20) poses a risk to seasonal stability and planning. The total external score of 1.40 suggests a competitive external environment that can be exploited with the right strategies but requires risk reduction measures.</w:t>
      </w:r>
    </w:p>
    <w:p w14:paraId="50B94F54" w14:textId="77777777" w:rsidR="000A2FF1" w:rsidRPr="000A2FF1" w:rsidRDefault="000A2FF1" w:rsidP="00F31EC7">
      <w:pPr>
        <w:jc w:val="center"/>
        <w:rPr>
          <w:rFonts w:ascii="Arial" w:hAnsi="Arial" w:cs="Arial"/>
          <w:b/>
          <w:bCs/>
        </w:rPr>
      </w:pPr>
      <w:r w:rsidRPr="000A2FF1">
        <w:rPr>
          <w:rFonts w:ascii="Arial" w:hAnsi="Arial" w:cs="Arial"/>
          <w:b/>
          <w:bCs/>
        </w:rPr>
        <w:t>Table 2. External Factor Analysis Summary (EFAS)</w:t>
      </w:r>
    </w:p>
    <w:tbl>
      <w:tblPr>
        <w:tblStyle w:val="TableGrid"/>
        <w:tblW w:w="0" w:type="auto"/>
        <w:tblLook w:val="04A0" w:firstRow="1" w:lastRow="0" w:firstColumn="1" w:lastColumn="0" w:noHBand="0" w:noVBand="1"/>
      </w:tblPr>
      <w:tblGrid>
        <w:gridCol w:w="603"/>
        <w:gridCol w:w="3133"/>
        <w:gridCol w:w="1012"/>
        <w:gridCol w:w="963"/>
        <w:gridCol w:w="884"/>
        <w:gridCol w:w="2755"/>
      </w:tblGrid>
      <w:tr w:rsidR="000A2FF1" w:rsidRPr="000A2FF1" w14:paraId="07DB097C" w14:textId="77777777" w:rsidTr="00F31EC7">
        <w:tc>
          <w:tcPr>
            <w:tcW w:w="0" w:type="auto"/>
            <w:hideMark/>
          </w:tcPr>
          <w:p w14:paraId="70253197"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No.</w:t>
            </w:r>
          </w:p>
        </w:tc>
        <w:tc>
          <w:tcPr>
            <w:tcW w:w="0" w:type="auto"/>
            <w:hideMark/>
          </w:tcPr>
          <w:p w14:paraId="5DEC5328"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External Factors</w:t>
            </w:r>
          </w:p>
        </w:tc>
        <w:tc>
          <w:tcPr>
            <w:tcW w:w="0" w:type="auto"/>
            <w:hideMark/>
          </w:tcPr>
          <w:p w14:paraId="4E3F158C"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Weight</w:t>
            </w:r>
          </w:p>
        </w:tc>
        <w:tc>
          <w:tcPr>
            <w:tcW w:w="0" w:type="auto"/>
            <w:hideMark/>
          </w:tcPr>
          <w:p w14:paraId="652A8AE7"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Rating</w:t>
            </w:r>
          </w:p>
        </w:tc>
        <w:tc>
          <w:tcPr>
            <w:tcW w:w="0" w:type="auto"/>
            <w:hideMark/>
          </w:tcPr>
          <w:p w14:paraId="2C1FA11A"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Score</w:t>
            </w:r>
          </w:p>
        </w:tc>
        <w:tc>
          <w:tcPr>
            <w:tcW w:w="0" w:type="auto"/>
            <w:hideMark/>
          </w:tcPr>
          <w:p w14:paraId="54742C79"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Description</w:t>
            </w:r>
          </w:p>
        </w:tc>
      </w:tr>
      <w:tr w:rsidR="000A2FF1" w:rsidRPr="000A2FF1" w14:paraId="5C72B65C" w14:textId="77777777" w:rsidTr="00F31EC7">
        <w:tc>
          <w:tcPr>
            <w:tcW w:w="0" w:type="auto"/>
            <w:hideMark/>
          </w:tcPr>
          <w:p w14:paraId="79078042" w14:textId="77777777" w:rsidR="000A2FF1" w:rsidRPr="000A2FF1" w:rsidRDefault="000A2FF1" w:rsidP="000A2FF1">
            <w:pPr>
              <w:spacing w:after="160" w:line="278" w:lineRule="auto"/>
              <w:rPr>
                <w:rFonts w:ascii="Arial" w:hAnsi="Arial" w:cs="Arial"/>
              </w:rPr>
            </w:pPr>
            <w:r w:rsidRPr="000A2FF1">
              <w:rPr>
                <w:rFonts w:ascii="Arial" w:hAnsi="Arial" w:cs="Arial"/>
              </w:rPr>
              <w:t>1</w:t>
            </w:r>
          </w:p>
        </w:tc>
        <w:tc>
          <w:tcPr>
            <w:tcW w:w="0" w:type="auto"/>
            <w:hideMark/>
          </w:tcPr>
          <w:p w14:paraId="2FD0563E" w14:textId="77777777" w:rsidR="000A2FF1" w:rsidRPr="000A2FF1" w:rsidRDefault="000A2FF1" w:rsidP="000A2FF1">
            <w:pPr>
              <w:spacing w:after="160" w:line="278" w:lineRule="auto"/>
              <w:rPr>
                <w:rFonts w:ascii="Arial" w:hAnsi="Arial" w:cs="Arial"/>
              </w:rPr>
            </w:pPr>
            <w:r w:rsidRPr="000A2FF1">
              <w:rPr>
                <w:rFonts w:ascii="Arial" w:hAnsi="Arial" w:cs="Arial"/>
              </w:rPr>
              <w:t>Rising national demand for chili</w:t>
            </w:r>
          </w:p>
        </w:tc>
        <w:tc>
          <w:tcPr>
            <w:tcW w:w="0" w:type="auto"/>
            <w:hideMark/>
          </w:tcPr>
          <w:p w14:paraId="66896283" w14:textId="77777777" w:rsidR="000A2FF1" w:rsidRPr="000A2FF1" w:rsidRDefault="000A2FF1" w:rsidP="000A2FF1">
            <w:pPr>
              <w:spacing w:after="160" w:line="278" w:lineRule="auto"/>
              <w:rPr>
                <w:rFonts w:ascii="Arial" w:hAnsi="Arial" w:cs="Arial"/>
              </w:rPr>
            </w:pPr>
            <w:r w:rsidRPr="000A2FF1">
              <w:rPr>
                <w:rFonts w:ascii="Arial" w:hAnsi="Arial" w:cs="Arial"/>
              </w:rPr>
              <w:t>0.15</w:t>
            </w:r>
          </w:p>
        </w:tc>
        <w:tc>
          <w:tcPr>
            <w:tcW w:w="0" w:type="auto"/>
            <w:hideMark/>
          </w:tcPr>
          <w:p w14:paraId="3F951B33" w14:textId="77777777" w:rsidR="000A2FF1" w:rsidRPr="000A2FF1" w:rsidRDefault="000A2FF1" w:rsidP="000A2FF1">
            <w:pPr>
              <w:spacing w:after="160" w:line="278" w:lineRule="auto"/>
              <w:rPr>
                <w:rFonts w:ascii="Arial" w:hAnsi="Arial" w:cs="Arial"/>
              </w:rPr>
            </w:pPr>
            <w:r w:rsidRPr="000A2FF1">
              <w:rPr>
                <w:rFonts w:ascii="Arial" w:hAnsi="Arial" w:cs="Arial"/>
              </w:rPr>
              <w:t>4</w:t>
            </w:r>
          </w:p>
        </w:tc>
        <w:tc>
          <w:tcPr>
            <w:tcW w:w="0" w:type="auto"/>
            <w:hideMark/>
          </w:tcPr>
          <w:p w14:paraId="564144AC" w14:textId="77777777" w:rsidR="000A2FF1" w:rsidRPr="000A2FF1" w:rsidRDefault="000A2FF1" w:rsidP="000A2FF1">
            <w:pPr>
              <w:spacing w:after="160" w:line="278" w:lineRule="auto"/>
              <w:rPr>
                <w:rFonts w:ascii="Arial" w:hAnsi="Arial" w:cs="Arial"/>
              </w:rPr>
            </w:pPr>
            <w:r w:rsidRPr="000A2FF1">
              <w:rPr>
                <w:rFonts w:ascii="Arial" w:hAnsi="Arial" w:cs="Arial"/>
              </w:rPr>
              <w:t>0.60</w:t>
            </w:r>
          </w:p>
        </w:tc>
        <w:tc>
          <w:tcPr>
            <w:tcW w:w="0" w:type="auto"/>
            <w:hideMark/>
          </w:tcPr>
          <w:p w14:paraId="20F46FD3" w14:textId="77777777" w:rsidR="000A2FF1" w:rsidRPr="000A2FF1" w:rsidRDefault="000A2FF1" w:rsidP="000A2FF1">
            <w:pPr>
              <w:spacing w:after="160" w:line="278" w:lineRule="auto"/>
              <w:rPr>
                <w:rFonts w:ascii="Arial" w:hAnsi="Arial" w:cs="Arial"/>
              </w:rPr>
            </w:pPr>
            <w:r w:rsidRPr="000A2FF1">
              <w:rPr>
                <w:rFonts w:ascii="Arial" w:hAnsi="Arial" w:cs="Arial"/>
              </w:rPr>
              <w:t>Strong opportunity in domestic market</w:t>
            </w:r>
          </w:p>
        </w:tc>
      </w:tr>
      <w:tr w:rsidR="000A2FF1" w:rsidRPr="000A2FF1" w14:paraId="2080A493" w14:textId="77777777" w:rsidTr="00F31EC7">
        <w:tc>
          <w:tcPr>
            <w:tcW w:w="0" w:type="auto"/>
            <w:hideMark/>
          </w:tcPr>
          <w:p w14:paraId="37CAD6EA" w14:textId="77777777" w:rsidR="000A2FF1" w:rsidRPr="000A2FF1" w:rsidRDefault="000A2FF1" w:rsidP="000A2FF1">
            <w:pPr>
              <w:spacing w:after="160" w:line="278" w:lineRule="auto"/>
              <w:rPr>
                <w:rFonts w:ascii="Arial" w:hAnsi="Arial" w:cs="Arial"/>
              </w:rPr>
            </w:pPr>
            <w:r w:rsidRPr="000A2FF1">
              <w:rPr>
                <w:rFonts w:ascii="Arial" w:hAnsi="Arial" w:cs="Arial"/>
              </w:rPr>
              <w:t>2</w:t>
            </w:r>
          </w:p>
        </w:tc>
        <w:tc>
          <w:tcPr>
            <w:tcW w:w="0" w:type="auto"/>
            <w:hideMark/>
          </w:tcPr>
          <w:p w14:paraId="7BA3B3A2" w14:textId="77777777" w:rsidR="000A2FF1" w:rsidRPr="000A2FF1" w:rsidRDefault="000A2FF1" w:rsidP="000A2FF1">
            <w:pPr>
              <w:spacing w:after="160" w:line="278" w:lineRule="auto"/>
              <w:rPr>
                <w:rFonts w:ascii="Arial" w:hAnsi="Arial" w:cs="Arial"/>
              </w:rPr>
            </w:pPr>
            <w:r w:rsidRPr="000A2FF1">
              <w:rPr>
                <w:rFonts w:ascii="Arial" w:hAnsi="Arial" w:cs="Arial"/>
              </w:rPr>
              <w:t>Government support (policy/incentives)</w:t>
            </w:r>
          </w:p>
        </w:tc>
        <w:tc>
          <w:tcPr>
            <w:tcW w:w="0" w:type="auto"/>
            <w:hideMark/>
          </w:tcPr>
          <w:p w14:paraId="522F4BE1" w14:textId="77777777" w:rsidR="000A2FF1" w:rsidRPr="000A2FF1" w:rsidRDefault="000A2FF1" w:rsidP="000A2FF1">
            <w:pPr>
              <w:spacing w:after="160" w:line="278" w:lineRule="auto"/>
              <w:rPr>
                <w:rFonts w:ascii="Arial" w:hAnsi="Arial" w:cs="Arial"/>
              </w:rPr>
            </w:pPr>
            <w:r w:rsidRPr="000A2FF1">
              <w:rPr>
                <w:rFonts w:ascii="Arial" w:hAnsi="Arial" w:cs="Arial"/>
              </w:rPr>
              <w:t>0.10</w:t>
            </w:r>
          </w:p>
        </w:tc>
        <w:tc>
          <w:tcPr>
            <w:tcW w:w="0" w:type="auto"/>
            <w:hideMark/>
          </w:tcPr>
          <w:p w14:paraId="7B7EE4A8" w14:textId="77777777" w:rsidR="000A2FF1" w:rsidRPr="000A2FF1" w:rsidRDefault="000A2FF1" w:rsidP="000A2FF1">
            <w:pPr>
              <w:spacing w:after="160" w:line="278" w:lineRule="auto"/>
              <w:rPr>
                <w:rFonts w:ascii="Arial" w:hAnsi="Arial" w:cs="Arial"/>
              </w:rPr>
            </w:pPr>
            <w:r w:rsidRPr="000A2FF1">
              <w:rPr>
                <w:rFonts w:ascii="Arial" w:hAnsi="Arial" w:cs="Arial"/>
              </w:rPr>
              <w:t>3</w:t>
            </w:r>
          </w:p>
        </w:tc>
        <w:tc>
          <w:tcPr>
            <w:tcW w:w="0" w:type="auto"/>
            <w:hideMark/>
          </w:tcPr>
          <w:p w14:paraId="4E16ECC7" w14:textId="77777777" w:rsidR="000A2FF1" w:rsidRPr="000A2FF1" w:rsidRDefault="000A2FF1" w:rsidP="000A2FF1">
            <w:pPr>
              <w:spacing w:after="160" w:line="278" w:lineRule="auto"/>
              <w:rPr>
                <w:rFonts w:ascii="Arial" w:hAnsi="Arial" w:cs="Arial"/>
              </w:rPr>
            </w:pPr>
            <w:r w:rsidRPr="000A2FF1">
              <w:rPr>
                <w:rFonts w:ascii="Arial" w:hAnsi="Arial" w:cs="Arial"/>
              </w:rPr>
              <w:t>0.30</w:t>
            </w:r>
          </w:p>
        </w:tc>
        <w:tc>
          <w:tcPr>
            <w:tcW w:w="0" w:type="auto"/>
            <w:hideMark/>
          </w:tcPr>
          <w:p w14:paraId="60866FEC" w14:textId="77777777" w:rsidR="000A2FF1" w:rsidRPr="000A2FF1" w:rsidRDefault="000A2FF1" w:rsidP="000A2FF1">
            <w:pPr>
              <w:spacing w:after="160" w:line="278" w:lineRule="auto"/>
              <w:rPr>
                <w:rFonts w:ascii="Arial" w:hAnsi="Arial" w:cs="Arial"/>
              </w:rPr>
            </w:pPr>
            <w:r w:rsidRPr="000A2FF1">
              <w:rPr>
                <w:rFonts w:ascii="Arial" w:hAnsi="Arial" w:cs="Arial"/>
              </w:rPr>
              <w:t>Moderate enabling regulations</w:t>
            </w:r>
          </w:p>
        </w:tc>
      </w:tr>
      <w:tr w:rsidR="000A2FF1" w:rsidRPr="000A2FF1" w14:paraId="24C8E4ED" w14:textId="77777777" w:rsidTr="00F31EC7">
        <w:tc>
          <w:tcPr>
            <w:tcW w:w="0" w:type="auto"/>
            <w:hideMark/>
          </w:tcPr>
          <w:p w14:paraId="02366E34" w14:textId="77777777" w:rsidR="000A2FF1" w:rsidRPr="000A2FF1" w:rsidRDefault="000A2FF1" w:rsidP="000A2FF1">
            <w:pPr>
              <w:spacing w:after="160" w:line="278" w:lineRule="auto"/>
              <w:rPr>
                <w:rFonts w:ascii="Arial" w:hAnsi="Arial" w:cs="Arial"/>
              </w:rPr>
            </w:pPr>
            <w:r w:rsidRPr="000A2FF1">
              <w:rPr>
                <w:rFonts w:ascii="Arial" w:hAnsi="Arial" w:cs="Arial"/>
              </w:rPr>
              <w:t>3</w:t>
            </w:r>
          </w:p>
        </w:tc>
        <w:tc>
          <w:tcPr>
            <w:tcW w:w="0" w:type="auto"/>
            <w:hideMark/>
          </w:tcPr>
          <w:p w14:paraId="7D2E6959" w14:textId="77777777" w:rsidR="000A2FF1" w:rsidRPr="000A2FF1" w:rsidRDefault="000A2FF1" w:rsidP="000A2FF1">
            <w:pPr>
              <w:spacing w:after="160" w:line="278" w:lineRule="auto"/>
              <w:rPr>
                <w:rFonts w:ascii="Arial" w:hAnsi="Arial" w:cs="Arial"/>
              </w:rPr>
            </w:pPr>
            <w:r w:rsidRPr="000A2FF1">
              <w:rPr>
                <w:rFonts w:ascii="Arial" w:hAnsi="Arial" w:cs="Arial"/>
              </w:rPr>
              <w:t>High post-harvest loss</w:t>
            </w:r>
          </w:p>
        </w:tc>
        <w:tc>
          <w:tcPr>
            <w:tcW w:w="0" w:type="auto"/>
            <w:hideMark/>
          </w:tcPr>
          <w:p w14:paraId="788C7ED5" w14:textId="77777777" w:rsidR="000A2FF1" w:rsidRPr="000A2FF1" w:rsidRDefault="000A2FF1" w:rsidP="000A2FF1">
            <w:pPr>
              <w:spacing w:after="160" w:line="278" w:lineRule="auto"/>
              <w:rPr>
                <w:rFonts w:ascii="Arial" w:hAnsi="Arial" w:cs="Arial"/>
              </w:rPr>
            </w:pPr>
            <w:r w:rsidRPr="000A2FF1">
              <w:rPr>
                <w:rFonts w:ascii="Arial" w:hAnsi="Arial" w:cs="Arial"/>
              </w:rPr>
              <w:t>0.15</w:t>
            </w:r>
          </w:p>
        </w:tc>
        <w:tc>
          <w:tcPr>
            <w:tcW w:w="0" w:type="auto"/>
            <w:hideMark/>
          </w:tcPr>
          <w:p w14:paraId="40EA99C1" w14:textId="77777777" w:rsidR="000A2FF1" w:rsidRPr="000A2FF1" w:rsidRDefault="000A2FF1" w:rsidP="000A2FF1">
            <w:pPr>
              <w:spacing w:after="160" w:line="278" w:lineRule="auto"/>
              <w:rPr>
                <w:rFonts w:ascii="Arial" w:hAnsi="Arial" w:cs="Arial"/>
              </w:rPr>
            </w:pPr>
            <w:r w:rsidRPr="000A2FF1">
              <w:rPr>
                <w:rFonts w:ascii="Arial" w:hAnsi="Arial" w:cs="Arial"/>
              </w:rPr>
              <w:t>2</w:t>
            </w:r>
          </w:p>
        </w:tc>
        <w:tc>
          <w:tcPr>
            <w:tcW w:w="0" w:type="auto"/>
            <w:hideMark/>
          </w:tcPr>
          <w:p w14:paraId="03195C01" w14:textId="77777777" w:rsidR="000A2FF1" w:rsidRPr="000A2FF1" w:rsidRDefault="000A2FF1" w:rsidP="000A2FF1">
            <w:pPr>
              <w:spacing w:after="160" w:line="278" w:lineRule="auto"/>
              <w:rPr>
                <w:rFonts w:ascii="Arial" w:hAnsi="Arial" w:cs="Arial"/>
              </w:rPr>
            </w:pPr>
            <w:r w:rsidRPr="000A2FF1">
              <w:rPr>
                <w:rFonts w:ascii="Arial" w:hAnsi="Arial" w:cs="Arial"/>
              </w:rPr>
              <w:t>0.30</w:t>
            </w:r>
          </w:p>
        </w:tc>
        <w:tc>
          <w:tcPr>
            <w:tcW w:w="0" w:type="auto"/>
            <w:hideMark/>
          </w:tcPr>
          <w:p w14:paraId="7EEB5280" w14:textId="77777777" w:rsidR="000A2FF1" w:rsidRPr="000A2FF1" w:rsidRDefault="000A2FF1" w:rsidP="000A2FF1">
            <w:pPr>
              <w:spacing w:after="160" w:line="278" w:lineRule="auto"/>
              <w:rPr>
                <w:rFonts w:ascii="Arial" w:hAnsi="Arial" w:cs="Arial"/>
              </w:rPr>
            </w:pPr>
            <w:r w:rsidRPr="000A2FF1">
              <w:rPr>
                <w:rFonts w:ascii="Arial" w:hAnsi="Arial" w:cs="Arial"/>
              </w:rPr>
              <w:t>Major barrier to profitability</w:t>
            </w:r>
          </w:p>
        </w:tc>
      </w:tr>
      <w:tr w:rsidR="000A2FF1" w:rsidRPr="000A2FF1" w14:paraId="46364BD6" w14:textId="77777777" w:rsidTr="00F31EC7">
        <w:tc>
          <w:tcPr>
            <w:tcW w:w="0" w:type="auto"/>
            <w:hideMark/>
          </w:tcPr>
          <w:p w14:paraId="4A031C35" w14:textId="77777777" w:rsidR="000A2FF1" w:rsidRPr="000A2FF1" w:rsidRDefault="000A2FF1" w:rsidP="000A2FF1">
            <w:pPr>
              <w:spacing w:after="160" w:line="278" w:lineRule="auto"/>
              <w:rPr>
                <w:rFonts w:ascii="Arial" w:hAnsi="Arial" w:cs="Arial"/>
              </w:rPr>
            </w:pPr>
            <w:r w:rsidRPr="000A2FF1">
              <w:rPr>
                <w:rFonts w:ascii="Arial" w:hAnsi="Arial" w:cs="Arial"/>
              </w:rPr>
              <w:t>4</w:t>
            </w:r>
          </w:p>
        </w:tc>
        <w:tc>
          <w:tcPr>
            <w:tcW w:w="0" w:type="auto"/>
            <w:hideMark/>
          </w:tcPr>
          <w:p w14:paraId="745DFB5C" w14:textId="77777777" w:rsidR="000A2FF1" w:rsidRPr="000A2FF1" w:rsidRDefault="000A2FF1" w:rsidP="000A2FF1">
            <w:pPr>
              <w:spacing w:after="160" w:line="278" w:lineRule="auto"/>
              <w:rPr>
                <w:rFonts w:ascii="Arial" w:hAnsi="Arial" w:cs="Arial"/>
              </w:rPr>
            </w:pPr>
            <w:r w:rsidRPr="000A2FF1">
              <w:rPr>
                <w:rFonts w:ascii="Arial" w:hAnsi="Arial" w:cs="Arial"/>
              </w:rPr>
              <w:t>Climate variability and crop risk</w:t>
            </w:r>
          </w:p>
        </w:tc>
        <w:tc>
          <w:tcPr>
            <w:tcW w:w="0" w:type="auto"/>
            <w:hideMark/>
          </w:tcPr>
          <w:p w14:paraId="5480FE05" w14:textId="77777777" w:rsidR="000A2FF1" w:rsidRPr="000A2FF1" w:rsidRDefault="000A2FF1" w:rsidP="000A2FF1">
            <w:pPr>
              <w:spacing w:after="160" w:line="278" w:lineRule="auto"/>
              <w:rPr>
                <w:rFonts w:ascii="Arial" w:hAnsi="Arial" w:cs="Arial"/>
              </w:rPr>
            </w:pPr>
            <w:r w:rsidRPr="000A2FF1">
              <w:rPr>
                <w:rFonts w:ascii="Arial" w:hAnsi="Arial" w:cs="Arial"/>
              </w:rPr>
              <w:t>0.10</w:t>
            </w:r>
          </w:p>
        </w:tc>
        <w:tc>
          <w:tcPr>
            <w:tcW w:w="0" w:type="auto"/>
            <w:hideMark/>
          </w:tcPr>
          <w:p w14:paraId="739DDA8F" w14:textId="77777777" w:rsidR="000A2FF1" w:rsidRPr="000A2FF1" w:rsidRDefault="000A2FF1" w:rsidP="000A2FF1">
            <w:pPr>
              <w:spacing w:after="160" w:line="278" w:lineRule="auto"/>
              <w:rPr>
                <w:rFonts w:ascii="Arial" w:hAnsi="Arial" w:cs="Arial"/>
              </w:rPr>
            </w:pPr>
            <w:r w:rsidRPr="000A2FF1">
              <w:rPr>
                <w:rFonts w:ascii="Arial" w:hAnsi="Arial" w:cs="Arial"/>
              </w:rPr>
              <w:t>2</w:t>
            </w:r>
          </w:p>
        </w:tc>
        <w:tc>
          <w:tcPr>
            <w:tcW w:w="0" w:type="auto"/>
            <w:hideMark/>
          </w:tcPr>
          <w:p w14:paraId="09D68A80" w14:textId="77777777" w:rsidR="000A2FF1" w:rsidRPr="000A2FF1" w:rsidRDefault="000A2FF1" w:rsidP="000A2FF1">
            <w:pPr>
              <w:spacing w:after="160" w:line="278" w:lineRule="auto"/>
              <w:rPr>
                <w:rFonts w:ascii="Arial" w:hAnsi="Arial" w:cs="Arial"/>
              </w:rPr>
            </w:pPr>
            <w:r w:rsidRPr="000A2FF1">
              <w:rPr>
                <w:rFonts w:ascii="Arial" w:hAnsi="Arial" w:cs="Arial"/>
              </w:rPr>
              <w:t>0.20</w:t>
            </w:r>
          </w:p>
        </w:tc>
        <w:tc>
          <w:tcPr>
            <w:tcW w:w="0" w:type="auto"/>
            <w:hideMark/>
          </w:tcPr>
          <w:p w14:paraId="068C0F5E" w14:textId="77777777" w:rsidR="000A2FF1" w:rsidRPr="000A2FF1" w:rsidRDefault="000A2FF1" w:rsidP="000A2FF1">
            <w:pPr>
              <w:spacing w:after="160" w:line="278" w:lineRule="auto"/>
              <w:rPr>
                <w:rFonts w:ascii="Arial" w:hAnsi="Arial" w:cs="Arial"/>
              </w:rPr>
            </w:pPr>
            <w:r w:rsidRPr="000A2FF1">
              <w:rPr>
                <w:rFonts w:ascii="Arial" w:hAnsi="Arial" w:cs="Arial"/>
              </w:rPr>
              <w:t>Risk of erratic rainfall or drought</w:t>
            </w:r>
          </w:p>
        </w:tc>
      </w:tr>
      <w:tr w:rsidR="000A2FF1" w:rsidRPr="000A2FF1" w14:paraId="4E86A5EC" w14:textId="77777777" w:rsidTr="00F31EC7">
        <w:tc>
          <w:tcPr>
            <w:tcW w:w="0" w:type="auto"/>
            <w:hideMark/>
          </w:tcPr>
          <w:p w14:paraId="2C081D8C" w14:textId="77777777" w:rsidR="000A2FF1" w:rsidRPr="000A2FF1" w:rsidRDefault="000A2FF1" w:rsidP="000A2FF1">
            <w:pPr>
              <w:spacing w:after="160" w:line="278" w:lineRule="auto"/>
              <w:rPr>
                <w:rFonts w:ascii="Arial" w:hAnsi="Arial" w:cs="Arial"/>
              </w:rPr>
            </w:pPr>
          </w:p>
        </w:tc>
        <w:tc>
          <w:tcPr>
            <w:tcW w:w="0" w:type="auto"/>
            <w:hideMark/>
          </w:tcPr>
          <w:p w14:paraId="4E623E4E" w14:textId="77777777" w:rsidR="000A2FF1" w:rsidRPr="000A2FF1" w:rsidRDefault="000A2FF1" w:rsidP="000A2FF1">
            <w:pPr>
              <w:spacing w:after="160" w:line="278" w:lineRule="auto"/>
              <w:rPr>
                <w:rFonts w:ascii="Arial" w:hAnsi="Arial" w:cs="Arial"/>
              </w:rPr>
            </w:pPr>
            <w:r w:rsidRPr="000A2FF1">
              <w:rPr>
                <w:rFonts w:ascii="Arial" w:hAnsi="Arial" w:cs="Arial"/>
                <w:b/>
                <w:bCs/>
              </w:rPr>
              <w:t>Total</w:t>
            </w:r>
          </w:p>
        </w:tc>
        <w:tc>
          <w:tcPr>
            <w:tcW w:w="0" w:type="auto"/>
            <w:hideMark/>
          </w:tcPr>
          <w:p w14:paraId="29FD03E3" w14:textId="77777777" w:rsidR="000A2FF1" w:rsidRPr="000A2FF1" w:rsidRDefault="000A2FF1" w:rsidP="000A2FF1">
            <w:pPr>
              <w:spacing w:after="160" w:line="278" w:lineRule="auto"/>
              <w:rPr>
                <w:rFonts w:ascii="Arial" w:hAnsi="Arial" w:cs="Arial"/>
              </w:rPr>
            </w:pPr>
            <w:r w:rsidRPr="000A2FF1">
              <w:rPr>
                <w:rFonts w:ascii="Arial" w:hAnsi="Arial" w:cs="Arial"/>
                <w:b/>
                <w:bCs/>
              </w:rPr>
              <w:t>0.50</w:t>
            </w:r>
          </w:p>
        </w:tc>
        <w:tc>
          <w:tcPr>
            <w:tcW w:w="0" w:type="auto"/>
            <w:hideMark/>
          </w:tcPr>
          <w:p w14:paraId="6A8AF53A" w14:textId="77777777" w:rsidR="000A2FF1" w:rsidRPr="000A2FF1" w:rsidRDefault="000A2FF1" w:rsidP="000A2FF1">
            <w:pPr>
              <w:spacing w:after="160" w:line="278" w:lineRule="auto"/>
              <w:rPr>
                <w:rFonts w:ascii="Arial" w:hAnsi="Arial" w:cs="Arial"/>
              </w:rPr>
            </w:pPr>
          </w:p>
        </w:tc>
        <w:tc>
          <w:tcPr>
            <w:tcW w:w="0" w:type="auto"/>
            <w:hideMark/>
          </w:tcPr>
          <w:p w14:paraId="6FEEA322" w14:textId="77777777" w:rsidR="000A2FF1" w:rsidRPr="000A2FF1" w:rsidRDefault="000A2FF1" w:rsidP="000A2FF1">
            <w:pPr>
              <w:spacing w:after="160" w:line="278" w:lineRule="auto"/>
              <w:rPr>
                <w:rFonts w:ascii="Arial" w:hAnsi="Arial" w:cs="Arial"/>
              </w:rPr>
            </w:pPr>
            <w:r w:rsidRPr="000A2FF1">
              <w:rPr>
                <w:rFonts w:ascii="Arial" w:hAnsi="Arial" w:cs="Arial"/>
                <w:b/>
                <w:bCs/>
              </w:rPr>
              <w:t>1.40</w:t>
            </w:r>
          </w:p>
        </w:tc>
        <w:tc>
          <w:tcPr>
            <w:tcW w:w="0" w:type="auto"/>
            <w:hideMark/>
          </w:tcPr>
          <w:p w14:paraId="30F5533A" w14:textId="77777777" w:rsidR="000A2FF1" w:rsidRPr="000A2FF1" w:rsidRDefault="000A2FF1" w:rsidP="000A2FF1">
            <w:pPr>
              <w:spacing w:after="160" w:line="278" w:lineRule="auto"/>
              <w:rPr>
                <w:rFonts w:ascii="Arial" w:hAnsi="Arial" w:cs="Arial"/>
              </w:rPr>
            </w:pPr>
          </w:p>
        </w:tc>
      </w:tr>
    </w:tbl>
    <w:p w14:paraId="0160F038" w14:textId="77777777" w:rsidR="00F31EC7" w:rsidRDefault="00F31EC7" w:rsidP="000A2FF1">
      <w:pPr>
        <w:rPr>
          <w:rFonts w:ascii="Arial" w:hAnsi="Arial" w:cs="Arial"/>
          <w:b/>
          <w:bCs/>
        </w:rPr>
      </w:pPr>
    </w:p>
    <w:p w14:paraId="46A1F23E" w14:textId="154DFD57" w:rsidR="000A2FF1" w:rsidRPr="000A2FF1" w:rsidRDefault="00F31EC7" w:rsidP="000A2FF1">
      <w:pPr>
        <w:rPr>
          <w:rFonts w:ascii="Arial" w:hAnsi="Arial" w:cs="Arial"/>
          <w:b/>
          <w:bCs/>
        </w:rPr>
      </w:pPr>
      <w:r>
        <w:rPr>
          <w:rFonts w:ascii="Arial" w:hAnsi="Arial" w:cs="Arial"/>
          <w:b/>
          <w:bCs/>
        </w:rPr>
        <w:t xml:space="preserve">3.4.3 </w:t>
      </w:r>
      <w:r w:rsidR="000A2FF1" w:rsidRPr="000A2FF1">
        <w:rPr>
          <w:rFonts w:ascii="Arial" w:hAnsi="Arial" w:cs="Arial"/>
          <w:b/>
          <w:bCs/>
        </w:rPr>
        <w:t>SWOT Strategic Quadrant Matrix</w:t>
      </w:r>
    </w:p>
    <w:p w14:paraId="4DD701B3" w14:textId="77777777" w:rsidR="000A2FF1" w:rsidRPr="00F31EC7" w:rsidRDefault="000A2FF1" w:rsidP="00F31EC7">
      <w:pPr>
        <w:jc w:val="both"/>
        <w:rPr>
          <w:rFonts w:ascii="Arial" w:hAnsi="Arial" w:cs="Arial"/>
        </w:rPr>
      </w:pPr>
      <w:r w:rsidRPr="000A2FF1">
        <w:rPr>
          <w:rFonts w:ascii="Arial" w:hAnsi="Arial" w:cs="Arial"/>
        </w:rPr>
        <w:t>Based on the weighted IFAS and EFAS matrices, a strategic quadrant analysis was developed (Table 3). This matrix provides tailored directions for each SWOT intersection:</w:t>
      </w:r>
    </w:p>
    <w:p w14:paraId="63EBF87F" w14:textId="77777777" w:rsidR="000A2FF1" w:rsidRPr="000A2FF1" w:rsidRDefault="000A2FF1" w:rsidP="00F31EC7">
      <w:pPr>
        <w:jc w:val="center"/>
        <w:rPr>
          <w:rFonts w:ascii="Arial" w:hAnsi="Arial" w:cs="Arial"/>
        </w:rPr>
      </w:pPr>
      <w:r w:rsidRPr="000A2FF1">
        <w:rPr>
          <w:rFonts w:ascii="Arial" w:hAnsi="Arial" w:cs="Arial"/>
          <w:b/>
          <w:bCs/>
        </w:rPr>
        <w:t>Table 3.</w:t>
      </w:r>
      <w:r w:rsidRPr="000A2FF1">
        <w:rPr>
          <w:rFonts w:ascii="Arial" w:hAnsi="Arial" w:cs="Arial"/>
        </w:rPr>
        <w:t xml:space="preserve"> SWOT Strategic Matrix Quadrant</w:t>
      </w:r>
    </w:p>
    <w:tbl>
      <w:tblPr>
        <w:tblStyle w:val="TableGrid"/>
        <w:tblW w:w="0" w:type="auto"/>
        <w:tblLook w:val="04A0" w:firstRow="1" w:lastRow="0" w:firstColumn="1" w:lastColumn="0" w:noHBand="0" w:noVBand="1"/>
      </w:tblPr>
      <w:tblGrid>
        <w:gridCol w:w="1257"/>
        <w:gridCol w:w="2166"/>
        <w:gridCol w:w="5927"/>
      </w:tblGrid>
      <w:tr w:rsidR="000A2FF1" w:rsidRPr="000A2FF1" w14:paraId="1EC64A6D" w14:textId="77777777" w:rsidTr="00F31EC7">
        <w:tc>
          <w:tcPr>
            <w:tcW w:w="0" w:type="auto"/>
            <w:hideMark/>
          </w:tcPr>
          <w:p w14:paraId="6EA904C3"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Category</w:t>
            </w:r>
          </w:p>
        </w:tc>
        <w:tc>
          <w:tcPr>
            <w:tcW w:w="0" w:type="auto"/>
            <w:hideMark/>
          </w:tcPr>
          <w:p w14:paraId="6528AADE"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Strategy Type</w:t>
            </w:r>
          </w:p>
        </w:tc>
        <w:tc>
          <w:tcPr>
            <w:tcW w:w="0" w:type="auto"/>
            <w:hideMark/>
          </w:tcPr>
          <w:p w14:paraId="642FF491"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Strategic Direction</w:t>
            </w:r>
          </w:p>
        </w:tc>
      </w:tr>
      <w:tr w:rsidR="000A2FF1" w:rsidRPr="000A2FF1" w14:paraId="638E9FA7" w14:textId="77777777" w:rsidTr="00F31EC7">
        <w:tc>
          <w:tcPr>
            <w:tcW w:w="0" w:type="auto"/>
            <w:hideMark/>
          </w:tcPr>
          <w:p w14:paraId="3821F2B8" w14:textId="77777777" w:rsidR="000A2FF1" w:rsidRPr="000A2FF1" w:rsidRDefault="000A2FF1" w:rsidP="000A2FF1">
            <w:pPr>
              <w:spacing w:after="160" w:line="278" w:lineRule="auto"/>
              <w:rPr>
                <w:rFonts w:ascii="Arial" w:hAnsi="Arial" w:cs="Arial"/>
              </w:rPr>
            </w:pPr>
            <w:r w:rsidRPr="000A2FF1">
              <w:rPr>
                <w:rFonts w:ascii="Arial" w:hAnsi="Arial" w:cs="Arial"/>
              </w:rPr>
              <w:t>SO</w:t>
            </w:r>
          </w:p>
        </w:tc>
        <w:tc>
          <w:tcPr>
            <w:tcW w:w="0" w:type="auto"/>
            <w:hideMark/>
          </w:tcPr>
          <w:p w14:paraId="09693C63" w14:textId="77777777" w:rsidR="000A2FF1" w:rsidRPr="000A2FF1" w:rsidRDefault="000A2FF1" w:rsidP="000A2FF1">
            <w:pPr>
              <w:spacing w:after="160" w:line="278" w:lineRule="auto"/>
              <w:rPr>
                <w:rFonts w:ascii="Arial" w:hAnsi="Arial" w:cs="Arial"/>
              </w:rPr>
            </w:pPr>
            <w:r w:rsidRPr="000A2FF1">
              <w:rPr>
                <w:rFonts w:ascii="Arial" w:hAnsi="Arial" w:cs="Arial"/>
              </w:rPr>
              <w:t>Strength-</w:t>
            </w:r>
            <w:r w:rsidRPr="000A2FF1">
              <w:rPr>
                <w:rFonts w:ascii="Arial" w:hAnsi="Arial" w:cs="Arial"/>
              </w:rPr>
              <w:lastRenderedPageBreak/>
              <w:t>Opportunity</w:t>
            </w:r>
          </w:p>
        </w:tc>
        <w:tc>
          <w:tcPr>
            <w:tcW w:w="0" w:type="auto"/>
            <w:hideMark/>
          </w:tcPr>
          <w:p w14:paraId="253E56A4" w14:textId="77777777" w:rsidR="000A2FF1" w:rsidRPr="000A2FF1" w:rsidRDefault="000A2FF1" w:rsidP="000A2FF1">
            <w:pPr>
              <w:spacing w:after="160" w:line="278" w:lineRule="auto"/>
              <w:rPr>
                <w:rFonts w:ascii="Arial" w:hAnsi="Arial" w:cs="Arial"/>
              </w:rPr>
            </w:pPr>
            <w:r w:rsidRPr="000A2FF1">
              <w:rPr>
                <w:rFonts w:ascii="Arial" w:hAnsi="Arial" w:cs="Arial"/>
              </w:rPr>
              <w:lastRenderedPageBreak/>
              <w:t xml:space="preserve">Use agroecological advantages and consistent yields </w:t>
            </w:r>
            <w:r w:rsidRPr="000A2FF1">
              <w:rPr>
                <w:rFonts w:ascii="Arial" w:hAnsi="Arial" w:cs="Arial"/>
              </w:rPr>
              <w:lastRenderedPageBreak/>
              <w:t>to meet rising chili demand</w:t>
            </w:r>
          </w:p>
        </w:tc>
      </w:tr>
      <w:tr w:rsidR="000A2FF1" w:rsidRPr="000A2FF1" w14:paraId="6902391E" w14:textId="77777777" w:rsidTr="00F31EC7">
        <w:tc>
          <w:tcPr>
            <w:tcW w:w="0" w:type="auto"/>
            <w:hideMark/>
          </w:tcPr>
          <w:p w14:paraId="718FADD8" w14:textId="77777777" w:rsidR="000A2FF1" w:rsidRPr="000A2FF1" w:rsidRDefault="000A2FF1" w:rsidP="000A2FF1">
            <w:pPr>
              <w:spacing w:after="160" w:line="278" w:lineRule="auto"/>
              <w:rPr>
                <w:rFonts w:ascii="Arial" w:hAnsi="Arial" w:cs="Arial"/>
              </w:rPr>
            </w:pPr>
            <w:r w:rsidRPr="000A2FF1">
              <w:rPr>
                <w:rFonts w:ascii="Arial" w:hAnsi="Arial" w:cs="Arial"/>
              </w:rPr>
              <w:lastRenderedPageBreak/>
              <w:t>ST</w:t>
            </w:r>
          </w:p>
        </w:tc>
        <w:tc>
          <w:tcPr>
            <w:tcW w:w="0" w:type="auto"/>
            <w:hideMark/>
          </w:tcPr>
          <w:p w14:paraId="300D320D" w14:textId="77777777" w:rsidR="000A2FF1" w:rsidRPr="000A2FF1" w:rsidRDefault="000A2FF1" w:rsidP="000A2FF1">
            <w:pPr>
              <w:spacing w:after="160" w:line="278" w:lineRule="auto"/>
              <w:rPr>
                <w:rFonts w:ascii="Arial" w:hAnsi="Arial" w:cs="Arial"/>
              </w:rPr>
            </w:pPr>
            <w:r w:rsidRPr="000A2FF1">
              <w:rPr>
                <w:rFonts w:ascii="Arial" w:hAnsi="Arial" w:cs="Arial"/>
              </w:rPr>
              <w:t>Strength-Threat</w:t>
            </w:r>
          </w:p>
        </w:tc>
        <w:tc>
          <w:tcPr>
            <w:tcW w:w="0" w:type="auto"/>
            <w:hideMark/>
          </w:tcPr>
          <w:p w14:paraId="0545FCDC" w14:textId="77777777" w:rsidR="000A2FF1" w:rsidRPr="000A2FF1" w:rsidRDefault="000A2FF1" w:rsidP="000A2FF1">
            <w:pPr>
              <w:spacing w:after="160" w:line="278" w:lineRule="auto"/>
              <w:rPr>
                <w:rFonts w:ascii="Arial" w:hAnsi="Arial" w:cs="Arial"/>
              </w:rPr>
            </w:pPr>
            <w:r w:rsidRPr="000A2FF1">
              <w:rPr>
                <w:rFonts w:ascii="Arial" w:hAnsi="Arial" w:cs="Arial"/>
              </w:rPr>
              <w:t>Improve post-harvest infrastructure to reduce losses using natural advantages</w:t>
            </w:r>
          </w:p>
        </w:tc>
      </w:tr>
      <w:tr w:rsidR="000A2FF1" w:rsidRPr="000A2FF1" w14:paraId="07A0EC76" w14:textId="77777777" w:rsidTr="00F31EC7">
        <w:tc>
          <w:tcPr>
            <w:tcW w:w="0" w:type="auto"/>
            <w:hideMark/>
          </w:tcPr>
          <w:p w14:paraId="155632C1" w14:textId="77777777" w:rsidR="000A2FF1" w:rsidRPr="000A2FF1" w:rsidRDefault="000A2FF1" w:rsidP="000A2FF1">
            <w:pPr>
              <w:spacing w:after="160" w:line="278" w:lineRule="auto"/>
              <w:rPr>
                <w:rFonts w:ascii="Arial" w:hAnsi="Arial" w:cs="Arial"/>
              </w:rPr>
            </w:pPr>
            <w:r w:rsidRPr="000A2FF1">
              <w:rPr>
                <w:rFonts w:ascii="Arial" w:hAnsi="Arial" w:cs="Arial"/>
              </w:rPr>
              <w:t>WO</w:t>
            </w:r>
          </w:p>
        </w:tc>
        <w:tc>
          <w:tcPr>
            <w:tcW w:w="0" w:type="auto"/>
            <w:hideMark/>
          </w:tcPr>
          <w:p w14:paraId="26E5DD72" w14:textId="77777777" w:rsidR="000A2FF1" w:rsidRPr="000A2FF1" w:rsidRDefault="000A2FF1" w:rsidP="000A2FF1">
            <w:pPr>
              <w:spacing w:after="160" w:line="278" w:lineRule="auto"/>
              <w:rPr>
                <w:rFonts w:ascii="Arial" w:hAnsi="Arial" w:cs="Arial"/>
              </w:rPr>
            </w:pPr>
            <w:r w:rsidRPr="000A2FF1">
              <w:rPr>
                <w:rFonts w:ascii="Arial" w:hAnsi="Arial" w:cs="Arial"/>
              </w:rPr>
              <w:t>Weakness-Opportunity</w:t>
            </w:r>
          </w:p>
        </w:tc>
        <w:tc>
          <w:tcPr>
            <w:tcW w:w="0" w:type="auto"/>
            <w:hideMark/>
          </w:tcPr>
          <w:p w14:paraId="5B6D3541" w14:textId="77777777" w:rsidR="000A2FF1" w:rsidRPr="000A2FF1" w:rsidRDefault="000A2FF1" w:rsidP="000A2FF1">
            <w:pPr>
              <w:spacing w:after="160" w:line="278" w:lineRule="auto"/>
              <w:rPr>
                <w:rFonts w:ascii="Arial" w:hAnsi="Arial" w:cs="Arial"/>
              </w:rPr>
            </w:pPr>
            <w:r w:rsidRPr="000A2FF1">
              <w:rPr>
                <w:rFonts w:ascii="Arial" w:hAnsi="Arial" w:cs="Arial"/>
              </w:rPr>
              <w:t>Strengthen farmer institutions to access government horticulture programs</w:t>
            </w:r>
          </w:p>
        </w:tc>
      </w:tr>
      <w:tr w:rsidR="000A2FF1" w:rsidRPr="000A2FF1" w14:paraId="23FC50ED" w14:textId="77777777" w:rsidTr="00F31EC7">
        <w:tc>
          <w:tcPr>
            <w:tcW w:w="0" w:type="auto"/>
            <w:hideMark/>
          </w:tcPr>
          <w:p w14:paraId="439C2948" w14:textId="77777777" w:rsidR="000A2FF1" w:rsidRPr="000A2FF1" w:rsidRDefault="000A2FF1" w:rsidP="000A2FF1">
            <w:pPr>
              <w:spacing w:after="160" w:line="278" w:lineRule="auto"/>
              <w:rPr>
                <w:rFonts w:ascii="Arial" w:hAnsi="Arial" w:cs="Arial"/>
              </w:rPr>
            </w:pPr>
            <w:r w:rsidRPr="000A2FF1">
              <w:rPr>
                <w:rFonts w:ascii="Arial" w:hAnsi="Arial" w:cs="Arial"/>
              </w:rPr>
              <w:t>WT</w:t>
            </w:r>
          </w:p>
        </w:tc>
        <w:tc>
          <w:tcPr>
            <w:tcW w:w="0" w:type="auto"/>
            <w:hideMark/>
          </w:tcPr>
          <w:p w14:paraId="58E894C2" w14:textId="77777777" w:rsidR="000A2FF1" w:rsidRPr="000A2FF1" w:rsidRDefault="000A2FF1" w:rsidP="000A2FF1">
            <w:pPr>
              <w:spacing w:after="160" w:line="278" w:lineRule="auto"/>
              <w:rPr>
                <w:rFonts w:ascii="Arial" w:hAnsi="Arial" w:cs="Arial"/>
              </w:rPr>
            </w:pPr>
            <w:r w:rsidRPr="000A2FF1">
              <w:rPr>
                <w:rFonts w:ascii="Arial" w:hAnsi="Arial" w:cs="Arial"/>
              </w:rPr>
              <w:t>Weakness-Threat</w:t>
            </w:r>
          </w:p>
        </w:tc>
        <w:tc>
          <w:tcPr>
            <w:tcW w:w="0" w:type="auto"/>
            <w:hideMark/>
          </w:tcPr>
          <w:p w14:paraId="6D9FBC00" w14:textId="77777777" w:rsidR="000A2FF1" w:rsidRPr="000A2FF1" w:rsidRDefault="000A2FF1" w:rsidP="000A2FF1">
            <w:pPr>
              <w:spacing w:after="160" w:line="278" w:lineRule="auto"/>
              <w:rPr>
                <w:rFonts w:ascii="Arial" w:hAnsi="Arial" w:cs="Arial"/>
              </w:rPr>
            </w:pPr>
            <w:r w:rsidRPr="000A2FF1">
              <w:rPr>
                <w:rFonts w:ascii="Arial" w:hAnsi="Arial" w:cs="Arial"/>
              </w:rPr>
              <w:t>Build climate-resilient cooperatives with financial and technical training</w:t>
            </w:r>
          </w:p>
        </w:tc>
      </w:tr>
    </w:tbl>
    <w:p w14:paraId="3192B462" w14:textId="77777777" w:rsidR="000A2FF1" w:rsidRPr="000A2FF1" w:rsidRDefault="000A2FF1" w:rsidP="000A2FF1">
      <w:pPr>
        <w:rPr>
          <w:rFonts w:ascii="Arial" w:hAnsi="Arial" w:cs="Arial"/>
        </w:rPr>
      </w:pPr>
    </w:p>
    <w:p w14:paraId="4C690D50" w14:textId="77777777" w:rsidR="000A2FF1" w:rsidRPr="000A2FF1" w:rsidRDefault="000A2FF1" w:rsidP="00F31EC7">
      <w:pPr>
        <w:numPr>
          <w:ilvl w:val="0"/>
          <w:numId w:val="15"/>
        </w:numPr>
        <w:jc w:val="both"/>
        <w:rPr>
          <w:rFonts w:ascii="Arial" w:hAnsi="Arial" w:cs="Arial"/>
        </w:rPr>
      </w:pPr>
      <w:r w:rsidRPr="000A2FF1">
        <w:rPr>
          <w:rFonts w:ascii="Arial" w:hAnsi="Arial" w:cs="Arial"/>
          <w:b/>
          <w:bCs/>
        </w:rPr>
        <w:t>SO (Strength-Opportunity)</w:t>
      </w:r>
      <w:r w:rsidRPr="000A2FF1">
        <w:rPr>
          <w:rFonts w:ascii="Arial" w:hAnsi="Arial" w:cs="Arial"/>
        </w:rPr>
        <w:t xml:space="preserve"> strategies capitalize on strengths and external opportunities. For Deli Serdang, this means using its agroecological diversity and consistent yields to meet the growing chili demand. These efforts may include scaling production in optimal zones and linking to national supply chains.</w:t>
      </w:r>
    </w:p>
    <w:p w14:paraId="7530955E" w14:textId="77777777" w:rsidR="000A2FF1" w:rsidRPr="000A2FF1" w:rsidRDefault="000A2FF1" w:rsidP="00F31EC7">
      <w:pPr>
        <w:numPr>
          <w:ilvl w:val="0"/>
          <w:numId w:val="15"/>
        </w:numPr>
        <w:jc w:val="both"/>
        <w:rPr>
          <w:rFonts w:ascii="Arial" w:hAnsi="Arial" w:cs="Arial"/>
        </w:rPr>
      </w:pPr>
      <w:r w:rsidRPr="000A2FF1">
        <w:rPr>
          <w:rFonts w:ascii="Arial" w:hAnsi="Arial" w:cs="Arial"/>
          <w:b/>
          <w:bCs/>
        </w:rPr>
        <w:t>ST (Strength-Threat)</w:t>
      </w:r>
      <w:r w:rsidRPr="000A2FF1">
        <w:rPr>
          <w:rFonts w:ascii="Arial" w:hAnsi="Arial" w:cs="Arial"/>
        </w:rPr>
        <w:t xml:space="preserve"> strategies use internal strengths to mitigate external threats. Here, leveraging natural productivity advantages to reduce post-harvest loss through better infrastructure—such as cold storage and logistics—becomes essential.</w:t>
      </w:r>
    </w:p>
    <w:p w14:paraId="63DF3926" w14:textId="77777777" w:rsidR="000A2FF1" w:rsidRPr="000A2FF1" w:rsidRDefault="000A2FF1" w:rsidP="00F31EC7">
      <w:pPr>
        <w:numPr>
          <w:ilvl w:val="0"/>
          <w:numId w:val="15"/>
        </w:numPr>
        <w:jc w:val="both"/>
        <w:rPr>
          <w:rFonts w:ascii="Arial" w:hAnsi="Arial" w:cs="Arial"/>
        </w:rPr>
      </w:pPr>
      <w:r w:rsidRPr="000A2FF1">
        <w:rPr>
          <w:rFonts w:ascii="Arial" w:hAnsi="Arial" w:cs="Arial"/>
          <w:b/>
          <w:bCs/>
        </w:rPr>
        <w:t>WO (Weakness-Opportunity)</w:t>
      </w:r>
      <w:r w:rsidRPr="000A2FF1">
        <w:rPr>
          <w:rFonts w:ascii="Arial" w:hAnsi="Arial" w:cs="Arial"/>
        </w:rPr>
        <w:t xml:space="preserve"> strategies focus on overcoming internal weaknesses by exploiting opportunities. For instance, the region can use existing government horticulture programs to build and formalize farmer institutions, making them more resilient and networked.</w:t>
      </w:r>
    </w:p>
    <w:p w14:paraId="05A04658" w14:textId="77777777" w:rsidR="000A2FF1" w:rsidRPr="000A2FF1" w:rsidRDefault="000A2FF1" w:rsidP="00F31EC7">
      <w:pPr>
        <w:numPr>
          <w:ilvl w:val="0"/>
          <w:numId w:val="15"/>
        </w:numPr>
        <w:jc w:val="both"/>
        <w:rPr>
          <w:rFonts w:ascii="Arial" w:hAnsi="Arial" w:cs="Arial"/>
        </w:rPr>
      </w:pPr>
      <w:r w:rsidRPr="000A2FF1">
        <w:rPr>
          <w:rFonts w:ascii="Arial" w:hAnsi="Arial" w:cs="Arial"/>
          <w:b/>
          <w:bCs/>
        </w:rPr>
        <w:t>WT (Weakness-Threat)</w:t>
      </w:r>
      <w:r w:rsidRPr="000A2FF1">
        <w:rPr>
          <w:rFonts w:ascii="Arial" w:hAnsi="Arial" w:cs="Arial"/>
        </w:rPr>
        <w:t xml:space="preserve"> strategies aim to minimize both weaknesses and threats simultaneously. In this context, establishing </w:t>
      </w:r>
      <w:r w:rsidRPr="000A2FF1">
        <w:rPr>
          <w:rFonts w:ascii="Arial" w:hAnsi="Arial" w:cs="Arial"/>
          <w:i/>
          <w:iCs/>
        </w:rPr>
        <w:t>climate-resilient cooperatives</w:t>
      </w:r>
      <w:r w:rsidRPr="000A2FF1">
        <w:rPr>
          <w:rFonts w:ascii="Arial" w:hAnsi="Arial" w:cs="Arial"/>
        </w:rPr>
        <w:t xml:space="preserve"> with training in financial literacy and risk management will help farmers adapt to unpredictable weather while improving bargaining power and income stability.</w:t>
      </w:r>
    </w:p>
    <w:p w14:paraId="70B741C8" w14:textId="77777777" w:rsidR="000A2FF1" w:rsidRPr="000A2FF1" w:rsidRDefault="000A2FF1" w:rsidP="00F31EC7">
      <w:pPr>
        <w:jc w:val="both"/>
        <w:rPr>
          <w:rFonts w:ascii="Arial" w:hAnsi="Arial" w:cs="Arial"/>
        </w:rPr>
      </w:pPr>
      <w:r w:rsidRPr="000A2FF1">
        <w:rPr>
          <w:rFonts w:ascii="Arial" w:hAnsi="Arial" w:cs="Arial"/>
        </w:rPr>
        <w:t xml:space="preserve">This quadrant-based formulation helps prioritize spatially sensitive, institutionally grounded, and economically feasible strategies for sustainable vegetable </w:t>
      </w:r>
      <w:r w:rsidRPr="000A2FF1">
        <w:t>horticulture</w:t>
      </w:r>
      <w:r w:rsidRPr="000A2FF1">
        <w:rPr>
          <w:rFonts w:ascii="Arial" w:hAnsi="Arial" w:cs="Arial"/>
        </w:rPr>
        <w:t xml:space="preserve"> development in Deli Serdang.</w:t>
      </w:r>
    </w:p>
    <w:p w14:paraId="08C3F9A3" w14:textId="77777777" w:rsidR="00FB7232" w:rsidRPr="00FB7232" w:rsidRDefault="00FB7232" w:rsidP="00FB7232">
      <w:pPr>
        <w:jc w:val="both"/>
        <w:rPr>
          <w:rFonts w:ascii="Arial" w:hAnsi="Arial" w:cs="Arial"/>
          <w:highlight w:val="yellow"/>
        </w:rPr>
      </w:pPr>
      <w:r w:rsidRPr="00FB7232">
        <w:rPr>
          <w:rFonts w:ascii="Arial" w:hAnsi="Arial" w:cs="Arial"/>
          <w:highlight w:val="yellow"/>
        </w:rPr>
        <w:t>To formulate strategic recommendations, the study applied the A’WOT method, which integrates:</w:t>
      </w:r>
    </w:p>
    <w:p w14:paraId="614C868E" w14:textId="77777777" w:rsidR="00FB7232" w:rsidRPr="00FB7232" w:rsidRDefault="00FB7232" w:rsidP="00FB7232">
      <w:pPr>
        <w:numPr>
          <w:ilvl w:val="0"/>
          <w:numId w:val="17"/>
        </w:numPr>
        <w:jc w:val="both"/>
        <w:rPr>
          <w:rFonts w:ascii="Arial" w:hAnsi="Arial" w:cs="Arial"/>
          <w:highlight w:val="yellow"/>
        </w:rPr>
      </w:pPr>
      <w:r w:rsidRPr="00FB7232">
        <w:rPr>
          <w:rFonts w:ascii="Arial" w:hAnsi="Arial" w:cs="Arial"/>
          <w:highlight w:val="yellow"/>
        </w:rPr>
        <w:t>SWOT Analysis to identify internal (Strengths, Weaknesses) and external (Opportunities, Threats) factors, developed from expert interviews and field insights.</w:t>
      </w:r>
    </w:p>
    <w:p w14:paraId="4FD2D319" w14:textId="7662DC0F" w:rsidR="00FB7232" w:rsidRPr="00FB7232" w:rsidRDefault="00FB7232" w:rsidP="00FB7232">
      <w:pPr>
        <w:numPr>
          <w:ilvl w:val="0"/>
          <w:numId w:val="17"/>
        </w:numPr>
        <w:jc w:val="both"/>
        <w:rPr>
          <w:rFonts w:ascii="Arial" w:hAnsi="Arial" w:cs="Arial"/>
          <w:highlight w:val="yellow"/>
        </w:rPr>
      </w:pPr>
      <w:r w:rsidRPr="00FB7232">
        <w:rPr>
          <w:rFonts w:ascii="Arial" w:hAnsi="Arial" w:cs="Arial"/>
          <w:highlight w:val="yellow"/>
        </w:rPr>
        <w:t>Analytical Hierarchy Process (AHP) to prioritize these factors through pairwise comparisons, applying a consistency ratio (CR) threshold of &lt;0.1 for validity.</w:t>
      </w:r>
    </w:p>
    <w:p w14:paraId="61E0C2EF" w14:textId="2EA44365" w:rsidR="000A2FF1" w:rsidRPr="00FB7232" w:rsidRDefault="00FB7232" w:rsidP="00F31EC7">
      <w:pPr>
        <w:jc w:val="both"/>
        <w:rPr>
          <w:rFonts w:ascii="Arial" w:hAnsi="Arial" w:cs="Arial"/>
        </w:rPr>
      </w:pPr>
      <w:r w:rsidRPr="00FB7232">
        <w:rPr>
          <w:rFonts w:ascii="Arial" w:hAnsi="Arial" w:cs="Arial"/>
        </w:rPr>
        <w:lastRenderedPageBreak/>
        <w:t>The output—SWOT-based strategy matrices (SO, ST, WO, WT)—formed the basis for spatially and institutionally grounded policy recommendations.</w:t>
      </w:r>
    </w:p>
    <w:p w14:paraId="41EA9E8C" w14:textId="7C895E6C" w:rsidR="000A2FF1" w:rsidRPr="000A2FF1" w:rsidRDefault="00F31EC7" w:rsidP="000A2FF1">
      <w:pPr>
        <w:rPr>
          <w:rFonts w:ascii="Arial" w:hAnsi="Arial" w:cs="Arial"/>
          <w:b/>
          <w:bCs/>
        </w:rPr>
      </w:pPr>
      <w:r>
        <w:rPr>
          <w:rFonts w:ascii="Arial" w:hAnsi="Arial" w:cs="Arial"/>
          <w:b/>
          <w:bCs/>
        </w:rPr>
        <w:t>3.</w:t>
      </w:r>
      <w:r w:rsidR="000A2FF1" w:rsidRPr="000A2FF1">
        <w:rPr>
          <w:rFonts w:ascii="Arial" w:hAnsi="Arial" w:cs="Arial"/>
          <w:b/>
          <w:bCs/>
        </w:rPr>
        <w:t>6 Institutional and Policy Alignment</w:t>
      </w:r>
    </w:p>
    <w:p w14:paraId="60D144E3" w14:textId="77777777" w:rsidR="000A2FF1" w:rsidRPr="000A2FF1" w:rsidRDefault="000A2FF1" w:rsidP="00F31EC7">
      <w:pPr>
        <w:jc w:val="both"/>
        <w:rPr>
          <w:rFonts w:ascii="Arial" w:hAnsi="Arial" w:cs="Arial"/>
        </w:rPr>
      </w:pPr>
      <w:r w:rsidRPr="000A2FF1">
        <w:rPr>
          <w:rFonts w:ascii="Arial" w:hAnsi="Arial" w:cs="Arial"/>
        </w:rPr>
        <w:t>Despite promising agroecological and economic conditions, institutional bottlenecks persist. Farmer organizations in Deli Serdang remain fragmented, with limited access to financial services and extension programs. Coordination gaps also exist between local agricultural offices and land planning authorities, hindering implementation of region-specific zoning policies.</w:t>
      </w:r>
    </w:p>
    <w:p w14:paraId="574CA51C" w14:textId="77777777" w:rsidR="000A2FF1" w:rsidRPr="000A2FF1" w:rsidRDefault="000A2FF1" w:rsidP="00F31EC7">
      <w:pPr>
        <w:jc w:val="both"/>
        <w:rPr>
          <w:rFonts w:ascii="Arial" w:hAnsi="Arial" w:cs="Arial"/>
        </w:rPr>
      </w:pPr>
      <w:r w:rsidRPr="000A2FF1">
        <w:rPr>
          <w:rFonts w:ascii="Arial" w:hAnsi="Arial" w:cs="Arial"/>
        </w:rPr>
        <w:t xml:space="preserve">This reflects broader institutional challenges documented by </w:t>
      </w:r>
      <w:proofErr w:type="spellStart"/>
      <w:r w:rsidRPr="000A2FF1">
        <w:rPr>
          <w:rFonts w:ascii="Arial" w:hAnsi="Arial" w:cs="Arial"/>
        </w:rPr>
        <w:t>Rustiadi</w:t>
      </w:r>
      <w:proofErr w:type="spellEnd"/>
      <w:r w:rsidRPr="000A2FF1">
        <w:rPr>
          <w:rFonts w:ascii="Arial" w:hAnsi="Arial" w:cs="Arial"/>
        </w:rPr>
        <w:t xml:space="preserve"> et al. (2011), who argue that regional development success in Indonesia hinges on integrated governance structures. Without synchronized planning, even scientifically sound development strategies risk being stalled by bureaucratic inertia.</w:t>
      </w:r>
    </w:p>
    <w:p w14:paraId="32670B8C" w14:textId="373BA465" w:rsidR="000A2FF1" w:rsidRPr="000A2FF1" w:rsidRDefault="00F31EC7" w:rsidP="000A2FF1">
      <w:pPr>
        <w:rPr>
          <w:rFonts w:ascii="Arial" w:hAnsi="Arial" w:cs="Arial"/>
          <w:b/>
          <w:bCs/>
        </w:rPr>
      </w:pPr>
      <w:r>
        <w:rPr>
          <w:rFonts w:ascii="Arial" w:hAnsi="Arial" w:cs="Arial"/>
          <w:b/>
          <w:bCs/>
        </w:rPr>
        <w:t>3.</w:t>
      </w:r>
      <w:r w:rsidR="000A2FF1" w:rsidRPr="000A2FF1">
        <w:rPr>
          <w:rFonts w:ascii="Arial" w:hAnsi="Arial" w:cs="Arial"/>
          <w:b/>
          <w:bCs/>
        </w:rPr>
        <w:t>7 Comparative Insights and Broader Implications</w:t>
      </w:r>
    </w:p>
    <w:p w14:paraId="75D1B3B2" w14:textId="77777777" w:rsidR="00F93CFF" w:rsidRPr="00F93CFF" w:rsidRDefault="00F93CFF" w:rsidP="00F93CFF">
      <w:pPr>
        <w:jc w:val="both"/>
        <w:rPr>
          <w:rFonts w:ascii="Arial" w:hAnsi="Arial" w:cs="Arial"/>
          <w:highlight w:val="yellow"/>
        </w:rPr>
      </w:pPr>
      <w:r w:rsidRPr="00F93CFF">
        <w:rPr>
          <w:rFonts w:ascii="Arial" w:hAnsi="Arial" w:cs="Arial"/>
          <w:highlight w:val="yellow"/>
        </w:rPr>
        <w:t xml:space="preserve">Comparative insights from other regions underscore the potential of </w:t>
      </w:r>
      <w:r w:rsidRPr="00F93CFF">
        <w:rPr>
          <w:rFonts w:ascii="Arial" w:hAnsi="Arial" w:cs="Arial"/>
          <w:b/>
          <w:bCs/>
          <w:highlight w:val="yellow"/>
        </w:rPr>
        <w:t>vegetable horticulture as a rural development engine</w:t>
      </w:r>
      <w:r w:rsidRPr="00F93CFF">
        <w:rPr>
          <w:rFonts w:ascii="Arial" w:hAnsi="Arial" w:cs="Arial"/>
          <w:highlight w:val="yellow"/>
        </w:rPr>
        <w:t xml:space="preserve"> when supported by data-driven planning and institutional collaboration. In </w:t>
      </w:r>
      <w:r w:rsidRPr="00F93CFF">
        <w:rPr>
          <w:rFonts w:ascii="Arial" w:hAnsi="Arial" w:cs="Arial"/>
          <w:b/>
          <w:bCs/>
          <w:highlight w:val="yellow"/>
        </w:rPr>
        <w:t>West Java</w:t>
      </w:r>
      <w:r w:rsidRPr="00F93CFF">
        <w:rPr>
          <w:rFonts w:ascii="Arial" w:hAnsi="Arial" w:cs="Arial"/>
          <w:highlight w:val="yellow"/>
        </w:rPr>
        <w:t xml:space="preserve">, for example, multi-stakeholder agricultural zoning led to increased production efficiency and farmer incomes (Henny et al., 2020). Similarly, studies in </w:t>
      </w:r>
      <w:r w:rsidRPr="00F93CFF">
        <w:rPr>
          <w:rFonts w:ascii="Arial" w:hAnsi="Arial" w:cs="Arial"/>
          <w:b/>
          <w:bCs/>
          <w:highlight w:val="yellow"/>
        </w:rPr>
        <w:t>rural Kenya</w:t>
      </w:r>
      <w:r w:rsidRPr="00F93CFF">
        <w:rPr>
          <w:rFonts w:ascii="Arial" w:hAnsi="Arial" w:cs="Arial"/>
          <w:highlight w:val="yellow"/>
        </w:rPr>
        <w:t xml:space="preserve"> and </w:t>
      </w:r>
      <w:r w:rsidRPr="00F93CFF">
        <w:rPr>
          <w:rFonts w:ascii="Arial" w:hAnsi="Arial" w:cs="Arial"/>
          <w:b/>
          <w:bCs/>
          <w:highlight w:val="yellow"/>
        </w:rPr>
        <w:t>Vietnam</w:t>
      </w:r>
      <w:r w:rsidRPr="00F93CFF">
        <w:rPr>
          <w:rFonts w:ascii="Arial" w:hAnsi="Arial" w:cs="Arial"/>
          <w:highlight w:val="yellow"/>
        </w:rPr>
        <w:t xml:space="preserve"> have demonstrated that market-oriented horticulture can significantly reduce rural poverty when embedded in </w:t>
      </w:r>
      <w:r w:rsidRPr="00F93CFF">
        <w:rPr>
          <w:rFonts w:ascii="Arial" w:hAnsi="Arial" w:cs="Arial"/>
          <w:b/>
          <w:bCs/>
          <w:highlight w:val="yellow"/>
        </w:rPr>
        <w:t>inclusive value chains</w:t>
      </w:r>
      <w:r w:rsidRPr="00F93CFF">
        <w:rPr>
          <w:rFonts w:ascii="Arial" w:hAnsi="Arial" w:cs="Arial"/>
          <w:highlight w:val="yellow"/>
        </w:rPr>
        <w:t xml:space="preserve"> and </w:t>
      </w:r>
      <w:r w:rsidRPr="00F93CFF">
        <w:rPr>
          <w:rFonts w:ascii="Arial" w:hAnsi="Arial" w:cs="Arial"/>
          <w:b/>
          <w:bCs/>
          <w:highlight w:val="yellow"/>
        </w:rPr>
        <w:t>resilient institutions</w:t>
      </w:r>
      <w:r w:rsidRPr="00F93CFF">
        <w:rPr>
          <w:rFonts w:ascii="Arial" w:hAnsi="Arial" w:cs="Arial"/>
          <w:highlight w:val="yellow"/>
        </w:rPr>
        <w:t xml:space="preserve"> (Fauzi, 2020; </w:t>
      </w:r>
      <w:proofErr w:type="spellStart"/>
      <w:r w:rsidRPr="00F93CFF">
        <w:rPr>
          <w:rFonts w:ascii="Arial" w:hAnsi="Arial" w:cs="Arial"/>
          <w:highlight w:val="yellow"/>
        </w:rPr>
        <w:t>Kusnadi</w:t>
      </w:r>
      <w:proofErr w:type="spellEnd"/>
      <w:r w:rsidRPr="00F93CFF">
        <w:rPr>
          <w:rFonts w:ascii="Arial" w:hAnsi="Arial" w:cs="Arial"/>
          <w:highlight w:val="yellow"/>
        </w:rPr>
        <w:t>, 2022).</w:t>
      </w:r>
    </w:p>
    <w:p w14:paraId="08E7A269" w14:textId="77777777" w:rsidR="00F93CFF" w:rsidRPr="00F93CFF" w:rsidRDefault="00F93CFF" w:rsidP="00F93CFF">
      <w:pPr>
        <w:jc w:val="both"/>
        <w:rPr>
          <w:rFonts w:ascii="Arial" w:hAnsi="Arial" w:cs="Arial"/>
        </w:rPr>
      </w:pPr>
      <w:r w:rsidRPr="00F93CFF">
        <w:rPr>
          <w:rFonts w:ascii="Arial" w:hAnsi="Arial" w:cs="Arial"/>
          <w:highlight w:val="yellow"/>
        </w:rPr>
        <w:t xml:space="preserve">Deli Serdang can learn from these models by adopting a </w:t>
      </w:r>
      <w:r w:rsidRPr="00F93CFF">
        <w:rPr>
          <w:rFonts w:ascii="Arial" w:hAnsi="Arial" w:cs="Arial"/>
          <w:b/>
          <w:bCs/>
          <w:highlight w:val="yellow"/>
        </w:rPr>
        <w:t>participatory planning approach</w:t>
      </w:r>
      <w:r w:rsidRPr="00F93CFF">
        <w:rPr>
          <w:rFonts w:ascii="Arial" w:hAnsi="Arial" w:cs="Arial"/>
          <w:highlight w:val="yellow"/>
        </w:rPr>
        <w:t>, incorporating local knowledge, climate considerations, and real-time market intelligence to build a horticulture system that is both profitable and sustainable</w:t>
      </w:r>
    </w:p>
    <w:p w14:paraId="4E9BA93D" w14:textId="4D608649" w:rsidR="000A2FF1" w:rsidRDefault="00F31EC7" w:rsidP="00F31EC7">
      <w:pPr>
        <w:pStyle w:val="ListParagraph"/>
        <w:numPr>
          <w:ilvl w:val="0"/>
          <w:numId w:val="10"/>
        </w:numPr>
        <w:ind w:left="709"/>
        <w:rPr>
          <w:rFonts w:ascii="Arial" w:hAnsi="Arial" w:cs="Arial"/>
          <w:b/>
          <w:bCs/>
        </w:rPr>
      </w:pPr>
      <w:r>
        <w:rPr>
          <w:rFonts w:ascii="Arial" w:hAnsi="Arial" w:cs="Arial"/>
          <w:b/>
          <w:bCs/>
        </w:rPr>
        <w:t xml:space="preserve">CONCLUSION AND </w:t>
      </w:r>
      <w:r w:rsidRPr="00F31EC7">
        <w:rPr>
          <w:rFonts w:ascii="Arial" w:hAnsi="Arial" w:cs="Arial"/>
          <w:b/>
          <w:bCs/>
        </w:rPr>
        <w:t>RECOMMENDATIONS</w:t>
      </w:r>
    </w:p>
    <w:p w14:paraId="4DA22B57" w14:textId="1D7FA16D" w:rsidR="00F31EC7" w:rsidRPr="00F31EC7" w:rsidRDefault="00F31EC7" w:rsidP="00F31EC7">
      <w:pPr>
        <w:rPr>
          <w:rFonts w:ascii="Arial" w:hAnsi="Arial" w:cs="Arial"/>
          <w:b/>
          <w:bCs/>
        </w:rPr>
      </w:pPr>
      <w:r>
        <w:rPr>
          <w:rFonts w:ascii="Arial" w:hAnsi="Arial" w:cs="Arial"/>
          <w:b/>
          <w:bCs/>
        </w:rPr>
        <w:t>4.1 Conclusion</w:t>
      </w:r>
    </w:p>
    <w:p w14:paraId="096E29E7" w14:textId="7FC4A6EF" w:rsidR="000A2FF1" w:rsidRDefault="00F31EC7" w:rsidP="00F31EC7">
      <w:pPr>
        <w:jc w:val="both"/>
        <w:rPr>
          <w:rFonts w:ascii="Arial" w:hAnsi="Arial" w:cs="Arial"/>
        </w:rPr>
      </w:pPr>
      <w:r w:rsidRPr="00F31EC7">
        <w:rPr>
          <w:rFonts w:ascii="Arial" w:hAnsi="Arial" w:cs="Arial"/>
        </w:rPr>
        <w:t xml:space="preserve">This study concludes that vegetable horticulture—particularly red chili and bird’s eye chili—holds strategic value for regional development in Deli Serdang by enhancing food security and economic resilience. Using spatial and economic analyses, these commodities were shown to be both agroecologically suitable and financially viable (R/C &gt; 1). However, the presence of fragmented farmer institutions, limited access to finance, inefficient marketing chains, and vulnerability to climate variability constrain overall impact. Through the integration of SWOT-AHP and spatial planning, the research identifies critical leverage points for targeted intervention, particularly in institutional strengthening, land-use alignment, and value chain improvement. These findings affirm that a data-informed, spatially guided, and institutionally supported approach is </w:t>
      </w:r>
      <w:r w:rsidRPr="00F31EC7">
        <w:rPr>
          <w:rFonts w:ascii="Arial" w:hAnsi="Arial" w:cs="Arial"/>
        </w:rPr>
        <w:lastRenderedPageBreak/>
        <w:t>essential to realizing the full potential of the horticulture sector in achieving sustainable local development</w:t>
      </w:r>
      <w:r>
        <w:rPr>
          <w:rFonts w:ascii="Arial" w:hAnsi="Arial" w:cs="Arial"/>
        </w:rPr>
        <w:t>.</w:t>
      </w:r>
    </w:p>
    <w:p w14:paraId="624A3066" w14:textId="6B8A2F03" w:rsidR="000A2FF1" w:rsidRPr="000A2FF1" w:rsidRDefault="00F31EC7" w:rsidP="00F31EC7">
      <w:pPr>
        <w:jc w:val="both"/>
        <w:rPr>
          <w:rFonts w:ascii="Arial" w:hAnsi="Arial" w:cs="Arial"/>
        </w:rPr>
      </w:pPr>
      <w:r w:rsidRPr="00F31EC7">
        <w:rPr>
          <w:rFonts w:ascii="Arial" w:hAnsi="Arial" w:cs="Arial"/>
        </w:rPr>
        <w:t>To advance vegetable horticulture as a regional growth engine, this study recommends strengthening farmer cooperatives, investing in post-harvest infrastructure, and aligning cultivation zones with agroecological suitability through integrated spatial planning. Policies should prioritize access to credit and digital marketing tools while promoting climate-resilient farming practices. A coordinated governance model—linking agricultural agencies, planners, and farmer groups—is essential to synchronize interventions and scale impact. With these actions, Deli Serdang can transform its horticulture sector into a high-value, inclusive, and resilient driver of food security and economic progress</w:t>
      </w:r>
      <w:r>
        <w:rPr>
          <w:rFonts w:ascii="Arial" w:hAnsi="Arial" w:cs="Arial"/>
        </w:rPr>
        <w:t>.</w:t>
      </w:r>
    </w:p>
    <w:p w14:paraId="74D9CD9D" w14:textId="77777777" w:rsidR="00F407A4" w:rsidRPr="00F31EC7" w:rsidRDefault="00F407A4">
      <w:pPr>
        <w:rPr>
          <w:rFonts w:ascii="Arial" w:hAnsi="Arial" w:cs="Arial"/>
        </w:rPr>
      </w:pPr>
    </w:p>
    <w:p w14:paraId="679CA34C" w14:textId="77777777" w:rsidR="00204B34" w:rsidRPr="00394842" w:rsidRDefault="00204B34" w:rsidP="00204B34">
      <w:pPr>
        <w:rPr>
          <w:highlight w:val="yellow"/>
        </w:rPr>
      </w:pPr>
      <w:r w:rsidRPr="00394842">
        <w:rPr>
          <w:highlight w:val="yellow"/>
        </w:rPr>
        <w:t>Disclaimer (Artificial intelligence)</w:t>
      </w:r>
    </w:p>
    <w:p w14:paraId="7F31950A" w14:textId="77777777" w:rsidR="00204B34" w:rsidRPr="00394842" w:rsidRDefault="00204B34" w:rsidP="00204B34">
      <w:pPr>
        <w:rPr>
          <w:highlight w:val="yellow"/>
        </w:rPr>
      </w:pPr>
    </w:p>
    <w:p w14:paraId="2C2F9932" w14:textId="77777777" w:rsidR="00204B34" w:rsidRPr="00394842" w:rsidRDefault="00204B34" w:rsidP="00204B34">
      <w:pPr>
        <w:rPr>
          <w:highlight w:val="yellow"/>
        </w:rPr>
      </w:pPr>
      <w:r w:rsidRPr="00394842">
        <w:rPr>
          <w:highlight w:val="yellow"/>
        </w:rPr>
        <w:t xml:space="preserve">Option 1: </w:t>
      </w:r>
    </w:p>
    <w:p w14:paraId="3914D0AE" w14:textId="77777777" w:rsidR="00204B34" w:rsidRPr="00394842" w:rsidRDefault="00204B34" w:rsidP="00204B34">
      <w:pPr>
        <w:rPr>
          <w:highlight w:val="yellow"/>
        </w:rPr>
      </w:pPr>
    </w:p>
    <w:p w14:paraId="6E9681EB" w14:textId="77777777" w:rsidR="00204B34" w:rsidRPr="00394842" w:rsidRDefault="00204B34" w:rsidP="00204B34">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1F0304FE" w14:textId="77777777" w:rsidR="00204B34" w:rsidRPr="00394842" w:rsidRDefault="00204B34" w:rsidP="00204B34">
      <w:pPr>
        <w:rPr>
          <w:highlight w:val="yellow"/>
        </w:rPr>
      </w:pPr>
    </w:p>
    <w:p w14:paraId="51E3380C" w14:textId="77777777" w:rsidR="00204B34" w:rsidRPr="00394842" w:rsidRDefault="00204B34" w:rsidP="00204B34">
      <w:pPr>
        <w:rPr>
          <w:highlight w:val="yellow"/>
        </w:rPr>
      </w:pPr>
      <w:r w:rsidRPr="00394842">
        <w:rPr>
          <w:highlight w:val="yellow"/>
        </w:rPr>
        <w:t xml:space="preserve">Option 2: </w:t>
      </w:r>
    </w:p>
    <w:p w14:paraId="14EA11E8" w14:textId="77777777" w:rsidR="00204B34" w:rsidRPr="00394842" w:rsidRDefault="00204B34" w:rsidP="00204B34">
      <w:pPr>
        <w:rPr>
          <w:highlight w:val="yellow"/>
        </w:rPr>
      </w:pPr>
    </w:p>
    <w:p w14:paraId="72BDBA2F" w14:textId="77777777" w:rsidR="00204B34" w:rsidRPr="00394842" w:rsidRDefault="00204B34" w:rsidP="00204B34">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39C9329" w14:textId="77777777" w:rsidR="00204B34" w:rsidRPr="00394842" w:rsidRDefault="00204B34" w:rsidP="00204B34">
      <w:pPr>
        <w:rPr>
          <w:highlight w:val="yellow"/>
        </w:rPr>
      </w:pPr>
    </w:p>
    <w:p w14:paraId="58C66FEC" w14:textId="77777777" w:rsidR="00204B34" w:rsidRPr="00394842" w:rsidRDefault="00204B34" w:rsidP="00204B34">
      <w:pPr>
        <w:rPr>
          <w:highlight w:val="yellow"/>
        </w:rPr>
      </w:pPr>
      <w:r w:rsidRPr="00394842">
        <w:rPr>
          <w:highlight w:val="yellow"/>
        </w:rPr>
        <w:t>Details of the AI usage are given below:</w:t>
      </w:r>
    </w:p>
    <w:p w14:paraId="4FC09D74" w14:textId="77777777" w:rsidR="00204B34" w:rsidRPr="00394842" w:rsidRDefault="00204B34" w:rsidP="00204B34">
      <w:pPr>
        <w:rPr>
          <w:highlight w:val="yellow"/>
        </w:rPr>
      </w:pPr>
      <w:r w:rsidRPr="00394842">
        <w:rPr>
          <w:highlight w:val="yellow"/>
        </w:rPr>
        <w:t>1.</w:t>
      </w:r>
    </w:p>
    <w:p w14:paraId="2B655A7C" w14:textId="77777777" w:rsidR="00204B34" w:rsidRPr="00394842" w:rsidRDefault="00204B34" w:rsidP="00204B34">
      <w:pPr>
        <w:rPr>
          <w:highlight w:val="yellow"/>
        </w:rPr>
      </w:pPr>
      <w:r w:rsidRPr="00394842">
        <w:rPr>
          <w:highlight w:val="yellow"/>
        </w:rPr>
        <w:t>2.</w:t>
      </w:r>
    </w:p>
    <w:p w14:paraId="6A4D1DBD" w14:textId="77777777" w:rsidR="00204B34" w:rsidRPr="00165217" w:rsidRDefault="00204B34" w:rsidP="00204B34">
      <w:r w:rsidRPr="00394842">
        <w:rPr>
          <w:highlight w:val="yellow"/>
        </w:rPr>
        <w:t>3.</w:t>
      </w:r>
    </w:p>
    <w:p w14:paraId="5F7B5007" w14:textId="77777777" w:rsidR="00F407A4" w:rsidRPr="00F31EC7" w:rsidRDefault="00F407A4">
      <w:pPr>
        <w:rPr>
          <w:rFonts w:ascii="Arial" w:hAnsi="Arial" w:cs="Arial"/>
        </w:rPr>
      </w:pPr>
    </w:p>
    <w:p w14:paraId="362D05B9" w14:textId="47A3E2C7" w:rsidR="00F407A4" w:rsidRPr="00F31EC7" w:rsidRDefault="000A2FF1">
      <w:pPr>
        <w:rPr>
          <w:rFonts w:ascii="Arial" w:hAnsi="Arial" w:cs="Arial"/>
        </w:rPr>
      </w:pPr>
      <w:r w:rsidRPr="00F31EC7">
        <w:rPr>
          <w:rFonts w:ascii="Arial" w:hAnsi="Arial" w:cs="Arial"/>
          <w:b/>
          <w:bCs/>
        </w:rPr>
        <w:t>References</w:t>
      </w:r>
    </w:p>
    <w:p w14:paraId="28BD0E3E" w14:textId="77777777" w:rsidR="007F6962" w:rsidRPr="007F6962" w:rsidRDefault="007F6962" w:rsidP="007F6962">
      <w:pPr>
        <w:ind w:left="709" w:hanging="709"/>
        <w:jc w:val="both"/>
        <w:rPr>
          <w:rFonts w:ascii="Arial" w:hAnsi="Arial" w:cs="Arial"/>
          <w:highlight w:val="yellow"/>
        </w:rPr>
      </w:pPr>
      <w:r w:rsidRPr="007F6962">
        <w:rPr>
          <w:rFonts w:ascii="Arial" w:hAnsi="Arial" w:cs="Arial"/>
          <w:highlight w:val="yellow"/>
        </w:rPr>
        <w:t xml:space="preserve">Afandi, R. (2020). Strengthening farmer group capacity in supporting sustainable agribusiness. </w:t>
      </w:r>
      <w:proofErr w:type="spellStart"/>
      <w:r w:rsidRPr="007F6962">
        <w:rPr>
          <w:rFonts w:ascii="Arial" w:hAnsi="Arial" w:cs="Arial"/>
          <w:i/>
          <w:iCs/>
          <w:highlight w:val="yellow"/>
        </w:rPr>
        <w:t>Jurnal</w:t>
      </w:r>
      <w:proofErr w:type="spellEnd"/>
      <w:r w:rsidRPr="007F6962">
        <w:rPr>
          <w:rFonts w:ascii="Arial" w:hAnsi="Arial" w:cs="Arial"/>
          <w:i/>
          <w:iCs/>
          <w:highlight w:val="yellow"/>
        </w:rPr>
        <w:t xml:space="preserve"> </w:t>
      </w:r>
      <w:proofErr w:type="spellStart"/>
      <w:r w:rsidRPr="007F6962">
        <w:rPr>
          <w:rFonts w:ascii="Arial" w:hAnsi="Arial" w:cs="Arial"/>
          <w:i/>
          <w:iCs/>
          <w:highlight w:val="yellow"/>
        </w:rPr>
        <w:t>Agriekonomika</w:t>
      </w:r>
      <w:proofErr w:type="spellEnd"/>
      <w:r w:rsidRPr="007F6962">
        <w:rPr>
          <w:rFonts w:ascii="Arial" w:hAnsi="Arial" w:cs="Arial"/>
          <w:highlight w:val="yellow"/>
        </w:rPr>
        <w:t xml:space="preserve">, </w:t>
      </w:r>
      <w:r w:rsidRPr="007F6962">
        <w:rPr>
          <w:rFonts w:ascii="Arial" w:hAnsi="Arial" w:cs="Arial"/>
          <w:i/>
          <w:iCs/>
          <w:highlight w:val="yellow"/>
        </w:rPr>
        <w:t>9</w:t>
      </w:r>
      <w:r w:rsidRPr="007F6962">
        <w:rPr>
          <w:rFonts w:ascii="Arial" w:hAnsi="Arial" w:cs="Arial"/>
          <w:highlight w:val="yellow"/>
        </w:rPr>
        <w:t>(1), 45–56. [In Indonesian]</w:t>
      </w:r>
    </w:p>
    <w:p w14:paraId="77D82A79" w14:textId="77777777" w:rsidR="007F6962" w:rsidRPr="007F6962" w:rsidRDefault="007F6962" w:rsidP="007F6962">
      <w:pPr>
        <w:ind w:left="709" w:hanging="709"/>
        <w:jc w:val="both"/>
        <w:rPr>
          <w:rFonts w:ascii="Arial" w:hAnsi="Arial" w:cs="Arial"/>
          <w:highlight w:val="yellow"/>
        </w:rPr>
      </w:pPr>
      <w:proofErr w:type="spellStart"/>
      <w:r w:rsidRPr="007F6962">
        <w:rPr>
          <w:rFonts w:ascii="Arial" w:hAnsi="Arial" w:cs="Arial"/>
          <w:highlight w:val="yellow"/>
        </w:rPr>
        <w:t>Arifianto</w:t>
      </w:r>
      <w:proofErr w:type="spellEnd"/>
      <w:r w:rsidRPr="007F6962">
        <w:rPr>
          <w:rFonts w:ascii="Arial" w:hAnsi="Arial" w:cs="Arial"/>
          <w:highlight w:val="yellow"/>
        </w:rPr>
        <w:t xml:space="preserve">, D. (2023). </w:t>
      </w:r>
      <w:r w:rsidRPr="007F6962">
        <w:rPr>
          <w:rFonts w:ascii="Arial" w:hAnsi="Arial" w:cs="Arial"/>
          <w:i/>
          <w:iCs/>
          <w:highlight w:val="yellow"/>
        </w:rPr>
        <w:t xml:space="preserve">Integration of vegetable horticulture in the development of </w:t>
      </w:r>
      <w:proofErr w:type="spellStart"/>
      <w:r w:rsidRPr="007F6962">
        <w:rPr>
          <w:rFonts w:ascii="Arial" w:hAnsi="Arial" w:cs="Arial"/>
          <w:i/>
          <w:iCs/>
          <w:highlight w:val="yellow"/>
        </w:rPr>
        <w:t>agropolitan</w:t>
      </w:r>
      <w:proofErr w:type="spellEnd"/>
      <w:r w:rsidRPr="007F6962">
        <w:rPr>
          <w:rFonts w:ascii="Arial" w:hAnsi="Arial" w:cs="Arial"/>
          <w:i/>
          <w:iCs/>
          <w:highlight w:val="yellow"/>
        </w:rPr>
        <w:t xml:space="preserve"> areas in Bandung Regency</w:t>
      </w:r>
      <w:r w:rsidRPr="007F6962">
        <w:rPr>
          <w:rFonts w:ascii="Arial" w:hAnsi="Arial" w:cs="Arial"/>
          <w:highlight w:val="yellow"/>
        </w:rPr>
        <w:t xml:space="preserve"> (</w:t>
      </w:r>
      <w:proofErr w:type="gramStart"/>
      <w:r w:rsidRPr="007F6962">
        <w:rPr>
          <w:rFonts w:ascii="Arial" w:hAnsi="Arial" w:cs="Arial"/>
          <w:highlight w:val="yellow"/>
        </w:rPr>
        <w:t>Master’s</w:t>
      </w:r>
      <w:proofErr w:type="gramEnd"/>
      <w:r w:rsidRPr="007F6962">
        <w:rPr>
          <w:rFonts w:ascii="Arial" w:hAnsi="Arial" w:cs="Arial"/>
          <w:highlight w:val="yellow"/>
        </w:rPr>
        <w:t xml:space="preserve"> thesis, Bogor Agricultural University). [In Indonesian]</w:t>
      </w:r>
    </w:p>
    <w:p w14:paraId="3AE26EE0" w14:textId="77777777" w:rsidR="007F6962" w:rsidRPr="007F6962" w:rsidRDefault="007F6962" w:rsidP="007F6962">
      <w:pPr>
        <w:ind w:left="709" w:hanging="709"/>
        <w:jc w:val="both"/>
        <w:rPr>
          <w:rFonts w:ascii="Arial" w:hAnsi="Arial" w:cs="Arial"/>
          <w:highlight w:val="yellow"/>
        </w:rPr>
      </w:pPr>
      <w:r w:rsidRPr="007F6962">
        <w:rPr>
          <w:rFonts w:ascii="Arial" w:hAnsi="Arial" w:cs="Arial"/>
          <w:highlight w:val="yellow"/>
        </w:rPr>
        <w:t xml:space="preserve">Arsyad, S. (2006). </w:t>
      </w:r>
      <w:r w:rsidRPr="007F6962">
        <w:rPr>
          <w:rFonts w:ascii="Arial" w:hAnsi="Arial" w:cs="Arial"/>
          <w:i/>
          <w:iCs/>
          <w:highlight w:val="yellow"/>
        </w:rPr>
        <w:t>Regional development economics</w:t>
      </w:r>
      <w:r w:rsidRPr="007F6962">
        <w:rPr>
          <w:rFonts w:ascii="Arial" w:hAnsi="Arial" w:cs="Arial"/>
          <w:highlight w:val="yellow"/>
        </w:rPr>
        <w:t>. Yogyakarta: UGM Publishing Agency. [In Indonesian]</w:t>
      </w:r>
    </w:p>
    <w:p w14:paraId="1BC4583A" w14:textId="77777777" w:rsidR="007F6962" w:rsidRPr="007F6962" w:rsidRDefault="007F6962" w:rsidP="007F6962">
      <w:pPr>
        <w:ind w:left="709" w:hanging="709"/>
        <w:jc w:val="both"/>
        <w:rPr>
          <w:rFonts w:ascii="Arial" w:hAnsi="Arial" w:cs="Arial"/>
          <w:highlight w:val="yellow"/>
        </w:rPr>
      </w:pPr>
      <w:proofErr w:type="spellStart"/>
      <w:r w:rsidRPr="007F6962">
        <w:rPr>
          <w:rFonts w:ascii="Arial" w:hAnsi="Arial" w:cs="Arial"/>
          <w:highlight w:val="yellow"/>
        </w:rPr>
        <w:t>Buzadjija</w:t>
      </w:r>
      <w:proofErr w:type="spellEnd"/>
      <w:r w:rsidRPr="007F6962">
        <w:rPr>
          <w:rFonts w:ascii="Arial" w:hAnsi="Arial" w:cs="Arial"/>
          <w:highlight w:val="yellow"/>
        </w:rPr>
        <w:t xml:space="preserve">, S., </w:t>
      </w:r>
      <w:proofErr w:type="spellStart"/>
      <w:r w:rsidRPr="007F6962">
        <w:rPr>
          <w:rFonts w:ascii="Arial" w:hAnsi="Arial" w:cs="Arial"/>
          <w:highlight w:val="yellow"/>
        </w:rPr>
        <w:t>Stanujkic</w:t>
      </w:r>
      <w:proofErr w:type="spellEnd"/>
      <w:r w:rsidRPr="007F6962">
        <w:rPr>
          <w:rFonts w:ascii="Arial" w:hAnsi="Arial" w:cs="Arial"/>
          <w:highlight w:val="yellow"/>
        </w:rPr>
        <w:t xml:space="preserve">, D., &amp; Milanovic, D. (2014). AHP-SWOT approach for strategic planning and decision making: A case study of the Republic of Serbia’s defense industry. </w:t>
      </w:r>
      <w:r w:rsidRPr="007F6962">
        <w:rPr>
          <w:rFonts w:ascii="Arial" w:hAnsi="Arial" w:cs="Arial"/>
          <w:i/>
          <w:iCs/>
          <w:highlight w:val="yellow"/>
        </w:rPr>
        <w:t>Strategic Management</w:t>
      </w:r>
      <w:r w:rsidRPr="007F6962">
        <w:rPr>
          <w:rFonts w:ascii="Arial" w:hAnsi="Arial" w:cs="Arial"/>
          <w:highlight w:val="yellow"/>
        </w:rPr>
        <w:t xml:space="preserve">, </w:t>
      </w:r>
      <w:r w:rsidRPr="007F6962">
        <w:rPr>
          <w:rFonts w:ascii="Arial" w:hAnsi="Arial" w:cs="Arial"/>
          <w:i/>
          <w:iCs/>
          <w:highlight w:val="yellow"/>
        </w:rPr>
        <w:t>19</w:t>
      </w:r>
      <w:r w:rsidRPr="007F6962">
        <w:rPr>
          <w:rFonts w:ascii="Arial" w:hAnsi="Arial" w:cs="Arial"/>
          <w:highlight w:val="yellow"/>
        </w:rPr>
        <w:t>(2), 5–13.</w:t>
      </w:r>
    </w:p>
    <w:p w14:paraId="56795C2C" w14:textId="77777777" w:rsidR="007F6962" w:rsidRPr="007F6962" w:rsidRDefault="007F6962" w:rsidP="007F6962">
      <w:pPr>
        <w:ind w:left="709" w:hanging="709"/>
        <w:jc w:val="both"/>
        <w:rPr>
          <w:rFonts w:ascii="Arial" w:hAnsi="Arial" w:cs="Arial"/>
          <w:highlight w:val="yellow"/>
        </w:rPr>
      </w:pPr>
      <w:proofErr w:type="spellStart"/>
      <w:r w:rsidRPr="007F6962">
        <w:rPr>
          <w:rFonts w:ascii="Arial" w:hAnsi="Arial" w:cs="Arial"/>
          <w:highlight w:val="yellow"/>
        </w:rPr>
        <w:t>Djaenuddin</w:t>
      </w:r>
      <w:proofErr w:type="spellEnd"/>
      <w:r w:rsidRPr="007F6962">
        <w:rPr>
          <w:rFonts w:ascii="Arial" w:hAnsi="Arial" w:cs="Arial"/>
          <w:highlight w:val="yellow"/>
        </w:rPr>
        <w:t xml:space="preserve">, H. (2008). </w:t>
      </w:r>
      <w:r w:rsidRPr="007F6962">
        <w:rPr>
          <w:rFonts w:ascii="Arial" w:hAnsi="Arial" w:cs="Arial"/>
          <w:i/>
          <w:iCs/>
          <w:highlight w:val="yellow"/>
        </w:rPr>
        <w:t>Land suitability evaluation for agriculture</w:t>
      </w:r>
      <w:r w:rsidRPr="007F6962">
        <w:rPr>
          <w:rFonts w:ascii="Arial" w:hAnsi="Arial" w:cs="Arial"/>
          <w:highlight w:val="yellow"/>
        </w:rPr>
        <w:t>. Bogor: IPB Press. [In Indonesian]</w:t>
      </w:r>
    </w:p>
    <w:p w14:paraId="08D1D92E" w14:textId="77777777" w:rsidR="007F6962" w:rsidRPr="007F6962" w:rsidRDefault="007F6962" w:rsidP="007F6962">
      <w:pPr>
        <w:ind w:left="709" w:hanging="709"/>
        <w:jc w:val="both"/>
        <w:rPr>
          <w:rFonts w:ascii="Arial" w:hAnsi="Arial" w:cs="Arial"/>
          <w:highlight w:val="yellow"/>
        </w:rPr>
      </w:pPr>
      <w:r w:rsidRPr="007F6962">
        <w:rPr>
          <w:rFonts w:ascii="Arial" w:hAnsi="Arial" w:cs="Arial"/>
          <w:highlight w:val="yellow"/>
        </w:rPr>
        <w:t xml:space="preserve">Fauzi, A. (2020). Agricultural technology transformation to increase smallholder productivity. </w:t>
      </w:r>
      <w:r w:rsidRPr="007F6962">
        <w:rPr>
          <w:rFonts w:ascii="Arial" w:hAnsi="Arial" w:cs="Arial"/>
          <w:i/>
          <w:iCs/>
          <w:highlight w:val="yellow"/>
        </w:rPr>
        <w:t>Journal of Agricultural Development</w:t>
      </w:r>
      <w:r w:rsidRPr="007F6962">
        <w:rPr>
          <w:rFonts w:ascii="Arial" w:hAnsi="Arial" w:cs="Arial"/>
          <w:highlight w:val="yellow"/>
        </w:rPr>
        <w:t xml:space="preserve">, </w:t>
      </w:r>
      <w:r w:rsidRPr="007F6962">
        <w:rPr>
          <w:rFonts w:ascii="Arial" w:hAnsi="Arial" w:cs="Arial"/>
          <w:i/>
          <w:iCs/>
          <w:highlight w:val="yellow"/>
        </w:rPr>
        <w:t>38</w:t>
      </w:r>
      <w:r w:rsidRPr="007F6962">
        <w:rPr>
          <w:rFonts w:ascii="Arial" w:hAnsi="Arial" w:cs="Arial"/>
          <w:highlight w:val="yellow"/>
        </w:rPr>
        <w:t>(2), 112–123. [In Indonesian]</w:t>
      </w:r>
    </w:p>
    <w:p w14:paraId="75858157" w14:textId="77777777" w:rsidR="007F6962" w:rsidRPr="007F6962" w:rsidRDefault="007F6962" w:rsidP="007F6962">
      <w:pPr>
        <w:ind w:left="709" w:hanging="709"/>
        <w:jc w:val="both"/>
        <w:rPr>
          <w:rFonts w:ascii="Arial" w:hAnsi="Arial" w:cs="Arial"/>
          <w:highlight w:val="yellow"/>
        </w:rPr>
      </w:pPr>
      <w:proofErr w:type="spellStart"/>
      <w:r w:rsidRPr="007F6962">
        <w:rPr>
          <w:rFonts w:ascii="Arial" w:hAnsi="Arial" w:cs="Arial"/>
          <w:highlight w:val="yellow"/>
        </w:rPr>
        <w:t>Handayani</w:t>
      </w:r>
      <w:proofErr w:type="spellEnd"/>
      <w:r w:rsidRPr="007F6962">
        <w:rPr>
          <w:rFonts w:ascii="Arial" w:hAnsi="Arial" w:cs="Arial"/>
          <w:highlight w:val="yellow"/>
        </w:rPr>
        <w:t xml:space="preserve">, L., Hidayat, F., </w:t>
      </w:r>
      <w:proofErr w:type="spellStart"/>
      <w:r w:rsidRPr="007F6962">
        <w:rPr>
          <w:rFonts w:ascii="Arial" w:hAnsi="Arial" w:cs="Arial"/>
          <w:highlight w:val="yellow"/>
        </w:rPr>
        <w:t>Suhendra</w:t>
      </w:r>
      <w:proofErr w:type="spellEnd"/>
      <w:r w:rsidRPr="007F6962">
        <w:rPr>
          <w:rFonts w:ascii="Arial" w:hAnsi="Arial" w:cs="Arial"/>
          <w:highlight w:val="yellow"/>
        </w:rPr>
        <w:t xml:space="preserve">, S., Widodo, S. I., Rinaldi, K., </w:t>
      </w:r>
      <w:proofErr w:type="spellStart"/>
      <w:r w:rsidRPr="007F6962">
        <w:rPr>
          <w:rFonts w:ascii="Arial" w:hAnsi="Arial" w:cs="Arial"/>
          <w:highlight w:val="yellow"/>
        </w:rPr>
        <w:t>Sudarmaji</w:t>
      </w:r>
      <w:proofErr w:type="spellEnd"/>
      <w:r w:rsidRPr="007F6962">
        <w:rPr>
          <w:rFonts w:ascii="Arial" w:hAnsi="Arial" w:cs="Arial"/>
          <w:highlight w:val="yellow"/>
        </w:rPr>
        <w:t xml:space="preserve">, S., </w:t>
      </w:r>
      <w:proofErr w:type="spellStart"/>
      <w:r w:rsidRPr="007F6962">
        <w:rPr>
          <w:rFonts w:ascii="Arial" w:hAnsi="Arial" w:cs="Arial"/>
          <w:highlight w:val="yellow"/>
        </w:rPr>
        <w:t>Ardiansyah</w:t>
      </w:r>
      <w:proofErr w:type="spellEnd"/>
      <w:r w:rsidRPr="007F6962">
        <w:rPr>
          <w:rFonts w:ascii="Arial" w:hAnsi="Arial" w:cs="Arial"/>
          <w:highlight w:val="yellow"/>
        </w:rPr>
        <w:t xml:space="preserve">, M., &amp; </w:t>
      </w:r>
      <w:proofErr w:type="spellStart"/>
      <w:r w:rsidRPr="007F6962">
        <w:rPr>
          <w:rFonts w:ascii="Arial" w:hAnsi="Arial" w:cs="Arial"/>
          <w:highlight w:val="yellow"/>
        </w:rPr>
        <w:t>Sarumpaet</w:t>
      </w:r>
      <w:proofErr w:type="spellEnd"/>
      <w:r w:rsidRPr="007F6962">
        <w:rPr>
          <w:rFonts w:ascii="Arial" w:hAnsi="Arial" w:cs="Arial"/>
          <w:highlight w:val="yellow"/>
        </w:rPr>
        <w:t xml:space="preserve">, I. (2024). Performance analysis of agribusiness management system for red chili in </w:t>
      </w:r>
      <w:proofErr w:type="spellStart"/>
      <w:r w:rsidRPr="007F6962">
        <w:rPr>
          <w:rFonts w:ascii="Arial" w:hAnsi="Arial" w:cs="Arial"/>
          <w:highlight w:val="yellow"/>
        </w:rPr>
        <w:t>Beringin</w:t>
      </w:r>
      <w:proofErr w:type="spellEnd"/>
      <w:r w:rsidRPr="007F6962">
        <w:rPr>
          <w:rFonts w:ascii="Arial" w:hAnsi="Arial" w:cs="Arial"/>
          <w:highlight w:val="yellow"/>
        </w:rPr>
        <w:t xml:space="preserve"> Subdistrict, Deli Serdang Regency. </w:t>
      </w:r>
      <w:proofErr w:type="spellStart"/>
      <w:r w:rsidRPr="007F6962">
        <w:rPr>
          <w:rFonts w:ascii="Arial" w:hAnsi="Arial" w:cs="Arial"/>
          <w:i/>
          <w:iCs/>
          <w:highlight w:val="yellow"/>
        </w:rPr>
        <w:t>Jurnal</w:t>
      </w:r>
      <w:proofErr w:type="spellEnd"/>
      <w:r w:rsidRPr="007F6962">
        <w:rPr>
          <w:rFonts w:ascii="Arial" w:hAnsi="Arial" w:cs="Arial"/>
          <w:i/>
          <w:iCs/>
          <w:highlight w:val="yellow"/>
        </w:rPr>
        <w:t xml:space="preserve"> </w:t>
      </w:r>
      <w:proofErr w:type="spellStart"/>
      <w:r w:rsidRPr="007F6962">
        <w:rPr>
          <w:rFonts w:ascii="Arial" w:hAnsi="Arial" w:cs="Arial"/>
          <w:i/>
          <w:iCs/>
          <w:highlight w:val="yellow"/>
        </w:rPr>
        <w:t>Multidisiplin</w:t>
      </w:r>
      <w:proofErr w:type="spellEnd"/>
      <w:r w:rsidRPr="007F6962">
        <w:rPr>
          <w:rFonts w:ascii="Arial" w:hAnsi="Arial" w:cs="Arial"/>
          <w:i/>
          <w:iCs/>
          <w:highlight w:val="yellow"/>
        </w:rPr>
        <w:t xml:space="preserve"> West Science</w:t>
      </w:r>
      <w:r w:rsidRPr="007F6962">
        <w:rPr>
          <w:rFonts w:ascii="Arial" w:hAnsi="Arial" w:cs="Arial"/>
          <w:highlight w:val="yellow"/>
        </w:rPr>
        <w:t xml:space="preserve">, </w:t>
      </w:r>
      <w:r w:rsidRPr="007F6962">
        <w:rPr>
          <w:rFonts w:ascii="Arial" w:hAnsi="Arial" w:cs="Arial"/>
          <w:i/>
          <w:iCs/>
          <w:highlight w:val="yellow"/>
        </w:rPr>
        <w:t>3</w:t>
      </w:r>
      <w:r w:rsidRPr="007F6962">
        <w:rPr>
          <w:rFonts w:ascii="Arial" w:hAnsi="Arial" w:cs="Arial"/>
          <w:highlight w:val="yellow"/>
        </w:rPr>
        <w:t xml:space="preserve">(10), 1651–1663. </w:t>
      </w:r>
      <w:hyperlink r:id="rId7" w:tgtFrame="_new" w:history="1">
        <w:r w:rsidRPr="007F6962">
          <w:rPr>
            <w:rStyle w:val="Hyperlink"/>
            <w:rFonts w:ascii="Arial" w:hAnsi="Arial" w:cs="Arial"/>
            <w:highlight w:val="yellow"/>
          </w:rPr>
          <w:t>https://</w:t>
        </w:r>
        <w:proofErr w:type="spellStart"/>
        <w:r w:rsidRPr="007F6962">
          <w:rPr>
            <w:rStyle w:val="Hyperlink"/>
            <w:rFonts w:ascii="Arial" w:hAnsi="Arial" w:cs="Arial"/>
            <w:highlight w:val="yellow"/>
          </w:rPr>
          <w:t>doi.org</w:t>
        </w:r>
        <w:proofErr w:type="spellEnd"/>
        <w:r w:rsidRPr="007F6962">
          <w:rPr>
            <w:rStyle w:val="Hyperlink"/>
            <w:rFonts w:ascii="Arial" w:hAnsi="Arial" w:cs="Arial"/>
            <w:highlight w:val="yellow"/>
          </w:rPr>
          <w:t>/10.58812/</w:t>
        </w:r>
        <w:proofErr w:type="spellStart"/>
        <w:r w:rsidRPr="007F6962">
          <w:rPr>
            <w:rStyle w:val="Hyperlink"/>
            <w:rFonts w:ascii="Arial" w:hAnsi="Arial" w:cs="Arial"/>
            <w:highlight w:val="yellow"/>
          </w:rPr>
          <w:t>jmws.v3i10.1650</w:t>
        </w:r>
        <w:proofErr w:type="spellEnd"/>
      </w:hyperlink>
      <w:r w:rsidRPr="007F6962">
        <w:rPr>
          <w:rFonts w:ascii="Arial" w:hAnsi="Arial" w:cs="Arial"/>
          <w:highlight w:val="yellow"/>
        </w:rPr>
        <w:t xml:space="preserve"> [In Indonesian]</w:t>
      </w:r>
    </w:p>
    <w:p w14:paraId="1DBFD953" w14:textId="77777777" w:rsidR="007F6962" w:rsidRPr="007F6962" w:rsidRDefault="007F6962" w:rsidP="007F6962">
      <w:pPr>
        <w:ind w:left="709" w:hanging="709"/>
        <w:jc w:val="both"/>
        <w:rPr>
          <w:rFonts w:ascii="Arial" w:hAnsi="Arial" w:cs="Arial"/>
          <w:highlight w:val="yellow"/>
        </w:rPr>
      </w:pPr>
      <w:proofErr w:type="spellStart"/>
      <w:r w:rsidRPr="007F6962">
        <w:rPr>
          <w:rFonts w:ascii="Arial" w:hAnsi="Arial" w:cs="Arial"/>
          <w:highlight w:val="yellow"/>
        </w:rPr>
        <w:t>Hardjowigeno</w:t>
      </w:r>
      <w:proofErr w:type="spellEnd"/>
      <w:r w:rsidRPr="007F6962">
        <w:rPr>
          <w:rFonts w:ascii="Arial" w:hAnsi="Arial" w:cs="Arial"/>
          <w:highlight w:val="yellow"/>
        </w:rPr>
        <w:t xml:space="preserve">, S., &amp; </w:t>
      </w:r>
      <w:proofErr w:type="spellStart"/>
      <w:r w:rsidRPr="007F6962">
        <w:rPr>
          <w:rFonts w:ascii="Arial" w:hAnsi="Arial" w:cs="Arial"/>
          <w:highlight w:val="yellow"/>
        </w:rPr>
        <w:t>Widiatmaka</w:t>
      </w:r>
      <w:proofErr w:type="spellEnd"/>
      <w:r w:rsidRPr="007F6962">
        <w:rPr>
          <w:rFonts w:ascii="Arial" w:hAnsi="Arial" w:cs="Arial"/>
          <w:highlight w:val="yellow"/>
        </w:rPr>
        <w:t xml:space="preserve">, A. (2007). Land suitability evaluation and its utilization. </w:t>
      </w:r>
      <w:r w:rsidRPr="007F6962">
        <w:rPr>
          <w:rFonts w:ascii="Arial" w:hAnsi="Arial" w:cs="Arial"/>
          <w:i/>
          <w:iCs/>
          <w:highlight w:val="yellow"/>
        </w:rPr>
        <w:t xml:space="preserve">Journal of Soil Science and </w:t>
      </w:r>
      <w:proofErr w:type="spellStart"/>
      <w:r w:rsidRPr="007F6962">
        <w:rPr>
          <w:rFonts w:ascii="Arial" w:hAnsi="Arial" w:cs="Arial"/>
          <w:i/>
          <w:iCs/>
          <w:highlight w:val="yellow"/>
        </w:rPr>
        <w:t>Agroclimate</w:t>
      </w:r>
      <w:proofErr w:type="spellEnd"/>
      <w:r w:rsidRPr="007F6962">
        <w:rPr>
          <w:rFonts w:ascii="Arial" w:hAnsi="Arial" w:cs="Arial"/>
          <w:highlight w:val="yellow"/>
        </w:rPr>
        <w:t xml:space="preserve">, </w:t>
      </w:r>
      <w:r w:rsidRPr="007F6962">
        <w:rPr>
          <w:rFonts w:ascii="Arial" w:hAnsi="Arial" w:cs="Arial"/>
          <w:i/>
          <w:iCs/>
          <w:highlight w:val="yellow"/>
        </w:rPr>
        <w:t>4</w:t>
      </w:r>
      <w:r w:rsidRPr="007F6962">
        <w:rPr>
          <w:rFonts w:ascii="Arial" w:hAnsi="Arial" w:cs="Arial"/>
          <w:highlight w:val="yellow"/>
        </w:rPr>
        <w:t>(1), 12–21. [In Indonesian]</w:t>
      </w:r>
    </w:p>
    <w:p w14:paraId="6400FC39" w14:textId="77777777" w:rsidR="007F6962" w:rsidRPr="007F6962" w:rsidRDefault="007F6962" w:rsidP="007F6962">
      <w:pPr>
        <w:ind w:left="709" w:hanging="709"/>
        <w:jc w:val="both"/>
        <w:rPr>
          <w:rFonts w:ascii="Arial" w:hAnsi="Arial" w:cs="Arial"/>
          <w:highlight w:val="yellow"/>
        </w:rPr>
      </w:pPr>
      <w:r w:rsidRPr="007F6962">
        <w:rPr>
          <w:rFonts w:ascii="Arial" w:hAnsi="Arial" w:cs="Arial"/>
          <w:highlight w:val="yellow"/>
        </w:rPr>
        <w:t xml:space="preserve">Hartono, D., Putra, Y. A., &amp; Lestari, S. (2020). Community participation in regional development planning: A case study in Central Java, Indonesia. </w:t>
      </w:r>
      <w:r w:rsidRPr="007F6962">
        <w:rPr>
          <w:rFonts w:ascii="Arial" w:hAnsi="Arial" w:cs="Arial"/>
          <w:i/>
          <w:iCs/>
          <w:highlight w:val="yellow"/>
        </w:rPr>
        <w:t>Sustainability</w:t>
      </w:r>
      <w:r w:rsidRPr="007F6962">
        <w:rPr>
          <w:rFonts w:ascii="Arial" w:hAnsi="Arial" w:cs="Arial"/>
          <w:highlight w:val="yellow"/>
        </w:rPr>
        <w:t xml:space="preserve">, </w:t>
      </w:r>
      <w:r w:rsidRPr="007F6962">
        <w:rPr>
          <w:rFonts w:ascii="Arial" w:hAnsi="Arial" w:cs="Arial"/>
          <w:i/>
          <w:iCs/>
          <w:highlight w:val="yellow"/>
        </w:rPr>
        <w:t>12</w:t>
      </w:r>
      <w:r w:rsidRPr="007F6962">
        <w:rPr>
          <w:rFonts w:ascii="Arial" w:hAnsi="Arial" w:cs="Arial"/>
          <w:highlight w:val="yellow"/>
        </w:rPr>
        <w:t xml:space="preserve">(5), 1957. </w:t>
      </w:r>
      <w:hyperlink r:id="rId8" w:tgtFrame="_new" w:history="1">
        <w:r w:rsidRPr="007F6962">
          <w:rPr>
            <w:rStyle w:val="Hyperlink"/>
            <w:rFonts w:ascii="Arial" w:hAnsi="Arial" w:cs="Arial"/>
            <w:highlight w:val="yellow"/>
          </w:rPr>
          <w:t>https://</w:t>
        </w:r>
        <w:proofErr w:type="spellStart"/>
        <w:r w:rsidRPr="007F6962">
          <w:rPr>
            <w:rStyle w:val="Hyperlink"/>
            <w:rFonts w:ascii="Arial" w:hAnsi="Arial" w:cs="Arial"/>
            <w:highlight w:val="yellow"/>
          </w:rPr>
          <w:t>doi.org</w:t>
        </w:r>
        <w:proofErr w:type="spellEnd"/>
        <w:r w:rsidRPr="007F6962">
          <w:rPr>
            <w:rStyle w:val="Hyperlink"/>
            <w:rFonts w:ascii="Arial" w:hAnsi="Arial" w:cs="Arial"/>
            <w:highlight w:val="yellow"/>
          </w:rPr>
          <w:t>/10.3390/</w:t>
        </w:r>
        <w:proofErr w:type="spellStart"/>
        <w:r w:rsidRPr="007F6962">
          <w:rPr>
            <w:rStyle w:val="Hyperlink"/>
            <w:rFonts w:ascii="Arial" w:hAnsi="Arial" w:cs="Arial"/>
            <w:highlight w:val="yellow"/>
          </w:rPr>
          <w:t>su12051957</w:t>
        </w:r>
        <w:proofErr w:type="spellEnd"/>
      </w:hyperlink>
    </w:p>
    <w:p w14:paraId="14D903F5" w14:textId="77777777" w:rsidR="007F6962" w:rsidRPr="007F6962" w:rsidRDefault="007F6962" w:rsidP="007F6962">
      <w:pPr>
        <w:ind w:left="709" w:hanging="709"/>
        <w:jc w:val="both"/>
        <w:rPr>
          <w:rFonts w:ascii="Arial" w:hAnsi="Arial" w:cs="Arial"/>
          <w:highlight w:val="yellow"/>
        </w:rPr>
      </w:pPr>
      <w:r w:rsidRPr="007F6962">
        <w:rPr>
          <w:rFonts w:ascii="Arial" w:hAnsi="Arial" w:cs="Arial"/>
          <w:highlight w:val="yellow"/>
        </w:rPr>
        <w:t xml:space="preserve">Henny, H., </w:t>
      </w:r>
      <w:proofErr w:type="spellStart"/>
      <w:r w:rsidRPr="007F6962">
        <w:rPr>
          <w:rFonts w:ascii="Arial" w:hAnsi="Arial" w:cs="Arial"/>
          <w:highlight w:val="yellow"/>
        </w:rPr>
        <w:t>Murtilaksono</w:t>
      </w:r>
      <w:proofErr w:type="spellEnd"/>
      <w:r w:rsidRPr="007F6962">
        <w:rPr>
          <w:rFonts w:ascii="Arial" w:hAnsi="Arial" w:cs="Arial"/>
          <w:highlight w:val="yellow"/>
        </w:rPr>
        <w:t xml:space="preserve">, K., </w:t>
      </w:r>
      <w:proofErr w:type="spellStart"/>
      <w:r w:rsidRPr="007F6962">
        <w:rPr>
          <w:rFonts w:ascii="Arial" w:hAnsi="Arial" w:cs="Arial"/>
          <w:highlight w:val="yellow"/>
        </w:rPr>
        <w:t>Sinukaban</w:t>
      </w:r>
      <w:proofErr w:type="spellEnd"/>
      <w:r w:rsidRPr="007F6962">
        <w:rPr>
          <w:rFonts w:ascii="Arial" w:hAnsi="Arial" w:cs="Arial"/>
          <w:highlight w:val="yellow"/>
        </w:rPr>
        <w:t xml:space="preserve">, N., &amp; </w:t>
      </w:r>
      <w:proofErr w:type="spellStart"/>
      <w:r w:rsidRPr="007F6962">
        <w:rPr>
          <w:rFonts w:ascii="Arial" w:hAnsi="Arial" w:cs="Arial"/>
          <w:highlight w:val="yellow"/>
        </w:rPr>
        <w:t>Tarigan</w:t>
      </w:r>
      <w:proofErr w:type="spellEnd"/>
      <w:r w:rsidRPr="007F6962">
        <w:rPr>
          <w:rFonts w:ascii="Arial" w:hAnsi="Arial" w:cs="Arial"/>
          <w:highlight w:val="yellow"/>
        </w:rPr>
        <w:t xml:space="preserve">, S. D. (2020). Land suitability for highland vegetable crops in the upstream </w:t>
      </w:r>
      <w:proofErr w:type="spellStart"/>
      <w:r w:rsidRPr="007F6962">
        <w:rPr>
          <w:rFonts w:ascii="Arial" w:hAnsi="Arial" w:cs="Arial"/>
          <w:highlight w:val="yellow"/>
        </w:rPr>
        <w:t>Merao</w:t>
      </w:r>
      <w:proofErr w:type="spellEnd"/>
      <w:r w:rsidRPr="007F6962">
        <w:rPr>
          <w:rFonts w:ascii="Arial" w:hAnsi="Arial" w:cs="Arial"/>
          <w:highlight w:val="yellow"/>
        </w:rPr>
        <w:t xml:space="preserve"> Watershed, </w:t>
      </w:r>
      <w:proofErr w:type="spellStart"/>
      <w:r w:rsidRPr="007F6962">
        <w:rPr>
          <w:rFonts w:ascii="Arial" w:hAnsi="Arial" w:cs="Arial"/>
          <w:highlight w:val="yellow"/>
        </w:rPr>
        <w:t>Kerinci</w:t>
      </w:r>
      <w:proofErr w:type="spellEnd"/>
      <w:r w:rsidRPr="007F6962">
        <w:rPr>
          <w:rFonts w:ascii="Arial" w:hAnsi="Arial" w:cs="Arial"/>
          <w:highlight w:val="yellow"/>
        </w:rPr>
        <w:t xml:space="preserve"> Regency, Jambi. </w:t>
      </w:r>
      <w:proofErr w:type="spellStart"/>
      <w:r w:rsidRPr="007F6962">
        <w:rPr>
          <w:rFonts w:ascii="Arial" w:hAnsi="Arial" w:cs="Arial"/>
          <w:i/>
          <w:iCs/>
          <w:highlight w:val="yellow"/>
        </w:rPr>
        <w:t>Hidrolitan</w:t>
      </w:r>
      <w:proofErr w:type="spellEnd"/>
      <w:r w:rsidRPr="007F6962">
        <w:rPr>
          <w:rFonts w:ascii="Arial" w:hAnsi="Arial" w:cs="Arial"/>
          <w:highlight w:val="yellow"/>
        </w:rPr>
        <w:t xml:space="preserve">, </w:t>
      </w:r>
      <w:r w:rsidRPr="007F6962">
        <w:rPr>
          <w:rFonts w:ascii="Arial" w:hAnsi="Arial" w:cs="Arial"/>
          <w:i/>
          <w:iCs/>
          <w:highlight w:val="yellow"/>
        </w:rPr>
        <w:t>2</w:t>
      </w:r>
      <w:r w:rsidRPr="007F6962">
        <w:rPr>
          <w:rFonts w:ascii="Arial" w:hAnsi="Arial" w:cs="Arial"/>
          <w:highlight w:val="yellow"/>
        </w:rPr>
        <w:t>(1), 11–19. [In Indonesian]</w:t>
      </w:r>
    </w:p>
    <w:p w14:paraId="64797B09" w14:textId="77777777" w:rsidR="007F6962" w:rsidRPr="007F6962" w:rsidRDefault="007F6962" w:rsidP="007F6962">
      <w:pPr>
        <w:ind w:left="709" w:hanging="709"/>
        <w:jc w:val="both"/>
        <w:rPr>
          <w:rFonts w:ascii="Arial" w:hAnsi="Arial" w:cs="Arial"/>
          <w:highlight w:val="yellow"/>
        </w:rPr>
      </w:pPr>
      <w:proofErr w:type="spellStart"/>
      <w:r w:rsidRPr="007F6962">
        <w:rPr>
          <w:rFonts w:ascii="Arial" w:hAnsi="Arial" w:cs="Arial"/>
          <w:highlight w:val="yellow"/>
        </w:rPr>
        <w:t>Hutabarat</w:t>
      </w:r>
      <w:proofErr w:type="spellEnd"/>
      <w:r w:rsidRPr="007F6962">
        <w:rPr>
          <w:rFonts w:ascii="Arial" w:hAnsi="Arial" w:cs="Arial"/>
          <w:highlight w:val="yellow"/>
        </w:rPr>
        <w:t xml:space="preserve">, B. (2021). The role of farmer cooperatives in inclusive financial access in the horticulture sector. </w:t>
      </w:r>
      <w:r w:rsidRPr="007F6962">
        <w:rPr>
          <w:rFonts w:ascii="Arial" w:hAnsi="Arial" w:cs="Arial"/>
          <w:i/>
          <w:iCs/>
          <w:highlight w:val="yellow"/>
        </w:rPr>
        <w:t>Journal of Agribusiness Management</w:t>
      </w:r>
      <w:r w:rsidRPr="007F6962">
        <w:rPr>
          <w:rFonts w:ascii="Arial" w:hAnsi="Arial" w:cs="Arial"/>
          <w:highlight w:val="yellow"/>
        </w:rPr>
        <w:t xml:space="preserve">, </w:t>
      </w:r>
      <w:r w:rsidRPr="007F6962">
        <w:rPr>
          <w:rFonts w:ascii="Arial" w:hAnsi="Arial" w:cs="Arial"/>
          <w:i/>
          <w:iCs/>
          <w:highlight w:val="yellow"/>
        </w:rPr>
        <w:t>19</w:t>
      </w:r>
      <w:r w:rsidRPr="007F6962">
        <w:rPr>
          <w:rFonts w:ascii="Arial" w:hAnsi="Arial" w:cs="Arial"/>
          <w:highlight w:val="yellow"/>
        </w:rPr>
        <w:t>(1), 32–43. [In Indonesian]</w:t>
      </w:r>
    </w:p>
    <w:p w14:paraId="2371E87B" w14:textId="77777777" w:rsidR="007F6962" w:rsidRPr="007F6962" w:rsidRDefault="007F6962" w:rsidP="007F6962">
      <w:pPr>
        <w:ind w:left="709" w:hanging="709"/>
        <w:jc w:val="both"/>
        <w:rPr>
          <w:rFonts w:ascii="Arial" w:hAnsi="Arial" w:cs="Arial"/>
          <w:highlight w:val="yellow"/>
        </w:rPr>
      </w:pPr>
      <w:r w:rsidRPr="007F6962">
        <w:rPr>
          <w:rFonts w:ascii="Arial" w:hAnsi="Arial" w:cs="Arial"/>
          <w:highlight w:val="yellow"/>
        </w:rPr>
        <w:lastRenderedPageBreak/>
        <w:t xml:space="preserve">Kementerian </w:t>
      </w:r>
      <w:proofErr w:type="spellStart"/>
      <w:r w:rsidRPr="007F6962">
        <w:rPr>
          <w:rFonts w:ascii="Arial" w:hAnsi="Arial" w:cs="Arial"/>
          <w:highlight w:val="yellow"/>
        </w:rPr>
        <w:t>Pertanian</w:t>
      </w:r>
      <w:proofErr w:type="spellEnd"/>
      <w:r w:rsidRPr="007F6962">
        <w:rPr>
          <w:rFonts w:ascii="Arial" w:hAnsi="Arial" w:cs="Arial"/>
          <w:highlight w:val="yellow"/>
        </w:rPr>
        <w:t xml:space="preserve">. (2024). </w:t>
      </w:r>
      <w:r w:rsidRPr="007F6962">
        <w:rPr>
          <w:rFonts w:ascii="Arial" w:hAnsi="Arial" w:cs="Arial"/>
          <w:i/>
          <w:iCs/>
          <w:highlight w:val="yellow"/>
        </w:rPr>
        <w:t>Closed-loop horticulture partnership program in Deli Serdang</w:t>
      </w:r>
      <w:r w:rsidRPr="007F6962">
        <w:rPr>
          <w:rFonts w:ascii="Arial" w:hAnsi="Arial" w:cs="Arial"/>
          <w:highlight w:val="yellow"/>
        </w:rPr>
        <w:t>. Directorate General of Horticulture, Ministry of Agriculture. [In Indonesian]</w:t>
      </w:r>
    </w:p>
    <w:p w14:paraId="63F072D9" w14:textId="77777777" w:rsidR="007F6962" w:rsidRPr="007F6962" w:rsidRDefault="007F6962" w:rsidP="007F6962">
      <w:pPr>
        <w:ind w:left="709" w:hanging="709"/>
        <w:jc w:val="both"/>
        <w:rPr>
          <w:rFonts w:ascii="Arial" w:hAnsi="Arial" w:cs="Arial"/>
          <w:highlight w:val="yellow"/>
        </w:rPr>
      </w:pPr>
      <w:proofErr w:type="spellStart"/>
      <w:r w:rsidRPr="007F6962">
        <w:rPr>
          <w:rFonts w:ascii="Arial" w:hAnsi="Arial" w:cs="Arial"/>
          <w:highlight w:val="yellow"/>
        </w:rPr>
        <w:t>Kusnadi</w:t>
      </w:r>
      <w:proofErr w:type="spellEnd"/>
      <w:r w:rsidRPr="007F6962">
        <w:rPr>
          <w:rFonts w:ascii="Arial" w:hAnsi="Arial" w:cs="Arial"/>
          <w:highlight w:val="yellow"/>
        </w:rPr>
        <w:t xml:space="preserve">, D. (2022). Digital marketing of agricultural products: A case study of </w:t>
      </w:r>
      <w:proofErr w:type="spellStart"/>
      <w:r w:rsidRPr="007F6962">
        <w:rPr>
          <w:rFonts w:ascii="Arial" w:hAnsi="Arial" w:cs="Arial"/>
          <w:highlight w:val="yellow"/>
        </w:rPr>
        <w:t>TaniHub</w:t>
      </w:r>
      <w:proofErr w:type="spellEnd"/>
      <w:r w:rsidRPr="007F6962">
        <w:rPr>
          <w:rFonts w:ascii="Arial" w:hAnsi="Arial" w:cs="Arial"/>
          <w:highlight w:val="yellow"/>
        </w:rPr>
        <w:t xml:space="preserve"> and Pasar Mitra Tani. </w:t>
      </w:r>
      <w:r w:rsidRPr="007F6962">
        <w:rPr>
          <w:rFonts w:ascii="Arial" w:hAnsi="Arial" w:cs="Arial"/>
          <w:i/>
          <w:iCs/>
          <w:highlight w:val="yellow"/>
        </w:rPr>
        <w:t>Journal of Agribusiness Technology</w:t>
      </w:r>
      <w:r w:rsidRPr="007F6962">
        <w:rPr>
          <w:rFonts w:ascii="Arial" w:hAnsi="Arial" w:cs="Arial"/>
          <w:highlight w:val="yellow"/>
        </w:rPr>
        <w:t xml:space="preserve">, </w:t>
      </w:r>
      <w:r w:rsidRPr="007F6962">
        <w:rPr>
          <w:rFonts w:ascii="Arial" w:hAnsi="Arial" w:cs="Arial"/>
          <w:i/>
          <w:iCs/>
          <w:highlight w:val="yellow"/>
        </w:rPr>
        <w:t>6</w:t>
      </w:r>
      <w:r w:rsidRPr="007F6962">
        <w:rPr>
          <w:rFonts w:ascii="Arial" w:hAnsi="Arial" w:cs="Arial"/>
          <w:highlight w:val="yellow"/>
        </w:rPr>
        <w:t>(1), 65–78. [In Indonesian]</w:t>
      </w:r>
    </w:p>
    <w:p w14:paraId="1A72E991" w14:textId="77777777" w:rsidR="007F6962" w:rsidRPr="007F6962" w:rsidRDefault="007F6962" w:rsidP="007F6962">
      <w:pPr>
        <w:ind w:left="709" w:hanging="709"/>
        <w:jc w:val="both"/>
        <w:rPr>
          <w:rFonts w:ascii="Arial" w:hAnsi="Arial" w:cs="Arial"/>
          <w:highlight w:val="yellow"/>
        </w:rPr>
      </w:pPr>
      <w:r w:rsidRPr="007F6962">
        <w:rPr>
          <w:rFonts w:ascii="Arial" w:hAnsi="Arial" w:cs="Arial"/>
          <w:highlight w:val="yellow"/>
        </w:rPr>
        <w:t xml:space="preserve">Lubis, H. (2021). Development of a horticultural zone around </w:t>
      </w:r>
      <w:proofErr w:type="spellStart"/>
      <w:r w:rsidRPr="007F6962">
        <w:rPr>
          <w:rFonts w:ascii="Arial" w:hAnsi="Arial" w:cs="Arial"/>
          <w:highlight w:val="yellow"/>
        </w:rPr>
        <w:t>Belawan</w:t>
      </w:r>
      <w:proofErr w:type="spellEnd"/>
      <w:r w:rsidRPr="007F6962">
        <w:rPr>
          <w:rFonts w:ascii="Arial" w:hAnsi="Arial" w:cs="Arial"/>
          <w:highlight w:val="yellow"/>
        </w:rPr>
        <w:t xml:space="preserve"> Port: Logistics and competitiveness analysis. </w:t>
      </w:r>
      <w:r w:rsidRPr="007F6962">
        <w:rPr>
          <w:rFonts w:ascii="Arial" w:hAnsi="Arial" w:cs="Arial"/>
          <w:i/>
          <w:iCs/>
          <w:highlight w:val="yellow"/>
        </w:rPr>
        <w:t>Journal of Logistics and Agribusiness</w:t>
      </w:r>
      <w:r w:rsidRPr="007F6962">
        <w:rPr>
          <w:rFonts w:ascii="Arial" w:hAnsi="Arial" w:cs="Arial"/>
          <w:highlight w:val="yellow"/>
        </w:rPr>
        <w:t xml:space="preserve">, </w:t>
      </w:r>
      <w:r w:rsidRPr="007F6962">
        <w:rPr>
          <w:rFonts w:ascii="Arial" w:hAnsi="Arial" w:cs="Arial"/>
          <w:i/>
          <w:iCs/>
          <w:highlight w:val="yellow"/>
        </w:rPr>
        <w:t>5</w:t>
      </w:r>
      <w:r w:rsidRPr="007F6962">
        <w:rPr>
          <w:rFonts w:ascii="Arial" w:hAnsi="Arial" w:cs="Arial"/>
          <w:highlight w:val="yellow"/>
        </w:rPr>
        <w:t>(2), 88–97. [In Indonesian]</w:t>
      </w:r>
    </w:p>
    <w:p w14:paraId="45772762" w14:textId="77777777" w:rsidR="007F6962" w:rsidRPr="007F6962" w:rsidRDefault="007F6962" w:rsidP="007F6962">
      <w:pPr>
        <w:ind w:left="709" w:hanging="709"/>
        <w:jc w:val="both"/>
        <w:rPr>
          <w:rFonts w:ascii="Arial" w:hAnsi="Arial" w:cs="Arial"/>
          <w:highlight w:val="yellow"/>
        </w:rPr>
      </w:pPr>
      <w:proofErr w:type="spellStart"/>
      <w:r w:rsidRPr="007F6962">
        <w:rPr>
          <w:rFonts w:ascii="Arial" w:hAnsi="Arial" w:cs="Arial"/>
          <w:highlight w:val="yellow"/>
        </w:rPr>
        <w:t>Mulyani</w:t>
      </w:r>
      <w:proofErr w:type="spellEnd"/>
      <w:r w:rsidRPr="007F6962">
        <w:rPr>
          <w:rFonts w:ascii="Arial" w:hAnsi="Arial" w:cs="Arial"/>
          <w:highlight w:val="yellow"/>
        </w:rPr>
        <w:t xml:space="preserve">, A. (2020). Diversification of vegetable horticulture for local food security in Dieng Highlands. </w:t>
      </w:r>
      <w:r w:rsidRPr="007F6962">
        <w:rPr>
          <w:rFonts w:ascii="Arial" w:hAnsi="Arial" w:cs="Arial"/>
          <w:i/>
          <w:iCs/>
          <w:highlight w:val="yellow"/>
        </w:rPr>
        <w:t>Journal of Food and Nutrition Security</w:t>
      </w:r>
      <w:r w:rsidRPr="007F6962">
        <w:rPr>
          <w:rFonts w:ascii="Arial" w:hAnsi="Arial" w:cs="Arial"/>
          <w:highlight w:val="yellow"/>
        </w:rPr>
        <w:t xml:space="preserve">, </w:t>
      </w:r>
      <w:r w:rsidRPr="007F6962">
        <w:rPr>
          <w:rFonts w:ascii="Arial" w:hAnsi="Arial" w:cs="Arial"/>
          <w:i/>
          <w:iCs/>
          <w:highlight w:val="yellow"/>
        </w:rPr>
        <w:t>12</w:t>
      </w:r>
      <w:r w:rsidRPr="007F6962">
        <w:rPr>
          <w:rFonts w:ascii="Arial" w:hAnsi="Arial" w:cs="Arial"/>
          <w:highlight w:val="yellow"/>
        </w:rPr>
        <w:t>(2), 101–109. [In Indonesian]</w:t>
      </w:r>
    </w:p>
    <w:p w14:paraId="072EADED" w14:textId="77777777" w:rsidR="007F6962" w:rsidRPr="007F6962" w:rsidRDefault="007F6962" w:rsidP="007F6962">
      <w:pPr>
        <w:ind w:left="709" w:hanging="709"/>
        <w:jc w:val="both"/>
        <w:rPr>
          <w:rFonts w:ascii="Arial" w:hAnsi="Arial" w:cs="Arial"/>
          <w:highlight w:val="yellow"/>
        </w:rPr>
      </w:pPr>
      <w:r w:rsidRPr="007F6962">
        <w:rPr>
          <w:rFonts w:ascii="Arial" w:hAnsi="Arial" w:cs="Arial"/>
          <w:highlight w:val="yellow"/>
        </w:rPr>
        <w:t xml:space="preserve">Nasution, R. (2023). Effectiveness of IoT-based agricultural technology in increasing horticultural yields. </w:t>
      </w:r>
      <w:r w:rsidRPr="007F6962">
        <w:rPr>
          <w:rFonts w:ascii="Arial" w:hAnsi="Arial" w:cs="Arial"/>
          <w:i/>
          <w:iCs/>
          <w:highlight w:val="yellow"/>
        </w:rPr>
        <w:t>Journal of Agricultural Technology Innovation</w:t>
      </w:r>
      <w:r w:rsidRPr="007F6962">
        <w:rPr>
          <w:rFonts w:ascii="Arial" w:hAnsi="Arial" w:cs="Arial"/>
          <w:highlight w:val="yellow"/>
        </w:rPr>
        <w:t xml:space="preserve">, </w:t>
      </w:r>
      <w:r w:rsidRPr="007F6962">
        <w:rPr>
          <w:rFonts w:ascii="Arial" w:hAnsi="Arial" w:cs="Arial"/>
          <w:i/>
          <w:iCs/>
          <w:highlight w:val="yellow"/>
        </w:rPr>
        <w:t>12</w:t>
      </w:r>
      <w:r w:rsidRPr="007F6962">
        <w:rPr>
          <w:rFonts w:ascii="Arial" w:hAnsi="Arial" w:cs="Arial"/>
          <w:highlight w:val="yellow"/>
        </w:rPr>
        <w:t>(1), 55–70. [In Indonesian]</w:t>
      </w:r>
    </w:p>
    <w:p w14:paraId="24D30FFA" w14:textId="77777777" w:rsidR="007F6962" w:rsidRPr="007F6962" w:rsidRDefault="007F6962" w:rsidP="007F6962">
      <w:pPr>
        <w:ind w:left="709" w:hanging="709"/>
        <w:jc w:val="both"/>
        <w:rPr>
          <w:rFonts w:ascii="Arial" w:hAnsi="Arial" w:cs="Arial"/>
          <w:highlight w:val="yellow"/>
        </w:rPr>
      </w:pPr>
      <w:r w:rsidRPr="007F6962">
        <w:rPr>
          <w:rFonts w:ascii="Arial" w:hAnsi="Arial" w:cs="Arial"/>
          <w:highlight w:val="yellow"/>
        </w:rPr>
        <w:t xml:space="preserve">Putra, A. (2021). Synergy between spatial planning and horticultural development: A case study in North Sumatra. </w:t>
      </w:r>
      <w:r w:rsidRPr="007F6962">
        <w:rPr>
          <w:rFonts w:ascii="Arial" w:hAnsi="Arial" w:cs="Arial"/>
          <w:i/>
          <w:iCs/>
          <w:highlight w:val="yellow"/>
        </w:rPr>
        <w:t>Journal of Regional Spatial Planning</w:t>
      </w:r>
      <w:r w:rsidRPr="007F6962">
        <w:rPr>
          <w:rFonts w:ascii="Arial" w:hAnsi="Arial" w:cs="Arial"/>
          <w:highlight w:val="yellow"/>
        </w:rPr>
        <w:t xml:space="preserve">, </w:t>
      </w:r>
      <w:r w:rsidRPr="007F6962">
        <w:rPr>
          <w:rFonts w:ascii="Arial" w:hAnsi="Arial" w:cs="Arial"/>
          <w:i/>
          <w:iCs/>
          <w:highlight w:val="yellow"/>
        </w:rPr>
        <w:t>10</w:t>
      </w:r>
      <w:r w:rsidRPr="007F6962">
        <w:rPr>
          <w:rFonts w:ascii="Arial" w:hAnsi="Arial" w:cs="Arial"/>
          <w:highlight w:val="yellow"/>
        </w:rPr>
        <w:t>(1), 27–39. [In Indonesian]</w:t>
      </w:r>
    </w:p>
    <w:p w14:paraId="5018AA1C" w14:textId="77777777" w:rsidR="007F6962" w:rsidRPr="007F6962" w:rsidRDefault="007F6962" w:rsidP="007F6962">
      <w:pPr>
        <w:ind w:left="709" w:hanging="709"/>
        <w:jc w:val="both"/>
        <w:rPr>
          <w:rFonts w:ascii="Arial" w:hAnsi="Arial" w:cs="Arial"/>
          <w:highlight w:val="yellow"/>
        </w:rPr>
      </w:pPr>
      <w:r w:rsidRPr="007F6962">
        <w:rPr>
          <w:rFonts w:ascii="Arial" w:hAnsi="Arial" w:cs="Arial"/>
          <w:highlight w:val="yellow"/>
        </w:rPr>
        <w:t xml:space="preserve">Putri, N. D., Suryani, D., &amp; Rahman, F. (2023). Sustainable land use planning for climate change adaptation: A case study in Indonesia. </w:t>
      </w:r>
      <w:r w:rsidRPr="007F6962">
        <w:rPr>
          <w:rFonts w:ascii="Arial" w:hAnsi="Arial" w:cs="Arial"/>
          <w:i/>
          <w:iCs/>
          <w:highlight w:val="yellow"/>
        </w:rPr>
        <w:t>Sustainability</w:t>
      </w:r>
      <w:r w:rsidRPr="007F6962">
        <w:rPr>
          <w:rFonts w:ascii="Arial" w:hAnsi="Arial" w:cs="Arial"/>
          <w:highlight w:val="yellow"/>
        </w:rPr>
        <w:t xml:space="preserve">, </w:t>
      </w:r>
      <w:r w:rsidRPr="007F6962">
        <w:rPr>
          <w:rFonts w:ascii="Arial" w:hAnsi="Arial" w:cs="Arial"/>
          <w:i/>
          <w:iCs/>
          <w:highlight w:val="yellow"/>
        </w:rPr>
        <w:t>15</w:t>
      </w:r>
      <w:r w:rsidRPr="007F6962">
        <w:rPr>
          <w:rFonts w:ascii="Arial" w:hAnsi="Arial" w:cs="Arial"/>
          <w:highlight w:val="yellow"/>
        </w:rPr>
        <w:t xml:space="preserve">(4), 3025. </w:t>
      </w:r>
      <w:hyperlink r:id="rId9" w:tgtFrame="_new" w:history="1">
        <w:r w:rsidRPr="007F6962">
          <w:rPr>
            <w:rStyle w:val="Hyperlink"/>
            <w:rFonts w:ascii="Arial" w:hAnsi="Arial" w:cs="Arial"/>
            <w:highlight w:val="yellow"/>
          </w:rPr>
          <w:t>https://</w:t>
        </w:r>
        <w:proofErr w:type="spellStart"/>
        <w:r w:rsidRPr="007F6962">
          <w:rPr>
            <w:rStyle w:val="Hyperlink"/>
            <w:rFonts w:ascii="Arial" w:hAnsi="Arial" w:cs="Arial"/>
            <w:highlight w:val="yellow"/>
          </w:rPr>
          <w:t>doi.org</w:t>
        </w:r>
        <w:proofErr w:type="spellEnd"/>
        <w:r w:rsidRPr="007F6962">
          <w:rPr>
            <w:rStyle w:val="Hyperlink"/>
            <w:rFonts w:ascii="Arial" w:hAnsi="Arial" w:cs="Arial"/>
            <w:highlight w:val="yellow"/>
          </w:rPr>
          <w:t>/10.3390/</w:t>
        </w:r>
        <w:proofErr w:type="spellStart"/>
        <w:r w:rsidRPr="007F6962">
          <w:rPr>
            <w:rStyle w:val="Hyperlink"/>
            <w:rFonts w:ascii="Arial" w:hAnsi="Arial" w:cs="Arial"/>
            <w:highlight w:val="yellow"/>
          </w:rPr>
          <w:t>su15043025</w:t>
        </w:r>
        <w:proofErr w:type="spellEnd"/>
      </w:hyperlink>
    </w:p>
    <w:p w14:paraId="5D42C82A" w14:textId="77777777" w:rsidR="007F6962" w:rsidRPr="007F6962" w:rsidRDefault="007F6962" w:rsidP="007F6962">
      <w:pPr>
        <w:ind w:left="709" w:hanging="709"/>
        <w:jc w:val="both"/>
        <w:rPr>
          <w:rFonts w:ascii="Arial" w:hAnsi="Arial" w:cs="Arial"/>
          <w:highlight w:val="yellow"/>
        </w:rPr>
      </w:pPr>
      <w:proofErr w:type="spellStart"/>
      <w:r w:rsidRPr="007F6962">
        <w:rPr>
          <w:rFonts w:ascii="Arial" w:hAnsi="Arial" w:cs="Arial"/>
          <w:highlight w:val="yellow"/>
        </w:rPr>
        <w:t>Ramadhona</w:t>
      </w:r>
      <w:proofErr w:type="spellEnd"/>
      <w:r w:rsidRPr="007F6962">
        <w:rPr>
          <w:rFonts w:ascii="Arial" w:hAnsi="Arial" w:cs="Arial"/>
          <w:highlight w:val="yellow"/>
        </w:rPr>
        <w:t>, Y., Siregar, A., &amp; Effendi, I. (2024). Production factor analysis of red chili (</w:t>
      </w:r>
      <w:r w:rsidRPr="007F6962">
        <w:rPr>
          <w:rFonts w:ascii="Arial" w:hAnsi="Arial" w:cs="Arial"/>
          <w:i/>
          <w:iCs/>
          <w:highlight w:val="yellow"/>
        </w:rPr>
        <w:t>Capsicum annum</w:t>
      </w:r>
      <w:r w:rsidRPr="007F6962">
        <w:rPr>
          <w:rFonts w:ascii="Arial" w:hAnsi="Arial" w:cs="Arial"/>
          <w:highlight w:val="yellow"/>
        </w:rPr>
        <w:t xml:space="preserve"> L.) in </w:t>
      </w:r>
      <w:proofErr w:type="spellStart"/>
      <w:r w:rsidRPr="007F6962">
        <w:rPr>
          <w:rFonts w:ascii="Arial" w:hAnsi="Arial" w:cs="Arial"/>
          <w:highlight w:val="yellow"/>
        </w:rPr>
        <w:t>Beringin</w:t>
      </w:r>
      <w:proofErr w:type="spellEnd"/>
      <w:r w:rsidRPr="007F6962">
        <w:rPr>
          <w:rFonts w:ascii="Arial" w:hAnsi="Arial" w:cs="Arial"/>
          <w:highlight w:val="yellow"/>
        </w:rPr>
        <w:t xml:space="preserve"> Subdistrict as a production center in Deli Serdang Regency. </w:t>
      </w:r>
      <w:proofErr w:type="spellStart"/>
      <w:r w:rsidRPr="007F6962">
        <w:rPr>
          <w:rFonts w:ascii="Arial" w:hAnsi="Arial" w:cs="Arial"/>
          <w:i/>
          <w:iCs/>
          <w:highlight w:val="yellow"/>
        </w:rPr>
        <w:t>Jurnal</w:t>
      </w:r>
      <w:proofErr w:type="spellEnd"/>
      <w:r w:rsidRPr="007F6962">
        <w:rPr>
          <w:rFonts w:ascii="Arial" w:hAnsi="Arial" w:cs="Arial"/>
          <w:i/>
          <w:iCs/>
          <w:highlight w:val="yellow"/>
        </w:rPr>
        <w:t xml:space="preserve"> </w:t>
      </w:r>
      <w:proofErr w:type="spellStart"/>
      <w:r w:rsidRPr="007F6962">
        <w:rPr>
          <w:rFonts w:ascii="Arial" w:hAnsi="Arial" w:cs="Arial"/>
          <w:i/>
          <w:iCs/>
          <w:highlight w:val="yellow"/>
        </w:rPr>
        <w:t>Agrica</w:t>
      </w:r>
      <w:proofErr w:type="spellEnd"/>
      <w:r w:rsidRPr="007F6962">
        <w:rPr>
          <w:rFonts w:ascii="Arial" w:hAnsi="Arial" w:cs="Arial"/>
          <w:highlight w:val="yellow"/>
        </w:rPr>
        <w:t xml:space="preserve">, </w:t>
      </w:r>
      <w:r w:rsidRPr="007F6962">
        <w:rPr>
          <w:rFonts w:ascii="Arial" w:hAnsi="Arial" w:cs="Arial"/>
          <w:i/>
          <w:iCs/>
          <w:highlight w:val="yellow"/>
        </w:rPr>
        <w:t>17</w:t>
      </w:r>
      <w:r w:rsidRPr="007F6962">
        <w:rPr>
          <w:rFonts w:ascii="Arial" w:hAnsi="Arial" w:cs="Arial"/>
          <w:highlight w:val="yellow"/>
        </w:rPr>
        <w:t xml:space="preserve">(2), 278–285. </w:t>
      </w:r>
      <w:hyperlink r:id="rId10" w:tgtFrame="_new" w:history="1">
        <w:r w:rsidRPr="007F6962">
          <w:rPr>
            <w:rStyle w:val="Hyperlink"/>
            <w:rFonts w:ascii="Arial" w:hAnsi="Arial" w:cs="Arial"/>
            <w:highlight w:val="yellow"/>
          </w:rPr>
          <w:t>https://</w:t>
        </w:r>
        <w:proofErr w:type="spellStart"/>
        <w:r w:rsidRPr="007F6962">
          <w:rPr>
            <w:rStyle w:val="Hyperlink"/>
            <w:rFonts w:ascii="Arial" w:hAnsi="Arial" w:cs="Arial"/>
            <w:highlight w:val="yellow"/>
          </w:rPr>
          <w:t>doi.org</w:t>
        </w:r>
        <w:proofErr w:type="spellEnd"/>
        <w:r w:rsidRPr="007F6962">
          <w:rPr>
            <w:rStyle w:val="Hyperlink"/>
            <w:rFonts w:ascii="Arial" w:hAnsi="Arial" w:cs="Arial"/>
            <w:highlight w:val="yellow"/>
          </w:rPr>
          <w:t>/10.31289/</w:t>
        </w:r>
        <w:proofErr w:type="spellStart"/>
        <w:r w:rsidRPr="007F6962">
          <w:rPr>
            <w:rStyle w:val="Hyperlink"/>
            <w:rFonts w:ascii="Arial" w:hAnsi="Arial" w:cs="Arial"/>
            <w:highlight w:val="yellow"/>
          </w:rPr>
          <w:t>agrica.v17i2.12507</w:t>
        </w:r>
        <w:proofErr w:type="spellEnd"/>
      </w:hyperlink>
      <w:r w:rsidRPr="007F6962">
        <w:rPr>
          <w:rFonts w:ascii="Arial" w:hAnsi="Arial" w:cs="Arial"/>
          <w:highlight w:val="yellow"/>
        </w:rPr>
        <w:t xml:space="preserve"> [In Indonesian]</w:t>
      </w:r>
    </w:p>
    <w:p w14:paraId="6605E4D9" w14:textId="77777777" w:rsidR="007F6962" w:rsidRPr="007F6962" w:rsidRDefault="007F6962" w:rsidP="007F6962">
      <w:pPr>
        <w:ind w:left="709" w:hanging="709"/>
        <w:jc w:val="both"/>
        <w:rPr>
          <w:rFonts w:ascii="Arial" w:hAnsi="Arial" w:cs="Arial"/>
          <w:highlight w:val="yellow"/>
        </w:rPr>
      </w:pPr>
      <w:r w:rsidRPr="007F6962">
        <w:rPr>
          <w:rFonts w:ascii="Arial" w:hAnsi="Arial" w:cs="Arial"/>
          <w:highlight w:val="yellow"/>
        </w:rPr>
        <w:t xml:space="preserve">Sari, D. K., </w:t>
      </w:r>
      <w:proofErr w:type="spellStart"/>
      <w:r w:rsidRPr="007F6962">
        <w:rPr>
          <w:rFonts w:ascii="Arial" w:hAnsi="Arial" w:cs="Arial"/>
          <w:highlight w:val="yellow"/>
        </w:rPr>
        <w:t>Pramudya</w:t>
      </w:r>
      <w:proofErr w:type="spellEnd"/>
      <w:r w:rsidRPr="007F6962">
        <w:rPr>
          <w:rFonts w:ascii="Arial" w:hAnsi="Arial" w:cs="Arial"/>
          <w:highlight w:val="yellow"/>
        </w:rPr>
        <w:t xml:space="preserve">, I., &amp; </w:t>
      </w:r>
      <w:proofErr w:type="spellStart"/>
      <w:r w:rsidRPr="007F6962">
        <w:rPr>
          <w:rFonts w:ascii="Arial" w:hAnsi="Arial" w:cs="Arial"/>
          <w:highlight w:val="yellow"/>
        </w:rPr>
        <w:t>Nugraha</w:t>
      </w:r>
      <w:proofErr w:type="spellEnd"/>
      <w:r w:rsidRPr="007F6962">
        <w:rPr>
          <w:rFonts w:ascii="Arial" w:hAnsi="Arial" w:cs="Arial"/>
          <w:highlight w:val="yellow"/>
        </w:rPr>
        <w:t xml:space="preserve">, H. (2020). Land suitability and spatial planning based on regional potential. </w:t>
      </w:r>
      <w:r w:rsidRPr="007F6962">
        <w:rPr>
          <w:rFonts w:ascii="Arial" w:hAnsi="Arial" w:cs="Arial"/>
          <w:i/>
          <w:iCs/>
          <w:highlight w:val="yellow"/>
        </w:rPr>
        <w:t>Journal of Regional and Urban Planning</w:t>
      </w:r>
      <w:r w:rsidRPr="007F6962">
        <w:rPr>
          <w:rFonts w:ascii="Arial" w:hAnsi="Arial" w:cs="Arial"/>
          <w:highlight w:val="yellow"/>
        </w:rPr>
        <w:t xml:space="preserve">, </w:t>
      </w:r>
      <w:r w:rsidRPr="007F6962">
        <w:rPr>
          <w:rFonts w:ascii="Arial" w:hAnsi="Arial" w:cs="Arial"/>
          <w:i/>
          <w:iCs/>
          <w:highlight w:val="yellow"/>
        </w:rPr>
        <w:t>31</w:t>
      </w:r>
      <w:r w:rsidRPr="007F6962">
        <w:rPr>
          <w:rFonts w:ascii="Arial" w:hAnsi="Arial" w:cs="Arial"/>
          <w:highlight w:val="yellow"/>
        </w:rPr>
        <w:t>(1), 58–72. [In Indonesian]</w:t>
      </w:r>
    </w:p>
    <w:p w14:paraId="0B2940C3" w14:textId="77777777" w:rsidR="007F6962" w:rsidRPr="007F6962" w:rsidRDefault="007F6962" w:rsidP="007F6962">
      <w:pPr>
        <w:ind w:left="709" w:hanging="709"/>
        <w:jc w:val="both"/>
        <w:rPr>
          <w:rFonts w:ascii="Arial" w:hAnsi="Arial" w:cs="Arial"/>
          <w:highlight w:val="yellow"/>
        </w:rPr>
      </w:pPr>
      <w:r w:rsidRPr="007F6962">
        <w:rPr>
          <w:rFonts w:ascii="Arial" w:hAnsi="Arial" w:cs="Arial"/>
          <w:highlight w:val="yellow"/>
        </w:rPr>
        <w:t xml:space="preserve">Sari, M. P. (2021). </w:t>
      </w:r>
      <w:proofErr w:type="gramStart"/>
      <w:r w:rsidRPr="007F6962">
        <w:rPr>
          <w:rFonts w:ascii="Arial" w:hAnsi="Arial" w:cs="Arial"/>
          <w:i/>
          <w:iCs/>
          <w:highlight w:val="yellow"/>
        </w:rPr>
        <w:t>Strengthening</w:t>
      </w:r>
      <w:proofErr w:type="gramEnd"/>
      <w:r w:rsidRPr="007F6962">
        <w:rPr>
          <w:rFonts w:ascii="Arial" w:hAnsi="Arial" w:cs="Arial"/>
          <w:i/>
          <w:iCs/>
          <w:highlight w:val="yellow"/>
        </w:rPr>
        <w:t xml:space="preserve"> horticulture farmer institutions in </w:t>
      </w:r>
      <w:proofErr w:type="spellStart"/>
      <w:r w:rsidRPr="007F6962">
        <w:rPr>
          <w:rFonts w:ascii="Arial" w:hAnsi="Arial" w:cs="Arial"/>
          <w:i/>
          <w:iCs/>
          <w:highlight w:val="yellow"/>
        </w:rPr>
        <w:t>Magelang</w:t>
      </w:r>
      <w:proofErr w:type="spellEnd"/>
      <w:r w:rsidRPr="007F6962">
        <w:rPr>
          <w:rFonts w:ascii="Arial" w:hAnsi="Arial" w:cs="Arial"/>
          <w:i/>
          <w:iCs/>
          <w:highlight w:val="yellow"/>
        </w:rPr>
        <w:t xml:space="preserve"> Regency</w:t>
      </w:r>
      <w:r w:rsidRPr="007F6962">
        <w:rPr>
          <w:rFonts w:ascii="Arial" w:hAnsi="Arial" w:cs="Arial"/>
          <w:highlight w:val="yellow"/>
        </w:rPr>
        <w:t xml:space="preserve"> (</w:t>
      </w:r>
      <w:proofErr w:type="gramStart"/>
      <w:r w:rsidRPr="007F6962">
        <w:rPr>
          <w:rFonts w:ascii="Arial" w:hAnsi="Arial" w:cs="Arial"/>
          <w:highlight w:val="yellow"/>
        </w:rPr>
        <w:t>Master’s</w:t>
      </w:r>
      <w:proofErr w:type="gramEnd"/>
      <w:r w:rsidRPr="007F6962">
        <w:rPr>
          <w:rFonts w:ascii="Arial" w:hAnsi="Arial" w:cs="Arial"/>
          <w:highlight w:val="yellow"/>
        </w:rPr>
        <w:t xml:space="preserve"> thesis, Universitas </w:t>
      </w:r>
      <w:proofErr w:type="spellStart"/>
      <w:r w:rsidRPr="007F6962">
        <w:rPr>
          <w:rFonts w:ascii="Arial" w:hAnsi="Arial" w:cs="Arial"/>
          <w:highlight w:val="yellow"/>
        </w:rPr>
        <w:t>Sebelas</w:t>
      </w:r>
      <w:proofErr w:type="spellEnd"/>
      <w:r w:rsidRPr="007F6962">
        <w:rPr>
          <w:rFonts w:ascii="Arial" w:hAnsi="Arial" w:cs="Arial"/>
          <w:highlight w:val="yellow"/>
        </w:rPr>
        <w:t xml:space="preserve"> Maret). [In Indonesian]</w:t>
      </w:r>
    </w:p>
    <w:p w14:paraId="48A629D8" w14:textId="77777777" w:rsidR="007F6962" w:rsidRPr="007F6962" w:rsidRDefault="007F6962" w:rsidP="007F6962">
      <w:pPr>
        <w:ind w:left="709" w:hanging="709"/>
        <w:jc w:val="both"/>
        <w:rPr>
          <w:rFonts w:ascii="Arial" w:hAnsi="Arial" w:cs="Arial"/>
          <w:highlight w:val="yellow"/>
        </w:rPr>
      </w:pPr>
      <w:r w:rsidRPr="007F6962">
        <w:rPr>
          <w:rFonts w:ascii="Arial" w:hAnsi="Arial" w:cs="Arial"/>
          <w:highlight w:val="yellow"/>
        </w:rPr>
        <w:t xml:space="preserve">Simanjuntak, T. (2021). Subsidized fertilizer distribution and its impact on vegetable production efficiency. </w:t>
      </w:r>
      <w:r w:rsidRPr="007F6962">
        <w:rPr>
          <w:rFonts w:ascii="Arial" w:hAnsi="Arial" w:cs="Arial"/>
          <w:i/>
          <w:iCs/>
          <w:highlight w:val="yellow"/>
        </w:rPr>
        <w:t>Journal of Agricultural Public Policy</w:t>
      </w:r>
      <w:r w:rsidRPr="007F6962">
        <w:rPr>
          <w:rFonts w:ascii="Arial" w:hAnsi="Arial" w:cs="Arial"/>
          <w:highlight w:val="yellow"/>
        </w:rPr>
        <w:t xml:space="preserve">, </w:t>
      </w:r>
      <w:r w:rsidRPr="007F6962">
        <w:rPr>
          <w:rFonts w:ascii="Arial" w:hAnsi="Arial" w:cs="Arial"/>
          <w:i/>
          <w:iCs/>
          <w:highlight w:val="yellow"/>
        </w:rPr>
        <w:t>4</w:t>
      </w:r>
      <w:r w:rsidRPr="007F6962">
        <w:rPr>
          <w:rFonts w:ascii="Arial" w:hAnsi="Arial" w:cs="Arial"/>
          <w:highlight w:val="yellow"/>
        </w:rPr>
        <w:t>(1), 33–47. [In Indonesian]</w:t>
      </w:r>
    </w:p>
    <w:p w14:paraId="29A0155E" w14:textId="77777777" w:rsidR="007F6962" w:rsidRPr="007F6962" w:rsidRDefault="007F6962" w:rsidP="007F6962">
      <w:pPr>
        <w:ind w:left="709" w:hanging="709"/>
        <w:jc w:val="both"/>
        <w:rPr>
          <w:rFonts w:ascii="Arial" w:hAnsi="Arial" w:cs="Arial"/>
        </w:rPr>
      </w:pPr>
      <w:r w:rsidRPr="007F6962">
        <w:rPr>
          <w:rFonts w:ascii="Arial" w:hAnsi="Arial" w:cs="Arial"/>
          <w:highlight w:val="yellow"/>
        </w:rPr>
        <w:lastRenderedPageBreak/>
        <w:t xml:space="preserve">Siregar, M. (2022). Closed-loop partnership model in Deli Serdang Regency for horticultural development. </w:t>
      </w:r>
      <w:r w:rsidRPr="007F6962">
        <w:rPr>
          <w:rFonts w:ascii="Arial" w:hAnsi="Arial" w:cs="Arial"/>
          <w:i/>
          <w:iCs/>
          <w:highlight w:val="yellow"/>
        </w:rPr>
        <w:t>Journal of Agribusiness and Partnerships</w:t>
      </w:r>
      <w:r w:rsidRPr="007F6962">
        <w:rPr>
          <w:rFonts w:ascii="Arial" w:hAnsi="Arial" w:cs="Arial"/>
          <w:highlight w:val="yellow"/>
        </w:rPr>
        <w:t xml:space="preserve">, </w:t>
      </w:r>
      <w:r w:rsidRPr="007F6962">
        <w:rPr>
          <w:rFonts w:ascii="Arial" w:hAnsi="Arial" w:cs="Arial"/>
          <w:i/>
          <w:iCs/>
          <w:highlight w:val="yellow"/>
        </w:rPr>
        <w:t>11</w:t>
      </w:r>
      <w:r w:rsidRPr="007F6962">
        <w:rPr>
          <w:rFonts w:ascii="Arial" w:hAnsi="Arial" w:cs="Arial"/>
          <w:highlight w:val="yellow"/>
        </w:rPr>
        <w:t>(2), 101–115. [In Indonesian]</w:t>
      </w:r>
    </w:p>
    <w:p w14:paraId="2B2AD1D1" w14:textId="77777777" w:rsidR="000A2FF1" w:rsidRPr="00F31EC7" w:rsidRDefault="000A2FF1">
      <w:pPr>
        <w:rPr>
          <w:rFonts w:ascii="Arial" w:hAnsi="Arial" w:cs="Arial"/>
        </w:rPr>
      </w:pPr>
    </w:p>
    <w:p w14:paraId="779173BC" w14:textId="76319005" w:rsidR="000A2FF1" w:rsidRPr="00F31EC7" w:rsidRDefault="000A2FF1" w:rsidP="007C660C">
      <w:pPr>
        <w:spacing w:after="0" w:line="360" w:lineRule="auto"/>
        <w:ind w:left="567" w:hanging="567"/>
        <w:rPr>
          <w:rFonts w:ascii="Arial" w:hAnsi="Arial" w:cs="Arial"/>
        </w:rPr>
      </w:pPr>
    </w:p>
    <w:sectPr w:rsidR="000A2FF1" w:rsidRPr="00F31EC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293F9" w14:textId="77777777" w:rsidR="00766EE7" w:rsidRDefault="00766EE7" w:rsidP="0003311B">
      <w:pPr>
        <w:spacing w:after="0" w:line="240" w:lineRule="auto"/>
      </w:pPr>
      <w:r>
        <w:separator/>
      </w:r>
    </w:p>
  </w:endnote>
  <w:endnote w:type="continuationSeparator" w:id="0">
    <w:p w14:paraId="577E6720" w14:textId="77777777" w:rsidR="00766EE7" w:rsidRDefault="00766EE7" w:rsidP="00033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35ABA" w14:textId="77777777" w:rsidR="0003311B" w:rsidRDefault="00033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18386" w14:textId="77777777" w:rsidR="0003311B" w:rsidRDefault="00033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F3CA" w14:textId="77777777" w:rsidR="0003311B" w:rsidRDefault="00033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6F7F0" w14:textId="77777777" w:rsidR="00766EE7" w:rsidRDefault="00766EE7" w:rsidP="0003311B">
      <w:pPr>
        <w:spacing w:after="0" w:line="240" w:lineRule="auto"/>
      </w:pPr>
      <w:r>
        <w:separator/>
      </w:r>
    </w:p>
  </w:footnote>
  <w:footnote w:type="continuationSeparator" w:id="0">
    <w:p w14:paraId="267822F0" w14:textId="77777777" w:rsidR="00766EE7" w:rsidRDefault="00766EE7" w:rsidP="00033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BF999" w14:textId="454E6C35" w:rsidR="0003311B" w:rsidRDefault="00000000">
    <w:pPr>
      <w:pStyle w:val="Header"/>
    </w:pPr>
    <w:r>
      <w:rPr>
        <w:noProof/>
      </w:rPr>
      <w:pict w14:anchorId="5E6E37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61719"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02C43" w14:textId="38EF4DE3" w:rsidR="0003311B" w:rsidRDefault="00000000">
    <w:pPr>
      <w:pStyle w:val="Header"/>
    </w:pPr>
    <w:r>
      <w:rPr>
        <w:noProof/>
      </w:rPr>
      <w:pict w14:anchorId="55BFC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61720"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7D6E1" w14:textId="147F3C7D" w:rsidR="0003311B" w:rsidRDefault="00000000">
    <w:pPr>
      <w:pStyle w:val="Header"/>
    </w:pPr>
    <w:r>
      <w:rPr>
        <w:noProof/>
      </w:rPr>
      <w:pict w14:anchorId="24816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61718"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5A48"/>
    <w:multiLevelType w:val="multilevel"/>
    <w:tmpl w:val="751C4B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12AA5"/>
    <w:multiLevelType w:val="multilevel"/>
    <w:tmpl w:val="929254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9718F"/>
    <w:multiLevelType w:val="multilevel"/>
    <w:tmpl w:val="B570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B5263"/>
    <w:multiLevelType w:val="multilevel"/>
    <w:tmpl w:val="BE3446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9C1637"/>
    <w:multiLevelType w:val="multilevel"/>
    <w:tmpl w:val="C6D8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926FF7"/>
    <w:multiLevelType w:val="multilevel"/>
    <w:tmpl w:val="7050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A051B"/>
    <w:multiLevelType w:val="multilevel"/>
    <w:tmpl w:val="393E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1A06F8"/>
    <w:multiLevelType w:val="multilevel"/>
    <w:tmpl w:val="36DAB1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85048F"/>
    <w:multiLevelType w:val="multilevel"/>
    <w:tmpl w:val="29921E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44260D"/>
    <w:multiLevelType w:val="multilevel"/>
    <w:tmpl w:val="D610DA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051D65"/>
    <w:multiLevelType w:val="multilevel"/>
    <w:tmpl w:val="AC38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F467BD"/>
    <w:multiLevelType w:val="multilevel"/>
    <w:tmpl w:val="CA5E17CA"/>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08978CD"/>
    <w:multiLevelType w:val="multilevel"/>
    <w:tmpl w:val="6922BE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C20918"/>
    <w:multiLevelType w:val="multilevel"/>
    <w:tmpl w:val="076277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F65ACE"/>
    <w:multiLevelType w:val="multilevel"/>
    <w:tmpl w:val="D4847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1A29B6"/>
    <w:multiLevelType w:val="multilevel"/>
    <w:tmpl w:val="D1BA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F71B3B"/>
    <w:multiLevelType w:val="multilevel"/>
    <w:tmpl w:val="A6FED9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8402856">
    <w:abstractNumId w:val="0"/>
  </w:num>
  <w:num w:numId="2" w16cid:durableId="1313023399">
    <w:abstractNumId w:val="16"/>
  </w:num>
  <w:num w:numId="3" w16cid:durableId="1297837664">
    <w:abstractNumId w:val="13"/>
  </w:num>
  <w:num w:numId="4" w16cid:durableId="301885407">
    <w:abstractNumId w:val="7"/>
  </w:num>
  <w:num w:numId="5" w16cid:durableId="732508226">
    <w:abstractNumId w:val="9"/>
  </w:num>
  <w:num w:numId="6" w16cid:durableId="1093011861">
    <w:abstractNumId w:val="12"/>
  </w:num>
  <w:num w:numId="7" w16cid:durableId="1012681835">
    <w:abstractNumId w:val="1"/>
  </w:num>
  <w:num w:numId="8" w16cid:durableId="1237477266">
    <w:abstractNumId w:val="8"/>
  </w:num>
  <w:num w:numId="9" w16cid:durableId="1621492662">
    <w:abstractNumId w:val="3"/>
  </w:num>
  <w:num w:numId="10" w16cid:durableId="1757627449">
    <w:abstractNumId w:val="11"/>
  </w:num>
  <w:num w:numId="11" w16cid:durableId="1960063748">
    <w:abstractNumId w:val="2"/>
  </w:num>
  <w:num w:numId="12" w16cid:durableId="2052150763">
    <w:abstractNumId w:val="10"/>
  </w:num>
  <w:num w:numId="13" w16cid:durableId="433214779">
    <w:abstractNumId w:val="4"/>
  </w:num>
  <w:num w:numId="14" w16cid:durableId="1040932422">
    <w:abstractNumId w:val="5"/>
  </w:num>
  <w:num w:numId="15" w16cid:durableId="1981574716">
    <w:abstractNumId w:val="6"/>
  </w:num>
  <w:num w:numId="16" w16cid:durableId="1450853507">
    <w:abstractNumId w:val="14"/>
  </w:num>
  <w:num w:numId="17" w16cid:durableId="8405864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7A4"/>
    <w:rsid w:val="0003311B"/>
    <w:rsid w:val="0006372A"/>
    <w:rsid w:val="000A2FF1"/>
    <w:rsid w:val="00104956"/>
    <w:rsid w:val="001303C2"/>
    <w:rsid w:val="001A6E7A"/>
    <w:rsid w:val="001D73BE"/>
    <w:rsid w:val="00204B34"/>
    <w:rsid w:val="0034684B"/>
    <w:rsid w:val="003B097E"/>
    <w:rsid w:val="00525A02"/>
    <w:rsid w:val="005A0487"/>
    <w:rsid w:val="005A1525"/>
    <w:rsid w:val="006D009B"/>
    <w:rsid w:val="007369AF"/>
    <w:rsid w:val="00766EE7"/>
    <w:rsid w:val="007C660C"/>
    <w:rsid w:val="007F6962"/>
    <w:rsid w:val="008C2E3C"/>
    <w:rsid w:val="009D3176"/>
    <w:rsid w:val="00A026F2"/>
    <w:rsid w:val="00AA5991"/>
    <w:rsid w:val="00DD2F74"/>
    <w:rsid w:val="00E155BB"/>
    <w:rsid w:val="00F31EC7"/>
    <w:rsid w:val="00F407A4"/>
    <w:rsid w:val="00F93CFF"/>
    <w:rsid w:val="00FB7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54E2E"/>
  <w15:docId w15:val="{A53E978A-5BD7-4482-BF1D-185E140D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0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7A4"/>
    <w:rPr>
      <w:rFonts w:eastAsiaTheme="majorEastAsia" w:cstheme="majorBidi"/>
      <w:color w:val="272727" w:themeColor="text1" w:themeTint="D8"/>
    </w:rPr>
  </w:style>
  <w:style w:type="paragraph" w:styleId="Title">
    <w:name w:val="Title"/>
    <w:basedOn w:val="Normal"/>
    <w:next w:val="Normal"/>
    <w:link w:val="TitleChar"/>
    <w:uiPriority w:val="10"/>
    <w:qFormat/>
    <w:rsid w:val="00F40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7A4"/>
    <w:pPr>
      <w:spacing w:before="160"/>
      <w:jc w:val="center"/>
    </w:pPr>
    <w:rPr>
      <w:i/>
      <w:iCs/>
      <w:color w:val="404040" w:themeColor="text1" w:themeTint="BF"/>
    </w:rPr>
  </w:style>
  <w:style w:type="character" w:customStyle="1" w:styleId="QuoteChar">
    <w:name w:val="Quote Char"/>
    <w:basedOn w:val="DefaultParagraphFont"/>
    <w:link w:val="Quote"/>
    <w:uiPriority w:val="29"/>
    <w:rsid w:val="00F407A4"/>
    <w:rPr>
      <w:i/>
      <w:iCs/>
      <w:color w:val="404040" w:themeColor="text1" w:themeTint="BF"/>
    </w:rPr>
  </w:style>
  <w:style w:type="paragraph" w:styleId="ListParagraph">
    <w:name w:val="List Paragraph"/>
    <w:basedOn w:val="Normal"/>
    <w:uiPriority w:val="34"/>
    <w:qFormat/>
    <w:rsid w:val="00F407A4"/>
    <w:pPr>
      <w:ind w:left="720"/>
      <w:contextualSpacing/>
    </w:pPr>
  </w:style>
  <w:style w:type="character" w:styleId="IntenseEmphasis">
    <w:name w:val="Intense Emphasis"/>
    <w:basedOn w:val="DefaultParagraphFont"/>
    <w:uiPriority w:val="21"/>
    <w:qFormat/>
    <w:rsid w:val="00F407A4"/>
    <w:rPr>
      <w:i/>
      <w:iCs/>
      <w:color w:val="0F4761" w:themeColor="accent1" w:themeShade="BF"/>
    </w:rPr>
  </w:style>
  <w:style w:type="paragraph" w:styleId="IntenseQuote">
    <w:name w:val="Intense Quote"/>
    <w:basedOn w:val="Normal"/>
    <w:next w:val="Normal"/>
    <w:link w:val="IntenseQuoteChar"/>
    <w:uiPriority w:val="30"/>
    <w:qFormat/>
    <w:rsid w:val="00F40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7A4"/>
    <w:rPr>
      <w:i/>
      <w:iCs/>
      <w:color w:val="0F4761" w:themeColor="accent1" w:themeShade="BF"/>
    </w:rPr>
  </w:style>
  <w:style w:type="character" w:styleId="IntenseReference">
    <w:name w:val="Intense Reference"/>
    <w:basedOn w:val="DefaultParagraphFont"/>
    <w:uiPriority w:val="32"/>
    <w:qFormat/>
    <w:rsid w:val="00F407A4"/>
    <w:rPr>
      <w:b/>
      <w:bCs/>
      <w:smallCaps/>
      <w:color w:val="0F4761" w:themeColor="accent1" w:themeShade="BF"/>
      <w:spacing w:val="5"/>
    </w:rPr>
  </w:style>
  <w:style w:type="table" w:styleId="TableGrid">
    <w:name w:val="Table Grid"/>
    <w:basedOn w:val="TableNormal"/>
    <w:uiPriority w:val="39"/>
    <w:rsid w:val="00F31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69AF"/>
    <w:rPr>
      <w:color w:val="467886" w:themeColor="hyperlink"/>
      <w:u w:val="single"/>
    </w:rPr>
  </w:style>
  <w:style w:type="character" w:customStyle="1" w:styleId="UnresolvedMention1">
    <w:name w:val="Unresolved Mention1"/>
    <w:basedOn w:val="DefaultParagraphFont"/>
    <w:uiPriority w:val="99"/>
    <w:semiHidden/>
    <w:unhideWhenUsed/>
    <w:rsid w:val="007369AF"/>
    <w:rPr>
      <w:color w:val="605E5C"/>
      <w:shd w:val="clear" w:color="auto" w:fill="E1DFDD"/>
    </w:rPr>
  </w:style>
  <w:style w:type="paragraph" w:styleId="Header">
    <w:name w:val="header"/>
    <w:basedOn w:val="Normal"/>
    <w:link w:val="HeaderChar"/>
    <w:uiPriority w:val="99"/>
    <w:unhideWhenUsed/>
    <w:rsid w:val="00033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11B"/>
  </w:style>
  <w:style w:type="paragraph" w:styleId="Footer">
    <w:name w:val="footer"/>
    <w:basedOn w:val="Normal"/>
    <w:link w:val="FooterChar"/>
    <w:uiPriority w:val="99"/>
    <w:unhideWhenUsed/>
    <w:rsid w:val="00033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11B"/>
  </w:style>
  <w:style w:type="paragraph" w:styleId="NormalWeb">
    <w:name w:val="Normal (Web)"/>
    <w:basedOn w:val="Normal"/>
    <w:uiPriority w:val="99"/>
    <w:semiHidden/>
    <w:unhideWhenUsed/>
    <w:rsid w:val="007F6962"/>
    <w:rPr>
      <w:rFonts w:ascii="Times New Roman" w:hAnsi="Times New Roman" w:cs="Times New Roman"/>
    </w:rPr>
  </w:style>
  <w:style w:type="character" w:styleId="UnresolvedMention">
    <w:name w:val="Unresolved Mention"/>
    <w:basedOn w:val="DefaultParagraphFont"/>
    <w:uiPriority w:val="99"/>
    <w:semiHidden/>
    <w:unhideWhenUsed/>
    <w:rsid w:val="007F6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053">
      <w:bodyDiv w:val="1"/>
      <w:marLeft w:val="0"/>
      <w:marRight w:val="0"/>
      <w:marTop w:val="0"/>
      <w:marBottom w:val="0"/>
      <w:divBdr>
        <w:top w:val="none" w:sz="0" w:space="0" w:color="auto"/>
        <w:left w:val="none" w:sz="0" w:space="0" w:color="auto"/>
        <w:bottom w:val="none" w:sz="0" w:space="0" w:color="auto"/>
        <w:right w:val="none" w:sz="0" w:space="0" w:color="auto"/>
      </w:divBdr>
    </w:div>
    <w:div w:id="124472012">
      <w:bodyDiv w:val="1"/>
      <w:marLeft w:val="0"/>
      <w:marRight w:val="0"/>
      <w:marTop w:val="0"/>
      <w:marBottom w:val="0"/>
      <w:divBdr>
        <w:top w:val="none" w:sz="0" w:space="0" w:color="auto"/>
        <w:left w:val="none" w:sz="0" w:space="0" w:color="auto"/>
        <w:bottom w:val="none" w:sz="0" w:space="0" w:color="auto"/>
        <w:right w:val="none" w:sz="0" w:space="0" w:color="auto"/>
      </w:divBdr>
    </w:div>
    <w:div w:id="131993975">
      <w:bodyDiv w:val="1"/>
      <w:marLeft w:val="0"/>
      <w:marRight w:val="0"/>
      <w:marTop w:val="0"/>
      <w:marBottom w:val="0"/>
      <w:divBdr>
        <w:top w:val="none" w:sz="0" w:space="0" w:color="auto"/>
        <w:left w:val="none" w:sz="0" w:space="0" w:color="auto"/>
        <w:bottom w:val="none" w:sz="0" w:space="0" w:color="auto"/>
        <w:right w:val="none" w:sz="0" w:space="0" w:color="auto"/>
      </w:divBdr>
    </w:div>
    <w:div w:id="179469161">
      <w:bodyDiv w:val="1"/>
      <w:marLeft w:val="0"/>
      <w:marRight w:val="0"/>
      <w:marTop w:val="0"/>
      <w:marBottom w:val="0"/>
      <w:divBdr>
        <w:top w:val="none" w:sz="0" w:space="0" w:color="auto"/>
        <w:left w:val="none" w:sz="0" w:space="0" w:color="auto"/>
        <w:bottom w:val="none" w:sz="0" w:space="0" w:color="auto"/>
        <w:right w:val="none" w:sz="0" w:space="0" w:color="auto"/>
      </w:divBdr>
    </w:div>
    <w:div w:id="201750630">
      <w:bodyDiv w:val="1"/>
      <w:marLeft w:val="0"/>
      <w:marRight w:val="0"/>
      <w:marTop w:val="0"/>
      <w:marBottom w:val="0"/>
      <w:divBdr>
        <w:top w:val="none" w:sz="0" w:space="0" w:color="auto"/>
        <w:left w:val="none" w:sz="0" w:space="0" w:color="auto"/>
        <w:bottom w:val="none" w:sz="0" w:space="0" w:color="auto"/>
        <w:right w:val="none" w:sz="0" w:space="0" w:color="auto"/>
      </w:divBdr>
    </w:div>
    <w:div w:id="228806954">
      <w:bodyDiv w:val="1"/>
      <w:marLeft w:val="0"/>
      <w:marRight w:val="0"/>
      <w:marTop w:val="0"/>
      <w:marBottom w:val="0"/>
      <w:divBdr>
        <w:top w:val="none" w:sz="0" w:space="0" w:color="auto"/>
        <w:left w:val="none" w:sz="0" w:space="0" w:color="auto"/>
        <w:bottom w:val="none" w:sz="0" w:space="0" w:color="auto"/>
        <w:right w:val="none" w:sz="0" w:space="0" w:color="auto"/>
      </w:divBdr>
    </w:div>
    <w:div w:id="265501290">
      <w:bodyDiv w:val="1"/>
      <w:marLeft w:val="0"/>
      <w:marRight w:val="0"/>
      <w:marTop w:val="0"/>
      <w:marBottom w:val="0"/>
      <w:divBdr>
        <w:top w:val="none" w:sz="0" w:space="0" w:color="auto"/>
        <w:left w:val="none" w:sz="0" w:space="0" w:color="auto"/>
        <w:bottom w:val="none" w:sz="0" w:space="0" w:color="auto"/>
        <w:right w:val="none" w:sz="0" w:space="0" w:color="auto"/>
      </w:divBdr>
    </w:div>
    <w:div w:id="265818327">
      <w:bodyDiv w:val="1"/>
      <w:marLeft w:val="0"/>
      <w:marRight w:val="0"/>
      <w:marTop w:val="0"/>
      <w:marBottom w:val="0"/>
      <w:divBdr>
        <w:top w:val="none" w:sz="0" w:space="0" w:color="auto"/>
        <w:left w:val="none" w:sz="0" w:space="0" w:color="auto"/>
        <w:bottom w:val="none" w:sz="0" w:space="0" w:color="auto"/>
        <w:right w:val="none" w:sz="0" w:space="0" w:color="auto"/>
      </w:divBdr>
    </w:div>
    <w:div w:id="276257930">
      <w:bodyDiv w:val="1"/>
      <w:marLeft w:val="0"/>
      <w:marRight w:val="0"/>
      <w:marTop w:val="0"/>
      <w:marBottom w:val="0"/>
      <w:divBdr>
        <w:top w:val="none" w:sz="0" w:space="0" w:color="auto"/>
        <w:left w:val="none" w:sz="0" w:space="0" w:color="auto"/>
        <w:bottom w:val="none" w:sz="0" w:space="0" w:color="auto"/>
        <w:right w:val="none" w:sz="0" w:space="0" w:color="auto"/>
      </w:divBdr>
      <w:divsChild>
        <w:div w:id="1403603253">
          <w:marLeft w:val="0"/>
          <w:marRight w:val="0"/>
          <w:marTop w:val="0"/>
          <w:marBottom w:val="0"/>
          <w:divBdr>
            <w:top w:val="none" w:sz="0" w:space="0" w:color="auto"/>
            <w:left w:val="none" w:sz="0" w:space="0" w:color="auto"/>
            <w:bottom w:val="none" w:sz="0" w:space="0" w:color="auto"/>
            <w:right w:val="none" w:sz="0" w:space="0" w:color="auto"/>
          </w:divBdr>
          <w:divsChild>
            <w:div w:id="10050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50021">
      <w:bodyDiv w:val="1"/>
      <w:marLeft w:val="0"/>
      <w:marRight w:val="0"/>
      <w:marTop w:val="0"/>
      <w:marBottom w:val="0"/>
      <w:divBdr>
        <w:top w:val="none" w:sz="0" w:space="0" w:color="auto"/>
        <w:left w:val="none" w:sz="0" w:space="0" w:color="auto"/>
        <w:bottom w:val="none" w:sz="0" w:space="0" w:color="auto"/>
        <w:right w:val="none" w:sz="0" w:space="0" w:color="auto"/>
      </w:divBdr>
    </w:div>
    <w:div w:id="417020755">
      <w:bodyDiv w:val="1"/>
      <w:marLeft w:val="0"/>
      <w:marRight w:val="0"/>
      <w:marTop w:val="0"/>
      <w:marBottom w:val="0"/>
      <w:divBdr>
        <w:top w:val="none" w:sz="0" w:space="0" w:color="auto"/>
        <w:left w:val="none" w:sz="0" w:space="0" w:color="auto"/>
        <w:bottom w:val="none" w:sz="0" w:space="0" w:color="auto"/>
        <w:right w:val="none" w:sz="0" w:space="0" w:color="auto"/>
      </w:divBdr>
    </w:div>
    <w:div w:id="529413777">
      <w:bodyDiv w:val="1"/>
      <w:marLeft w:val="0"/>
      <w:marRight w:val="0"/>
      <w:marTop w:val="0"/>
      <w:marBottom w:val="0"/>
      <w:divBdr>
        <w:top w:val="none" w:sz="0" w:space="0" w:color="auto"/>
        <w:left w:val="none" w:sz="0" w:space="0" w:color="auto"/>
        <w:bottom w:val="none" w:sz="0" w:space="0" w:color="auto"/>
        <w:right w:val="none" w:sz="0" w:space="0" w:color="auto"/>
      </w:divBdr>
    </w:div>
    <w:div w:id="586351306">
      <w:bodyDiv w:val="1"/>
      <w:marLeft w:val="0"/>
      <w:marRight w:val="0"/>
      <w:marTop w:val="0"/>
      <w:marBottom w:val="0"/>
      <w:divBdr>
        <w:top w:val="none" w:sz="0" w:space="0" w:color="auto"/>
        <w:left w:val="none" w:sz="0" w:space="0" w:color="auto"/>
        <w:bottom w:val="none" w:sz="0" w:space="0" w:color="auto"/>
        <w:right w:val="none" w:sz="0" w:space="0" w:color="auto"/>
      </w:divBdr>
      <w:divsChild>
        <w:div w:id="2019499958">
          <w:marLeft w:val="0"/>
          <w:marRight w:val="0"/>
          <w:marTop w:val="0"/>
          <w:marBottom w:val="0"/>
          <w:divBdr>
            <w:top w:val="none" w:sz="0" w:space="0" w:color="auto"/>
            <w:left w:val="none" w:sz="0" w:space="0" w:color="auto"/>
            <w:bottom w:val="none" w:sz="0" w:space="0" w:color="auto"/>
            <w:right w:val="none" w:sz="0" w:space="0" w:color="auto"/>
          </w:divBdr>
        </w:div>
      </w:divsChild>
    </w:div>
    <w:div w:id="689257964">
      <w:bodyDiv w:val="1"/>
      <w:marLeft w:val="0"/>
      <w:marRight w:val="0"/>
      <w:marTop w:val="0"/>
      <w:marBottom w:val="0"/>
      <w:divBdr>
        <w:top w:val="none" w:sz="0" w:space="0" w:color="auto"/>
        <w:left w:val="none" w:sz="0" w:space="0" w:color="auto"/>
        <w:bottom w:val="none" w:sz="0" w:space="0" w:color="auto"/>
        <w:right w:val="none" w:sz="0" w:space="0" w:color="auto"/>
      </w:divBdr>
    </w:div>
    <w:div w:id="734938697">
      <w:bodyDiv w:val="1"/>
      <w:marLeft w:val="0"/>
      <w:marRight w:val="0"/>
      <w:marTop w:val="0"/>
      <w:marBottom w:val="0"/>
      <w:divBdr>
        <w:top w:val="none" w:sz="0" w:space="0" w:color="auto"/>
        <w:left w:val="none" w:sz="0" w:space="0" w:color="auto"/>
        <w:bottom w:val="none" w:sz="0" w:space="0" w:color="auto"/>
        <w:right w:val="none" w:sz="0" w:space="0" w:color="auto"/>
      </w:divBdr>
      <w:divsChild>
        <w:div w:id="1961257839">
          <w:marLeft w:val="0"/>
          <w:marRight w:val="0"/>
          <w:marTop w:val="0"/>
          <w:marBottom w:val="0"/>
          <w:divBdr>
            <w:top w:val="none" w:sz="0" w:space="0" w:color="auto"/>
            <w:left w:val="none" w:sz="0" w:space="0" w:color="auto"/>
            <w:bottom w:val="none" w:sz="0" w:space="0" w:color="auto"/>
            <w:right w:val="none" w:sz="0" w:space="0" w:color="auto"/>
          </w:divBdr>
          <w:divsChild>
            <w:div w:id="9312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6325">
      <w:bodyDiv w:val="1"/>
      <w:marLeft w:val="0"/>
      <w:marRight w:val="0"/>
      <w:marTop w:val="0"/>
      <w:marBottom w:val="0"/>
      <w:divBdr>
        <w:top w:val="none" w:sz="0" w:space="0" w:color="auto"/>
        <w:left w:val="none" w:sz="0" w:space="0" w:color="auto"/>
        <w:bottom w:val="none" w:sz="0" w:space="0" w:color="auto"/>
        <w:right w:val="none" w:sz="0" w:space="0" w:color="auto"/>
      </w:divBdr>
    </w:div>
    <w:div w:id="904683855">
      <w:bodyDiv w:val="1"/>
      <w:marLeft w:val="0"/>
      <w:marRight w:val="0"/>
      <w:marTop w:val="0"/>
      <w:marBottom w:val="0"/>
      <w:divBdr>
        <w:top w:val="none" w:sz="0" w:space="0" w:color="auto"/>
        <w:left w:val="none" w:sz="0" w:space="0" w:color="auto"/>
        <w:bottom w:val="none" w:sz="0" w:space="0" w:color="auto"/>
        <w:right w:val="none" w:sz="0" w:space="0" w:color="auto"/>
      </w:divBdr>
    </w:div>
    <w:div w:id="956183596">
      <w:bodyDiv w:val="1"/>
      <w:marLeft w:val="0"/>
      <w:marRight w:val="0"/>
      <w:marTop w:val="0"/>
      <w:marBottom w:val="0"/>
      <w:divBdr>
        <w:top w:val="none" w:sz="0" w:space="0" w:color="auto"/>
        <w:left w:val="none" w:sz="0" w:space="0" w:color="auto"/>
        <w:bottom w:val="none" w:sz="0" w:space="0" w:color="auto"/>
        <w:right w:val="none" w:sz="0" w:space="0" w:color="auto"/>
      </w:divBdr>
    </w:div>
    <w:div w:id="989939045">
      <w:bodyDiv w:val="1"/>
      <w:marLeft w:val="0"/>
      <w:marRight w:val="0"/>
      <w:marTop w:val="0"/>
      <w:marBottom w:val="0"/>
      <w:divBdr>
        <w:top w:val="none" w:sz="0" w:space="0" w:color="auto"/>
        <w:left w:val="none" w:sz="0" w:space="0" w:color="auto"/>
        <w:bottom w:val="none" w:sz="0" w:space="0" w:color="auto"/>
        <w:right w:val="none" w:sz="0" w:space="0" w:color="auto"/>
      </w:divBdr>
    </w:div>
    <w:div w:id="1024867990">
      <w:bodyDiv w:val="1"/>
      <w:marLeft w:val="0"/>
      <w:marRight w:val="0"/>
      <w:marTop w:val="0"/>
      <w:marBottom w:val="0"/>
      <w:divBdr>
        <w:top w:val="none" w:sz="0" w:space="0" w:color="auto"/>
        <w:left w:val="none" w:sz="0" w:space="0" w:color="auto"/>
        <w:bottom w:val="none" w:sz="0" w:space="0" w:color="auto"/>
        <w:right w:val="none" w:sz="0" w:space="0" w:color="auto"/>
      </w:divBdr>
    </w:div>
    <w:div w:id="1051687504">
      <w:bodyDiv w:val="1"/>
      <w:marLeft w:val="0"/>
      <w:marRight w:val="0"/>
      <w:marTop w:val="0"/>
      <w:marBottom w:val="0"/>
      <w:divBdr>
        <w:top w:val="none" w:sz="0" w:space="0" w:color="auto"/>
        <w:left w:val="none" w:sz="0" w:space="0" w:color="auto"/>
        <w:bottom w:val="none" w:sz="0" w:space="0" w:color="auto"/>
        <w:right w:val="none" w:sz="0" w:space="0" w:color="auto"/>
      </w:divBdr>
    </w:div>
    <w:div w:id="1180661569">
      <w:bodyDiv w:val="1"/>
      <w:marLeft w:val="0"/>
      <w:marRight w:val="0"/>
      <w:marTop w:val="0"/>
      <w:marBottom w:val="0"/>
      <w:divBdr>
        <w:top w:val="none" w:sz="0" w:space="0" w:color="auto"/>
        <w:left w:val="none" w:sz="0" w:space="0" w:color="auto"/>
        <w:bottom w:val="none" w:sz="0" w:space="0" w:color="auto"/>
        <w:right w:val="none" w:sz="0" w:space="0" w:color="auto"/>
      </w:divBdr>
      <w:divsChild>
        <w:div w:id="1158838262">
          <w:marLeft w:val="0"/>
          <w:marRight w:val="0"/>
          <w:marTop w:val="0"/>
          <w:marBottom w:val="0"/>
          <w:divBdr>
            <w:top w:val="none" w:sz="0" w:space="0" w:color="auto"/>
            <w:left w:val="none" w:sz="0" w:space="0" w:color="auto"/>
            <w:bottom w:val="none" w:sz="0" w:space="0" w:color="auto"/>
            <w:right w:val="none" w:sz="0" w:space="0" w:color="auto"/>
          </w:divBdr>
          <w:divsChild>
            <w:div w:id="10726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5420">
      <w:bodyDiv w:val="1"/>
      <w:marLeft w:val="0"/>
      <w:marRight w:val="0"/>
      <w:marTop w:val="0"/>
      <w:marBottom w:val="0"/>
      <w:divBdr>
        <w:top w:val="none" w:sz="0" w:space="0" w:color="auto"/>
        <w:left w:val="none" w:sz="0" w:space="0" w:color="auto"/>
        <w:bottom w:val="none" w:sz="0" w:space="0" w:color="auto"/>
        <w:right w:val="none" w:sz="0" w:space="0" w:color="auto"/>
      </w:divBdr>
    </w:div>
    <w:div w:id="1322732673">
      <w:bodyDiv w:val="1"/>
      <w:marLeft w:val="0"/>
      <w:marRight w:val="0"/>
      <w:marTop w:val="0"/>
      <w:marBottom w:val="0"/>
      <w:divBdr>
        <w:top w:val="none" w:sz="0" w:space="0" w:color="auto"/>
        <w:left w:val="none" w:sz="0" w:space="0" w:color="auto"/>
        <w:bottom w:val="none" w:sz="0" w:space="0" w:color="auto"/>
        <w:right w:val="none" w:sz="0" w:space="0" w:color="auto"/>
      </w:divBdr>
    </w:div>
    <w:div w:id="1337197478">
      <w:bodyDiv w:val="1"/>
      <w:marLeft w:val="0"/>
      <w:marRight w:val="0"/>
      <w:marTop w:val="0"/>
      <w:marBottom w:val="0"/>
      <w:divBdr>
        <w:top w:val="none" w:sz="0" w:space="0" w:color="auto"/>
        <w:left w:val="none" w:sz="0" w:space="0" w:color="auto"/>
        <w:bottom w:val="none" w:sz="0" w:space="0" w:color="auto"/>
        <w:right w:val="none" w:sz="0" w:space="0" w:color="auto"/>
      </w:divBdr>
    </w:div>
    <w:div w:id="1347056557">
      <w:bodyDiv w:val="1"/>
      <w:marLeft w:val="0"/>
      <w:marRight w:val="0"/>
      <w:marTop w:val="0"/>
      <w:marBottom w:val="0"/>
      <w:divBdr>
        <w:top w:val="none" w:sz="0" w:space="0" w:color="auto"/>
        <w:left w:val="none" w:sz="0" w:space="0" w:color="auto"/>
        <w:bottom w:val="none" w:sz="0" w:space="0" w:color="auto"/>
        <w:right w:val="none" w:sz="0" w:space="0" w:color="auto"/>
      </w:divBdr>
    </w:div>
    <w:div w:id="1368219479">
      <w:bodyDiv w:val="1"/>
      <w:marLeft w:val="0"/>
      <w:marRight w:val="0"/>
      <w:marTop w:val="0"/>
      <w:marBottom w:val="0"/>
      <w:divBdr>
        <w:top w:val="none" w:sz="0" w:space="0" w:color="auto"/>
        <w:left w:val="none" w:sz="0" w:space="0" w:color="auto"/>
        <w:bottom w:val="none" w:sz="0" w:space="0" w:color="auto"/>
        <w:right w:val="none" w:sz="0" w:space="0" w:color="auto"/>
      </w:divBdr>
    </w:div>
    <w:div w:id="1416242670">
      <w:bodyDiv w:val="1"/>
      <w:marLeft w:val="0"/>
      <w:marRight w:val="0"/>
      <w:marTop w:val="0"/>
      <w:marBottom w:val="0"/>
      <w:divBdr>
        <w:top w:val="none" w:sz="0" w:space="0" w:color="auto"/>
        <w:left w:val="none" w:sz="0" w:space="0" w:color="auto"/>
        <w:bottom w:val="none" w:sz="0" w:space="0" w:color="auto"/>
        <w:right w:val="none" w:sz="0" w:space="0" w:color="auto"/>
      </w:divBdr>
    </w:div>
    <w:div w:id="1435588818">
      <w:bodyDiv w:val="1"/>
      <w:marLeft w:val="0"/>
      <w:marRight w:val="0"/>
      <w:marTop w:val="0"/>
      <w:marBottom w:val="0"/>
      <w:divBdr>
        <w:top w:val="none" w:sz="0" w:space="0" w:color="auto"/>
        <w:left w:val="none" w:sz="0" w:space="0" w:color="auto"/>
        <w:bottom w:val="none" w:sz="0" w:space="0" w:color="auto"/>
        <w:right w:val="none" w:sz="0" w:space="0" w:color="auto"/>
      </w:divBdr>
    </w:div>
    <w:div w:id="1462378364">
      <w:bodyDiv w:val="1"/>
      <w:marLeft w:val="0"/>
      <w:marRight w:val="0"/>
      <w:marTop w:val="0"/>
      <w:marBottom w:val="0"/>
      <w:divBdr>
        <w:top w:val="none" w:sz="0" w:space="0" w:color="auto"/>
        <w:left w:val="none" w:sz="0" w:space="0" w:color="auto"/>
        <w:bottom w:val="none" w:sz="0" w:space="0" w:color="auto"/>
        <w:right w:val="none" w:sz="0" w:space="0" w:color="auto"/>
      </w:divBdr>
      <w:divsChild>
        <w:div w:id="436947108">
          <w:marLeft w:val="0"/>
          <w:marRight w:val="0"/>
          <w:marTop w:val="0"/>
          <w:marBottom w:val="0"/>
          <w:divBdr>
            <w:top w:val="none" w:sz="0" w:space="0" w:color="auto"/>
            <w:left w:val="none" w:sz="0" w:space="0" w:color="auto"/>
            <w:bottom w:val="none" w:sz="0" w:space="0" w:color="auto"/>
            <w:right w:val="none" w:sz="0" w:space="0" w:color="auto"/>
          </w:divBdr>
          <w:divsChild>
            <w:div w:id="11823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1760">
      <w:bodyDiv w:val="1"/>
      <w:marLeft w:val="0"/>
      <w:marRight w:val="0"/>
      <w:marTop w:val="0"/>
      <w:marBottom w:val="0"/>
      <w:divBdr>
        <w:top w:val="none" w:sz="0" w:space="0" w:color="auto"/>
        <w:left w:val="none" w:sz="0" w:space="0" w:color="auto"/>
        <w:bottom w:val="none" w:sz="0" w:space="0" w:color="auto"/>
        <w:right w:val="none" w:sz="0" w:space="0" w:color="auto"/>
      </w:divBdr>
    </w:div>
    <w:div w:id="1554803901">
      <w:bodyDiv w:val="1"/>
      <w:marLeft w:val="0"/>
      <w:marRight w:val="0"/>
      <w:marTop w:val="0"/>
      <w:marBottom w:val="0"/>
      <w:divBdr>
        <w:top w:val="none" w:sz="0" w:space="0" w:color="auto"/>
        <w:left w:val="none" w:sz="0" w:space="0" w:color="auto"/>
        <w:bottom w:val="none" w:sz="0" w:space="0" w:color="auto"/>
        <w:right w:val="none" w:sz="0" w:space="0" w:color="auto"/>
      </w:divBdr>
    </w:div>
    <w:div w:id="1592394607">
      <w:bodyDiv w:val="1"/>
      <w:marLeft w:val="0"/>
      <w:marRight w:val="0"/>
      <w:marTop w:val="0"/>
      <w:marBottom w:val="0"/>
      <w:divBdr>
        <w:top w:val="none" w:sz="0" w:space="0" w:color="auto"/>
        <w:left w:val="none" w:sz="0" w:space="0" w:color="auto"/>
        <w:bottom w:val="none" w:sz="0" w:space="0" w:color="auto"/>
        <w:right w:val="none" w:sz="0" w:space="0" w:color="auto"/>
      </w:divBdr>
    </w:div>
    <w:div w:id="1635286542">
      <w:bodyDiv w:val="1"/>
      <w:marLeft w:val="0"/>
      <w:marRight w:val="0"/>
      <w:marTop w:val="0"/>
      <w:marBottom w:val="0"/>
      <w:divBdr>
        <w:top w:val="none" w:sz="0" w:space="0" w:color="auto"/>
        <w:left w:val="none" w:sz="0" w:space="0" w:color="auto"/>
        <w:bottom w:val="none" w:sz="0" w:space="0" w:color="auto"/>
        <w:right w:val="none" w:sz="0" w:space="0" w:color="auto"/>
      </w:divBdr>
    </w:div>
    <w:div w:id="1664813821">
      <w:bodyDiv w:val="1"/>
      <w:marLeft w:val="0"/>
      <w:marRight w:val="0"/>
      <w:marTop w:val="0"/>
      <w:marBottom w:val="0"/>
      <w:divBdr>
        <w:top w:val="none" w:sz="0" w:space="0" w:color="auto"/>
        <w:left w:val="none" w:sz="0" w:space="0" w:color="auto"/>
        <w:bottom w:val="none" w:sz="0" w:space="0" w:color="auto"/>
        <w:right w:val="none" w:sz="0" w:space="0" w:color="auto"/>
      </w:divBdr>
      <w:divsChild>
        <w:div w:id="389304038">
          <w:marLeft w:val="0"/>
          <w:marRight w:val="0"/>
          <w:marTop w:val="0"/>
          <w:marBottom w:val="0"/>
          <w:divBdr>
            <w:top w:val="none" w:sz="0" w:space="0" w:color="auto"/>
            <w:left w:val="none" w:sz="0" w:space="0" w:color="auto"/>
            <w:bottom w:val="none" w:sz="0" w:space="0" w:color="auto"/>
            <w:right w:val="none" w:sz="0" w:space="0" w:color="auto"/>
          </w:divBdr>
          <w:divsChild>
            <w:div w:id="15830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6127">
      <w:bodyDiv w:val="1"/>
      <w:marLeft w:val="0"/>
      <w:marRight w:val="0"/>
      <w:marTop w:val="0"/>
      <w:marBottom w:val="0"/>
      <w:divBdr>
        <w:top w:val="none" w:sz="0" w:space="0" w:color="auto"/>
        <w:left w:val="none" w:sz="0" w:space="0" w:color="auto"/>
        <w:bottom w:val="none" w:sz="0" w:space="0" w:color="auto"/>
        <w:right w:val="none" w:sz="0" w:space="0" w:color="auto"/>
      </w:divBdr>
    </w:div>
    <w:div w:id="1853714896">
      <w:bodyDiv w:val="1"/>
      <w:marLeft w:val="0"/>
      <w:marRight w:val="0"/>
      <w:marTop w:val="0"/>
      <w:marBottom w:val="0"/>
      <w:divBdr>
        <w:top w:val="none" w:sz="0" w:space="0" w:color="auto"/>
        <w:left w:val="none" w:sz="0" w:space="0" w:color="auto"/>
        <w:bottom w:val="none" w:sz="0" w:space="0" w:color="auto"/>
        <w:right w:val="none" w:sz="0" w:space="0" w:color="auto"/>
      </w:divBdr>
    </w:div>
    <w:div w:id="1867792308">
      <w:bodyDiv w:val="1"/>
      <w:marLeft w:val="0"/>
      <w:marRight w:val="0"/>
      <w:marTop w:val="0"/>
      <w:marBottom w:val="0"/>
      <w:divBdr>
        <w:top w:val="none" w:sz="0" w:space="0" w:color="auto"/>
        <w:left w:val="none" w:sz="0" w:space="0" w:color="auto"/>
        <w:bottom w:val="none" w:sz="0" w:space="0" w:color="auto"/>
        <w:right w:val="none" w:sz="0" w:space="0" w:color="auto"/>
      </w:divBdr>
    </w:div>
    <w:div w:id="1910074166">
      <w:bodyDiv w:val="1"/>
      <w:marLeft w:val="0"/>
      <w:marRight w:val="0"/>
      <w:marTop w:val="0"/>
      <w:marBottom w:val="0"/>
      <w:divBdr>
        <w:top w:val="none" w:sz="0" w:space="0" w:color="auto"/>
        <w:left w:val="none" w:sz="0" w:space="0" w:color="auto"/>
        <w:bottom w:val="none" w:sz="0" w:space="0" w:color="auto"/>
        <w:right w:val="none" w:sz="0" w:space="0" w:color="auto"/>
      </w:divBdr>
    </w:div>
    <w:div w:id="1964920497">
      <w:bodyDiv w:val="1"/>
      <w:marLeft w:val="0"/>
      <w:marRight w:val="0"/>
      <w:marTop w:val="0"/>
      <w:marBottom w:val="0"/>
      <w:divBdr>
        <w:top w:val="none" w:sz="0" w:space="0" w:color="auto"/>
        <w:left w:val="none" w:sz="0" w:space="0" w:color="auto"/>
        <w:bottom w:val="none" w:sz="0" w:space="0" w:color="auto"/>
        <w:right w:val="none" w:sz="0" w:space="0" w:color="auto"/>
      </w:divBdr>
      <w:divsChild>
        <w:div w:id="741634739">
          <w:marLeft w:val="0"/>
          <w:marRight w:val="0"/>
          <w:marTop w:val="0"/>
          <w:marBottom w:val="0"/>
          <w:divBdr>
            <w:top w:val="none" w:sz="0" w:space="0" w:color="auto"/>
            <w:left w:val="none" w:sz="0" w:space="0" w:color="auto"/>
            <w:bottom w:val="none" w:sz="0" w:space="0" w:color="auto"/>
            <w:right w:val="none" w:sz="0" w:space="0" w:color="auto"/>
          </w:divBdr>
          <w:divsChild>
            <w:div w:id="2071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50414">
      <w:bodyDiv w:val="1"/>
      <w:marLeft w:val="0"/>
      <w:marRight w:val="0"/>
      <w:marTop w:val="0"/>
      <w:marBottom w:val="0"/>
      <w:divBdr>
        <w:top w:val="none" w:sz="0" w:space="0" w:color="auto"/>
        <w:left w:val="none" w:sz="0" w:space="0" w:color="auto"/>
        <w:bottom w:val="none" w:sz="0" w:space="0" w:color="auto"/>
        <w:right w:val="none" w:sz="0" w:space="0" w:color="auto"/>
      </w:divBdr>
    </w:div>
    <w:div w:id="211408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u1205195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58812/jmws.v3i10.165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31289/agrica.v17i2.12507" TargetMode="External"/><Relationship Id="rId4" Type="http://schemas.openxmlformats.org/officeDocument/2006/relationships/webSettings" Target="webSettings.xml"/><Relationship Id="rId9" Type="http://schemas.openxmlformats.org/officeDocument/2006/relationships/hyperlink" Target="https://doi.org/10.3390/su1504302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4362</Words>
  <Characters>24870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Solution</dc:creator>
  <cp:keywords/>
  <dc:description/>
  <cp:lastModifiedBy>Software Solution</cp:lastModifiedBy>
  <cp:revision>2</cp:revision>
  <dcterms:created xsi:type="dcterms:W3CDTF">2025-07-02T16:48:00Z</dcterms:created>
  <dcterms:modified xsi:type="dcterms:W3CDTF">2025-07-02T16:48:00Z</dcterms:modified>
</cp:coreProperties>
</file>