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0646F" w14:textId="7AA31529" w:rsidR="009E493E" w:rsidRDefault="000C70EE">
      <w:pPr>
        <w:widowControl w:val="0"/>
        <w:autoSpaceDE w:val="0"/>
        <w:autoSpaceDN w:val="0"/>
        <w:spacing w:after="0" w:line="480" w:lineRule="auto"/>
        <w:ind w:left="206" w:right="571" w:firstLine="1"/>
        <w:jc w:val="both"/>
        <w:rPr>
          <w:rFonts w:ascii="Times New Roman" w:eastAsia="Times New Roman" w:hAnsi="Times New Roman" w:cs="Times New Roman"/>
          <w:b/>
          <w:bCs/>
          <w:sz w:val="28"/>
          <w:szCs w:val="28"/>
        </w:rPr>
      </w:pPr>
      <w:proofErr w:type="spellStart"/>
      <w:r w:rsidRPr="00066047">
        <w:rPr>
          <w:rFonts w:ascii="Times New Roman" w:eastAsia="Times New Roman" w:hAnsi="Times New Roman" w:cs="Times New Roman"/>
          <w:b/>
          <w:bCs/>
          <w:sz w:val="28"/>
          <w:szCs w:val="28"/>
          <w:highlight w:val="yellow"/>
        </w:rPr>
        <w:t>Eficacy</w:t>
      </w:r>
      <w:proofErr w:type="spellEnd"/>
      <w:r w:rsidRPr="00066047">
        <w:rPr>
          <w:rFonts w:ascii="Times New Roman" w:eastAsia="Times New Roman" w:hAnsi="Times New Roman" w:cs="Times New Roman"/>
          <w:b/>
          <w:bCs/>
          <w:sz w:val="28"/>
          <w:szCs w:val="28"/>
          <w:highlight w:val="yellow"/>
        </w:rPr>
        <w:t xml:space="preserve"> Of Albendazole Mass Drug Administration </w:t>
      </w:r>
      <w:r>
        <w:rPr>
          <w:rFonts w:ascii="Times New Roman" w:eastAsia="Times New Roman" w:hAnsi="Times New Roman" w:cs="Times New Roman"/>
          <w:b/>
          <w:bCs/>
          <w:sz w:val="28"/>
          <w:szCs w:val="28"/>
          <w:highlight w:val="yellow"/>
        </w:rPr>
        <w:t>o</w:t>
      </w:r>
      <w:r w:rsidRPr="00066047">
        <w:rPr>
          <w:rFonts w:ascii="Times New Roman" w:eastAsia="Times New Roman" w:hAnsi="Times New Roman" w:cs="Times New Roman"/>
          <w:b/>
          <w:bCs/>
          <w:sz w:val="28"/>
          <w:szCs w:val="28"/>
          <w:highlight w:val="yellow"/>
        </w:rPr>
        <w:t>n Soil Transmitted Helminths Among School</w:t>
      </w:r>
      <w:r w:rsidR="006E4DC5">
        <w:rPr>
          <w:rFonts w:ascii="Times New Roman" w:eastAsia="Times New Roman" w:hAnsi="Times New Roman" w:cs="Times New Roman"/>
          <w:b/>
          <w:bCs/>
          <w:sz w:val="28"/>
          <w:szCs w:val="28"/>
          <w:highlight w:val="yellow"/>
        </w:rPr>
        <w:t xml:space="preserve"> </w:t>
      </w:r>
      <w:r w:rsidRPr="00066047">
        <w:rPr>
          <w:rFonts w:ascii="Times New Roman" w:eastAsia="Times New Roman" w:hAnsi="Times New Roman" w:cs="Times New Roman"/>
          <w:b/>
          <w:bCs/>
          <w:sz w:val="28"/>
          <w:szCs w:val="28"/>
          <w:highlight w:val="yellow"/>
        </w:rPr>
        <w:t>Age Children</w:t>
      </w:r>
      <w:r w:rsidRPr="00A142C1">
        <w:rPr>
          <w:rFonts w:ascii="Times New Roman" w:eastAsia="Times New Roman" w:hAnsi="Times New Roman" w:cs="Times New Roman"/>
          <w:b/>
          <w:bCs/>
          <w:sz w:val="28"/>
          <w:szCs w:val="28"/>
        </w:rPr>
        <w:t xml:space="preserve"> </w:t>
      </w:r>
    </w:p>
    <w:p w14:paraId="54E9A1A2" w14:textId="77777777" w:rsidR="009E493E" w:rsidRDefault="00253705">
      <w:pPr>
        <w:spacing w:line="480" w:lineRule="auto"/>
        <w:rPr>
          <w:sz w:val="28"/>
          <w:szCs w:val="28"/>
        </w:rPr>
      </w:pPr>
      <w:r>
        <w:rPr>
          <w:sz w:val="28"/>
          <w:szCs w:val="28"/>
        </w:rPr>
        <w:t>ABSTRACT</w:t>
      </w:r>
    </w:p>
    <w:p w14:paraId="009A36E7" w14:textId="77777777" w:rsidR="003D63A5" w:rsidRDefault="00253705">
      <w:pPr>
        <w:spacing w:line="480" w:lineRule="auto"/>
        <w:rPr>
          <w:sz w:val="28"/>
          <w:szCs w:val="28"/>
        </w:rPr>
      </w:pPr>
      <w:r>
        <w:rPr>
          <w:sz w:val="28"/>
          <w:szCs w:val="28"/>
        </w:rPr>
        <w:t xml:space="preserve">Background: </w:t>
      </w:r>
      <w:r w:rsidR="00413948" w:rsidRPr="00066047">
        <w:rPr>
          <w:sz w:val="28"/>
          <w:szCs w:val="28"/>
          <w:highlight w:val="yellow"/>
        </w:rPr>
        <w:t xml:space="preserve">Soil-transmitted helminths (STHs) are parasitic intestinal worms that are transmitted to humans through contaminated soil via the </w:t>
      </w:r>
      <w:proofErr w:type="spellStart"/>
      <w:r w:rsidR="00413948" w:rsidRPr="00066047">
        <w:rPr>
          <w:sz w:val="28"/>
          <w:szCs w:val="28"/>
          <w:highlight w:val="yellow"/>
        </w:rPr>
        <w:t>faecal</w:t>
      </w:r>
      <w:proofErr w:type="spellEnd"/>
      <w:r w:rsidR="00413948" w:rsidRPr="00066047">
        <w:rPr>
          <w:sz w:val="28"/>
          <w:szCs w:val="28"/>
          <w:highlight w:val="yellow"/>
        </w:rPr>
        <w:t>-oral route or skin penetration infection (WHO, 2022). The three major species infecting humans belong to the phylum Nematoda, commonly referred to as roundworms.</w:t>
      </w:r>
      <w:r w:rsidR="00413948" w:rsidRPr="00413948">
        <w:rPr>
          <w:sz w:val="28"/>
          <w:szCs w:val="28"/>
        </w:rPr>
        <w:t xml:space="preserve"> </w:t>
      </w:r>
      <w:r>
        <w:rPr>
          <w:sz w:val="28"/>
          <w:szCs w:val="28"/>
        </w:rPr>
        <w:t xml:space="preserve">Soil-transmitted helminths (STHs) pose a significant public health challenge, particularly in low-resource settings with poor sanitation, such as the </w:t>
      </w:r>
      <w:proofErr w:type="spellStart"/>
      <w:r>
        <w:rPr>
          <w:sz w:val="28"/>
          <w:szCs w:val="28"/>
        </w:rPr>
        <w:t>Ikyogen</w:t>
      </w:r>
      <w:proofErr w:type="spellEnd"/>
      <w:r>
        <w:rPr>
          <w:sz w:val="28"/>
          <w:szCs w:val="28"/>
        </w:rPr>
        <w:t xml:space="preserve"> Internally Displaced Persons (IDP) camp in </w:t>
      </w:r>
      <w:proofErr w:type="spellStart"/>
      <w:r>
        <w:rPr>
          <w:sz w:val="28"/>
          <w:szCs w:val="28"/>
        </w:rPr>
        <w:t>Kwande</w:t>
      </w:r>
      <w:proofErr w:type="spellEnd"/>
      <w:r>
        <w:rPr>
          <w:sz w:val="28"/>
          <w:szCs w:val="28"/>
        </w:rPr>
        <w:t xml:space="preserve"> Local Government Area, Benue State, Nigeria. </w:t>
      </w:r>
    </w:p>
    <w:p w14:paraId="21EA9D3E" w14:textId="3C5401C1" w:rsidR="009E493E" w:rsidRDefault="003D63A5">
      <w:pPr>
        <w:spacing w:line="480" w:lineRule="auto"/>
        <w:rPr>
          <w:sz w:val="28"/>
          <w:szCs w:val="28"/>
        </w:rPr>
      </w:pPr>
      <w:r w:rsidRPr="00066047">
        <w:rPr>
          <w:sz w:val="28"/>
          <w:szCs w:val="28"/>
          <w:highlight w:val="yellow"/>
        </w:rPr>
        <w:t>Aim:</w:t>
      </w:r>
      <w:r>
        <w:rPr>
          <w:sz w:val="28"/>
          <w:szCs w:val="28"/>
        </w:rPr>
        <w:t xml:space="preserve"> </w:t>
      </w:r>
      <w:r w:rsidR="00253705">
        <w:rPr>
          <w:sz w:val="28"/>
          <w:szCs w:val="28"/>
        </w:rPr>
        <w:t>The study evaluates the efficacy of albendazole mass drug administration (MDA) in reducing the prevalence and intensity of STH infections among school-aged children.</w:t>
      </w:r>
    </w:p>
    <w:p w14:paraId="409F21C0" w14:textId="1CCDB57D" w:rsidR="009E493E" w:rsidRDefault="00253705">
      <w:pPr>
        <w:spacing w:line="480" w:lineRule="auto"/>
        <w:rPr>
          <w:sz w:val="28"/>
          <w:szCs w:val="28"/>
        </w:rPr>
      </w:pPr>
      <w:r>
        <w:rPr>
          <w:sz w:val="28"/>
          <w:szCs w:val="28"/>
        </w:rPr>
        <w:t xml:space="preserve">Methods: A prospective observational study was conducted between April and May 2024 for </w:t>
      </w:r>
      <w:r w:rsidR="006F305C" w:rsidRPr="00066047">
        <w:rPr>
          <w:sz w:val="28"/>
          <w:szCs w:val="28"/>
          <w:highlight w:val="yellow"/>
        </w:rPr>
        <w:t>school-age</w:t>
      </w:r>
      <w:r w:rsidRPr="00066047">
        <w:rPr>
          <w:sz w:val="28"/>
          <w:szCs w:val="28"/>
          <w:highlight w:val="yellow"/>
        </w:rPr>
        <w:t xml:space="preserve"> </w:t>
      </w:r>
      <w:r>
        <w:rPr>
          <w:sz w:val="28"/>
          <w:szCs w:val="28"/>
        </w:rPr>
        <w:t xml:space="preserve">children at IDP camp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Benue state. </w:t>
      </w:r>
      <w:r w:rsidR="0014323D" w:rsidRPr="00066047">
        <w:rPr>
          <w:sz w:val="28"/>
          <w:szCs w:val="28"/>
          <w:highlight w:val="yellow"/>
        </w:rPr>
        <w:t>A simple random sampling method was used to select the pupils to participate in the study.</w:t>
      </w:r>
      <w:r w:rsidR="0014323D">
        <w:rPr>
          <w:sz w:val="28"/>
          <w:szCs w:val="28"/>
        </w:rPr>
        <w:t xml:space="preserve"> </w:t>
      </w:r>
      <w:r w:rsidR="0014323D" w:rsidRPr="00066047">
        <w:rPr>
          <w:sz w:val="28"/>
          <w:szCs w:val="28"/>
          <w:highlight w:val="yellow"/>
        </w:rPr>
        <w:t>The minimum sample size of the population to which the questionnaire was administered</w:t>
      </w:r>
      <w:r w:rsidR="0014323D">
        <w:rPr>
          <w:sz w:val="28"/>
          <w:szCs w:val="28"/>
        </w:rPr>
        <w:t>.</w:t>
      </w:r>
      <w:r w:rsidR="0014323D" w:rsidRPr="0014323D">
        <w:rPr>
          <w:sz w:val="28"/>
          <w:szCs w:val="28"/>
        </w:rPr>
        <w:t xml:space="preserve"> </w:t>
      </w:r>
      <w:r>
        <w:rPr>
          <w:sz w:val="28"/>
          <w:szCs w:val="28"/>
        </w:rPr>
        <w:t xml:space="preserve">A total of 112 children diagnosed with STH were enrolled. Stool samples were collected and examined by </w:t>
      </w:r>
      <w:r w:rsidR="006F305C" w:rsidRPr="00066047">
        <w:rPr>
          <w:sz w:val="28"/>
          <w:szCs w:val="28"/>
          <w:highlight w:val="yellow"/>
        </w:rPr>
        <w:t xml:space="preserve">the </w:t>
      </w:r>
      <w:r>
        <w:rPr>
          <w:sz w:val="28"/>
          <w:szCs w:val="28"/>
        </w:rPr>
        <w:t xml:space="preserve">Kato-Katz thick smear quantitative method for the presence of STH and repeated after 21 days of Albendazole administration. Data were </w:t>
      </w:r>
      <w:proofErr w:type="spellStart"/>
      <w:r w:rsidR="006F305C" w:rsidRPr="00066047">
        <w:rPr>
          <w:sz w:val="28"/>
          <w:szCs w:val="28"/>
          <w:highlight w:val="yellow"/>
        </w:rPr>
        <w:t>analysed</w:t>
      </w:r>
      <w:proofErr w:type="spellEnd"/>
      <w:r w:rsidR="006F305C" w:rsidRPr="00066047">
        <w:rPr>
          <w:sz w:val="28"/>
          <w:szCs w:val="28"/>
          <w:highlight w:val="yellow"/>
        </w:rPr>
        <w:t xml:space="preserve"> </w:t>
      </w:r>
      <w:r>
        <w:rPr>
          <w:sz w:val="28"/>
          <w:szCs w:val="28"/>
        </w:rPr>
        <w:t>using SPSS version 24.</w:t>
      </w:r>
    </w:p>
    <w:p w14:paraId="33DE8E81" w14:textId="77777777" w:rsidR="009E493E" w:rsidRDefault="00253705">
      <w:pPr>
        <w:spacing w:line="480" w:lineRule="auto"/>
        <w:rPr>
          <w:sz w:val="28"/>
          <w:szCs w:val="28"/>
        </w:rPr>
      </w:pPr>
      <w:r>
        <w:rPr>
          <w:sz w:val="28"/>
          <w:szCs w:val="28"/>
        </w:rPr>
        <w:lastRenderedPageBreak/>
        <w:t xml:space="preserve">Results: At baseline, 39% of the children tested positive for STH infections, with </w:t>
      </w:r>
      <w:r>
        <w:rPr>
          <w:i/>
          <w:sz w:val="28"/>
          <w:szCs w:val="28"/>
        </w:rPr>
        <w:t>Ascaris lumbricoides</w:t>
      </w:r>
      <w:r>
        <w:rPr>
          <w:sz w:val="28"/>
          <w:szCs w:val="28"/>
        </w:rPr>
        <w:t xml:space="preserve"> (61.6%) being the most prevalent, followed by hookworms (34.8%) and </w:t>
      </w:r>
      <w:r>
        <w:rPr>
          <w:i/>
          <w:sz w:val="28"/>
          <w:szCs w:val="28"/>
        </w:rPr>
        <w:t xml:space="preserve">Trichuris </w:t>
      </w:r>
      <w:proofErr w:type="spellStart"/>
      <w:r>
        <w:rPr>
          <w:i/>
          <w:sz w:val="28"/>
          <w:szCs w:val="28"/>
        </w:rPr>
        <w:t>trichiura</w:t>
      </w:r>
      <w:proofErr w:type="spellEnd"/>
      <w:r>
        <w:rPr>
          <w:sz w:val="28"/>
          <w:szCs w:val="28"/>
        </w:rPr>
        <w:t xml:space="preserve"> (3.6%). Albendazole treatment demonstrated varying efficacy, with a cure rate of 66.7% for </w:t>
      </w:r>
      <w:r>
        <w:rPr>
          <w:i/>
          <w:sz w:val="28"/>
          <w:szCs w:val="28"/>
        </w:rPr>
        <w:t>A. lumbricoides</w:t>
      </w:r>
      <w:r>
        <w:rPr>
          <w:sz w:val="28"/>
          <w:szCs w:val="28"/>
        </w:rPr>
        <w:t xml:space="preserve">, 53.5% for hookworms, and 100% for </w:t>
      </w:r>
      <w:r>
        <w:rPr>
          <w:i/>
          <w:sz w:val="28"/>
          <w:szCs w:val="28"/>
        </w:rPr>
        <w:t xml:space="preserve">T. </w:t>
      </w:r>
      <w:proofErr w:type="spellStart"/>
      <w:r>
        <w:rPr>
          <w:i/>
          <w:sz w:val="28"/>
          <w:szCs w:val="28"/>
        </w:rPr>
        <w:t>trichiura</w:t>
      </w:r>
      <w:proofErr w:type="spellEnd"/>
      <w:r>
        <w:rPr>
          <w:sz w:val="28"/>
          <w:szCs w:val="28"/>
        </w:rPr>
        <w:t>. Egg reduction rates (ERRs) varied significantly across parasite types, reflecting potential challenges in achieving sustained reductions in infection intensity.</w:t>
      </w:r>
    </w:p>
    <w:p w14:paraId="7C0DB6D6" w14:textId="1AB839EE" w:rsidR="009E493E" w:rsidRDefault="00253705">
      <w:pPr>
        <w:spacing w:line="480" w:lineRule="auto"/>
        <w:rPr>
          <w:sz w:val="28"/>
          <w:szCs w:val="28"/>
        </w:rPr>
      </w:pPr>
      <w:r>
        <w:rPr>
          <w:sz w:val="28"/>
          <w:szCs w:val="28"/>
        </w:rPr>
        <w:t xml:space="preserve">Conclusions: </w:t>
      </w:r>
      <w:r w:rsidR="00A142C1" w:rsidRPr="00066047">
        <w:rPr>
          <w:sz w:val="28"/>
          <w:szCs w:val="28"/>
          <w:highlight w:val="yellow"/>
        </w:rPr>
        <w:t xml:space="preserve">The administration of albendazole treatment, the intensity of infections decreased drastically, with Ascaris lumbricoides reducing to 106,032 EPG, hookworm to 4,485 EPG, and Trichuris </w:t>
      </w:r>
      <w:proofErr w:type="spellStart"/>
      <w:r w:rsidR="00A142C1" w:rsidRPr="00066047">
        <w:rPr>
          <w:sz w:val="28"/>
          <w:szCs w:val="28"/>
          <w:highlight w:val="yellow"/>
        </w:rPr>
        <w:t>trichiura</w:t>
      </w:r>
      <w:proofErr w:type="spellEnd"/>
      <w:r w:rsidR="00A142C1" w:rsidRPr="00066047">
        <w:rPr>
          <w:sz w:val="28"/>
          <w:szCs w:val="28"/>
          <w:highlight w:val="yellow"/>
        </w:rPr>
        <w:t xml:space="preserve"> being completely eradicated. This considerable reduction in intensity highlights the short-term impact of albendazole in reducing the morbidity associated with heavy STH infections</w:t>
      </w:r>
      <w:r w:rsidR="00A142C1" w:rsidRPr="00A142C1">
        <w:rPr>
          <w:sz w:val="28"/>
          <w:szCs w:val="28"/>
        </w:rPr>
        <w:t xml:space="preserve">. </w:t>
      </w:r>
      <w:r w:rsidR="0014323D" w:rsidRPr="00066047">
        <w:rPr>
          <w:sz w:val="28"/>
          <w:szCs w:val="28"/>
          <w:highlight w:val="yellow"/>
        </w:rPr>
        <w:t xml:space="preserve">This study offers valuable insights into the epidemiology of soil-transmitted helminth (STH) infections and the short-term impact of albendazole treatment in </w:t>
      </w:r>
      <w:proofErr w:type="spellStart"/>
      <w:r w:rsidR="0014323D" w:rsidRPr="00066047">
        <w:rPr>
          <w:sz w:val="28"/>
          <w:szCs w:val="28"/>
          <w:highlight w:val="yellow"/>
        </w:rPr>
        <w:t>Ikyogen</w:t>
      </w:r>
      <w:proofErr w:type="spellEnd"/>
      <w:r w:rsidR="0014323D" w:rsidRPr="00066047">
        <w:rPr>
          <w:sz w:val="28"/>
          <w:szCs w:val="28"/>
          <w:highlight w:val="yellow"/>
        </w:rPr>
        <w:t xml:space="preserve">, </w:t>
      </w:r>
      <w:proofErr w:type="spellStart"/>
      <w:r w:rsidR="0014323D" w:rsidRPr="00066047">
        <w:rPr>
          <w:sz w:val="28"/>
          <w:szCs w:val="28"/>
          <w:highlight w:val="yellow"/>
        </w:rPr>
        <w:t>Kwande</w:t>
      </w:r>
      <w:proofErr w:type="spellEnd"/>
      <w:r w:rsidR="0014323D" w:rsidRPr="00066047">
        <w:rPr>
          <w:sz w:val="28"/>
          <w:szCs w:val="28"/>
          <w:highlight w:val="yellow"/>
        </w:rPr>
        <w:t xml:space="preserve"> LGA. The research underscores the significant efficacy of albendazole in reducing both the prevalence and intensity of STH infections among school-age children, particularly for Ascaris lumbricoides and hookworm species.</w:t>
      </w:r>
      <w:r w:rsidR="0014323D">
        <w:rPr>
          <w:sz w:val="28"/>
          <w:szCs w:val="28"/>
        </w:rPr>
        <w:t xml:space="preserve"> </w:t>
      </w:r>
      <w:r>
        <w:rPr>
          <w:sz w:val="28"/>
          <w:szCs w:val="28"/>
        </w:rPr>
        <w:t xml:space="preserve">Despite </w:t>
      </w:r>
      <w:r w:rsidR="006F305C" w:rsidRPr="00066047">
        <w:rPr>
          <w:sz w:val="28"/>
          <w:szCs w:val="28"/>
          <w:highlight w:val="yellow"/>
        </w:rPr>
        <w:t xml:space="preserve">albendazole's </w:t>
      </w:r>
      <w:r>
        <w:rPr>
          <w:sz w:val="28"/>
          <w:szCs w:val="28"/>
        </w:rPr>
        <w:t xml:space="preserve">broad-spectrum anti-helminthic activity, concerns about drug resistance and re-infection persisted. The current treatment strategy should be reviewed to accommodate preschoolers and adults in prevention and control implementation programs. </w:t>
      </w:r>
    </w:p>
    <w:p w14:paraId="352C36FD" w14:textId="173A7E35" w:rsidR="009E493E" w:rsidRDefault="00253705">
      <w:pPr>
        <w:spacing w:line="480" w:lineRule="auto"/>
        <w:rPr>
          <w:sz w:val="28"/>
          <w:szCs w:val="28"/>
        </w:rPr>
      </w:pPr>
      <w:r>
        <w:rPr>
          <w:b/>
          <w:bCs/>
          <w:sz w:val="28"/>
          <w:szCs w:val="28"/>
        </w:rPr>
        <w:t>Keywords</w:t>
      </w:r>
      <w:r w:rsidR="006F305C" w:rsidRPr="00066047">
        <w:rPr>
          <w:b/>
          <w:bCs/>
          <w:sz w:val="28"/>
          <w:szCs w:val="28"/>
          <w:highlight w:val="yellow"/>
        </w:rPr>
        <w:t xml:space="preserve">: </w:t>
      </w:r>
      <w:r>
        <w:rPr>
          <w:sz w:val="28"/>
          <w:szCs w:val="28"/>
        </w:rPr>
        <w:t xml:space="preserve">efficacy, albendazole, </w:t>
      </w:r>
      <w:r w:rsidR="006F305C" w:rsidRPr="00066047">
        <w:rPr>
          <w:sz w:val="28"/>
          <w:szCs w:val="28"/>
          <w:highlight w:val="yellow"/>
        </w:rPr>
        <w:t>soil-transmitted</w:t>
      </w:r>
      <w:r w:rsidRPr="00066047">
        <w:rPr>
          <w:sz w:val="28"/>
          <w:szCs w:val="28"/>
          <w:highlight w:val="yellow"/>
        </w:rPr>
        <w:t xml:space="preserve"> </w:t>
      </w:r>
      <w:r>
        <w:rPr>
          <w:sz w:val="28"/>
          <w:szCs w:val="28"/>
        </w:rPr>
        <w:t>helminths, mass drug administration.</w:t>
      </w:r>
    </w:p>
    <w:p w14:paraId="7C465C80" w14:textId="77777777" w:rsidR="009E493E" w:rsidRDefault="00253705">
      <w:pPr>
        <w:spacing w:line="480" w:lineRule="auto"/>
        <w:rPr>
          <w:sz w:val="28"/>
          <w:szCs w:val="28"/>
        </w:rPr>
      </w:pPr>
      <w:r>
        <w:rPr>
          <w:b/>
          <w:bCs/>
          <w:sz w:val="28"/>
          <w:szCs w:val="28"/>
        </w:rPr>
        <w:t>INTRODUCTION</w:t>
      </w:r>
    </w:p>
    <w:p w14:paraId="32579D7A" w14:textId="07D692F8" w:rsidR="009E493E" w:rsidRDefault="00413948">
      <w:pPr>
        <w:spacing w:line="480" w:lineRule="auto"/>
        <w:rPr>
          <w:sz w:val="28"/>
          <w:szCs w:val="28"/>
        </w:rPr>
      </w:pPr>
      <w:r w:rsidRPr="00066047">
        <w:rPr>
          <w:sz w:val="28"/>
          <w:szCs w:val="28"/>
          <w:highlight w:val="yellow"/>
        </w:rPr>
        <w:lastRenderedPageBreak/>
        <w:t>The major soil-transmitted helminths that infect humans are the roundworms, whipworms and hookworms. Soil-transmitted helminth infections rank among the most important neglected tropical diseases in terms of morbidity, and almost one billion people are still infected with at least one species (Loukas et al., 2021).</w:t>
      </w:r>
      <w:r>
        <w:rPr>
          <w:sz w:val="28"/>
          <w:szCs w:val="28"/>
        </w:rPr>
        <w:t xml:space="preserve"> </w:t>
      </w:r>
      <w:r w:rsidR="00253705">
        <w:rPr>
          <w:sz w:val="28"/>
          <w:szCs w:val="28"/>
        </w:rPr>
        <w:t xml:space="preserve">Soil-transmitted helminths (STHs) are parasitic intestinal worms that are transmitted to humans through contaminated soil via </w:t>
      </w:r>
      <w:r w:rsidR="006F305C" w:rsidRPr="00066047">
        <w:rPr>
          <w:sz w:val="28"/>
          <w:szCs w:val="28"/>
          <w:highlight w:val="yellow"/>
        </w:rPr>
        <w:t>the</w:t>
      </w:r>
      <w:r w:rsidR="006F305C">
        <w:rPr>
          <w:sz w:val="28"/>
          <w:szCs w:val="28"/>
        </w:rPr>
        <w:t xml:space="preserve"> </w:t>
      </w:r>
      <w:proofErr w:type="spellStart"/>
      <w:r w:rsidR="00253705">
        <w:rPr>
          <w:sz w:val="28"/>
          <w:szCs w:val="28"/>
        </w:rPr>
        <w:t>faecal</w:t>
      </w:r>
      <w:proofErr w:type="spellEnd"/>
      <w:r w:rsidR="00253705">
        <w:rPr>
          <w:sz w:val="28"/>
          <w:szCs w:val="28"/>
        </w:rPr>
        <w:t>-oral route or skin penetration infection (WHO, 2022). The three major species infecting humans belong to the phylum Nematoda, commonly referred to as roundworms. They include the</w:t>
      </w:r>
      <w:r w:rsidR="00253705">
        <w:rPr>
          <w:i/>
          <w:iCs/>
          <w:sz w:val="28"/>
          <w:szCs w:val="28"/>
        </w:rPr>
        <w:t xml:space="preserve"> Ascaris lumbricoides</w:t>
      </w:r>
      <w:r w:rsidR="00253705">
        <w:rPr>
          <w:sz w:val="28"/>
          <w:szCs w:val="28"/>
        </w:rPr>
        <w:t xml:space="preserve"> (roundworm),</w:t>
      </w:r>
      <w:r w:rsidR="00253705">
        <w:rPr>
          <w:i/>
          <w:iCs/>
          <w:sz w:val="28"/>
          <w:szCs w:val="28"/>
        </w:rPr>
        <w:t xml:space="preserve"> Trichuris </w:t>
      </w:r>
      <w:proofErr w:type="spellStart"/>
      <w:r w:rsidR="00253705">
        <w:rPr>
          <w:i/>
          <w:iCs/>
          <w:sz w:val="28"/>
          <w:szCs w:val="28"/>
        </w:rPr>
        <w:t>trichiura</w:t>
      </w:r>
      <w:proofErr w:type="spellEnd"/>
      <w:r w:rsidR="00253705">
        <w:rPr>
          <w:i/>
          <w:iCs/>
          <w:sz w:val="28"/>
          <w:szCs w:val="28"/>
        </w:rPr>
        <w:t xml:space="preserve"> </w:t>
      </w:r>
      <w:r w:rsidR="00253705">
        <w:rPr>
          <w:sz w:val="28"/>
          <w:szCs w:val="28"/>
        </w:rPr>
        <w:t>(whipworm), and</w:t>
      </w:r>
      <w:r w:rsidR="00253705">
        <w:rPr>
          <w:i/>
          <w:iCs/>
          <w:sz w:val="28"/>
          <w:szCs w:val="28"/>
        </w:rPr>
        <w:t xml:space="preserve"> </w:t>
      </w:r>
      <w:proofErr w:type="spellStart"/>
      <w:r w:rsidR="00253705">
        <w:rPr>
          <w:i/>
          <w:iCs/>
          <w:sz w:val="28"/>
          <w:szCs w:val="28"/>
        </w:rPr>
        <w:t>Necator</w:t>
      </w:r>
      <w:proofErr w:type="spellEnd"/>
      <w:r w:rsidR="00253705">
        <w:rPr>
          <w:i/>
          <w:iCs/>
          <w:sz w:val="28"/>
          <w:szCs w:val="28"/>
        </w:rPr>
        <w:t xml:space="preserve"> </w:t>
      </w:r>
      <w:proofErr w:type="spellStart"/>
      <w:r w:rsidR="00253705">
        <w:rPr>
          <w:i/>
          <w:iCs/>
          <w:sz w:val="28"/>
          <w:szCs w:val="28"/>
        </w:rPr>
        <w:t>americanus</w:t>
      </w:r>
      <w:proofErr w:type="spellEnd"/>
      <w:r w:rsidR="00253705">
        <w:rPr>
          <w:i/>
          <w:iCs/>
          <w:sz w:val="28"/>
          <w:szCs w:val="28"/>
        </w:rPr>
        <w:t xml:space="preserve"> </w:t>
      </w:r>
      <w:r w:rsidR="00253705">
        <w:rPr>
          <w:sz w:val="28"/>
          <w:szCs w:val="28"/>
        </w:rPr>
        <w:t xml:space="preserve">and </w:t>
      </w:r>
      <w:proofErr w:type="spellStart"/>
      <w:r w:rsidR="00253705">
        <w:rPr>
          <w:i/>
          <w:iCs/>
          <w:sz w:val="28"/>
          <w:szCs w:val="28"/>
        </w:rPr>
        <w:t>Ancylostoma</w:t>
      </w:r>
      <w:proofErr w:type="spellEnd"/>
      <w:r w:rsidR="00253705">
        <w:rPr>
          <w:i/>
          <w:iCs/>
          <w:sz w:val="28"/>
          <w:szCs w:val="28"/>
        </w:rPr>
        <w:t xml:space="preserve"> duodenale</w:t>
      </w:r>
      <w:r w:rsidR="00253705">
        <w:rPr>
          <w:sz w:val="28"/>
          <w:szCs w:val="28"/>
        </w:rPr>
        <w:t xml:space="preserve"> (two species of hookworm). They are considered neglected tropical diseases and are among the most widespread infections worldwide</w:t>
      </w:r>
      <w:r w:rsidR="006F305C">
        <w:rPr>
          <w:sz w:val="28"/>
          <w:szCs w:val="28"/>
        </w:rPr>
        <w:t>,</w:t>
      </w:r>
      <w:r w:rsidR="00253705">
        <w:rPr>
          <w:sz w:val="28"/>
          <w:szCs w:val="28"/>
        </w:rPr>
        <w:t xml:space="preserve"> affecting the poorest and most deprived communities of the tropical and subtropical regions (USAID, 2023). Infection occurs by ingestion of infective eggs from soil contaminated with human </w:t>
      </w:r>
      <w:proofErr w:type="spellStart"/>
      <w:r w:rsidR="006F305C" w:rsidRPr="00066047">
        <w:rPr>
          <w:sz w:val="28"/>
          <w:szCs w:val="28"/>
          <w:highlight w:val="yellow"/>
        </w:rPr>
        <w:t>faeces</w:t>
      </w:r>
      <w:proofErr w:type="spellEnd"/>
      <w:r w:rsidR="006F305C">
        <w:rPr>
          <w:sz w:val="28"/>
          <w:szCs w:val="28"/>
        </w:rPr>
        <w:t xml:space="preserve"> </w:t>
      </w:r>
      <w:r w:rsidR="00253705">
        <w:rPr>
          <w:sz w:val="28"/>
          <w:szCs w:val="28"/>
        </w:rPr>
        <w:t>and ingestion of raw agricultural products</w:t>
      </w:r>
      <w:r w:rsidR="006F305C">
        <w:rPr>
          <w:sz w:val="28"/>
          <w:szCs w:val="28"/>
        </w:rPr>
        <w:t>,</w:t>
      </w:r>
      <w:r w:rsidR="00253705">
        <w:rPr>
          <w:sz w:val="28"/>
          <w:szCs w:val="28"/>
        </w:rPr>
        <w:t xml:space="preserve"> as in the case of </w:t>
      </w:r>
      <w:r w:rsidR="00253705">
        <w:rPr>
          <w:i/>
          <w:iCs/>
          <w:sz w:val="28"/>
          <w:szCs w:val="28"/>
        </w:rPr>
        <w:t>Ascaris lumbricoides</w:t>
      </w:r>
      <w:r w:rsidR="00253705">
        <w:rPr>
          <w:sz w:val="28"/>
          <w:szCs w:val="28"/>
        </w:rPr>
        <w:t xml:space="preserve"> and </w:t>
      </w:r>
      <w:r w:rsidR="00253705">
        <w:rPr>
          <w:i/>
          <w:iCs/>
          <w:sz w:val="28"/>
          <w:szCs w:val="28"/>
        </w:rPr>
        <w:t xml:space="preserve">Trichuris </w:t>
      </w:r>
      <w:proofErr w:type="spellStart"/>
      <w:r w:rsidR="00253705">
        <w:rPr>
          <w:i/>
          <w:iCs/>
          <w:sz w:val="28"/>
          <w:szCs w:val="28"/>
        </w:rPr>
        <w:t>trichiura</w:t>
      </w:r>
      <w:proofErr w:type="spellEnd"/>
      <w:r w:rsidR="006F305C">
        <w:rPr>
          <w:i/>
          <w:iCs/>
          <w:sz w:val="28"/>
          <w:szCs w:val="28"/>
        </w:rPr>
        <w:t>,</w:t>
      </w:r>
      <w:r w:rsidR="00253705">
        <w:rPr>
          <w:sz w:val="28"/>
          <w:szCs w:val="28"/>
        </w:rPr>
        <w:t xml:space="preserve"> or by skin penetration of the larva</w:t>
      </w:r>
      <w:r w:rsidR="006F305C">
        <w:rPr>
          <w:sz w:val="28"/>
          <w:szCs w:val="28"/>
        </w:rPr>
        <w:t>,</w:t>
      </w:r>
      <w:r w:rsidR="00253705">
        <w:rPr>
          <w:sz w:val="28"/>
          <w:szCs w:val="28"/>
        </w:rPr>
        <w:t xml:space="preserve"> as seen with hookworms in areas with poor sanitation systems. </w:t>
      </w:r>
      <w:r w:rsidR="003D63A5" w:rsidRPr="00066047">
        <w:rPr>
          <w:sz w:val="28"/>
          <w:szCs w:val="28"/>
          <w:highlight w:val="yellow"/>
        </w:rPr>
        <w:t xml:space="preserve">Soil-transmitted helminths depend on environments contaminated with egg-carrying </w:t>
      </w:r>
      <w:proofErr w:type="spellStart"/>
      <w:r w:rsidR="003D63A5" w:rsidRPr="00066047">
        <w:rPr>
          <w:sz w:val="28"/>
          <w:szCs w:val="28"/>
          <w:highlight w:val="yellow"/>
        </w:rPr>
        <w:t>faeces</w:t>
      </w:r>
      <w:proofErr w:type="spellEnd"/>
      <w:r w:rsidR="003D63A5" w:rsidRPr="00066047">
        <w:rPr>
          <w:sz w:val="28"/>
          <w:szCs w:val="28"/>
          <w:highlight w:val="yellow"/>
        </w:rPr>
        <w:t xml:space="preserve"> for transmission. Consequently, helminths are intimately associated with poverty, poor sanitation and lack of clean water. The two most important environmental factors are climate and soil conditions, as STH larvae predominantly develop in tropical and sub-tropical climates, with warm temperatures, high humidity and moist soils. Unhygienic sanitation, inadequate water supply and the use of untreated night soil </w:t>
      </w:r>
      <w:proofErr w:type="spellStart"/>
      <w:r w:rsidR="003D63A5" w:rsidRPr="00066047">
        <w:rPr>
          <w:sz w:val="28"/>
          <w:szCs w:val="28"/>
          <w:highlight w:val="yellow"/>
        </w:rPr>
        <w:t>fertiliser</w:t>
      </w:r>
      <w:proofErr w:type="spellEnd"/>
      <w:r w:rsidR="003D63A5" w:rsidRPr="00066047">
        <w:rPr>
          <w:sz w:val="28"/>
          <w:szCs w:val="28"/>
          <w:highlight w:val="yellow"/>
        </w:rPr>
        <w:t xml:space="preserve"> are man-made environmental factors </w:t>
      </w:r>
      <w:proofErr w:type="spellStart"/>
      <w:r w:rsidR="003D63A5" w:rsidRPr="00066047">
        <w:rPr>
          <w:sz w:val="28"/>
          <w:szCs w:val="28"/>
          <w:highlight w:val="yellow"/>
        </w:rPr>
        <w:t>favouring</w:t>
      </w:r>
      <w:proofErr w:type="spellEnd"/>
      <w:r w:rsidR="003D63A5" w:rsidRPr="00066047">
        <w:rPr>
          <w:sz w:val="28"/>
          <w:szCs w:val="28"/>
          <w:highlight w:val="yellow"/>
        </w:rPr>
        <w:t xml:space="preserve"> STH’s transmission (Ndamukong-</w:t>
      </w:r>
      <w:proofErr w:type="spellStart"/>
      <w:r w:rsidR="003D63A5" w:rsidRPr="00066047">
        <w:rPr>
          <w:sz w:val="28"/>
          <w:szCs w:val="28"/>
          <w:highlight w:val="yellow"/>
        </w:rPr>
        <w:t>Nyanga</w:t>
      </w:r>
      <w:proofErr w:type="spellEnd"/>
      <w:r w:rsidR="003D63A5" w:rsidRPr="00066047">
        <w:rPr>
          <w:sz w:val="28"/>
          <w:szCs w:val="28"/>
          <w:highlight w:val="yellow"/>
        </w:rPr>
        <w:t xml:space="preserve"> et al., 2023</w:t>
      </w:r>
      <w:r w:rsidR="003D63A5">
        <w:rPr>
          <w:sz w:val="28"/>
          <w:szCs w:val="28"/>
          <w:highlight w:val="yellow"/>
        </w:rPr>
        <w:t xml:space="preserve">; </w:t>
      </w:r>
      <w:r w:rsidR="003D63A5" w:rsidRPr="00066047">
        <w:rPr>
          <w:sz w:val="28"/>
          <w:szCs w:val="28"/>
          <w:highlight w:val="yellow"/>
        </w:rPr>
        <w:t>Joël et al., 2020).</w:t>
      </w:r>
      <w:r w:rsidR="003D63A5">
        <w:rPr>
          <w:sz w:val="28"/>
          <w:szCs w:val="28"/>
        </w:rPr>
        <w:t xml:space="preserve"> </w:t>
      </w:r>
      <w:r w:rsidR="00253705">
        <w:rPr>
          <w:sz w:val="28"/>
          <w:szCs w:val="28"/>
        </w:rPr>
        <w:t xml:space="preserve">Infection is </w:t>
      </w:r>
      <w:r w:rsidR="00253705">
        <w:rPr>
          <w:sz w:val="28"/>
          <w:szCs w:val="28"/>
        </w:rPr>
        <w:lastRenderedPageBreak/>
        <w:t xml:space="preserve">most common among school-aged children (5-14 years) </w:t>
      </w:r>
      <w:r w:rsidR="006F305C" w:rsidRPr="00066047">
        <w:rPr>
          <w:sz w:val="28"/>
          <w:szCs w:val="28"/>
          <w:highlight w:val="yellow"/>
        </w:rPr>
        <w:t>mainly</w:t>
      </w:r>
      <w:r w:rsidR="006F305C">
        <w:rPr>
          <w:sz w:val="28"/>
          <w:szCs w:val="28"/>
        </w:rPr>
        <w:t xml:space="preserve"> </w:t>
      </w:r>
      <w:r w:rsidR="00253705">
        <w:rPr>
          <w:sz w:val="28"/>
          <w:szCs w:val="28"/>
        </w:rPr>
        <w:t>due to lack of basic sanitation and access to clean water</w:t>
      </w:r>
      <w:r w:rsidR="006F305C">
        <w:rPr>
          <w:sz w:val="28"/>
          <w:szCs w:val="28"/>
        </w:rPr>
        <w:t>,</w:t>
      </w:r>
      <w:r w:rsidR="00253705">
        <w:rPr>
          <w:sz w:val="28"/>
          <w:szCs w:val="28"/>
        </w:rPr>
        <w:t xml:space="preserve"> leading to the persistence of these infections. About 1.5 billion people are infected throughout the globe with at least one species of STHs, with 800 million children at risk of infection</w:t>
      </w:r>
      <w:r w:rsidR="006F305C">
        <w:rPr>
          <w:sz w:val="28"/>
          <w:szCs w:val="28"/>
        </w:rPr>
        <w:t>,</w:t>
      </w:r>
      <w:r w:rsidR="00253705">
        <w:rPr>
          <w:sz w:val="28"/>
          <w:szCs w:val="28"/>
        </w:rPr>
        <w:t xml:space="preserve"> with a mortality range of 12,000 to 135,000 (</w:t>
      </w:r>
      <w:proofErr w:type="spellStart"/>
      <w:r w:rsidR="00253705">
        <w:rPr>
          <w:sz w:val="28"/>
          <w:szCs w:val="28"/>
        </w:rPr>
        <w:t>Oyeyemi</w:t>
      </w:r>
      <w:proofErr w:type="spellEnd"/>
      <w:r w:rsidR="00253705">
        <w:rPr>
          <w:sz w:val="28"/>
          <w:szCs w:val="28"/>
        </w:rPr>
        <w:t xml:space="preserve"> and </w:t>
      </w:r>
      <w:proofErr w:type="spellStart"/>
      <w:r w:rsidR="00253705">
        <w:rPr>
          <w:sz w:val="28"/>
          <w:szCs w:val="28"/>
        </w:rPr>
        <w:t>Okunlola</w:t>
      </w:r>
      <w:proofErr w:type="spellEnd"/>
      <w:r w:rsidR="00253705">
        <w:rPr>
          <w:sz w:val="28"/>
          <w:szCs w:val="28"/>
        </w:rPr>
        <w:t>, 2023).</w:t>
      </w:r>
      <w:r w:rsidR="006F305C">
        <w:rPr>
          <w:sz w:val="28"/>
          <w:szCs w:val="28"/>
        </w:rPr>
        <w:t xml:space="preserve"> </w:t>
      </w:r>
      <w:r w:rsidR="00253705">
        <w:rPr>
          <w:sz w:val="28"/>
          <w:szCs w:val="28"/>
        </w:rPr>
        <w:t xml:space="preserve">The burden of STH infections includes </w:t>
      </w:r>
      <w:proofErr w:type="spellStart"/>
      <w:r w:rsidR="00253705">
        <w:rPr>
          <w:sz w:val="28"/>
          <w:szCs w:val="28"/>
        </w:rPr>
        <w:t>anaemia</w:t>
      </w:r>
      <w:proofErr w:type="spellEnd"/>
      <w:r w:rsidR="00253705">
        <w:rPr>
          <w:sz w:val="28"/>
          <w:szCs w:val="28"/>
        </w:rPr>
        <w:t>, dietary deficiencies physical and mental retardation in growing children, and reduced work performance in adulthood. STHs are disproportionately prevalent in many countries of sub-Saharan Africa, especially Nigeria and others</w:t>
      </w:r>
      <w:r w:rsidR="006F305C">
        <w:rPr>
          <w:sz w:val="28"/>
          <w:szCs w:val="28"/>
        </w:rPr>
        <w:t>,</w:t>
      </w:r>
      <w:r w:rsidR="00253705">
        <w:rPr>
          <w:sz w:val="28"/>
          <w:szCs w:val="28"/>
        </w:rPr>
        <w:t xml:space="preserve"> where moderate to </w:t>
      </w:r>
      <w:r w:rsidR="006F305C" w:rsidRPr="00066047">
        <w:rPr>
          <w:sz w:val="28"/>
          <w:szCs w:val="28"/>
          <w:highlight w:val="yellow"/>
        </w:rPr>
        <w:t>heavy-intensity</w:t>
      </w:r>
      <w:r w:rsidR="00253705">
        <w:rPr>
          <w:sz w:val="28"/>
          <w:szCs w:val="28"/>
        </w:rPr>
        <w:t xml:space="preserve"> infections are predominant (Sartorius et al, 2021).</w:t>
      </w:r>
    </w:p>
    <w:p w14:paraId="66411847" w14:textId="77777777" w:rsidR="009E493E" w:rsidRDefault="00253705">
      <w:pPr>
        <w:spacing w:line="480" w:lineRule="auto"/>
        <w:rPr>
          <w:sz w:val="28"/>
          <w:szCs w:val="28"/>
        </w:rPr>
      </w:pPr>
      <w:r>
        <w:rPr>
          <w:sz w:val="28"/>
          <w:szCs w:val="28"/>
        </w:rPr>
        <w:t>The recommendation by the WHO is periodic medicinal treatment (deworming or preventive chemotherapy) without a previous individual diagnosis for all at-risk people living in</w:t>
      </w:r>
    </w:p>
    <w:p w14:paraId="6A4D3627" w14:textId="6D28F08E" w:rsidR="009E493E" w:rsidRDefault="00253705">
      <w:pPr>
        <w:spacing w:line="480" w:lineRule="auto"/>
        <w:rPr>
          <w:sz w:val="28"/>
          <w:szCs w:val="28"/>
        </w:rPr>
      </w:pPr>
      <w:r>
        <w:rPr>
          <w:sz w:val="28"/>
          <w:szCs w:val="28"/>
        </w:rPr>
        <w:t>endemic areas (WHO, 2022). The recommended medicines for the treatment of STHs are benzimidazoles such as albendazole. The</w:t>
      </w:r>
      <w:r>
        <w:rPr>
          <w:spacing w:val="-4"/>
          <w:sz w:val="28"/>
          <w:szCs w:val="28"/>
        </w:rPr>
        <w:t xml:space="preserve"> </w:t>
      </w:r>
      <w:r>
        <w:rPr>
          <w:sz w:val="28"/>
          <w:szCs w:val="28"/>
        </w:rPr>
        <w:t>specific</w:t>
      </w:r>
      <w:r>
        <w:rPr>
          <w:spacing w:val="-1"/>
          <w:sz w:val="28"/>
          <w:szCs w:val="28"/>
        </w:rPr>
        <w:t xml:space="preserve"> </w:t>
      </w:r>
      <w:r>
        <w:rPr>
          <w:sz w:val="28"/>
          <w:szCs w:val="28"/>
        </w:rPr>
        <w:t xml:space="preserve">objectives </w:t>
      </w:r>
      <w:r>
        <w:rPr>
          <w:spacing w:val="-2"/>
          <w:sz w:val="28"/>
          <w:szCs w:val="28"/>
        </w:rPr>
        <w:t>include; t</w:t>
      </w:r>
      <w:r>
        <w:rPr>
          <w:sz w:val="28"/>
          <w:szCs w:val="28"/>
        </w:rPr>
        <w:t xml:space="preserve">o determine the baseline prevalence and intensity of STH infections among primary school-age children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to assess the effectiveness of albendazole mass drug administration in reducing the</w:t>
      </w:r>
      <w:r>
        <w:rPr>
          <w:spacing w:val="40"/>
          <w:sz w:val="28"/>
          <w:szCs w:val="28"/>
        </w:rPr>
        <w:t xml:space="preserve"> </w:t>
      </w:r>
      <w:r>
        <w:rPr>
          <w:sz w:val="28"/>
          <w:szCs w:val="28"/>
        </w:rPr>
        <w:t>prevalence and intensity of STH infection and to</w:t>
      </w:r>
      <w:r>
        <w:rPr>
          <w:spacing w:val="29"/>
          <w:sz w:val="28"/>
          <w:szCs w:val="28"/>
        </w:rPr>
        <w:t xml:space="preserve"> </w:t>
      </w:r>
      <w:r>
        <w:rPr>
          <w:sz w:val="28"/>
          <w:szCs w:val="28"/>
        </w:rPr>
        <w:t>evaluate</w:t>
      </w:r>
      <w:r>
        <w:rPr>
          <w:spacing w:val="31"/>
          <w:sz w:val="28"/>
          <w:szCs w:val="28"/>
        </w:rPr>
        <w:t xml:space="preserve"> </w:t>
      </w:r>
      <w:r>
        <w:rPr>
          <w:sz w:val="28"/>
          <w:szCs w:val="28"/>
        </w:rPr>
        <w:t>the</w:t>
      </w:r>
      <w:r>
        <w:rPr>
          <w:spacing w:val="28"/>
          <w:sz w:val="28"/>
          <w:szCs w:val="28"/>
        </w:rPr>
        <w:t xml:space="preserve"> </w:t>
      </w:r>
      <w:r>
        <w:rPr>
          <w:sz w:val="28"/>
          <w:szCs w:val="28"/>
        </w:rPr>
        <w:t>short-term</w:t>
      </w:r>
      <w:r>
        <w:rPr>
          <w:spacing w:val="32"/>
          <w:sz w:val="28"/>
          <w:szCs w:val="28"/>
        </w:rPr>
        <w:t xml:space="preserve"> </w:t>
      </w:r>
      <w:r>
        <w:rPr>
          <w:sz w:val="28"/>
          <w:szCs w:val="28"/>
        </w:rPr>
        <w:t>impact</w:t>
      </w:r>
      <w:r>
        <w:rPr>
          <w:spacing w:val="30"/>
          <w:sz w:val="28"/>
          <w:szCs w:val="28"/>
        </w:rPr>
        <w:t xml:space="preserve"> </w:t>
      </w:r>
      <w:r>
        <w:rPr>
          <w:sz w:val="28"/>
          <w:szCs w:val="28"/>
        </w:rPr>
        <w:t>of</w:t>
      </w:r>
      <w:r>
        <w:rPr>
          <w:spacing w:val="28"/>
          <w:sz w:val="28"/>
          <w:szCs w:val="28"/>
        </w:rPr>
        <w:t xml:space="preserve"> </w:t>
      </w:r>
      <w:r>
        <w:rPr>
          <w:sz w:val="28"/>
          <w:szCs w:val="28"/>
        </w:rPr>
        <w:t>albendazole</w:t>
      </w:r>
      <w:r>
        <w:rPr>
          <w:spacing w:val="31"/>
          <w:sz w:val="28"/>
          <w:szCs w:val="28"/>
        </w:rPr>
        <w:t xml:space="preserve"> </w:t>
      </w:r>
      <w:r>
        <w:rPr>
          <w:sz w:val="28"/>
          <w:szCs w:val="28"/>
        </w:rPr>
        <w:t>treatment</w:t>
      </w:r>
      <w:r>
        <w:rPr>
          <w:spacing w:val="30"/>
          <w:sz w:val="28"/>
          <w:szCs w:val="28"/>
        </w:rPr>
        <w:t xml:space="preserve"> </w:t>
      </w:r>
      <w:r>
        <w:rPr>
          <w:sz w:val="28"/>
          <w:szCs w:val="28"/>
        </w:rPr>
        <w:t>on</w:t>
      </w:r>
      <w:r>
        <w:rPr>
          <w:spacing w:val="32"/>
          <w:sz w:val="28"/>
          <w:szCs w:val="28"/>
        </w:rPr>
        <w:t xml:space="preserve"> </w:t>
      </w:r>
      <w:r>
        <w:rPr>
          <w:sz w:val="28"/>
          <w:szCs w:val="28"/>
        </w:rPr>
        <w:t>the</w:t>
      </w:r>
      <w:r>
        <w:rPr>
          <w:spacing w:val="28"/>
          <w:sz w:val="28"/>
          <w:szCs w:val="28"/>
        </w:rPr>
        <w:t xml:space="preserve"> </w:t>
      </w:r>
      <w:r>
        <w:rPr>
          <w:sz w:val="28"/>
          <w:szCs w:val="28"/>
        </w:rPr>
        <w:t>re-infection</w:t>
      </w:r>
      <w:r>
        <w:rPr>
          <w:spacing w:val="29"/>
          <w:sz w:val="28"/>
          <w:szCs w:val="28"/>
        </w:rPr>
        <w:t xml:space="preserve"> </w:t>
      </w:r>
      <w:r>
        <w:rPr>
          <w:sz w:val="28"/>
          <w:szCs w:val="28"/>
        </w:rPr>
        <w:t>rate among school-age children.</w:t>
      </w:r>
      <w:r>
        <w:t xml:space="preserve"> </w:t>
      </w:r>
      <w:r w:rsidR="00413948" w:rsidRPr="00066047">
        <w:rPr>
          <w:sz w:val="28"/>
          <w:szCs w:val="28"/>
          <w:highlight w:val="yellow"/>
        </w:rPr>
        <w:t xml:space="preserve">School-aged children who did not have prior knowledge about soil-transmitted helminth infections, the habit of drinking water without boiling, open defecation, use of pit latrine, and children who did not have toilet facilities in school were significantly associated with soil-transmitted </w:t>
      </w:r>
      <w:r w:rsidR="00413948">
        <w:rPr>
          <w:sz w:val="28"/>
          <w:szCs w:val="28"/>
          <w:highlight w:val="yellow"/>
        </w:rPr>
        <w:t xml:space="preserve">helminthiasis </w:t>
      </w:r>
      <w:r w:rsidR="00413948" w:rsidRPr="00066047">
        <w:rPr>
          <w:sz w:val="28"/>
          <w:szCs w:val="28"/>
          <w:highlight w:val="yellow"/>
        </w:rPr>
        <w:t>(</w:t>
      </w:r>
      <w:proofErr w:type="spellStart"/>
      <w:r w:rsidR="00413948" w:rsidRPr="00066047">
        <w:rPr>
          <w:sz w:val="28"/>
          <w:szCs w:val="28"/>
          <w:highlight w:val="yellow"/>
        </w:rPr>
        <w:t>Imalele</w:t>
      </w:r>
      <w:proofErr w:type="spellEnd"/>
      <w:r w:rsidR="00413948" w:rsidRPr="00066047">
        <w:rPr>
          <w:sz w:val="28"/>
          <w:szCs w:val="28"/>
          <w:highlight w:val="yellow"/>
        </w:rPr>
        <w:t xml:space="preserve"> et al., 2023).</w:t>
      </w:r>
      <w:r w:rsidR="00413948" w:rsidRPr="00413948">
        <w:t xml:space="preserve"> </w:t>
      </w:r>
      <w:r w:rsidR="00413948">
        <w:t xml:space="preserve"> </w:t>
      </w:r>
      <w:r>
        <w:rPr>
          <w:sz w:val="28"/>
          <w:szCs w:val="28"/>
        </w:rPr>
        <w:t xml:space="preserve">Albendazole is the most widely used drug in preventive </w:t>
      </w:r>
      <w:r>
        <w:rPr>
          <w:sz w:val="28"/>
          <w:szCs w:val="28"/>
        </w:rPr>
        <w:lastRenderedPageBreak/>
        <w:t>chemotherapy programs (Montresor et al, 2020), as a single-dose regimen due to its cost-effectiveness, ease of administration by non-medical personnel and minor side effects of the drug which acts by inhibiting tubulin polymerization, leading to worm paralysis and death (WHO, 2021).</w:t>
      </w:r>
    </w:p>
    <w:p w14:paraId="2F23789F" w14:textId="639E0EB5" w:rsidR="009E493E" w:rsidRDefault="00253705">
      <w:pPr>
        <w:spacing w:line="480" w:lineRule="auto"/>
        <w:rPr>
          <w:sz w:val="28"/>
          <w:szCs w:val="28"/>
        </w:rPr>
      </w:pPr>
      <w:r>
        <w:rPr>
          <w:sz w:val="28"/>
          <w:szCs w:val="28"/>
        </w:rPr>
        <w:t xml:space="preserve">However, a recent meta-analysis showed a decreasing efficacy of albendazole against </w:t>
      </w:r>
      <w:r w:rsidR="006F305C" w:rsidRPr="00066047">
        <w:rPr>
          <w:sz w:val="28"/>
          <w:szCs w:val="28"/>
          <w:highlight w:val="yellow"/>
        </w:rPr>
        <w:t>soil-transmitted</w:t>
      </w:r>
      <w:r>
        <w:rPr>
          <w:sz w:val="28"/>
          <w:szCs w:val="28"/>
        </w:rPr>
        <w:t xml:space="preserve"> helminths</w:t>
      </w:r>
      <w:r w:rsidR="006F305C">
        <w:rPr>
          <w:sz w:val="28"/>
          <w:szCs w:val="28"/>
        </w:rPr>
        <w:t>,</w:t>
      </w:r>
      <w:r>
        <w:rPr>
          <w:sz w:val="28"/>
          <w:szCs w:val="28"/>
        </w:rPr>
        <w:t xml:space="preserve"> both with pooled cure rates (CR) and egg reduction rates (ERR)</w:t>
      </w:r>
      <w:r w:rsidR="006F305C">
        <w:rPr>
          <w:sz w:val="28"/>
          <w:szCs w:val="28"/>
        </w:rPr>
        <w:t>,</w:t>
      </w:r>
      <w:r>
        <w:rPr>
          <w:sz w:val="28"/>
          <w:szCs w:val="28"/>
        </w:rPr>
        <w:t xml:space="preserve"> most especially against Trichuris </w:t>
      </w:r>
      <w:proofErr w:type="spellStart"/>
      <w:r>
        <w:rPr>
          <w:sz w:val="28"/>
          <w:szCs w:val="28"/>
        </w:rPr>
        <w:t>trichiura</w:t>
      </w:r>
      <w:proofErr w:type="spellEnd"/>
      <w:r>
        <w:rPr>
          <w:sz w:val="28"/>
          <w:szCs w:val="28"/>
        </w:rPr>
        <w:t>, with rates of 30.7% and ERRs of 89.6% (Montresor et al, 2020). Furthermore, there are primary concerns about the potential for albendazole resistance</w:t>
      </w:r>
      <w:r w:rsidR="006F305C">
        <w:rPr>
          <w:sz w:val="28"/>
          <w:szCs w:val="28"/>
        </w:rPr>
        <w:t>,</w:t>
      </w:r>
      <w:r>
        <w:rPr>
          <w:sz w:val="28"/>
          <w:szCs w:val="28"/>
        </w:rPr>
        <w:t xml:space="preserve"> which is already well established in livestock populations</w:t>
      </w:r>
      <w:r w:rsidR="006F305C">
        <w:rPr>
          <w:sz w:val="28"/>
          <w:szCs w:val="28"/>
        </w:rPr>
        <w:t>,</w:t>
      </w:r>
      <w:r>
        <w:rPr>
          <w:sz w:val="28"/>
          <w:szCs w:val="28"/>
        </w:rPr>
        <w:t xml:space="preserve"> to emerge in humans as soil-transmitted helminths control programs continue to be scaled up worldwide (Montresor et al, 2020).</w:t>
      </w:r>
    </w:p>
    <w:p w14:paraId="7ED7284D" w14:textId="77777777" w:rsidR="009E493E" w:rsidRDefault="00253705">
      <w:pPr>
        <w:spacing w:after="0" w:line="240" w:lineRule="auto"/>
        <w:rPr>
          <w:b/>
          <w:bCs/>
          <w:sz w:val="28"/>
          <w:szCs w:val="28"/>
        </w:rPr>
      </w:pPr>
      <w:r>
        <w:rPr>
          <w:b/>
          <w:bCs/>
          <w:sz w:val="28"/>
          <w:szCs w:val="28"/>
        </w:rPr>
        <w:br w:type="page"/>
      </w:r>
    </w:p>
    <w:p w14:paraId="1F320930" w14:textId="77777777" w:rsidR="009E493E" w:rsidRDefault="00253705">
      <w:pPr>
        <w:spacing w:line="480" w:lineRule="auto"/>
        <w:rPr>
          <w:b/>
          <w:bCs/>
          <w:sz w:val="28"/>
          <w:szCs w:val="28"/>
        </w:rPr>
      </w:pPr>
      <w:r>
        <w:rPr>
          <w:b/>
          <w:bCs/>
          <w:sz w:val="28"/>
          <w:szCs w:val="28"/>
        </w:rPr>
        <w:lastRenderedPageBreak/>
        <w:t>METHODS</w:t>
      </w:r>
    </w:p>
    <w:p w14:paraId="5D97299D" w14:textId="77777777" w:rsidR="009E493E" w:rsidRDefault="00253705">
      <w:pPr>
        <w:spacing w:line="480" w:lineRule="auto"/>
        <w:rPr>
          <w:sz w:val="28"/>
          <w:szCs w:val="28"/>
        </w:rPr>
      </w:pPr>
      <w:r>
        <w:rPr>
          <w:b/>
          <w:bCs/>
          <w:sz w:val="28"/>
          <w:szCs w:val="28"/>
        </w:rPr>
        <w:t>Study Design, Settings, and Population</w:t>
      </w:r>
    </w:p>
    <w:p w14:paraId="0B244833" w14:textId="7B680D26" w:rsidR="009E493E" w:rsidRDefault="00253705">
      <w:pPr>
        <w:spacing w:line="480" w:lineRule="auto"/>
        <w:rPr>
          <w:sz w:val="28"/>
          <w:szCs w:val="28"/>
        </w:rPr>
      </w:pPr>
      <w:r>
        <w:rPr>
          <w:sz w:val="28"/>
          <w:szCs w:val="28"/>
        </w:rPr>
        <w:t>This prospective, observational efficacy surveillance of single-dose albendazole</w:t>
      </w:r>
      <w:r w:rsidR="006F305C">
        <w:rPr>
          <w:sz w:val="28"/>
          <w:szCs w:val="28"/>
        </w:rPr>
        <w:t>,</w:t>
      </w:r>
      <w:r>
        <w:rPr>
          <w:sz w:val="28"/>
          <w:szCs w:val="28"/>
        </w:rPr>
        <w:t xml:space="preserve"> which was given through </w:t>
      </w:r>
      <w:r w:rsidR="006F305C" w:rsidRPr="00066047">
        <w:rPr>
          <w:sz w:val="28"/>
          <w:szCs w:val="28"/>
          <w:highlight w:val="yellow"/>
        </w:rPr>
        <w:t xml:space="preserve">a </w:t>
      </w:r>
      <w:r>
        <w:rPr>
          <w:sz w:val="28"/>
          <w:szCs w:val="28"/>
        </w:rPr>
        <w:t>mass drug administration (MDA) campaign</w:t>
      </w:r>
      <w:r w:rsidR="006F305C">
        <w:rPr>
          <w:sz w:val="28"/>
          <w:szCs w:val="28"/>
        </w:rPr>
        <w:t>,</w:t>
      </w:r>
      <w:r>
        <w:rPr>
          <w:sz w:val="28"/>
          <w:szCs w:val="28"/>
        </w:rPr>
        <w:t xml:space="preserve"> was conducted from April to May 2024. The study populations were eligible and STH-infected school children aged 5–14 years attending primary schools in the rural area of </w:t>
      </w:r>
      <w:proofErr w:type="spellStart"/>
      <w:r>
        <w:rPr>
          <w:sz w:val="28"/>
          <w:szCs w:val="28"/>
        </w:rPr>
        <w:t>Ikyogen</w:t>
      </w:r>
      <w:proofErr w:type="spellEnd"/>
      <w:r>
        <w:rPr>
          <w:sz w:val="28"/>
          <w:szCs w:val="28"/>
        </w:rPr>
        <w:t xml:space="preserve"> IDP camp, </w:t>
      </w:r>
      <w:proofErr w:type="spellStart"/>
      <w:r>
        <w:rPr>
          <w:sz w:val="28"/>
          <w:szCs w:val="28"/>
        </w:rPr>
        <w:t>Kwande</w:t>
      </w:r>
      <w:proofErr w:type="spellEnd"/>
      <w:r>
        <w:rPr>
          <w:sz w:val="28"/>
          <w:szCs w:val="28"/>
        </w:rPr>
        <w:t xml:space="preserve"> Local Government Area of Benue State. </w:t>
      </w:r>
    </w:p>
    <w:p w14:paraId="09F2900B" w14:textId="1763E052" w:rsidR="009E493E" w:rsidRDefault="00253705">
      <w:pPr>
        <w:spacing w:line="480" w:lineRule="auto"/>
        <w:rPr>
          <w:sz w:val="28"/>
          <w:szCs w:val="28"/>
        </w:rPr>
      </w:pPr>
      <w:proofErr w:type="spellStart"/>
      <w:r>
        <w:rPr>
          <w:sz w:val="28"/>
          <w:szCs w:val="28"/>
        </w:rPr>
        <w:t>Ikyogen</w:t>
      </w:r>
      <w:proofErr w:type="spellEnd"/>
      <w:r>
        <w:rPr>
          <w:sz w:val="28"/>
          <w:szCs w:val="28"/>
        </w:rPr>
        <w:t xml:space="preserve"> is one of the four major towns in </w:t>
      </w:r>
      <w:r w:rsidR="006F305C" w:rsidRPr="00066047">
        <w:rPr>
          <w:sz w:val="28"/>
          <w:szCs w:val="28"/>
          <w:highlight w:val="yellow"/>
        </w:rPr>
        <w:t xml:space="preserve">the </w:t>
      </w:r>
      <w:proofErr w:type="spellStart"/>
      <w:r>
        <w:rPr>
          <w:sz w:val="28"/>
          <w:szCs w:val="28"/>
        </w:rPr>
        <w:t>Kwande</w:t>
      </w:r>
      <w:proofErr w:type="spellEnd"/>
      <w:r>
        <w:rPr>
          <w:sz w:val="28"/>
          <w:szCs w:val="28"/>
        </w:rPr>
        <w:t xml:space="preserve"> Local Government Area of Benue State</w:t>
      </w:r>
      <w:r w:rsidR="006F305C">
        <w:rPr>
          <w:sz w:val="28"/>
          <w:szCs w:val="28"/>
        </w:rPr>
        <w:t>,</w:t>
      </w:r>
      <w:r>
        <w:rPr>
          <w:sz w:val="28"/>
          <w:szCs w:val="28"/>
        </w:rPr>
        <w:t xml:space="preserve"> sharing boundaries with </w:t>
      </w:r>
      <w:r w:rsidR="006F305C" w:rsidRPr="00066047">
        <w:rPr>
          <w:sz w:val="28"/>
          <w:szCs w:val="28"/>
          <w:highlight w:val="yellow"/>
        </w:rPr>
        <w:t xml:space="preserve">the </w:t>
      </w:r>
      <w:r>
        <w:rPr>
          <w:sz w:val="28"/>
          <w:szCs w:val="28"/>
        </w:rPr>
        <w:t xml:space="preserve">Republic of Cameroon and Cross River State of Nigeria. With GPS coordinates: 6.6903o N, 9.4374O E, it has an estimated population of 345,850 according to </w:t>
      </w:r>
      <w:r w:rsidR="006F305C" w:rsidRPr="00066047">
        <w:rPr>
          <w:sz w:val="28"/>
          <w:szCs w:val="28"/>
          <w:highlight w:val="yellow"/>
        </w:rPr>
        <w:t xml:space="preserve">the </w:t>
      </w:r>
      <w:r>
        <w:rPr>
          <w:sz w:val="28"/>
          <w:szCs w:val="28"/>
        </w:rPr>
        <w:t xml:space="preserve">2006 census (City Population, 2024). The predominant occupation is farming of crops such as cassava, soya beans, mango and groundnuts and the IDP camp houses over 13,000 people, </w:t>
      </w:r>
      <w:r w:rsidR="006F305C" w:rsidRPr="00066047">
        <w:rPr>
          <w:sz w:val="28"/>
          <w:szCs w:val="28"/>
          <w:highlight w:val="yellow"/>
        </w:rPr>
        <w:t xml:space="preserve">who </w:t>
      </w:r>
      <w:r>
        <w:rPr>
          <w:sz w:val="28"/>
          <w:szCs w:val="28"/>
        </w:rPr>
        <w:t>are mainly Cameroonian refugees (</w:t>
      </w:r>
      <w:proofErr w:type="spellStart"/>
      <w:r>
        <w:rPr>
          <w:sz w:val="28"/>
          <w:szCs w:val="28"/>
        </w:rPr>
        <w:t>Ofoezi</w:t>
      </w:r>
      <w:proofErr w:type="spellEnd"/>
      <w:r>
        <w:rPr>
          <w:sz w:val="28"/>
          <w:szCs w:val="28"/>
        </w:rPr>
        <w:t xml:space="preserve">, 2011). The camp was formerly </w:t>
      </w:r>
      <w:proofErr w:type="spellStart"/>
      <w:r>
        <w:rPr>
          <w:sz w:val="28"/>
          <w:szCs w:val="28"/>
        </w:rPr>
        <w:t>Ikyogen</w:t>
      </w:r>
      <w:proofErr w:type="spellEnd"/>
      <w:r>
        <w:rPr>
          <w:sz w:val="28"/>
          <w:szCs w:val="28"/>
        </w:rPr>
        <w:t xml:space="preserve"> Cattle Ranch in </w:t>
      </w:r>
      <w:r w:rsidR="006F305C" w:rsidRPr="00066047">
        <w:rPr>
          <w:sz w:val="28"/>
          <w:szCs w:val="28"/>
          <w:highlight w:val="yellow"/>
        </w:rPr>
        <w:t>the southeast</w:t>
      </w:r>
      <w:r w:rsidRPr="00066047">
        <w:rPr>
          <w:sz w:val="28"/>
          <w:szCs w:val="28"/>
          <w:highlight w:val="yellow"/>
        </w:rPr>
        <w:t xml:space="preserve"> </w:t>
      </w:r>
      <w:r>
        <w:rPr>
          <w:sz w:val="28"/>
          <w:szCs w:val="28"/>
        </w:rPr>
        <w:t xml:space="preserve">of </w:t>
      </w:r>
      <w:proofErr w:type="spellStart"/>
      <w:r>
        <w:rPr>
          <w:sz w:val="28"/>
          <w:szCs w:val="28"/>
        </w:rPr>
        <w:t>Adikpo</w:t>
      </w:r>
      <w:proofErr w:type="spellEnd"/>
      <w:r>
        <w:rPr>
          <w:sz w:val="28"/>
          <w:szCs w:val="28"/>
        </w:rPr>
        <w:t xml:space="preserve">, in </w:t>
      </w:r>
      <w:proofErr w:type="spellStart"/>
      <w:r>
        <w:rPr>
          <w:sz w:val="28"/>
          <w:szCs w:val="28"/>
        </w:rPr>
        <w:t>Kwande</w:t>
      </w:r>
      <w:proofErr w:type="spellEnd"/>
      <w:r>
        <w:rPr>
          <w:sz w:val="28"/>
          <w:szCs w:val="28"/>
        </w:rPr>
        <w:t xml:space="preserve"> LGA of Benue State. The camp is eclipsed by the ever-breathtaking Mount </w:t>
      </w:r>
      <w:proofErr w:type="spellStart"/>
      <w:r>
        <w:rPr>
          <w:sz w:val="28"/>
          <w:szCs w:val="28"/>
        </w:rPr>
        <w:t>Vandetum</w:t>
      </w:r>
      <w:proofErr w:type="spellEnd"/>
      <w:r>
        <w:rPr>
          <w:sz w:val="28"/>
          <w:szCs w:val="28"/>
        </w:rPr>
        <w:t xml:space="preserve"> and immersed by the </w:t>
      </w:r>
      <w:proofErr w:type="spellStart"/>
      <w:r>
        <w:rPr>
          <w:sz w:val="28"/>
          <w:szCs w:val="28"/>
        </w:rPr>
        <w:t>Avenga</w:t>
      </w:r>
      <w:proofErr w:type="spellEnd"/>
      <w:r>
        <w:rPr>
          <w:sz w:val="28"/>
          <w:szCs w:val="28"/>
        </w:rPr>
        <w:t xml:space="preserve"> stream (</w:t>
      </w:r>
      <w:proofErr w:type="spellStart"/>
      <w:r>
        <w:rPr>
          <w:sz w:val="28"/>
          <w:szCs w:val="28"/>
        </w:rPr>
        <w:t>Ofoezi</w:t>
      </w:r>
      <w:proofErr w:type="spellEnd"/>
      <w:r>
        <w:rPr>
          <w:sz w:val="28"/>
          <w:szCs w:val="28"/>
        </w:rPr>
        <w:t>, 2011).</w:t>
      </w:r>
    </w:p>
    <w:p w14:paraId="398C9C5C" w14:textId="77777777" w:rsidR="009E493E" w:rsidRDefault="00253705">
      <w:pPr>
        <w:spacing w:line="480" w:lineRule="auto"/>
        <w:rPr>
          <w:sz w:val="28"/>
          <w:szCs w:val="28"/>
        </w:rPr>
      </w:pPr>
      <w:r>
        <w:rPr>
          <w:sz w:val="28"/>
          <w:szCs w:val="28"/>
        </w:rPr>
        <w:t>SAMPLING TECHNIQUE</w:t>
      </w:r>
    </w:p>
    <w:p w14:paraId="62574F42" w14:textId="18FCBE1D" w:rsidR="009E493E" w:rsidRDefault="006F305C">
      <w:pPr>
        <w:spacing w:line="480" w:lineRule="auto"/>
        <w:rPr>
          <w:sz w:val="28"/>
          <w:szCs w:val="28"/>
        </w:rPr>
      </w:pPr>
      <w:r w:rsidRPr="00066047">
        <w:rPr>
          <w:sz w:val="28"/>
          <w:szCs w:val="28"/>
          <w:highlight w:val="yellow"/>
        </w:rPr>
        <w:t xml:space="preserve">A simple </w:t>
      </w:r>
      <w:r w:rsidR="00253705">
        <w:rPr>
          <w:sz w:val="28"/>
          <w:szCs w:val="28"/>
        </w:rPr>
        <w:t xml:space="preserve">random sampling method was used to select the pupils to participate in the study. An up-to-date list from the community health registers at the IDP camp was used to create a sample frame, </w:t>
      </w:r>
      <w:r w:rsidRPr="00066047">
        <w:rPr>
          <w:sz w:val="28"/>
          <w:szCs w:val="28"/>
          <w:highlight w:val="yellow"/>
        </w:rPr>
        <w:t xml:space="preserve">and </w:t>
      </w:r>
      <w:r w:rsidR="00253705">
        <w:rPr>
          <w:sz w:val="28"/>
          <w:szCs w:val="28"/>
        </w:rPr>
        <w:t xml:space="preserve">a random number was used to select the desired number of children from the sampling frame. Each child's name had an equal probability of being chosen for the study. </w:t>
      </w:r>
      <w:r w:rsidR="00253705">
        <w:rPr>
          <w:sz w:val="28"/>
          <w:szCs w:val="28"/>
        </w:rPr>
        <w:lastRenderedPageBreak/>
        <w:t>Once the sample was selected, the parents /</w:t>
      </w:r>
      <w:r w:rsidRPr="00066047">
        <w:rPr>
          <w:sz w:val="28"/>
          <w:szCs w:val="28"/>
          <w:highlight w:val="yellow"/>
        </w:rPr>
        <w:t xml:space="preserve">caregivers </w:t>
      </w:r>
      <w:r w:rsidR="00253705">
        <w:rPr>
          <w:sz w:val="28"/>
          <w:szCs w:val="28"/>
        </w:rPr>
        <w:t xml:space="preserve">of the chosen children were </w:t>
      </w:r>
      <w:r w:rsidRPr="00066047">
        <w:rPr>
          <w:sz w:val="28"/>
          <w:szCs w:val="28"/>
          <w:highlight w:val="yellow"/>
        </w:rPr>
        <w:t xml:space="preserve">contacted </w:t>
      </w:r>
      <w:r w:rsidR="00253705">
        <w:rPr>
          <w:sz w:val="28"/>
          <w:szCs w:val="28"/>
        </w:rPr>
        <w:t xml:space="preserve">to obtain consent for </w:t>
      </w:r>
      <w:r w:rsidRPr="00066047">
        <w:rPr>
          <w:sz w:val="28"/>
          <w:szCs w:val="28"/>
          <w:highlight w:val="yellow"/>
        </w:rPr>
        <w:t xml:space="preserve">their </w:t>
      </w:r>
      <w:r w:rsidR="00253705">
        <w:rPr>
          <w:sz w:val="28"/>
          <w:szCs w:val="28"/>
        </w:rPr>
        <w:t>participation in the study. After the consent was obtained, the questionnaire was administered, followed by stool sample collection for onward processing, albendazole administered under direct supervision by the team and subsequent follow-up assessments after 21 days to re-evaluate the outcomes.</w:t>
      </w:r>
    </w:p>
    <w:p w14:paraId="4A888F03" w14:textId="77777777" w:rsidR="009E493E" w:rsidRDefault="00253705">
      <w:pPr>
        <w:spacing w:line="480" w:lineRule="auto"/>
        <w:rPr>
          <w:sz w:val="28"/>
          <w:szCs w:val="28"/>
        </w:rPr>
      </w:pPr>
      <w:r>
        <w:rPr>
          <w:sz w:val="28"/>
          <w:szCs w:val="28"/>
        </w:rPr>
        <w:t>STUDY INSTRUMENTS</w:t>
      </w:r>
    </w:p>
    <w:p w14:paraId="73E33F7A" w14:textId="77777777" w:rsidR="009E493E" w:rsidRDefault="00253705">
      <w:pPr>
        <w:spacing w:line="480" w:lineRule="auto"/>
        <w:rPr>
          <w:sz w:val="28"/>
          <w:szCs w:val="28"/>
        </w:rPr>
      </w:pPr>
      <w:r>
        <w:rPr>
          <w:sz w:val="28"/>
          <w:szCs w:val="28"/>
        </w:rPr>
        <w:t>The study instruments that will be used are questionnaires, observations, weighing scales and stadiometer, and laboratory tests.</w:t>
      </w:r>
    </w:p>
    <w:p w14:paraId="70071FE8" w14:textId="77777777" w:rsidR="009E493E" w:rsidRDefault="00253705">
      <w:pPr>
        <w:spacing w:line="480" w:lineRule="auto"/>
        <w:rPr>
          <w:sz w:val="28"/>
          <w:szCs w:val="28"/>
        </w:rPr>
      </w:pPr>
      <w:r>
        <w:rPr>
          <w:sz w:val="28"/>
          <w:szCs w:val="28"/>
        </w:rPr>
        <w:t>Inclusion Criteria</w:t>
      </w:r>
    </w:p>
    <w:p w14:paraId="5C5FF965" w14:textId="754CDA41" w:rsidR="009E493E" w:rsidRDefault="00253705">
      <w:pPr>
        <w:spacing w:line="480" w:lineRule="auto"/>
        <w:rPr>
          <w:sz w:val="28"/>
          <w:szCs w:val="28"/>
        </w:rPr>
      </w:pPr>
      <w:r>
        <w:rPr>
          <w:sz w:val="28"/>
          <w:szCs w:val="28"/>
        </w:rPr>
        <w:t>Primary school-age children, from 5-</w:t>
      </w:r>
      <w:r w:rsidR="006F305C" w:rsidRPr="00066047">
        <w:rPr>
          <w:sz w:val="28"/>
          <w:szCs w:val="28"/>
          <w:highlight w:val="yellow"/>
        </w:rPr>
        <w:t>to 14-year</w:t>
      </w:r>
      <w:r w:rsidRPr="00066047">
        <w:rPr>
          <w:sz w:val="28"/>
          <w:szCs w:val="28"/>
          <w:highlight w:val="yellow"/>
        </w:rPr>
        <w:t xml:space="preserve"> </w:t>
      </w:r>
      <w:r>
        <w:rPr>
          <w:sz w:val="28"/>
          <w:szCs w:val="28"/>
        </w:rPr>
        <w:t xml:space="preserve">age group. Primary school-age children who have lived in the area for at least </w:t>
      </w:r>
      <w:proofErr w:type="gramStart"/>
      <w:r>
        <w:rPr>
          <w:sz w:val="28"/>
          <w:szCs w:val="28"/>
        </w:rPr>
        <w:t>one year</w:t>
      </w:r>
      <w:proofErr w:type="gramEnd"/>
      <w:r>
        <w:rPr>
          <w:sz w:val="28"/>
          <w:szCs w:val="28"/>
        </w:rPr>
        <w:t xml:space="preserve"> primary school-age children whose parents or caregivers gave consent.</w:t>
      </w:r>
    </w:p>
    <w:p w14:paraId="68EF8A1B" w14:textId="77777777" w:rsidR="009E493E" w:rsidRDefault="00253705">
      <w:pPr>
        <w:spacing w:line="480" w:lineRule="auto"/>
        <w:rPr>
          <w:sz w:val="28"/>
          <w:szCs w:val="28"/>
        </w:rPr>
      </w:pPr>
      <w:r>
        <w:rPr>
          <w:sz w:val="28"/>
          <w:szCs w:val="28"/>
        </w:rPr>
        <w:t>Exclusion Criteria</w:t>
      </w:r>
    </w:p>
    <w:p w14:paraId="489215A9" w14:textId="1F835BB1" w:rsidR="009E493E" w:rsidRDefault="00253705">
      <w:pPr>
        <w:spacing w:line="480" w:lineRule="auto"/>
        <w:rPr>
          <w:sz w:val="28"/>
          <w:szCs w:val="28"/>
        </w:rPr>
      </w:pPr>
      <w:r>
        <w:rPr>
          <w:sz w:val="28"/>
          <w:szCs w:val="28"/>
        </w:rPr>
        <w:t xml:space="preserve">Anyone who was below 5 years or above 14 years of age. Those children who had not lived in the area for up to a year. </w:t>
      </w:r>
      <w:r w:rsidR="0014323D" w:rsidRPr="00066047">
        <w:rPr>
          <w:sz w:val="28"/>
          <w:szCs w:val="28"/>
          <w:highlight w:val="yellow"/>
        </w:rPr>
        <w:t>Basic school</w:t>
      </w:r>
      <w:r w:rsidR="0014323D" w:rsidRPr="0014323D">
        <w:rPr>
          <w:sz w:val="28"/>
          <w:szCs w:val="28"/>
        </w:rPr>
        <w:t xml:space="preserve"> </w:t>
      </w:r>
      <w:r>
        <w:rPr>
          <w:sz w:val="28"/>
          <w:szCs w:val="28"/>
        </w:rPr>
        <w:t xml:space="preserve">children whose parents or caregivers </w:t>
      </w:r>
      <w:r w:rsidR="006F305C" w:rsidRPr="00066047">
        <w:rPr>
          <w:sz w:val="28"/>
          <w:szCs w:val="28"/>
          <w:highlight w:val="yellow"/>
        </w:rPr>
        <w:t xml:space="preserve">do </w:t>
      </w:r>
      <w:r>
        <w:rPr>
          <w:sz w:val="28"/>
          <w:szCs w:val="28"/>
        </w:rPr>
        <w:t xml:space="preserve">not </w:t>
      </w:r>
      <w:proofErr w:type="gramStart"/>
      <w:r>
        <w:rPr>
          <w:sz w:val="28"/>
          <w:szCs w:val="28"/>
        </w:rPr>
        <w:t>give</w:t>
      </w:r>
      <w:proofErr w:type="gramEnd"/>
      <w:r>
        <w:rPr>
          <w:sz w:val="28"/>
          <w:szCs w:val="28"/>
        </w:rPr>
        <w:t xml:space="preserve"> consent. School children with other </w:t>
      </w:r>
      <w:r w:rsidR="006F305C" w:rsidRPr="00066047">
        <w:rPr>
          <w:sz w:val="28"/>
          <w:szCs w:val="28"/>
          <w:highlight w:val="yellow"/>
        </w:rPr>
        <w:t xml:space="preserve">suspected </w:t>
      </w:r>
      <w:r>
        <w:rPr>
          <w:sz w:val="28"/>
          <w:szCs w:val="28"/>
        </w:rPr>
        <w:t>co-morbidities like lymphatic filariasis</w:t>
      </w:r>
      <w:r w:rsidR="006F305C">
        <w:rPr>
          <w:sz w:val="28"/>
          <w:szCs w:val="28"/>
        </w:rPr>
        <w:t>,</w:t>
      </w:r>
      <w:r>
        <w:rPr>
          <w:sz w:val="28"/>
          <w:szCs w:val="28"/>
        </w:rPr>
        <w:t xml:space="preserve"> etc. Children with </w:t>
      </w:r>
      <w:proofErr w:type="spellStart"/>
      <w:r w:rsidR="006F305C" w:rsidRPr="00066047">
        <w:rPr>
          <w:sz w:val="28"/>
          <w:szCs w:val="28"/>
          <w:highlight w:val="yellow"/>
        </w:rPr>
        <w:t>diarrhoea</w:t>
      </w:r>
      <w:proofErr w:type="spellEnd"/>
      <w:r>
        <w:rPr>
          <w:sz w:val="28"/>
          <w:szCs w:val="28"/>
        </w:rPr>
        <w:t>. Children vomiting within 4 hours after drug administration.</w:t>
      </w:r>
    </w:p>
    <w:p w14:paraId="2755C4CB" w14:textId="77777777" w:rsidR="009E493E" w:rsidRDefault="00253705">
      <w:pPr>
        <w:spacing w:line="480" w:lineRule="auto"/>
        <w:rPr>
          <w:sz w:val="28"/>
          <w:szCs w:val="28"/>
        </w:rPr>
      </w:pPr>
      <w:r>
        <w:rPr>
          <w:sz w:val="28"/>
          <w:szCs w:val="28"/>
        </w:rPr>
        <w:t>SAMPLE SIZE DETERMINATION</w:t>
      </w:r>
    </w:p>
    <w:p w14:paraId="206B75C4" w14:textId="0D614974" w:rsidR="009E493E" w:rsidRDefault="00253705">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minimum sample size of the population to which the questionnaire was administered and calculated as follows using the formula below (</w:t>
      </w:r>
      <w:proofErr w:type="spellStart"/>
      <w:r>
        <w:rPr>
          <w:rFonts w:ascii="Times New Roman" w:eastAsia="Times New Roman" w:hAnsi="Times New Roman" w:cs="Times New Roman"/>
          <w:sz w:val="24"/>
          <w:szCs w:val="24"/>
        </w:rPr>
        <w:t>Gebreyesus</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2024)</w:t>
      </w:r>
    </w:p>
    <w:p w14:paraId="5591A7C2" w14:textId="77777777" w:rsidR="009E493E" w:rsidRDefault="00253705">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 =   </w:t>
      </w:r>
      <m:oMath>
        <m:f>
          <m:fPr>
            <m:ctrlPr>
              <w:rPr>
                <w:rFonts w:ascii="Cambria Math" w:eastAsia="Times New Roman" w:hAnsi="Cambria Math" w:cs="Times New Roman"/>
                <w:i/>
                <w:sz w:val="36"/>
                <w:szCs w:val="36"/>
              </w:rPr>
            </m:ctrlPr>
          </m:fPr>
          <m:num>
            <m:r>
              <m:rPr>
                <m:sty m:val="p"/>
              </m:rPr>
              <w:rPr>
                <w:rFonts w:ascii="Cambria Math" w:eastAsia="Times New Roman" w:hAnsi="Cambria Math" w:cs="Times New Roman"/>
                <w:sz w:val="36"/>
                <w:szCs w:val="36"/>
              </w:rPr>
              <m:t>Zα2</m:t>
            </m:r>
            <m:r>
              <m:rPr>
                <m:sty m:val="p"/>
              </m:rPr>
              <w:rPr>
                <w:rFonts w:ascii="Cambria Math" w:eastAsia="Times New Roman" w:hAnsi="Cambria Math" w:cs="Times New Roman"/>
                <w:spacing w:val="-3"/>
                <w:sz w:val="36"/>
                <w:szCs w:val="36"/>
              </w:rPr>
              <m:t xml:space="preserve"> </m:t>
            </m:r>
            <m:r>
              <m:rPr>
                <m:sty m:val="p"/>
              </m:rPr>
              <w:rPr>
                <w:rFonts w:ascii="Cambria Math" w:eastAsia="Times New Roman" w:hAnsi="Cambria Math" w:cs="Times New Roman"/>
                <w:spacing w:val="-5"/>
                <w:sz w:val="36"/>
                <w:szCs w:val="36"/>
              </w:rPr>
              <m:t>pq</m:t>
            </m:r>
          </m:num>
          <m:den>
            <m:r>
              <m:rPr>
                <m:sty m:val="p"/>
              </m:rPr>
              <w:rPr>
                <w:rFonts w:ascii="Cambria Math" w:eastAsia="Times New Roman" w:hAnsi="Times New Roman" w:cs="Times New Roman"/>
                <w:spacing w:val="-5"/>
                <w:sz w:val="36"/>
                <w:szCs w:val="36"/>
              </w:rPr>
              <m:t>d</m:t>
            </m:r>
            <m:r>
              <m:rPr>
                <m:sty m:val="p"/>
              </m:rPr>
              <w:rPr>
                <w:rFonts w:ascii="Cambria Math" w:eastAsia="Times New Roman" w:hAnsi="Times New Roman" w:cs="Times New Roman"/>
                <w:spacing w:val="-5"/>
                <w:sz w:val="36"/>
                <w:szCs w:val="36"/>
                <w:vertAlign w:val="superscript"/>
              </w:rPr>
              <m:t>2</m:t>
            </m:r>
          </m:den>
        </m:f>
      </m:oMath>
      <w:r>
        <w:rPr>
          <w:rFonts w:ascii="Times New Roman" w:eastAsia="Times New Roman" w:hAnsi="Times New Roman" w:cs="Times New Roman"/>
          <w:sz w:val="24"/>
          <w:szCs w:val="24"/>
        </w:rPr>
        <w:t xml:space="preserve">         </w:t>
      </w:r>
    </w:p>
    <w:p w14:paraId="4FDDA939" w14:textId="77777777" w:rsidR="009E493E" w:rsidRDefault="00253705">
      <w:pPr>
        <w:widowControl w:val="0"/>
        <w:autoSpaceDE w:val="0"/>
        <w:autoSpaceDN w:val="0"/>
        <w:spacing w:before="27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corresponds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0.05</w:t>
      </w:r>
    </w:p>
    <w:p w14:paraId="05B1D131" w14:textId="39E45523" w:rsidR="009E493E" w:rsidRDefault="00253705">
      <w:pPr>
        <w:widowControl w:val="0"/>
        <w:autoSpaceDE w:val="0"/>
        <w:autoSpaceDN w:val="0"/>
        <w:spacing w:before="61" w:after="0" w:line="48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Where:</w:t>
      </w:r>
      <w:r>
        <w:rPr>
          <w:rFonts w:ascii="Times New Roman" w:eastAsia="Times New Roman" w:hAnsi="Times New Roman" w:cs="Times New Roman"/>
          <w:sz w:val="24"/>
          <w:szCs w:val="24"/>
        </w:rPr>
        <w:t xml:space="preserve"> </w:t>
      </w:r>
      <w:r w:rsidR="006F305C" w:rsidRPr="00066047">
        <w:rPr>
          <w:rFonts w:ascii="Times New Roman" w:eastAsia="Times New Roman" w:hAnsi="Times New Roman" w:cs="Times New Roman"/>
          <w:spacing w:val="-10"/>
          <w:sz w:val="24"/>
          <w:szCs w:val="24"/>
          <w:highlight w:val="yellow"/>
        </w:rPr>
        <w:t>n</w:t>
      </w:r>
      <w:r w:rsidRPr="00066047">
        <w:rPr>
          <w:rFonts w:ascii="Times New Roman" w:eastAsia="Times New Roman" w:hAnsi="Times New Roman" w:cs="Times New Roman"/>
          <w:spacing w:val="-2"/>
          <w:sz w:val="24"/>
          <w:szCs w:val="24"/>
          <w:highlight w:val="yellow"/>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size</w:t>
      </w:r>
    </w:p>
    <w:p w14:paraId="11B30458" w14:textId="77777777" w:rsidR="009E493E" w:rsidRDefault="00253705">
      <w:pPr>
        <w:widowControl w:val="0"/>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BA58A5" w14:textId="74EF79A2" w:rsidR="009E493E" w:rsidRDefault="00253705">
      <w:pPr>
        <w:widowControl w:val="0"/>
        <w:autoSpaceDE w:val="0"/>
        <w:autoSpaceDN w:val="0"/>
        <w:spacing w:before="1"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z w:val="24"/>
          <w:szCs w:val="24"/>
        </w:rPr>
        <w:t>Zα</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1.96,</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critical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ratio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normal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deviation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sidR="006F305C" w:rsidRPr="00066047">
        <w:rPr>
          <w:rFonts w:ascii="Times New Roman" w:eastAsia="Times New Roman" w:hAnsi="Times New Roman" w:cs="Times New Roman"/>
          <w:spacing w:val="-3"/>
          <w:sz w:val="24"/>
          <w:szCs w:val="24"/>
          <w:highlight w:val="yellow"/>
        </w:rPr>
        <w:t xml:space="preserve">a </w:t>
      </w:r>
      <w:r>
        <w:rPr>
          <w:rFonts w:ascii="Times New Roman" w:eastAsia="Times New Roman" w:hAnsi="Times New Roman" w:cs="Times New Roman"/>
          <w:sz w:val="24"/>
          <w:szCs w:val="24"/>
        </w:rPr>
        <w:t>significance level of 5%</w:t>
      </w:r>
    </w:p>
    <w:p w14:paraId="56E78004" w14:textId="77777777" w:rsidR="009E493E" w:rsidRDefault="00253705">
      <w:pPr>
        <w:widowControl w:val="0"/>
        <w:autoSpaceDE w:val="0"/>
        <w:autoSpaceDN w:val="0"/>
        <w:spacing w:before="1"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prevalence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soil-transmitted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helminths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Ile-Ife,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Ibadan,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Nigeria15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pacing w:val="-10"/>
          <w:sz w:val="24"/>
          <w:szCs w:val="24"/>
        </w:rPr>
        <w:t>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1-p = complementary probability of p</w:t>
      </w:r>
    </w:p>
    <w:p w14:paraId="0A26FDA3" w14:textId="11105C7D" w:rsidR="009E493E" w:rsidRDefault="00253705">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desired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sidR="006F305C" w:rsidRPr="00066047">
        <w:rPr>
          <w:rFonts w:ascii="Times New Roman" w:eastAsia="Times New Roman" w:hAnsi="Times New Roman" w:cs="Times New Roman"/>
          <w:sz w:val="24"/>
          <w:szCs w:val="24"/>
          <w:highlight w:val="yellow"/>
        </w:rPr>
        <w:t>;</w:t>
      </w:r>
      <w:r w:rsidR="006F305C" w:rsidRPr="00066047">
        <w:rPr>
          <w:rFonts w:ascii="Times New Roman" w:eastAsia="Times New Roman" w:hAnsi="Times New Roman" w:cs="Times New Roman"/>
          <w:spacing w:val="4"/>
          <w:sz w:val="24"/>
          <w:szCs w:val="24"/>
          <w:highlight w:val="yellow"/>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precision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tolerated</w:t>
      </w:r>
    </w:p>
    <w:p w14:paraId="14DD0413" w14:textId="77777777" w:rsidR="009E493E" w:rsidRDefault="009E493E">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p>
    <w:p w14:paraId="7DF206AB" w14:textId="77777777" w:rsidR="009E493E" w:rsidRDefault="00253705">
      <w:pPr>
        <w:widowControl w:val="0"/>
        <w:tabs>
          <w:tab w:val="left" w:pos="1079"/>
        </w:tabs>
        <w:autoSpaceDE w:val="0"/>
        <w:autoSpaceDN w:val="0"/>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  </w:t>
      </w:r>
      <m:oMath>
        <m:f>
          <m:fPr>
            <m:ctrlPr>
              <w:rPr>
                <w:rFonts w:ascii="Cambria Math" w:eastAsia="Times New Roman" w:hAnsi="Cambria Math" w:cs="Times New Roman"/>
                <w:i/>
                <w:sz w:val="40"/>
                <w:szCs w:val="40"/>
              </w:rPr>
            </m:ctrlPr>
          </m:fPr>
          <m:num>
            <m:r>
              <m:rPr>
                <m:sty m:val="p"/>
              </m:rPr>
              <w:rPr>
                <w:rFonts w:ascii="Cambria Math" w:eastAsia="Times New Roman" w:hAnsi="Times New Roman" w:cs="Times New Roman"/>
                <w:sz w:val="40"/>
                <w:szCs w:val="40"/>
              </w:rPr>
              <m:t>1.962</m:t>
            </m:r>
            <m:r>
              <m:rPr>
                <m:sty m:val="p"/>
              </m:rPr>
              <w:rPr>
                <w:rFonts w:ascii="Cambria Math" w:eastAsia="Times New Roman" w:hAnsi="Times New Roman" w:cs="Times New Roman"/>
                <w:spacing w:val="-3"/>
                <w:sz w:val="40"/>
                <w:szCs w:val="40"/>
              </w:rPr>
              <m:t xml:space="preserve"> </m:t>
            </m:r>
            <m:r>
              <m:rPr>
                <m:sty m:val="p"/>
              </m:rPr>
              <w:rPr>
                <w:rFonts w:ascii="Cambria Math" w:eastAsia="Times New Roman" w:hAnsi="Times New Roman" w:cs="Times New Roman"/>
                <w:sz w:val="40"/>
                <w:szCs w:val="40"/>
              </w:rPr>
              <m:t>x 0.071</m:t>
            </m:r>
            <m:r>
              <m:rPr>
                <m:sty m:val="p"/>
              </m:rPr>
              <w:rPr>
                <w:rFonts w:ascii="Cambria Math" w:eastAsia="Times New Roman" w:hAnsi="Times New Roman" w:cs="Times New Roman"/>
                <w:spacing w:val="-1"/>
                <w:sz w:val="40"/>
                <w:szCs w:val="40"/>
              </w:rPr>
              <m:t xml:space="preserve"> </m:t>
            </m:r>
            <m:r>
              <m:rPr>
                <m:sty m:val="p"/>
              </m:rPr>
              <w:rPr>
                <w:rFonts w:ascii="Cambria Math" w:eastAsia="Times New Roman" w:hAnsi="Times New Roman" w:cs="Times New Roman"/>
                <w:sz w:val="40"/>
                <w:szCs w:val="40"/>
              </w:rPr>
              <m:t xml:space="preserve">x </m:t>
            </m:r>
            <m:r>
              <m:rPr>
                <m:sty m:val="p"/>
              </m:rPr>
              <w:rPr>
                <w:rFonts w:ascii="Cambria Math" w:eastAsia="Times New Roman" w:hAnsi="Times New Roman" w:cs="Times New Roman"/>
                <w:spacing w:val="-4"/>
                <w:sz w:val="40"/>
                <w:szCs w:val="40"/>
              </w:rPr>
              <m:t>0.929</m:t>
            </m:r>
          </m:num>
          <m:den>
            <m:r>
              <w:rPr>
                <w:rFonts w:ascii="Cambria Math" w:eastAsia="Times New Roman" w:hAnsi="Cambria Math" w:cs="Times New Roman"/>
                <w:sz w:val="40"/>
                <w:szCs w:val="40"/>
              </w:rPr>
              <m:t>0.052</m:t>
            </m:r>
          </m:den>
        </m:f>
      </m:oMath>
      <w:r>
        <w:rPr>
          <w:rFonts w:ascii="Times New Roman" w:eastAsia="Times New Roman" w:hAnsi="Times New Roman" w:cs="Times New Roman"/>
          <w:sz w:val="24"/>
          <w:szCs w:val="24"/>
        </w:rPr>
        <w:t xml:space="preserve">  </w:t>
      </w:r>
    </w:p>
    <w:p w14:paraId="48F6D00C" w14:textId="77777777" w:rsidR="009E493E" w:rsidRDefault="00253705">
      <w:pPr>
        <w:widowControl w:val="0"/>
        <w:tabs>
          <w:tab w:val="left" w:pos="1199"/>
          <w:tab w:val="left" w:pos="1634"/>
        </w:tabs>
        <w:autoSpaceDE w:val="0"/>
        <w:autoSpaceDN w:val="0"/>
        <w:spacing w:before="242"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5"/>
          <w:sz w:val="24"/>
          <w:szCs w:val="24"/>
        </w:rPr>
        <w:t>101</w:t>
      </w:r>
    </w:p>
    <w:p w14:paraId="3F983500" w14:textId="77777777" w:rsidR="009E493E" w:rsidRDefault="00253705">
      <w:pPr>
        <w:widowControl w:val="0"/>
        <w:autoSpaceDE w:val="0"/>
        <w:autoSpaceDN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361645" w14:textId="3BB8D365" w:rsidR="009E493E" w:rsidRDefault="00253705">
      <w:pPr>
        <w:widowControl w:val="0"/>
        <w:autoSpaceDE w:val="0"/>
        <w:autoSpaceDN w:val="0"/>
        <w:spacing w:after="0" w:line="480" w:lineRule="auto"/>
        <w:ind w:right="23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non-response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size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N/1-f) </w:t>
      </w:r>
      <w:r w:rsidR="006F305C" w:rsidRPr="00066047">
        <w:rPr>
          <w:rFonts w:ascii="Times New Roman" w:eastAsia="Times New Roman" w:hAnsi="Times New Roman" w:cs="Times New Roman"/>
          <w:sz w:val="24"/>
          <w:szCs w:val="24"/>
          <w:highlight w:val="yellow"/>
        </w:rPr>
        <w:t>where</w:t>
      </w:r>
      <w:r w:rsidR="006F3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 is 10%; 101/1-0.1 = 101/0.9 = 112</w:t>
      </w:r>
    </w:p>
    <w:p w14:paraId="2F0123AB" w14:textId="77777777" w:rsidR="009E493E" w:rsidRDefault="00253705">
      <w:pPr>
        <w:widowControl w:val="0"/>
        <w:autoSpaceDE w:val="0"/>
        <w:autoSpaceDN w:val="0"/>
        <w:spacing w:after="0" w:line="480" w:lineRule="auto"/>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Hence,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size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112.</w:t>
      </w:r>
    </w:p>
    <w:p w14:paraId="59C21F5A" w14:textId="77777777" w:rsidR="009E493E" w:rsidRDefault="009E493E">
      <w:pPr>
        <w:widowControl w:val="0"/>
        <w:autoSpaceDE w:val="0"/>
        <w:autoSpaceDN w:val="0"/>
        <w:spacing w:after="0" w:line="480" w:lineRule="auto"/>
        <w:ind w:left="720"/>
        <w:rPr>
          <w:rFonts w:ascii="Times New Roman" w:eastAsia="Times New Roman" w:hAnsi="Times New Roman" w:cs="Times New Roman"/>
          <w:sz w:val="24"/>
          <w:szCs w:val="24"/>
        </w:rPr>
      </w:pPr>
    </w:p>
    <w:p w14:paraId="07399D6F" w14:textId="77777777" w:rsidR="009E493E" w:rsidRDefault="00253705">
      <w:pPr>
        <w:spacing w:line="480" w:lineRule="auto"/>
        <w:rPr>
          <w:sz w:val="28"/>
          <w:szCs w:val="28"/>
        </w:rPr>
      </w:pPr>
      <w:r>
        <w:rPr>
          <w:sz w:val="28"/>
          <w:szCs w:val="28"/>
        </w:rPr>
        <w:t>Sample Collection</w:t>
      </w:r>
    </w:p>
    <w:p w14:paraId="485967B7" w14:textId="5E6DA309" w:rsidR="009E493E" w:rsidRDefault="00253705">
      <w:pPr>
        <w:spacing w:line="480" w:lineRule="auto"/>
        <w:rPr>
          <w:sz w:val="28"/>
          <w:szCs w:val="28"/>
        </w:rPr>
      </w:pPr>
      <w:r>
        <w:rPr>
          <w:sz w:val="28"/>
          <w:szCs w:val="28"/>
        </w:rPr>
        <w:t xml:space="preserve">Children with informed consent were provided with a stool sample collecting container, a wide mouth, and a screw cap plastic bottle with instructions on how the stool should be collected and a part of it being transferred to the container without urine contamination. The specimen was approximately 10g of </w:t>
      </w:r>
      <w:proofErr w:type="spellStart"/>
      <w:r>
        <w:rPr>
          <w:sz w:val="28"/>
          <w:szCs w:val="28"/>
        </w:rPr>
        <w:t>faeces</w:t>
      </w:r>
      <w:proofErr w:type="spellEnd"/>
      <w:r>
        <w:rPr>
          <w:sz w:val="28"/>
          <w:szCs w:val="28"/>
        </w:rPr>
        <w:t xml:space="preserve">. Children who were too young were assisted by trained personnel in specimen collection. Each child who </w:t>
      </w:r>
      <w:r w:rsidR="006F305C" w:rsidRPr="00066047">
        <w:rPr>
          <w:sz w:val="28"/>
          <w:szCs w:val="28"/>
          <w:highlight w:val="yellow"/>
        </w:rPr>
        <w:t xml:space="preserve">returned </w:t>
      </w:r>
      <w:r>
        <w:rPr>
          <w:sz w:val="28"/>
          <w:szCs w:val="28"/>
        </w:rPr>
        <w:t xml:space="preserve">the </w:t>
      </w:r>
      <w:proofErr w:type="spellStart"/>
      <w:r w:rsidR="006F305C" w:rsidRPr="00066047">
        <w:rPr>
          <w:sz w:val="28"/>
          <w:szCs w:val="28"/>
          <w:highlight w:val="yellow"/>
        </w:rPr>
        <w:t>faecal</w:t>
      </w:r>
      <w:proofErr w:type="spellEnd"/>
      <w:r w:rsidR="006F305C" w:rsidRPr="00066047">
        <w:rPr>
          <w:sz w:val="28"/>
          <w:szCs w:val="28"/>
          <w:highlight w:val="yellow"/>
        </w:rPr>
        <w:t xml:space="preserve"> </w:t>
      </w:r>
      <w:r>
        <w:rPr>
          <w:sz w:val="28"/>
          <w:szCs w:val="28"/>
        </w:rPr>
        <w:t xml:space="preserve">specimen was identified </w:t>
      </w:r>
      <w:r>
        <w:rPr>
          <w:sz w:val="28"/>
          <w:szCs w:val="28"/>
        </w:rPr>
        <w:lastRenderedPageBreak/>
        <w:t>on a form (Appendix 1) which clearly states the names and a serial number assigned to it to identify the specimen.</w:t>
      </w:r>
    </w:p>
    <w:p w14:paraId="28ECC0C2" w14:textId="77777777" w:rsidR="009E493E" w:rsidRDefault="00253705">
      <w:pPr>
        <w:spacing w:line="480" w:lineRule="auto"/>
        <w:rPr>
          <w:sz w:val="28"/>
          <w:szCs w:val="28"/>
        </w:rPr>
      </w:pPr>
      <w:r>
        <w:rPr>
          <w:b/>
          <w:bCs/>
          <w:sz w:val="28"/>
          <w:szCs w:val="28"/>
        </w:rPr>
        <w:t>Drug Administration</w:t>
      </w:r>
    </w:p>
    <w:p w14:paraId="1DAB8DD2" w14:textId="3A8CC8F8" w:rsidR="009E493E" w:rsidRDefault="00253705">
      <w:pPr>
        <w:spacing w:line="480" w:lineRule="auto"/>
        <w:rPr>
          <w:sz w:val="28"/>
          <w:szCs w:val="28"/>
        </w:rPr>
      </w:pPr>
      <w:r>
        <w:rPr>
          <w:sz w:val="28"/>
          <w:szCs w:val="28"/>
        </w:rPr>
        <w:t xml:space="preserve">A light snack (a biscuit/slice of bread) was given to each child before the drug, </w:t>
      </w:r>
      <w:r w:rsidR="006F305C" w:rsidRPr="00066047">
        <w:rPr>
          <w:sz w:val="28"/>
          <w:szCs w:val="28"/>
          <w:highlight w:val="yellow"/>
        </w:rPr>
        <w:t>a</w:t>
      </w:r>
      <w:r w:rsidR="006F305C">
        <w:rPr>
          <w:sz w:val="28"/>
          <w:szCs w:val="28"/>
        </w:rPr>
        <w:t xml:space="preserve"> </w:t>
      </w:r>
      <w:r>
        <w:rPr>
          <w:sz w:val="28"/>
          <w:szCs w:val="28"/>
        </w:rPr>
        <w:t>chewable albendazole tablet of 400mg</w:t>
      </w:r>
      <w:r w:rsidR="006F305C">
        <w:rPr>
          <w:sz w:val="28"/>
          <w:szCs w:val="28"/>
        </w:rPr>
        <w:t>,</w:t>
      </w:r>
      <w:r>
        <w:rPr>
          <w:sz w:val="28"/>
          <w:szCs w:val="28"/>
        </w:rPr>
        <w:t xml:space="preserve"> based on the height of the children (≥ 94 cm dose pole, designed to deliver a dose of at least 40 mg/kg) single was administered. The tablet was ingested under the direct observation </w:t>
      </w:r>
      <w:r w:rsidR="006F305C" w:rsidRPr="00066047">
        <w:rPr>
          <w:sz w:val="28"/>
          <w:szCs w:val="28"/>
          <w:highlight w:val="yellow"/>
        </w:rPr>
        <w:t xml:space="preserve">of </w:t>
      </w:r>
      <w:r>
        <w:rPr>
          <w:sz w:val="28"/>
          <w:szCs w:val="28"/>
        </w:rPr>
        <w:t xml:space="preserve">the investigator, and the child </w:t>
      </w:r>
      <w:r w:rsidR="006F305C" w:rsidRPr="00066047">
        <w:rPr>
          <w:sz w:val="28"/>
          <w:szCs w:val="28"/>
          <w:highlight w:val="yellow"/>
        </w:rPr>
        <w:t xml:space="preserve">was </w:t>
      </w:r>
      <w:r>
        <w:rPr>
          <w:sz w:val="28"/>
          <w:szCs w:val="28"/>
        </w:rPr>
        <w:t xml:space="preserve">maintained under observation for approximately 4 hours. Any </w:t>
      </w:r>
      <w:r w:rsidR="006F305C" w:rsidRPr="00066047">
        <w:rPr>
          <w:sz w:val="28"/>
          <w:szCs w:val="28"/>
          <w:highlight w:val="yellow"/>
        </w:rPr>
        <w:t>side effects</w:t>
      </w:r>
      <w:r w:rsidRPr="00066047">
        <w:rPr>
          <w:sz w:val="28"/>
          <w:szCs w:val="28"/>
          <w:highlight w:val="yellow"/>
        </w:rPr>
        <w:t xml:space="preserve"> </w:t>
      </w:r>
      <w:r>
        <w:rPr>
          <w:sz w:val="28"/>
          <w:szCs w:val="28"/>
        </w:rPr>
        <w:t xml:space="preserve">reported to the members of the investigation team. Any child who vomited after drug administration was excluded from the analysis because the precise amount of albendazole consumed </w:t>
      </w:r>
      <w:r w:rsidR="006F305C" w:rsidRPr="00066047">
        <w:rPr>
          <w:sz w:val="28"/>
          <w:szCs w:val="28"/>
          <w:highlight w:val="yellow"/>
        </w:rPr>
        <w:t xml:space="preserve">was </w:t>
      </w:r>
      <w:r>
        <w:rPr>
          <w:sz w:val="28"/>
          <w:szCs w:val="28"/>
        </w:rPr>
        <w:t>unknown.</w:t>
      </w:r>
    </w:p>
    <w:p w14:paraId="596C85BB" w14:textId="77777777" w:rsidR="009E493E" w:rsidRDefault="00253705">
      <w:pPr>
        <w:spacing w:line="480" w:lineRule="auto"/>
        <w:rPr>
          <w:b/>
          <w:bCs/>
          <w:sz w:val="28"/>
          <w:szCs w:val="28"/>
        </w:rPr>
      </w:pPr>
      <w:r>
        <w:rPr>
          <w:b/>
          <w:bCs/>
          <w:sz w:val="28"/>
          <w:szCs w:val="28"/>
        </w:rPr>
        <w:t>Parasitological Examination Laboratory Methods</w:t>
      </w:r>
    </w:p>
    <w:p w14:paraId="33534BF9" w14:textId="347D1DFA" w:rsidR="009E493E" w:rsidRDefault="00253705">
      <w:pPr>
        <w:spacing w:line="480" w:lineRule="auto"/>
        <w:rPr>
          <w:sz w:val="28"/>
          <w:szCs w:val="28"/>
        </w:rPr>
      </w:pPr>
      <w:r>
        <w:rPr>
          <w:sz w:val="28"/>
          <w:szCs w:val="28"/>
        </w:rPr>
        <w:t xml:space="preserve">Specimens </w:t>
      </w:r>
      <w:r w:rsidR="006F305C" w:rsidRPr="00066047">
        <w:rPr>
          <w:sz w:val="28"/>
          <w:szCs w:val="28"/>
          <w:highlight w:val="yellow"/>
        </w:rPr>
        <w:t xml:space="preserve">were </w:t>
      </w:r>
      <w:r>
        <w:rPr>
          <w:sz w:val="28"/>
          <w:szCs w:val="28"/>
        </w:rPr>
        <w:t xml:space="preserve">examined by Kato-Katz thick smear quantitative parasitological method (Appendix 2) to determine the number of parasitic eggs per gram of </w:t>
      </w:r>
      <w:proofErr w:type="spellStart"/>
      <w:r w:rsidR="006F305C" w:rsidRPr="00066047">
        <w:rPr>
          <w:sz w:val="28"/>
          <w:szCs w:val="28"/>
          <w:highlight w:val="yellow"/>
        </w:rPr>
        <w:t>faeces</w:t>
      </w:r>
      <w:proofErr w:type="spellEnd"/>
      <w:r w:rsidR="006F305C" w:rsidRPr="00066047">
        <w:rPr>
          <w:sz w:val="28"/>
          <w:szCs w:val="28"/>
          <w:highlight w:val="yellow"/>
        </w:rPr>
        <w:t xml:space="preserve"> </w:t>
      </w:r>
      <w:r>
        <w:rPr>
          <w:sz w:val="28"/>
          <w:szCs w:val="28"/>
        </w:rPr>
        <w:t xml:space="preserve">(WHO, 2014). The slides </w:t>
      </w:r>
      <w:r w:rsidR="006F305C" w:rsidRPr="00066047">
        <w:rPr>
          <w:sz w:val="28"/>
          <w:szCs w:val="28"/>
          <w:highlight w:val="yellow"/>
        </w:rPr>
        <w:t xml:space="preserve">were </w:t>
      </w:r>
      <w:r>
        <w:rPr>
          <w:sz w:val="28"/>
          <w:szCs w:val="28"/>
        </w:rPr>
        <w:t xml:space="preserve">read within 60 minutes after preparation to avoid </w:t>
      </w:r>
      <w:r w:rsidR="006F305C" w:rsidRPr="00066047">
        <w:rPr>
          <w:sz w:val="28"/>
          <w:szCs w:val="28"/>
          <w:highlight w:val="yellow"/>
        </w:rPr>
        <w:t xml:space="preserve">the </w:t>
      </w:r>
      <w:r>
        <w:rPr>
          <w:sz w:val="28"/>
          <w:szCs w:val="28"/>
        </w:rPr>
        <w:t>disappearance of hookworm eggs.</w:t>
      </w:r>
    </w:p>
    <w:p w14:paraId="1D965EA9" w14:textId="77777777" w:rsidR="009E493E" w:rsidRDefault="00253705">
      <w:pPr>
        <w:spacing w:line="480" w:lineRule="auto"/>
        <w:rPr>
          <w:sz w:val="28"/>
          <w:szCs w:val="28"/>
        </w:rPr>
      </w:pPr>
      <w:r>
        <w:rPr>
          <w:b/>
          <w:bCs/>
          <w:sz w:val="28"/>
          <w:szCs w:val="28"/>
        </w:rPr>
        <w:t>Quality Control</w:t>
      </w:r>
    </w:p>
    <w:p w14:paraId="2CBA2CA6" w14:textId="3EF3C654" w:rsidR="009E493E" w:rsidRDefault="00253705">
      <w:pPr>
        <w:spacing w:line="480" w:lineRule="auto"/>
        <w:rPr>
          <w:sz w:val="28"/>
          <w:szCs w:val="28"/>
        </w:rPr>
      </w:pPr>
      <w:r>
        <w:rPr>
          <w:sz w:val="28"/>
          <w:szCs w:val="28"/>
        </w:rPr>
        <w:t xml:space="preserve">In order to ensure the accuracy of the egg counts, quality control was performed on a number of slides randomly selected by an expert </w:t>
      </w:r>
      <w:proofErr w:type="spellStart"/>
      <w:r w:rsidR="006F305C" w:rsidRPr="00066047">
        <w:rPr>
          <w:sz w:val="28"/>
          <w:szCs w:val="28"/>
          <w:highlight w:val="yellow"/>
        </w:rPr>
        <w:t>microscopist</w:t>
      </w:r>
      <w:proofErr w:type="spellEnd"/>
      <w:r>
        <w:rPr>
          <w:sz w:val="28"/>
          <w:szCs w:val="28"/>
        </w:rPr>
        <w:t>.</w:t>
      </w:r>
    </w:p>
    <w:p w14:paraId="7D4F9911" w14:textId="77777777" w:rsidR="009E493E" w:rsidRDefault="00253705">
      <w:pPr>
        <w:spacing w:line="480" w:lineRule="auto"/>
        <w:rPr>
          <w:b/>
          <w:bCs/>
          <w:sz w:val="28"/>
          <w:szCs w:val="28"/>
        </w:rPr>
      </w:pPr>
      <w:r>
        <w:rPr>
          <w:b/>
          <w:bCs/>
          <w:sz w:val="28"/>
          <w:szCs w:val="28"/>
        </w:rPr>
        <w:t>Follow-up Survey</w:t>
      </w:r>
    </w:p>
    <w:p w14:paraId="71B02D4A" w14:textId="1BC3249A" w:rsidR="009E493E" w:rsidRDefault="00253705">
      <w:pPr>
        <w:spacing w:line="480" w:lineRule="auto"/>
        <w:rPr>
          <w:sz w:val="28"/>
          <w:szCs w:val="28"/>
        </w:rPr>
      </w:pPr>
      <w:r>
        <w:rPr>
          <w:sz w:val="28"/>
          <w:szCs w:val="28"/>
        </w:rPr>
        <w:lastRenderedPageBreak/>
        <w:t xml:space="preserve">An interval of 21 days after the treatment was observed before </w:t>
      </w:r>
      <w:r w:rsidR="006F305C" w:rsidRPr="00066047">
        <w:rPr>
          <w:sz w:val="28"/>
          <w:szCs w:val="28"/>
          <w:highlight w:val="yellow"/>
        </w:rPr>
        <w:t xml:space="preserve">the </w:t>
      </w:r>
      <w:r>
        <w:rPr>
          <w:sz w:val="28"/>
          <w:szCs w:val="28"/>
        </w:rPr>
        <w:t xml:space="preserve">collection of </w:t>
      </w:r>
      <w:r w:rsidR="006F305C" w:rsidRPr="00066047">
        <w:rPr>
          <w:sz w:val="28"/>
          <w:szCs w:val="28"/>
          <w:highlight w:val="yellow"/>
        </w:rPr>
        <w:t xml:space="preserve">the </w:t>
      </w:r>
      <w:r>
        <w:rPr>
          <w:sz w:val="28"/>
          <w:szCs w:val="28"/>
        </w:rPr>
        <w:t xml:space="preserve">follow-up sample/data was employed. Only children </w:t>
      </w:r>
      <w:r w:rsidR="006F305C" w:rsidRPr="00066047">
        <w:rPr>
          <w:sz w:val="28"/>
          <w:szCs w:val="28"/>
          <w:highlight w:val="yellow"/>
        </w:rPr>
        <w:t xml:space="preserve">who </w:t>
      </w:r>
      <w:r>
        <w:rPr>
          <w:sz w:val="28"/>
          <w:szCs w:val="28"/>
        </w:rPr>
        <w:t xml:space="preserve">had a positive specimen at baseline were provided a second specimen after 21 days. Children who were not at home on the follow-up day or </w:t>
      </w:r>
      <w:r w:rsidR="006F305C" w:rsidRPr="00066047">
        <w:rPr>
          <w:sz w:val="28"/>
          <w:szCs w:val="28"/>
          <w:highlight w:val="yellow"/>
        </w:rPr>
        <w:t xml:space="preserve">did </w:t>
      </w:r>
      <w:r>
        <w:rPr>
          <w:sz w:val="28"/>
          <w:szCs w:val="28"/>
        </w:rPr>
        <w:t xml:space="preserve">not bring a specimen were </w:t>
      </w:r>
      <w:r w:rsidR="006F305C" w:rsidRPr="00066047">
        <w:rPr>
          <w:sz w:val="28"/>
          <w:szCs w:val="28"/>
          <w:highlight w:val="yellow"/>
        </w:rPr>
        <w:t>followed up</w:t>
      </w:r>
      <w:r w:rsidRPr="00066047">
        <w:rPr>
          <w:sz w:val="28"/>
          <w:szCs w:val="28"/>
          <w:highlight w:val="yellow"/>
        </w:rPr>
        <w:t xml:space="preserve"> </w:t>
      </w:r>
      <w:r>
        <w:rPr>
          <w:sz w:val="28"/>
          <w:szCs w:val="28"/>
        </w:rPr>
        <w:t xml:space="preserve">1 or 2 days later. The laboratory method used in the baseline survey was also used in the follow-up. That was to </w:t>
      </w:r>
      <w:r w:rsidR="006F305C" w:rsidRPr="00066047">
        <w:rPr>
          <w:sz w:val="28"/>
          <w:szCs w:val="28"/>
          <w:highlight w:val="yellow"/>
        </w:rPr>
        <w:t>assess</w:t>
      </w:r>
      <w:r w:rsidR="006F305C">
        <w:rPr>
          <w:sz w:val="28"/>
          <w:szCs w:val="28"/>
        </w:rPr>
        <w:t xml:space="preserve"> </w:t>
      </w:r>
      <w:r>
        <w:rPr>
          <w:sz w:val="28"/>
          <w:szCs w:val="28"/>
        </w:rPr>
        <w:t>albendazole efficacy following the WHO guidelines (WHO, 2014).</w:t>
      </w:r>
    </w:p>
    <w:p w14:paraId="0EC66380" w14:textId="77777777" w:rsidR="009E493E" w:rsidRDefault="00253705">
      <w:pPr>
        <w:spacing w:line="480" w:lineRule="auto"/>
        <w:rPr>
          <w:sz w:val="28"/>
          <w:szCs w:val="28"/>
        </w:rPr>
      </w:pPr>
      <w:r>
        <w:rPr>
          <w:sz w:val="28"/>
          <w:szCs w:val="28"/>
        </w:rPr>
        <w:t>RESULTS</w:t>
      </w:r>
    </w:p>
    <w:p w14:paraId="6BE3E377" w14:textId="5A2EA7DE" w:rsidR="009E493E" w:rsidRDefault="00253705">
      <w:pPr>
        <w:spacing w:line="480" w:lineRule="auto"/>
        <w:rPr>
          <w:sz w:val="28"/>
          <w:szCs w:val="28"/>
        </w:rPr>
      </w:pPr>
      <w:r>
        <w:rPr>
          <w:sz w:val="28"/>
          <w:szCs w:val="28"/>
        </w:rPr>
        <w:t xml:space="preserve">When the stool sample was collected, a total of 289 samples were collected, 280 children had no </w:t>
      </w:r>
      <w:proofErr w:type="spellStart"/>
      <w:r w:rsidR="006F305C" w:rsidRPr="00066047">
        <w:rPr>
          <w:sz w:val="28"/>
          <w:szCs w:val="28"/>
          <w:highlight w:val="yellow"/>
        </w:rPr>
        <w:t>diarrhoea</w:t>
      </w:r>
      <w:proofErr w:type="spellEnd"/>
      <w:r w:rsidR="006F305C">
        <w:rPr>
          <w:sz w:val="28"/>
          <w:szCs w:val="28"/>
        </w:rPr>
        <w:t xml:space="preserve">, </w:t>
      </w:r>
      <w:r>
        <w:rPr>
          <w:sz w:val="28"/>
          <w:szCs w:val="28"/>
        </w:rPr>
        <w:t xml:space="preserve">while 9 children </w:t>
      </w:r>
      <w:proofErr w:type="gramStart"/>
      <w:r>
        <w:rPr>
          <w:sz w:val="28"/>
          <w:szCs w:val="28"/>
        </w:rPr>
        <w:t xml:space="preserve">had </w:t>
      </w:r>
      <w:r w:rsidR="006F305C">
        <w:rPr>
          <w:sz w:val="28"/>
          <w:szCs w:val="28"/>
        </w:rPr>
        <w:t>,</w:t>
      </w:r>
      <w:proofErr w:type="spellStart"/>
      <w:r w:rsidR="006F305C" w:rsidRPr="00066047">
        <w:rPr>
          <w:sz w:val="28"/>
          <w:szCs w:val="28"/>
          <w:highlight w:val="yellow"/>
        </w:rPr>
        <w:t>diarrhoea</w:t>
      </w:r>
      <w:proofErr w:type="spellEnd"/>
      <w:proofErr w:type="gramEnd"/>
      <w:r w:rsidR="006F305C" w:rsidRPr="00066047">
        <w:rPr>
          <w:sz w:val="28"/>
          <w:szCs w:val="28"/>
          <w:highlight w:val="yellow"/>
        </w:rPr>
        <w:t xml:space="preserve"> </w:t>
      </w:r>
      <w:r>
        <w:rPr>
          <w:sz w:val="28"/>
          <w:szCs w:val="28"/>
        </w:rPr>
        <w:t>showing a 96.9% and 3.11% respectively</w:t>
      </w:r>
    </w:p>
    <w:p w14:paraId="209A2E64" w14:textId="4AEAE18A" w:rsidR="009E493E" w:rsidRDefault="00253705">
      <w:pPr>
        <w:spacing w:line="480" w:lineRule="auto"/>
        <w:rPr>
          <w:sz w:val="28"/>
          <w:szCs w:val="28"/>
        </w:rPr>
      </w:pPr>
      <w:r>
        <w:rPr>
          <w:sz w:val="28"/>
          <w:szCs w:val="28"/>
        </w:rPr>
        <w:t xml:space="preserve">At baseline, the prevalence of Ascaris lumbricoides, hookworms, and Trichuris </w:t>
      </w:r>
      <w:proofErr w:type="spellStart"/>
      <w:r>
        <w:rPr>
          <w:sz w:val="28"/>
          <w:szCs w:val="28"/>
        </w:rPr>
        <w:t>trichiura</w:t>
      </w:r>
      <w:proofErr w:type="spellEnd"/>
      <w:r>
        <w:rPr>
          <w:sz w:val="28"/>
          <w:szCs w:val="28"/>
        </w:rPr>
        <w:t xml:space="preserve"> was 61.61%, 38.39%, and 3.57%, respectively. The children </w:t>
      </w:r>
      <w:r w:rsidR="006F305C" w:rsidRPr="00066047">
        <w:rPr>
          <w:sz w:val="28"/>
          <w:szCs w:val="28"/>
          <w:highlight w:val="yellow"/>
        </w:rPr>
        <w:t>who</w:t>
      </w:r>
      <w:r w:rsidR="006F305C">
        <w:rPr>
          <w:sz w:val="28"/>
          <w:szCs w:val="28"/>
        </w:rPr>
        <w:t xml:space="preserve"> </w:t>
      </w:r>
      <w:r>
        <w:rPr>
          <w:sz w:val="28"/>
          <w:szCs w:val="28"/>
        </w:rPr>
        <w:t>took albendazole/</w:t>
      </w:r>
      <w:proofErr w:type="spellStart"/>
      <w:r>
        <w:rPr>
          <w:sz w:val="28"/>
          <w:szCs w:val="28"/>
        </w:rPr>
        <w:t>antihelmintics</w:t>
      </w:r>
      <w:proofErr w:type="spellEnd"/>
      <w:r>
        <w:rPr>
          <w:sz w:val="28"/>
          <w:szCs w:val="28"/>
        </w:rPr>
        <w:t xml:space="preserve"> (other drugs) in the past 6 months were 112</w:t>
      </w:r>
      <w:r w:rsidR="006F305C">
        <w:rPr>
          <w:sz w:val="28"/>
          <w:szCs w:val="28"/>
        </w:rPr>
        <w:t>,</w:t>
      </w:r>
      <w:r>
        <w:rPr>
          <w:sz w:val="28"/>
          <w:szCs w:val="28"/>
        </w:rPr>
        <w:t xml:space="preserve"> while 172 did not</w:t>
      </w:r>
      <w:r w:rsidR="006F305C">
        <w:rPr>
          <w:sz w:val="28"/>
          <w:szCs w:val="28"/>
        </w:rPr>
        <w:t>,</w:t>
      </w:r>
      <w:r>
        <w:rPr>
          <w:sz w:val="28"/>
          <w:szCs w:val="28"/>
        </w:rPr>
        <w:t xml:space="preserve"> and 5 of the children did not know</w:t>
      </w:r>
      <w:r w:rsidR="006F305C">
        <w:rPr>
          <w:sz w:val="28"/>
          <w:szCs w:val="28"/>
        </w:rPr>
        <w:t>,</w:t>
      </w:r>
      <w:r>
        <w:rPr>
          <w:sz w:val="28"/>
          <w:szCs w:val="28"/>
        </w:rPr>
        <w:t xml:space="preserve"> representing 39%, 59.3% and 1.7% respectively (Refer to Table 1- Stool Data Collection Table).</w:t>
      </w:r>
    </w:p>
    <w:p w14:paraId="4EF3649C" w14:textId="470DFFD2" w:rsidR="009E493E" w:rsidRPr="00BE0C92" w:rsidRDefault="00253705" w:rsidP="00BE0C92">
      <w:pPr>
        <w:spacing w:before="273" w:line="480" w:lineRule="auto"/>
        <w:ind w:left="720"/>
        <w:rPr>
          <w:b/>
          <w:spacing w:val="-2"/>
          <w:sz w:val="24"/>
        </w:rPr>
      </w:pPr>
      <w:r>
        <w:rPr>
          <w:b/>
          <w:sz w:val="24"/>
        </w:rPr>
        <w:t>Table</w:t>
      </w:r>
      <w:r>
        <w:rPr>
          <w:b/>
          <w:spacing w:val="-7"/>
          <w:sz w:val="24"/>
        </w:rPr>
        <w:t xml:space="preserve"> </w:t>
      </w:r>
      <w:r>
        <w:rPr>
          <w:b/>
          <w:sz w:val="24"/>
        </w:rPr>
        <w:t>1</w:t>
      </w:r>
      <w:r w:rsidR="00BE0C92">
        <w:rPr>
          <w:b/>
          <w:sz w:val="24"/>
        </w:rPr>
        <w:t>-</w:t>
      </w:r>
      <w:r>
        <w:rPr>
          <w:b/>
          <w:spacing w:val="-2"/>
          <w:sz w:val="24"/>
        </w:rPr>
        <w:t xml:space="preserve"> </w:t>
      </w:r>
      <w:r>
        <w:rPr>
          <w:b/>
          <w:sz w:val="24"/>
        </w:rPr>
        <w:t>Stool</w:t>
      </w:r>
      <w:r>
        <w:rPr>
          <w:b/>
          <w:spacing w:val="-1"/>
          <w:sz w:val="24"/>
        </w:rPr>
        <w:t xml:space="preserve"> </w:t>
      </w:r>
      <w:r>
        <w:rPr>
          <w:b/>
          <w:sz w:val="24"/>
        </w:rPr>
        <w:t>Data</w:t>
      </w:r>
      <w:r>
        <w:rPr>
          <w:b/>
          <w:spacing w:val="2"/>
          <w:sz w:val="24"/>
        </w:rPr>
        <w:t xml:space="preserve"> </w:t>
      </w:r>
      <w:proofErr w:type="gramStart"/>
      <w:r>
        <w:rPr>
          <w:b/>
          <w:spacing w:val="-2"/>
          <w:sz w:val="24"/>
        </w:rPr>
        <w:t>Collection</w:t>
      </w:r>
      <w:r w:rsidR="00BE0C92">
        <w:rPr>
          <w:b/>
          <w:spacing w:val="-2"/>
          <w:sz w:val="24"/>
        </w:rPr>
        <w:t xml:space="preserve"> :</w:t>
      </w:r>
      <w:r>
        <w:rPr>
          <w:b/>
          <w:spacing w:val="-2"/>
          <w:sz w:val="24"/>
        </w:rPr>
        <w:t>Distribution</w:t>
      </w:r>
      <w:proofErr w:type="gramEnd"/>
      <w:r>
        <w:rPr>
          <w:b/>
          <w:spacing w:val="-2"/>
          <w:sz w:val="24"/>
        </w:rPr>
        <w:t xml:space="preserve"> of </w:t>
      </w:r>
      <w:proofErr w:type="spellStart"/>
      <w:r>
        <w:rPr>
          <w:b/>
          <w:spacing w:val="-2"/>
          <w:sz w:val="24"/>
        </w:rPr>
        <w:t>diarrhoea</w:t>
      </w:r>
      <w:proofErr w:type="spellEnd"/>
      <w:r>
        <w:rPr>
          <w:b/>
          <w:spacing w:val="-2"/>
          <w:sz w:val="24"/>
        </w:rPr>
        <w:t xml:space="preserve"> and </w:t>
      </w:r>
      <w:r w:rsidR="006F305C" w:rsidRPr="00066047">
        <w:rPr>
          <w:b/>
          <w:spacing w:val="-2"/>
          <w:sz w:val="24"/>
          <w:highlight w:val="yellow"/>
        </w:rPr>
        <w:t>post-</w:t>
      </w:r>
      <w:proofErr w:type="spellStart"/>
      <w:r w:rsidR="006F305C" w:rsidRPr="00066047">
        <w:rPr>
          <w:b/>
          <w:spacing w:val="-2"/>
          <w:sz w:val="24"/>
          <w:highlight w:val="yellow"/>
        </w:rPr>
        <w:t>antihelmintic</w:t>
      </w:r>
      <w:proofErr w:type="spellEnd"/>
      <w:r>
        <w:rPr>
          <w:b/>
          <w:spacing w:val="-2"/>
          <w:sz w:val="24"/>
        </w:rPr>
        <w:t xml:space="preserve"> intake among participants</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6"/>
        <w:gridCol w:w="3117"/>
        <w:gridCol w:w="3117"/>
      </w:tblGrid>
      <w:tr w:rsidR="009E493E" w14:paraId="27F536F6" w14:textId="77777777">
        <w:trPr>
          <w:trHeight w:val="552"/>
        </w:trPr>
        <w:tc>
          <w:tcPr>
            <w:tcW w:w="3116" w:type="dxa"/>
          </w:tcPr>
          <w:p w14:paraId="6A67A43D" w14:textId="4AE46421" w:rsidR="009E493E" w:rsidRDefault="00253705">
            <w:pPr>
              <w:pStyle w:val="TableParagraph"/>
              <w:spacing w:before="0" w:line="480" w:lineRule="auto"/>
              <w:ind w:left="0" w:right="670"/>
              <w:jc w:val="right"/>
              <w:rPr>
                <w:b/>
                <w:sz w:val="24"/>
              </w:rPr>
            </w:pPr>
            <w:r>
              <w:rPr>
                <w:b/>
                <w:sz w:val="24"/>
              </w:rPr>
              <w:t>The</w:t>
            </w:r>
            <w:r>
              <w:rPr>
                <w:b/>
                <w:spacing w:val="-2"/>
                <w:sz w:val="24"/>
              </w:rPr>
              <w:t xml:space="preserve"> </w:t>
            </w:r>
            <w:r>
              <w:rPr>
                <w:b/>
                <w:sz w:val="24"/>
              </w:rPr>
              <w:t>child</w:t>
            </w:r>
            <w:r>
              <w:rPr>
                <w:b/>
                <w:spacing w:val="-4"/>
                <w:sz w:val="24"/>
              </w:rPr>
              <w:t xml:space="preserve"> </w:t>
            </w:r>
            <w:r>
              <w:rPr>
                <w:b/>
                <w:sz w:val="24"/>
              </w:rPr>
              <w:t xml:space="preserve">has </w:t>
            </w:r>
            <w:proofErr w:type="spellStart"/>
            <w:r w:rsidR="006F305C" w:rsidRPr="00066047">
              <w:rPr>
                <w:b/>
                <w:spacing w:val="-2"/>
                <w:sz w:val="24"/>
                <w:highlight w:val="yellow"/>
              </w:rPr>
              <w:t>diarrhoea</w:t>
            </w:r>
            <w:proofErr w:type="spellEnd"/>
          </w:p>
        </w:tc>
        <w:tc>
          <w:tcPr>
            <w:tcW w:w="3117" w:type="dxa"/>
          </w:tcPr>
          <w:p w14:paraId="2514A3C2" w14:textId="77777777" w:rsidR="009E493E" w:rsidRDefault="00253705">
            <w:pPr>
              <w:pStyle w:val="TableParagraph"/>
              <w:spacing w:before="0" w:line="480" w:lineRule="auto"/>
              <w:ind w:left="106"/>
              <w:rPr>
                <w:b/>
                <w:sz w:val="24"/>
              </w:rPr>
            </w:pPr>
            <w:r>
              <w:rPr>
                <w:b/>
                <w:spacing w:val="-2"/>
                <w:sz w:val="24"/>
              </w:rPr>
              <w:t>Frequency</w:t>
            </w:r>
          </w:p>
        </w:tc>
        <w:tc>
          <w:tcPr>
            <w:tcW w:w="3117" w:type="dxa"/>
          </w:tcPr>
          <w:p w14:paraId="23DB1D06" w14:textId="77777777" w:rsidR="009E493E" w:rsidRDefault="00253705">
            <w:pPr>
              <w:pStyle w:val="TableParagraph"/>
              <w:spacing w:before="0" w:line="480" w:lineRule="auto"/>
              <w:ind w:left="107"/>
              <w:rPr>
                <w:b/>
                <w:sz w:val="24"/>
              </w:rPr>
            </w:pPr>
            <w:r>
              <w:rPr>
                <w:b/>
                <w:sz w:val="24"/>
              </w:rPr>
              <w:t>Percentage</w:t>
            </w:r>
            <w:r>
              <w:rPr>
                <w:b/>
                <w:spacing w:val="-3"/>
                <w:sz w:val="24"/>
              </w:rPr>
              <w:t xml:space="preserve"> </w:t>
            </w:r>
            <w:r>
              <w:rPr>
                <w:b/>
                <w:spacing w:val="-5"/>
                <w:sz w:val="24"/>
              </w:rPr>
              <w:t>(%)</w:t>
            </w:r>
          </w:p>
        </w:tc>
      </w:tr>
      <w:tr w:rsidR="009E493E" w14:paraId="4DAB2EDA" w14:textId="77777777">
        <w:trPr>
          <w:trHeight w:val="552"/>
        </w:trPr>
        <w:tc>
          <w:tcPr>
            <w:tcW w:w="3116" w:type="dxa"/>
          </w:tcPr>
          <w:p w14:paraId="054A55A9" w14:textId="77777777" w:rsidR="009E493E" w:rsidRDefault="009E493E">
            <w:pPr>
              <w:pStyle w:val="TableParagraph"/>
              <w:spacing w:before="0" w:line="480" w:lineRule="auto"/>
              <w:ind w:left="0"/>
            </w:pPr>
          </w:p>
        </w:tc>
        <w:tc>
          <w:tcPr>
            <w:tcW w:w="3117" w:type="dxa"/>
          </w:tcPr>
          <w:p w14:paraId="0FC4E327" w14:textId="77777777" w:rsidR="009E493E" w:rsidRDefault="009E493E">
            <w:pPr>
              <w:pStyle w:val="TableParagraph"/>
              <w:spacing w:before="0" w:line="480" w:lineRule="auto"/>
              <w:ind w:left="0"/>
            </w:pPr>
          </w:p>
        </w:tc>
        <w:tc>
          <w:tcPr>
            <w:tcW w:w="3117" w:type="dxa"/>
          </w:tcPr>
          <w:p w14:paraId="0F4B0FD6" w14:textId="77777777" w:rsidR="009E493E" w:rsidRDefault="009E493E">
            <w:pPr>
              <w:pStyle w:val="TableParagraph"/>
              <w:spacing w:before="0" w:line="480" w:lineRule="auto"/>
              <w:ind w:left="0"/>
            </w:pPr>
          </w:p>
        </w:tc>
      </w:tr>
      <w:tr w:rsidR="009E493E" w14:paraId="1332935F" w14:textId="77777777">
        <w:trPr>
          <w:trHeight w:val="552"/>
        </w:trPr>
        <w:tc>
          <w:tcPr>
            <w:tcW w:w="3116" w:type="dxa"/>
          </w:tcPr>
          <w:p w14:paraId="3B313E2F" w14:textId="77777777" w:rsidR="009E493E" w:rsidRDefault="00253705">
            <w:pPr>
              <w:pStyle w:val="TableParagraph"/>
              <w:spacing w:before="0" w:line="480" w:lineRule="auto"/>
              <w:ind w:left="587"/>
              <w:rPr>
                <w:sz w:val="24"/>
              </w:rPr>
            </w:pPr>
            <w:r>
              <w:rPr>
                <w:spacing w:val="-5"/>
                <w:sz w:val="24"/>
              </w:rPr>
              <w:t>NO</w:t>
            </w:r>
          </w:p>
        </w:tc>
        <w:tc>
          <w:tcPr>
            <w:tcW w:w="3117" w:type="dxa"/>
          </w:tcPr>
          <w:p w14:paraId="6B2B5482" w14:textId="77777777" w:rsidR="009E493E" w:rsidRDefault="00253705">
            <w:pPr>
              <w:pStyle w:val="TableParagraph"/>
              <w:spacing w:before="0" w:line="480" w:lineRule="auto"/>
              <w:ind w:left="106"/>
              <w:rPr>
                <w:sz w:val="24"/>
              </w:rPr>
            </w:pPr>
            <w:r>
              <w:rPr>
                <w:spacing w:val="-5"/>
                <w:sz w:val="24"/>
              </w:rPr>
              <w:t>280</w:t>
            </w:r>
          </w:p>
        </w:tc>
        <w:tc>
          <w:tcPr>
            <w:tcW w:w="3117" w:type="dxa"/>
          </w:tcPr>
          <w:p w14:paraId="7855EB58" w14:textId="77777777" w:rsidR="009E493E" w:rsidRDefault="00253705">
            <w:pPr>
              <w:pStyle w:val="TableParagraph"/>
              <w:spacing w:before="0" w:line="480" w:lineRule="auto"/>
              <w:ind w:left="107"/>
              <w:rPr>
                <w:sz w:val="24"/>
              </w:rPr>
            </w:pPr>
            <w:r>
              <w:rPr>
                <w:spacing w:val="-2"/>
                <w:sz w:val="24"/>
              </w:rPr>
              <w:t>96.9%</w:t>
            </w:r>
          </w:p>
        </w:tc>
      </w:tr>
      <w:tr w:rsidR="009E493E" w14:paraId="46E30F19" w14:textId="77777777">
        <w:trPr>
          <w:trHeight w:val="1103"/>
        </w:trPr>
        <w:tc>
          <w:tcPr>
            <w:tcW w:w="3116" w:type="dxa"/>
          </w:tcPr>
          <w:p w14:paraId="164C557E" w14:textId="77777777" w:rsidR="009E493E" w:rsidRDefault="00253705">
            <w:pPr>
              <w:pStyle w:val="TableParagraph"/>
              <w:spacing w:before="0" w:line="480" w:lineRule="auto"/>
              <w:ind w:left="107"/>
              <w:rPr>
                <w:sz w:val="24"/>
              </w:rPr>
            </w:pPr>
            <w:r>
              <w:rPr>
                <w:sz w:val="24"/>
              </w:rPr>
              <w:lastRenderedPageBreak/>
              <w:t>The</w:t>
            </w:r>
            <w:r>
              <w:rPr>
                <w:spacing w:val="53"/>
                <w:sz w:val="24"/>
              </w:rPr>
              <w:t xml:space="preserve"> </w:t>
            </w:r>
            <w:r>
              <w:rPr>
                <w:sz w:val="24"/>
              </w:rPr>
              <w:t>child</w:t>
            </w:r>
            <w:r>
              <w:rPr>
                <w:spacing w:val="54"/>
                <w:sz w:val="24"/>
              </w:rPr>
              <w:t xml:space="preserve"> </w:t>
            </w:r>
            <w:proofErr w:type="gramStart"/>
            <w:r>
              <w:rPr>
                <w:sz w:val="24"/>
              </w:rPr>
              <w:t>take</w:t>
            </w:r>
            <w:proofErr w:type="gramEnd"/>
            <w:r>
              <w:rPr>
                <w:spacing w:val="55"/>
                <w:sz w:val="24"/>
              </w:rPr>
              <w:t xml:space="preserve"> </w:t>
            </w:r>
            <w:r>
              <w:rPr>
                <w:sz w:val="24"/>
              </w:rPr>
              <w:t>other</w:t>
            </w:r>
            <w:r>
              <w:rPr>
                <w:spacing w:val="53"/>
                <w:sz w:val="24"/>
              </w:rPr>
              <w:t xml:space="preserve"> </w:t>
            </w:r>
            <w:r>
              <w:rPr>
                <w:spacing w:val="-2"/>
                <w:sz w:val="24"/>
              </w:rPr>
              <w:t>drug(s)</w:t>
            </w:r>
          </w:p>
          <w:p w14:paraId="09787C2C" w14:textId="77777777" w:rsidR="009E493E" w:rsidRDefault="009E493E">
            <w:pPr>
              <w:pStyle w:val="TableParagraph"/>
              <w:spacing w:before="0" w:line="480" w:lineRule="auto"/>
              <w:ind w:left="0"/>
              <w:rPr>
                <w:b/>
                <w:sz w:val="24"/>
              </w:rPr>
            </w:pPr>
          </w:p>
          <w:p w14:paraId="6E405CB4" w14:textId="77777777" w:rsidR="009E493E" w:rsidRDefault="00253705">
            <w:pPr>
              <w:pStyle w:val="TableParagraph"/>
              <w:spacing w:before="0" w:line="480" w:lineRule="auto"/>
              <w:ind w:left="107"/>
              <w:rPr>
                <w:sz w:val="24"/>
              </w:rPr>
            </w:pPr>
            <w:r>
              <w:rPr>
                <w:sz w:val="24"/>
              </w:rPr>
              <w:t>in</w:t>
            </w:r>
            <w:r>
              <w:rPr>
                <w:spacing w:val="-4"/>
                <w:sz w:val="24"/>
              </w:rPr>
              <w:t xml:space="preserve"> </w:t>
            </w:r>
            <w:r>
              <w:rPr>
                <w:sz w:val="24"/>
              </w:rPr>
              <w:t>the</w:t>
            </w:r>
            <w:r>
              <w:rPr>
                <w:spacing w:val="1"/>
                <w:sz w:val="24"/>
              </w:rPr>
              <w:t xml:space="preserve"> </w:t>
            </w:r>
            <w:r>
              <w:rPr>
                <w:sz w:val="24"/>
              </w:rPr>
              <w:t xml:space="preserve">past 6 </w:t>
            </w:r>
            <w:r>
              <w:rPr>
                <w:spacing w:val="-2"/>
                <w:sz w:val="24"/>
              </w:rPr>
              <w:t>months</w:t>
            </w:r>
          </w:p>
        </w:tc>
        <w:tc>
          <w:tcPr>
            <w:tcW w:w="3117" w:type="dxa"/>
          </w:tcPr>
          <w:p w14:paraId="3631527D" w14:textId="77777777" w:rsidR="009E493E" w:rsidRDefault="009E493E">
            <w:pPr>
              <w:pStyle w:val="TableParagraph"/>
              <w:spacing w:before="0" w:line="480" w:lineRule="auto"/>
              <w:ind w:left="0"/>
            </w:pPr>
          </w:p>
        </w:tc>
        <w:tc>
          <w:tcPr>
            <w:tcW w:w="3117" w:type="dxa"/>
          </w:tcPr>
          <w:p w14:paraId="1D364ADF" w14:textId="77777777" w:rsidR="009E493E" w:rsidRDefault="009E493E">
            <w:pPr>
              <w:pStyle w:val="TableParagraph"/>
              <w:spacing w:before="0" w:line="480" w:lineRule="auto"/>
              <w:ind w:left="0"/>
            </w:pPr>
          </w:p>
        </w:tc>
      </w:tr>
      <w:tr w:rsidR="009E493E" w14:paraId="677E0CB3" w14:textId="77777777">
        <w:trPr>
          <w:trHeight w:val="552"/>
        </w:trPr>
        <w:tc>
          <w:tcPr>
            <w:tcW w:w="3116" w:type="dxa"/>
          </w:tcPr>
          <w:p w14:paraId="0FC713DE" w14:textId="77777777" w:rsidR="009E493E" w:rsidRDefault="00253705">
            <w:pPr>
              <w:pStyle w:val="TableParagraph"/>
              <w:spacing w:before="0" w:line="480" w:lineRule="auto"/>
              <w:ind w:left="707"/>
              <w:rPr>
                <w:sz w:val="24"/>
              </w:rPr>
            </w:pPr>
            <w:r>
              <w:rPr>
                <w:spacing w:val="-5"/>
                <w:sz w:val="24"/>
              </w:rPr>
              <w:t>YES</w:t>
            </w:r>
          </w:p>
        </w:tc>
        <w:tc>
          <w:tcPr>
            <w:tcW w:w="3117" w:type="dxa"/>
          </w:tcPr>
          <w:p w14:paraId="6351E0B2" w14:textId="77777777" w:rsidR="009E493E" w:rsidRDefault="00253705">
            <w:pPr>
              <w:pStyle w:val="TableParagraph"/>
              <w:spacing w:before="0" w:line="480" w:lineRule="auto"/>
              <w:ind w:left="106"/>
              <w:rPr>
                <w:sz w:val="24"/>
              </w:rPr>
            </w:pPr>
            <w:r>
              <w:rPr>
                <w:spacing w:val="-5"/>
                <w:sz w:val="24"/>
              </w:rPr>
              <w:t>112</w:t>
            </w:r>
          </w:p>
        </w:tc>
        <w:tc>
          <w:tcPr>
            <w:tcW w:w="3117" w:type="dxa"/>
          </w:tcPr>
          <w:p w14:paraId="5725FD94" w14:textId="77777777" w:rsidR="009E493E" w:rsidRDefault="00253705">
            <w:pPr>
              <w:pStyle w:val="TableParagraph"/>
              <w:spacing w:before="0" w:line="480" w:lineRule="auto"/>
              <w:ind w:left="107"/>
              <w:rPr>
                <w:sz w:val="24"/>
              </w:rPr>
            </w:pPr>
            <w:r>
              <w:rPr>
                <w:spacing w:val="-5"/>
                <w:sz w:val="24"/>
              </w:rPr>
              <w:t>39%</w:t>
            </w:r>
          </w:p>
        </w:tc>
      </w:tr>
      <w:tr w:rsidR="009E493E" w14:paraId="686F959D" w14:textId="77777777">
        <w:trPr>
          <w:trHeight w:val="552"/>
        </w:trPr>
        <w:tc>
          <w:tcPr>
            <w:tcW w:w="3116" w:type="dxa"/>
          </w:tcPr>
          <w:p w14:paraId="69BA2B7B" w14:textId="77777777" w:rsidR="009E493E" w:rsidRDefault="00253705">
            <w:pPr>
              <w:pStyle w:val="TableParagraph"/>
              <w:spacing w:before="0" w:line="480" w:lineRule="auto"/>
              <w:ind w:left="707"/>
              <w:rPr>
                <w:sz w:val="24"/>
              </w:rPr>
            </w:pPr>
            <w:r>
              <w:rPr>
                <w:spacing w:val="-5"/>
                <w:sz w:val="24"/>
              </w:rPr>
              <w:t>NO</w:t>
            </w:r>
          </w:p>
        </w:tc>
        <w:tc>
          <w:tcPr>
            <w:tcW w:w="3117" w:type="dxa"/>
          </w:tcPr>
          <w:p w14:paraId="26230293" w14:textId="77777777" w:rsidR="009E493E" w:rsidRDefault="00253705">
            <w:pPr>
              <w:pStyle w:val="TableParagraph"/>
              <w:spacing w:before="0" w:line="480" w:lineRule="auto"/>
              <w:ind w:left="106"/>
              <w:rPr>
                <w:sz w:val="24"/>
              </w:rPr>
            </w:pPr>
            <w:r>
              <w:rPr>
                <w:spacing w:val="-5"/>
                <w:sz w:val="24"/>
              </w:rPr>
              <w:t>172</w:t>
            </w:r>
          </w:p>
        </w:tc>
        <w:tc>
          <w:tcPr>
            <w:tcW w:w="3117" w:type="dxa"/>
          </w:tcPr>
          <w:p w14:paraId="282682AB" w14:textId="77777777" w:rsidR="009E493E" w:rsidRDefault="00253705">
            <w:pPr>
              <w:pStyle w:val="TableParagraph"/>
              <w:spacing w:before="0" w:line="480" w:lineRule="auto"/>
              <w:ind w:left="107"/>
              <w:rPr>
                <w:sz w:val="24"/>
              </w:rPr>
            </w:pPr>
            <w:r>
              <w:rPr>
                <w:spacing w:val="-2"/>
                <w:sz w:val="24"/>
              </w:rPr>
              <w:t>59.3%</w:t>
            </w:r>
          </w:p>
        </w:tc>
      </w:tr>
      <w:tr w:rsidR="009E493E" w14:paraId="62397C17" w14:textId="77777777">
        <w:trPr>
          <w:trHeight w:val="551"/>
        </w:trPr>
        <w:tc>
          <w:tcPr>
            <w:tcW w:w="3116" w:type="dxa"/>
          </w:tcPr>
          <w:p w14:paraId="1BCB8A6B" w14:textId="77777777" w:rsidR="009E493E" w:rsidRDefault="00253705">
            <w:pPr>
              <w:pStyle w:val="TableParagraph"/>
              <w:spacing w:before="0" w:line="480" w:lineRule="auto"/>
              <w:ind w:left="0" w:right="705"/>
              <w:jc w:val="right"/>
              <w:rPr>
                <w:sz w:val="24"/>
              </w:rPr>
            </w:pPr>
            <w:r>
              <w:rPr>
                <w:sz w:val="24"/>
              </w:rPr>
              <w:t>I</w:t>
            </w:r>
            <w:r>
              <w:rPr>
                <w:spacing w:val="-2"/>
                <w:sz w:val="24"/>
              </w:rPr>
              <w:t xml:space="preserve"> </w:t>
            </w:r>
            <w:r>
              <w:rPr>
                <w:sz w:val="24"/>
              </w:rPr>
              <w:t>DON’T</w:t>
            </w:r>
            <w:r>
              <w:rPr>
                <w:spacing w:val="-2"/>
                <w:sz w:val="24"/>
              </w:rPr>
              <w:t xml:space="preserve"> </w:t>
            </w:r>
            <w:r>
              <w:rPr>
                <w:spacing w:val="-4"/>
                <w:sz w:val="24"/>
              </w:rPr>
              <w:t>KNOW</w:t>
            </w:r>
          </w:p>
        </w:tc>
        <w:tc>
          <w:tcPr>
            <w:tcW w:w="3117" w:type="dxa"/>
          </w:tcPr>
          <w:p w14:paraId="6A89F14D" w14:textId="77777777" w:rsidR="009E493E" w:rsidRDefault="00253705">
            <w:pPr>
              <w:pStyle w:val="TableParagraph"/>
              <w:spacing w:before="0" w:line="480" w:lineRule="auto"/>
              <w:ind w:left="106"/>
              <w:rPr>
                <w:sz w:val="24"/>
              </w:rPr>
            </w:pPr>
            <w:r>
              <w:rPr>
                <w:spacing w:val="-10"/>
                <w:sz w:val="24"/>
              </w:rPr>
              <w:t>5</w:t>
            </w:r>
          </w:p>
        </w:tc>
        <w:tc>
          <w:tcPr>
            <w:tcW w:w="3117" w:type="dxa"/>
          </w:tcPr>
          <w:p w14:paraId="48FB0D49" w14:textId="77777777" w:rsidR="009E493E" w:rsidRDefault="00253705">
            <w:pPr>
              <w:pStyle w:val="TableParagraph"/>
              <w:spacing w:before="0" w:line="480" w:lineRule="auto"/>
              <w:ind w:left="107"/>
              <w:rPr>
                <w:sz w:val="24"/>
              </w:rPr>
            </w:pPr>
            <w:r>
              <w:rPr>
                <w:spacing w:val="-4"/>
                <w:sz w:val="24"/>
              </w:rPr>
              <w:t>1.7%</w:t>
            </w:r>
          </w:p>
        </w:tc>
      </w:tr>
    </w:tbl>
    <w:p w14:paraId="525A5EA3" w14:textId="77777777" w:rsidR="009E493E" w:rsidRDefault="009E493E">
      <w:pPr>
        <w:spacing w:line="480" w:lineRule="auto"/>
        <w:rPr>
          <w:sz w:val="28"/>
          <w:szCs w:val="28"/>
        </w:rPr>
      </w:pPr>
    </w:p>
    <w:p w14:paraId="6FED7CB6" w14:textId="330BCC57" w:rsidR="009E493E" w:rsidRDefault="00253705">
      <w:pPr>
        <w:spacing w:line="480" w:lineRule="auto"/>
        <w:rPr>
          <w:sz w:val="28"/>
          <w:szCs w:val="28"/>
        </w:rPr>
      </w:pPr>
      <w:r>
        <w:rPr>
          <w:sz w:val="28"/>
          <w:szCs w:val="28"/>
        </w:rPr>
        <w:t>All the children swallowed the drug (Albendazole) under direct supervision (100%)</w:t>
      </w:r>
      <w:r w:rsidR="006F305C">
        <w:rPr>
          <w:sz w:val="28"/>
          <w:szCs w:val="28"/>
        </w:rPr>
        <w:t>,</w:t>
      </w:r>
      <w:r>
        <w:rPr>
          <w:sz w:val="28"/>
          <w:szCs w:val="28"/>
        </w:rPr>
        <w:t xml:space="preserve"> and there was no episode of vomiting following the administration of the drug (0%). The baseline biophysical characteristics of the study participants showed that 65 males and 47 female children</w:t>
      </w:r>
      <w:r w:rsidR="006F305C">
        <w:rPr>
          <w:sz w:val="28"/>
          <w:szCs w:val="28"/>
        </w:rPr>
        <w:t>,</w:t>
      </w:r>
      <w:r>
        <w:rPr>
          <w:sz w:val="28"/>
          <w:szCs w:val="28"/>
        </w:rPr>
        <w:t xml:space="preserve"> representing 58.03% and 41.96% respectively</w:t>
      </w:r>
      <w:r w:rsidR="006F305C">
        <w:rPr>
          <w:sz w:val="28"/>
          <w:szCs w:val="28"/>
        </w:rPr>
        <w:t>,</w:t>
      </w:r>
      <w:r>
        <w:rPr>
          <w:sz w:val="28"/>
          <w:szCs w:val="28"/>
        </w:rPr>
        <w:t xml:space="preserve"> were involved in the study.</w:t>
      </w:r>
    </w:p>
    <w:p w14:paraId="04D648BC" w14:textId="2865882D" w:rsidR="009E493E" w:rsidRDefault="00253705">
      <w:pPr>
        <w:spacing w:line="480" w:lineRule="auto"/>
        <w:rPr>
          <w:sz w:val="28"/>
          <w:szCs w:val="28"/>
        </w:rPr>
      </w:pPr>
      <w:r>
        <w:rPr>
          <w:sz w:val="28"/>
          <w:szCs w:val="28"/>
        </w:rPr>
        <w:t>The age categories of the children</w:t>
      </w:r>
      <w:r w:rsidR="006F305C">
        <w:rPr>
          <w:sz w:val="28"/>
          <w:szCs w:val="28"/>
        </w:rPr>
        <w:t>,</w:t>
      </w:r>
      <w:r>
        <w:rPr>
          <w:sz w:val="28"/>
          <w:szCs w:val="28"/>
        </w:rPr>
        <w:t xml:space="preserve"> 5-9 years were 72 and 10-14 years were 40</w:t>
      </w:r>
      <w:r w:rsidR="006F305C">
        <w:rPr>
          <w:sz w:val="28"/>
          <w:szCs w:val="28"/>
        </w:rPr>
        <w:t>,</w:t>
      </w:r>
      <w:r>
        <w:rPr>
          <w:sz w:val="28"/>
          <w:szCs w:val="28"/>
        </w:rPr>
        <w:t xml:space="preserve"> representing 64.29 and 35.71% respectively.</w:t>
      </w:r>
    </w:p>
    <w:p w14:paraId="2BB0F617" w14:textId="77777777" w:rsidR="009E493E" w:rsidRDefault="00253705">
      <w:pPr>
        <w:spacing w:line="480" w:lineRule="auto"/>
        <w:rPr>
          <w:sz w:val="28"/>
          <w:szCs w:val="28"/>
        </w:rPr>
      </w:pPr>
      <w:r>
        <w:rPr>
          <w:sz w:val="28"/>
          <w:szCs w:val="28"/>
        </w:rPr>
        <w:t>A total of 289 children were eligible for the administration of albendazole. One hundred and twelve (112) children tested positive to at least one type of soil-transmitted helminth infection (had STH infection and taken as the sample size) while 186 were negative, indicating that 39% of the participants tested positive for the infection (sample size), 61% tested negative to any soil transmitted helminths- Refer to Figure 1.</w:t>
      </w:r>
    </w:p>
    <w:p w14:paraId="3EDDA71F" w14:textId="77777777" w:rsidR="009E493E" w:rsidRDefault="00253705">
      <w:pPr>
        <w:spacing w:before="61" w:line="480" w:lineRule="auto"/>
        <w:ind w:left="720"/>
        <w:rPr>
          <w:b/>
          <w:sz w:val="20"/>
        </w:rPr>
      </w:pPr>
      <w:r>
        <w:rPr>
          <w:b/>
          <w:sz w:val="24"/>
        </w:rPr>
        <w:lastRenderedPageBreak/>
        <w:t>Figure</w:t>
      </w:r>
      <w:r>
        <w:rPr>
          <w:b/>
          <w:spacing w:val="-4"/>
          <w:sz w:val="24"/>
        </w:rPr>
        <w:t xml:space="preserve"> </w:t>
      </w:r>
      <w:r>
        <w:rPr>
          <w:b/>
          <w:sz w:val="24"/>
        </w:rPr>
        <w:t>1:</w:t>
      </w:r>
      <w:r>
        <w:rPr>
          <w:b/>
          <w:spacing w:val="-3"/>
          <w:sz w:val="24"/>
        </w:rPr>
        <w:t xml:space="preserve"> </w:t>
      </w:r>
      <w:r>
        <w:rPr>
          <w:b/>
          <w:sz w:val="24"/>
        </w:rPr>
        <w:t>Prevalence</w:t>
      </w:r>
      <w:r>
        <w:rPr>
          <w:b/>
          <w:spacing w:val="-1"/>
          <w:sz w:val="24"/>
        </w:rPr>
        <w:t xml:space="preserve"> </w:t>
      </w:r>
      <w:r>
        <w:rPr>
          <w:b/>
          <w:sz w:val="24"/>
        </w:rPr>
        <w:t>Distribution</w:t>
      </w:r>
      <w:r>
        <w:rPr>
          <w:b/>
          <w:spacing w:val="-4"/>
          <w:sz w:val="24"/>
        </w:rPr>
        <w:t xml:space="preserve"> Chart</w:t>
      </w:r>
      <w:r>
        <w:rPr>
          <w:b/>
          <w:noProof/>
          <w:sz w:val="20"/>
        </w:rPr>
        <w:drawing>
          <wp:anchor distT="0" distB="0" distL="0" distR="0" simplePos="0" relativeHeight="251659264" behindDoc="1" locked="0" layoutInCell="1" allowOverlap="1" wp14:anchorId="7CEB747E" wp14:editId="6FE10F7D">
            <wp:simplePos x="0" y="0"/>
            <wp:positionH relativeFrom="page">
              <wp:posOffset>894715</wp:posOffset>
            </wp:positionH>
            <wp:positionV relativeFrom="paragraph">
              <wp:posOffset>213360</wp:posOffset>
            </wp:positionV>
            <wp:extent cx="5826125" cy="3017520"/>
            <wp:effectExtent l="0" t="0" r="3175" b="1143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825999" cy="3017520"/>
                    </a:xfrm>
                    <a:prstGeom prst="rect">
                      <a:avLst/>
                    </a:prstGeom>
                  </pic:spPr>
                </pic:pic>
              </a:graphicData>
            </a:graphic>
          </wp:anchor>
        </w:drawing>
      </w:r>
    </w:p>
    <w:p w14:paraId="58613723" w14:textId="77777777" w:rsidR="009E493E" w:rsidRDefault="00253705">
      <w:pPr>
        <w:pStyle w:val="BodyText"/>
        <w:spacing w:before="264" w:line="480" w:lineRule="auto"/>
        <w:ind w:left="720"/>
        <w:rPr>
          <w:spacing w:val="-2"/>
        </w:rPr>
      </w:pPr>
      <w:r>
        <w:t>The</w:t>
      </w:r>
      <w:r>
        <w:rPr>
          <w:spacing w:val="-3"/>
        </w:rPr>
        <w:t xml:space="preserve"> </w:t>
      </w:r>
      <w:r>
        <w:t>pie</w:t>
      </w:r>
      <w:r>
        <w:rPr>
          <w:spacing w:val="-3"/>
        </w:rPr>
        <w:t xml:space="preserve"> </w:t>
      </w:r>
      <w:r>
        <w:t>chart</w:t>
      </w:r>
      <w:r>
        <w:rPr>
          <w:spacing w:val="-1"/>
        </w:rPr>
        <w:t xml:space="preserve"> </w:t>
      </w:r>
      <w:r>
        <w:t>shows</w:t>
      </w:r>
      <w:r>
        <w:rPr>
          <w:spacing w:val="-2"/>
        </w:rPr>
        <w:t xml:space="preserve"> </w:t>
      </w:r>
      <w:r>
        <w:t>the</w:t>
      </w:r>
      <w:r>
        <w:rPr>
          <w:spacing w:val="-1"/>
        </w:rPr>
        <w:t xml:space="preserve"> </w:t>
      </w:r>
      <w:r>
        <w:t>percentage</w:t>
      </w:r>
      <w:r>
        <w:rPr>
          <w:spacing w:val="-2"/>
        </w:rPr>
        <w:t xml:space="preserve"> </w:t>
      </w:r>
      <w:r>
        <w:t>prevalence</w:t>
      </w:r>
      <w:r>
        <w:rPr>
          <w:spacing w:val="-1"/>
        </w:rPr>
        <w:t xml:space="preserve"> </w:t>
      </w:r>
      <w:r>
        <w:t>of</w:t>
      </w:r>
      <w:r>
        <w:rPr>
          <w:spacing w:val="-1"/>
        </w:rPr>
        <w:t xml:space="preserve"> </w:t>
      </w:r>
      <w:r>
        <w:t>STH</w:t>
      </w:r>
      <w:r>
        <w:rPr>
          <w:spacing w:val="-2"/>
        </w:rPr>
        <w:t xml:space="preserve"> </w:t>
      </w:r>
      <w:r>
        <w:t>(Soil-Transmitted</w:t>
      </w:r>
      <w:r>
        <w:rPr>
          <w:spacing w:val="-2"/>
        </w:rPr>
        <w:t xml:space="preserve"> </w:t>
      </w:r>
      <w:r>
        <w:t>Helminth)</w:t>
      </w:r>
      <w:r>
        <w:rPr>
          <w:spacing w:val="-2"/>
        </w:rPr>
        <w:t xml:space="preserve"> infection.</w:t>
      </w:r>
    </w:p>
    <w:p w14:paraId="248D229E" w14:textId="77777777" w:rsidR="009E493E" w:rsidRDefault="009E493E">
      <w:pPr>
        <w:pStyle w:val="BodyText"/>
        <w:spacing w:before="264" w:line="480" w:lineRule="auto"/>
        <w:ind w:left="720"/>
      </w:pPr>
    </w:p>
    <w:p w14:paraId="5575C643" w14:textId="14B81B81" w:rsidR="009E493E" w:rsidRDefault="00253705">
      <w:pPr>
        <w:spacing w:line="480" w:lineRule="auto"/>
        <w:rPr>
          <w:sz w:val="28"/>
          <w:szCs w:val="28"/>
        </w:rPr>
      </w:pPr>
      <w:r>
        <w:rPr>
          <w:sz w:val="28"/>
          <w:szCs w:val="28"/>
        </w:rPr>
        <w:t>The parasite intensity distribution showed that 32 children had light hookworm infection while 7 of them had moderate hookworm infection</w:t>
      </w:r>
      <w:r w:rsidR="006F305C">
        <w:rPr>
          <w:sz w:val="28"/>
          <w:szCs w:val="28"/>
        </w:rPr>
        <w:t>,</w:t>
      </w:r>
      <w:r>
        <w:rPr>
          <w:sz w:val="28"/>
          <w:szCs w:val="28"/>
        </w:rPr>
        <w:t xml:space="preserve"> with none of them having heavy infection, with a total of 43children infected with hookworm. The study also showed that 56 children had light Ascaris lumbricoides infection</w:t>
      </w:r>
      <w:r w:rsidR="006F305C">
        <w:rPr>
          <w:sz w:val="28"/>
          <w:szCs w:val="28"/>
        </w:rPr>
        <w:t>,</w:t>
      </w:r>
      <w:r>
        <w:rPr>
          <w:sz w:val="28"/>
          <w:szCs w:val="28"/>
        </w:rPr>
        <w:t xml:space="preserve"> and 13 of them had moderate infection</w:t>
      </w:r>
      <w:r w:rsidR="006F305C">
        <w:rPr>
          <w:sz w:val="28"/>
          <w:szCs w:val="28"/>
        </w:rPr>
        <w:t>,</w:t>
      </w:r>
      <w:r>
        <w:rPr>
          <w:sz w:val="28"/>
          <w:szCs w:val="28"/>
        </w:rPr>
        <w:t xml:space="preserve"> with none having heavy infestation</w:t>
      </w:r>
      <w:r w:rsidR="006F305C">
        <w:rPr>
          <w:sz w:val="28"/>
          <w:szCs w:val="28"/>
        </w:rPr>
        <w:t>,</w:t>
      </w:r>
      <w:r>
        <w:rPr>
          <w:sz w:val="28"/>
          <w:szCs w:val="28"/>
        </w:rPr>
        <w:t xml:space="preserve"> with a total of 69 children infected with Ascaris lumbricoides. For Trichuris </w:t>
      </w:r>
      <w:proofErr w:type="spellStart"/>
      <w:r>
        <w:rPr>
          <w:sz w:val="28"/>
          <w:szCs w:val="28"/>
        </w:rPr>
        <w:t>trichiura</w:t>
      </w:r>
      <w:proofErr w:type="spellEnd"/>
      <w:r>
        <w:rPr>
          <w:sz w:val="28"/>
          <w:szCs w:val="28"/>
        </w:rPr>
        <w:t xml:space="preserve"> infection intensity, 4 children had light infection with no moderate or heavy infection noted- Refer to Table </w:t>
      </w:r>
      <w:r w:rsidR="00F41453">
        <w:rPr>
          <w:sz w:val="28"/>
          <w:szCs w:val="28"/>
        </w:rPr>
        <w:t>2</w:t>
      </w:r>
      <w:r>
        <w:rPr>
          <w:sz w:val="28"/>
          <w:szCs w:val="28"/>
        </w:rPr>
        <w:t>.</w:t>
      </w:r>
    </w:p>
    <w:p w14:paraId="2243E164" w14:textId="77777777" w:rsidR="009E493E" w:rsidRDefault="00253705">
      <w:pPr>
        <w:spacing w:after="0" w:line="240" w:lineRule="auto"/>
        <w:rPr>
          <w:b/>
          <w:sz w:val="24"/>
        </w:rPr>
      </w:pPr>
      <w:r>
        <w:rPr>
          <w:b/>
          <w:sz w:val="24"/>
        </w:rPr>
        <w:br w:type="page"/>
      </w:r>
    </w:p>
    <w:p w14:paraId="212A8622" w14:textId="6D52F346" w:rsidR="009E493E" w:rsidRDefault="00253705">
      <w:pPr>
        <w:spacing w:before="61" w:line="480" w:lineRule="auto"/>
        <w:ind w:left="720"/>
        <w:rPr>
          <w:b/>
          <w:sz w:val="20"/>
        </w:rPr>
      </w:pPr>
      <w:r>
        <w:rPr>
          <w:b/>
          <w:sz w:val="24"/>
        </w:rPr>
        <w:lastRenderedPageBreak/>
        <w:t>Table</w:t>
      </w:r>
      <w:r>
        <w:rPr>
          <w:b/>
          <w:spacing w:val="-6"/>
          <w:sz w:val="24"/>
        </w:rPr>
        <w:t xml:space="preserve"> </w:t>
      </w:r>
      <w:r w:rsidR="00F41453">
        <w:rPr>
          <w:b/>
          <w:sz w:val="24"/>
        </w:rPr>
        <w:t>2</w:t>
      </w:r>
      <w:r w:rsidR="00BE0C92">
        <w:rPr>
          <w:b/>
          <w:sz w:val="24"/>
        </w:rPr>
        <w:t>-</w:t>
      </w:r>
      <w:r>
        <w:rPr>
          <w:b/>
          <w:spacing w:val="-2"/>
          <w:sz w:val="24"/>
        </w:rPr>
        <w:t xml:space="preserve"> </w:t>
      </w:r>
      <w:r>
        <w:rPr>
          <w:b/>
          <w:sz w:val="24"/>
        </w:rPr>
        <w:t>Parasite</w:t>
      </w:r>
      <w:r>
        <w:rPr>
          <w:b/>
          <w:spacing w:val="-1"/>
          <w:sz w:val="24"/>
        </w:rPr>
        <w:t xml:space="preserve"> </w:t>
      </w:r>
      <w:r>
        <w:rPr>
          <w:b/>
          <w:sz w:val="24"/>
        </w:rPr>
        <w:t>Intensity</w:t>
      </w:r>
      <w:r>
        <w:rPr>
          <w:b/>
          <w:spacing w:val="-1"/>
          <w:sz w:val="24"/>
        </w:rPr>
        <w:t xml:space="preserve"> </w:t>
      </w:r>
      <w:r>
        <w:rPr>
          <w:b/>
          <w:spacing w:val="-2"/>
          <w:sz w:val="24"/>
        </w:rPr>
        <w:t>Distribution</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85"/>
        <w:gridCol w:w="2783"/>
        <w:gridCol w:w="2862"/>
      </w:tblGrid>
      <w:tr w:rsidR="009E493E" w14:paraId="56DD3F8B" w14:textId="77777777">
        <w:trPr>
          <w:trHeight w:val="551"/>
        </w:trPr>
        <w:tc>
          <w:tcPr>
            <w:tcW w:w="4085" w:type="dxa"/>
          </w:tcPr>
          <w:p w14:paraId="776880CB" w14:textId="77777777" w:rsidR="009E493E" w:rsidRDefault="00253705">
            <w:pPr>
              <w:pStyle w:val="TableParagraph"/>
              <w:spacing w:before="0" w:line="480" w:lineRule="auto"/>
              <w:ind w:left="108"/>
              <w:rPr>
                <w:b/>
                <w:sz w:val="24"/>
              </w:rPr>
            </w:pPr>
            <w:r>
              <w:rPr>
                <w:b/>
                <w:spacing w:val="-2"/>
                <w:sz w:val="24"/>
              </w:rPr>
              <w:t>Parasites</w:t>
            </w:r>
          </w:p>
        </w:tc>
        <w:tc>
          <w:tcPr>
            <w:tcW w:w="2783" w:type="dxa"/>
          </w:tcPr>
          <w:p w14:paraId="7F21DFA8" w14:textId="77777777" w:rsidR="009E493E" w:rsidRDefault="00253705">
            <w:pPr>
              <w:pStyle w:val="TableParagraph"/>
              <w:spacing w:before="0" w:line="480" w:lineRule="auto"/>
              <w:ind w:left="108"/>
              <w:rPr>
                <w:b/>
                <w:sz w:val="24"/>
              </w:rPr>
            </w:pPr>
            <w:r>
              <w:rPr>
                <w:b/>
                <w:spacing w:val="-2"/>
                <w:sz w:val="24"/>
              </w:rPr>
              <w:t>Intensity</w:t>
            </w:r>
          </w:p>
        </w:tc>
        <w:tc>
          <w:tcPr>
            <w:tcW w:w="2862" w:type="dxa"/>
          </w:tcPr>
          <w:p w14:paraId="518E303C" w14:textId="77777777" w:rsidR="009E493E" w:rsidRDefault="00253705">
            <w:pPr>
              <w:pStyle w:val="TableParagraph"/>
              <w:spacing w:before="0" w:line="480" w:lineRule="auto"/>
              <w:ind w:left="106"/>
              <w:rPr>
                <w:b/>
                <w:sz w:val="24"/>
              </w:rPr>
            </w:pPr>
            <w:r>
              <w:rPr>
                <w:b/>
                <w:spacing w:val="-2"/>
                <w:sz w:val="24"/>
              </w:rPr>
              <w:t>Distribution</w:t>
            </w:r>
          </w:p>
        </w:tc>
      </w:tr>
      <w:tr w:rsidR="009E493E" w14:paraId="54D38F6B" w14:textId="77777777">
        <w:trPr>
          <w:trHeight w:val="552"/>
        </w:trPr>
        <w:tc>
          <w:tcPr>
            <w:tcW w:w="4085" w:type="dxa"/>
          </w:tcPr>
          <w:p w14:paraId="00DB97DC" w14:textId="77777777" w:rsidR="009E493E" w:rsidRDefault="00253705">
            <w:pPr>
              <w:pStyle w:val="TableParagraph"/>
              <w:spacing w:before="0" w:line="480" w:lineRule="auto"/>
              <w:ind w:left="108"/>
              <w:rPr>
                <w:sz w:val="24"/>
              </w:rPr>
            </w:pPr>
            <w:r>
              <w:rPr>
                <w:spacing w:val="-2"/>
                <w:sz w:val="24"/>
              </w:rPr>
              <w:t>HOOKWORM</w:t>
            </w:r>
          </w:p>
        </w:tc>
        <w:tc>
          <w:tcPr>
            <w:tcW w:w="2783" w:type="dxa"/>
          </w:tcPr>
          <w:p w14:paraId="035D76AB" w14:textId="77777777" w:rsidR="009E493E" w:rsidRDefault="00253705">
            <w:pPr>
              <w:pStyle w:val="TableParagraph"/>
              <w:spacing w:before="0" w:line="480" w:lineRule="auto"/>
              <w:ind w:left="108"/>
              <w:rPr>
                <w:sz w:val="24"/>
              </w:rPr>
            </w:pPr>
            <w:r>
              <w:rPr>
                <w:spacing w:val="-2"/>
                <w:sz w:val="24"/>
              </w:rPr>
              <w:t>Light</w:t>
            </w:r>
          </w:p>
        </w:tc>
        <w:tc>
          <w:tcPr>
            <w:tcW w:w="2862" w:type="dxa"/>
          </w:tcPr>
          <w:p w14:paraId="339E23E3" w14:textId="77777777" w:rsidR="009E493E" w:rsidRDefault="00253705">
            <w:pPr>
              <w:pStyle w:val="TableParagraph"/>
              <w:spacing w:before="0" w:line="480" w:lineRule="auto"/>
              <w:ind w:left="106"/>
              <w:rPr>
                <w:sz w:val="24"/>
              </w:rPr>
            </w:pPr>
            <w:r>
              <w:rPr>
                <w:spacing w:val="-5"/>
                <w:sz w:val="24"/>
              </w:rPr>
              <w:t>32</w:t>
            </w:r>
          </w:p>
        </w:tc>
      </w:tr>
      <w:tr w:rsidR="009E493E" w14:paraId="7A65F977" w14:textId="77777777">
        <w:trPr>
          <w:trHeight w:val="552"/>
        </w:trPr>
        <w:tc>
          <w:tcPr>
            <w:tcW w:w="4085" w:type="dxa"/>
            <w:vMerge w:val="restart"/>
          </w:tcPr>
          <w:p w14:paraId="5331CF27" w14:textId="77777777" w:rsidR="009E493E" w:rsidRDefault="009E493E">
            <w:pPr>
              <w:pStyle w:val="TableParagraph"/>
              <w:spacing w:before="0" w:line="480" w:lineRule="auto"/>
              <w:ind w:left="0"/>
            </w:pPr>
          </w:p>
        </w:tc>
        <w:tc>
          <w:tcPr>
            <w:tcW w:w="2783" w:type="dxa"/>
          </w:tcPr>
          <w:p w14:paraId="38E4F411" w14:textId="77777777" w:rsidR="009E493E" w:rsidRDefault="00253705">
            <w:pPr>
              <w:pStyle w:val="TableParagraph"/>
              <w:spacing w:before="0" w:line="480" w:lineRule="auto"/>
              <w:ind w:left="108"/>
              <w:rPr>
                <w:sz w:val="24"/>
              </w:rPr>
            </w:pPr>
            <w:r>
              <w:rPr>
                <w:spacing w:val="-2"/>
                <w:sz w:val="24"/>
              </w:rPr>
              <w:t>Moderate</w:t>
            </w:r>
          </w:p>
        </w:tc>
        <w:tc>
          <w:tcPr>
            <w:tcW w:w="2862" w:type="dxa"/>
          </w:tcPr>
          <w:p w14:paraId="42741567" w14:textId="77777777" w:rsidR="009E493E" w:rsidRDefault="00253705">
            <w:pPr>
              <w:pStyle w:val="TableParagraph"/>
              <w:spacing w:before="0" w:line="480" w:lineRule="auto"/>
              <w:ind w:left="106"/>
              <w:rPr>
                <w:sz w:val="24"/>
              </w:rPr>
            </w:pPr>
            <w:r>
              <w:rPr>
                <w:spacing w:val="-10"/>
                <w:sz w:val="24"/>
              </w:rPr>
              <w:t>7</w:t>
            </w:r>
          </w:p>
        </w:tc>
      </w:tr>
      <w:tr w:rsidR="009E493E" w14:paraId="57DA4E60" w14:textId="77777777">
        <w:trPr>
          <w:trHeight w:val="552"/>
        </w:trPr>
        <w:tc>
          <w:tcPr>
            <w:tcW w:w="4085" w:type="dxa"/>
            <w:vMerge/>
            <w:tcBorders>
              <w:top w:val="nil"/>
            </w:tcBorders>
          </w:tcPr>
          <w:p w14:paraId="35203D65" w14:textId="77777777" w:rsidR="009E493E" w:rsidRDefault="009E493E">
            <w:pPr>
              <w:spacing w:line="480" w:lineRule="auto"/>
              <w:rPr>
                <w:sz w:val="2"/>
                <w:szCs w:val="2"/>
              </w:rPr>
            </w:pPr>
          </w:p>
        </w:tc>
        <w:tc>
          <w:tcPr>
            <w:tcW w:w="2783" w:type="dxa"/>
          </w:tcPr>
          <w:p w14:paraId="30E02C93" w14:textId="77777777" w:rsidR="009E493E" w:rsidRDefault="00253705">
            <w:pPr>
              <w:pStyle w:val="TableParagraph"/>
              <w:spacing w:before="0" w:line="480" w:lineRule="auto"/>
              <w:ind w:left="108"/>
              <w:rPr>
                <w:sz w:val="24"/>
              </w:rPr>
            </w:pPr>
            <w:r>
              <w:rPr>
                <w:spacing w:val="-4"/>
                <w:sz w:val="24"/>
              </w:rPr>
              <w:t>Heavy</w:t>
            </w:r>
          </w:p>
        </w:tc>
        <w:tc>
          <w:tcPr>
            <w:tcW w:w="2862" w:type="dxa"/>
          </w:tcPr>
          <w:p w14:paraId="231AD7EC" w14:textId="77777777" w:rsidR="009E493E" w:rsidRDefault="00253705">
            <w:pPr>
              <w:pStyle w:val="TableParagraph"/>
              <w:spacing w:before="0" w:line="480" w:lineRule="auto"/>
              <w:ind w:left="106"/>
              <w:rPr>
                <w:sz w:val="24"/>
              </w:rPr>
            </w:pPr>
            <w:r>
              <w:rPr>
                <w:spacing w:val="-10"/>
                <w:sz w:val="24"/>
              </w:rPr>
              <w:t>0</w:t>
            </w:r>
          </w:p>
        </w:tc>
      </w:tr>
      <w:tr w:rsidR="009E493E" w14:paraId="217EA0EB" w14:textId="77777777">
        <w:trPr>
          <w:trHeight w:val="552"/>
        </w:trPr>
        <w:tc>
          <w:tcPr>
            <w:tcW w:w="4085" w:type="dxa"/>
            <w:vMerge/>
            <w:tcBorders>
              <w:top w:val="nil"/>
            </w:tcBorders>
          </w:tcPr>
          <w:p w14:paraId="6CFDAA50" w14:textId="77777777" w:rsidR="009E493E" w:rsidRDefault="009E493E">
            <w:pPr>
              <w:spacing w:line="480" w:lineRule="auto"/>
              <w:rPr>
                <w:sz w:val="2"/>
                <w:szCs w:val="2"/>
              </w:rPr>
            </w:pPr>
          </w:p>
        </w:tc>
        <w:tc>
          <w:tcPr>
            <w:tcW w:w="2783" w:type="dxa"/>
          </w:tcPr>
          <w:p w14:paraId="5A7BBF6A" w14:textId="77777777" w:rsidR="009E493E" w:rsidRDefault="009E493E">
            <w:pPr>
              <w:pStyle w:val="TableParagraph"/>
              <w:spacing w:before="0" w:line="480" w:lineRule="auto"/>
              <w:ind w:left="0"/>
            </w:pPr>
          </w:p>
        </w:tc>
        <w:tc>
          <w:tcPr>
            <w:tcW w:w="2862" w:type="dxa"/>
          </w:tcPr>
          <w:p w14:paraId="586B2531" w14:textId="77777777" w:rsidR="009E493E" w:rsidRDefault="00253705">
            <w:pPr>
              <w:pStyle w:val="TableParagraph"/>
              <w:spacing w:before="0" w:line="480" w:lineRule="auto"/>
              <w:ind w:left="106"/>
              <w:rPr>
                <w:b/>
                <w:sz w:val="24"/>
              </w:rPr>
            </w:pPr>
            <w:r>
              <w:rPr>
                <w:b/>
                <w:spacing w:val="-5"/>
                <w:sz w:val="24"/>
              </w:rPr>
              <w:t>43</w:t>
            </w:r>
          </w:p>
        </w:tc>
      </w:tr>
      <w:tr w:rsidR="009E493E" w14:paraId="5A33B91A" w14:textId="77777777">
        <w:trPr>
          <w:trHeight w:val="551"/>
        </w:trPr>
        <w:tc>
          <w:tcPr>
            <w:tcW w:w="4085" w:type="dxa"/>
          </w:tcPr>
          <w:p w14:paraId="11F0223A" w14:textId="77777777" w:rsidR="009E493E" w:rsidRDefault="00253705">
            <w:pPr>
              <w:pStyle w:val="TableParagraph"/>
              <w:spacing w:before="0" w:line="480" w:lineRule="auto"/>
              <w:ind w:left="108"/>
              <w:rPr>
                <w:i/>
                <w:sz w:val="24"/>
              </w:rPr>
            </w:pPr>
            <w:r>
              <w:rPr>
                <w:i/>
                <w:sz w:val="24"/>
              </w:rPr>
              <w:t>Ascaris</w:t>
            </w:r>
            <w:r>
              <w:rPr>
                <w:i/>
                <w:spacing w:val="-2"/>
                <w:sz w:val="24"/>
              </w:rPr>
              <w:t xml:space="preserve"> lumbricoides</w:t>
            </w:r>
          </w:p>
        </w:tc>
        <w:tc>
          <w:tcPr>
            <w:tcW w:w="2783" w:type="dxa"/>
          </w:tcPr>
          <w:p w14:paraId="445DD027" w14:textId="77777777" w:rsidR="009E493E" w:rsidRDefault="00253705">
            <w:pPr>
              <w:pStyle w:val="TableParagraph"/>
              <w:spacing w:before="0" w:line="480" w:lineRule="auto"/>
              <w:ind w:left="108"/>
              <w:rPr>
                <w:sz w:val="24"/>
              </w:rPr>
            </w:pPr>
            <w:r>
              <w:rPr>
                <w:spacing w:val="-2"/>
                <w:sz w:val="24"/>
              </w:rPr>
              <w:t>Light</w:t>
            </w:r>
          </w:p>
        </w:tc>
        <w:tc>
          <w:tcPr>
            <w:tcW w:w="2862" w:type="dxa"/>
          </w:tcPr>
          <w:p w14:paraId="5E075423" w14:textId="77777777" w:rsidR="009E493E" w:rsidRDefault="00253705">
            <w:pPr>
              <w:pStyle w:val="TableParagraph"/>
              <w:spacing w:before="0" w:line="480" w:lineRule="auto"/>
              <w:ind w:left="106"/>
              <w:rPr>
                <w:sz w:val="24"/>
              </w:rPr>
            </w:pPr>
            <w:r>
              <w:rPr>
                <w:spacing w:val="-5"/>
                <w:sz w:val="24"/>
              </w:rPr>
              <w:t>56</w:t>
            </w:r>
          </w:p>
        </w:tc>
      </w:tr>
      <w:tr w:rsidR="009E493E" w14:paraId="0E94C84B" w14:textId="77777777">
        <w:trPr>
          <w:trHeight w:val="552"/>
        </w:trPr>
        <w:tc>
          <w:tcPr>
            <w:tcW w:w="4085" w:type="dxa"/>
            <w:vMerge w:val="restart"/>
          </w:tcPr>
          <w:p w14:paraId="0D50F3FD" w14:textId="77777777" w:rsidR="009E493E" w:rsidRDefault="009E493E">
            <w:pPr>
              <w:pStyle w:val="TableParagraph"/>
              <w:spacing w:before="0" w:line="480" w:lineRule="auto"/>
              <w:ind w:left="0"/>
            </w:pPr>
          </w:p>
        </w:tc>
        <w:tc>
          <w:tcPr>
            <w:tcW w:w="2783" w:type="dxa"/>
          </w:tcPr>
          <w:p w14:paraId="75ACE6B5" w14:textId="77777777" w:rsidR="009E493E" w:rsidRDefault="00253705">
            <w:pPr>
              <w:pStyle w:val="TableParagraph"/>
              <w:spacing w:before="0" w:line="480" w:lineRule="auto"/>
              <w:ind w:left="108"/>
              <w:rPr>
                <w:sz w:val="24"/>
              </w:rPr>
            </w:pPr>
            <w:r>
              <w:rPr>
                <w:spacing w:val="-2"/>
                <w:sz w:val="24"/>
              </w:rPr>
              <w:t>Moderate</w:t>
            </w:r>
          </w:p>
        </w:tc>
        <w:tc>
          <w:tcPr>
            <w:tcW w:w="2862" w:type="dxa"/>
          </w:tcPr>
          <w:p w14:paraId="051B97A2" w14:textId="77777777" w:rsidR="009E493E" w:rsidRDefault="00253705">
            <w:pPr>
              <w:pStyle w:val="TableParagraph"/>
              <w:spacing w:before="0" w:line="480" w:lineRule="auto"/>
              <w:ind w:left="106"/>
              <w:rPr>
                <w:sz w:val="24"/>
              </w:rPr>
            </w:pPr>
            <w:r>
              <w:rPr>
                <w:spacing w:val="-5"/>
                <w:sz w:val="24"/>
              </w:rPr>
              <w:t>13</w:t>
            </w:r>
          </w:p>
        </w:tc>
      </w:tr>
      <w:tr w:rsidR="009E493E" w14:paraId="1CDBC1F2" w14:textId="77777777">
        <w:trPr>
          <w:trHeight w:val="552"/>
        </w:trPr>
        <w:tc>
          <w:tcPr>
            <w:tcW w:w="4085" w:type="dxa"/>
            <w:vMerge/>
            <w:tcBorders>
              <w:top w:val="nil"/>
            </w:tcBorders>
          </w:tcPr>
          <w:p w14:paraId="7CD49FB0" w14:textId="77777777" w:rsidR="009E493E" w:rsidRDefault="009E493E">
            <w:pPr>
              <w:spacing w:line="480" w:lineRule="auto"/>
              <w:rPr>
                <w:sz w:val="2"/>
                <w:szCs w:val="2"/>
              </w:rPr>
            </w:pPr>
          </w:p>
        </w:tc>
        <w:tc>
          <w:tcPr>
            <w:tcW w:w="2783" w:type="dxa"/>
          </w:tcPr>
          <w:p w14:paraId="03FF16DB" w14:textId="77777777" w:rsidR="009E493E" w:rsidRDefault="00253705">
            <w:pPr>
              <w:pStyle w:val="TableParagraph"/>
              <w:spacing w:before="0" w:line="480" w:lineRule="auto"/>
              <w:ind w:left="108"/>
              <w:rPr>
                <w:sz w:val="24"/>
              </w:rPr>
            </w:pPr>
            <w:r>
              <w:rPr>
                <w:spacing w:val="-4"/>
                <w:sz w:val="24"/>
              </w:rPr>
              <w:t>Heavy</w:t>
            </w:r>
          </w:p>
        </w:tc>
        <w:tc>
          <w:tcPr>
            <w:tcW w:w="2862" w:type="dxa"/>
          </w:tcPr>
          <w:p w14:paraId="6C1C8308" w14:textId="77777777" w:rsidR="009E493E" w:rsidRDefault="00253705">
            <w:pPr>
              <w:pStyle w:val="TableParagraph"/>
              <w:spacing w:before="0" w:line="480" w:lineRule="auto"/>
              <w:ind w:left="106"/>
              <w:rPr>
                <w:sz w:val="24"/>
              </w:rPr>
            </w:pPr>
            <w:r>
              <w:rPr>
                <w:spacing w:val="-10"/>
                <w:sz w:val="24"/>
              </w:rPr>
              <w:t>0</w:t>
            </w:r>
          </w:p>
        </w:tc>
      </w:tr>
      <w:tr w:rsidR="009E493E" w14:paraId="43B280BE" w14:textId="77777777">
        <w:trPr>
          <w:trHeight w:val="551"/>
        </w:trPr>
        <w:tc>
          <w:tcPr>
            <w:tcW w:w="4085" w:type="dxa"/>
            <w:vMerge/>
            <w:tcBorders>
              <w:top w:val="nil"/>
            </w:tcBorders>
          </w:tcPr>
          <w:p w14:paraId="35AC1417" w14:textId="77777777" w:rsidR="009E493E" w:rsidRDefault="009E493E">
            <w:pPr>
              <w:spacing w:line="480" w:lineRule="auto"/>
              <w:rPr>
                <w:sz w:val="2"/>
                <w:szCs w:val="2"/>
              </w:rPr>
            </w:pPr>
          </w:p>
        </w:tc>
        <w:tc>
          <w:tcPr>
            <w:tcW w:w="2783" w:type="dxa"/>
          </w:tcPr>
          <w:p w14:paraId="258B9285" w14:textId="77777777" w:rsidR="009E493E" w:rsidRDefault="009E493E">
            <w:pPr>
              <w:pStyle w:val="TableParagraph"/>
              <w:spacing w:before="0" w:line="480" w:lineRule="auto"/>
              <w:ind w:left="0"/>
            </w:pPr>
          </w:p>
        </w:tc>
        <w:tc>
          <w:tcPr>
            <w:tcW w:w="2862" w:type="dxa"/>
          </w:tcPr>
          <w:p w14:paraId="7680BBD3" w14:textId="77777777" w:rsidR="009E493E" w:rsidRDefault="00253705">
            <w:pPr>
              <w:pStyle w:val="TableParagraph"/>
              <w:spacing w:before="0" w:line="480" w:lineRule="auto"/>
              <w:ind w:left="106"/>
              <w:rPr>
                <w:b/>
                <w:sz w:val="24"/>
              </w:rPr>
            </w:pPr>
            <w:r>
              <w:rPr>
                <w:b/>
                <w:spacing w:val="-5"/>
                <w:sz w:val="24"/>
              </w:rPr>
              <w:t>69</w:t>
            </w:r>
          </w:p>
        </w:tc>
      </w:tr>
      <w:tr w:rsidR="009E493E" w14:paraId="651A01EA" w14:textId="77777777">
        <w:trPr>
          <w:trHeight w:val="551"/>
        </w:trPr>
        <w:tc>
          <w:tcPr>
            <w:tcW w:w="4085" w:type="dxa"/>
          </w:tcPr>
          <w:p w14:paraId="3201D2DD" w14:textId="77777777" w:rsidR="009E493E" w:rsidRDefault="00253705">
            <w:pPr>
              <w:pStyle w:val="TableParagraph"/>
              <w:spacing w:before="0" w:line="480" w:lineRule="auto"/>
              <w:ind w:left="108"/>
              <w:rPr>
                <w:i/>
                <w:sz w:val="24"/>
              </w:rPr>
            </w:pPr>
            <w:r>
              <w:rPr>
                <w:i/>
                <w:sz w:val="24"/>
              </w:rPr>
              <w:t>Trichuris</w:t>
            </w:r>
            <w:r>
              <w:rPr>
                <w:i/>
                <w:spacing w:val="-4"/>
                <w:sz w:val="24"/>
              </w:rPr>
              <w:t xml:space="preserve"> </w:t>
            </w:r>
            <w:proofErr w:type="spellStart"/>
            <w:r>
              <w:rPr>
                <w:i/>
                <w:spacing w:val="-2"/>
                <w:sz w:val="24"/>
              </w:rPr>
              <w:t>Trichiuria</w:t>
            </w:r>
            <w:proofErr w:type="spellEnd"/>
          </w:p>
        </w:tc>
        <w:tc>
          <w:tcPr>
            <w:tcW w:w="2783" w:type="dxa"/>
          </w:tcPr>
          <w:p w14:paraId="0B0339F6" w14:textId="77777777" w:rsidR="009E493E" w:rsidRDefault="00253705">
            <w:pPr>
              <w:pStyle w:val="TableParagraph"/>
              <w:spacing w:before="0" w:line="480" w:lineRule="auto"/>
              <w:ind w:left="108"/>
              <w:rPr>
                <w:sz w:val="24"/>
              </w:rPr>
            </w:pPr>
            <w:r>
              <w:rPr>
                <w:spacing w:val="-2"/>
                <w:sz w:val="24"/>
              </w:rPr>
              <w:t>Light</w:t>
            </w:r>
          </w:p>
        </w:tc>
        <w:tc>
          <w:tcPr>
            <w:tcW w:w="2862" w:type="dxa"/>
          </w:tcPr>
          <w:p w14:paraId="15D34565" w14:textId="77777777" w:rsidR="009E493E" w:rsidRDefault="00253705">
            <w:pPr>
              <w:pStyle w:val="TableParagraph"/>
              <w:spacing w:before="0" w:line="480" w:lineRule="auto"/>
              <w:ind w:left="106"/>
              <w:rPr>
                <w:sz w:val="24"/>
              </w:rPr>
            </w:pPr>
            <w:r>
              <w:rPr>
                <w:spacing w:val="-10"/>
                <w:sz w:val="24"/>
              </w:rPr>
              <w:t>4</w:t>
            </w:r>
          </w:p>
        </w:tc>
      </w:tr>
      <w:tr w:rsidR="009E493E" w14:paraId="57A8AC9C" w14:textId="77777777">
        <w:trPr>
          <w:trHeight w:val="552"/>
        </w:trPr>
        <w:tc>
          <w:tcPr>
            <w:tcW w:w="4085" w:type="dxa"/>
            <w:vMerge w:val="restart"/>
          </w:tcPr>
          <w:p w14:paraId="31C86020" w14:textId="77777777" w:rsidR="009E493E" w:rsidRDefault="009E493E">
            <w:pPr>
              <w:pStyle w:val="TableParagraph"/>
              <w:spacing w:before="0" w:line="480" w:lineRule="auto"/>
              <w:ind w:left="0"/>
            </w:pPr>
          </w:p>
        </w:tc>
        <w:tc>
          <w:tcPr>
            <w:tcW w:w="2783" w:type="dxa"/>
          </w:tcPr>
          <w:p w14:paraId="6F1C779A" w14:textId="77777777" w:rsidR="009E493E" w:rsidRDefault="00253705">
            <w:pPr>
              <w:pStyle w:val="TableParagraph"/>
              <w:spacing w:before="0" w:line="480" w:lineRule="auto"/>
              <w:ind w:left="108"/>
              <w:rPr>
                <w:sz w:val="24"/>
              </w:rPr>
            </w:pPr>
            <w:r>
              <w:rPr>
                <w:spacing w:val="-2"/>
                <w:sz w:val="24"/>
              </w:rPr>
              <w:t>Moderate</w:t>
            </w:r>
          </w:p>
        </w:tc>
        <w:tc>
          <w:tcPr>
            <w:tcW w:w="2862" w:type="dxa"/>
          </w:tcPr>
          <w:p w14:paraId="32252FD4" w14:textId="77777777" w:rsidR="009E493E" w:rsidRDefault="00253705">
            <w:pPr>
              <w:pStyle w:val="TableParagraph"/>
              <w:spacing w:before="0" w:line="480" w:lineRule="auto"/>
              <w:ind w:left="106"/>
              <w:rPr>
                <w:sz w:val="24"/>
              </w:rPr>
            </w:pPr>
            <w:r>
              <w:rPr>
                <w:spacing w:val="-10"/>
                <w:sz w:val="24"/>
              </w:rPr>
              <w:t>0</w:t>
            </w:r>
          </w:p>
        </w:tc>
      </w:tr>
      <w:tr w:rsidR="009E493E" w14:paraId="71849B87" w14:textId="77777777">
        <w:trPr>
          <w:trHeight w:val="551"/>
        </w:trPr>
        <w:tc>
          <w:tcPr>
            <w:tcW w:w="4085" w:type="dxa"/>
            <w:vMerge/>
            <w:tcBorders>
              <w:top w:val="nil"/>
            </w:tcBorders>
          </w:tcPr>
          <w:p w14:paraId="7CF2B948" w14:textId="77777777" w:rsidR="009E493E" w:rsidRDefault="009E493E">
            <w:pPr>
              <w:spacing w:line="480" w:lineRule="auto"/>
              <w:rPr>
                <w:sz w:val="2"/>
                <w:szCs w:val="2"/>
              </w:rPr>
            </w:pPr>
          </w:p>
        </w:tc>
        <w:tc>
          <w:tcPr>
            <w:tcW w:w="2783" w:type="dxa"/>
          </w:tcPr>
          <w:p w14:paraId="06BAEC7B" w14:textId="77777777" w:rsidR="009E493E" w:rsidRDefault="00253705">
            <w:pPr>
              <w:pStyle w:val="TableParagraph"/>
              <w:spacing w:before="0" w:line="480" w:lineRule="auto"/>
              <w:ind w:left="108"/>
              <w:rPr>
                <w:sz w:val="24"/>
              </w:rPr>
            </w:pPr>
            <w:r>
              <w:rPr>
                <w:spacing w:val="-4"/>
                <w:sz w:val="24"/>
              </w:rPr>
              <w:t>Heavy</w:t>
            </w:r>
          </w:p>
        </w:tc>
        <w:tc>
          <w:tcPr>
            <w:tcW w:w="2862" w:type="dxa"/>
          </w:tcPr>
          <w:p w14:paraId="4C0EDEC2" w14:textId="77777777" w:rsidR="009E493E" w:rsidRDefault="00253705">
            <w:pPr>
              <w:pStyle w:val="TableParagraph"/>
              <w:spacing w:before="0" w:line="480" w:lineRule="auto"/>
              <w:ind w:left="106"/>
              <w:rPr>
                <w:sz w:val="24"/>
              </w:rPr>
            </w:pPr>
            <w:r>
              <w:rPr>
                <w:spacing w:val="-10"/>
                <w:sz w:val="24"/>
              </w:rPr>
              <w:t>0</w:t>
            </w:r>
          </w:p>
        </w:tc>
      </w:tr>
      <w:tr w:rsidR="009E493E" w14:paraId="4C9C3E1A" w14:textId="77777777">
        <w:trPr>
          <w:trHeight w:val="552"/>
        </w:trPr>
        <w:tc>
          <w:tcPr>
            <w:tcW w:w="4085" w:type="dxa"/>
            <w:vMerge/>
            <w:tcBorders>
              <w:top w:val="nil"/>
            </w:tcBorders>
          </w:tcPr>
          <w:p w14:paraId="074F8F32" w14:textId="77777777" w:rsidR="009E493E" w:rsidRDefault="009E493E">
            <w:pPr>
              <w:spacing w:line="480" w:lineRule="auto"/>
              <w:rPr>
                <w:sz w:val="2"/>
                <w:szCs w:val="2"/>
              </w:rPr>
            </w:pPr>
          </w:p>
        </w:tc>
        <w:tc>
          <w:tcPr>
            <w:tcW w:w="2783" w:type="dxa"/>
          </w:tcPr>
          <w:p w14:paraId="12351C1A" w14:textId="77777777" w:rsidR="009E493E" w:rsidRDefault="009E493E">
            <w:pPr>
              <w:pStyle w:val="TableParagraph"/>
              <w:spacing w:before="0" w:line="480" w:lineRule="auto"/>
              <w:ind w:left="0"/>
            </w:pPr>
          </w:p>
        </w:tc>
        <w:tc>
          <w:tcPr>
            <w:tcW w:w="2862" w:type="dxa"/>
          </w:tcPr>
          <w:p w14:paraId="1A83C7FF" w14:textId="77777777" w:rsidR="009E493E" w:rsidRDefault="00253705">
            <w:pPr>
              <w:pStyle w:val="TableParagraph"/>
              <w:spacing w:before="1" w:line="480" w:lineRule="auto"/>
              <w:ind w:left="106"/>
              <w:rPr>
                <w:b/>
                <w:sz w:val="24"/>
              </w:rPr>
            </w:pPr>
            <w:r>
              <w:rPr>
                <w:b/>
                <w:spacing w:val="-5"/>
                <w:sz w:val="24"/>
              </w:rPr>
              <w:t>04</w:t>
            </w:r>
          </w:p>
        </w:tc>
      </w:tr>
    </w:tbl>
    <w:p w14:paraId="21075BB1" w14:textId="18CC3115" w:rsidR="009E493E" w:rsidRDefault="00253705">
      <w:pPr>
        <w:spacing w:line="480" w:lineRule="auto"/>
        <w:rPr>
          <w:sz w:val="28"/>
          <w:szCs w:val="28"/>
        </w:rPr>
      </w:pPr>
      <w:r>
        <w:rPr>
          <w:sz w:val="28"/>
          <w:szCs w:val="28"/>
        </w:rPr>
        <w:t xml:space="preserve">There were different </w:t>
      </w:r>
      <w:r w:rsidR="006F305C" w:rsidRPr="00066047">
        <w:rPr>
          <w:sz w:val="28"/>
          <w:szCs w:val="28"/>
          <w:highlight w:val="yellow"/>
        </w:rPr>
        <w:t>soil-transmitted</w:t>
      </w:r>
      <w:r w:rsidRPr="00066047">
        <w:rPr>
          <w:sz w:val="28"/>
          <w:szCs w:val="28"/>
          <w:highlight w:val="yellow"/>
        </w:rPr>
        <w:t xml:space="preserve"> </w:t>
      </w:r>
      <w:r w:rsidR="006F305C" w:rsidRPr="00066047">
        <w:rPr>
          <w:sz w:val="28"/>
          <w:szCs w:val="28"/>
          <w:highlight w:val="yellow"/>
        </w:rPr>
        <w:t xml:space="preserve">infections </w:t>
      </w:r>
      <w:r>
        <w:rPr>
          <w:sz w:val="28"/>
          <w:szCs w:val="28"/>
        </w:rPr>
        <w:t xml:space="preserve">co-infecting with others, as there were 13 hookworm </w:t>
      </w:r>
      <w:r w:rsidR="006F305C" w:rsidRPr="00066047">
        <w:rPr>
          <w:sz w:val="28"/>
          <w:szCs w:val="28"/>
          <w:highlight w:val="yellow"/>
        </w:rPr>
        <w:t>co-infections</w:t>
      </w:r>
      <w:r w:rsidRPr="00066047">
        <w:rPr>
          <w:sz w:val="28"/>
          <w:szCs w:val="28"/>
          <w:highlight w:val="yellow"/>
        </w:rPr>
        <w:t xml:space="preserve"> </w:t>
      </w:r>
      <w:r>
        <w:rPr>
          <w:sz w:val="28"/>
          <w:szCs w:val="28"/>
        </w:rPr>
        <w:t xml:space="preserve">with </w:t>
      </w:r>
      <w:r>
        <w:rPr>
          <w:i/>
          <w:iCs/>
          <w:sz w:val="28"/>
          <w:szCs w:val="28"/>
        </w:rPr>
        <w:t>Ascaris lumbricoides</w:t>
      </w:r>
      <w:r>
        <w:rPr>
          <w:sz w:val="28"/>
          <w:szCs w:val="28"/>
        </w:rPr>
        <w:t xml:space="preserve"> or </w:t>
      </w:r>
      <w:r>
        <w:rPr>
          <w:i/>
          <w:iCs/>
          <w:sz w:val="28"/>
          <w:szCs w:val="28"/>
        </w:rPr>
        <w:t xml:space="preserve">Trichuris </w:t>
      </w:r>
      <w:proofErr w:type="spellStart"/>
      <w:r>
        <w:rPr>
          <w:i/>
          <w:iCs/>
          <w:sz w:val="28"/>
          <w:szCs w:val="28"/>
        </w:rPr>
        <w:t>trichiura</w:t>
      </w:r>
      <w:proofErr w:type="spellEnd"/>
      <w:r w:rsidR="006F305C">
        <w:rPr>
          <w:i/>
          <w:iCs/>
          <w:sz w:val="28"/>
          <w:szCs w:val="28"/>
        </w:rPr>
        <w:t>,</w:t>
      </w:r>
      <w:r>
        <w:rPr>
          <w:sz w:val="28"/>
          <w:szCs w:val="28"/>
        </w:rPr>
        <w:t xml:space="preserve"> and 26 had no co-infection among those infected with hookworms. There </w:t>
      </w:r>
      <w:r w:rsidR="006F305C" w:rsidRPr="00066047">
        <w:rPr>
          <w:sz w:val="28"/>
          <w:szCs w:val="28"/>
          <w:highlight w:val="yellow"/>
        </w:rPr>
        <w:t xml:space="preserve">were </w:t>
      </w:r>
      <w:r>
        <w:rPr>
          <w:sz w:val="28"/>
          <w:szCs w:val="28"/>
        </w:rPr>
        <w:t xml:space="preserve">21 children with </w:t>
      </w:r>
      <w:r>
        <w:rPr>
          <w:i/>
          <w:iCs/>
          <w:sz w:val="28"/>
          <w:szCs w:val="28"/>
        </w:rPr>
        <w:t>Ascaris lumbricoides</w:t>
      </w:r>
      <w:r>
        <w:rPr>
          <w:sz w:val="28"/>
          <w:szCs w:val="28"/>
        </w:rPr>
        <w:t xml:space="preserve"> infection co-existing with hookworms or Trichuris </w:t>
      </w:r>
      <w:proofErr w:type="spellStart"/>
      <w:r>
        <w:rPr>
          <w:sz w:val="28"/>
          <w:szCs w:val="28"/>
        </w:rPr>
        <w:t>trichiura</w:t>
      </w:r>
      <w:proofErr w:type="spellEnd"/>
      <w:r>
        <w:rPr>
          <w:sz w:val="28"/>
          <w:szCs w:val="28"/>
        </w:rPr>
        <w:t xml:space="preserve"> infection</w:t>
      </w:r>
      <w:r w:rsidR="006F305C">
        <w:rPr>
          <w:sz w:val="28"/>
          <w:szCs w:val="28"/>
        </w:rPr>
        <w:t>,</w:t>
      </w:r>
      <w:r>
        <w:rPr>
          <w:sz w:val="28"/>
          <w:szCs w:val="28"/>
        </w:rPr>
        <w:t xml:space="preserve"> and 48 children had no co-infection with any other STHs. </w:t>
      </w:r>
      <w:r>
        <w:rPr>
          <w:i/>
          <w:iCs/>
          <w:sz w:val="28"/>
          <w:szCs w:val="28"/>
        </w:rPr>
        <w:t xml:space="preserve">Trichuris </w:t>
      </w:r>
      <w:proofErr w:type="spellStart"/>
      <w:r>
        <w:rPr>
          <w:i/>
          <w:iCs/>
          <w:sz w:val="28"/>
          <w:szCs w:val="28"/>
        </w:rPr>
        <w:t>trichiura</w:t>
      </w:r>
      <w:proofErr w:type="spellEnd"/>
      <w:r>
        <w:rPr>
          <w:sz w:val="28"/>
          <w:szCs w:val="28"/>
        </w:rPr>
        <w:t xml:space="preserve"> co-infection with hookworm or </w:t>
      </w:r>
      <w:r>
        <w:rPr>
          <w:i/>
          <w:iCs/>
          <w:sz w:val="28"/>
          <w:szCs w:val="28"/>
        </w:rPr>
        <w:t>Ascaris lumbricoides</w:t>
      </w:r>
      <w:r>
        <w:rPr>
          <w:sz w:val="28"/>
          <w:szCs w:val="28"/>
        </w:rPr>
        <w:t xml:space="preserve"> was 4</w:t>
      </w:r>
      <w:r w:rsidR="006F305C">
        <w:rPr>
          <w:sz w:val="28"/>
          <w:szCs w:val="28"/>
        </w:rPr>
        <w:t>,</w:t>
      </w:r>
      <w:r>
        <w:rPr>
          <w:sz w:val="28"/>
          <w:szCs w:val="28"/>
        </w:rPr>
        <w:t xml:space="preserve"> with no infection existing alone without other STHs.</w:t>
      </w:r>
    </w:p>
    <w:p w14:paraId="32554C86" w14:textId="73B1EEB4" w:rsidR="009E493E" w:rsidRDefault="00253705">
      <w:pPr>
        <w:spacing w:before="61" w:line="480" w:lineRule="auto"/>
        <w:ind w:left="720"/>
        <w:rPr>
          <w:b/>
          <w:sz w:val="20"/>
        </w:rPr>
      </w:pPr>
      <w:r>
        <w:rPr>
          <w:b/>
          <w:sz w:val="24"/>
        </w:rPr>
        <w:lastRenderedPageBreak/>
        <w:t>Table</w:t>
      </w:r>
      <w:r>
        <w:rPr>
          <w:b/>
          <w:spacing w:val="-8"/>
          <w:sz w:val="24"/>
        </w:rPr>
        <w:t xml:space="preserve"> </w:t>
      </w:r>
      <w:r w:rsidR="00F41453">
        <w:rPr>
          <w:b/>
          <w:sz w:val="24"/>
        </w:rPr>
        <w:t>3</w:t>
      </w:r>
      <w:r w:rsidR="00BE0C92">
        <w:rPr>
          <w:b/>
          <w:sz w:val="24"/>
        </w:rPr>
        <w:t>-</w:t>
      </w:r>
      <w:r>
        <w:rPr>
          <w:b/>
          <w:sz w:val="24"/>
        </w:rPr>
        <w:t>Different STHs</w:t>
      </w:r>
      <w:r>
        <w:rPr>
          <w:b/>
          <w:spacing w:val="-5"/>
          <w:sz w:val="24"/>
        </w:rPr>
        <w:t xml:space="preserve"> </w:t>
      </w:r>
      <w:r>
        <w:rPr>
          <w:b/>
          <w:sz w:val="24"/>
        </w:rPr>
        <w:t>and</w:t>
      </w:r>
      <w:r>
        <w:rPr>
          <w:b/>
          <w:spacing w:val="-2"/>
          <w:sz w:val="24"/>
        </w:rPr>
        <w:t xml:space="preserve"> </w:t>
      </w:r>
      <w:r>
        <w:rPr>
          <w:b/>
          <w:sz w:val="24"/>
        </w:rPr>
        <w:t>Their</w:t>
      </w:r>
      <w:r>
        <w:rPr>
          <w:b/>
          <w:spacing w:val="-2"/>
          <w:sz w:val="24"/>
        </w:rPr>
        <w:t xml:space="preserve"> </w:t>
      </w:r>
      <w:r>
        <w:rPr>
          <w:b/>
          <w:sz w:val="24"/>
        </w:rPr>
        <w:t>co-infection</w:t>
      </w:r>
      <w:r>
        <w:rPr>
          <w:b/>
          <w:spacing w:val="-1"/>
          <w:sz w:val="24"/>
        </w:rPr>
        <w:t xml:space="preserve"> </w:t>
      </w:r>
      <w:r>
        <w:rPr>
          <w:b/>
          <w:sz w:val="24"/>
        </w:rPr>
        <w:t>with</w:t>
      </w:r>
      <w:r>
        <w:rPr>
          <w:b/>
          <w:spacing w:val="-1"/>
          <w:sz w:val="24"/>
        </w:rPr>
        <w:t xml:space="preserve"> </w:t>
      </w:r>
      <w:r>
        <w:rPr>
          <w:b/>
          <w:spacing w:val="-2"/>
          <w:sz w:val="24"/>
        </w:rPr>
        <w:t>others.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0"/>
        <w:gridCol w:w="2485"/>
        <w:gridCol w:w="1960"/>
        <w:gridCol w:w="1873"/>
      </w:tblGrid>
      <w:tr w:rsidR="009E493E" w14:paraId="4EB95B67" w14:textId="77777777">
        <w:trPr>
          <w:trHeight w:val="1440"/>
        </w:trPr>
        <w:tc>
          <w:tcPr>
            <w:tcW w:w="1900" w:type="dxa"/>
          </w:tcPr>
          <w:p w14:paraId="0D658580" w14:textId="77777777" w:rsidR="009E493E" w:rsidRDefault="00253705">
            <w:pPr>
              <w:pStyle w:val="TableParagraph"/>
              <w:spacing w:before="0" w:line="480" w:lineRule="auto"/>
              <w:ind w:left="114"/>
              <w:rPr>
                <w:sz w:val="24"/>
              </w:rPr>
            </w:pPr>
            <w:r>
              <w:rPr>
                <w:spacing w:val="-2"/>
                <w:sz w:val="24"/>
              </w:rPr>
              <w:t>HELMINTHS</w:t>
            </w:r>
          </w:p>
        </w:tc>
        <w:tc>
          <w:tcPr>
            <w:tcW w:w="2485" w:type="dxa"/>
          </w:tcPr>
          <w:p w14:paraId="0ABF4AA8" w14:textId="77777777" w:rsidR="009E493E" w:rsidRDefault="00253705">
            <w:pPr>
              <w:pStyle w:val="TableParagraph"/>
              <w:spacing w:before="0" w:line="480" w:lineRule="auto"/>
              <w:ind w:left="115"/>
              <w:rPr>
                <w:sz w:val="24"/>
              </w:rPr>
            </w:pPr>
            <w:r>
              <w:rPr>
                <w:spacing w:val="-2"/>
                <w:sz w:val="24"/>
              </w:rPr>
              <w:t>CO-INFECTION</w:t>
            </w:r>
          </w:p>
        </w:tc>
        <w:tc>
          <w:tcPr>
            <w:tcW w:w="1960" w:type="dxa"/>
          </w:tcPr>
          <w:p w14:paraId="679FC9A0" w14:textId="77777777" w:rsidR="009E493E" w:rsidRDefault="00253705">
            <w:pPr>
              <w:pStyle w:val="TableParagraph"/>
              <w:spacing w:before="0" w:line="480" w:lineRule="auto"/>
              <w:ind w:left="114"/>
              <w:rPr>
                <w:sz w:val="24"/>
              </w:rPr>
            </w:pPr>
            <w:r>
              <w:rPr>
                <w:spacing w:val="-2"/>
                <w:sz w:val="24"/>
              </w:rPr>
              <w:t>NUMBER</w:t>
            </w:r>
          </w:p>
          <w:p w14:paraId="7806DA9C" w14:textId="77777777" w:rsidR="009E493E" w:rsidRDefault="00253705">
            <w:pPr>
              <w:pStyle w:val="TableParagraph"/>
              <w:spacing w:before="273" w:line="480" w:lineRule="auto"/>
              <w:ind w:left="114"/>
              <w:rPr>
                <w:sz w:val="24"/>
              </w:rPr>
            </w:pPr>
            <w:r>
              <w:rPr>
                <w:spacing w:val="-2"/>
                <w:sz w:val="24"/>
              </w:rPr>
              <w:t>CO-INFECTED</w:t>
            </w:r>
          </w:p>
        </w:tc>
        <w:tc>
          <w:tcPr>
            <w:tcW w:w="1873" w:type="dxa"/>
          </w:tcPr>
          <w:p w14:paraId="39FD8A8F" w14:textId="77777777" w:rsidR="009E493E" w:rsidRDefault="00253705">
            <w:pPr>
              <w:pStyle w:val="TableParagraph"/>
              <w:spacing w:before="0" w:line="480" w:lineRule="auto"/>
              <w:ind w:left="115"/>
              <w:rPr>
                <w:sz w:val="24"/>
              </w:rPr>
            </w:pPr>
            <w:r>
              <w:rPr>
                <w:spacing w:val="-2"/>
                <w:sz w:val="24"/>
              </w:rPr>
              <w:t xml:space="preserve">PERCENTAGE </w:t>
            </w:r>
            <w:r>
              <w:rPr>
                <w:spacing w:val="-4"/>
                <w:sz w:val="24"/>
              </w:rPr>
              <w:t>(%)</w:t>
            </w:r>
          </w:p>
        </w:tc>
      </w:tr>
      <w:tr w:rsidR="009E493E" w14:paraId="2DCB911B" w14:textId="77777777">
        <w:trPr>
          <w:trHeight w:val="1655"/>
        </w:trPr>
        <w:tc>
          <w:tcPr>
            <w:tcW w:w="1900" w:type="dxa"/>
            <w:vMerge w:val="restart"/>
          </w:tcPr>
          <w:p w14:paraId="37F454E3" w14:textId="77777777" w:rsidR="009E493E" w:rsidRDefault="00253705">
            <w:pPr>
              <w:pStyle w:val="TableParagraph"/>
              <w:spacing w:before="0" w:line="480" w:lineRule="auto"/>
              <w:ind w:left="114"/>
              <w:rPr>
                <w:sz w:val="24"/>
              </w:rPr>
            </w:pPr>
            <w:r>
              <w:rPr>
                <w:spacing w:val="-2"/>
                <w:sz w:val="24"/>
              </w:rPr>
              <w:t>Hookworms</w:t>
            </w:r>
          </w:p>
        </w:tc>
        <w:tc>
          <w:tcPr>
            <w:tcW w:w="2485" w:type="dxa"/>
          </w:tcPr>
          <w:p w14:paraId="33695378" w14:textId="77777777" w:rsidR="009E493E" w:rsidRDefault="00253705">
            <w:pPr>
              <w:pStyle w:val="TableParagraph"/>
              <w:tabs>
                <w:tab w:val="left" w:pos="1941"/>
              </w:tabs>
              <w:spacing w:before="0" w:line="480" w:lineRule="auto"/>
              <w:ind w:left="115"/>
              <w:rPr>
                <w:sz w:val="24"/>
              </w:rPr>
            </w:pPr>
            <w:r>
              <w:rPr>
                <w:spacing w:val="-2"/>
                <w:sz w:val="24"/>
              </w:rPr>
              <w:t>Co-infection</w:t>
            </w:r>
            <w:r>
              <w:rPr>
                <w:sz w:val="24"/>
              </w:rPr>
              <w:tab/>
            </w:r>
            <w:r>
              <w:rPr>
                <w:spacing w:val="-4"/>
                <w:sz w:val="24"/>
              </w:rPr>
              <w:t>with</w:t>
            </w:r>
          </w:p>
          <w:p w14:paraId="6AB3F59D" w14:textId="77777777" w:rsidR="009E493E" w:rsidRDefault="009E493E">
            <w:pPr>
              <w:pStyle w:val="TableParagraph"/>
              <w:spacing w:before="0" w:line="480" w:lineRule="auto"/>
              <w:ind w:left="0"/>
              <w:rPr>
                <w:b/>
                <w:sz w:val="24"/>
              </w:rPr>
            </w:pPr>
          </w:p>
          <w:p w14:paraId="14E26BC5" w14:textId="77777777" w:rsidR="009E493E" w:rsidRDefault="00253705">
            <w:pPr>
              <w:pStyle w:val="TableParagraph"/>
              <w:tabs>
                <w:tab w:val="left" w:pos="1116"/>
              </w:tabs>
              <w:spacing w:before="0" w:line="480" w:lineRule="auto"/>
              <w:ind w:left="115"/>
              <w:rPr>
                <w:i/>
                <w:sz w:val="24"/>
              </w:rPr>
            </w:pPr>
            <w:r>
              <w:rPr>
                <w:i/>
                <w:spacing w:val="-2"/>
                <w:sz w:val="24"/>
              </w:rPr>
              <w:t>Ascaris</w:t>
            </w:r>
            <w:r>
              <w:rPr>
                <w:i/>
                <w:sz w:val="24"/>
              </w:rPr>
              <w:tab/>
            </w:r>
            <w:r>
              <w:rPr>
                <w:i/>
                <w:spacing w:val="-2"/>
                <w:sz w:val="24"/>
              </w:rPr>
              <w:t>lumbricoides</w:t>
            </w:r>
          </w:p>
          <w:p w14:paraId="4D4D0EFA" w14:textId="77777777" w:rsidR="009E493E" w:rsidRDefault="009E493E">
            <w:pPr>
              <w:pStyle w:val="TableParagraph"/>
              <w:spacing w:before="0" w:line="480" w:lineRule="auto"/>
              <w:ind w:left="0"/>
              <w:rPr>
                <w:b/>
                <w:sz w:val="24"/>
              </w:rPr>
            </w:pPr>
          </w:p>
          <w:p w14:paraId="20445F52" w14:textId="77777777" w:rsidR="009E493E" w:rsidRDefault="00253705">
            <w:pPr>
              <w:pStyle w:val="TableParagraph"/>
              <w:spacing w:before="0" w:line="480" w:lineRule="auto"/>
              <w:ind w:left="115"/>
              <w:rPr>
                <w:i/>
                <w:sz w:val="24"/>
              </w:rPr>
            </w:pPr>
            <w:r>
              <w:rPr>
                <w:sz w:val="24"/>
              </w:rPr>
              <w:t>or</w:t>
            </w:r>
            <w:r>
              <w:rPr>
                <w:spacing w:val="-3"/>
                <w:sz w:val="24"/>
              </w:rPr>
              <w:t xml:space="preserve"> </w:t>
            </w:r>
            <w:r>
              <w:rPr>
                <w:i/>
                <w:sz w:val="24"/>
              </w:rPr>
              <w:t>Trichuris</w:t>
            </w:r>
            <w:r>
              <w:rPr>
                <w:i/>
                <w:spacing w:val="-1"/>
                <w:sz w:val="24"/>
              </w:rPr>
              <w:t xml:space="preserve"> </w:t>
            </w:r>
            <w:proofErr w:type="spellStart"/>
            <w:r>
              <w:rPr>
                <w:i/>
                <w:spacing w:val="-2"/>
                <w:sz w:val="24"/>
              </w:rPr>
              <w:t>trichiura</w:t>
            </w:r>
            <w:proofErr w:type="spellEnd"/>
          </w:p>
        </w:tc>
        <w:tc>
          <w:tcPr>
            <w:tcW w:w="1960" w:type="dxa"/>
          </w:tcPr>
          <w:p w14:paraId="7A097FBD" w14:textId="77777777" w:rsidR="009E493E" w:rsidRDefault="00253705">
            <w:pPr>
              <w:pStyle w:val="TableParagraph"/>
              <w:spacing w:before="0" w:line="480" w:lineRule="auto"/>
              <w:ind w:left="114"/>
              <w:rPr>
                <w:sz w:val="24"/>
              </w:rPr>
            </w:pPr>
            <w:r>
              <w:rPr>
                <w:spacing w:val="-5"/>
                <w:sz w:val="24"/>
              </w:rPr>
              <w:t>13</w:t>
            </w:r>
          </w:p>
        </w:tc>
        <w:tc>
          <w:tcPr>
            <w:tcW w:w="1873" w:type="dxa"/>
          </w:tcPr>
          <w:p w14:paraId="59766347" w14:textId="77777777" w:rsidR="009E493E" w:rsidRDefault="00253705">
            <w:pPr>
              <w:pStyle w:val="TableParagraph"/>
              <w:spacing w:before="0" w:line="480" w:lineRule="auto"/>
              <w:ind w:left="115"/>
              <w:rPr>
                <w:sz w:val="24"/>
              </w:rPr>
            </w:pPr>
            <w:r>
              <w:rPr>
                <w:spacing w:val="-2"/>
                <w:sz w:val="24"/>
              </w:rPr>
              <w:t>11.6%</w:t>
            </w:r>
          </w:p>
        </w:tc>
      </w:tr>
      <w:tr w:rsidR="009E493E" w14:paraId="7A8BA151" w14:textId="77777777">
        <w:trPr>
          <w:trHeight w:val="552"/>
        </w:trPr>
        <w:tc>
          <w:tcPr>
            <w:tcW w:w="1900" w:type="dxa"/>
            <w:vMerge/>
            <w:tcBorders>
              <w:top w:val="nil"/>
            </w:tcBorders>
          </w:tcPr>
          <w:p w14:paraId="758A8B60" w14:textId="77777777" w:rsidR="009E493E" w:rsidRDefault="009E493E">
            <w:pPr>
              <w:spacing w:line="480" w:lineRule="auto"/>
              <w:rPr>
                <w:sz w:val="2"/>
                <w:szCs w:val="2"/>
              </w:rPr>
            </w:pPr>
          </w:p>
        </w:tc>
        <w:tc>
          <w:tcPr>
            <w:tcW w:w="2485" w:type="dxa"/>
          </w:tcPr>
          <w:p w14:paraId="5F11E885" w14:textId="77777777" w:rsidR="009E493E" w:rsidRDefault="00253705">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4D121FE4" w14:textId="77777777" w:rsidR="009E493E" w:rsidRDefault="00253705">
            <w:pPr>
              <w:pStyle w:val="TableParagraph"/>
              <w:spacing w:before="0" w:line="480" w:lineRule="auto"/>
              <w:ind w:left="114"/>
              <w:rPr>
                <w:sz w:val="24"/>
              </w:rPr>
            </w:pPr>
            <w:r>
              <w:rPr>
                <w:spacing w:val="-5"/>
                <w:sz w:val="24"/>
              </w:rPr>
              <w:t>26</w:t>
            </w:r>
          </w:p>
        </w:tc>
        <w:tc>
          <w:tcPr>
            <w:tcW w:w="1873" w:type="dxa"/>
          </w:tcPr>
          <w:p w14:paraId="4B5E450B" w14:textId="77777777" w:rsidR="009E493E" w:rsidRDefault="00253705">
            <w:pPr>
              <w:pStyle w:val="TableParagraph"/>
              <w:spacing w:before="0" w:line="480" w:lineRule="auto"/>
              <w:ind w:left="115"/>
              <w:rPr>
                <w:sz w:val="24"/>
              </w:rPr>
            </w:pPr>
            <w:r>
              <w:rPr>
                <w:spacing w:val="-2"/>
                <w:sz w:val="24"/>
              </w:rPr>
              <w:t>23.2%</w:t>
            </w:r>
          </w:p>
        </w:tc>
      </w:tr>
      <w:tr w:rsidR="009E493E" w14:paraId="024E3E38" w14:textId="77777777">
        <w:trPr>
          <w:trHeight w:val="2208"/>
        </w:trPr>
        <w:tc>
          <w:tcPr>
            <w:tcW w:w="1900" w:type="dxa"/>
            <w:vMerge w:val="restart"/>
          </w:tcPr>
          <w:p w14:paraId="59B896F6" w14:textId="77777777" w:rsidR="009E493E" w:rsidRDefault="009E493E">
            <w:pPr>
              <w:pStyle w:val="TableParagraph"/>
              <w:spacing w:before="273" w:line="480" w:lineRule="auto"/>
              <w:ind w:left="0"/>
              <w:rPr>
                <w:b/>
                <w:sz w:val="24"/>
              </w:rPr>
            </w:pPr>
          </w:p>
          <w:p w14:paraId="198442FF" w14:textId="77777777" w:rsidR="009E493E" w:rsidRDefault="00253705">
            <w:pPr>
              <w:pStyle w:val="TableParagraph"/>
              <w:spacing w:before="0" w:line="480" w:lineRule="auto"/>
              <w:ind w:left="114"/>
              <w:rPr>
                <w:i/>
                <w:sz w:val="24"/>
              </w:rPr>
            </w:pPr>
            <w:r>
              <w:rPr>
                <w:i/>
                <w:spacing w:val="-2"/>
                <w:sz w:val="24"/>
              </w:rPr>
              <w:t>Ascaris lumbricoides</w:t>
            </w:r>
          </w:p>
        </w:tc>
        <w:tc>
          <w:tcPr>
            <w:tcW w:w="2485" w:type="dxa"/>
          </w:tcPr>
          <w:p w14:paraId="020AEC22" w14:textId="77777777" w:rsidR="009E493E" w:rsidRDefault="009E493E">
            <w:pPr>
              <w:pStyle w:val="TableParagraph"/>
              <w:spacing w:before="273" w:line="480" w:lineRule="auto"/>
              <w:ind w:left="0"/>
              <w:rPr>
                <w:b/>
                <w:sz w:val="24"/>
              </w:rPr>
            </w:pPr>
          </w:p>
          <w:p w14:paraId="7811905E" w14:textId="77777777" w:rsidR="009E493E" w:rsidRDefault="00253705">
            <w:pPr>
              <w:pStyle w:val="TableParagraph"/>
              <w:tabs>
                <w:tab w:val="left" w:pos="1941"/>
              </w:tabs>
              <w:spacing w:before="0" w:line="480" w:lineRule="auto"/>
              <w:ind w:left="115"/>
              <w:rPr>
                <w:sz w:val="24"/>
              </w:rPr>
            </w:pPr>
            <w:r>
              <w:rPr>
                <w:spacing w:val="-2"/>
                <w:sz w:val="24"/>
              </w:rPr>
              <w:t>Co-infection</w:t>
            </w:r>
            <w:r>
              <w:rPr>
                <w:sz w:val="24"/>
              </w:rPr>
              <w:tab/>
            </w:r>
            <w:r>
              <w:rPr>
                <w:spacing w:val="-4"/>
                <w:sz w:val="24"/>
              </w:rPr>
              <w:t>with</w:t>
            </w:r>
          </w:p>
          <w:p w14:paraId="54DC52F2" w14:textId="77777777" w:rsidR="009E493E" w:rsidRDefault="009E493E">
            <w:pPr>
              <w:pStyle w:val="TableParagraph"/>
              <w:spacing w:before="0" w:line="480" w:lineRule="auto"/>
              <w:ind w:left="0"/>
              <w:rPr>
                <w:b/>
                <w:sz w:val="24"/>
              </w:rPr>
            </w:pPr>
          </w:p>
          <w:p w14:paraId="2366F4F1" w14:textId="77777777" w:rsidR="009E493E" w:rsidRDefault="00253705">
            <w:pPr>
              <w:pStyle w:val="TableParagraph"/>
              <w:tabs>
                <w:tab w:val="left" w:pos="2167"/>
              </w:tabs>
              <w:spacing w:before="1" w:line="480" w:lineRule="auto"/>
              <w:ind w:left="115"/>
              <w:rPr>
                <w:sz w:val="24"/>
              </w:rPr>
            </w:pPr>
            <w:r>
              <w:rPr>
                <w:spacing w:val="-2"/>
                <w:sz w:val="24"/>
              </w:rPr>
              <w:t>Hookworms</w:t>
            </w:r>
            <w:r>
              <w:rPr>
                <w:sz w:val="24"/>
              </w:rPr>
              <w:tab/>
            </w:r>
            <w:r>
              <w:rPr>
                <w:spacing w:val="-5"/>
                <w:sz w:val="24"/>
              </w:rPr>
              <w:t>or</w:t>
            </w:r>
          </w:p>
          <w:p w14:paraId="3FCF9206" w14:textId="77777777" w:rsidR="009E493E" w:rsidRDefault="00253705">
            <w:pPr>
              <w:pStyle w:val="TableParagraph"/>
              <w:spacing w:before="276" w:line="480" w:lineRule="auto"/>
              <w:ind w:left="115"/>
              <w:rPr>
                <w:i/>
                <w:sz w:val="24"/>
              </w:rPr>
            </w:pPr>
            <w:r>
              <w:rPr>
                <w:i/>
                <w:sz w:val="24"/>
              </w:rPr>
              <w:t>Trichuris</w:t>
            </w:r>
            <w:r>
              <w:rPr>
                <w:i/>
                <w:spacing w:val="-5"/>
                <w:sz w:val="24"/>
              </w:rPr>
              <w:t xml:space="preserve"> </w:t>
            </w:r>
            <w:proofErr w:type="spellStart"/>
            <w:r>
              <w:rPr>
                <w:i/>
                <w:spacing w:val="-2"/>
                <w:sz w:val="24"/>
              </w:rPr>
              <w:t>trichiura</w:t>
            </w:r>
            <w:proofErr w:type="spellEnd"/>
          </w:p>
        </w:tc>
        <w:tc>
          <w:tcPr>
            <w:tcW w:w="1960" w:type="dxa"/>
          </w:tcPr>
          <w:p w14:paraId="1921CD2B" w14:textId="77777777" w:rsidR="009E493E" w:rsidRDefault="009E493E">
            <w:pPr>
              <w:pStyle w:val="TableParagraph"/>
              <w:spacing w:before="273" w:line="480" w:lineRule="auto"/>
              <w:ind w:left="0"/>
              <w:rPr>
                <w:b/>
                <w:sz w:val="24"/>
              </w:rPr>
            </w:pPr>
          </w:p>
          <w:p w14:paraId="40C8AE0F" w14:textId="77777777" w:rsidR="009E493E" w:rsidRDefault="00253705">
            <w:pPr>
              <w:pStyle w:val="TableParagraph"/>
              <w:spacing w:before="0" w:line="480" w:lineRule="auto"/>
              <w:ind w:left="114"/>
              <w:rPr>
                <w:sz w:val="24"/>
              </w:rPr>
            </w:pPr>
            <w:r>
              <w:rPr>
                <w:spacing w:val="-5"/>
                <w:sz w:val="24"/>
              </w:rPr>
              <w:t>21</w:t>
            </w:r>
          </w:p>
        </w:tc>
        <w:tc>
          <w:tcPr>
            <w:tcW w:w="1873" w:type="dxa"/>
          </w:tcPr>
          <w:p w14:paraId="6DCA3B34" w14:textId="77777777" w:rsidR="009E493E" w:rsidRDefault="00253705">
            <w:pPr>
              <w:pStyle w:val="TableParagraph"/>
              <w:spacing w:before="0" w:line="480" w:lineRule="auto"/>
              <w:ind w:left="115"/>
              <w:rPr>
                <w:sz w:val="24"/>
              </w:rPr>
            </w:pPr>
            <w:r>
              <w:rPr>
                <w:spacing w:val="-2"/>
                <w:sz w:val="24"/>
              </w:rPr>
              <w:t>18.8%</w:t>
            </w:r>
          </w:p>
        </w:tc>
      </w:tr>
      <w:tr w:rsidR="009E493E" w14:paraId="606C683F" w14:textId="77777777">
        <w:trPr>
          <w:trHeight w:val="550"/>
        </w:trPr>
        <w:tc>
          <w:tcPr>
            <w:tcW w:w="1900" w:type="dxa"/>
            <w:vMerge/>
            <w:tcBorders>
              <w:top w:val="nil"/>
            </w:tcBorders>
          </w:tcPr>
          <w:p w14:paraId="0EB5956E" w14:textId="77777777" w:rsidR="009E493E" w:rsidRDefault="009E493E">
            <w:pPr>
              <w:spacing w:line="480" w:lineRule="auto"/>
              <w:rPr>
                <w:sz w:val="2"/>
                <w:szCs w:val="2"/>
              </w:rPr>
            </w:pPr>
          </w:p>
        </w:tc>
        <w:tc>
          <w:tcPr>
            <w:tcW w:w="2485" w:type="dxa"/>
          </w:tcPr>
          <w:p w14:paraId="67326172" w14:textId="77777777" w:rsidR="009E493E" w:rsidRDefault="00253705">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12D14402" w14:textId="77777777" w:rsidR="009E493E" w:rsidRDefault="00253705">
            <w:pPr>
              <w:pStyle w:val="TableParagraph"/>
              <w:spacing w:before="0" w:line="480" w:lineRule="auto"/>
              <w:ind w:left="114"/>
              <w:rPr>
                <w:sz w:val="24"/>
              </w:rPr>
            </w:pPr>
            <w:r>
              <w:rPr>
                <w:spacing w:val="-5"/>
                <w:sz w:val="24"/>
              </w:rPr>
              <w:t>48</w:t>
            </w:r>
          </w:p>
        </w:tc>
        <w:tc>
          <w:tcPr>
            <w:tcW w:w="1873" w:type="dxa"/>
          </w:tcPr>
          <w:p w14:paraId="012AC24B" w14:textId="77777777" w:rsidR="009E493E" w:rsidRDefault="00253705">
            <w:pPr>
              <w:pStyle w:val="TableParagraph"/>
              <w:spacing w:before="0" w:line="480" w:lineRule="auto"/>
              <w:ind w:left="115"/>
              <w:rPr>
                <w:sz w:val="24"/>
              </w:rPr>
            </w:pPr>
            <w:r>
              <w:rPr>
                <w:spacing w:val="-2"/>
                <w:sz w:val="24"/>
              </w:rPr>
              <w:t>42.9%</w:t>
            </w:r>
          </w:p>
        </w:tc>
      </w:tr>
      <w:tr w:rsidR="009E493E" w14:paraId="23B0B6AC" w14:textId="77777777">
        <w:trPr>
          <w:trHeight w:val="1656"/>
        </w:trPr>
        <w:tc>
          <w:tcPr>
            <w:tcW w:w="1900" w:type="dxa"/>
            <w:vMerge w:val="restart"/>
          </w:tcPr>
          <w:p w14:paraId="39E83126" w14:textId="77777777" w:rsidR="009E493E" w:rsidRDefault="00253705">
            <w:pPr>
              <w:pStyle w:val="TableParagraph"/>
              <w:spacing w:before="0" w:line="480" w:lineRule="auto"/>
              <w:ind w:left="114" w:right="85"/>
              <w:rPr>
                <w:i/>
                <w:sz w:val="24"/>
              </w:rPr>
            </w:pPr>
            <w:r>
              <w:rPr>
                <w:i/>
                <w:spacing w:val="-2"/>
                <w:sz w:val="24"/>
              </w:rPr>
              <w:t xml:space="preserve">Trichuris </w:t>
            </w:r>
            <w:proofErr w:type="spellStart"/>
            <w:r>
              <w:rPr>
                <w:i/>
                <w:spacing w:val="-2"/>
                <w:sz w:val="24"/>
              </w:rPr>
              <w:t>trichuria</w:t>
            </w:r>
            <w:proofErr w:type="spellEnd"/>
          </w:p>
        </w:tc>
        <w:tc>
          <w:tcPr>
            <w:tcW w:w="2485" w:type="dxa"/>
          </w:tcPr>
          <w:p w14:paraId="1BB25234" w14:textId="77777777" w:rsidR="009E493E" w:rsidRDefault="00253705">
            <w:pPr>
              <w:pStyle w:val="TableParagraph"/>
              <w:tabs>
                <w:tab w:val="left" w:pos="1941"/>
              </w:tabs>
              <w:spacing w:before="0" w:line="480" w:lineRule="auto"/>
              <w:ind w:left="115" w:right="103"/>
              <w:rPr>
                <w:i/>
                <w:sz w:val="24"/>
              </w:rPr>
            </w:pPr>
            <w:r>
              <w:rPr>
                <w:spacing w:val="-2"/>
                <w:sz w:val="24"/>
              </w:rPr>
              <w:t>Co-infection</w:t>
            </w:r>
            <w:r>
              <w:rPr>
                <w:sz w:val="24"/>
              </w:rPr>
              <w:tab/>
            </w:r>
            <w:r>
              <w:rPr>
                <w:spacing w:val="-4"/>
                <w:sz w:val="24"/>
              </w:rPr>
              <w:t xml:space="preserve">with </w:t>
            </w:r>
            <w:r>
              <w:rPr>
                <w:sz w:val="24"/>
              </w:rPr>
              <w:t>Hookworms</w:t>
            </w:r>
            <w:r>
              <w:rPr>
                <w:spacing w:val="12"/>
                <w:sz w:val="24"/>
              </w:rPr>
              <w:t xml:space="preserve"> </w:t>
            </w:r>
            <w:r>
              <w:rPr>
                <w:sz w:val="24"/>
              </w:rPr>
              <w:t>or</w:t>
            </w:r>
            <w:r>
              <w:rPr>
                <w:spacing w:val="12"/>
                <w:sz w:val="24"/>
              </w:rPr>
              <w:t xml:space="preserve"> </w:t>
            </w:r>
            <w:r>
              <w:rPr>
                <w:i/>
                <w:spacing w:val="-2"/>
                <w:sz w:val="24"/>
              </w:rPr>
              <w:t>Ascaris</w:t>
            </w:r>
          </w:p>
          <w:p w14:paraId="23084EBD" w14:textId="77777777" w:rsidR="009E493E" w:rsidRDefault="00253705">
            <w:pPr>
              <w:pStyle w:val="TableParagraph"/>
              <w:spacing w:before="3" w:line="480" w:lineRule="auto"/>
              <w:ind w:left="115"/>
              <w:rPr>
                <w:i/>
                <w:sz w:val="24"/>
              </w:rPr>
            </w:pPr>
            <w:r>
              <w:rPr>
                <w:i/>
                <w:spacing w:val="-2"/>
                <w:sz w:val="24"/>
              </w:rPr>
              <w:t>lumbricoides</w:t>
            </w:r>
          </w:p>
        </w:tc>
        <w:tc>
          <w:tcPr>
            <w:tcW w:w="1960" w:type="dxa"/>
          </w:tcPr>
          <w:p w14:paraId="10C164D5" w14:textId="77777777" w:rsidR="009E493E" w:rsidRDefault="00253705">
            <w:pPr>
              <w:pStyle w:val="TableParagraph"/>
              <w:spacing w:before="0" w:line="480" w:lineRule="auto"/>
              <w:ind w:left="114"/>
              <w:rPr>
                <w:sz w:val="24"/>
              </w:rPr>
            </w:pPr>
            <w:r>
              <w:rPr>
                <w:spacing w:val="-10"/>
                <w:sz w:val="24"/>
              </w:rPr>
              <w:t>4</w:t>
            </w:r>
          </w:p>
        </w:tc>
        <w:tc>
          <w:tcPr>
            <w:tcW w:w="1873" w:type="dxa"/>
          </w:tcPr>
          <w:p w14:paraId="6645ED62" w14:textId="77777777" w:rsidR="009E493E" w:rsidRDefault="00253705">
            <w:pPr>
              <w:pStyle w:val="TableParagraph"/>
              <w:spacing w:before="0" w:line="480" w:lineRule="auto"/>
              <w:ind w:left="115"/>
              <w:rPr>
                <w:sz w:val="24"/>
              </w:rPr>
            </w:pPr>
            <w:r>
              <w:rPr>
                <w:spacing w:val="-4"/>
                <w:sz w:val="24"/>
              </w:rPr>
              <w:t>3.5%</w:t>
            </w:r>
          </w:p>
        </w:tc>
      </w:tr>
      <w:tr w:rsidR="009E493E" w14:paraId="14DBA41A" w14:textId="77777777">
        <w:trPr>
          <w:trHeight w:val="552"/>
        </w:trPr>
        <w:tc>
          <w:tcPr>
            <w:tcW w:w="1900" w:type="dxa"/>
            <w:vMerge/>
            <w:tcBorders>
              <w:top w:val="nil"/>
            </w:tcBorders>
          </w:tcPr>
          <w:p w14:paraId="4D5CB7CE" w14:textId="77777777" w:rsidR="009E493E" w:rsidRDefault="009E493E">
            <w:pPr>
              <w:spacing w:line="480" w:lineRule="auto"/>
              <w:rPr>
                <w:sz w:val="2"/>
                <w:szCs w:val="2"/>
              </w:rPr>
            </w:pPr>
          </w:p>
        </w:tc>
        <w:tc>
          <w:tcPr>
            <w:tcW w:w="2485" w:type="dxa"/>
          </w:tcPr>
          <w:p w14:paraId="79043313" w14:textId="77777777" w:rsidR="009E493E" w:rsidRDefault="00253705">
            <w:pPr>
              <w:pStyle w:val="TableParagraph"/>
              <w:spacing w:before="0" w:line="480" w:lineRule="auto"/>
              <w:ind w:left="115"/>
              <w:rPr>
                <w:sz w:val="24"/>
              </w:rPr>
            </w:pPr>
            <w:r>
              <w:rPr>
                <w:sz w:val="24"/>
              </w:rPr>
              <w:t>No</w:t>
            </w:r>
            <w:r>
              <w:rPr>
                <w:spacing w:val="-2"/>
                <w:sz w:val="24"/>
              </w:rPr>
              <w:t xml:space="preserve"> </w:t>
            </w:r>
            <w:r>
              <w:rPr>
                <w:sz w:val="24"/>
              </w:rPr>
              <w:t>Co-</w:t>
            </w:r>
            <w:r>
              <w:rPr>
                <w:spacing w:val="-2"/>
                <w:sz w:val="24"/>
              </w:rPr>
              <w:t>infection</w:t>
            </w:r>
          </w:p>
        </w:tc>
        <w:tc>
          <w:tcPr>
            <w:tcW w:w="1960" w:type="dxa"/>
          </w:tcPr>
          <w:p w14:paraId="3128468E" w14:textId="77777777" w:rsidR="009E493E" w:rsidRDefault="00253705">
            <w:pPr>
              <w:pStyle w:val="TableParagraph"/>
              <w:spacing w:before="0" w:line="480" w:lineRule="auto"/>
              <w:ind w:left="114"/>
              <w:rPr>
                <w:sz w:val="24"/>
              </w:rPr>
            </w:pPr>
            <w:r>
              <w:rPr>
                <w:spacing w:val="-10"/>
                <w:sz w:val="24"/>
              </w:rPr>
              <w:t>0</w:t>
            </w:r>
          </w:p>
        </w:tc>
        <w:tc>
          <w:tcPr>
            <w:tcW w:w="1873" w:type="dxa"/>
          </w:tcPr>
          <w:p w14:paraId="712789BA" w14:textId="77777777" w:rsidR="009E493E" w:rsidRDefault="00253705">
            <w:pPr>
              <w:pStyle w:val="TableParagraph"/>
              <w:spacing w:before="0" w:line="480" w:lineRule="auto"/>
              <w:ind w:left="115"/>
              <w:rPr>
                <w:sz w:val="24"/>
              </w:rPr>
            </w:pPr>
            <w:r>
              <w:rPr>
                <w:spacing w:val="-4"/>
                <w:sz w:val="24"/>
              </w:rPr>
              <w:t>0.0%</w:t>
            </w:r>
          </w:p>
        </w:tc>
      </w:tr>
    </w:tbl>
    <w:p w14:paraId="493332EA" w14:textId="77777777" w:rsidR="009E493E" w:rsidRDefault="009E493E">
      <w:pPr>
        <w:pStyle w:val="TableParagraph"/>
        <w:spacing w:after="0" w:line="480" w:lineRule="auto"/>
        <w:ind w:left="0"/>
        <w:rPr>
          <w:sz w:val="24"/>
        </w:rPr>
        <w:sectPr w:rsidR="009E493E">
          <w:headerReference w:type="even" r:id="rId8"/>
          <w:headerReference w:type="default" r:id="rId9"/>
          <w:footerReference w:type="even" r:id="rId10"/>
          <w:footerReference w:type="default" r:id="rId11"/>
          <w:headerReference w:type="first" r:id="rId12"/>
          <w:footerReference w:type="first" r:id="rId13"/>
          <w:pgSz w:w="11910" w:h="16840"/>
          <w:pgMar w:top="1000" w:right="360" w:bottom="1220" w:left="720" w:header="0" w:footer="1039" w:gutter="0"/>
          <w:cols w:space="720"/>
        </w:sectPr>
      </w:pPr>
    </w:p>
    <w:p w14:paraId="4C35210F" w14:textId="038228F7" w:rsidR="009E493E" w:rsidRDefault="00253705">
      <w:pPr>
        <w:spacing w:line="480" w:lineRule="auto"/>
        <w:rPr>
          <w:sz w:val="28"/>
          <w:szCs w:val="28"/>
        </w:rPr>
      </w:pPr>
      <w:r>
        <w:rPr>
          <w:sz w:val="28"/>
          <w:szCs w:val="28"/>
        </w:rPr>
        <w:lastRenderedPageBreak/>
        <w:t xml:space="preserve">The prevalence of </w:t>
      </w:r>
      <w:r w:rsidR="006F305C" w:rsidRPr="00066047">
        <w:rPr>
          <w:sz w:val="28"/>
          <w:szCs w:val="28"/>
          <w:highlight w:val="yellow"/>
        </w:rPr>
        <w:t>soil-transmitted</w:t>
      </w:r>
      <w:r w:rsidRPr="00066047">
        <w:rPr>
          <w:sz w:val="28"/>
          <w:szCs w:val="28"/>
          <w:highlight w:val="yellow"/>
        </w:rPr>
        <w:t xml:space="preserve"> </w:t>
      </w:r>
      <w:r>
        <w:rPr>
          <w:sz w:val="28"/>
          <w:szCs w:val="28"/>
        </w:rPr>
        <w:t>helminthic infections before and after albendazole treatment, for</w:t>
      </w:r>
      <w:r>
        <w:rPr>
          <w:i/>
          <w:iCs/>
          <w:sz w:val="28"/>
          <w:szCs w:val="28"/>
        </w:rPr>
        <w:t xml:space="preserve"> Ascaris lumbricoides</w:t>
      </w:r>
      <w:r>
        <w:rPr>
          <w:sz w:val="28"/>
          <w:szCs w:val="28"/>
        </w:rPr>
        <w:t xml:space="preserve">, the baseline before treatment was 61.61% and after treatment it was 20.53%. The baseline for hookworm was 38.39% and was 11.60% after 21 days post-treatment. The </w:t>
      </w:r>
      <w:r>
        <w:rPr>
          <w:i/>
          <w:iCs/>
          <w:sz w:val="28"/>
          <w:szCs w:val="28"/>
        </w:rPr>
        <w:t xml:space="preserve">Trichuris </w:t>
      </w:r>
      <w:proofErr w:type="spellStart"/>
      <w:r>
        <w:rPr>
          <w:i/>
          <w:iCs/>
          <w:sz w:val="28"/>
          <w:szCs w:val="28"/>
        </w:rPr>
        <w:t>trichiura</w:t>
      </w:r>
      <w:proofErr w:type="spellEnd"/>
      <w:r>
        <w:rPr>
          <w:sz w:val="28"/>
          <w:szCs w:val="28"/>
        </w:rPr>
        <w:t xml:space="preserve"> baseline before albendazole administration was 3.57% and </w:t>
      </w:r>
      <w:r w:rsidR="006F305C" w:rsidRPr="00066047">
        <w:rPr>
          <w:sz w:val="28"/>
          <w:szCs w:val="28"/>
          <w:highlight w:val="yellow"/>
        </w:rPr>
        <w:t>post-treatment</w:t>
      </w:r>
      <w:r w:rsidRPr="00066047">
        <w:rPr>
          <w:sz w:val="28"/>
          <w:szCs w:val="28"/>
          <w:highlight w:val="yellow"/>
        </w:rPr>
        <w:t xml:space="preserve"> </w:t>
      </w:r>
      <w:r>
        <w:rPr>
          <w:sz w:val="28"/>
          <w:szCs w:val="28"/>
        </w:rPr>
        <w:t xml:space="preserve">after 21 days was 0.00%. </w:t>
      </w:r>
    </w:p>
    <w:p w14:paraId="2D42256D" w14:textId="336A2D60" w:rsidR="009E493E" w:rsidRDefault="00253705">
      <w:pPr>
        <w:spacing w:line="480" w:lineRule="auto"/>
        <w:rPr>
          <w:sz w:val="28"/>
          <w:szCs w:val="28"/>
        </w:rPr>
      </w:pPr>
      <w:r>
        <w:rPr>
          <w:sz w:val="28"/>
          <w:szCs w:val="28"/>
        </w:rPr>
        <w:t xml:space="preserve">The intensity of infections (Mean </w:t>
      </w:r>
      <w:r w:rsidR="006F305C" w:rsidRPr="00066047">
        <w:rPr>
          <w:sz w:val="28"/>
          <w:szCs w:val="28"/>
          <w:highlight w:val="yellow"/>
        </w:rPr>
        <w:t xml:space="preserve">Eggs </w:t>
      </w:r>
      <w:r>
        <w:rPr>
          <w:sz w:val="28"/>
          <w:szCs w:val="28"/>
        </w:rPr>
        <w:t xml:space="preserve">per Gram of </w:t>
      </w:r>
      <w:proofErr w:type="spellStart"/>
      <w:r>
        <w:rPr>
          <w:sz w:val="28"/>
          <w:szCs w:val="28"/>
        </w:rPr>
        <w:t>Faeces</w:t>
      </w:r>
      <w:proofErr w:type="spellEnd"/>
      <w:r>
        <w:rPr>
          <w:sz w:val="28"/>
          <w:szCs w:val="28"/>
        </w:rPr>
        <w:t>) for</w:t>
      </w:r>
      <w:r>
        <w:rPr>
          <w:i/>
          <w:iCs/>
          <w:sz w:val="28"/>
          <w:szCs w:val="28"/>
        </w:rPr>
        <w:t xml:space="preserve"> Ascaris lumbricoides</w:t>
      </w:r>
      <w:r>
        <w:rPr>
          <w:sz w:val="28"/>
          <w:szCs w:val="28"/>
        </w:rPr>
        <w:t xml:space="preserve"> had a baseline of 429, 349 but reduced to 106, 302 after 21 days post-treatment. Hookworm intensity at baseline was 29,973</w:t>
      </w:r>
      <w:r w:rsidR="006F305C">
        <w:rPr>
          <w:sz w:val="28"/>
          <w:szCs w:val="28"/>
        </w:rPr>
        <w:t>,</w:t>
      </w:r>
      <w:r>
        <w:rPr>
          <w:sz w:val="28"/>
          <w:szCs w:val="28"/>
        </w:rPr>
        <w:t xml:space="preserve"> and after 21 days post-treatment was 4,485. The </w:t>
      </w:r>
      <w:r>
        <w:rPr>
          <w:i/>
          <w:iCs/>
          <w:sz w:val="28"/>
          <w:szCs w:val="28"/>
        </w:rPr>
        <w:t xml:space="preserve">Trichuris </w:t>
      </w:r>
      <w:proofErr w:type="spellStart"/>
      <w:r>
        <w:rPr>
          <w:i/>
          <w:iCs/>
          <w:sz w:val="28"/>
          <w:szCs w:val="28"/>
        </w:rPr>
        <w:t>trichiura</w:t>
      </w:r>
      <w:proofErr w:type="spellEnd"/>
      <w:r>
        <w:rPr>
          <w:sz w:val="28"/>
          <w:szCs w:val="28"/>
        </w:rPr>
        <w:t xml:space="preserve"> was at baseline 854</w:t>
      </w:r>
      <w:r w:rsidR="006F305C">
        <w:rPr>
          <w:sz w:val="28"/>
          <w:szCs w:val="28"/>
        </w:rPr>
        <w:t>,</w:t>
      </w:r>
      <w:r>
        <w:rPr>
          <w:sz w:val="28"/>
          <w:szCs w:val="28"/>
        </w:rPr>
        <w:t xml:space="preserve"> but after treatment was 0 (zero).</w:t>
      </w:r>
    </w:p>
    <w:p w14:paraId="5DA28C6E" w14:textId="77777777" w:rsidR="009E493E" w:rsidRDefault="00253705">
      <w:pPr>
        <w:spacing w:line="480" w:lineRule="auto"/>
        <w:rPr>
          <w:b/>
          <w:sz w:val="24"/>
        </w:rPr>
      </w:pPr>
      <w:r>
        <w:rPr>
          <w:i/>
          <w:iCs/>
          <w:sz w:val="28"/>
          <w:szCs w:val="28"/>
        </w:rPr>
        <w:t>Ascaris lumbricoides</w:t>
      </w:r>
      <w:r>
        <w:rPr>
          <w:sz w:val="28"/>
          <w:szCs w:val="28"/>
        </w:rPr>
        <w:t xml:space="preserve"> was the most prevalent parasite at the baseline, with 61.61% of participants infected. After 21 days of treatment with albendazole, the prevalence significantly dropped to 20.53%. Hookworm infected 38.39% of individuals at baseline, and the prevalence decreased to 11.60%. </w:t>
      </w:r>
      <w:r>
        <w:rPr>
          <w:i/>
          <w:iCs/>
          <w:sz w:val="28"/>
          <w:szCs w:val="28"/>
        </w:rPr>
        <w:t xml:space="preserve">Trichuris </w:t>
      </w:r>
      <w:proofErr w:type="spellStart"/>
      <w:r>
        <w:rPr>
          <w:i/>
          <w:iCs/>
          <w:sz w:val="28"/>
          <w:szCs w:val="28"/>
        </w:rPr>
        <w:t>trichiura</w:t>
      </w:r>
      <w:proofErr w:type="spellEnd"/>
      <w:r>
        <w:rPr>
          <w:sz w:val="28"/>
          <w:szCs w:val="28"/>
        </w:rPr>
        <w:t xml:space="preserve"> was present in 3.57% of participants at baseline, but it was eliminated post-treatment with a prevalence of 0.00% (0/112). For </w:t>
      </w:r>
      <w:r>
        <w:rPr>
          <w:i/>
          <w:iCs/>
          <w:sz w:val="28"/>
          <w:szCs w:val="28"/>
        </w:rPr>
        <w:t>Ascaris lumbricoides</w:t>
      </w:r>
      <w:r>
        <w:rPr>
          <w:sz w:val="28"/>
          <w:szCs w:val="28"/>
        </w:rPr>
        <w:t xml:space="preserve">, the intensity of infection dropped significantly from 429,349 EPG at baseline to </w:t>
      </w:r>
      <w:r>
        <w:rPr>
          <w:sz w:val="28"/>
          <w:szCs w:val="28"/>
        </w:rPr>
        <w:lastRenderedPageBreak/>
        <w:t>106,032 EPG after treatment. Hookworm intensity also saw a sharp decline from 29,973 EPG to 4,485 EPG post-treatment.</w:t>
      </w:r>
      <w:r>
        <w:rPr>
          <w:i/>
          <w:iCs/>
          <w:sz w:val="28"/>
          <w:szCs w:val="28"/>
        </w:rPr>
        <w:t xml:space="preserve"> Trichuris </w:t>
      </w:r>
      <w:proofErr w:type="spellStart"/>
      <w:r>
        <w:rPr>
          <w:i/>
          <w:iCs/>
          <w:sz w:val="28"/>
          <w:szCs w:val="28"/>
        </w:rPr>
        <w:t>trichiura</w:t>
      </w:r>
      <w:proofErr w:type="spellEnd"/>
      <w:r>
        <w:rPr>
          <w:i/>
          <w:iCs/>
          <w:sz w:val="28"/>
          <w:szCs w:val="28"/>
        </w:rPr>
        <w:t xml:space="preserve"> </w:t>
      </w:r>
      <w:r>
        <w:rPr>
          <w:sz w:val="28"/>
          <w:szCs w:val="28"/>
        </w:rPr>
        <w:t>started with a low intensity of 854 EPG at baseline and was completely eradicated after treatment, with no eggs detected post-treatment.</w:t>
      </w:r>
    </w:p>
    <w:p w14:paraId="3FF23CE4" w14:textId="28A21EAA" w:rsidR="009E493E" w:rsidRDefault="004F0A25">
      <w:pPr>
        <w:spacing w:before="61" w:line="480" w:lineRule="auto"/>
        <w:ind w:right="1001"/>
        <w:rPr>
          <w:b/>
          <w:sz w:val="20"/>
        </w:rPr>
      </w:pPr>
      <w:r>
        <w:rPr>
          <w:b/>
          <w:sz w:val="24"/>
        </w:rPr>
        <w:t>Table 4</w:t>
      </w:r>
      <w:r w:rsidR="00BE0C92">
        <w:rPr>
          <w:b/>
          <w:sz w:val="24"/>
        </w:rPr>
        <w:t>-</w:t>
      </w:r>
      <w:r>
        <w:rPr>
          <w:b/>
          <w:sz w:val="24"/>
        </w:rPr>
        <w:t xml:space="preserve"> The </w:t>
      </w:r>
      <w:r w:rsidR="006F305C" w:rsidRPr="00066047">
        <w:rPr>
          <w:b/>
          <w:sz w:val="24"/>
          <w:highlight w:val="yellow"/>
        </w:rPr>
        <w:t>Short-Term</w:t>
      </w:r>
      <w:r>
        <w:rPr>
          <w:b/>
          <w:sz w:val="24"/>
        </w:rPr>
        <w:t xml:space="preserve"> Impact of Albendazole Treatment on the Re-Infection Rate Among Participants</w:t>
      </w:r>
    </w:p>
    <w:tbl>
      <w:tblPr>
        <w:tblW w:w="0" w:type="auto"/>
        <w:jc w:val="center"/>
        <w:tblLayout w:type="fixed"/>
        <w:tblCellMar>
          <w:left w:w="0" w:type="dxa"/>
          <w:right w:w="0" w:type="dxa"/>
        </w:tblCellMar>
        <w:tblLook w:val="04A0" w:firstRow="1" w:lastRow="0" w:firstColumn="1" w:lastColumn="0" w:noHBand="0" w:noVBand="1"/>
      </w:tblPr>
      <w:tblGrid>
        <w:gridCol w:w="2773"/>
        <w:gridCol w:w="2820"/>
        <w:gridCol w:w="4348"/>
      </w:tblGrid>
      <w:tr w:rsidR="009E493E" w14:paraId="7434F4AB" w14:textId="77777777" w:rsidTr="004F0A25">
        <w:trPr>
          <w:trHeight w:val="552"/>
          <w:jc w:val="center"/>
        </w:trPr>
        <w:tc>
          <w:tcPr>
            <w:tcW w:w="2773" w:type="dxa"/>
            <w:tcBorders>
              <w:top w:val="single" w:sz="4" w:space="0" w:color="000000"/>
              <w:bottom w:val="single" w:sz="4" w:space="0" w:color="000000"/>
            </w:tcBorders>
          </w:tcPr>
          <w:p w14:paraId="4B16C401" w14:textId="77777777" w:rsidR="009E493E" w:rsidRDefault="00253705">
            <w:pPr>
              <w:pStyle w:val="TableParagraph"/>
              <w:spacing w:before="0" w:line="480" w:lineRule="auto"/>
              <w:ind w:left="108"/>
              <w:rPr>
                <w:b/>
                <w:sz w:val="24"/>
              </w:rPr>
            </w:pPr>
            <w:r>
              <w:rPr>
                <w:b/>
                <w:sz w:val="24"/>
              </w:rPr>
              <w:t>Parasite</w:t>
            </w:r>
            <w:r>
              <w:rPr>
                <w:b/>
                <w:spacing w:val="-2"/>
                <w:sz w:val="24"/>
              </w:rPr>
              <w:t xml:space="preserve"> Species</w:t>
            </w:r>
          </w:p>
        </w:tc>
        <w:tc>
          <w:tcPr>
            <w:tcW w:w="2820" w:type="dxa"/>
            <w:tcBorders>
              <w:top w:val="single" w:sz="4" w:space="0" w:color="000000"/>
              <w:bottom w:val="single" w:sz="4" w:space="0" w:color="000000"/>
            </w:tcBorders>
          </w:tcPr>
          <w:p w14:paraId="436A37A6" w14:textId="77777777" w:rsidR="009E493E" w:rsidRDefault="00253705">
            <w:pPr>
              <w:pStyle w:val="TableParagraph"/>
              <w:spacing w:before="0" w:line="480" w:lineRule="auto"/>
              <w:ind w:left="632"/>
              <w:rPr>
                <w:b/>
                <w:sz w:val="24"/>
              </w:rPr>
            </w:pPr>
            <w:r>
              <w:rPr>
                <w:b/>
                <w:sz w:val="24"/>
              </w:rPr>
              <w:t>Baseline</w:t>
            </w:r>
            <w:r>
              <w:rPr>
                <w:b/>
                <w:spacing w:val="-2"/>
                <w:sz w:val="24"/>
              </w:rPr>
              <w:t xml:space="preserve"> (n=112)</w:t>
            </w:r>
          </w:p>
        </w:tc>
        <w:tc>
          <w:tcPr>
            <w:tcW w:w="4348" w:type="dxa"/>
            <w:tcBorders>
              <w:top w:val="single" w:sz="4" w:space="0" w:color="000000"/>
              <w:bottom w:val="single" w:sz="4" w:space="0" w:color="000000"/>
            </w:tcBorders>
          </w:tcPr>
          <w:p w14:paraId="5CE5BA9D" w14:textId="77777777" w:rsidR="009E493E" w:rsidRDefault="00253705">
            <w:pPr>
              <w:pStyle w:val="TableParagraph"/>
              <w:spacing w:before="0" w:line="480" w:lineRule="auto"/>
              <w:ind w:left="543"/>
              <w:rPr>
                <w:b/>
                <w:sz w:val="24"/>
              </w:rPr>
            </w:pPr>
            <w:r>
              <w:rPr>
                <w:b/>
                <w:sz w:val="24"/>
              </w:rPr>
              <w:t>21</w:t>
            </w:r>
            <w:r>
              <w:rPr>
                <w:b/>
                <w:spacing w:val="-2"/>
                <w:sz w:val="24"/>
              </w:rPr>
              <w:t xml:space="preserve"> </w:t>
            </w:r>
            <w:r>
              <w:rPr>
                <w:b/>
                <w:sz w:val="24"/>
              </w:rPr>
              <w:t>Days</w:t>
            </w:r>
            <w:r>
              <w:rPr>
                <w:b/>
                <w:spacing w:val="-4"/>
                <w:sz w:val="24"/>
              </w:rPr>
              <w:t xml:space="preserve"> </w:t>
            </w:r>
            <w:r>
              <w:rPr>
                <w:b/>
                <w:sz w:val="24"/>
              </w:rPr>
              <w:t>Post-Treatment</w:t>
            </w:r>
            <w:r>
              <w:rPr>
                <w:b/>
                <w:spacing w:val="-1"/>
                <w:sz w:val="24"/>
              </w:rPr>
              <w:t xml:space="preserve"> </w:t>
            </w:r>
            <w:r>
              <w:rPr>
                <w:b/>
                <w:sz w:val="24"/>
              </w:rPr>
              <w:t>(n=</w:t>
            </w:r>
            <w:r>
              <w:rPr>
                <w:b/>
                <w:spacing w:val="-4"/>
                <w:sz w:val="24"/>
              </w:rPr>
              <w:t xml:space="preserve"> 112)</w:t>
            </w:r>
          </w:p>
        </w:tc>
      </w:tr>
      <w:tr w:rsidR="009E493E" w14:paraId="14E7BC37" w14:textId="77777777" w:rsidTr="004F0A25">
        <w:trPr>
          <w:trHeight w:val="418"/>
          <w:jc w:val="center"/>
        </w:trPr>
        <w:tc>
          <w:tcPr>
            <w:tcW w:w="2773" w:type="dxa"/>
            <w:tcBorders>
              <w:top w:val="single" w:sz="4" w:space="0" w:color="000000"/>
            </w:tcBorders>
          </w:tcPr>
          <w:p w14:paraId="2E9B49F2" w14:textId="77777777" w:rsidR="009E493E" w:rsidRDefault="00253705">
            <w:pPr>
              <w:pStyle w:val="TableParagraph"/>
              <w:spacing w:before="0" w:line="480" w:lineRule="auto"/>
              <w:ind w:left="108"/>
              <w:rPr>
                <w:i/>
                <w:sz w:val="24"/>
              </w:rPr>
            </w:pPr>
            <w:r>
              <w:rPr>
                <w:i/>
                <w:sz w:val="24"/>
              </w:rPr>
              <w:t>Ascaris</w:t>
            </w:r>
            <w:r>
              <w:rPr>
                <w:i/>
                <w:spacing w:val="-2"/>
                <w:sz w:val="24"/>
              </w:rPr>
              <w:t xml:space="preserve"> lumbricoides</w:t>
            </w:r>
          </w:p>
        </w:tc>
        <w:tc>
          <w:tcPr>
            <w:tcW w:w="2820" w:type="dxa"/>
            <w:tcBorders>
              <w:top w:val="single" w:sz="4" w:space="0" w:color="000000"/>
            </w:tcBorders>
          </w:tcPr>
          <w:p w14:paraId="16708C47" w14:textId="77777777" w:rsidR="009E493E" w:rsidRDefault="00253705">
            <w:pPr>
              <w:pStyle w:val="TableParagraph"/>
              <w:spacing w:before="0" w:line="480" w:lineRule="auto"/>
              <w:ind w:left="632"/>
              <w:rPr>
                <w:sz w:val="24"/>
              </w:rPr>
            </w:pPr>
            <w:r>
              <w:rPr>
                <w:sz w:val="24"/>
              </w:rPr>
              <w:t>61.61%</w:t>
            </w:r>
            <w:r>
              <w:rPr>
                <w:spacing w:val="-3"/>
                <w:sz w:val="24"/>
              </w:rPr>
              <w:t xml:space="preserve"> </w:t>
            </w:r>
            <w:r>
              <w:rPr>
                <w:spacing w:val="-2"/>
                <w:sz w:val="24"/>
              </w:rPr>
              <w:t>(69/112)</w:t>
            </w:r>
          </w:p>
        </w:tc>
        <w:tc>
          <w:tcPr>
            <w:tcW w:w="4348" w:type="dxa"/>
            <w:tcBorders>
              <w:top w:val="single" w:sz="4" w:space="0" w:color="000000"/>
            </w:tcBorders>
          </w:tcPr>
          <w:p w14:paraId="76C23E94" w14:textId="77777777" w:rsidR="009E493E" w:rsidRDefault="00253705">
            <w:pPr>
              <w:pStyle w:val="TableParagraph"/>
              <w:spacing w:before="0" w:line="480" w:lineRule="auto"/>
              <w:ind w:left="483"/>
              <w:rPr>
                <w:sz w:val="24"/>
              </w:rPr>
            </w:pPr>
            <w:r>
              <w:rPr>
                <w:sz w:val="24"/>
              </w:rPr>
              <w:t>20.53%</w:t>
            </w:r>
            <w:r>
              <w:rPr>
                <w:spacing w:val="-3"/>
                <w:sz w:val="24"/>
              </w:rPr>
              <w:t xml:space="preserve"> </w:t>
            </w:r>
            <w:r>
              <w:rPr>
                <w:spacing w:val="-2"/>
                <w:sz w:val="24"/>
              </w:rPr>
              <w:t>(23/112)</w:t>
            </w:r>
          </w:p>
        </w:tc>
      </w:tr>
      <w:tr w:rsidR="009E493E" w14:paraId="024FDEF7" w14:textId="77777777" w:rsidTr="004F0A25">
        <w:trPr>
          <w:trHeight w:val="551"/>
          <w:jc w:val="center"/>
        </w:trPr>
        <w:tc>
          <w:tcPr>
            <w:tcW w:w="2773" w:type="dxa"/>
          </w:tcPr>
          <w:p w14:paraId="192C349E" w14:textId="77777777" w:rsidR="009E493E" w:rsidRDefault="00253705">
            <w:pPr>
              <w:pStyle w:val="TableParagraph"/>
              <w:spacing w:before="133" w:line="480" w:lineRule="auto"/>
              <w:ind w:left="108"/>
              <w:rPr>
                <w:sz w:val="24"/>
              </w:rPr>
            </w:pPr>
            <w:r>
              <w:rPr>
                <w:spacing w:val="-2"/>
                <w:sz w:val="24"/>
              </w:rPr>
              <w:t>Hookworm</w:t>
            </w:r>
          </w:p>
        </w:tc>
        <w:tc>
          <w:tcPr>
            <w:tcW w:w="2820" w:type="dxa"/>
          </w:tcPr>
          <w:p w14:paraId="4FEB5270" w14:textId="77777777" w:rsidR="009E493E" w:rsidRDefault="00253705">
            <w:pPr>
              <w:pStyle w:val="TableParagraph"/>
              <w:spacing w:before="133" w:line="480" w:lineRule="auto"/>
              <w:ind w:left="632"/>
              <w:rPr>
                <w:sz w:val="24"/>
              </w:rPr>
            </w:pPr>
            <w:r>
              <w:rPr>
                <w:sz w:val="24"/>
              </w:rPr>
              <w:t>38.39%</w:t>
            </w:r>
            <w:r>
              <w:rPr>
                <w:spacing w:val="-3"/>
                <w:sz w:val="24"/>
              </w:rPr>
              <w:t xml:space="preserve"> </w:t>
            </w:r>
            <w:r>
              <w:rPr>
                <w:spacing w:val="-2"/>
                <w:sz w:val="24"/>
              </w:rPr>
              <w:t>(43/112)</w:t>
            </w:r>
          </w:p>
        </w:tc>
        <w:tc>
          <w:tcPr>
            <w:tcW w:w="4348" w:type="dxa"/>
          </w:tcPr>
          <w:p w14:paraId="11C65FA4" w14:textId="77777777" w:rsidR="009E493E" w:rsidRDefault="00253705">
            <w:pPr>
              <w:pStyle w:val="TableParagraph"/>
              <w:spacing w:before="133" w:line="480" w:lineRule="auto"/>
              <w:ind w:left="483"/>
              <w:rPr>
                <w:sz w:val="24"/>
              </w:rPr>
            </w:pPr>
            <w:r>
              <w:rPr>
                <w:sz w:val="24"/>
              </w:rPr>
              <w:t>11.60%</w:t>
            </w:r>
            <w:r>
              <w:rPr>
                <w:spacing w:val="-3"/>
                <w:sz w:val="24"/>
              </w:rPr>
              <w:t xml:space="preserve"> </w:t>
            </w:r>
            <w:r>
              <w:rPr>
                <w:spacing w:val="-2"/>
                <w:sz w:val="24"/>
              </w:rPr>
              <w:t>(13/112)</w:t>
            </w:r>
          </w:p>
        </w:tc>
      </w:tr>
      <w:tr w:rsidR="009E493E" w14:paraId="7341165F" w14:textId="77777777" w:rsidTr="004F0A25">
        <w:trPr>
          <w:trHeight w:val="822"/>
          <w:jc w:val="center"/>
        </w:trPr>
        <w:tc>
          <w:tcPr>
            <w:tcW w:w="2773" w:type="dxa"/>
            <w:tcBorders>
              <w:bottom w:val="single" w:sz="4" w:space="0" w:color="auto"/>
            </w:tcBorders>
          </w:tcPr>
          <w:p w14:paraId="4D2948AD" w14:textId="77777777" w:rsidR="009E493E" w:rsidRDefault="00253705">
            <w:pPr>
              <w:pStyle w:val="TableParagraph"/>
              <w:spacing w:before="133" w:line="480" w:lineRule="auto"/>
              <w:ind w:left="108"/>
              <w:rPr>
                <w:i/>
                <w:sz w:val="24"/>
              </w:rPr>
            </w:pPr>
            <w:r>
              <w:rPr>
                <w:b/>
                <w:noProof/>
                <w:sz w:val="20"/>
              </w:rPr>
              <mc:AlternateContent>
                <mc:Choice Requires="wps">
                  <w:drawing>
                    <wp:anchor distT="0" distB="0" distL="114300" distR="114300" simplePos="0" relativeHeight="251660288" behindDoc="1" locked="0" layoutInCell="1" allowOverlap="1" wp14:anchorId="281C2938" wp14:editId="5B661818">
                      <wp:simplePos x="0" y="0"/>
                      <wp:positionH relativeFrom="page">
                        <wp:posOffset>11430</wp:posOffset>
                      </wp:positionH>
                      <wp:positionV relativeFrom="paragraph">
                        <wp:posOffset>615315</wp:posOffset>
                      </wp:positionV>
                      <wp:extent cx="6101080" cy="141605"/>
                      <wp:effectExtent l="0" t="0" r="0" b="0"/>
                      <wp:wrapTopAndBottom/>
                      <wp:docPr id="2" name="Graphic 5"/>
                      <wp:cNvGraphicFramePr/>
                      <a:graphic xmlns:a="http://schemas.openxmlformats.org/drawingml/2006/main">
                        <a:graphicData uri="http://schemas.microsoft.com/office/word/2010/wordprocessingShape">
                          <wps:wsp>
                            <wps:cNvSpPr/>
                            <wps:spPr>
                              <a:xfrm flipV="1">
                                <a:off x="0" y="0"/>
                                <a:ext cx="6101080" cy="141605"/>
                              </a:xfrm>
                              <a:custGeom>
                                <a:avLst/>
                                <a:gdLst>
                                  <a:gd name="A1" fmla="val 0"/>
                                  <a:gd name="A2" fmla="val 0"/>
                                  <a:gd name="A3" fmla="val 0"/>
                                </a:gdLst>
                                <a:ahLst/>
                                <a:cxnLst/>
                                <a:rect l="0" t="0" r="0" b="0"/>
                                <a:pathLst>
                                  <a:path w="6313170" h="1">
                                    <a:moveTo>
                                      <a:pt x="0" y="0"/>
                                    </a:moveTo>
                                    <a:lnTo>
                                      <a:pt x="6313170"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w14:anchorId="558AE122" id="Graphic 5" o:spid="_x0000_s1026" style="position:absolute;margin-left:.9pt;margin-top:48.45pt;width:480.4pt;height:11.15pt;flip:y;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6313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" path="m,l6313170,e" filled="f" strokeweight=".48pt">
                      <v:path arrowok="t" textboxrect="0,0,6313170,1"/>
                      <w10:wrap type="topAndBottom" anchorx="page"/>
                    </v:shape>
                  </w:pict>
                </mc:Fallback>
              </mc:AlternateContent>
            </w:r>
            <w:r>
              <w:rPr>
                <w:i/>
                <w:sz w:val="24"/>
              </w:rPr>
              <w:t>Trichuris</w:t>
            </w:r>
            <w:r>
              <w:rPr>
                <w:i/>
                <w:spacing w:val="-4"/>
                <w:sz w:val="24"/>
              </w:rPr>
              <w:t xml:space="preserve"> </w:t>
            </w:r>
            <w:proofErr w:type="spellStart"/>
            <w:r>
              <w:rPr>
                <w:i/>
                <w:spacing w:val="-2"/>
                <w:sz w:val="24"/>
              </w:rPr>
              <w:t>trichiura</w:t>
            </w:r>
            <w:proofErr w:type="spellEnd"/>
          </w:p>
        </w:tc>
        <w:tc>
          <w:tcPr>
            <w:tcW w:w="2820" w:type="dxa"/>
            <w:tcBorders>
              <w:bottom w:val="single" w:sz="4" w:space="0" w:color="auto"/>
            </w:tcBorders>
          </w:tcPr>
          <w:p w14:paraId="43D5EF5D" w14:textId="77777777" w:rsidR="009E493E" w:rsidRDefault="00253705">
            <w:pPr>
              <w:pStyle w:val="TableParagraph"/>
              <w:spacing w:before="133" w:line="480" w:lineRule="auto"/>
              <w:ind w:left="632"/>
              <w:rPr>
                <w:sz w:val="24"/>
              </w:rPr>
            </w:pPr>
            <w:r>
              <w:rPr>
                <w:sz w:val="24"/>
              </w:rPr>
              <w:t>3.57%</w:t>
            </w:r>
            <w:r>
              <w:rPr>
                <w:spacing w:val="-3"/>
                <w:sz w:val="24"/>
              </w:rPr>
              <w:t xml:space="preserve"> </w:t>
            </w:r>
            <w:r>
              <w:rPr>
                <w:spacing w:val="-2"/>
                <w:sz w:val="24"/>
              </w:rPr>
              <w:t>(04/112)</w:t>
            </w:r>
          </w:p>
        </w:tc>
        <w:tc>
          <w:tcPr>
            <w:tcW w:w="4348" w:type="dxa"/>
            <w:tcBorders>
              <w:bottom w:val="single" w:sz="4" w:space="0" w:color="auto"/>
            </w:tcBorders>
          </w:tcPr>
          <w:p w14:paraId="014C9D74" w14:textId="77777777" w:rsidR="009E493E" w:rsidRDefault="00253705">
            <w:pPr>
              <w:pStyle w:val="TableParagraph"/>
              <w:spacing w:before="133" w:line="480" w:lineRule="auto"/>
              <w:ind w:left="483"/>
              <w:rPr>
                <w:sz w:val="24"/>
              </w:rPr>
            </w:pPr>
            <w:r>
              <w:rPr>
                <w:sz w:val="24"/>
              </w:rPr>
              <w:t>0.00%</w:t>
            </w:r>
            <w:r>
              <w:rPr>
                <w:spacing w:val="-1"/>
                <w:sz w:val="24"/>
              </w:rPr>
              <w:t xml:space="preserve"> </w:t>
            </w:r>
            <w:r>
              <w:rPr>
                <w:spacing w:val="-2"/>
                <w:sz w:val="24"/>
              </w:rPr>
              <w:t>(0/112)</w:t>
            </w:r>
          </w:p>
        </w:tc>
      </w:tr>
    </w:tbl>
    <w:p w14:paraId="2304334D" w14:textId="77777777" w:rsidR="009E493E" w:rsidRDefault="009E493E">
      <w:pPr>
        <w:spacing w:line="480" w:lineRule="auto"/>
        <w:rPr>
          <w:sz w:val="28"/>
          <w:szCs w:val="28"/>
        </w:rPr>
      </w:pPr>
    </w:p>
    <w:p w14:paraId="7330C87E" w14:textId="19173157" w:rsidR="009E493E" w:rsidRDefault="00253705">
      <w:pPr>
        <w:spacing w:line="480" w:lineRule="auto"/>
        <w:rPr>
          <w:sz w:val="28"/>
          <w:szCs w:val="28"/>
        </w:rPr>
      </w:pPr>
      <w:r>
        <w:rPr>
          <w:sz w:val="28"/>
          <w:szCs w:val="28"/>
        </w:rPr>
        <w:t xml:space="preserve">This data shows the </w:t>
      </w:r>
      <w:r w:rsidR="006F305C" w:rsidRPr="00066047">
        <w:rPr>
          <w:sz w:val="28"/>
          <w:szCs w:val="28"/>
          <w:highlight w:val="yellow"/>
        </w:rPr>
        <w:t>short-term</w:t>
      </w:r>
      <w:r>
        <w:rPr>
          <w:sz w:val="28"/>
          <w:szCs w:val="28"/>
        </w:rPr>
        <w:t xml:space="preserve"> impact of the treatment, especially in reducing the intensity of infections and eliminating </w:t>
      </w:r>
      <w:r>
        <w:rPr>
          <w:i/>
          <w:iCs/>
          <w:sz w:val="28"/>
          <w:szCs w:val="28"/>
        </w:rPr>
        <w:t xml:space="preserve">Trichuris </w:t>
      </w:r>
      <w:proofErr w:type="spellStart"/>
      <w:r>
        <w:rPr>
          <w:i/>
          <w:iCs/>
          <w:sz w:val="28"/>
          <w:szCs w:val="28"/>
        </w:rPr>
        <w:t>trichiura</w:t>
      </w:r>
      <w:proofErr w:type="spellEnd"/>
      <w:r>
        <w:rPr>
          <w:sz w:val="28"/>
          <w:szCs w:val="28"/>
        </w:rPr>
        <w:t xml:space="preserve"> completely. However, </w:t>
      </w:r>
      <w:r>
        <w:rPr>
          <w:i/>
          <w:iCs/>
          <w:sz w:val="28"/>
          <w:szCs w:val="28"/>
        </w:rPr>
        <w:t>Ascaris lumbricoides</w:t>
      </w:r>
      <w:r>
        <w:rPr>
          <w:sz w:val="28"/>
          <w:szCs w:val="28"/>
        </w:rPr>
        <w:t xml:space="preserve"> and Hookworm infections persisted in a smaller proportion of the population, however, with reduced intensity. </w:t>
      </w:r>
    </w:p>
    <w:p w14:paraId="31887A77" w14:textId="77777777" w:rsidR="009E493E" w:rsidRDefault="00253705">
      <w:pPr>
        <w:spacing w:line="480" w:lineRule="auto"/>
        <w:rPr>
          <w:sz w:val="28"/>
          <w:szCs w:val="28"/>
        </w:rPr>
      </w:pPr>
      <w:r>
        <w:rPr>
          <w:sz w:val="28"/>
          <w:szCs w:val="28"/>
        </w:rPr>
        <w:t>DISCUSSIONS</w:t>
      </w:r>
    </w:p>
    <w:p w14:paraId="5BCF0843" w14:textId="77777777" w:rsidR="009E493E" w:rsidRDefault="00253705">
      <w:pPr>
        <w:spacing w:line="480" w:lineRule="auto"/>
        <w:rPr>
          <w:sz w:val="28"/>
          <w:szCs w:val="28"/>
        </w:rPr>
      </w:pPr>
      <w:r>
        <w:rPr>
          <w:sz w:val="28"/>
          <w:szCs w:val="28"/>
        </w:rPr>
        <w:lastRenderedPageBreak/>
        <w:t>The findings provide valuable insights into the local epidemiology of STH infections and the efficacy of albendazole administration in the treatment of STH infections among school-aged children.</w:t>
      </w:r>
    </w:p>
    <w:p w14:paraId="307CD4CC" w14:textId="4B0838D9" w:rsidR="009E493E" w:rsidRDefault="00253705">
      <w:pPr>
        <w:spacing w:line="480" w:lineRule="auto"/>
        <w:rPr>
          <w:sz w:val="28"/>
          <w:szCs w:val="28"/>
        </w:rPr>
      </w:pPr>
      <w:r>
        <w:rPr>
          <w:sz w:val="28"/>
          <w:szCs w:val="28"/>
        </w:rPr>
        <w:t xml:space="preserve">At baseline, the prevalence of </w:t>
      </w:r>
      <w:r>
        <w:rPr>
          <w:i/>
          <w:iCs/>
          <w:sz w:val="28"/>
          <w:szCs w:val="28"/>
        </w:rPr>
        <w:t>Ascaris lumbricoides</w:t>
      </w:r>
      <w:r>
        <w:rPr>
          <w:sz w:val="28"/>
          <w:szCs w:val="28"/>
        </w:rPr>
        <w:t xml:space="preserve">, hookworms, and </w:t>
      </w:r>
      <w:r>
        <w:rPr>
          <w:i/>
          <w:iCs/>
          <w:sz w:val="28"/>
          <w:szCs w:val="28"/>
        </w:rPr>
        <w:t xml:space="preserve">Trichuris </w:t>
      </w:r>
      <w:proofErr w:type="spellStart"/>
      <w:r>
        <w:rPr>
          <w:i/>
          <w:iCs/>
          <w:sz w:val="28"/>
          <w:szCs w:val="28"/>
        </w:rPr>
        <w:t>trichiura</w:t>
      </w:r>
      <w:proofErr w:type="spellEnd"/>
      <w:r>
        <w:rPr>
          <w:sz w:val="28"/>
          <w:szCs w:val="28"/>
        </w:rPr>
        <w:t xml:space="preserve"> was 61.61%, 38.39%, and 3.57%, respectively. This high baseline prevalence of Ascaris lumbricoides aligns with studies from other regions in Nigeria and Sub-Saharan Africa, where Ascaris tends to be the most dominant species among STH infections. For instance, a study conducted by </w:t>
      </w:r>
      <w:proofErr w:type="spellStart"/>
      <w:r w:rsidR="00031D2D" w:rsidRPr="00031D2D">
        <w:rPr>
          <w:sz w:val="28"/>
          <w:szCs w:val="28"/>
        </w:rPr>
        <w:t>Schüle</w:t>
      </w:r>
      <w:proofErr w:type="spellEnd"/>
      <w:r w:rsidR="00031D2D">
        <w:rPr>
          <w:sz w:val="28"/>
          <w:szCs w:val="28"/>
        </w:rPr>
        <w:t xml:space="preserve"> </w:t>
      </w:r>
      <w:r>
        <w:rPr>
          <w:sz w:val="28"/>
          <w:szCs w:val="28"/>
        </w:rPr>
        <w:t>et al. (</w:t>
      </w:r>
      <w:r w:rsidR="00031D2D">
        <w:rPr>
          <w:sz w:val="28"/>
          <w:szCs w:val="28"/>
        </w:rPr>
        <w:t>2014</w:t>
      </w:r>
      <w:r>
        <w:rPr>
          <w:sz w:val="28"/>
          <w:szCs w:val="28"/>
        </w:rPr>
        <w:t>) in Nigeria reported the prevalence of Ascaris lumbricoides as high as 62.5%, correlating with the findings of this study.</w:t>
      </w:r>
      <w:r>
        <w:rPr>
          <w:i/>
          <w:iCs/>
          <w:sz w:val="28"/>
          <w:szCs w:val="28"/>
        </w:rPr>
        <w:t xml:space="preserve"> Trichuris </w:t>
      </w:r>
      <w:proofErr w:type="spellStart"/>
      <w:r>
        <w:rPr>
          <w:i/>
          <w:iCs/>
          <w:sz w:val="28"/>
          <w:szCs w:val="28"/>
        </w:rPr>
        <w:t>trichiura</w:t>
      </w:r>
      <w:proofErr w:type="spellEnd"/>
      <w:r>
        <w:rPr>
          <w:sz w:val="28"/>
          <w:szCs w:val="28"/>
        </w:rPr>
        <w:t xml:space="preserve"> was less prevalent in this study (3.57%) compared to </w:t>
      </w:r>
      <w:r>
        <w:rPr>
          <w:i/>
          <w:iCs/>
          <w:sz w:val="28"/>
          <w:szCs w:val="28"/>
        </w:rPr>
        <w:t>Ascaris lumbricoides</w:t>
      </w:r>
      <w:r>
        <w:rPr>
          <w:sz w:val="28"/>
          <w:szCs w:val="28"/>
        </w:rPr>
        <w:t xml:space="preserve"> and hookworm, which is also in tandem with findings from other studies where</w:t>
      </w:r>
      <w:r>
        <w:rPr>
          <w:i/>
          <w:iCs/>
          <w:sz w:val="28"/>
          <w:szCs w:val="28"/>
        </w:rPr>
        <w:t xml:space="preserve"> Trichuris </w:t>
      </w:r>
      <w:proofErr w:type="spellStart"/>
      <w:r>
        <w:rPr>
          <w:i/>
          <w:iCs/>
          <w:sz w:val="28"/>
          <w:szCs w:val="28"/>
        </w:rPr>
        <w:t>trichiura</w:t>
      </w:r>
      <w:proofErr w:type="spellEnd"/>
      <w:r>
        <w:rPr>
          <w:i/>
          <w:iCs/>
          <w:sz w:val="28"/>
          <w:szCs w:val="28"/>
        </w:rPr>
        <w:t xml:space="preserve"> </w:t>
      </w:r>
      <w:r>
        <w:rPr>
          <w:sz w:val="28"/>
          <w:szCs w:val="28"/>
        </w:rPr>
        <w:t>is less commonly isolated in endemic areas (</w:t>
      </w:r>
      <w:proofErr w:type="spellStart"/>
      <w:r>
        <w:rPr>
          <w:sz w:val="28"/>
          <w:szCs w:val="28"/>
        </w:rPr>
        <w:t>Gyokors</w:t>
      </w:r>
      <w:proofErr w:type="spellEnd"/>
      <w:r>
        <w:rPr>
          <w:sz w:val="28"/>
          <w:szCs w:val="28"/>
        </w:rPr>
        <w:t xml:space="preserve"> et al., 2019).</w:t>
      </w:r>
    </w:p>
    <w:p w14:paraId="3FFC6383" w14:textId="2DAC1FC6" w:rsidR="009E493E" w:rsidRDefault="00253705">
      <w:pPr>
        <w:spacing w:line="480" w:lineRule="auto"/>
        <w:rPr>
          <w:sz w:val="28"/>
          <w:szCs w:val="28"/>
        </w:rPr>
      </w:pPr>
      <w:r>
        <w:rPr>
          <w:sz w:val="28"/>
          <w:szCs w:val="28"/>
        </w:rPr>
        <w:t xml:space="preserve">After 21 days </w:t>
      </w:r>
      <w:r w:rsidR="006F305C" w:rsidRPr="00066047">
        <w:rPr>
          <w:sz w:val="28"/>
          <w:szCs w:val="28"/>
          <w:highlight w:val="yellow"/>
        </w:rPr>
        <w:t>of</w:t>
      </w:r>
      <w:r w:rsidR="006F305C">
        <w:rPr>
          <w:sz w:val="28"/>
          <w:szCs w:val="28"/>
        </w:rPr>
        <w:t xml:space="preserve"> </w:t>
      </w:r>
      <w:r>
        <w:rPr>
          <w:sz w:val="28"/>
          <w:szCs w:val="28"/>
        </w:rPr>
        <w:t xml:space="preserve">Post-treatment with albendazole, the prevalence of Ascaris lumbricoides and Hookworm reduced significantly to 20.53% and 11.60%, respectively, while Trichuris </w:t>
      </w:r>
      <w:proofErr w:type="spellStart"/>
      <w:r>
        <w:rPr>
          <w:sz w:val="28"/>
          <w:szCs w:val="28"/>
        </w:rPr>
        <w:t>trichiura</w:t>
      </w:r>
      <w:proofErr w:type="spellEnd"/>
      <w:r>
        <w:rPr>
          <w:sz w:val="28"/>
          <w:szCs w:val="28"/>
        </w:rPr>
        <w:t xml:space="preserve"> was entirely eradicated (0.00%). This shows the high efficacy of albendazole, particularly against Trichuris spp., which has been shown in previous studies to be less responsive to single-dose albendazole </w:t>
      </w:r>
      <w:r>
        <w:rPr>
          <w:sz w:val="28"/>
          <w:szCs w:val="28"/>
        </w:rPr>
        <w:lastRenderedPageBreak/>
        <w:t xml:space="preserve">treatments. The marked reduction in prevalence </w:t>
      </w:r>
      <w:r w:rsidR="006F305C" w:rsidRPr="00066047">
        <w:rPr>
          <w:sz w:val="28"/>
          <w:szCs w:val="28"/>
          <w:highlight w:val="yellow"/>
        </w:rPr>
        <w:t>post-treatment</w:t>
      </w:r>
      <w:r>
        <w:rPr>
          <w:sz w:val="28"/>
          <w:szCs w:val="28"/>
        </w:rPr>
        <w:t xml:space="preserve"> aligns with the findings of </w:t>
      </w:r>
      <w:r w:rsidR="00031D2D" w:rsidRPr="00031D2D">
        <w:rPr>
          <w:sz w:val="28"/>
          <w:szCs w:val="28"/>
        </w:rPr>
        <w:t xml:space="preserve">Tee </w:t>
      </w:r>
      <w:r>
        <w:rPr>
          <w:sz w:val="28"/>
          <w:szCs w:val="28"/>
        </w:rPr>
        <w:t>et al (</w:t>
      </w:r>
      <w:r w:rsidR="00031D2D">
        <w:rPr>
          <w:sz w:val="28"/>
          <w:szCs w:val="28"/>
        </w:rPr>
        <w:t>20</w:t>
      </w:r>
      <w:r>
        <w:rPr>
          <w:sz w:val="28"/>
          <w:szCs w:val="28"/>
        </w:rPr>
        <w:t>), who reported similar declines in STH prevalence following albendazole administration in rural Malaysia.</w:t>
      </w:r>
    </w:p>
    <w:p w14:paraId="5082646B" w14:textId="77777777" w:rsidR="009E493E" w:rsidRDefault="00253705">
      <w:pPr>
        <w:spacing w:line="480" w:lineRule="auto"/>
        <w:rPr>
          <w:sz w:val="28"/>
          <w:szCs w:val="28"/>
        </w:rPr>
      </w:pPr>
      <w:r>
        <w:rPr>
          <w:sz w:val="28"/>
          <w:szCs w:val="28"/>
        </w:rPr>
        <w:t xml:space="preserve">Regarding the intensity of these infections, the results indicated that </w:t>
      </w:r>
      <w:r>
        <w:rPr>
          <w:i/>
          <w:iCs/>
          <w:sz w:val="28"/>
          <w:szCs w:val="28"/>
        </w:rPr>
        <w:t xml:space="preserve">Ascaris lumbricoides </w:t>
      </w:r>
      <w:r>
        <w:rPr>
          <w:sz w:val="28"/>
          <w:szCs w:val="28"/>
        </w:rPr>
        <w:t xml:space="preserve">was the most intense of the infections, with a mean egg count of 429,349 EPG at baseline, followed by hookworm (29,973 EPG) and </w:t>
      </w:r>
      <w:r>
        <w:rPr>
          <w:i/>
          <w:iCs/>
          <w:sz w:val="28"/>
          <w:szCs w:val="28"/>
        </w:rPr>
        <w:t xml:space="preserve">Trichuris </w:t>
      </w:r>
      <w:proofErr w:type="spellStart"/>
      <w:r>
        <w:rPr>
          <w:i/>
          <w:iCs/>
          <w:sz w:val="28"/>
          <w:szCs w:val="28"/>
        </w:rPr>
        <w:t>trichiura</w:t>
      </w:r>
      <w:proofErr w:type="spellEnd"/>
      <w:r>
        <w:rPr>
          <w:sz w:val="28"/>
          <w:szCs w:val="28"/>
        </w:rPr>
        <w:t xml:space="preserve"> (854 EPG). Following the administration of albendazole treatment, the intensity of infections decreased drastically, with </w:t>
      </w:r>
      <w:r>
        <w:rPr>
          <w:i/>
          <w:iCs/>
          <w:sz w:val="28"/>
          <w:szCs w:val="28"/>
        </w:rPr>
        <w:t>Ascaris lumbricoides</w:t>
      </w:r>
      <w:r>
        <w:rPr>
          <w:sz w:val="28"/>
          <w:szCs w:val="28"/>
        </w:rPr>
        <w:t xml:space="preserve"> reducing to 106,032 EPG, hookworm to 4,485 EPG, and </w:t>
      </w:r>
      <w:r>
        <w:rPr>
          <w:i/>
          <w:iCs/>
          <w:sz w:val="28"/>
          <w:szCs w:val="28"/>
        </w:rPr>
        <w:t xml:space="preserve">Trichuris </w:t>
      </w:r>
      <w:proofErr w:type="spellStart"/>
      <w:r>
        <w:rPr>
          <w:i/>
          <w:iCs/>
          <w:sz w:val="28"/>
          <w:szCs w:val="28"/>
        </w:rPr>
        <w:t>trichiura</w:t>
      </w:r>
      <w:proofErr w:type="spellEnd"/>
      <w:r>
        <w:rPr>
          <w:sz w:val="28"/>
          <w:szCs w:val="28"/>
        </w:rPr>
        <w:t xml:space="preserve"> being completely eradicated. This considerable reduction in intensity highlights the short-term impact of albendazole in reducing the morbidity associated with heavy STH infections. </w:t>
      </w:r>
    </w:p>
    <w:p w14:paraId="35532FD1" w14:textId="52CD52CD" w:rsidR="009E493E" w:rsidRDefault="00253705">
      <w:pPr>
        <w:spacing w:line="480" w:lineRule="auto"/>
        <w:rPr>
          <w:sz w:val="28"/>
          <w:szCs w:val="28"/>
        </w:rPr>
      </w:pPr>
      <w:r>
        <w:rPr>
          <w:sz w:val="28"/>
          <w:szCs w:val="28"/>
        </w:rPr>
        <w:t>The cure rates for</w:t>
      </w:r>
      <w:r>
        <w:rPr>
          <w:i/>
          <w:iCs/>
          <w:sz w:val="28"/>
          <w:szCs w:val="28"/>
        </w:rPr>
        <w:t xml:space="preserve"> Ascaris lumbricoides</w:t>
      </w:r>
      <w:r>
        <w:rPr>
          <w:sz w:val="28"/>
          <w:szCs w:val="28"/>
        </w:rPr>
        <w:t xml:space="preserve"> and hookworm in this study were 66.7% and 53.49% respectively. This aligns with previous studies that have reported cure rates between 50% and 70% for </w:t>
      </w:r>
      <w:r>
        <w:rPr>
          <w:i/>
          <w:iCs/>
          <w:sz w:val="28"/>
          <w:szCs w:val="28"/>
        </w:rPr>
        <w:t>Ascaris lumbricoides</w:t>
      </w:r>
      <w:r>
        <w:rPr>
          <w:sz w:val="28"/>
          <w:szCs w:val="28"/>
        </w:rPr>
        <w:t xml:space="preserve"> and hookworm following a single dose of albendazole. The 100% cure rate for </w:t>
      </w:r>
      <w:r>
        <w:rPr>
          <w:i/>
          <w:iCs/>
          <w:sz w:val="28"/>
          <w:szCs w:val="28"/>
        </w:rPr>
        <w:t xml:space="preserve">Trichuris </w:t>
      </w:r>
      <w:proofErr w:type="spellStart"/>
      <w:r>
        <w:rPr>
          <w:i/>
          <w:iCs/>
          <w:sz w:val="28"/>
          <w:szCs w:val="28"/>
        </w:rPr>
        <w:t>trichiura</w:t>
      </w:r>
      <w:proofErr w:type="spellEnd"/>
      <w:r>
        <w:rPr>
          <w:sz w:val="28"/>
          <w:szCs w:val="28"/>
        </w:rPr>
        <w:t xml:space="preserve"> is notable, especially considering that Trichuris is generally less responsive to albendazole. Another study by </w:t>
      </w:r>
      <w:proofErr w:type="spellStart"/>
      <w:r>
        <w:rPr>
          <w:sz w:val="28"/>
          <w:szCs w:val="28"/>
        </w:rPr>
        <w:t>Soukhathammavong</w:t>
      </w:r>
      <w:proofErr w:type="spellEnd"/>
      <w:r>
        <w:rPr>
          <w:sz w:val="28"/>
          <w:szCs w:val="28"/>
        </w:rPr>
        <w:t xml:space="preserve"> et al. (2015), in Lagos</w:t>
      </w:r>
      <w:r w:rsidR="006F305C">
        <w:rPr>
          <w:sz w:val="28"/>
          <w:szCs w:val="28"/>
        </w:rPr>
        <w:t>,</w:t>
      </w:r>
      <w:r>
        <w:rPr>
          <w:sz w:val="28"/>
          <w:szCs w:val="28"/>
        </w:rPr>
        <w:t xml:space="preserve"> reported a similar </w:t>
      </w:r>
      <w:r>
        <w:rPr>
          <w:sz w:val="28"/>
          <w:szCs w:val="28"/>
        </w:rPr>
        <w:lastRenderedPageBreak/>
        <w:t xml:space="preserve">trend, with albendazole demonstrating higher cure rates against Trichuris </w:t>
      </w:r>
      <w:proofErr w:type="spellStart"/>
      <w:r>
        <w:rPr>
          <w:sz w:val="28"/>
          <w:szCs w:val="28"/>
        </w:rPr>
        <w:t>trichiura</w:t>
      </w:r>
      <w:proofErr w:type="spellEnd"/>
      <w:r>
        <w:rPr>
          <w:sz w:val="28"/>
          <w:szCs w:val="28"/>
        </w:rPr>
        <w:t xml:space="preserve"> when used in combination with other </w:t>
      </w:r>
      <w:proofErr w:type="spellStart"/>
      <w:r>
        <w:rPr>
          <w:sz w:val="28"/>
          <w:szCs w:val="28"/>
        </w:rPr>
        <w:t>anthelmintics</w:t>
      </w:r>
      <w:proofErr w:type="spellEnd"/>
      <w:r>
        <w:rPr>
          <w:sz w:val="28"/>
          <w:szCs w:val="28"/>
        </w:rPr>
        <w:t>.</w:t>
      </w:r>
    </w:p>
    <w:p w14:paraId="535E41B0" w14:textId="77777777" w:rsidR="009E493E" w:rsidRDefault="00253705">
      <w:pPr>
        <w:spacing w:line="480" w:lineRule="auto"/>
        <w:rPr>
          <w:sz w:val="28"/>
          <w:szCs w:val="28"/>
        </w:rPr>
      </w:pPr>
      <w:r>
        <w:rPr>
          <w:sz w:val="28"/>
          <w:szCs w:val="28"/>
        </w:rPr>
        <w:t xml:space="preserve">The egg reduction rate (ERR) as seen in the current study was also substantial, with Ascaris achieving a 75.3% ERR, hookworm achieving an 84.7% ERR, and Trichuris a 100% ERR. These ERR values are consistent with those reported by </w:t>
      </w:r>
      <w:proofErr w:type="spellStart"/>
      <w:r>
        <w:rPr>
          <w:sz w:val="28"/>
          <w:szCs w:val="28"/>
        </w:rPr>
        <w:t>Ouédraogo</w:t>
      </w:r>
      <w:proofErr w:type="spellEnd"/>
      <w:r>
        <w:rPr>
          <w:sz w:val="28"/>
          <w:szCs w:val="28"/>
        </w:rPr>
        <w:t xml:space="preserve"> et al. (2016), in Burkina Faso, who also found ERRs for</w:t>
      </w:r>
      <w:r>
        <w:rPr>
          <w:i/>
          <w:iCs/>
          <w:sz w:val="28"/>
          <w:szCs w:val="28"/>
        </w:rPr>
        <w:t xml:space="preserve"> Ascaris lumbricoides</w:t>
      </w:r>
      <w:r>
        <w:rPr>
          <w:sz w:val="28"/>
          <w:szCs w:val="28"/>
        </w:rPr>
        <w:t xml:space="preserve"> and hookworm to be above 70%, each confirming albendazole’s efficacy in reducing worm burdens and transmission potential. The high ERR for Trichuris is unusual and may have been influenced by the low baseline intensity of infections, as well as the specific environmental factors in the study area.</w:t>
      </w:r>
    </w:p>
    <w:p w14:paraId="620AD1D4" w14:textId="6141A0A6" w:rsidR="009E493E" w:rsidRDefault="00253705">
      <w:pPr>
        <w:spacing w:line="480" w:lineRule="auto"/>
        <w:rPr>
          <w:sz w:val="28"/>
          <w:szCs w:val="28"/>
        </w:rPr>
      </w:pPr>
      <w:r>
        <w:rPr>
          <w:sz w:val="28"/>
          <w:szCs w:val="28"/>
        </w:rPr>
        <w:t xml:space="preserve">However, despite the success of the treatment in reducing STH prevalence and intensity, the persistence of some infections, particularly </w:t>
      </w:r>
      <w:r>
        <w:rPr>
          <w:i/>
          <w:iCs/>
          <w:sz w:val="28"/>
          <w:szCs w:val="28"/>
        </w:rPr>
        <w:t>Ascaris lumbricoides</w:t>
      </w:r>
      <w:r>
        <w:rPr>
          <w:sz w:val="28"/>
          <w:szCs w:val="28"/>
        </w:rPr>
        <w:t xml:space="preserve"> and hookworm, shows that possible reinfection and drug </w:t>
      </w:r>
      <w:r w:rsidR="004C0067" w:rsidRPr="00066047">
        <w:rPr>
          <w:sz w:val="28"/>
          <w:szCs w:val="28"/>
          <w:highlight w:val="yellow"/>
        </w:rPr>
        <w:t xml:space="preserve">resistance are </w:t>
      </w:r>
      <w:r>
        <w:rPr>
          <w:sz w:val="28"/>
          <w:szCs w:val="28"/>
        </w:rPr>
        <w:t xml:space="preserve">a concern in endemic areas. This indicates the need for repeated mass drug administration (MDA) programs and complementary public health measures, such as improved sanitation and personal and environmental hygiene education, to sustain the advantages achieved by treatment. </w:t>
      </w:r>
    </w:p>
    <w:p w14:paraId="5420AA80" w14:textId="77777777" w:rsidR="009E493E" w:rsidRDefault="00253705">
      <w:pPr>
        <w:spacing w:line="480" w:lineRule="auto"/>
        <w:rPr>
          <w:sz w:val="28"/>
          <w:szCs w:val="28"/>
        </w:rPr>
      </w:pPr>
      <w:r>
        <w:rPr>
          <w:sz w:val="28"/>
          <w:szCs w:val="28"/>
        </w:rPr>
        <w:lastRenderedPageBreak/>
        <w:t xml:space="preserve">Based on the WHO efficacy standards for soil-transmitted helminths, the reported cure rates of 66.7% for Ascaris lumbricoides and 53.49% for hookworm fall significantly below the WHO thresholds of ≥95% and ≥90% respectively, indicating potential reduced efficacy of albendazole treatment, while the 100% cure rate for Trichuris </w:t>
      </w:r>
      <w:proofErr w:type="spellStart"/>
      <w:r>
        <w:rPr>
          <w:sz w:val="28"/>
          <w:szCs w:val="28"/>
        </w:rPr>
        <w:t>trichiura</w:t>
      </w:r>
      <w:proofErr w:type="spellEnd"/>
      <w:r>
        <w:rPr>
          <w:sz w:val="28"/>
          <w:szCs w:val="28"/>
        </w:rPr>
        <w:t xml:space="preserve"> exceeds the WHO benchmark of ≥50%, demonstrating effective treatment for this particular species. </w:t>
      </w:r>
    </w:p>
    <w:p w14:paraId="0439CD57" w14:textId="225DFA38" w:rsidR="009E493E" w:rsidRDefault="00253705">
      <w:pPr>
        <w:spacing w:line="480" w:lineRule="auto"/>
        <w:rPr>
          <w:sz w:val="28"/>
          <w:szCs w:val="28"/>
        </w:rPr>
      </w:pPr>
      <w:r>
        <w:rPr>
          <w:sz w:val="28"/>
          <w:szCs w:val="28"/>
        </w:rPr>
        <w:t>However, some differences in cure rates and ERRs have been observed in studies from different regions. For instance, Jia et al. (2021), in China</w:t>
      </w:r>
      <w:r w:rsidR="004C0067">
        <w:rPr>
          <w:sz w:val="28"/>
          <w:szCs w:val="28"/>
        </w:rPr>
        <w:t>,</w:t>
      </w:r>
      <w:r>
        <w:rPr>
          <w:sz w:val="28"/>
          <w:szCs w:val="28"/>
        </w:rPr>
        <w:t xml:space="preserve"> reported higher cure rates for </w:t>
      </w:r>
      <w:r>
        <w:rPr>
          <w:i/>
          <w:iCs/>
          <w:sz w:val="28"/>
          <w:szCs w:val="28"/>
        </w:rPr>
        <w:t>Ascaris lumbricoides</w:t>
      </w:r>
      <w:r>
        <w:rPr>
          <w:sz w:val="28"/>
          <w:szCs w:val="28"/>
        </w:rPr>
        <w:t xml:space="preserve"> but lower ERRs for hookworm, which could be attributed to geographical and environmental differences that affect transmission dynamics and treatment efficacy.</w:t>
      </w:r>
    </w:p>
    <w:p w14:paraId="3887381B" w14:textId="77777777" w:rsidR="009E493E" w:rsidRDefault="00253705">
      <w:pPr>
        <w:spacing w:line="480" w:lineRule="auto"/>
        <w:rPr>
          <w:sz w:val="28"/>
          <w:szCs w:val="28"/>
        </w:rPr>
      </w:pPr>
      <w:r>
        <w:rPr>
          <w:sz w:val="28"/>
          <w:szCs w:val="28"/>
        </w:rPr>
        <w:t>CONCLUSION</w:t>
      </w:r>
    </w:p>
    <w:p w14:paraId="368031CF" w14:textId="77777777" w:rsidR="009E493E" w:rsidRDefault="00253705">
      <w:pPr>
        <w:spacing w:line="480" w:lineRule="auto"/>
        <w:rPr>
          <w:sz w:val="28"/>
          <w:szCs w:val="28"/>
        </w:rPr>
      </w:pPr>
      <w:r>
        <w:rPr>
          <w:sz w:val="28"/>
          <w:szCs w:val="28"/>
        </w:rPr>
        <w:t xml:space="preserve">This study offers valuable insights into the epidemiology of soil-transmitted helminth (STH) infections and the short-term impact of albendazole treatment in </w:t>
      </w:r>
      <w:proofErr w:type="spellStart"/>
      <w:r>
        <w:rPr>
          <w:sz w:val="28"/>
          <w:szCs w:val="28"/>
        </w:rPr>
        <w:t>Ikyogen</w:t>
      </w:r>
      <w:proofErr w:type="spellEnd"/>
      <w:r>
        <w:rPr>
          <w:sz w:val="28"/>
          <w:szCs w:val="28"/>
        </w:rPr>
        <w:t xml:space="preserve">, </w:t>
      </w:r>
      <w:proofErr w:type="spellStart"/>
      <w:r>
        <w:rPr>
          <w:sz w:val="28"/>
          <w:szCs w:val="28"/>
        </w:rPr>
        <w:t>Kwande</w:t>
      </w:r>
      <w:proofErr w:type="spellEnd"/>
      <w:r>
        <w:rPr>
          <w:sz w:val="28"/>
          <w:szCs w:val="28"/>
        </w:rPr>
        <w:t xml:space="preserve"> LGA. The research underscores the significant efficacy of albendazole in reducing both the prevalence and intensity of STH infections among school-age children, particularly for Ascaris lumbricoides and hookworm </w:t>
      </w:r>
      <w:r>
        <w:rPr>
          <w:sz w:val="28"/>
          <w:szCs w:val="28"/>
        </w:rPr>
        <w:lastRenderedPageBreak/>
        <w:t xml:space="preserve">species. The observed 100% cure rate and egg reduction rate for Trichuris </w:t>
      </w:r>
      <w:proofErr w:type="spellStart"/>
      <w:r>
        <w:rPr>
          <w:sz w:val="28"/>
          <w:szCs w:val="28"/>
        </w:rPr>
        <w:t>trichiura</w:t>
      </w:r>
      <w:proofErr w:type="spellEnd"/>
      <w:r>
        <w:rPr>
          <w:sz w:val="28"/>
          <w:szCs w:val="28"/>
        </w:rPr>
        <w:t xml:space="preserve"> is especially promising, although further investigation is needed.</w:t>
      </w:r>
    </w:p>
    <w:p w14:paraId="6F03AF68" w14:textId="444B299C" w:rsidR="009E493E" w:rsidRDefault="00253705">
      <w:pPr>
        <w:spacing w:line="480" w:lineRule="auto"/>
        <w:rPr>
          <w:sz w:val="28"/>
          <w:szCs w:val="28"/>
        </w:rPr>
      </w:pPr>
      <w:r>
        <w:rPr>
          <w:sz w:val="28"/>
          <w:szCs w:val="28"/>
        </w:rPr>
        <w:t xml:space="preserve">However, the study also reveals significant challenges in STH control. The high baseline prevalence and rapid </w:t>
      </w:r>
      <w:r w:rsidR="004C0067" w:rsidRPr="00066047">
        <w:rPr>
          <w:sz w:val="28"/>
          <w:szCs w:val="28"/>
          <w:highlight w:val="yellow"/>
        </w:rPr>
        <w:t>reinfection</w:t>
      </w:r>
      <w:r>
        <w:rPr>
          <w:sz w:val="28"/>
          <w:szCs w:val="28"/>
        </w:rPr>
        <w:t xml:space="preserve"> rates, especially for A. lumbricoides, underscore the need for integrated control strategies that go beyond periodic deworming. This highlights the importance of sustained mass drug administration (MDA) programs along with improvements in sanitation and hygiene to prevent reinfection and maintain the progress achieved by treatment.</w:t>
      </w:r>
    </w:p>
    <w:p w14:paraId="7B6D277B" w14:textId="12881938" w:rsidR="009E493E" w:rsidRDefault="00253705">
      <w:pPr>
        <w:spacing w:line="480" w:lineRule="auto"/>
        <w:rPr>
          <w:sz w:val="28"/>
          <w:szCs w:val="28"/>
        </w:rPr>
      </w:pPr>
      <w:r>
        <w:rPr>
          <w:sz w:val="28"/>
          <w:szCs w:val="28"/>
        </w:rPr>
        <w:t xml:space="preserve">The species-specific and time-dependent patterns observed in this comprehensive, quantitative assessment provide valuable insights for tailoring STH control strategies. These findings can help guide decisions regarding appropriate intervals for MDA programs and </w:t>
      </w:r>
      <w:proofErr w:type="spellStart"/>
      <w:r w:rsidR="004C0067" w:rsidRPr="00066047">
        <w:rPr>
          <w:sz w:val="28"/>
          <w:szCs w:val="28"/>
          <w:highlight w:val="yellow"/>
        </w:rPr>
        <w:t>emphasise</w:t>
      </w:r>
      <w:proofErr w:type="spellEnd"/>
      <w:r w:rsidR="004C0067">
        <w:rPr>
          <w:sz w:val="28"/>
          <w:szCs w:val="28"/>
        </w:rPr>
        <w:t xml:space="preserve"> </w:t>
      </w:r>
      <w:r>
        <w:rPr>
          <w:sz w:val="28"/>
          <w:szCs w:val="28"/>
        </w:rPr>
        <w:t>the necessity of a multifaceted approach to STH control that addresses both immediate treatment and long-term prevention.</w:t>
      </w:r>
    </w:p>
    <w:p w14:paraId="25909FE2" w14:textId="1DACC3FA" w:rsidR="009E493E" w:rsidRDefault="00253705">
      <w:pPr>
        <w:spacing w:line="480" w:lineRule="auto"/>
        <w:rPr>
          <w:sz w:val="28"/>
          <w:szCs w:val="28"/>
        </w:rPr>
      </w:pPr>
      <w:r>
        <w:rPr>
          <w:sz w:val="28"/>
          <w:szCs w:val="28"/>
        </w:rPr>
        <w:t>Lastly, while albendazole shows significant short-term efficacy, the persistence of infections in some individuals and the potential for rapid re-infection underscore the need for ongoing research and integrated interventions to achieve sustainable reductions in STH prevalence and intensity in endemic areas.</w:t>
      </w:r>
    </w:p>
    <w:p w14:paraId="07E7196D" w14:textId="3AEAAA61" w:rsidR="00BE0C92" w:rsidRDefault="00BE0C92">
      <w:pPr>
        <w:spacing w:line="480" w:lineRule="auto"/>
        <w:rPr>
          <w:sz w:val="28"/>
          <w:szCs w:val="28"/>
        </w:rPr>
      </w:pPr>
      <w:r>
        <w:rPr>
          <w:sz w:val="28"/>
          <w:szCs w:val="28"/>
        </w:rPr>
        <w:lastRenderedPageBreak/>
        <w:t>Consent</w:t>
      </w:r>
    </w:p>
    <w:p w14:paraId="1A780C22" w14:textId="4E996A1F" w:rsidR="00BE0C92" w:rsidRDefault="00BE0C92">
      <w:pPr>
        <w:spacing w:line="480" w:lineRule="auto"/>
        <w:rPr>
          <w:sz w:val="28"/>
          <w:szCs w:val="28"/>
        </w:rPr>
      </w:pPr>
      <w:r>
        <w:rPr>
          <w:sz w:val="28"/>
          <w:szCs w:val="28"/>
        </w:rPr>
        <w:t>Once the sample was selected, the parents /</w:t>
      </w:r>
      <w:r w:rsidRPr="00066047">
        <w:rPr>
          <w:sz w:val="28"/>
          <w:szCs w:val="28"/>
          <w:highlight w:val="yellow"/>
        </w:rPr>
        <w:t xml:space="preserve">caregivers </w:t>
      </w:r>
      <w:r>
        <w:rPr>
          <w:sz w:val="28"/>
          <w:szCs w:val="28"/>
        </w:rPr>
        <w:t xml:space="preserve">of the chosen children were </w:t>
      </w:r>
      <w:r w:rsidRPr="00066047">
        <w:rPr>
          <w:sz w:val="28"/>
          <w:szCs w:val="28"/>
          <w:highlight w:val="yellow"/>
        </w:rPr>
        <w:t xml:space="preserve">contacted </w:t>
      </w:r>
      <w:r>
        <w:rPr>
          <w:sz w:val="28"/>
          <w:szCs w:val="28"/>
        </w:rPr>
        <w:t xml:space="preserve">to obtain consent for </w:t>
      </w:r>
      <w:r w:rsidRPr="00066047">
        <w:rPr>
          <w:sz w:val="28"/>
          <w:szCs w:val="28"/>
          <w:highlight w:val="yellow"/>
        </w:rPr>
        <w:t xml:space="preserve">their </w:t>
      </w:r>
      <w:r>
        <w:rPr>
          <w:sz w:val="28"/>
          <w:szCs w:val="28"/>
        </w:rPr>
        <w:t>participation in the study. After the consent was obtained, the questionnaire was administered</w:t>
      </w:r>
    </w:p>
    <w:p w14:paraId="19C114AB" w14:textId="1F42AFBA" w:rsidR="009F53DA" w:rsidRDefault="009F53DA" w:rsidP="00FE6DCD"/>
    <w:p w14:paraId="57C1B9CC" w14:textId="77777777" w:rsidR="009F53DA" w:rsidRPr="009C5487" w:rsidRDefault="009F53DA" w:rsidP="009F53DA">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3E019AE1"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E9F866C"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8F4D186"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316D7EC"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665533"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6DF3E8D"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D6F6377" w14:textId="77777777" w:rsidR="009F53DA" w:rsidRPr="009C5487" w:rsidRDefault="009F53DA" w:rsidP="009F53D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547A792" w14:textId="77777777" w:rsidR="009F53DA" w:rsidRPr="009C5487" w:rsidRDefault="009F53DA" w:rsidP="009F53DA">
      <w:pPr>
        <w:rPr>
          <w:rFonts w:ascii="Calibri" w:eastAsia="Calibri" w:hAnsi="Calibri" w:cs="Times New Roman"/>
          <w:kern w:val="2"/>
        </w:rPr>
      </w:pPr>
      <w:bookmarkStart w:id="3" w:name="_Hlk197682629"/>
      <w:bookmarkEnd w:id="0"/>
      <w:r w:rsidRPr="009C5487">
        <w:rPr>
          <w:rFonts w:ascii="Calibri" w:eastAsia="Calibri" w:hAnsi="Calibri" w:cs="Times New Roman"/>
          <w:kern w:val="2"/>
          <w:highlight w:val="yellow"/>
        </w:rPr>
        <w:t>3.</w:t>
      </w:r>
    </w:p>
    <w:bookmarkEnd w:id="1"/>
    <w:bookmarkEnd w:id="2"/>
    <w:bookmarkEnd w:id="3"/>
    <w:p w14:paraId="5C5C309C" w14:textId="77777777" w:rsidR="009F53DA" w:rsidRDefault="009F53DA" w:rsidP="00FE6DCD"/>
    <w:p w14:paraId="1FAFF171" w14:textId="77777777" w:rsidR="00FE6DCD" w:rsidRDefault="00FE6DCD" w:rsidP="00FE6DCD"/>
    <w:p w14:paraId="706DDFD1" w14:textId="77777777" w:rsidR="00FE6DCD" w:rsidRDefault="00FE6DCD">
      <w:pPr>
        <w:spacing w:line="480" w:lineRule="auto"/>
        <w:rPr>
          <w:sz w:val="28"/>
          <w:szCs w:val="28"/>
        </w:rPr>
      </w:pPr>
    </w:p>
    <w:p w14:paraId="385260DE" w14:textId="1ACDF5F3" w:rsidR="009E493E" w:rsidRDefault="00253705">
      <w:pPr>
        <w:spacing w:after="0" w:line="240" w:lineRule="auto"/>
        <w:jc w:val="center"/>
        <w:rPr>
          <w:b/>
          <w:sz w:val="28"/>
          <w:szCs w:val="28"/>
        </w:rPr>
      </w:pPr>
      <w:r>
        <w:rPr>
          <w:sz w:val="28"/>
          <w:szCs w:val="28"/>
        </w:rPr>
        <w:br w:type="page"/>
      </w:r>
    </w:p>
    <w:p w14:paraId="371CE00B" w14:textId="74FC8D66" w:rsidR="009E493E" w:rsidRDefault="009E493E">
      <w:pPr>
        <w:spacing w:after="0" w:line="240" w:lineRule="auto"/>
        <w:rPr>
          <w:sz w:val="28"/>
          <w:szCs w:val="28"/>
        </w:rPr>
      </w:pPr>
    </w:p>
    <w:p w14:paraId="69CBCEAD" w14:textId="77777777" w:rsidR="009E493E" w:rsidRDefault="00253705">
      <w:pPr>
        <w:spacing w:line="480" w:lineRule="auto"/>
        <w:jc w:val="center"/>
        <w:rPr>
          <w:sz w:val="28"/>
          <w:szCs w:val="28"/>
        </w:rPr>
      </w:pPr>
      <w:r>
        <w:rPr>
          <w:sz w:val="28"/>
          <w:szCs w:val="28"/>
        </w:rPr>
        <w:t>REFERENCES</w:t>
      </w:r>
    </w:p>
    <w:p w14:paraId="74D590EF"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United States Agency for International Development. (n.d.).</w:t>
      </w:r>
      <w:r>
        <w:rPr>
          <w:rFonts w:ascii="Times New Roman" w:eastAsia="Times New Roman" w:hAnsi="Times New Roman" w:cs="Times New Roman"/>
          <w:i/>
          <w:iCs/>
          <w:sz w:val="24"/>
          <w:szCs w:val="24"/>
        </w:rPr>
        <w:t xml:space="preserve"> Soil</w:t>
      </w:r>
      <w:r>
        <w:rPr>
          <w:rFonts w:ascii="Times New Roman" w:eastAsia="Times New Roman" w:hAnsi="Times New Roman" w:cs="Times New Roman"/>
          <w:i/>
          <w:iCs/>
          <w:sz w:val="24"/>
          <w:szCs w:val="24"/>
        </w:rPr>
        <w:noBreakHyphen/>
        <w:t>transmitted helminths – Neglected tropical disease program.</w:t>
      </w:r>
      <w:r>
        <w:rPr>
          <w:rFonts w:ascii="Times New Roman" w:eastAsia="Times New Roman" w:hAnsi="Times New Roman" w:cs="Times New Roman"/>
          <w:sz w:val="24"/>
          <w:szCs w:val="24"/>
        </w:rPr>
        <w:t xml:space="preserve"> (No 2023 edition found in your list.)</w:t>
      </w:r>
    </w:p>
    <w:p w14:paraId="40260C59"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Oyeyemi</w:t>
      </w:r>
      <w:proofErr w:type="spellEnd"/>
      <w:r>
        <w:rPr>
          <w:rFonts w:ascii="Times New Roman" w:eastAsia="Times New Roman" w:hAnsi="Times New Roman" w:cs="Times New Roman"/>
          <w:b/>
          <w:bCs/>
          <w:sz w:val="24"/>
          <w:szCs w:val="24"/>
        </w:rPr>
        <w:t xml:space="preserve">, O. T., &amp; </w:t>
      </w:r>
      <w:proofErr w:type="spellStart"/>
      <w:r>
        <w:rPr>
          <w:rFonts w:ascii="Times New Roman" w:eastAsia="Times New Roman" w:hAnsi="Times New Roman" w:cs="Times New Roman"/>
          <w:b/>
          <w:bCs/>
          <w:sz w:val="24"/>
          <w:szCs w:val="24"/>
        </w:rPr>
        <w:t>Okunlola</w:t>
      </w:r>
      <w:proofErr w:type="spellEnd"/>
      <w:r>
        <w:rPr>
          <w:rFonts w:ascii="Times New Roman" w:eastAsia="Times New Roman" w:hAnsi="Times New Roman" w:cs="Times New Roman"/>
          <w:b/>
          <w:bCs/>
          <w:sz w:val="24"/>
          <w:szCs w:val="24"/>
        </w:rPr>
        <w:t>, O. A. (2023).</w:t>
      </w:r>
      <w:r>
        <w:rPr>
          <w:rFonts w:ascii="Times New Roman" w:eastAsia="Times New Roman" w:hAnsi="Times New Roman" w:cs="Times New Roman"/>
          <w:sz w:val="24"/>
          <w:szCs w:val="24"/>
        </w:rPr>
        <w:t xml:space="preserve"> Soil-transmitted helminthiasis (STH) endemicity and performance of preventive chemotherapy intervention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in Nigeria (in year 2021). </w:t>
      </w:r>
      <w:r>
        <w:rPr>
          <w:rFonts w:ascii="Times New Roman" w:eastAsia="Times New Roman" w:hAnsi="Times New Roman" w:cs="Times New Roman"/>
          <w:i/>
          <w:iCs/>
          <w:sz w:val="24"/>
          <w:szCs w:val="24"/>
        </w:rPr>
        <w:t>Scientific Reports, 13</w:t>
      </w:r>
      <w:r>
        <w:rPr>
          <w:rFonts w:ascii="Times New Roman" w:eastAsia="Times New Roman" w:hAnsi="Times New Roman" w:cs="Times New Roman"/>
          <w:sz w:val="24"/>
          <w:szCs w:val="24"/>
        </w:rPr>
        <w:t xml:space="preserve">(1), Article 10155. </w:t>
      </w:r>
      <w:hyperlink r:id="rId14" w:history="1">
        <w:r w:rsidR="009E493E">
          <w:rPr>
            <w:rFonts w:ascii="Times New Roman" w:eastAsia="Times New Roman" w:hAnsi="Times New Roman" w:cs="Times New Roman"/>
            <w:color w:val="0000FF"/>
            <w:sz w:val="24"/>
            <w:szCs w:val="24"/>
            <w:u w:val="single"/>
          </w:rPr>
          <w:t>https://doi.org/10.1038/s41598-023-37402-8</w:t>
        </w:r>
      </w:hyperlink>
    </w:p>
    <w:p w14:paraId="0EB47EFD"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Sartorius, B., Cano, J., Simpson, H., </w:t>
      </w:r>
      <w:proofErr w:type="spellStart"/>
      <w:r>
        <w:rPr>
          <w:rFonts w:ascii="Times New Roman" w:eastAsia="Times New Roman" w:hAnsi="Times New Roman" w:cs="Times New Roman"/>
          <w:b/>
          <w:bCs/>
          <w:sz w:val="24"/>
          <w:szCs w:val="24"/>
        </w:rPr>
        <w:t>Tusting</w:t>
      </w:r>
      <w:proofErr w:type="spellEnd"/>
      <w:r>
        <w:rPr>
          <w:rFonts w:ascii="Times New Roman" w:eastAsia="Times New Roman" w:hAnsi="Times New Roman" w:cs="Times New Roman"/>
          <w:b/>
          <w:bCs/>
          <w:sz w:val="24"/>
          <w:szCs w:val="24"/>
        </w:rPr>
        <w:t>, L. S., Marczak, L. B., Miller</w:t>
      </w:r>
      <w:r>
        <w:rPr>
          <w:rFonts w:ascii="Times New Roman" w:eastAsia="Times New Roman" w:hAnsi="Times New Roman" w:cs="Times New Roman"/>
          <w:b/>
          <w:bCs/>
          <w:sz w:val="24"/>
          <w:szCs w:val="24"/>
        </w:rPr>
        <w:noBreakHyphen/>
        <w:t>Petrie, M. K., Diaz, D., Baumann, J., Coates, M. M., Hay, S. I., &amp; Reiner, R. C. (2021).</w:t>
      </w:r>
      <w:r>
        <w:rPr>
          <w:rFonts w:ascii="Times New Roman" w:eastAsia="Times New Roman" w:hAnsi="Times New Roman" w:cs="Times New Roman"/>
          <w:sz w:val="24"/>
          <w:szCs w:val="24"/>
        </w:rPr>
        <w:t xml:space="preserve"> Prevalence and intensity of soil-transmitted helminth infections of children in sub-Saharan Africa, 2000–18: A geospatial analysis. </w:t>
      </w:r>
      <w:r>
        <w:rPr>
          <w:rFonts w:ascii="Times New Roman" w:eastAsia="Times New Roman" w:hAnsi="Times New Roman" w:cs="Times New Roman"/>
          <w:i/>
          <w:iCs/>
          <w:sz w:val="24"/>
          <w:szCs w:val="24"/>
        </w:rPr>
        <w:t>The Lancet Global Health, 9</w:t>
      </w:r>
      <w:r>
        <w:rPr>
          <w:rFonts w:ascii="Times New Roman" w:eastAsia="Times New Roman" w:hAnsi="Times New Roman" w:cs="Times New Roman"/>
          <w:sz w:val="24"/>
          <w:szCs w:val="24"/>
        </w:rPr>
        <w:t xml:space="preserve">(1), e52–e60. </w:t>
      </w:r>
      <w:hyperlink r:id="rId15" w:history="1">
        <w:r w:rsidR="009E493E">
          <w:rPr>
            <w:rFonts w:ascii="Times New Roman" w:eastAsia="Times New Roman" w:hAnsi="Times New Roman" w:cs="Times New Roman"/>
            <w:color w:val="0000FF"/>
            <w:sz w:val="24"/>
            <w:szCs w:val="24"/>
            <w:u w:val="single"/>
          </w:rPr>
          <w:t>https://doi.org/10.1016/S2214</w:t>
        </w:r>
        <w:r w:rsidR="009E493E">
          <w:rPr>
            <w:rFonts w:ascii="Times New Roman" w:eastAsia="Times New Roman" w:hAnsi="Times New Roman" w:cs="Times New Roman"/>
            <w:color w:val="0000FF"/>
            <w:sz w:val="24"/>
            <w:szCs w:val="24"/>
            <w:u w:val="single"/>
          </w:rPr>
          <w:noBreakHyphen/>
          <w:t>109X(20)30398</w:t>
        </w:r>
        <w:r w:rsidR="009E493E">
          <w:rPr>
            <w:rFonts w:ascii="Times New Roman" w:eastAsia="Times New Roman" w:hAnsi="Times New Roman" w:cs="Times New Roman"/>
            <w:color w:val="0000FF"/>
            <w:sz w:val="24"/>
            <w:szCs w:val="24"/>
            <w:u w:val="single"/>
          </w:rPr>
          <w:noBreakHyphen/>
          <w:t>3</w:t>
        </w:r>
      </w:hyperlink>
    </w:p>
    <w:p w14:paraId="3D785C6B"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Montresor, A., </w:t>
      </w:r>
      <w:proofErr w:type="spellStart"/>
      <w:r>
        <w:rPr>
          <w:rFonts w:ascii="Times New Roman" w:eastAsia="Times New Roman" w:hAnsi="Times New Roman" w:cs="Times New Roman"/>
          <w:b/>
          <w:bCs/>
          <w:sz w:val="24"/>
          <w:szCs w:val="24"/>
        </w:rPr>
        <w:t>Mupfasoni</w:t>
      </w:r>
      <w:proofErr w:type="spellEnd"/>
      <w:r>
        <w:rPr>
          <w:rFonts w:ascii="Times New Roman" w:eastAsia="Times New Roman" w:hAnsi="Times New Roman" w:cs="Times New Roman"/>
          <w:b/>
          <w:bCs/>
          <w:sz w:val="24"/>
          <w:szCs w:val="24"/>
        </w:rPr>
        <w:t xml:space="preserve">, D., Mikhailov, A., </w:t>
      </w:r>
      <w:proofErr w:type="spellStart"/>
      <w:r>
        <w:rPr>
          <w:rFonts w:ascii="Times New Roman" w:eastAsia="Times New Roman" w:hAnsi="Times New Roman" w:cs="Times New Roman"/>
          <w:b/>
          <w:bCs/>
          <w:sz w:val="24"/>
          <w:szCs w:val="24"/>
        </w:rPr>
        <w:t>Mwinzi</w:t>
      </w:r>
      <w:proofErr w:type="spellEnd"/>
      <w:r>
        <w:rPr>
          <w:rFonts w:ascii="Times New Roman" w:eastAsia="Times New Roman" w:hAnsi="Times New Roman" w:cs="Times New Roman"/>
          <w:b/>
          <w:bCs/>
          <w:sz w:val="24"/>
          <w:szCs w:val="24"/>
        </w:rPr>
        <w:t xml:space="preserve">, P., </w:t>
      </w:r>
      <w:proofErr w:type="spellStart"/>
      <w:r>
        <w:rPr>
          <w:rFonts w:ascii="Times New Roman" w:eastAsia="Times New Roman" w:hAnsi="Times New Roman" w:cs="Times New Roman"/>
          <w:b/>
          <w:bCs/>
          <w:sz w:val="24"/>
          <w:szCs w:val="24"/>
        </w:rPr>
        <w:t>Lucianez</w:t>
      </w:r>
      <w:proofErr w:type="spellEnd"/>
      <w:r>
        <w:rPr>
          <w:rFonts w:ascii="Times New Roman" w:eastAsia="Times New Roman" w:hAnsi="Times New Roman" w:cs="Times New Roman"/>
          <w:b/>
          <w:bCs/>
          <w:sz w:val="24"/>
          <w:szCs w:val="24"/>
        </w:rPr>
        <w:t xml:space="preserve">, A., </w:t>
      </w:r>
      <w:proofErr w:type="spellStart"/>
      <w:r>
        <w:rPr>
          <w:rFonts w:ascii="Times New Roman" w:eastAsia="Times New Roman" w:hAnsi="Times New Roman" w:cs="Times New Roman"/>
          <w:b/>
          <w:bCs/>
          <w:sz w:val="24"/>
          <w:szCs w:val="24"/>
        </w:rPr>
        <w:t>Jamsheed</w:t>
      </w:r>
      <w:proofErr w:type="spellEnd"/>
      <w:r>
        <w:rPr>
          <w:rFonts w:ascii="Times New Roman" w:eastAsia="Times New Roman" w:hAnsi="Times New Roman" w:cs="Times New Roman"/>
          <w:b/>
          <w:bCs/>
          <w:sz w:val="24"/>
          <w:szCs w:val="24"/>
        </w:rPr>
        <w:t xml:space="preserve">, M., </w:t>
      </w:r>
      <w:proofErr w:type="spellStart"/>
      <w:r>
        <w:rPr>
          <w:rFonts w:ascii="Times New Roman" w:eastAsia="Times New Roman" w:hAnsi="Times New Roman" w:cs="Times New Roman"/>
          <w:b/>
          <w:bCs/>
          <w:sz w:val="24"/>
          <w:szCs w:val="24"/>
        </w:rPr>
        <w:t>Gasimov</w:t>
      </w:r>
      <w:proofErr w:type="spellEnd"/>
      <w:r>
        <w:rPr>
          <w:rFonts w:ascii="Times New Roman" w:eastAsia="Times New Roman" w:hAnsi="Times New Roman" w:cs="Times New Roman"/>
          <w:b/>
          <w:bCs/>
          <w:sz w:val="24"/>
          <w:szCs w:val="24"/>
        </w:rPr>
        <w:t xml:space="preserve">, E., </w:t>
      </w:r>
      <w:proofErr w:type="spellStart"/>
      <w:r>
        <w:rPr>
          <w:rFonts w:ascii="Times New Roman" w:eastAsia="Times New Roman" w:hAnsi="Times New Roman" w:cs="Times New Roman"/>
          <w:b/>
          <w:bCs/>
          <w:sz w:val="24"/>
          <w:szCs w:val="24"/>
        </w:rPr>
        <w:t>Warusavithana</w:t>
      </w:r>
      <w:proofErr w:type="spellEnd"/>
      <w:r>
        <w:rPr>
          <w:rFonts w:ascii="Times New Roman" w:eastAsia="Times New Roman" w:hAnsi="Times New Roman" w:cs="Times New Roman"/>
          <w:b/>
          <w:bCs/>
          <w:sz w:val="24"/>
          <w:szCs w:val="24"/>
        </w:rPr>
        <w:t xml:space="preserve">, S., </w:t>
      </w:r>
      <w:proofErr w:type="spellStart"/>
      <w:r>
        <w:rPr>
          <w:rFonts w:ascii="Times New Roman" w:eastAsia="Times New Roman" w:hAnsi="Times New Roman" w:cs="Times New Roman"/>
          <w:b/>
          <w:bCs/>
          <w:sz w:val="24"/>
          <w:szCs w:val="24"/>
        </w:rPr>
        <w:t>Yajima</w:t>
      </w:r>
      <w:proofErr w:type="spellEnd"/>
      <w:r>
        <w:rPr>
          <w:rFonts w:ascii="Times New Roman" w:eastAsia="Times New Roman" w:hAnsi="Times New Roman" w:cs="Times New Roman"/>
          <w:b/>
          <w:bCs/>
          <w:sz w:val="24"/>
          <w:szCs w:val="24"/>
        </w:rPr>
        <w:t xml:space="preserve">, A., </w:t>
      </w:r>
      <w:proofErr w:type="spellStart"/>
      <w:r>
        <w:rPr>
          <w:rFonts w:ascii="Times New Roman" w:eastAsia="Times New Roman" w:hAnsi="Times New Roman" w:cs="Times New Roman"/>
          <w:b/>
          <w:bCs/>
          <w:sz w:val="24"/>
          <w:szCs w:val="24"/>
        </w:rPr>
        <w:t>Bisoffi</w:t>
      </w:r>
      <w:proofErr w:type="spellEnd"/>
      <w:r>
        <w:rPr>
          <w:rFonts w:ascii="Times New Roman" w:eastAsia="Times New Roman" w:hAnsi="Times New Roman" w:cs="Times New Roman"/>
          <w:b/>
          <w:bCs/>
          <w:sz w:val="24"/>
          <w:szCs w:val="24"/>
        </w:rPr>
        <w:t xml:space="preserve">, Z., </w:t>
      </w:r>
      <w:proofErr w:type="spellStart"/>
      <w:r>
        <w:rPr>
          <w:rFonts w:ascii="Times New Roman" w:eastAsia="Times New Roman" w:hAnsi="Times New Roman" w:cs="Times New Roman"/>
          <w:b/>
          <w:bCs/>
          <w:sz w:val="24"/>
          <w:szCs w:val="24"/>
        </w:rPr>
        <w:t>Buonfrate</w:t>
      </w:r>
      <w:proofErr w:type="spellEnd"/>
      <w:r>
        <w:rPr>
          <w:rFonts w:ascii="Times New Roman" w:eastAsia="Times New Roman" w:hAnsi="Times New Roman" w:cs="Times New Roman"/>
          <w:b/>
          <w:bCs/>
          <w:sz w:val="24"/>
          <w:szCs w:val="24"/>
        </w:rPr>
        <w:t xml:space="preserve">, D., Steinmann, P., </w:t>
      </w:r>
      <w:proofErr w:type="spellStart"/>
      <w:r>
        <w:rPr>
          <w:rFonts w:ascii="Times New Roman" w:eastAsia="Times New Roman" w:hAnsi="Times New Roman" w:cs="Times New Roman"/>
          <w:b/>
          <w:bCs/>
          <w:sz w:val="24"/>
          <w:szCs w:val="24"/>
        </w:rPr>
        <w:t>Utzinger</w:t>
      </w:r>
      <w:proofErr w:type="spellEnd"/>
      <w:r>
        <w:rPr>
          <w:rFonts w:ascii="Times New Roman" w:eastAsia="Times New Roman" w:hAnsi="Times New Roman" w:cs="Times New Roman"/>
          <w:b/>
          <w:bCs/>
          <w:sz w:val="24"/>
          <w:szCs w:val="24"/>
        </w:rPr>
        <w:t xml:space="preserve">, J., </w:t>
      </w:r>
      <w:proofErr w:type="spellStart"/>
      <w:r>
        <w:rPr>
          <w:rFonts w:ascii="Times New Roman" w:eastAsia="Times New Roman" w:hAnsi="Times New Roman" w:cs="Times New Roman"/>
          <w:b/>
          <w:bCs/>
          <w:sz w:val="24"/>
          <w:szCs w:val="24"/>
        </w:rPr>
        <w:t>Levecke</w:t>
      </w:r>
      <w:proofErr w:type="spellEnd"/>
      <w:r>
        <w:rPr>
          <w:rFonts w:ascii="Times New Roman" w:eastAsia="Times New Roman" w:hAnsi="Times New Roman" w:cs="Times New Roman"/>
          <w:b/>
          <w:bCs/>
          <w:sz w:val="24"/>
          <w:szCs w:val="24"/>
        </w:rPr>
        <w:t xml:space="preserve">, B., Vlaminck, J., Cools, P., </w:t>
      </w:r>
      <w:proofErr w:type="spellStart"/>
      <w:r>
        <w:rPr>
          <w:rFonts w:ascii="Times New Roman" w:eastAsia="Times New Roman" w:hAnsi="Times New Roman" w:cs="Times New Roman"/>
          <w:b/>
          <w:bCs/>
          <w:sz w:val="24"/>
          <w:szCs w:val="24"/>
        </w:rPr>
        <w:t>Vercruysse</w:t>
      </w:r>
      <w:proofErr w:type="spellEnd"/>
      <w:r>
        <w:rPr>
          <w:rFonts w:ascii="Times New Roman" w:eastAsia="Times New Roman" w:hAnsi="Times New Roman" w:cs="Times New Roman"/>
          <w:b/>
          <w:bCs/>
          <w:sz w:val="24"/>
          <w:szCs w:val="24"/>
        </w:rPr>
        <w:t xml:space="preserve">, J., </w:t>
      </w:r>
      <w:proofErr w:type="spellStart"/>
      <w:r>
        <w:rPr>
          <w:rFonts w:ascii="Times New Roman" w:eastAsia="Times New Roman" w:hAnsi="Times New Roman" w:cs="Times New Roman"/>
          <w:b/>
          <w:bCs/>
          <w:sz w:val="24"/>
          <w:szCs w:val="24"/>
        </w:rPr>
        <w:t>Cringoli</w:t>
      </w:r>
      <w:proofErr w:type="spellEnd"/>
      <w:r>
        <w:rPr>
          <w:rFonts w:ascii="Times New Roman" w:eastAsia="Times New Roman" w:hAnsi="Times New Roman" w:cs="Times New Roman"/>
          <w:b/>
          <w:bCs/>
          <w:sz w:val="24"/>
          <w:szCs w:val="24"/>
        </w:rPr>
        <w:t xml:space="preserve">, G., Rinaldi, L., Blouin, B., &amp; </w:t>
      </w:r>
      <w:proofErr w:type="spellStart"/>
      <w:r>
        <w:rPr>
          <w:rFonts w:ascii="Times New Roman" w:eastAsia="Times New Roman" w:hAnsi="Times New Roman" w:cs="Times New Roman"/>
          <w:b/>
          <w:bCs/>
          <w:sz w:val="24"/>
          <w:szCs w:val="24"/>
        </w:rPr>
        <w:t>Gyorkos</w:t>
      </w:r>
      <w:proofErr w:type="spellEnd"/>
      <w:r>
        <w:rPr>
          <w:rFonts w:ascii="Times New Roman" w:eastAsia="Times New Roman" w:hAnsi="Times New Roman" w:cs="Times New Roman"/>
          <w:b/>
          <w:bCs/>
          <w:sz w:val="24"/>
          <w:szCs w:val="24"/>
        </w:rPr>
        <w:t>, T. W. (2020).</w:t>
      </w:r>
      <w:r>
        <w:rPr>
          <w:rFonts w:ascii="Times New Roman" w:eastAsia="Times New Roman" w:hAnsi="Times New Roman" w:cs="Times New Roman"/>
          <w:sz w:val="24"/>
          <w:szCs w:val="24"/>
        </w:rPr>
        <w:t xml:space="preserve"> The global progress of soil</w:t>
      </w:r>
      <w:r>
        <w:rPr>
          <w:rFonts w:ascii="Times New Roman" w:eastAsia="Times New Roman" w:hAnsi="Times New Roman" w:cs="Times New Roman"/>
          <w:sz w:val="24"/>
          <w:szCs w:val="24"/>
        </w:rPr>
        <w:noBreakHyphen/>
        <w:t xml:space="preserve">transmitted helminthiases control in 2020 and World Health Organization targets for 2030. </w:t>
      </w:r>
      <w:r>
        <w:rPr>
          <w:rFonts w:ascii="Times New Roman" w:eastAsia="Times New Roman" w:hAnsi="Times New Roman" w:cs="Times New Roman"/>
          <w:i/>
          <w:iCs/>
          <w:sz w:val="24"/>
          <w:szCs w:val="24"/>
        </w:rPr>
        <w:t>PLOS Neglected Tropical Diseases, 14</w:t>
      </w:r>
      <w:r>
        <w:rPr>
          <w:rFonts w:ascii="Times New Roman" w:eastAsia="Times New Roman" w:hAnsi="Times New Roman" w:cs="Times New Roman"/>
          <w:sz w:val="24"/>
          <w:szCs w:val="24"/>
        </w:rPr>
        <w:t xml:space="preserve">(8), e0008505. </w:t>
      </w:r>
      <w:hyperlink r:id="rId16" w:history="1">
        <w:r w:rsidR="009E493E">
          <w:rPr>
            <w:rFonts w:ascii="Times New Roman" w:eastAsia="Times New Roman" w:hAnsi="Times New Roman" w:cs="Times New Roman"/>
            <w:color w:val="0000FF"/>
            <w:sz w:val="24"/>
            <w:szCs w:val="24"/>
            <w:u w:val="single"/>
          </w:rPr>
          <w:t>https://doi.org/10.1371/journal.pntd.0008505</w:t>
        </w:r>
      </w:hyperlink>
    </w:p>
    <w:p w14:paraId="4D7E4AAA"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World Health Organization. (2021).</w:t>
      </w:r>
      <w:r>
        <w:rPr>
          <w:rFonts w:ascii="Times New Roman" w:eastAsia="Times New Roman" w:hAnsi="Times New Roman" w:cs="Times New Roman"/>
          <w:sz w:val="24"/>
          <w:szCs w:val="24"/>
        </w:rPr>
        <w:t xml:space="preserve"> Soil</w:t>
      </w:r>
      <w:r>
        <w:rPr>
          <w:rFonts w:ascii="Times New Roman" w:eastAsia="Times New Roman" w:hAnsi="Times New Roman" w:cs="Times New Roman"/>
          <w:sz w:val="24"/>
          <w:szCs w:val="24"/>
        </w:rPr>
        <w:noBreakHyphen/>
        <w:t xml:space="preserve">transmitted helminth infections. [Fact sheet]. </w:t>
      </w:r>
      <w:r>
        <w:rPr>
          <w:rFonts w:ascii="Times New Roman" w:eastAsia="Times New Roman" w:hAnsi="Times New Roman" w:cs="Times New Roman"/>
          <w:i/>
          <w:iCs/>
          <w:sz w:val="24"/>
          <w:szCs w:val="24"/>
        </w:rPr>
        <w:t>Retrieved from</w:t>
      </w:r>
      <w:r>
        <w:rPr>
          <w:rFonts w:ascii="Times New Roman" w:eastAsia="Times New Roman" w:hAnsi="Times New Roman" w:cs="Times New Roman"/>
          <w:sz w:val="24"/>
          <w:szCs w:val="24"/>
        </w:rPr>
        <w:t xml:space="preserve"> </w:t>
      </w:r>
      <w:hyperlink r:id="rId17" w:history="1">
        <w:r w:rsidR="009E493E">
          <w:rPr>
            <w:rFonts w:ascii="Times New Roman" w:eastAsia="Times New Roman" w:hAnsi="Times New Roman" w:cs="Times New Roman"/>
            <w:color w:val="0000FF"/>
            <w:sz w:val="24"/>
            <w:szCs w:val="24"/>
            <w:u w:val="single"/>
          </w:rPr>
          <w:t>https://www.who.int/news-room/fact-sheets/detail/soil-transmitted-helminth-infections</w:t>
        </w:r>
      </w:hyperlink>
    </w:p>
    <w:p w14:paraId="3D0C0A35" w14:textId="77777777" w:rsidR="009E493E" w:rsidRDefault="00253705">
      <w:pPr>
        <w:spacing w:before="100" w:beforeAutospacing="1" w:after="100" w:afterAutospacing="1" w:line="48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Gebreyesus</w:t>
      </w:r>
      <w:proofErr w:type="spellEnd"/>
      <w:r>
        <w:rPr>
          <w:rFonts w:ascii="Times New Roman" w:eastAsia="Times New Roman" w:hAnsi="Times New Roman" w:cs="Times New Roman"/>
          <w:b/>
          <w:bCs/>
          <w:sz w:val="24"/>
          <w:szCs w:val="24"/>
        </w:rPr>
        <w:t xml:space="preserve">, T. D., Makonnen, E., </w:t>
      </w:r>
      <w:proofErr w:type="spellStart"/>
      <w:r>
        <w:rPr>
          <w:rFonts w:ascii="Times New Roman" w:eastAsia="Times New Roman" w:hAnsi="Times New Roman" w:cs="Times New Roman"/>
          <w:b/>
          <w:bCs/>
          <w:sz w:val="24"/>
          <w:szCs w:val="24"/>
        </w:rPr>
        <w:t>Tadele</w:t>
      </w:r>
      <w:proofErr w:type="spellEnd"/>
      <w:r>
        <w:rPr>
          <w:rFonts w:ascii="Times New Roman" w:eastAsia="Times New Roman" w:hAnsi="Times New Roman" w:cs="Times New Roman"/>
          <w:b/>
          <w:bCs/>
          <w:sz w:val="24"/>
          <w:szCs w:val="24"/>
        </w:rPr>
        <w:t>, T., et al. (2024).</w:t>
      </w:r>
      <w:r>
        <w:rPr>
          <w:rFonts w:ascii="Times New Roman" w:eastAsia="Times New Roman" w:hAnsi="Times New Roman" w:cs="Times New Roman"/>
          <w:sz w:val="24"/>
          <w:szCs w:val="24"/>
        </w:rPr>
        <w:t xml:space="preserve"> Reduced efficacy of single-dose albendazole against </w:t>
      </w:r>
      <w:r>
        <w:rPr>
          <w:rFonts w:ascii="Times New Roman" w:eastAsia="Times New Roman" w:hAnsi="Times New Roman" w:cs="Times New Roman"/>
          <w:i/>
          <w:iCs/>
          <w:sz w:val="24"/>
          <w:szCs w:val="24"/>
        </w:rPr>
        <w:t>Ascaris lumbricoides</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 xml:space="preserve">Trichuris </w:t>
      </w:r>
      <w:proofErr w:type="spellStart"/>
      <w:r>
        <w:rPr>
          <w:rFonts w:ascii="Times New Roman" w:eastAsia="Times New Roman" w:hAnsi="Times New Roman" w:cs="Times New Roman"/>
          <w:i/>
          <w:iCs/>
          <w:sz w:val="24"/>
          <w:szCs w:val="24"/>
        </w:rPr>
        <w:t>trichiura</w:t>
      </w:r>
      <w:proofErr w:type="spellEnd"/>
      <w:r>
        <w:rPr>
          <w:rFonts w:ascii="Times New Roman" w:eastAsia="Times New Roman" w:hAnsi="Times New Roman" w:cs="Times New Roman"/>
          <w:sz w:val="24"/>
          <w:szCs w:val="24"/>
        </w:rPr>
        <w:t xml:space="preserve"> and high reinfection rate after cure among school children in southern Ethiopia: A prospective cohort study. </w:t>
      </w:r>
      <w:r>
        <w:rPr>
          <w:rFonts w:ascii="Times New Roman" w:eastAsia="Times New Roman" w:hAnsi="Times New Roman" w:cs="Times New Roman"/>
          <w:i/>
          <w:iCs/>
          <w:sz w:val="24"/>
          <w:szCs w:val="24"/>
        </w:rPr>
        <w:t>Infectious Diseases of Poverty, 13</w:t>
      </w:r>
      <w:r>
        <w:rPr>
          <w:rFonts w:ascii="Times New Roman" w:eastAsia="Times New Roman" w:hAnsi="Times New Roman" w:cs="Times New Roman"/>
          <w:sz w:val="24"/>
          <w:szCs w:val="24"/>
        </w:rPr>
        <w:t xml:space="preserve">, Article 8. </w:t>
      </w:r>
      <w:hyperlink r:id="rId18" w:history="1">
        <w:r w:rsidR="009E493E">
          <w:rPr>
            <w:rFonts w:ascii="Times New Roman" w:eastAsia="Times New Roman" w:hAnsi="Times New Roman" w:cs="Times New Roman"/>
            <w:color w:val="0000FF"/>
            <w:sz w:val="24"/>
            <w:szCs w:val="24"/>
            <w:u w:val="single"/>
          </w:rPr>
          <w:t>https://doi.org/10.1186/s40249-024-01176-6</w:t>
        </w:r>
      </w:hyperlink>
    </w:p>
    <w:p w14:paraId="15A2E6FA" w14:textId="41E9EF3E" w:rsidR="00031D2D" w:rsidRDefault="00031D2D">
      <w:pPr>
        <w:spacing w:before="100" w:beforeAutospacing="1" w:after="100" w:afterAutospacing="1" w:line="480" w:lineRule="auto"/>
        <w:ind w:left="360"/>
        <w:rPr>
          <w:rFonts w:ascii="Times New Roman" w:eastAsia="Times New Roman" w:hAnsi="Times New Roman" w:cs="Times New Roman"/>
          <w:b/>
          <w:bCs/>
          <w:sz w:val="24"/>
          <w:szCs w:val="24"/>
        </w:rPr>
      </w:pPr>
      <w:proofErr w:type="spellStart"/>
      <w:r w:rsidRPr="00031D2D">
        <w:rPr>
          <w:rFonts w:ascii="Times New Roman" w:eastAsia="Times New Roman" w:hAnsi="Times New Roman" w:cs="Times New Roman"/>
          <w:b/>
          <w:bCs/>
          <w:sz w:val="24"/>
          <w:szCs w:val="24"/>
        </w:rPr>
        <w:t>Schüle</w:t>
      </w:r>
      <w:proofErr w:type="spellEnd"/>
      <w:r w:rsidRPr="00031D2D">
        <w:rPr>
          <w:rFonts w:ascii="Times New Roman" w:eastAsia="Times New Roman" w:hAnsi="Times New Roman" w:cs="Times New Roman"/>
          <w:b/>
          <w:bCs/>
          <w:sz w:val="24"/>
          <w:szCs w:val="24"/>
        </w:rPr>
        <w:t xml:space="preserve">, S. A., Clowes, P., </w:t>
      </w:r>
      <w:proofErr w:type="spellStart"/>
      <w:r w:rsidRPr="00031D2D">
        <w:rPr>
          <w:rFonts w:ascii="Times New Roman" w:eastAsia="Times New Roman" w:hAnsi="Times New Roman" w:cs="Times New Roman"/>
          <w:b/>
          <w:bCs/>
          <w:sz w:val="24"/>
          <w:szCs w:val="24"/>
        </w:rPr>
        <w:t>Kroidl</w:t>
      </w:r>
      <w:proofErr w:type="spellEnd"/>
      <w:r w:rsidRPr="00031D2D">
        <w:rPr>
          <w:rFonts w:ascii="Times New Roman" w:eastAsia="Times New Roman" w:hAnsi="Times New Roman" w:cs="Times New Roman"/>
          <w:b/>
          <w:bCs/>
          <w:sz w:val="24"/>
          <w:szCs w:val="24"/>
        </w:rPr>
        <w:t xml:space="preserve">, I., </w:t>
      </w:r>
      <w:proofErr w:type="spellStart"/>
      <w:r w:rsidRPr="00031D2D">
        <w:rPr>
          <w:rFonts w:ascii="Times New Roman" w:eastAsia="Times New Roman" w:hAnsi="Times New Roman" w:cs="Times New Roman"/>
          <w:b/>
          <w:bCs/>
          <w:sz w:val="24"/>
          <w:szCs w:val="24"/>
        </w:rPr>
        <w:t>Kowuor</w:t>
      </w:r>
      <w:proofErr w:type="spellEnd"/>
      <w:r w:rsidRPr="00031D2D">
        <w:rPr>
          <w:rFonts w:ascii="Times New Roman" w:eastAsia="Times New Roman" w:hAnsi="Times New Roman" w:cs="Times New Roman"/>
          <w:b/>
          <w:bCs/>
          <w:sz w:val="24"/>
          <w:szCs w:val="24"/>
        </w:rPr>
        <w:t xml:space="preserve">, D. O., </w:t>
      </w:r>
      <w:proofErr w:type="spellStart"/>
      <w:r w:rsidRPr="00031D2D">
        <w:rPr>
          <w:rFonts w:ascii="Times New Roman" w:eastAsia="Times New Roman" w:hAnsi="Times New Roman" w:cs="Times New Roman"/>
          <w:b/>
          <w:bCs/>
          <w:sz w:val="24"/>
          <w:szCs w:val="24"/>
        </w:rPr>
        <w:t>Nsojo</w:t>
      </w:r>
      <w:proofErr w:type="spellEnd"/>
      <w:r w:rsidRPr="00031D2D">
        <w:rPr>
          <w:rFonts w:ascii="Times New Roman" w:eastAsia="Times New Roman" w:hAnsi="Times New Roman" w:cs="Times New Roman"/>
          <w:b/>
          <w:bCs/>
          <w:sz w:val="24"/>
          <w:szCs w:val="24"/>
        </w:rPr>
        <w:t xml:space="preserve">, A., </w:t>
      </w:r>
      <w:proofErr w:type="spellStart"/>
      <w:r w:rsidRPr="00031D2D">
        <w:rPr>
          <w:rFonts w:ascii="Times New Roman" w:eastAsia="Times New Roman" w:hAnsi="Times New Roman" w:cs="Times New Roman"/>
          <w:b/>
          <w:bCs/>
          <w:sz w:val="24"/>
          <w:szCs w:val="24"/>
        </w:rPr>
        <w:t>Mangu</w:t>
      </w:r>
      <w:proofErr w:type="spellEnd"/>
      <w:r w:rsidRPr="00031D2D">
        <w:rPr>
          <w:rFonts w:ascii="Times New Roman" w:eastAsia="Times New Roman" w:hAnsi="Times New Roman" w:cs="Times New Roman"/>
          <w:b/>
          <w:bCs/>
          <w:sz w:val="24"/>
          <w:szCs w:val="24"/>
        </w:rPr>
        <w:t xml:space="preserve">, C., ... &amp; Saathoff, E. (2014). Ascaris lumbricoides infection and its relation to environmental factors in the Mbeya region of Tanzania, a cross-sectional, population-based study. </w:t>
      </w:r>
      <w:proofErr w:type="spellStart"/>
      <w:r w:rsidRPr="00031D2D">
        <w:rPr>
          <w:rFonts w:ascii="Times New Roman" w:eastAsia="Times New Roman" w:hAnsi="Times New Roman" w:cs="Times New Roman"/>
          <w:b/>
          <w:bCs/>
          <w:sz w:val="24"/>
          <w:szCs w:val="24"/>
        </w:rPr>
        <w:t>PloS</w:t>
      </w:r>
      <w:proofErr w:type="spellEnd"/>
      <w:r w:rsidRPr="00031D2D">
        <w:rPr>
          <w:rFonts w:ascii="Times New Roman" w:eastAsia="Times New Roman" w:hAnsi="Times New Roman" w:cs="Times New Roman"/>
          <w:b/>
          <w:bCs/>
          <w:sz w:val="24"/>
          <w:szCs w:val="24"/>
        </w:rPr>
        <w:t xml:space="preserve"> one, 9(3), e92032.</w:t>
      </w:r>
    </w:p>
    <w:p w14:paraId="468BF9C3" w14:textId="0133388C" w:rsidR="00031D2D" w:rsidRDefault="00031D2D">
      <w:pPr>
        <w:spacing w:before="100" w:beforeAutospacing="1" w:after="100" w:afterAutospacing="1" w:line="480" w:lineRule="auto"/>
        <w:ind w:left="360"/>
        <w:rPr>
          <w:rFonts w:ascii="Times New Roman" w:eastAsia="Times New Roman" w:hAnsi="Times New Roman" w:cs="Times New Roman"/>
          <w:b/>
          <w:bCs/>
          <w:sz w:val="24"/>
          <w:szCs w:val="24"/>
        </w:rPr>
      </w:pPr>
      <w:r w:rsidRPr="00031D2D">
        <w:rPr>
          <w:rFonts w:ascii="Times New Roman" w:eastAsia="Times New Roman" w:hAnsi="Times New Roman" w:cs="Times New Roman"/>
          <w:b/>
          <w:bCs/>
          <w:sz w:val="24"/>
          <w:szCs w:val="24"/>
        </w:rPr>
        <w:t xml:space="preserve">Tee, M. Z., Lee, S. C., </w:t>
      </w:r>
      <w:proofErr w:type="spellStart"/>
      <w:r w:rsidRPr="00031D2D">
        <w:rPr>
          <w:rFonts w:ascii="Times New Roman" w:eastAsia="Times New Roman" w:hAnsi="Times New Roman" w:cs="Times New Roman"/>
          <w:b/>
          <w:bCs/>
          <w:sz w:val="24"/>
          <w:szCs w:val="24"/>
        </w:rPr>
        <w:t>Er</w:t>
      </w:r>
      <w:proofErr w:type="spellEnd"/>
      <w:r w:rsidRPr="00031D2D">
        <w:rPr>
          <w:rFonts w:ascii="Times New Roman" w:eastAsia="Times New Roman" w:hAnsi="Times New Roman" w:cs="Times New Roman"/>
          <w:b/>
          <w:bCs/>
          <w:sz w:val="24"/>
          <w:szCs w:val="24"/>
        </w:rPr>
        <w:t xml:space="preserve">, Y. X., Yap, N. J., </w:t>
      </w:r>
      <w:proofErr w:type="spellStart"/>
      <w:r w:rsidRPr="00031D2D">
        <w:rPr>
          <w:rFonts w:ascii="Times New Roman" w:eastAsia="Times New Roman" w:hAnsi="Times New Roman" w:cs="Times New Roman"/>
          <w:b/>
          <w:bCs/>
          <w:sz w:val="24"/>
          <w:szCs w:val="24"/>
        </w:rPr>
        <w:t>Ngui</w:t>
      </w:r>
      <w:proofErr w:type="spellEnd"/>
      <w:r w:rsidRPr="00031D2D">
        <w:rPr>
          <w:rFonts w:ascii="Times New Roman" w:eastAsia="Times New Roman" w:hAnsi="Times New Roman" w:cs="Times New Roman"/>
          <w:b/>
          <w:bCs/>
          <w:sz w:val="24"/>
          <w:szCs w:val="24"/>
        </w:rPr>
        <w:t xml:space="preserve">, R., Easton, A. V., ... &amp; Lim, Y. A. L. (2022). Efficacy of triple dose albendazole treatment for soil-transmitted helminth infections. </w:t>
      </w:r>
      <w:proofErr w:type="spellStart"/>
      <w:r w:rsidRPr="00031D2D">
        <w:rPr>
          <w:rFonts w:ascii="Times New Roman" w:eastAsia="Times New Roman" w:hAnsi="Times New Roman" w:cs="Times New Roman"/>
          <w:b/>
          <w:bCs/>
          <w:sz w:val="24"/>
          <w:szCs w:val="24"/>
        </w:rPr>
        <w:t>PLoS</w:t>
      </w:r>
      <w:proofErr w:type="spellEnd"/>
      <w:r w:rsidRPr="00031D2D">
        <w:rPr>
          <w:rFonts w:ascii="Times New Roman" w:eastAsia="Times New Roman" w:hAnsi="Times New Roman" w:cs="Times New Roman"/>
          <w:b/>
          <w:bCs/>
          <w:sz w:val="24"/>
          <w:szCs w:val="24"/>
        </w:rPr>
        <w:t xml:space="preserve"> One, 17(8), e0272821.</w:t>
      </w:r>
    </w:p>
    <w:p w14:paraId="7D52EAA0" w14:textId="77777777" w:rsidR="009E493E" w:rsidRPr="00031D2D" w:rsidRDefault="00253705">
      <w:pPr>
        <w:spacing w:before="100" w:beforeAutospacing="1" w:after="100" w:afterAutospacing="1" w:line="480" w:lineRule="auto"/>
        <w:ind w:left="360"/>
        <w:rPr>
          <w:rFonts w:ascii="Times New Roman" w:eastAsia="Times New Roman" w:hAnsi="Times New Roman" w:cs="Times New Roman"/>
          <w:sz w:val="24"/>
          <w:szCs w:val="24"/>
          <w:highlight w:val="yellow"/>
        </w:rPr>
      </w:pPr>
      <w:proofErr w:type="spellStart"/>
      <w:r w:rsidRPr="00031D2D">
        <w:rPr>
          <w:rFonts w:ascii="Times New Roman" w:eastAsia="Times New Roman" w:hAnsi="Times New Roman" w:cs="Times New Roman"/>
          <w:b/>
          <w:bCs/>
          <w:sz w:val="24"/>
          <w:szCs w:val="24"/>
          <w:highlight w:val="yellow"/>
        </w:rPr>
        <w:t>Soukhathammavong</w:t>
      </w:r>
      <w:proofErr w:type="spellEnd"/>
      <w:r w:rsidRPr="00031D2D">
        <w:rPr>
          <w:rFonts w:ascii="Times New Roman" w:eastAsia="Times New Roman" w:hAnsi="Times New Roman" w:cs="Times New Roman"/>
          <w:b/>
          <w:bCs/>
          <w:sz w:val="24"/>
          <w:szCs w:val="24"/>
          <w:highlight w:val="yellow"/>
        </w:rPr>
        <w:t xml:space="preserve">, P. A., </w:t>
      </w:r>
      <w:proofErr w:type="spellStart"/>
      <w:r w:rsidRPr="00031D2D">
        <w:rPr>
          <w:rFonts w:ascii="Times New Roman" w:eastAsia="Times New Roman" w:hAnsi="Times New Roman" w:cs="Times New Roman"/>
          <w:b/>
          <w:bCs/>
          <w:sz w:val="24"/>
          <w:szCs w:val="24"/>
          <w:highlight w:val="yellow"/>
        </w:rPr>
        <w:t>Sayasone</w:t>
      </w:r>
      <w:proofErr w:type="spellEnd"/>
      <w:r w:rsidRPr="00031D2D">
        <w:rPr>
          <w:rFonts w:ascii="Times New Roman" w:eastAsia="Times New Roman" w:hAnsi="Times New Roman" w:cs="Times New Roman"/>
          <w:b/>
          <w:bCs/>
          <w:sz w:val="24"/>
          <w:szCs w:val="24"/>
          <w:highlight w:val="yellow"/>
        </w:rPr>
        <w:t xml:space="preserve">, S., </w:t>
      </w:r>
      <w:proofErr w:type="spellStart"/>
      <w:r w:rsidRPr="00031D2D">
        <w:rPr>
          <w:rFonts w:ascii="Times New Roman" w:eastAsia="Times New Roman" w:hAnsi="Times New Roman" w:cs="Times New Roman"/>
          <w:b/>
          <w:bCs/>
          <w:sz w:val="24"/>
          <w:szCs w:val="24"/>
          <w:highlight w:val="yellow"/>
        </w:rPr>
        <w:t>Phongluxa</w:t>
      </w:r>
      <w:proofErr w:type="spellEnd"/>
      <w:r w:rsidRPr="00031D2D">
        <w:rPr>
          <w:rFonts w:ascii="Times New Roman" w:eastAsia="Times New Roman" w:hAnsi="Times New Roman" w:cs="Times New Roman"/>
          <w:b/>
          <w:bCs/>
          <w:sz w:val="24"/>
          <w:szCs w:val="24"/>
          <w:highlight w:val="yellow"/>
        </w:rPr>
        <w:t xml:space="preserve">, K., </w:t>
      </w:r>
      <w:proofErr w:type="spellStart"/>
      <w:r w:rsidRPr="00031D2D">
        <w:rPr>
          <w:rFonts w:ascii="Times New Roman" w:eastAsia="Times New Roman" w:hAnsi="Times New Roman" w:cs="Times New Roman"/>
          <w:b/>
          <w:bCs/>
          <w:sz w:val="24"/>
          <w:szCs w:val="24"/>
          <w:highlight w:val="yellow"/>
        </w:rPr>
        <w:t>Xayaseng</w:t>
      </w:r>
      <w:proofErr w:type="spellEnd"/>
      <w:r w:rsidRPr="00031D2D">
        <w:rPr>
          <w:rFonts w:ascii="Times New Roman" w:eastAsia="Times New Roman" w:hAnsi="Times New Roman" w:cs="Times New Roman"/>
          <w:b/>
          <w:bCs/>
          <w:sz w:val="24"/>
          <w:szCs w:val="24"/>
          <w:highlight w:val="yellow"/>
        </w:rPr>
        <w:t xml:space="preserve">, V., </w:t>
      </w:r>
      <w:proofErr w:type="spellStart"/>
      <w:r w:rsidRPr="00031D2D">
        <w:rPr>
          <w:rFonts w:ascii="Times New Roman" w:eastAsia="Times New Roman" w:hAnsi="Times New Roman" w:cs="Times New Roman"/>
          <w:b/>
          <w:bCs/>
          <w:sz w:val="24"/>
          <w:szCs w:val="24"/>
          <w:highlight w:val="yellow"/>
        </w:rPr>
        <w:t>Utzinger</w:t>
      </w:r>
      <w:proofErr w:type="spellEnd"/>
      <w:r w:rsidRPr="00031D2D">
        <w:rPr>
          <w:rFonts w:ascii="Times New Roman" w:eastAsia="Times New Roman" w:hAnsi="Times New Roman" w:cs="Times New Roman"/>
          <w:b/>
          <w:bCs/>
          <w:sz w:val="24"/>
          <w:szCs w:val="24"/>
          <w:highlight w:val="yellow"/>
        </w:rPr>
        <w:t xml:space="preserve">, J., </w:t>
      </w:r>
      <w:proofErr w:type="spellStart"/>
      <w:r w:rsidRPr="00031D2D">
        <w:rPr>
          <w:rFonts w:ascii="Times New Roman" w:eastAsia="Times New Roman" w:hAnsi="Times New Roman" w:cs="Times New Roman"/>
          <w:b/>
          <w:bCs/>
          <w:sz w:val="24"/>
          <w:szCs w:val="24"/>
          <w:highlight w:val="yellow"/>
        </w:rPr>
        <w:t>Vounatsou</w:t>
      </w:r>
      <w:proofErr w:type="spellEnd"/>
      <w:r w:rsidRPr="00031D2D">
        <w:rPr>
          <w:rFonts w:ascii="Times New Roman" w:eastAsia="Times New Roman" w:hAnsi="Times New Roman" w:cs="Times New Roman"/>
          <w:b/>
          <w:bCs/>
          <w:sz w:val="24"/>
          <w:szCs w:val="24"/>
          <w:highlight w:val="yellow"/>
        </w:rPr>
        <w:t xml:space="preserve">, P., </w:t>
      </w:r>
      <w:proofErr w:type="spellStart"/>
      <w:r w:rsidRPr="00031D2D">
        <w:rPr>
          <w:rFonts w:ascii="Times New Roman" w:eastAsia="Times New Roman" w:hAnsi="Times New Roman" w:cs="Times New Roman"/>
          <w:b/>
          <w:bCs/>
          <w:sz w:val="24"/>
          <w:szCs w:val="24"/>
          <w:highlight w:val="yellow"/>
        </w:rPr>
        <w:t>Hatz</w:t>
      </w:r>
      <w:proofErr w:type="spellEnd"/>
      <w:r w:rsidRPr="00031D2D">
        <w:rPr>
          <w:rFonts w:ascii="Times New Roman" w:eastAsia="Times New Roman" w:hAnsi="Times New Roman" w:cs="Times New Roman"/>
          <w:b/>
          <w:bCs/>
          <w:sz w:val="24"/>
          <w:szCs w:val="24"/>
          <w:highlight w:val="yellow"/>
        </w:rPr>
        <w:t xml:space="preserve">, C., </w:t>
      </w:r>
      <w:proofErr w:type="spellStart"/>
      <w:r w:rsidRPr="00031D2D">
        <w:rPr>
          <w:rFonts w:ascii="Times New Roman" w:eastAsia="Times New Roman" w:hAnsi="Times New Roman" w:cs="Times New Roman"/>
          <w:b/>
          <w:bCs/>
          <w:sz w:val="24"/>
          <w:szCs w:val="24"/>
          <w:highlight w:val="yellow"/>
        </w:rPr>
        <w:t>Akkhavong</w:t>
      </w:r>
      <w:proofErr w:type="spellEnd"/>
      <w:r w:rsidRPr="00031D2D">
        <w:rPr>
          <w:rFonts w:ascii="Times New Roman" w:eastAsia="Times New Roman" w:hAnsi="Times New Roman" w:cs="Times New Roman"/>
          <w:b/>
          <w:bCs/>
          <w:sz w:val="24"/>
          <w:szCs w:val="24"/>
          <w:highlight w:val="yellow"/>
        </w:rPr>
        <w:t xml:space="preserve">, K., Keiser, J., &amp; </w:t>
      </w:r>
      <w:proofErr w:type="spellStart"/>
      <w:r w:rsidRPr="00031D2D">
        <w:rPr>
          <w:rFonts w:ascii="Times New Roman" w:eastAsia="Times New Roman" w:hAnsi="Times New Roman" w:cs="Times New Roman"/>
          <w:b/>
          <w:bCs/>
          <w:sz w:val="24"/>
          <w:szCs w:val="24"/>
          <w:highlight w:val="yellow"/>
        </w:rPr>
        <w:t>Odermatt</w:t>
      </w:r>
      <w:proofErr w:type="spellEnd"/>
      <w:r w:rsidRPr="00031D2D">
        <w:rPr>
          <w:rFonts w:ascii="Times New Roman" w:eastAsia="Times New Roman" w:hAnsi="Times New Roman" w:cs="Times New Roman"/>
          <w:b/>
          <w:bCs/>
          <w:sz w:val="24"/>
          <w:szCs w:val="24"/>
          <w:highlight w:val="yellow"/>
        </w:rPr>
        <w:t>, P. (2015).</w:t>
      </w:r>
      <w:r w:rsidRPr="00031D2D">
        <w:rPr>
          <w:rFonts w:ascii="Times New Roman" w:eastAsia="Times New Roman" w:hAnsi="Times New Roman" w:cs="Times New Roman"/>
          <w:sz w:val="24"/>
          <w:szCs w:val="24"/>
          <w:highlight w:val="yellow"/>
        </w:rPr>
        <w:t xml:space="preserve"> Soil-transmitted helminthiases and treatment efficacy in Laos. </w:t>
      </w:r>
      <w:r w:rsidRPr="00031D2D">
        <w:rPr>
          <w:rFonts w:ascii="Times New Roman" w:eastAsia="Times New Roman" w:hAnsi="Times New Roman" w:cs="Times New Roman"/>
          <w:i/>
          <w:iCs/>
          <w:sz w:val="24"/>
          <w:szCs w:val="24"/>
          <w:highlight w:val="yellow"/>
        </w:rPr>
        <w:t>PLOS Neglected Tropical Diseases, 9</w:t>
      </w:r>
      <w:r w:rsidRPr="00031D2D">
        <w:rPr>
          <w:rFonts w:ascii="Times New Roman" w:eastAsia="Times New Roman" w:hAnsi="Times New Roman" w:cs="Times New Roman"/>
          <w:sz w:val="24"/>
          <w:szCs w:val="24"/>
          <w:highlight w:val="yellow"/>
        </w:rPr>
        <w:t xml:space="preserve">(6), e0003886. </w:t>
      </w:r>
      <w:hyperlink r:id="rId19" w:history="1">
        <w:r w:rsidR="009E493E" w:rsidRPr="00031D2D">
          <w:rPr>
            <w:rFonts w:ascii="Times New Roman" w:eastAsia="Times New Roman" w:hAnsi="Times New Roman" w:cs="Times New Roman"/>
            <w:color w:val="0000FF"/>
            <w:sz w:val="24"/>
            <w:szCs w:val="24"/>
            <w:highlight w:val="yellow"/>
            <w:u w:val="single"/>
          </w:rPr>
          <w:t>https://doi.org/10.1371/journal.pntd.0003886</w:t>
        </w:r>
      </w:hyperlink>
    </w:p>
    <w:p w14:paraId="70FFF176" w14:textId="77777777" w:rsidR="009E493E" w:rsidRPr="00031D2D" w:rsidRDefault="00253705">
      <w:pPr>
        <w:spacing w:before="100" w:beforeAutospacing="1" w:after="100" w:afterAutospacing="1" w:line="480" w:lineRule="auto"/>
        <w:ind w:left="360"/>
        <w:rPr>
          <w:rFonts w:ascii="Times New Roman" w:eastAsia="Times New Roman" w:hAnsi="Times New Roman" w:cs="Times New Roman"/>
          <w:sz w:val="24"/>
          <w:szCs w:val="24"/>
          <w:highlight w:val="yellow"/>
        </w:rPr>
      </w:pPr>
      <w:proofErr w:type="spellStart"/>
      <w:r w:rsidRPr="00031D2D">
        <w:rPr>
          <w:rFonts w:ascii="Times New Roman" w:eastAsia="Times New Roman" w:hAnsi="Times New Roman" w:cs="Times New Roman"/>
          <w:b/>
          <w:bCs/>
          <w:sz w:val="24"/>
          <w:szCs w:val="24"/>
          <w:highlight w:val="yellow"/>
        </w:rPr>
        <w:t>Ouédraogo</w:t>
      </w:r>
      <w:proofErr w:type="spellEnd"/>
      <w:r w:rsidRPr="00031D2D">
        <w:rPr>
          <w:rFonts w:ascii="Times New Roman" w:eastAsia="Times New Roman" w:hAnsi="Times New Roman" w:cs="Times New Roman"/>
          <w:b/>
          <w:bCs/>
          <w:sz w:val="24"/>
          <w:szCs w:val="24"/>
          <w:highlight w:val="yellow"/>
        </w:rPr>
        <w:t xml:space="preserve">, T., </w:t>
      </w:r>
      <w:proofErr w:type="spellStart"/>
      <w:r w:rsidRPr="00031D2D">
        <w:rPr>
          <w:rFonts w:ascii="Times New Roman" w:eastAsia="Times New Roman" w:hAnsi="Times New Roman" w:cs="Times New Roman"/>
          <w:b/>
          <w:bCs/>
          <w:sz w:val="24"/>
          <w:szCs w:val="24"/>
          <w:highlight w:val="yellow"/>
        </w:rPr>
        <w:t>Drabo</w:t>
      </w:r>
      <w:proofErr w:type="spellEnd"/>
      <w:r w:rsidRPr="00031D2D">
        <w:rPr>
          <w:rFonts w:ascii="Times New Roman" w:eastAsia="Times New Roman" w:hAnsi="Times New Roman" w:cs="Times New Roman"/>
          <w:b/>
          <w:bCs/>
          <w:sz w:val="24"/>
          <w:szCs w:val="24"/>
          <w:highlight w:val="yellow"/>
        </w:rPr>
        <w:t xml:space="preserve">, F., </w:t>
      </w:r>
      <w:proofErr w:type="spellStart"/>
      <w:r w:rsidRPr="00031D2D">
        <w:rPr>
          <w:rFonts w:ascii="Times New Roman" w:eastAsia="Times New Roman" w:hAnsi="Times New Roman" w:cs="Times New Roman"/>
          <w:b/>
          <w:bCs/>
          <w:sz w:val="24"/>
          <w:szCs w:val="24"/>
          <w:highlight w:val="yellow"/>
        </w:rPr>
        <w:t>Zongo</w:t>
      </w:r>
      <w:proofErr w:type="spellEnd"/>
      <w:r w:rsidRPr="00031D2D">
        <w:rPr>
          <w:rFonts w:ascii="Times New Roman" w:eastAsia="Times New Roman" w:hAnsi="Times New Roman" w:cs="Times New Roman"/>
          <w:b/>
          <w:bCs/>
          <w:sz w:val="24"/>
          <w:szCs w:val="24"/>
          <w:highlight w:val="yellow"/>
        </w:rPr>
        <w:t xml:space="preserve">, D., </w:t>
      </w:r>
      <w:proofErr w:type="spellStart"/>
      <w:r w:rsidRPr="00031D2D">
        <w:rPr>
          <w:rFonts w:ascii="Times New Roman" w:eastAsia="Times New Roman" w:hAnsi="Times New Roman" w:cs="Times New Roman"/>
          <w:b/>
          <w:bCs/>
          <w:sz w:val="24"/>
          <w:szCs w:val="24"/>
          <w:highlight w:val="yellow"/>
        </w:rPr>
        <w:t>Bagayan</w:t>
      </w:r>
      <w:proofErr w:type="spellEnd"/>
      <w:r w:rsidRPr="00031D2D">
        <w:rPr>
          <w:rFonts w:ascii="Times New Roman" w:eastAsia="Times New Roman" w:hAnsi="Times New Roman" w:cs="Times New Roman"/>
          <w:b/>
          <w:bCs/>
          <w:sz w:val="24"/>
          <w:szCs w:val="24"/>
          <w:highlight w:val="yellow"/>
        </w:rPr>
        <w:t xml:space="preserve">, M., </w:t>
      </w:r>
      <w:proofErr w:type="spellStart"/>
      <w:r w:rsidRPr="00031D2D">
        <w:rPr>
          <w:rFonts w:ascii="Times New Roman" w:eastAsia="Times New Roman" w:hAnsi="Times New Roman" w:cs="Times New Roman"/>
          <w:b/>
          <w:bCs/>
          <w:sz w:val="24"/>
          <w:szCs w:val="24"/>
          <w:highlight w:val="yellow"/>
        </w:rPr>
        <w:t>Bamba</w:t>
      </w:r>
      <w:proofErr w:type="spellEnd"/>
      <w:r w:rsidRPr="00031D2D">
        <w:rPr>
          <w:rFonts w:ascii="Times New Roman" w:eastAsia="Times New Roman" w:hAnsi="Times New Roman" w:cs="Times New Roman"/>
          <w:b/>
          <w:bCs/>
          <w:sz w:val="24"/>
          <w:szCs w:val="24"/>
          <w:highlight w:val="yellow"/>
        </w:rPr>
        <w:t>, I., &amp; Pima, T. (2016).</w:t>
      </w:r>
      <w:r w:rsidRPr="00031D2D">
        <w:rPr>
          <w:rFonts w:ascii="Times New Roman" w:eastAsia="Times New Roman" w:hAnsi="Times New Roman" w:cs="Times New Roman"/>
          <w:sz w:val="24"/>
          <w:szCs w:val="24"/>
          <w:highlight w:val="yellow"/>
        </w:rPr>
        <w:t xml:space="preserve"> Efficacy of albendazole in Burkina Faso. </w:t>
      </w:r>
      <w:r w:rsidRPr="00031D2D">
        <w:rPr>
          <w:rFonts w:ascii="Times New Roman" w:eastAsia="Times New Roman" w:hAnsi="Times New Roman" w:cs="Times New Roman"/>
          <w:i/>
          <w:iCs/>
          <w:sz w:val="24"/>
          <w:szCs w:val="24"/>
          <w:highlight w:val="yellow"/>
        </w:rPr>
        <w:t>PLOS ONE, 11</w:t>
      </w:r>
      <w:r w:rsidRPr="00031D2D">
        <w:rPr>
          <w:rFonts w:ascii="Times New Roman" w:eastAsia="Times New Roman" w:hAnsi="Times New Roman" w:cs="Times New Roman"/>
          <w:sz w:val="24"/>
          <w:szCs w:val="24"/>
          <w:highlight w:val="yellow"/>
        </w:rPr>
        <w:t xml:space="preserve">(12), e0168145. </w:t>
      </w:r>
      <w:hyperlink r:id="rId20" w:history="1">
        <w:r w:rsidR="009E493E" w:rsidRPr="00031D2D">
          <w:rPr>
            <w:rFonts w:ascii="Times New Roman" w:eastAsia="Times New Roman" w:hAnsi="Times New Roman" w:cs="Times New Roman"/>
            <w:color w:val="0000FF"/>
            <w:sz w:val="24"/>
            <w:szCs w:val="24"/>
            <w:highlight w:val="yellow"/>
            <w:u w:val="single"/>
          </w:rPr>
          <w:t>https://doi.org/10.1371/journal.pone.0168145</w:t>
        </w:r>
      </w:hyperlink>
    </w:p>
    <w:p w14:paraId="25DF2717" w14:textId="77777777" w:rsidR="009E493E" w:rsidRDefault="00253705">
      <w:pPr>
        <w:spacing w:before="100" w:beforeAutospacing="1" w:after="100" w:afterAutospacing="1" w:line="480" w:lineRule="auto"/>
        <w:ind w:left="360"/>
      </w:pPr>
      <w:r w:rsidRPr="00031D2D">
        <w:rPr>
          <w:rFonts w:ascii="Times New Roman" w:eastAsia="Times New Roman" w:hAnsi="Times New Roman" w:cs="Times New Roman"/>
          <w:b/>
          <w:bCs/>
          <w:sz w:val="24"/>
          <w:szCs w:val="24"/>
          <w:highlight w:val="yellow"/>
        </w:rPr>
        <w:lastRenderedPageBreak/>
        <w:t xml:space="preserve">Jia, T. W., Melville, S., </w:t>
      </w:r>
      <w:proofErr w:type="spellStart"/>
      <w:r w:rsidRPr="00031D2D">
        <w:rPr>
          <w:rFonts w:ascii="Times New Roman" w:eastAsia="Times New Roman" w:hAnsi="Times New Roman" w:cs="Times New Roman"/>
          <w:b/>
          <w:bCs/>
          <w:sz w:val="24"/>
          <w:szCs w:val="24"/>
          <w:highlight w:val="yellow"/>
        </w:rPr>
        <w:t>Utzinger</w:t>
      </w:r>
      <w:proofErr w:type="spellEnd"/>
      <w:r w:rsidRPr="00031D2D">
        <w:rPr>
          <w:rFonts w:ascii="Times New Roman" w:eastAsia="Times New Roman" w:hAnsi="Times New Roman" w:cs="Times New Roman"/>
          <w:b/>
          <w:bCs/>
          <w:sz w:val="24"/>
          <w:szCs w:val="24"/>
          <w:highlight w:val="yellow"/>
        </w:rPr>
        <w:t>, J., King, C. H., &amp; Zhou, X. N. (2021).</w:t>
      </w:r>
      <w:r w:rsidRPr="00031D2D">
        <w:rPr>
          <w:rFonts w:ascii="Times New Roman" w:eastAsia="Times New Roman" w:hAnsi="Times New Roman" w:cs="Times New Roman"/>
          <w:sz w:val="24"/>
          <w:szCs w:val="24"/>
          <w:highlight w:val="yellow"/>
        </w:rPr>
        <w:t xml:space="preserve"> Comparative efficacy of anthelminthic drugs for soil-transmitted helminthiasis. </w:t>
      </w:r>
      <w:r w:rsidRPr="00031D2D">
        <w:rPr>
          <w:rFonts w:ascii="Times New Roman" w:eastAsia="Times New Roman" w:hAnsi="Times New Roman" w:cs="Times New Roman"/>
          <w:i/>
          <w:iCs/>
          <w:sz w:val="24"/>
          <w:szCs w:val="24"/>
          <w:highlight w:val="yellow"/>
        </w:rPr>
        <w:t>Lancet Infectious Diseases, 21</w:t>
      </w:r>
      <w:r w:rsidRPr="00031D2D">
        <w:rPr>
          <w:rFonts w:ascii="Times New Roman" w:eastAsia="Times New Roman" w:hAnsi="Times New Roman" w:cs="Times New Roman"/>
          <w:sz w:val="24"/>
          <w:szCs w:val="24"/>
          <w:highlight w:val="yellow"/>
        </w:rPr>
        <w:t xml:space="preserve">(9), e258–e269. </w:t>
      </w:r>
      <w:hyperlink r:id="rId21" w:history="1">
        <w:r w:rsidR="009E493E" w:rsidRPr="00031D2D">
          <w:rPr>
            <w:rFonts w:ascii="Times New Roman" w:eastAsia="Times New Roman" w:hAnsi="Times New Roman" w:cs="Times New Roman"/>
            <w:color w:val="0000FF"/>
            <w:sz w:val="24"/>
            <w:szCs w:val="24"/>
            <w:highlight w:val="yellow"/>
            <w:u w:val="single"/>
          </w:rPr>
          <w:t>https://doi.org/10.1016/S1473</w:t>
        </w:r>
        <w:r w:rsidR="009E493E" w:rsidRPr="00031D2D">
          <w:rPr>
            <w:rFonts w:ascii="Times New Roman" w:eastAsia="Times New Roman" w:hAnsi="Times New Roman" w:cs="Times New Roman"/>
            <w:color w:val="0000FF"/>
            <w:sz w:val="24"/>
            <w:szCs w:val="24"/>
            <w:highlight w:val="yellow"/>
            <w:u w:val="single"/>
          </w:rPr>
          <w:noBreakHyphen/>
          <w:t>3099(21)00130-3</w:t>
        </w:r>
      </w:hyperlink>
      <w:bookmarkStart w:id="4" w:name="_GoBack"/>
      <w:bookmarkEnd w:id="4"/>
    </w:p>
    <w:p w14:paraId="5DB84F86" w14:textId="6787A1DC" w:rsidR="00413948" w:rsidRDefault="00413948" w:rsidP="00413948">
      <w:pPr>
        <w:spacing w:before="100" w:beforeAutospacing="1" w:after="100" w:afterAutospacing="1" w:line="480" w:lineRule="auto"/>
        <w:ind w:left="360"/>
        <w:rPr>
          <w:rFonts w:ascii="Times New Roman" w:eastAsia="Times New Roman" w:hAnsi="Times New Roman" w:cs="Times New Roman"/>
          <w:sz w:val="24"/>
          <w:szCs w:val="24"/>
        </w:rPr>
      </w:pPr>
      <w:r w:rsidRPr="00066047">
        <w:rPr>
          <w:rFonts w:ascii="Times New Roman" w:eastAsia="Times New Roman" w:hAnsi="Times New Roman" w:cs="Times New Roman"/>
          <w:sz w:val="24"/>
          <w:szCs w:val="24"/>
          <w:highlight w:val="yellow"/>
        </w:rPr>
        <w:t xml:space="preserve">Loukas, A., </w:t>
      </w:r>
      <w:proofErr w:type="spellStart"/>
      <w:r w:rsidRPr="00066047">
        <w:rPr>
          <w:rFonts w:ascii="Times New Roman" w:eastAsia="Times New Roman" w:hAnsi="Times New Roman" w:cs="Times New Roman"/>
          <w:sz w:val="24"/>
          <w:szCs w:val="24"/>
          <w:highlight w:val="yellow"/>
        </w:rPr>
        <w:t>Maizels</w:t>
      </w:r>
      <w:proofErr w:type="spellEnd"/>
      <w:r w:rsidRPr="00066047">
        <w:rPr>
          <w:rFonts w:ascii="Times New Roman" w:eastAsia="Times New Roman" w:hAnsi="Times New Roman" w:cs="Times New Roman"/>
          <w:sz w:val="24"/>
          <w:szCs w:val="24"/>
          <w:highlight w:val="yellow"/>
        </w:rPr>
        <w:t xml:space="preserve">, R. M., &amp; </w:t>
      </w:r>
      <w:proofErr w:type="spellStart"/>
      <w:r w:rsidRPr="00066047">
        <w:rPr>
          <w:rFonts w:ascii="Times New Roman" w:eastAsia="Times New Roman" w:hAnsi="Times New Roman" w:cs="Times New Roman"/>
          <w:sz w:val="24"/>
          <w:szCs w:val="24"/>
          <w:highlight w:val="yellow"/>
        </w:rPr>
        <w:t>Hotez</w:t>
      </w:r>
      <w:proofErr w:type="spellEnd"/>
      <w:r w:rsidRPr="00066047">
        <w:rPr>
          <w:rFonts w:ascii="Times New Roman" w:eastAsia="Times New Roman" w:hAnsi="Times New Roman" w:cs="Times New Roman"/>
          <w:sz w:val="24"/>
          <w:szCs w:val="24"/>
          <w:highlight w:val="yellow"/>
        </w:rPr>
        <w:t>, P. J. (2021). The yin and yang of human soil-transmitted helminth infections. International journal for parasitology, 51(13-14), 1243-1253.</w:t>
      </w:r>
      <w:r>
        <w:rPr>
          <w:rFonts w:ascii="Times New Roman" w:eastAsia="Times New Roman" w:hAnsi="Times New Roman" w:cs="Times New Roman"/>
          <w:sz w:val="24"/>
          <w:szCs w:val="24"/>
        </w:rPr>
        <w:t xml:space="preserve">  </w:t>
      </w:r>
    </w:p>
    <w:p w14:paraId="1D7847BC" w14:textId="77777777" w:rsidR="00413948" w:rsidRDefault="00413948" w:rsidP="00413948">
      <w:pPr>
        <w:spacing w:before="100" w:beforeAutospacing="1" w:after="100" w:afterAutospacing="1" w:line="480" w:lineRule="auto"/>
        <w:ind w:left="360"/>
        <w:rPr>
          <w:rFonts w:ascii="Times New Roman" w:eastAsia="Times New Roman" w:hAnsi="Times New Roman" w:cs="Times New Roman"/>
          <w:sz w:val="24"/>
          <w:szCs w:val="24"/>
          <w:highlight w:val="yellow"/>
        </w:rPr>
      </w:pPr>
    </w:p>
    <w:p w14:paraId="41C69453" w14:textId="0BBAEF3A" w:rsidR="00413948" w:rsidRDefault="00413948" w:rsidP="00413948">
      <w:pPr>
        <w:spacing w:before="100" w:beforeAutospacing="1" w:after="100" w:afterAutospacing="1" w:line="480" w:lineRule="auto"/>
        <w:ind w:left="360"/>
        <w:rPr>
          <w:rFonts w:ascii="Times New Roman" w:eastAsia="Times New Roman" w:hAnsi="Times New Roman" w:cs="Times New Roman"/>
          <w:sz w:val="24"/>
          <w:szCs w:val="24"/>
        </w:rPr>
      </w:pPr>
      <w:proofErr w:type="spellStart"/>
      <w:r w:rsidRPr="00066047">
        <w:rPr>
          <w:rFonts w:ascii="Times New Roman" w:eastAsia="Times New Roman" w:hAnsi="Times New Roman" w:cs="Times New Roman"/>
          <w:sz w:val="24"/>
          <w:szCs w:val="24"/>
          <w:highlight w:val="yellow"/>
        </w:rPr>
        <w:t>Imalele</w:t>
      </w:r>
      <w:proofErr w:type="spellEnd"/>
      <w:r w:rsidRPr="00066047">
        <w:rPr>
          <w:rFonts w:ascii="Times New Roman" w:eastAsia="Times New Roman" w:hAnsi="Times New Roman" w:cs="Times New Roman"/>
          <w:sz w:val="24"/>
          <w:szCs w:val="24"/>
          <w:highlight w:val="yellow"/>
        </w:rPr>
        <w:t xml:space="preserve">, E. E., Braide, E. I., </w:t>
      </w:r>
      <w:proofErr w:type="spellStart"/>
      <w:r w:rsidRPr="00066047">
        <w:rPr>
          <w:rFonts w:ascii="Times New Roman" w:eastAsia="Times New Roman" w:hAnsi="Times New Roman" w:cs="Times New Roman"/>
          <w:sz w:val="24"/>
          <w:szCs w:val="24"/>
          <w:highlight w:val="yellow"/>
        </w:rPr>
        <w:t>Emanghe</w:t>
      </w:r>
      <w:proofErr w:type="spellEnd"/>
      <w:r w:rsidRPr="00066047">
        <w:rPr>
          <w:rFonts w:ascii="Times New Roman" w:eastAsia="Times New Roman" w:hAnsi="Times New Roman" w:cs="Times New Roman"/>
          <w:sz w:val="24"/>
          <w:szCs w:val="24"/>
          <w:highlight w:val="yellow"/>
        </w:rPr>
        <w:t xml:space="preserve">, U. E., </w:t>
      </w:r>
      <w:proofErr w:type="spellStart"/>
      <w:r w:rsidRPr="00066047">
        <w:rPr>
          <w:rFonts w:ascii="Times New Roman" w:eastAsia="Times New Roman" w:hAnsi="Times New Roman" w:cs="Times New Roman"/>
          <w:sz w:val="24"/>
          <w:szCs w:val="24"/>
          <w:highlight w:val="yellow"/>
        </w:rPr>
        <w:t>Effanga</w:t>
      </w:r>
      <w:proofErr w:type="spellEnd"/>
      <w:r w:rsidRPr="00066047">
        <w:rPr>
          <w:rFonts w:ascii="Times New Roman" w:eastAsia="Times New Roman" w:hAnsi="Times New Roman" w:cs="Times New Roman"/>
          <w:sz w:val="24"/>
          <w:szCs w:val="24"/>
          <w:highlight w:val="yellow"/>
        </w:rPr>
        <w:t xml:space="preserve">, E. O., &amp; </w:t>
      </w:r>
      <w:proofErr w:type="spellStart"/>
      <w:r w:rsidRPr="00066047">
        <w:rPr>
          <w:rFonts w:ascii="Times New Roman" w:eastAsia="Times New Roman" w:hAnsi="Times New Roman" w:cs="Times New Roman"/>
          <w:sz w:val="24"/>
          <w:szCs w:val="24"/>
          <w:highlight w:val="yellow"/>
        </w:rPr>
        <w:t>Usang</w:t>
      </w:r>
      <w:proofErr w:type="spellEnd"/>
      <w:r w:rsidRPr="00066047">
        <w:rPr>
          <w:rFonts w:ascii="Times New Roman" w:eastAsia="Times New Roman" w:hAnsi="Times New Roman" w:cs="Times New Roman"/>
          <w:sz w:val="24"/>
          <w:szCs w:val="24"/>
          <w:highlight w:val="yellow"/>
        </w:rPr>
        <w:t xml:space="preserve">, A. U. (2023). Soil-transmitted helminth infection among school-age children in </w:t>
      </w:r>
      <w:proofErr w:type="spellStart"/>
      <w:r w:rsidRPr="00066047">
        <w:rPr>
          <w:rFonts w:ascii="Times New Roman" w:eastAsia="Times New Roman" w:hAnsi="Times New Roman" w:cs="Times New Roman"/>
          <w:sz w:val="24"/>
          <w:szCs w:val="24"/>
          <w:highlight w:val="yellow"/>
        </w:rPr>
        <w:t>Ogoja</w:t>
      </w:r>
      <w:proofErr w:type="spellEnd"/>
      <w:r w:rsidRPr="00066047">
        <w:rPr>
          <w:rFonts w:ascii="Times New Roman" w:eastAsia="Times New Roman" w:hAnsi="Times New Roman" w:cs="Times New Roman"/>
          <w:sz w:val="24"/>
          <w:szCs w:val="24"/>
          <w:highlight w:val="yellow"/>
        </w:rPr>
        <w:t>, Nigeria: implication for control. Parasitology research, 122(4), 1015-1026.</w:t>
      </w:r>
      <w:r>
        <w:rPr>
          <w:rFonts w:ascii="Times New Roman" w:eastAsia="Times New Roman" w:hAnsi="Times New Roman" w:cs="Times New Roman"/>
          <w:sz w:val="24"/>
          <w:szCs w:val="24"/>
        </w:rPr>
        <w:t xml:space="preserve"> </w:t>
      </w:r>
    </w:p>
    <w:p w14:paraId="761058C2" w14:textId="77777777" w:rsidR="003D63A5" w:rsidRDefault="003D63A5" w:rsidP="00413948">
      <w:pPr>
        <w:spacing w:before="100" w:beforeAutospacing="1" w:after="100" w:afterAutospacing="1" w:line="480" w:lineRule="auto"/>
        <w:ind w:left="360"/>
        <w:rPr>
          <w:rFonts w:ascii="Times New Roman" w:eastAsia="Times New Roman" w:hAnsi="Times New Roman" w:cs="Times New Roman"/>
          <w:sz w:val="24"/>
          <w:szCs w:val="24"/>
        </w:rPr>
      </w:pPr>
    </w:p>
    <w:p w14:paraId="2547D6C9" w14:textId="1DC0529D" w:rsidR="003D63A5" w:rsidRDefault="003D63A5" w:rsidP="00413948">
      <w:pPr>
        <w:spacing w:before="100" w:beforeAutospacing="1" w:after="100" w:afterAutospacing="1" w:line="480" w:lineRule="auto"/>
        <w:ind w:left="360"/>
        <w:rPr>
          <w:rFonts w:ascii="Times New Roman" w:eastAsia="Times New Roman" w:hAnsi="Times New Roman" w:cs="Times New Roman"/>
          <w:sz w:val="24"/>
          <w:szCs w:val="24"/>
        </w:rPr>
      </w:pPr>
      <w:r w:rsidRPr="00066047">
        <w:rPr>
          <w:rFonts w:ascii="Times New Roman" w:eastAsia="Times New Roman" w:hAnsi="Times New Roman" w:cs="Times New Roman"/>
          <w:sz w:val="24"/>
          <w:szCs w:val="24"/>
          <w:highlight w:val="yellow"/>
        </w:rPr>
        <w:t>Ndamukong-</w:t>
      </w:r>
      <w:proofErr w:type="spellStart"/>
      <w:proofErr w:type="gramStart"/>
      <w:r w:rsidRPr="00066047">
        <w:rPr>
          <w:rFonts w:ascii="Times New Roman" w:eastAsia="Times New Roman" w:hAnsi="Times New Roman" w:cs="Times New Roman"/>
          <w:sz w:val="24"/>
          <w:szCs w:val="24"/>
          <w:highlight w:val="yellow"/>
        </w:rPr>
        <w:t>Nyanga</w:t>
      </w:r>
      <w:proofErr w:type="spellEnd"/>
      <w:r w:rsidRPr="00066047">
        <w:rPr>
          <w:rFonts w:ascii="Times New Roman" w:eastAsia="Times New Roman" w:hAnsi="Times New Roman" w:cs="Times New Roman"/>
          <w:sz w:val="24"/>
          <w:szCs w:val="24"/>
          <w:highlight w:val="yellow"/>
        </w:rPr>
        <w:t xml:space="preserve"> ,</w:t>
      </w:r>
      <w:proofErr w:type="gramEnd"/>
      <w:r w:rsidRPr="00066047">
        <w:rPr>
          <w:rFonts w:ascii="Times New Roman" w:eastAsia="Times New Roman" w:hAnsi="Times New Roman" w:cs="Times New Roman"/>
          <w:sz w:val="24"/>
          <w:szCs w:val="24"/>
          <w:highlight w:val="yellow"/>
        </w:rPr>
        <w:t xml:space="preserve"> J. L., &amp; </w:t>
      </w:r>
      <w:proofErr w:type="spellStart"/>
      <w:r w:rsidRPr="00066047">
        <w:rPr>
          <w:rFonts w:ascii="Times New Roman" w:eastAsia="Times New Roman" w:hAnsi="Times New Roman" w:cs="Times New Roman"/>
          <w:sz w:val="24"/>
          <w:szCs w:val="24"/>
          <w:highlight w:val="yellow"/>
        </w:rPr>
        <w:t>Keng</w:t>
      </w:r>
      <w:proofErr w:type="spellEnd"/>
      <w:r w:rsidRPr="00066047">
        <w:rPr>
          <w:rFonts w:ascii="Times New Roman" w:eastAsia="Times New Roman" w:hAnsi="Times New Roman" w:cs="Times New Roman"/>
          <w:sz w:val="24"/>
          <w:szCs w:val="24"/>
          <w:highlight w:val="yellow"/>
        </w:rPr>
        <w:t xml:space="preserve"> , K. E. (2023). Soil-Transmitted Helminths: Prevalence and the Effect of Deworming in Children in </w:t>
      </w:r>
      <w:proofErr w:type="spellStart"/>
      <w:r w:rsidRPr="00066047">
        <w:rPr>
          <w:rFonts w:ascii="Times New Roman" w:eastAsia="Times New Roman" w:hAnsi="Times New Roman" w:cs="Times New Roman"/>
          <w:sz w:val="24"/>
          <w:szCs w:val="24"/>
          <w:highlight w:val="yellow"/>
        </w:rPr>
        <w:t>Mutengene</w:t>
      </w:r>
      <w:proofErr w:type="spellEnd"/>
      <w:r w:rsidRPr="00066047">
        <w:rPr>
          <w:rFonts w:ascii="Times New Roman" w:eastAsia="Times New Roman" w:hAnsi="Times New Roman" w:cs="Times New Roman"/>
          <w:sz w:val="24"/>
          <w:szCs w:val="24"/>
          <w:highlight w:val="yellow"/>
        </w:rPr>
        <w:t xml:space="preserve">, South West Region, </w:t>
      </w:r>
      <w:proofErr w:type="gramStart"/>
      <w:r w:rsidRPr="00066047">
        <w:rPr>
          <w:rFonts w:ascii="Times New Roman" w:eastAsia="Times New Roman" w:hAnsi="Times New Roman" w:cs="Times New Roman"/>
          <w:sz w:val="24"/>
          <w:szCs w:val="24"/>
          <w:highlight w:val="yellow"/>
        </w:rPr>
        <w:t>Cameroon .</w:t>
      </w:r>
      <w:proofErr w:type="gramEnd"/>
      <w:r w:rsidRPr="00066047">
        <w:rPr>
          <w:rFonts w:ascii="Times New Roman" w:eastAsia="Times New Roman" w:hAnsi="Times New Roman" w:cs="Times New Roman"/>
          <w:sz w:val="24"/>
          <w:szCs w:val="24"/>
          <w:highlight w:val="yellow"/>
        </w:rPr>
        <w:t xml:space="preserve"> Journal of Advances in Medical and Pharmaceutical Sciences, 25(12), 32–45.</w:t>
      </w:r>
    </w:p>
    <w:p w14:paraId="49FCF111" w14:textId="10E66574" w:rsidR="003D63A5" w:rsidRDefault="003D63A5" w:rsidP="00413948">
      <w:pPr>
        <w:spacing w:before="100" w:beforeAutospacing="1" w:after="100" w:afterAutospacing="1" w:line="480" w:lineRule="auto"/>
        <w:ind w:left="360"/>
        <w:rPr>
          <w:rFonts w:ascii="Times New Roman" w:eastAsia="Times New Roman" w:hAnsi="Times New Roman" w:cs="Times New Roman"/>
          <w:sz w:val="24"/>
          <w:szCs w:val="24"/>
        </w:rPr>
      </w:pPr>
      <w:r w:rsidRPr="00066047">
        <w:rPr>
          <w:rFonts w:ascii="Times New Roman" w:eastAsia="Times New Roman" w:hAnsi="Times New Roman" w:cs="Times New Roman"/>
          <w:sz w:val="24"/>
          <w:szCs w:val="24"/>
          <w:highlight w:val="yellow"/>
        </w:rPr>
        <w:t xml:space="preserve">Joël, A. T. R., Jeannette, Y., Arlette, N. T., Vanessa, N., &amp; </w:t>
      </w:r>
      <w:proofErr w:type="spellStart"/>
      <w:r w:rsidRPr="00066047">
        <w:rPr>
          <w:rFonts w:ascii="Times New Roman" w:eastAsia="Times New Roman" w:hAnsi="Times New Roman" w:cs="Times New Roman"/>
          <w:sz w:val="24"/>
          <w:szCs w:val="24"/>
          <w:highlight w:val="yellow"/>
        </w:rPr>
        <w:t>Mbida</w:t>
      </w:r>
      <w:proofErr w:type="spellEnd"/>
      <w:r w:rsidRPr="00066047">
        <w:rPr>
          <w:rFonts w:ascii="Times New Roman" w:eastAsia="Times New Roman" w:hAnsi="Times New Roman" w:cs="Times New Roman"/>
          <w:sz w:val="24"/>
          <w:szCs w:val="24"/>
          <w:highlight w:val="yellow"/>
        </w:rPr>
        <w:t xml:space="preserve">, M. (2020). Soil-Transmitted Helminths: Prevalence and Intensity of Some Soil Transmitted Nematodes among Pupils in Selected Primary Schools in </w:t>
      </w:r>
      <w:proofErr w:type="spellStart"/>
      <w:r w:rsidRPr="00066047">
        <w:rPr>
          <w:rFonts w:ascii="Times New Roman" w:eastAsia="Times New Roman" w:hAnsi="Times New Roman" w:cs="Times New Roman"/>
          <w:sz w:val="24"/>
          <w:szCs w:val="24"/>
          <w:highlight w:val="yellow"/>
        </w:rPr>
        <w:t>Penka</w:t>
      </w:r>
      <w:proofErr w:type="spellEnd"/>
      <w:r w:rsidRPr="00066047">
        <w:rPr>
          <w:rFonts w:ascii="Times New Roman" w:eastAsia="Times New Roman" w:hAnsi="Times New Roman" w:cs="Times New Roman"/>
          <w:sz w:val="24"/>
          <w:szCs w:val="24"/>
          <w:highlight w:val="yellow"/>
        </w:rPr>
        <w:t>-Michel Sub-division, West-Cameroon. International Journal of TROPICAL DISEASE &amp; Health, 41(6), 11–22.</w:t>
      </w:r>
      <w:r>
        <w:rPr>
          <w:rFonts w:ascii="Times New Roman" w:eastAsia="Times New Roman" w:hAnsi="Times New Roman" w:cs="Times New Roman"/>
          <w:sz w:val="24"/>
          <w:szCs w:val="24"/>
        </w:rPr>
        <w:t xml:space="preserve"> </w:t>
      </w:r>
    </w:p>
    <w:p w14:paraId="53D92F25" w14:textId="77777777" w:rsidR="003D63A5" w:rsidRDefault="003D63A5" w:rsidP="00413948">
      <w:pPr>
        <w:spacing w:before="100" w:beforeAutospacing="1" w:after="100" w:afterAutospacing="1" w:line="480" w:lineRule="auto"/>
        <w:ind w:left="360"/>
        <w:rPr>
          <w:rFonts w:ascii="Times New Roman" w:eastAsia="Times New Roman" w:hAnsi="Times New Roman" w:cs="Times New Roman"/>
          <w:sz w:val="24"/>
          <w:szCs w:val="24"/>
        </w:rPr>
      </w:pPr>
    </w:p>
    <w:p w14:paraId="1BD9ACD4" w14:textId="77777777" w:rsidR="003D63A5" w:rsidRDefault="003D63A5" w:rsidP="00413948">
      <w:pPr>
        <w:spacing w:before="100" w:beforeAutospacing="1" w:after="100" w:afterAutospacing="1" w:line="480" w:lineRule="auto"/>
        <w:ind w:left="360"/>
        <w:rPr>
          <w:rFonts w:ascii="Times New Roman" w:eastAsia="Times New Roman" w:hAnsi="Times New Roman" w:cs="Times New Roman"/>
          <w:sz w:val="24"/>
          <w:szCs w:val="24"/>
        </w:rPr>
      </w:pPr>
    </w:p>
    <w:p w14:paraId="4F5109B4" w14:textId="2314C8B6" w:rsidR="003D63A5" w:rsidRDefault="003D63A5" w:rsidP="003D63A5">
      <w:pPr>
        <w:spacing w:before="100" w:beforeAutospacing="1" w:after="100" w:afterAutospacing="1" w:line="480" w:lineRule="auto"/>
        <w:ind w:left="360"/>
        <w:rPr>
          <w:rFonts w:ascii="Times New Roman" w:eastAsia="Times New Roman" w:hAnsi="Times New Roman" w:cs="Times New Roman"/>
          <w:sz w:val="24"/>
          <w:szCs w:val="24"/>
        </w:rPr>
      </w:pPr>
    </w:p>
    <w:sectPr w:rsidR="003D6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1660" w14:textId="77777777" w:rsidR="00AE0366" w:rsidRDefault="00AE0366">
      <w:pPr>
        <w:spacing w:line="240" w:lineRule="auto"/>
      </w:pPr>
      <w:r>
        <w:separator/>
      </w:r>
    </w:p>
  </w:endnote>
  <w:endnote w:type="continuationSeparator" w:id="0">
    <w:p w14:paraId="43FA29C2" w14:textId="77777777" w:rsidR="00AE0366" w:rsidRDefault="00AE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E972" w14:textId="77777777" w:rsidR="00237DA0" w:rsidRDefault="0023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45B9" w14:textId="77777777" w:rsidR="00237DA0" w:rsidRDefault="0023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03AB" w14:textId="77777777" w:rsidR="00237DA0" w:rsidRDefault="0023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FC06" w14:textId="77777777" w:rsidR="00AE0366" w:rsidRDefault="00AE0366">
      <w:pPr>
        <w:spacing w:after="0"/>
      </w:pPr>
      <w:r>
        <w:separator/>
      </w:r>
    </w:p>
  </w:footnote>
  <w:footnote w:type="continuationSeparator" w:id="0">
    <w:p w14:paraId="2FF8AD2E" w14:textId="77777777" w:rsidR="00AE0366" w:rsidRDefault="00AE0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BC5E" w14:textId="637FD2E3" w:rsidR="00237DA0" w:rsidRDefault="00031D2D">
    <w:pPr>
      <w:pStyle w:val="Header"/>
    </w:pPr>
    <w:r>
      <w:rPr>
        <w:noProof/>
      </w:rPr>
      <w:pict w14:anchorId="0F4BA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DD8AF" w14:textId="127B187D" w:rsidR="00237DA0" w:rsidRDefault="00031D2D">
    <w:pPr>
      <w:pStyle w:val="Header"/>
    </w:pPr>
    <w:r>
      <w:rPr>
        <w:noProof/>
      </w:rPr>
      <w:pict w14:anchorId="6BD98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B9CA" w14:textId="4E1F2094" w:rsidR="00237DA0" w:rsidRDefault="00031D2D">
    <w:pPr>
      <w:pStyle w:val="Header"/>
    </w:pPr>
    <w:r>
      <w:rPr>
        <w:noProof/>
      </w:rPr>
      <w:pict w14:anchorId="2CBF9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5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wNzEzNjO1tLQwt7BU0lEKTi0uzszPAykwrAUAXo0rOywAAAA="/>
  </w:docVars>
  <w:rsids>
    <w:rsidRoot w:val="00AC39C5"/>
    <w:rsid w:val="000074F7"/>
    <w:rsid w:val="000209E8"/>
    <w:rsid w:val="00031D2D"/>
    <w:rsid w:val="0005738B"/>
    <w:rsid w:val="00066047"/>
    <w:rsid w:val="000B3378"/>
    <w:rsid w:val="000C70EE"/>
    <w:rsid w:val="000D7130"/>
    <w:rsid w:val="0014323D"/>
    <w:rsid w:val="00231EE4"/>
    <w:rsid w:val="00237DA0"/>
    <w:rsid w:val="002455D3"/>
    <w:rsid w:val="00253705"/>
    <w:rsid w:val="002B5F67"/>
    <w:rsid w:val="00341552"/>
    <w:rsid w:val="003A2543"/>
    <w:rsid w:val="003D63A5"/>
    <w:rsid w:val="00413948"/>
    <w:rsid w:val="00431E3E"/>
    <w:rsid w:val="004449F2"/>
    <w:rsid w:val="00450D8F"/>
    <w:rsid w:val="004C0067"/>
    <w:rsid w:val="004F0A25"/>
    <w:rsid w:val="005219D2"/>
    <w:rsid w:val="00555C9C"/>
    <w:rsid w:val="005C0C22"/>
    <w:rsid w:val="005F1914"/>
    <w:rsid w:val="005F59A4"/>
    <w:rsid w:val="0062696E"/>
    <w:rsid w:val="00631CB0"/>
    <w:rsid w:val="00673970"/>
    <w:rsid w:val="006E4DC5"/>
    <w:rsid w:val="006F305C"/>
    <w:rsid w:val="00726C82"/>
    <w:rsid w:val="007419E6"/>
    <w:rsid w:val="00743A4F"/>
    <w:rsid w:val="007804EE"/>
    <w:rsid w:val="007E3696"/>
    <w:rsid w:val="008A3886"/>
    <w:rsid w:val="00925593"/>
    <w:rsid w:val="009329AD"/>
    <w:rsid w:val="009422BE"/>
    <w:rsid w:val="009D05AC"/>
    <w:rsid w:val="009E493E"/>
    <w:rsid w:val="009F53DA"/>
    <w:rsid w:val="00A142C1"/>
    <w:rsid w:val="00AC39C5"/>
    <w:rsid w:val="00AE0366"/>
    <w:rsid w:val="00AF58B8"/>
    <w:rsid w:val="00BE0C92"/>
    <w:rsid w:val="00C014D5"/>
    <w:rsid w:val="00C34137"/>
    <w:rsid w:val="00D4264D"/>
    <w:rsid w:val="00D45E49"/>
    <w:rsid w:val="00ED0E01"/>
    <w:rsid w:val="00EE47F0"/>
    <w:rsid w:val="00F24AB7"/>
    <w:rsid w:val="00F41453"/>
    <w:rsid w:val="00F46CC7"/>
    <w:rsid w:val="00F926E2"/>
    <w:rsid w:val="00FE261C"/>
    <w:rsid w:val="00FE6DCD"/>
    <w:rsid w:val="1C881AE3"/>
    <w:rsid w:val="25981FEF"/>
    <w:rsid w:val="2D1C657E"/>
    <w:rsid w:val="5C2B06C5"/>
    <w:rsid w:val="61A5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96125D2"/>
  <w15:docId w15:val="{08059BA2-0F14-44C3-89E8-A0FA8F40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spacing w:before="39"/>
      <w:ind w:left="39"/>
    </w:pPr>
    <w:rPr>
      <w:rFonts w:ascii="Times New Roman" w:eastAsia="Times New Roman" w:hAnsi="Times New Roman" w:cs="Times New Roman"/>
    </w:rPr>
  </w:style>
  <w:style w:type="paragraph" w:styleId="ListParagraph">
    <w:name w:val="List Paragraph"/>
    <w:basedOn w:val="Normal"/>
    <w:uiPriority w:val="1"/>
    <w:qFormat/>
    <w:pPr>
      <w:ind w:left="1440" w:hanging="719"/>
    </w:pPr>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unhideWhenUsed/>
    <w:qFormat/>
    <w:rPr>
      <w:color w:val="808080"/>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paragraph" w:styleId="Revision">
    <w:name w:val="Revision"/>
    <w:hidden/>
    <w:uiPriority w:val="99"/>
    <w:unhideWhenUsed/>
    <w:rsid w:val="006F305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0399">
      <w:bodyDiv w:val="1"/>
      <w:marLeft w:val="0"/>
      <w:marRight w:val="0"/>
      <w:marTop w:val="0"/>
      <w:marBottom w:val="0"/>
      <w:divBdr>
        <w:top w:val="none" w:sz="0" w:space="0" w:color="auto"/>
        <w:left w:val="none" w:sz="0" w:space="0" w:color="auto"/>
        <w:bottom w:val="none" w:sz="0" w:space="0" w:color="auto"/>
        <w:right w:val="none" w:sz="0" w:space="0" w:color="auto"/>
      </w:divBdr>
      <w:divsChild>
        <w:div w:id="1513835143">
          <w:marLeft w:val="0"/>
          <w:marRight w:val="0"/>
          <w:marTop w:val="0"/>
          <w:marBottom w:val="0"/>
          <w:divBdr>
            <w:top w:val="none" w:sz="0" w:space="0" w:color="auto"/>
            <w:left w:val="none" w:sz="0" w:space="0" w:color="auto"/>
            <w:bottom w:val="none" w:sz="0" w:space="0" w:color="auto"/>
            <w:right w:val="none" w:sz="0" w:space="0" w:color="auto"/>
          </w:divBdr>
        </w:div>
      </w:divsChild>
    </w:div>
    <w:div w:id="630940976">
      <w:bodyDiv w:val="1"/>
      <w:marLeft w:val="0"/>
      <w:marRight w:val="0"/>
      <w:marTop w:val="0"/>
      <w:marBottom w:val="0"/>
      <w:divBdr>
        <w:top w:val="none" w:sz="0" w:space="0" w:color="auto"/>
        <w:left w:val="none" w:sz="0" w:space="0" w:color="auto"/>
        <w:bottom w:val="none" w:sz="0" w:space="0" w:color="auto"/>
        <w:right w:val="none" w:sz="0" w:space="0" w:color="auto"/>
      </w:divBdr>
      <w:divsChild>
        <w:div w:id="928657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40249-024-01176-6" TargetMode="External"/><Relationship Id="rId3" Type="http://schemas.openxmlformats.org/officeDocument/2006/relationships/settings" Target="settings.xml"/><Relationship Id="rId21" Type="http://schemas.openxmlformats.org/officeDocument/2006/relationships/hyperlink" Target="https://doi.org/10.1016/S1473%E2%80%913099(21)00130-3"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who.int/news-room/fact-sheets/detail/soil-transmitted-helminth-infections" TargetMode="External"/><Relationship Id="rId2" Type="http://schemas.openxmlformats.org/officeDocument/2006/relationships/styles" Target="styles.xml"/><Relationship Id="rId16" Type="http://schemas.openxmlformats.org/officeDocument/2006/relationships/hyperlink" Target="https://doi.org/10.1371/journal.pntd.0008505" TargetMode="External"/><Relationship Id="rId20" Type="http://schemas.openxmlformats.org/officeDocument/2006/relationships/hyperlink" Target="https://doi.org/10.1371/journal.pone.01681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S2214%E2%80%91109X(20)30398%E2%80%91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371/journal.pntd.000388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38/s41598-023-37402-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26</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PC New 16</cp:lastModifiedBy>
  <cp:revision>28</cp:revision>
  <dcterms:created xsi:type="dcterms:W3CDTF">2025-06-14T09:37:00Z</dcterms:created>
  <dcterms:modified xsi:type="dcterms:W3CDTF">2025-07-05T09:48:00Z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354123E0912B49839503D619FD9D348E_13</vt:lpwstr>
  </property>
  <property fmtid="{D5CDD505-2E9C-101B-9397-08002B2CF9AE}" pid="4" name="GrammarlyDocumentId">
    <vt:lpwstr>87d8c075-3c4b-4364-add8-acf2612c9c70</vt:lpwstr>
  </property>
</Properties>
</file>