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E381" w14:textId="1544C17F" w:rsidR="00FA1F7A" w:rsidRPr="008E1425" w:rsidRDefault="008E1425" w:rsidP="00717E04">
      <w:pPr>
        <w:tabs>
          <w:tab w:val="left" w:pos="1917"/>
        </w:tabs>
        <w:spacing w:line="360" w:lineRule="auto"/>
        <w:rPr>
          <w:rFonts w:ascii="Times New Roman" w:eastAsia="SimSun" w:hAnsi="Times New Roman" w:cs="Times New Roman"/>
          <w:b/>
        </w:rPr>
      </w:pPr>
      <w:r w:rsidRPr="008E1425">
        <w:rPr>
          <w:rFonts w:ascii="Times New Roman" w:hAnsi="Times New Roman" w:cs="Times New Roman"/>
          <w:b/>
          <w:bCs/>
          <w:iCs/>
        </w:rPr>
        <w:t>Progression of Myopia and Associated Risk Factors Among Pediatric Patients at a Tertiary Hospital in Northern Tanzania</w:t>
      </w:r>
      <w:r>
        <w:rPr>
          <w:rFonts w:ascii="Times New Roman" w:hAnsi="Times New Roman" w:cs="Times New Roman"/>
          <w:b/>
          <w:bCs/>
          <w:iCs/>
        </w:rPr>
        <w:t>: A Cross-Sectional Study</w:t>
      </w:r>
    </w:p>
    <w:p w14:paraId="72944801" w14:textId="0D336045" w:rsidR="00717E04" w:rsidRDefault="00717E04" w:rsidP="00717E04">
      <w:pPr>
        <w:tabs>
          <w:tab w:val="left" w:pos="1917"/>
        </w:tabs>
        <w:spacing w:line="360" w:lineRule="auto"/>
        <w:rPr>
          <w:rFonts w:ascii="Times New Roman" w:eastAsia="SimSun" w:hAnsi="Times New Roman" w:cs="Times New Roman"/>
          <w:b/>
        </w:rPr>
      </w:pPr>
      <w:r w:rsidRPr="00570AA4">
        <w:rPr>
          <w:rFonts w:ascii="Times New Roman" w:eastAsia="SimSun" w:hAnsi="Times New Roman" w:cs="Times New Roman"/>
          <w:b/>
        </w:rPr>
        <w:t>Abstract</w:t>
      </w:r>
    </w:p>
    <w:p w14:paraId="3D9B45CD"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Objective:</w:t>
      </w:r>
      <w:r w:rsidRPr="00EF2FC2">
        <w:rPr>
          <w:rFonts w:ascii="Times New Roman" w:eastAsia="Times New Roman" w:hAnsi="Times New Roman" w:cs="Times New Roman"/>
        </w:rPr>
        <w:t xml:space="preserve"> To</w:t>
      </w:r>
      <w:r w:rsidR="00744817" w:rsidRPr="00EF2FC2">
        <w:rPr>
          <w:rFonts w:ascii="Times New Roman" w:eastAsia="Times New Roman" w:hAnsi="Times New Roman" w:cs="Times New Roman"/>
        </w:rPr>
        <w:t xml:space="preserve"> determine the proportion and factors associated with myopia progression among pediatric patients attending the Kilimanjaro Christian Medical Centre (KCMC) in Northern Tanzania.</w:t>
      </w:r>
    </w:p>
    <w:p w14:paraId="08D191A2"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Methods:</w:t>
      </w:r>
      <w:r w:rsidRPr="00EF2FC2">
        <w:rPr>
          <w:rFonts w:ascii="Times New Roman" w:eastAsia="Times New Roman" w:hAnsi="Times New Roman" w:cs="Times New Roman"/>
        </w:rPr>
        <w:t xml:space="preserve"> A</w:t>
      </w:r>
      <w:r w:rsidR="00744817" w:rsidRPr="00EF2FC2">
        <w:rPr>
          <w:rFonts w:ascii="Times New Roman" w:eastAsia="Times New Roman" w:hAnsi="Times New Roman" w:cs="Times New Roman"/>
        </w:rPr>
        <w:t xml:space="preserve"> hospital-based analytical cross-sectional study was conducted at the Pediatric Eye Clinic of KCMC from January 2022 to April 2024. Pediatric patients aged 4–18 years diagnosed with myopia (spherical equivalent ≤ –0.50D) and with follow-up refraction 11–13 months after baseline were included. Data were collected through clinical assessments and structured face-to-face interviews. Myopia progression was defined as an increase in spherical equivalent between visits. Generalized linear models with Poisson distribution and robust standard errors were used to estimate crude and adjusted prevalence ratios (PRs) with 95% confidence intervals (CIs).</w:t>
      </w:r>
    </w:p>
    <w:p w14:paraId="6ACCA441"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Results:</w:t>
      </w:r>
      <w:r w:rsidRPr="00EF2FC2">
        <w:rPr>
          <w:rFonts w:ascii="Times New Roman" w:eastAsia="Times New Roman" w:hAnsi="Times New Roman" w:cs="Times New Roman"/>
        </w:rPr>
        <w:t xml:space="preserve"> Of</w:t>
      </w:r>
      <w:r w:rsidR="00744817" w:rsidRPr="00EF2FC2">
        <w:rPr>
          <w:rFonts w:ascii="Times New Roman" w:eastAsia="Times New Roman" w:hAnsi="Times New Roman" w:cs="Times New Roman"/>
        </w:rPr>
        <w:t xml:space="preserve"> 201 eligible participants, 63.2% (n=127) demonstrated myopia progression. In unadjusted analyses, significant associations with progression were observed for male sex (PR=0.79; 95% CI: 0.63–0.98), non-spectacle wear (PR=1.37; 95% CI: 1.12–1.69), mobile device use (PR=1.49; 95% CI: 1.22–1.82), viewing television at ≤2 meters (PR=1.65; 95% CI: 1.33–2.06), prolonged near work (&gt;2 hours/day) (PR=1.74; 95% CI: 1.42–2.14), reduced outdoor time (&lt;1 hour/day) (PR=0.65; 95% CI: 0.45–0.92), and a positive family history of myopia (PR=1.80; 95% CI: 1.42–2.29). In adjusted analysis, four factors remained independently associated with progression: older age &gt;13 years was protective (PR=0.64; 95% CI: 0.43–0.96), while near work &gt;2 hours/day (PR=1.55; 95% CI: 1.23–1.94), television viewing distance ≤2 meters (PR=1.31; 95% CI: 1.07–1.62), and a positive family history (PR=1.53; 95% CI: 1.23–1.91) were associated with increased risk.</w:t>
      </w:r>
    </w:p>
    <w:p w14:paraId="47C6387D" w14:textId="77777777" w:rsidR="000A7E83" w:rsidRPr="00EF2FC2" w:rsidRDefault="00B40393" w:rsidP="00744817">
      <w:pPr>
        <w:spacing w:before="100" w:beforeAutospacing="1" w:after="100" w:afterAutospacing="1" w:line="240" w:lineRule="auto"/>
      </w:pPr>
      <w:r w:rsidRPr="00EF2FC2">
        <w:rPr>
          <w:rFonts w:ascii="Times New Roman" w:eastAsia="Times New Roman" w:hAnsi="Times New Roman" w:cs="Times New Roman"/>
          <w:b/>
          <w:bCs/>
        </w:rPr>
        <w:t>Conclusion:</w:t>
      </w:r>
      <w:r w:rsidRPr="00EF2FC2">
        <w:rPr>
          <w:rFonts w:ascii="Times New Roman" w:hAnsi="Times New Roman" w:cs="Times New Roman"/>
        </w:rPr>
        <w:t xml:space="preserve"> Myopia</w:t>
      </w:r>
      <w:r w:rsidR="000A7E83" w:rsidRPr="00EF2FC2">
        <w:rPr>
          <w:rFonts w:ascii="Times New Roman" w:hAnsi="Times New Roman" w:cs="Times New Roman"/>
        </w:rPr>
        <w:t xml:space="preserve"> progression was </w:t>
      </w:r>
      <w:r w:rsidR="00047469">
        <w:rPr>
          <w:rFonts w:ascii="Times New Roman" w:hAnsi="Times New Roman" w:cs="Times New Roman"/>
        </w:rPr>
        <w:t>notably prevalent</w:t>
      </w:r>
      <w:r w:rsidR="000A7E83" w:rsidRPr="00EF2FC2">
        <w:rPr>
          <w:rFonts w:ascii="Times New Roman" w:hAnsi="Times New Roman" w:cs="Times New Roman"/>
        </w:rPr>
        <w:t>. Younger age, prolonged near work, close television viewing, and a positive family history emerged as independent risk factors. These findings highlight the urgent need for early screening, behavior-focused education, and targeted interventions to address modifiable risk factors and mitigate the rising burden of myopia among pediatric populations in African settings.</w:t>
      </w:r>
    </w:p>
    <w:p w14:paraId="1A71FC63" w14:textId="77777777" w:rsidR="00744817" w:rsidRPr="00EF2FC2" w:rsidRDefault="00744817"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Keywords:</w:t>
      </w:r>
      <w:r w:rsidRPr="00EF2FC2">
        <w:rPr>
          <w:rFonts w:ascii="Times New Roman" w:eastAsia="Times New Roman" w:hAnsi="Times New Roman" w:cs="Times New Roman"/>
        </w:rPr>
        <w:t xml:space="preserve"> Myopia progression, children, near work, screen time, spectacle use, Tanzania</w:t>
      </w:r>
    </w:p>
    <w:p w14:paraId="21EC27CD" w14:textId="77777777" w:rsidR="00744817" w:rsidRDefault="00744817" w:rsidP="00717E04">
      <w:pPr>
        <w:tabs>
          <w:tab w:val="left" w:pos="1917"/>
        </w:tabs>
        <w:spacing w:line="360" w:lineRule="auto"/>
        <w:rPr>
          <w:rFonts w:ascii="Times New Roman" w:eastAsia="SimSun" w:hAnsi="Times New Roman" w:cs="Times New Roman"/>
          <w:b/>
        </w:rPr>
      </w:pPr>
    </w:p>
    <w:p w14:paraId="551532DD" w14:textId="77777777" w:rsidR="00AF1AB5" w:rsidRPr="00570AA4" w:rsidRDefault="00D2431F" w:rsidP="00717E04">
      <w:pPr>
        <w:rPr>
          <w:rFonts w:ascii="Times New Roman" w:hAnsi="Times New Roman" w:cs="Times New Roman"/>
          <w:b/>
        </w:rPr>
      </w:pPr>
      <w:r w:rsidRPr="00570AA4">
        <w:rPr>
          <w:rFonts w:ascii="Times New Roman" w:hAnsi="Times New Roman" w:cs="Times New Roman"/>
          <w:b/>
        </w:rPr>
        <w:t>INTRODUCTION</w:t>
      </w:r>
    </w:p>
    <w:p w14:paraId="294D2DBD"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Globally, uncorrected myopia is the leading cause of blindness</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{"citationItems":[{"id":"ITEM-1","itemData":{"author":[{"dropping-particle":"","family":"Fricke","given":"Timothy Robert","non-dropping-particle":"","parse-names":false,"suffix":""},{"dropping-particle":"","family":"Flanagan","given":"Judith","non-dropping-particle":"","parse-names":false,"suffix":""}],"id":"ITEM-1","issue":"January","issued":{"date-parts":[["2019"]]},"page":"27-28","title":"Myopia : a growing epidemic","type":"article-journal"},"uris":["http://www.mendeley.com/documents/?uuid=55496e45-96c7-4fc4-8004-c55e402bbcb4"]}],"mendeley":{"formattedCitation":"(Fricke and Flanagan, 2019)","plainTextFormattedCitation":"(Fricke and Flanagan, 2019)","previouslyFormattedCitation":"(Fricke and Flanagan, 2019)"},"properties":{"noteIndex":0},"schema":"https://github.com/citation-style-language/schema/raw/master/csl-citation.json"}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(Fricke and Flanagan, 2019)</w:t>
      </w:r>
      <w:r w:rsidR="007D1CD9" w:rsidRPr="009D51EF">
        <w:rPr>
          <w:rFonts w:ascii="Times New Roman" w:hAnsi="Times New Roman" w:cs="Times New Roman"/>
        </w:rPr>
        <w:fldChar w:fldCharType="end"/>
      </w:r>
      <w:r w:rsidR="007D1CD9" w:rsidRPr="009D51EF">
        <w:rPr>
          <w:rFonts w:ascii="Times New Roman" w:hAnsi="Times New Roman" w:cs="Times New Roman"/>
        </w:rPr>
        <w:t xml:space="preserve">. </w:t>
      </w:r>
      <w:r w:rsidRPr="009D51EF">
        <w:rPr>
          <w:rFonts w:ascii="Times New Roman" w:hAnsi="Times New Roman" w:cs="Times New Roman"/>
        </w:rPr>
        <w:t>Ne</w:t>
      </w:r>
      <w:r w:rsidR="0059640F">
        <w:rPr>
          <w:rFonts w:ascii="Times New Roman" w:hAnsi="Times New Roman" w:cs="Times New Roman"/>
        </w:rPr>
        <w:t xml:space="preserve">arly 2 billion people worldwide </w:t>
      </w:r>
      <w:r w:rsidRPr="009D51EF">
        <w:rPr>
          <w:rFonts w:ascii="Times New Roman" w:hAnsi="Times New Roman" w:cs="Times New Roman"/>
        </w:rPr>
        <w:t>approximately</w:t>
      </w:r>
      <w:r w:rsidR="00FA0D59">
        <w:rPr>
          <w:rFonts w:ascii="Times New Roman" w:hAnsi="Times New Roman" w:cs="Times New Roman"/>
        </w:rPr>
        <w:t xml:space="preserve"> 28.3% of the global population </w:t>
      </w:r>
      <w:r w:rsidRPr="009D51EF">
        <w:rPr>
          <w:rFonts w:ascii="Times New Roman" w:hAnsi="Times New Roman" w:cs="Times New Roman"/>
        </w:rPr>
        <w:t>are affected by myopia, and of these, 277 million (4.0%) suffer from high myopia</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{"citationItems":[{"id":"ITEM-1","itemData":{"DOI":"10.1016/j.ophtha.2016.01.006","ISSN":"15494713","PMID":"26875007","abstract":"Purpose Myopia is a common cause of vision loss, with uncorrected myopia the leading cause of distance vision impairment globally. Individual studies show variations in the prevalence of myopia and high myopia between regions and ethnic groups, and there continues to be uncertainty regarding increasing prevalence of myopia. Design Systematic review and meta-analysis. Methods We performed a systematic review and meta-analysis of the prevalence of myopia and high myopia and estimated temporal trends from 2000 to 2050 using data published since 1995. The primary data were gathered into 5-year age groups from 0 to ≥100, in urban or rural populations in each country, standardized to definitions of myopia of -0.50 diopter (D) or less and of high myopia of -5.00 D or less, projected to the year 2010, then meta-analyzed within Global Burden of Disease (GBD) regions. Any urban or rural age group that lacked data in a GBD region took data from the most similar region. The prevalence data were combined with urbanization data and population data from United Nations Population Department (UNPD) to estimate the prevalence of myopia and high myopia in each country of the world. These estimates were combined with myopia change estimates over time derived from regression analysis of published evidence to project to each decade from 2000 through 2050. Results We included data from 145 studies covering 2.1 million participants. We estimated 1406 million people with myopia (22.9% of the world population; 95% confidence interval [CI], 932-1932 million [15.2%-31.5%]) and 163 million people with high myopia (2.7% of the world population; 95% CI, 86-387 million [1.4%-6.3%]) in 2000. We predict by 2050 there will be 4758 million people with myopia (49.8% of the world population; 3620-6056 million [95% CI, 43.4%-55.7%]) and 938 million people with high myopia (9.8% of the world population; 479-2104 million [95% CI, 5.7%-19.4%]). Conclusions Myopia and high myopia estimates from 2000 to 2050 suggest significant increases in prevalences globally, with implications for planning services, including managing and preventing myopia-related ocular complications and vision loss among almost 1 billion people with high myopia.","author":[{"dropping-particle":"","family":"Holden","given":"Brien A.","non-dropping-particle":"","parse-names":false,"suffix":""},{"dropping-particle":"","family":"Fricke","given":"Timothy R.","non-dropping-particle":"","parse-names":false,"suffix":""},{"dropping-particle":"","family":"Wilson","given":"David A.","non-dropping-particle":"","parse-names":false,"suffix":""},{"dropping-particle":"","family":"Jong","given":"Monica","non-dropping-particle":"","parse-names":false,"suffix":""},{"dropping-particle":"","family":"Naidoo","given":"Kovin S.","non-dropping-particle":"","parse-names":false,"suffix":""},{"dropping-particle":"","family":"Sankaridurg","given":"Padmaja","non-dropping-particle":"","parse-names":false,"suffix":""},{"dropping-particle":"","family":"Wong","given":"Tien Y.","non-dropping-particle":"","parse-names":false,"suffix":""},{"dropping-particle":"","family":"Naduvilath","given":"Thomas J.","non-dropping-particle":"","parse-names":false,"suffix":""},{"dropping-particle":"","family":"Resnikoff","given":"Serge","non-dropping-particle":"","parse-names":false,"suffix":""}],"container-title":"Ophthalmology","id":"ITEM-1","issue":"5","issued":{"date-parts":[["2016"]]},"page":"1036-1042","publisher":"American Academy of Ophthalmology","title":"Global Prevalence of Myopia and High Myopia and Temporal Trends from 2000 through 2050","type":"article-journal","volume":"123"},"uris":["http://www.mendeley.com/documents/?uuid=4984c3f3-994c-4957-9dd2-7cf79ec48682","http://www.mendeley.com/documents/?uuid=d79bcff9-aaca-47a2-8f40-896054c3ad2f"]}],"mendeley":{"formattedCitation":"(Holden &lt;i&gt;et al.&lt;/i&gt;, 2016)","plainTextFormattedCitation":"(Holden et al., 2016)","previouslyFormattedCitation":"(Holden &lt;i&gt;et al.&lt;/i&gt;, 2016)"},"properties":{"noteIndex":0},"schema":"https://github.com/citation-style-language/schema/raw/master/csl-citation.json"}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 xml:space="preserve">(Holden </w:t>
      </w:r>
      <w:r w:rsidR="007D1CD9" w:rsidRPr="009D51EF">
        <w:rPr>
          <w:rFonts w:ascii="Times New Roman" w:hAnsi="Times New Roman" w:cs="Times New Roman"/>
          <w:i/>
          <w:noProof/>
        </w:rPr>
        <w:t>et al.</w:t>
      </w:r>
      <w:r w:rsidR="007D1CD9" w:rsidRPr="009D51EF">
        <w:rPr>
          <w:rFonts w:ascii="Times New Roman" w:hAnsi="Times New Roman" w:cs="Times New Roman"/>
          <w:noProof/>
        </w:rPr>
        <w:t>, 2016)</w:t>
      </w:r>
      <w:r w:rsidR="007D1CD9" w:rsidRPr="009D51EF">
        <w:rPr>
          <w:rFonts w:ascii="Times New Roman" w:hAnsi="Times New Roman" w:cs="Times New Roman"/>
        </w:rPr>
        <w:fldChar w:fldCharType="end"/>
      </w:r>
      <w:r w:rsidRPr="009D51EF">
        <w:rPr>
          <w:rFonts w:ascii="Times New Roman" w:hAnsi="Times New Roman" w:cs="Times New Roman"/>
        </w:rPr>
        <w:t>. The prevalence of myopia among schoolchildren is reported to be 42% in North America and 40% in Europe, reflecting a growing global concern</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{"citationItems":[{"id":"ITEM-1","itemData":{"ISSN":"14712415","PMID":"31937276","abstract":"BACKGROUND: Due to high prevalence myopia has gained importance in epidemiological studies. Children with early onset are at particular risk of complications associated with myopia, as progression over time might result in high myopia and myopic macular degeneration. Both genetic and environmental factors play a role in the increasing prevalence of myopia. The aim of this study is to review the current literature on epidemiology and risk factors for myopia in school children (aged 6-19 years) around the world. MAIN BODY: PubMed and Medline were searched for the following keywords: prevalence, incidence, myopia, refractive error, risk factors, children and visual impairment. English language articles published between Jan 2013 and Mar 2019 were included in the study. Studies were critically reviewed for study methodology and robustness of data. Eighty studies were included in this literature review. Myopia prevalence remains higher in Asia (60%) compared with Europe (40%) using cycloplegic refraction examinations. Studies reporting on non-cycloplegic measurements show exceptionally high myopia prevalence rates in school children in East Asia (73%), and high rates in North America (42%). Low prevalence under 10% was described in African and South American children. In recent studies, risk factors for myopia in schoolchildren included low outdoor time and near work, dim light exposure, the use of LED lamps for homework, low sleeping hours, reading distance less than 25 cm and living in an urban environment. CONCLUSION: Low levels of outdoor activity and near work are well-established risk factors for myopia; this review provides evidence on additional environmental risk factors. New epidemiological studies should be carried out on implementation of public health strategies to tackle and avoid myopia. As the myopia prevalence rates in non-cycloplegic studies are overestimated, we recommend considering only cycloplegic measurements.","author":[{"dropping-particle":"","family":"Grzybowski","given":"Andrzej","non-dropping-particle":"","parse-names":false,"suffix":""},{"dropping-particle":"","family":"Kanclerz","given":"Piotr","non-dropping-particle":"","parse-names":false,"suffix":""},{"dropping-particle":"","family":"Tsubota","given":"Kazuo","non-dropping-particle":"","parse-names":false,"suffix":""},{"dropping-particle":"","family":"Lanca","given":"Carla","non-dropping-particle":"","parse-names":false,"suffix":""},{"dropping-particle":"","family":"Saw","given":"Seang Mei","non-dropping-particle":"","parse-names":false,"suffix":""}],"container-title":"BMC ophthalmology","id":"ITEM-1","issue":"1","issued":{"date-parts":[["2020"]]},"page":"27","publisher":"BMC Ophthalmology","title":"</w:instrText>
      </w:r>
      <w:r w:rsidR="007D1CD9" w:rsidRPr="009D51EF">
        <w:rPr>
          <w:rFonts w:ascii="Times New Roman" w:eastAsia="MS Gothic" w:hAnsi="Times New Roman" w:cs="Times New Roman"/>
        </w:rPr>
        <w:instrText>全球。儿童。近</w:instrText>
      </w:r>
      <w:r w:rsidR="007D1CD9" w:rsidRPr="009D51EF">
        <w:rPr>
          <w:rFonts w:ascii="Times New Roman" w:eastAsia="Microsoft JhengHei" w:hAnsi="Times New Roman" w:cs="Times New Roman"/>
        </w:rPr>
        <w:instrText>视发病率。</w:instrText>
      </w:r>
      <w:r w:rsidR="007D1CD9" w:rsidRPr="009D51EF">
        <w:rPr>
          <w:rFonts w:ascii="Times New Roman" w:hAnsi="Times New Roman" w:cs="Times New Roman"/>
        </w:rPr>
        <w:instrText>","type":"article-journal","volume":"20"},"uris":["http://www.mendeley.com/documents/?uuid=777a83ec-91b0-4380-959e-6062c2163c54"]}],"mendeley":{"formattedCitation":"(Grzybowski &lt;i&gt;et al.&lt;/i&gt;, 2020)","plainTextFormattedCitation":"(Grzybowski et al., 2020)","previouslyFormattedCitation":"(Grzybowski &lt;i&gt;et al.&lt;/i&gt;, 2020)"},"properties":{"noteIndex":0},"schema":"https://github.com/citation-style-language/schema/raw/master/csl-citation.json"}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 xml:space="preserve">(Grzybowski </w:t>
      </w:r>
      <w:r w:rsidR="007D1CD9" w:rsidRPr="009D51EF">
        <w:rPr>
          <w:rFonts w:ascii="Times New Roman" w:hAnsi="Times New Roman" w:cs="Times New Roman"/>
          <w:i/>
          <w:noProof/>
        </w:rPr>
        <w:t>et al.</w:t>
      </w:r>
      <w:r w:rsidR="007D1CD9" w:rsidRPr="009D51EF">
        <w:rPr>
          <w:rFonts w:ascii="Times New Roman" w:hAnsi="Times New Roman" w:cs="Times New Roman"/>
          <w:noProof/>
        </w:rPr>
        <w:t>, 2020)</w:t>
      </w:r>
      <w:r w:rsidR="007D1CD9" w:rsidRPr="009D51EF">
        <w:rPr>
          <w:rFonts w:ascii="Times New Roman" w:hAnsi="Times New Roman" w:cs="Times New Roman"/>
        </w:rPr>
        <w:fldChar w:fldCharType="end"/>
      </w:r>
      <w:r w:rsidR="007D1CD9" w:rsidRPr="009D51EF">
        <w:rPr>
          <w:rFonts w:ascii="Times New Roman" w:hAnsi="Times New Roman" w:cs="Times New Roman"/>
        </w:rPr>
        <w:t xml:space="preserve">. </w:t>
      </w:r>
      <w:r w:rsidRPr="009D51EF">
        <w:rPr>
          <w:rFonts w:ascii="Times New Roman" w:hAnsi="Times New Roman" w:cs="Times New Roman"/>
        </w:rPr>
        <w:t>The burden is most pronounced in East and Southeast Asia, where myopia prevalence among students completing secondary education reaches 80–90%</w:t>
      </w:r>
      <w:r w:rsidR="00BC22B3" w:rsidRPr="009D51EF">
        <w:rPr>
          <w:rFonts w:ascii="Times New Roman" w:hAnsi="Times New Roman" w:cs="Times New Roman"/>
        </w:rPr>
        <w:t xml:space="preserve"> </w:t>
      </w:r>
      <w:r w:rsidRPr="009D51EF">
        <w:rPr>
          <w:rFonts w:ascii="Times New Roman" w:hAnsi="Times New Roman" w:cs="Times New Roman"/>
        </w:rPr>
        <w:t xml:space="preserve"> </w:t>
      </w:r>
      <w:r w:rsidR="00BC22B3"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{"citationItems":[{"id":"ITEM-1","itemData":{"DOI":"10.1111/cxo.12845","author":[{"dropping-particle":"","family":"Graddipneurosci","given":"Kathryn A Rose","non-dropping-particle":"","parse-names":false,"suffix":""}],"id":"ITEM-1","issued":{"date-parts":[["2018"]]},"page":"1-15","title":"C L I N I C A L A N D E X P E R I M E N TA L Myopia : is the nature-nurture debate fi nally over ?","type":"article-journal"},"uris":["http://www.mendeley.com/documents/?uuid=2d7bbcf6-f354-495e-be57-0dc65a81c152"]}],"mendeley":{"formattedCitation":"(Graddipneurosci, 2018)","plainTextFormattedCitation":"(Graddipneurosci, 2018)","previouslyFormattedCitation":"(Graddipneurosci, 2018)"},"properties":{"noteIndex":0},"schema":"https://github.com/citation-style-language/schema/raw/master/csl-citation.json"}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(Graddipneurosci, 2018)</w:t>
      </w:r>
      <w:r w:rsidR="00BC22B3" w:rsidRPr="009D51EF">
        <w:rPr>
          <w:rFonts w:ascii="Times New Roman" w:hAnsi="Times New Roman" w:cs="Times New Roman"/>
        </w:rPr>
        <w:fldChar w:fldCharType="end"/>
      </w:r>
    </w:p>
    <w:p w14:paraId="10E08341"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 xml:space="preserve">In Africa, although the overall prevalence is comparatively lower, it has been steadily rising. A systematic review showed that the prevalence of myopia between 2011 and 2021 was nearly double that reported from 2000 to 2010. The highest prevalence is found in North Africa (6.8%), followed by Southern Africa (6.3%), East Africa (4.7%), and West Africa (3.5%) </w:t>
      </w:r>
      <w:r w:rsidR="00BC22B3"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{"citationItems":[{"id":"ITEM-1","itemData":{"DOI":"10.1111/opo.13035","ISSN":"14751313","PMID":"35959749","abstract":"Purpose: To provide contemporary and future estimates of childhood myopia prevalence in Africa. Methods: A systematic online literature search was conducted for articles on childhood (≤18 years) myopia (spherical equivalent [SE] ≤ −0.50D; high myopia: SE ≤ −6.00D) in Africa. Population- or school-based cross-sectional studies published from 1 Jan 2000 to 30 May 2021 were included. Meta-analysis using Freeman–Tukey double arcsine transformation was performed to estimate the prevalence of childhood myopia and high myopia. Myopia prevalence from subgroup analyses for age groups and settings were used as baseline for generating a prediction model using linear regression. Results: Forty-two studies from 19 (of 54) African countries were included in the meta-analysis (N = 737,859). Overall prevalence of childhood myopia and high myopia were 4.7% (95% CI: 3.3%–6.5%) and 0.6% (95% CI: 0.2%–1.1%), respectively. Estimated prevalence across the African regions was highest in the North (6.8% [95% CI: 4.0%–10.2%]), followed by Southern (6.3% [95% CI: 3.9%–9.1%]), East (4.7% [95% CI: 3.1%–6.7%]) and West (3.5% [95% CI: 1.9%–6.3%]) Africa. Prevalence from 2011 to 2021 was approximately double that from 2000 to 2010 for all studies combined, and between 1.5 and 2.5 times higher for ages 5–11 and 12–18 years, for boys and girls and for urban and rural settings, separately. Childhood myopia prevalence is projected to increase in urban settings and older children to 11.1% and 10.8% by 2030, 14.4% and 14.1% by 2040 and 17.7% and 17.4% by 2050, respectively; marginally higher than projected in the overall population (16.4% by 2050). Conclusions: Childhood myopia prevalence has approximately doubled since 2010, with a further threefold increase predicted by 2050. Given this trajectory and the specific public health challenges in Africa, it is imperative to implement basic myopia prevention programmes, enhance spectacle coverage and ophthalmic services and generate more data to understand the changing myopia epidemiology to mitigate the expanding risk of the African population.","author":[{"dropping-particle":"","family":"Kobia-Acquah","given":"Emmanuel","non-dropping-particle":"","parse-names":false,"suffix":""},{"dropping-particle":"","family":"Flitcroft","given":"Daniel Ian","non-dropping-particle":"","parse-names":false,"suffix":""},{"dropping-particle":"","family":"Akowuah","given":"Prince Kwaku","non-dropping-particle":"","parse-names":false,"suffix":""},{"dropping-particle":"","family":"Lingham","given":"Gareth","non-dropping-particle":"","parse-names":false,"suffix":""},{"dropping-particle":"","family":"Loughman","given":"James","non-dropping-particle":"","parse-names":false,"suffix":""}],"container-title":"Ophthalmic and Physiological Optics","id":"ITEM-1","issue":"6","issued":{"date-parts":[["2022"]]},"page":"1232-1252","title":"Regional variations and temporal trends of childhood myopia prevalence in Africa: A systematic review and meta-analysis","type":"article-journal","volume":"42"},"uris":["http://www.mendeley.com/documents/?uuid=d5dc4575-7bc8-4521-87fa-3e18cdc9e2ca"]}],"mendeley":{"formattedCitation":"(Kobia-Acquah &lt;i&gt;et al.&lt;/i&gt;, 2022)","plainTextFormattedCitation":"(Kobia-Acquah et al., 2022)","previouslyFormattedCitation":"(Kobia-Acquah &lt;i&gt;et al.&lt;/i&gt;, 2022)"},"properties":{"noteIndex":0},"schema":"https://github.com/citation-style-language/schema/raw/master/csl-citation.json"}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 xml:space="preserve">(Kobia-Acquah </w:t>
      </w:r>
      <w:r w:rsidR="00BC22B3" w:rsidRPr="009D51EF">
        <w:rPr>
          <w:rFonts w:ascii="Times New Roman" w:hAnsi="Times New Roman" w:cs="Times New Roman"/>
          <w:i/>
          <w:noProof/>
        </w:rPr>
        <w:t>et al.</w:t>
      </w:r>
      <w:r w:rsidR="00BC22B3" w:rsidRPr="009D51EF">
        <w:rPr>
          <w:rFonts w:ascii="Times New Roman" w:hAnsi="Times New Roman" w:cs="Times New Roman"/>
          <w:noProof/>
        </w:rPr>
        <w:t>, 2022)</w:t>
      </w:r>
      <w:r w:rsidR="00BC22B3" w:rsidRPr="009D51EF">
        <w:rPr>
          <w:rFonts w:ascii="Times New Roman" w:hAnsi="Times New Roman" w:cs="Times New Roman"/>
        </w:rPr>
        <w:fldChar w:fldCharType="end"/>
      </w:r>
      <w:r w:rsidR="00BC22B3" w:rsidRPr="009D51EF">
        <w:rPr>
          <w:rFonts w:ascii="Times New Roman" w:hAnsi="Times New Roman" w:cs="Times New Roman"/>
        </w:rPr>
        <w:t xml:space="preserve"> .</w:t>
      </w:r>
      <w:r w:rsidRPr="009D51EF">
        <w:rPr>
          <w:rFonts w:ascii="Times New Roman" w:hAnsi="Times New Roman" w:cs="Times New Roman"/>
        </w:rPr>
        <w:t xml:space="preserve">In Tanzania, the most recent study, conducted in Mwanza City in 2002, reported a prevalence of 5.6% </w:t>
      </w:r>
      <w:r w:rsidRPr="009D51EF">
        <w:rPr>
          <w:rFonts w:ascii="Times New Roman" w:hAnsi="Times New Roman" w:cs="Times New Roman"/>
        </w:rPr>
        <w:lastRenderedPageBreak/>
        <w:t xml:space="preserve">among secondary school students, identifying myopia as the most common refractive error in this group </w:t>
      </w:r>
      <w:r w:rsidR="00BC22B3" w:rsidRPr="009D51EF">
        <w:rPr>
          <w:rFonts w:ascii="Times New Roman" w:hAnsi="Times New Roman" w:cs="Times New Roman"/>
        </w:rPr>
        <w:fldChar w:fldCharType="begin" w:fldLock="1"/>
      </w:r>
      <w:r w:rsidR="00BC22B3" w:rsidRPr="009D51EF">
        <w:rPr>
          <w:rFonts w:ascii="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programme","type":"article-journal","volume":"86"},"uris":["http://www.mendeley.com/documents/?uuid=1d889f71-9a92-4e56-918a-80320e8e9e9a","http://www.mendeley.com/documents/?uuid=068855ac-5ed3-4093-9f34-81ee0995402d"]}],"mendeley":{"formattedCitation":"(Wedner &lt;i&gt;et al.&lt;/i&gt;, 2002)","plainTextFormattedCitation":"(Wedner et al., 2002)","previouslyFormattedCitation":"(Wedner &lt;i&gt;et al.&lt;/i&gt;, 2002)"},"properties":{"noteIndex":0},"schema":"https://github.com/citation-style-language/schema/raw/master/csl-citation.json"}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 xml:space="preserve">(Wedner </w:t>
      </w:r>
      <w:r w:rsidR="00BC22B3" w:rsidRPr="009D51EF">
        <w:rPr>
          <w:rFonts w:ascii="Times New Roman" w:hAnsi="Times New Roman" w:cs="Times New Roman"/>
          <w:i/>
          <w:noProof/>
        </w:rPr>
        <w:t>et al.</w:t>
      </w:r>
      <w:r w:rsidR="00BC22B3" w:rsidRPr="009D51EF">
        <w:rPr>
          <w:rFonts w:ascii="Times New Roman" w:hAnsi="Times New Roman" w:cs="Times New Roman"/>
          <w:noProof/>
        </w:rPr>
        <w:t>, 2002)</w:t>
      </w:r>
      <w:r w:rsidR="00BC22B3" w:rsidRPr="009D51EF">
        <w:rPr>
          <w:rFonts w:ascii="Times New Roman" w:hAnsi="Times New Roman" w:cs="Times New Roman"/>
        </w:rPr>
        <w:fldChar w:fldCharType="end"/>
      </w:r>
      <w:r w:rsidR="00BC22B3" w:rsidRPr="009D51EF">
        <w:rPr>
          <w:rFonts w:ascii="Times New Roman" w:hAnsi="Times New Roman" w:cs="Times New Roman"/>
        </w:rPr>
        <w:t>.</w:t>
      </w:r>
    </w:p>
    <w:p w14:paraId="1018150E"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Myopia development and progression are influenced by a combination of genetic predisposition and environmental exposures. The mechanical stretching of the eye, coupled with biochemical forces related to axial elongation, leads to thinning and structura</w:t>
      </w:r>
      <w:r w:rsidR="00BC22B3" w:rsidRPr="009D51EF">
        <w:rPr>
          <w:rFonts w:ascii="Times New Roman" w:hAnsi="Times New Roman" w:cs="Times New Roman"/>
        </w:rPr>
        <w:t xml:space="preserve">l alterations in ocular tissues </w:t>
      </w:r>
      <w:r w:rsidRPr="009D51EF">
        <w:rPr>
          <w:rFonts w:ascii="Times New Roman" w:hAnsi="Times New Roman" w:cs="Times New Roman"/>
        </w:rPr>
        <w:t>including the retina, choroid, and sclera</w:t>
      </w:r>
      <w:r w:rsidR="009E6B15" w:rsidRPr="009D51EF">
        <w:rPr>
          <w:rFonts w:ascii="Times New Roman" w:hAnsi="Times New Roman" w:cs="Times New Roman"/>
        </w:rPr>
        <w:t xml:space="preserve"> </w:t>
      </w:r>
      <w:r w:rsidR="009E6B15"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ana","given":"Arif","non-dropping-particle":"","parse-names":false,"suffix":""},{"dropping-particle":"","family":"Rachman","given":"Tahar","non-dropping-particle":"","parse-names":false,"suffix":""}],"container-title":"Angewandte Chemie International Edition, 6(11), 951–952.","id":"ITEM-1","issue":"1","issued":{"date-parts":[["2018"]]},"number-of-pages":"10-27","title":"</w:instrText>
      </w:r>
      <w:r w:rsidR="009E6B15" w:rsidRPr="009D51EF">
        <w:rPr>
          <w:rFonts w:ascii="Times New Roman" w:eastAsia="MS Gothic" w:hAnsi="Times New Roman" w:cs="Times New Roman"/>
        </w:rPr>
        <w:instrText>済無</w:instrText>
      </w:r>
      <w:r w:rsidR="009E6B15" w:rsidRPr="009D51EF">
        <w:rPr>
          <w:rFonts w:ascii="Times New Roman" w:hAnsi="Times New Roman" w:cs="Times New Roman"/>
        </w:rPr>
        <w:instrText>No Title No Title No Title","type":"book","volume":"3"},"uris":["http://www.mendeley.com/documents/?uuid=7d44bb9b-5043-44c9-8ed7-21ca36ea9d1f"]}],"mendeley":{"formattedCitation":"(Wicaksana and Rachman, 2018)","plainTextFormattedCitation":"(Wicaksana and Rachman, 2018)","previouslyFormattedCitation":"(Wicaksana and Rachman, 2018)"},"properties":{"noteIndex":0},"schema":"https://github.com/citation-style-language/schema/raw/master/csl-citation.json"}</w:instrText>
      </w:r>
      <w:r w:rsidR="009E6B15" w:rsidRPr="009D51EF">
        <w:rPr>
          <w:rFonts w:ascii="Times New Roman" w:hAnsi="Times New Roman" w:cs="Times New Roman"/>
        </w:rPr>
        <w:fldChar w:fldCharType="separate"/>
      </w:r>
      <w:r w:rsidR="009E6B15" w:rsidRPr="009D51EF">
        <w:rPr>
          <w:rFonts w:ascii="Times New Roman" w:hAnsi="Times New Roman" w:cs="Times New Roman"/>
          <w:noProof/>
        </w:rPr>
        <w:t>(Wicaksana and Rachman, 2018)</w:t>
      </w:r>
      <w:r w:rsidR="009E6B15" w:rsidRPr="009D51EF">
        <w:rPr>
          <w:rFonts w:ascii="Times New Roman" w:hAnsi="Times New Roman" w:cs="Times New Roman"/>
        </w:rPr>
        <w:fldChar w:fldCharType="end"/>
      </w:r>
      <w:r w:rsidR="009E6B15" w:rsidRPr="009D51EF">
        <w:rPr>
          <w:rFonts w:ascii="Times New Roman" w:hAnsi="Times New Roman" w:cs="Times New Roman"/>
        </w:rPr>
        <w:t xml:space="preserve">. </w:t>
      </w:r>
      <w:r w:rsidRPr="009D51EF">
        <w:rPr>
          <w:rFonts w:ascii="Times New Roman" w:hAnsi="Times New Roman" w:cs="Times New Roman"/>
        </w:rPr>
        <w:t>A strong familial component has been observed, with children of myopic parents more likely to develop and experience faster progression of the condition.</w:t>
      </w:r>
    </w:p>
    <w:p w14:paraId="06EC75A8"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Environmental risk factors significantly contribute to myopia onset and progression. These include prolonged near work, increased screen time, high academic demands, reduced outdoor activity, urban living, and longer reading hours</w:t>
      </w:r>
      <w:r w:rsidR="009E6B15" w:rsidRPr="009D51EF">
        <w:rPr>
          <w:rFonts w:ascii="Times New Roman" w:hAnsi="Times New Roman" w:cs="Times New Roman"/>
        </w:rPr>
        <w:t xml:space="preserve"> </w:t>
      </w:r>
      <w:r w:rsidR="009E6B15" w:rsidRPr="009D51EF">
        <w:rPr>
          <w:rFonts w:ascii="Times New Roman" w:hAnsi="Times New Roman" w:cs="Times New Roman"/>
        </w:rPr>
        <w:fldChar w:fldCharType="begin" w:fldLock="1"/>
      </w:r>
      <w:r w:rsidR="00A529D4" w:rsidRPr="009D51EF">
        <w:rPr>
          <w:rFonts w:ascii="Times New Roman" w:hAnsi="Times New Roman" w:cs="Times New Roman"/>
        </w:rPr>
        <w:instrText>ADDIN CSL_CITATION {"citationItems":[{"id":"ITEM-1","itemData":{"DOI":"10.5114/ko.2022.116834","ISSN":"00232157","author":[{"dropping-particle":"","family":"Nouraeinejad","given":"Ali","non-dropping-particle":"","parse-names":false,"suffix":""}],"container-title":"Klinika Oczna","id":"ITEM-1","issue":"2","issued":{"date-parts":[["2022"]]},"page":"124-125","title":"Urbanization as a factor for myopia progression","type":"article-journal","volume":"124"},"uris":["http://www.mendeley.com/documents/?uuid=100b4b55-152a-47e3-aeac-f040e0b1bd47"]},{"id":"ITEM-2","itemData":{"DOI":"10.1167/iovs.07-0804","ISSN":"01460404","PMID":"18579757","abstract":"PURPOSE. To examine the association of time spent in near work and reading with spherical equivalent refraction (SER) in a population-based sample of 12-year-old Australian schoolchildren. METHODS. Data on the time spent in near-work or outdoor activities per week and estimates for the duration of continuous reading and reading distances, were collected in questionnaires (2353 participants, 75.3% response) in the Sydney Myopia Study between 2004 and 2005; 2339 children underwent a comprehensive eye examination, including cycloplegia. RESULTS. Longer time spent on reading for pleasure and reports of close reading distance (&lt;30 cm) were associated with a more myopic refraction after adjustment for age, sex, ethnicity, and school type (Ptrend = 0.02 and P = 0.0003, respectively). Time spent in individual near-work activities, however, correlated poorly with SER (all r ≤ 0.2) and was not significant in multivariate analyses for myopia (SER ≤ -0.50 D), with adjustment for age, sex, ethnicity, parental myopia, school type, and outdoor activity. Children of European Caucasian ethnicity reported spending marginally less time in near work than children of East Asian ethnicity (26.0 h/wk vs. 32.5 h/wk, P &lt; 0.0001). East Asian ethnicity, however, was associated with substantially greater odds of having myopia (odds ratio [OR], 11.0; 95% confidence interval [CI], 7.0 -17.4). Near work such as close reading distance (&lt;30 cm) and continuous reading (&gt;30 minutes) independently increased the odds of having myopia in this sample of children. CONCLUSIONS. Although myopia was not significantly associated with time spent in near work after adjustment for other factors, there were significant independent associations with close reading distance and continuous reading. These associations may indicate that the intensity rather than the total duration of near work is an important factor. Copyright © Association for Research in Vision and Ophthalmology.","author":[{"dropping-particle":"","family":"Ip","given":"Jenny M.","non-dropping-particle":"","parse-names":false,"suffix":""},{"dropping-particle":"","family":"Saw","given":"Seang Mei","non-dropping-particle":"","parse-names":false,"suffix":""},{"dropping-particle":"","family":"Rose","given":"Kathryn A.","non-dropping-particle":"","parse-names":false,"suffix":""},{"dropping-particle":"","family":"Morgan","given":"Ian G.","non-dropping-particle":"","parse-names":false,"suffix":""},{"dropping-particle":"","family":"Kifley","given":"Annette","non-dropping-particle":"","parse-names":false,"suffix":""},{"dropping-particle":"","family":"Wang","given":"Jie Jin","non-dropping-particle":"","parse-names":false,"suffix":""},{"dropping-particle":"","family":"Mitchell","given":"Paul","non-dropping-particle":"","parse-names":false,"suffix":""}],"container-title":"Investigative Ophthalmology and Visual Science","id":"ITEM-2","issue":"7","issued":{"date-parts":[["2008"]]},"page":"2903-2910","title":"Role of near work in myopia: Findings in a sample of Australian school children","type":"article-journal","volume":"49"},"uris":["http://www.mendeley.com/documents/?uuid=215ebc40-3b9c-4fca-bf13-a91183736cd3"]},{"id":"ITEM-3","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-3","issued":{"date-parts":[["2017"]]},"page":"1-12","title":"Incidence and progression of myopia and associated factors in urban school children in Delhi : The North India Myopia Study ( NIM Study )","type":"article-journal"},"uris":["http://www.mendeley.com/documents/?uuid=8e1a8586-294b-44f3-ab2c-2ce80911937e"]}],"mendeley":{"formattedCitation":"(Ip &lt;i&gt;et al.&lt;/i&gt;, 2008; Saxena &lt;i&gt;et al.&lt;/i&gt;, 2017; Nouraeinejad, 2022)","plainTextFormattedCitation":"(Ip et al., 2008; Saxena et al., 2017; Nouraeinejad, 2022)","previouslyFormattedCitation":"(Ip &lt;i&gt;et al.&lt;/i&gt;, 2008; Saxena &lt;i&gt;et al.&lt;/i&gt;, 2017; Nouraeinejad, 2022)"},"properties":{"noteIndex":0},"schema":"https://github.com/citation-style-language/schema/raw/master/csl-citation.json"}</w:instrText>
      </w:r>
      <w:r w:rsidR="009E6B15" w:rsidRPr="009D51EF">
        <w:rPr>
          <w:rFonts w:ascii="Times New Roman" w:hAnsi="Times New Roman" w:cs="Times New Roman"/>
        </w:rPr>
        <w:fldChar w:fldCharType="separate"/>
      </w:r>
      <w:r w:rsidR="009E6B15" w:rsidRPr="009D51EF">
        <w:rPr>
          <w:rFonts w:ascii="Times New Roman" w:hAnsi="Times New Roman" w:cs="Times New Roman"/>
          <w:noProof/>
        </w:rPr>
        <w:t xml:space="preserve">(Ip </w:t>
      </w:r>
      <w:r w:rsidR="009E6B15" w:rsidRPr="009D51EF">
        <w:rPr>
          <w:rFonts w:ascii="Times New Roman" w:hAnsi="Times New Roman" w:cs="Times New Roman"/>
          <w:i/>
          <w:noProof/>
        </w:rPr>
        <w:t>et al.</w:t>
      </w:r>
      <w:r w:rsidR="009E6B15" w:rsidRPr="009D51EF">
        <w:rPr>
          <w:rFonts w:ascii="Times New Roman" w:hAnsi="Times New Roman" w:cs="Times New Roman"/>
          <w:noProof/>
        </w:rPr>
        <w:t xml:space="preserve">, 2008; Saxena </w:t>
      </w:r>
      <w:r w:rsidR="009E6B15" w:rsidRPr="009D51EF">
        <w:rPr>
          <w:rFonts w:ascii="Times New Roman" w:hAnsi="Times New Roman" w:cs="Times New Roman"/>
          <w:i/>
          <w:noProof/>
        </w:rPr>
        <w:t>et al.</w:t>
      </w:r>
      <w:r w:rsidR="009E6B15" w:rsidRPr="009D51EF">
        <w:rPr>
          <w:rFonts w:ascii="Times New Roman" w:hAnsi="Times New Roman" w:cs="Times New Roman"/>
          <w:noProof/>
        </w:rPr>
        <w:t>, 2017; Nouraeinejad, 2022)</w:t>
      </w:r>
      <w:r w:rsidR="009E6B15" w:rsidRPr="009D51EF">
        <w:rPr>
          <w:rFonts w:ascii="Times New Roman" w:hAnsi="Times New Roman" w:cs="Times New Roman"/>
        </w:rPr>
        <w:fldChar w:fldCharType="end"/>
      </w:r>
      <w:r w:rsidRPr="009D51EF">
        <w:rPr>
          <w:rFonts w:ascii="Times New Roman" w:hAnsi="Times New Roman" w:cs="Times New Roman"/>
        </w:rPr>
        <w:t>. However, the protective role of outdoor activity remains inconclusive, with some studies showing no consistent association</w:t>
      </w:r>
      <w:r w:rsidR="00A529D4" w:rsidRPr="009D51EF">
        <w:rPr>
          <w:rFonts w:ascii="Times New Roman" w:hAnsi="Times New Roman" w:cs="Times New Roman"/>
        </w:rPr>
        <w:t xml:space="preserve"> </w:t>
      </w:r>
      <w:r w:rsidR="001E38B4" w:rsidRPr="009D51EF">
        <w:rPr>
          <w:rFonts w:ascii="Times New Roman" w:hAnsi="Times New Roman" w:cs="Times New Roman"/>
        </w:rPr>
        <w:fldChar w:fldCharType="begin" w:fldLock="1"/>
      </w:r>
      <w:r w:rsidR="00B57B79" w:rsidRPr="009D51EF">
        <w:rPr>
          <w:rFonts w:ascii="Times New Roman" w:hAnsi="Times New Roman" w:cs="Times New Roman"/>
        </w:rPr>
        <w:instrText>ADDIN CSL_CITATION {"citationItems":[{"id":"ITEM-1","itemData":{"DOI":"10.1136/bjophthalmol-2016-309299","ISSN":"14682079","PMID":"28315834","abstract":"Purpose To evaluate the 1-year progression of myopia and associated risk factors in second-grade primary school children. Methods The myopia investigation study in Taipei provided semiannual visual acuity testing and cycloplegic refraction for all second-grade primary school children (mean age: 7.49 years) in Taipei who provided parental consent. A questionnaire was distributed to the participants' parents before the first and third examinations. We evaluated 1-year follow-up data for children noted to have myopia on the first examination. Multinomial logistic regression models were applied to assess risk factors associated with myopia progression. Myopia progression was categorised, based on the change in spherical equivalent (ΔSE) over 1 year, as slow (ΔSE&gt;-0.5 dioptres (D)), moderate (-1.0 D&lt;ΔSE≤-0.5 D) or fast (ΔSE≤-1.0 D). Of the 4214 myopic children, data were analysed for 3256 (77.3%) who completed the 1-year follow-up evaluation. Results The baseline SE was -1.43±1.1 D. The average ΔSE was -0.42±0.85 D, with 46.96%, 28.50% and 24.54% of the study subjects showing slow, moderate and fast myopia progression, respectively. When compared with slow myopia progression, fast myopia progression was associated with a greater myopic SE at baseline (OR: 0.67, 95% CI: 0.61 to 0.72) and a shorter eye-object distance when doing near work (OR: 1.45, 95% CI: 1.18 to 1.78). More outdoor activity time and self-reported cycloplegic treatment were not associated with slow myopia progression. Conclusions Children with fast annual myopia progression were more myopic at baseline and had a shorter reading distance. Our study results highlight the importance of having children keep a proper reading distance.","author":[{"dropping-particle":"","family":"Hsu","given":"Chih Chien","non-dropping-particle":"","parse-names":false,"suffix":""},{"dropping-particle":"","family":"Huang","given":"Nicole","non-dropping-particle":"","parse-names":false,"suffix":""},{"dropping-particle":"","family":"Lin","given":"Pei Yu","non-dropping-particle":"","parse-names":false,"suffix":""},{"dropping-particle":"","family":"Fang","given":"Shao You","non-dropping-particle":"","parse-names":false,"suffix":""},{"dropping-particle":"","family":"Tsai","given":"Der Chong","non-dropping-particle":"","parse-names":false,"suffix":""},{"dropping-particle":"","family":"Chen","given":"Shing Yi","non-dropping-particle":"","parse-names":false,"suffix":""},{"dropping-particle":"","family":"Tsai","given":"Ching Yao","non-dropping-particle":"","parse-names":false,"suffix":""},{"dropping-particle":"","family":"Woung","given":"Lin Chung","non-dropping-particle":"","parse-names":false,"suffix":""},{"dropping-particle":"","family":"Chiou","given":"Shih Hwa","non-dropping-particle":"","parse-names":false,"suffix":""},{"dropping-particle":"","family":"Liu","given":"Catherine Jui Ling","non-dropping-particle":"","parse-names":false,"suffix":""}],"container-title":"British Journal of Ophthalmology","id":"ITEM-1","issue":"12","issued":{"date-parts":[["2017"]]},"page":"1611-1617","title":"Risk factors for myopia progression in second-grade primary school children in Taipei: A population-based cohort study","type":"article-journal","volume":"101"},"uris":["http://www.mendeley.com/documents/?uuid=9ceced92-d005-4eae-9ed5-27881286b34a"]},{"id":"ITEM-2","itemData":{"DOI":"10.1016/j.ophtha.2012.11.009","ISSN":"01616420","PMID":"23462271","abstract":"Purpose: The aim of this study was to investigate the effect of outdoor activity during class recess on myopia changes among elementary school students in a suburban area of Taiwan. Design: Prospective, comparative, consecutive, interventional study. Participants: Elementary school students 7 to 11 years of age recruited from 2 nearby schools located in a suburban area of southern Taiwan. Intervention: The children of one school participated in the interventions, whereas those from the other school served as the control group. The interventions consisted of performing a recess outside the classroom (ROC) program that encouraged children to go outside for outdoor activities during recess. The control school did not have any special programs during recess. Main Outcome Measures: Data were obtained by means of a parent questionnaire and ocular evaluations that included axial length and cycloplegic autorefraction at the beginning and after 1 year. Results: Five hundred seventy-one students were recruited for this study, of whom 333 students participated in the interventional program, and 238 students were in the control school. At the beginning of the study, there were no significant differences between these 2 schools with regard to age, gender, baseline refraction, and myopia prevalence (47.75% vs. 49.16%). After 1 year, new onset of myopia was significantly lower in the ROC group than in the control group (8.41% vs. 17.65%; P&lt;0.001). There was also significantly lower myopic shift in the ROC group compared with the control group (-0.25 diopter [D]/year vs. -0.38 D/year; P = 0.029). The multivariate analysis demonstrated that the variables of intervention of the ROC program and higher school year proved to be a protective factor against myopia shift in nonmyopic subjects (P = 0.020 and P = 0.017, respectively). For myopic subjects, school year was the only variable significantly associated with myopia progression (P = 0.006). Conclusions: Outdoor activities during class recess in school have a significant effect on myopia onset and myopic shift. Such activities have a prominent effect on the control of myopia shift, especially in nonmyopic children. © 2013 American Academy of Ophthalmology.","author":[{"dropping-particle":"","family":"Wu","given":"Pei Chang","non-dropping-particle":"","parse-names":false,"suffix":""},{"dropping-particle":"","family":"Tsai","given":"Chia Ling","non-dropping-particle":"","parse-names":false,"suffix":""},{"dropping-particle":"","family":"Wu","given":"Hsiang Lin","non-dropping-particle":"","parse-names":false,"suffix":""},{"dropping-particle":"","family":"Yang","given":"Yi Hsin","non-dropping-particle":"","parse-names":false,"suffix":""},{"dropping-particle":"","family":"Kuo","given":"Hsi Kung","non-dropping-particle":"","parse-names":false,"suffix":""}],"container-title":"Ophthalmology","id":"ITEM-2","issue":"5","issued":{"date-parts":[["2013"]]},"page":"1080-1085","title":"Outdoor activity during class recess reduces myopia onset and progression in school children","type":"article-journal","volume":"120"},"uris":["http://www.mendeley.com/documents/?uuid=4ea76d41-295f-4471-a0a1-7108ffcfcce5"]},{"id":"ITEM-3","itemData":{"DOI":"10.1167/iovs.11-8336","ISSN":"01460404","PMID":"22977132","abstract":"PURPOSE. To investigate the association between myopia progression and time spent outdoors and in various visual activities. METHODS. Subjects were 835 myopes (both principal meridians -0.75 diopters [D] or more myopia by cycloplegic autorefraction) in the Collaborative Longitudinal Evaluation of Ethnicity and Refractive Error (CLEERE) Study with both progression data and at least one measure of activity associated with a progression interval. Activity data were collected by parental survey. Average activity level (mean of the activity at the beginning and the end of a 1-year progression interval) was the primary predictor in a repeated-measures mixed model. The model controlled for age, sex, ethnicity, refractive error at the beginning of the progression interval, clinic site, and type of autorefractor used. Effects were scaled based on performing an additional 10 hours per week of an activity. RESULTS. In the multivariate model, the number of hours of reading for pleasure per week was not significantly associated with annual myopia progression at an a priori level of P ≤ 0.01, nor were the other near activities, the near-work composite variable diopter-hours, or outdoor/sports activity. The magnitude of effects was clinically small. For example, the largest multivariate effect was that each additional 10 hours of reading for pleasure per week at the end of a progression interval was associated with an increase in average annual progression by -0.08 D. CONCLUSIONS. Despite protective associations previously reported for time outdoors reducing the risk of myopia onset, outdoor/sports activity was not associated with less myopia progression following onset. Near work also had little meaningful effect on the rate of myopia progression. © 2012 The Association for Research in Vision and Ophthalmology, Inc.","author":[{"dropping-particle":"","family":"Jones-Jordan","given":"Lisa A.","non-dropping-particle":"","parse-names":false,"suffix":""},{"dropping-particle":"","family":"Sinnott","given":"Loraine T.","non-dropping-particle":"","parse-names":false,"suffix":""},{"dropping-particle":"","family":"Cotter","given":"Susan A.","non-dropping-particle":"","parse-names":false,"suffix":""},{"dropping-particle":"","family":"Kleinstein","given":"Robert N.","non-dropping-particle":"","parse-names":false,"suffix":""},{"dropping-particle":"","family":"Manny","given":"Ruth E.","non-dropping-particle":"","parse-names":false,"suffix":""},{"dropping-particle":"","family":"Mutti","given":"Donald O.","non-dropping-particle":"","parse-names":false,"suffix":""},{"dropping-particle":"","family":"Daniel Twelker","given":"J.","non-dropping-particle":"","parse-names":false,"suffix":""},{"dropping-particle":"","family":"Zadnik","given":"Karla","non-dropping-particle":"","parse-names":false,"suffix":""}],"container-title":"Investigative Ophthalmology and Visual Science","id":"ITEM-3","issue":"11","issued":{"date-parts":[["2012"]]},"page":"7169-7175","title":"Time outdoors, visual activity, and myopia progression in juvenile-onset myopes","type":"article-journal","volume":"53"},"uris":["http://www.mendeley.com/documents/?uuid=2982f0ae-9fbc-4453-af34-6c63adf16047"]}],"mendeley":{"formattedCitation":"(Jones-Jordan &lt;i&gt;et al.&lt;/i&gt;, 2012; Wu &lt;i&gt;et al.&lt;/i&gt;, 2013; Hsu &lt;i&gt;et al.&lt;/i&gt;, 2017)","plainTextFormattedCitation":"(Jones-Jordan et al., 2012; Wu et al., 2013; Hsu et al., 2017)","previouslyFormattedCitation":"(Jones-Jordan &lt;i&gt;et al.&lt;/i&gt;, 2012; Wu &lt;i&gt;et al.&lt;/i&gt;, 2013; Hsu &lt;i&gt;et al.&lt;/i&gt;, 2017)"},"properties":{"noteIndex":0},"schema":"https://github.com/citation-style-language/schema/raw/master/csl-citation.json"}</w:instrText>
      </w:r>
      <w:r w:rsidR="001E38B4" w:rsidRPr="009D51EF">
        <w:rPr>
          <w:rFonts w:ascii="Times New Roman" w:hAnsi="Times New Roman" w:cs="Times New Roman"/>
        </w:rPr>
        <w:fldChar w:fldCharType="separate"/>
      </w:r>
      <w:r w:rsidR="001E38B4" w:rsidRPr="009D51EF">
        <w:rPr>
          <w:rFonts w:ascii="Times New Roman" w:hAnsi="Times New Roman" w:cs="Times New Roman"/>
          <w:noProof/>
        </w:rPr>
        <w:t xml:space="preserve">(Jones-Jordan </w:t>
      </w:r>
      <w:r w:rsidR="001E38B4" w:rsidRPr="009D51EF">
        <w:rPr>
          <w:rFonts w:ascii="Times New Roman" w:hAnsi="Times New Roman" w:cs="Times New Roman"/>
          <w:i/>
          <w:noProof/>
        </w:rPr>
        <w:t>et al.</w:t>
      </w:r>
      <w:r w:rsidR="001E38B4" w:rsidRPr="009D51EF">
        <w:rPr>
          <w:rFonts w:ascii="Times New Roman" w:hAnsi="Times New Roman" w:cs="Times New Roman"/>
          <w:noProof/>
        </w:rPr>
        <w:t xml:space="preserve">, 2012; Wu </w:t>
      </w:r>
      <w:r w:rsidR="001E38B4" w:rsidRPr="009D51EF">
        <w:rPr>
          <w:rFonts w:ascii="Times New Roman" w:hAnsi="Times New Roman" w:cs="Times New Roman"/>
          <w:i/>
          <w:noProof/>
        </w:rPr>
        <w:t>et al.</w:t>
      </w:r>
      <w:r w:rsidR="001E38B4" w:rsidRPr="009D51EF">
        <w:rPr>
          <w:rFonts w:ascii="Times New Roman" w:hAnsi="Times New Roman" w:cs="Times New Roman"/>
          <w:noProof/>
        </w:rPr>
        <w:t xml:space="preserve">, 2013; Hsu </w:t>
      </w:r>
      <w:r w:rsidR="001E38B4" w:rsidRPr="009D51EF">
        <w:rPr>
          <w:rFonts w:ascii="Times New Roman" w:hAnsi="Times New Roman" w:cs="Times New Roman"/>
          <w:i/>
          <w:noProof/>
        </w:rPr>
        <w:t>et al.</w:t>
      </w:r>
      <w:r w:rsidR="001E38B4" w:rsidRPr="009D51EF">
        <w:rPr>
          <w:rFonts w:ascii="Times New Roman" w:hAnsi="Times New Roman" w:cs="Times New Roman"/>
          <w:noProof/>
        </w:rPr>
        <w:t>, 2017)</w:t>
      </w:r>
      <w:r w:rsidR="001E38B4" w:rsidRPr="009D51EF">
        <w:rPr>
          <w:rFonts w:ascii="Times New Roman" w:hAnsi="Times New Roman" w:cs="Times New Roman"/>
        </w:rPr>
        <w:fldChar w:fldCharType="end"/>
      </w:r>
    </w:p>
    <w:p w14:paraId="386A7105"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An earlier age of onset is associated with faster progression of myopia, possibly due to increased responsiveness of younger eyes to environmental stimuli during critical developmental periods</w:t>
      </w:r>
      <w:r w:rsidR="00F82FC5" w:rsidRPr="009D51EF">
        <w:rPr>
          <w:rFonts w:ascii="Times New Roman" w:hAnsi="Times New Roman" w:cs="Times New Roman"/>
        </w:rPr>
        <w:t xml:space="preserve"> </w:t>
      </w:r>
      <w:r w:rsidR="00F82FC5" w:rsidRPr="009D51EF">
        <w:rPr>
          <w:rFonts w:ascii="Times New Roman" w:hAnsi="Times New Roman" w:cs="Times New Roman"/>
        </w:rPr>
        <w:fldChar w:fldCharType="begin" w:fldLock="1"/>
      </w:r>
      <w:r w:rsidR="00F82FC5" w:rsidRPr="009D51EF">
        <w:rPr>
          <w:rFonts w:ascii="Times New Roman" w:hAnsi="Times New Roman" w:cs="Times New Roman"/>
        </w:rPr>
        <w:instrText>ADDIN CSL_CITATION {"citationItems":[{"id":"ITEM-1","itemData":{"DOI":"10.1016/j.jcma.2016.02.011","ISSN":"17287731","PMID":"27349942","abstract":"Background High myopia is associated with multiple ocular morbidities that may lead to irreversible blindness. Because high myopia in an adult is thought to be related to onset of myopia in very early childhood, detecting myopia early and working to improve modifiable risk factors may help reduce the development of high myopia. In this study, we tried to evaluate the prevalence of myopia and associated risk factors in second-grade primary school children in Taipei, Taiwan. Methods A questionnaire was distributed to the participants’ parents, and their written informed consent was obtained before performing eye examinations that included visual acuity testing and cycloplegic autorefraction. Multiple logistic regression models were applied to assess possible risk factors associated with myopia. Myopia was defined as spherical equivalent of −0.50 D or less in either eye. Results The prevalence of myopia in the second graders was 36.4%. After adjustment for other characteristics, the following variables were significantly associated with a higher risk of myopia: male sex [odds ratio (OR) = 1.24, p &lt; 0.001]; suburban residence (vs. urban; OR = 1.10, p = 0.02); lower maternal education level (OR = 1.25, p &lt; 0.001); the presence of myopia in one parent (OR = 1.66, p &lt; 0.001) or both parents (OR = 2.82, p &lt; 0.001); time spent on near-work activity every day (OR = 1.21, p &lt; 0.001); shorter visual distance when doing near-work activity (OR = 1.17, p &lt; 0.001); and participation in an after-school tutorial program (OR = 1.20, p &lt; 0.001). By contrast, resting after 30 minutes of near-work activity (OR = 0.84, p &lt; 0.001) and spending more time participating in outdoor activities on weekends (OR = 0.91, p = 0.03) were significantly associated with a lower risk of myopia. Conclusion Our findings indicate that lifestyle and reading habits impact the development of myopia during early childhood. Behavior modification, such as more time spent outside during the day and limited near-work activity, may be a feasible strategy for curbing the increasingly high prevalence of myopia in Taipei.","author":[{"dropping-particle":"","family":"Hsu","given":"Chih Chien","non-dropping-particle":"","parse-names":false,"suffix":""},{"dropping-particle":"","family":"Huang","given":"Nicole","non-dropping-particle":"","parse-names":false,"suffix":""},{"dropping-particle":"","family":"Lin","given":"Pei Yu","non-dropping-particle":"","parse-names":false,"suffix":""},{"dropping-particle":"","family":"Tsai","given":"Der Chong","non-dropping-particle":"","parse-names":false,"suffix":""},{"dropping-particle":"","family":"Tsai","given":"Ching Yao","non-dropping-particle":"","parse-names":false,"suffix":""},{"dropping-particle":"","family":"Woung","given":"Lin Chung","non-dropping-particle":"","parse-names":false,"suffix":""},{"dropping-particle":"","family":"Liu","given":"Catherine Jui Ling","non-dropping-particle":"","parse-names":false,"suffix":""}],"container-title":"Journal of the Chinese Medical Association","id":"ITEM-1","issue":"11","issued":{"date-parts":[["2016"]]},"page":"625-632","publisher":"Elsevier Ltd","title":"Prevalence and risk factors for myopia in second-grade primary school children in Taipei: A population-based study","type":"article-journal","volume":"79"},"uris":["http://www.mendeley.com/documents/?uuid=65924352-5ea2-44c8-85e8-1af8d6b6bf8a","http://www.mendeley.com/documents/?uuid=90369746-c563-4660-afb6-da1d7debe802"]}],"mendeley":{"formattedCitation":"(Hsu &lt;i&gt;et al.&lt;/i&gt;, 2016)","plainTextFormattedCitation":"(Hsu et al., 2016)","previouslyFormattedCitation":"(Hsu &lt;i&gt;et al.&lt;/i&gt;, 2016)"},"properties":{"noteIndex":0},"schema":"https://github.com/citation-style-language/schema/raw/master/csl-citation.json"}</w:instrText>
      </w:r>
      <w:r w:rsidR="00F82FC5" w:rsidRPr="009D51EF">
        <w:rPr>
          <w:rFonts w:ascii="Times New Roman" w:hAnsi="Times New Roman" w:cs="Times New Roman"/>
        </w:rPr>
        <w:fldChar w:fldCharType="separate"/>
      </w:r>
      <w:r w:rsidR="00F82FC5" w:rsidRPr="009D51EF">
        <w:rPr>
          <w:rFonts w:ascii="Times New Roman" w:hAnsi="Times New Roman" w:cs="Times New Roman"/>
          <w:noProof/>
        </w:rPr>
        <w:t xml:space="preserve">(Hsu </w:t>
      </w:r>
      <w:r w:rsidR="00F82FC5" w:rsidRPr="009D51EF">
        <w:rPr>
          <w:rFonts w:ascii="Times New Roman" w:hAnsi="Times New Roman" w:cs="Times New Roman"/>
          <w:i/>
          <w:noProof/>
        </w:rPr>
        <w:t>et al.</w:t>
      </w:r>
      <w:r w:rsidR="00F82FC5" w:rsidRPr="009D51EF">
        <w:rPr>
          <w:rFonts w:ascii="Times New Roman" w:hAnsi="Times New Roman" w:cs="Times New Roman"/>
          <w:noProof/>
        </w:rPr>
        <w:t>, 2016)</w:t>
      </w:r>
      <w:r w:rsidR="00F82FC5" w:rsidRPr="009D51EF">
        <w:rPr>
          <w:rFonts w:ascii="Times New Roman" w:hAnsi="Times New Roman" w:cs="Times New Roman"/>
        </w:rPr>
        <w:fldChar w:fldCharType="end"/>
      </w:r>
      <w:r w:rsidR="00F82FC5" w:rsidRPr="009D51EF">
        <w:rPr>
          <w:rFonts w:ascii="Times New Roman" w:hAnsi="Times New Roman" w:cs="Times New Roman"/>
        </w:rPr>
        <w:t xml:space="preserve"> .</w:t>
      </w:r>
      <w:r w:rsidRPr="009D51EF">
        <w:rPr>
          <w:rFonts w:ascii="Times New Roman" w:hAnsi="Times New Roman" w:cs="Times New Roman"/>
        </w:rPr>
        <w:t>Gender has also emerged as a co</w:t>
      </w:r>
      <w:r w:rsidR="00F07592">
        <w:rPr>
          <w:rFonts w:ascii="Times New Roman" w:hAnsi="Times New Roman" w:cs="Times New Roman"/>
        </w:rPr>
        <w:t xml:space="preserve">ntributing factor, with females </w:t>
      </w:r>
      <w:r w:rsidR="00411326">
        <w:rPr>
          <w:rFonts w:ascii="Times New Roman" w:hAnsi="Times New Roman" w:cs="Times New Roman"/>
        </w:rPr>
        <w:t xml:space="preserve">especially school-aged girls </w:t>
      </w:r>
      <w:r w:rsidRPr="009D51EF">
        <w:rPr>
          <w:rFonts w:ascii="Times New Roman" w:hAnsi="Times New Roman" w:cs="Times New Roman"/>
        </w:rPr>
        <w:t>being more pron</w:t>
      </w:r>
      <w:r w:rsidR="00BD5753" w:rsidRPr="009D51EF">
        <w:rPr>
          <w:rFonts w:ascii="Times New Roman" w:hAnsi="Times New Roman" w:cs="Times New Roman"/>
        </w:rPr>
        <w:t xml:space="preserve">e to faster myopia progression </w:t>
      </w:r>
      <w:r w:rsidR="00BD5753" w:rsidRPr="009D51EF">
        <w:rPr>
          <w:rFonts w:ascii="Times New Roman" w:hAnsi="Times New Roman" w:cs="Times New Roman"/>
        </w:rPr>
        <w:fldChar w:fldCharType="begin" w:fldLock="1"/>
      </w:r>
      <w:r w:rsidR="00293BBA" w:rsidRPr="009D51EF">
        <w:rPr>
          <w:rFonts w:ascii="Times New Roman" w:hAnsi="Times New Roman" w:cs="Times New Roman"/>
        </w:rPr>
        <w:instrText>ADDIN CSL_CITATION {"citationItems":[{"id":"ITEM-1","itemData":{"DOI":"10.1136/bjophthalmol-2020-318256","author":[{"dropping-particle":"","family":"Tricard","given":"Dorian","non-dropping-particle":"","parse-names":false,"suffix":""},{"dropping-particle":"","family":"Marillet","given":"Simon","non-dropping-particle":"","parse-names":false,"suffix":""},{"dropping-particle":"","family":"Ingrand","given":"Pierre","non-dropping-particle":"","parse-names":false,"suffix":""},{"dropping-particle":"","family":"Bullimore","given":"Mark A","non-dropping-particle":"","parse-names":false,"suffix":""},{"dropping-particle":"","family":"Bourne","given":"Rupert R A","non-dropping-particle":"","parse-names":false,"suffix":""},{"dropping-particle":"","family":"Leveziel","given":"Nicolas","non-dropping-particle":"","parse-names":false,"suffix":""}],"id":"ITEM-1","issued":{"date-parts":[["2022"]]},"page":"1104-1109","title":"Progression of myopia in children and teenagers : a nationwide longitudinal study","type":"article-journal"},"uris":["http://www.mendeley.com/documents/?uuid=33b3705a-7b98-4889-8fbd-38d7210defa7","http://www.mendeley.com/documents/?uuid=1b01365f-5dc8-4eb3-b739-a1483e8b13a6"]}],"mendeley":{"formattedCitation":"(Tricard &lt;i&gt;et al.&lt;/i&gt;, 2022)","manualFormatting":"(Tricard et al., 2022)","plainTextFormattedCitation":"(Tricard et al., 2022)","previouslyFormattedCitation":"(Tricard &lt;i&gt;et al.&lt;/i&gt;, 2022)"},"properties":{"noteIndex":0},"schema":"https://github.com/citation-style-language/schema/raw/master/csl-citation.json"}</w:instrText>
      </w:r>
      <w:r w:rsidR="00BD5753" w:rsidRPr="009D51EF">
        <w:rPr>
          <w:rFonts w:ascii="Times New Roman" w:hAnsi="Times New Roman" w:cs="Times New Roman"/>
        </w:rPr>
        <w:fldChar w:fldCharType="separate"/>
      </w:r>
      <w:r w:rsidR="00BD5753" w:rsidRPr="009D51EF">
        <w:rPr>
          <w:rFonts w:ascii="Times New Roman" w:hAnsi="Times New Roman" w:cs="Times New Roman"/>
          <w:noProof/>
        </w:rPr>
        <w:t xml:space="preserve">(Tricard </w:t>
      </w:r>
      <w:r w:rsidR="00BD5753" w:rsidRPr="009D51EF">
        <w:rPr>
          <w:rFonts w:ascii="Times New Roman" w:hAnsi="Times New Roman" w:cs="Times New Roman"/>
          <w:i/>
          <w:noProof/>
        </w:rPr>
        <w:t>et al.</w:t>
      </w:r>
      <w:r w:rsidR="00BD5753" w:rsidRPr="009D51EF">
        <w:rPr>
          <w:rFonts w:ascii="Times New Roman" w:hAnsi="Times New Roman" w:cs="Times New Roman"/>
          <w:noProof/>
        </w:rPr>
        <w:t>, 2022)</w:t>
      </w:r>
      <w:r w:rsidR="00BD5753" w:rsidRPr="009D51EF">
        <w:rPr>
          <w:rFonts w:ascii="Times New Roman" w:hAnsi="Times New Roman" w:cs="Times New Roman"/>
        </w:rPr>
        <w:fldChar w:fldCharType="end"/>
      </w:r>
      <w:r w:rsidR="00BD5753" w:rsidRPr="009D51EF">
        <w:rPr>
          <w:rFonts w:ascii="Times New Roman" w:hAnsi="Times New Roman" w:cs="Times New Roman"/>
        </w:rPr>
        <w:t>.</w:t>
      </w:r>
    </w:p>
    <w:p w14:paraId="667E8F20"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Additionally, the degree of myopia at baseline, often quantified using the spherical equivalent,</w:t>
      </w:r>
      <w:r w:rsidR="00717E04" w:rsidRPr="009D51EF">
        <w:rPr>
          <w:rFonts w:ascii="Times New Roman" w:hAnsi="Times New Roman" w:cs="Times New Roman"/>
        </w:rPr>
        <w:t xml:space="preserve"> has </w:t>
      </w:r>
      <w:r w:rsidR="00F82FC5" w:rsidRPr="009D51EF">
        <w:rPr>
          <w:rFonts w:ascii="Times New Roman" w:hAnsi="Times New Roman" w:cs="Times New Roman"/>
        </w:rPr>
        <w:t>been linked to progression with</w:t>
      </w:r>
      <w:r w:rsidR="00B57B79" w:rsidRPr="009D51EF">
        <w:rPr>
          <w:rFonts w:ascii="Times New Roman" w:hAnsi="Times New Roman" w:cs="Times New Roman"/>
        </w:rPr>
        <w:t xml:space="preserve"> h</w:t>
      </w:r>
      <w:r w:rsidR="00717E04" w:rsidRPr="009D51EF">
        <w:rPr>
          <w:rFonts w:ascii="Times New Roman" w:hAnsi="Times New Roman" w:cs="Times New Roman"/>
        </w:rPr>
        <w:t>igher baseline myopia being</w:t>
      </w:r>
      <w:r w:rsidRPr="009D51EF">
        <w:rPr>
          <w:rFonts w:ascii="Times New Roman" w:hAnsi="Times New Roman" w:cs="Times New Roman"/>
        </w:rPr>
        <w:t xml:space="preserve"> hypothesized to progress more rapidly</w:t>
      </w:r>
      <w:r w:rsidR="00B57B79" w:rsidRPr="009D51EF">
        <w:rPr>
          <w:rFonts w:ascii="Times New Roman" w:hAnsi="Times New Roman" w:cs="Times New Roman"/>
        </w:rPr>
        <w:t xml:space="preserve"> </w:t>
      </w:r>
      <w:r w:rsidR="00B57B79" w:rsidRPr="009D51EF">
        <w:rPr>
          <w:rFonts w:ascii="Times New Roman" w:hAnsi="Times New Roman" w:cs="Times New Roman"/>
        </w:rPr>
        <w:fldChar w:fldCharType="begin" w:fldLock="1"/>
      </w:r>
      <w:r w:rsidR="001943BF" w:rsidRPr="009D51EF">
        <w:rPr>
          <w:rFonts w:ascii="Times New Roman" w:hAnsi="Times New Roman" w:cs="Times New Roman"/>
        </w:rPr>
        <w:instrText>ADDIN CSL_CITATION {"citationItems":[{"id":"ITEM-1","itemData":{"DOI":"10.1371/journal.pone.0241759","ISBN":"1111111111","author":[{"dropping-particle":"","family":"Kumar","given":"Pavan","non-dropping-particle":"","parse-names":false,"suffix":""},{"dropping-particle":"","family":"Id","given":"Verkicharla","non-dropping-particle":"","parse-names":false,"suffix":""},{"dropping-particle":"","family":"Id","given":"Priyanka Kammari","non-dropping-particle":"","parse-names":false,"suffix":""},{"dropping-particle":"","family":"Das","given":"Anthony Vipin","non-dropping-particle":"","parse-names":false,"suffix":""}],"id":"ITEM-1","issued":{"date-parts":[["2020"]]},"page":"1-9","title":"Myopia progression varies with age and severity of myopia","type":"article-journal"},"uris":["http://www.mendeley.com/documents/?uuid=f92773af-ad38-4ba2-b2c0-1c5c63648770"]}],"mendeley":{"formattedCitation":"(Kumar &lt;i&gt;et al.&lt;/i&gt;, 2020)","plainTextFormattedCitation":"(Kumar et al., 2020)","previouslyFormattedCitation":"(Kumar &lt;i&gt;et al.&lt;/i&gt;, 2020)"},"properties":{"noteIndex":0},"schema":"https://github.com/citation-style-language/schema/raw/master/csl-citation.json"}</w:instrText>
      </w:r>
      <w:r w:rsidR="00B57B79" w:rsidRPr="009D51EF">
        <w:rPr>
          <w:rFonts w:ascii="Times New Roman" w:hAnsi="Times New Roman" w:cs="Times New Roman"/>
        </w:rPr>
        <w:fldChar w:fldCharType="separate"/>
      </w:r>
      <w:r w:rsidR="00B57B79" w:rsidRPr="009D51EF">
        <w:rPr>
          <w:rFonts w:ascii="Times New Roman" w:hAnsi="Times New Roman" w:cs="Times New Roman"/>
          <w:noProof/>
        </w:rPr>
        <w:t xml:space="preserve">(Kumar </w:t>
      </w:r>
      <w:r w:rsidR="00B57B79" w:rsidRPr="009D51EF">
        <w:rPr>
          <w:rFonts w:ascii="Times New Roman" w:hAnsi="Times New Roman" w:cs="Times New Roman"/>
          <w:i/>
          <w:noProof/>
        </w:rPr>
        <w:t>et al.</w:t>
      </w:r>
      <w:r w:rsidR="00B57B79" w:rsidRPr="009D51EF">
        <w:rPr>
          <w:rFonts w:ascii="Times New Roman" w:hAnsi="Times New Roman" w:cs="Times New Roman"/>
          <w:noProof/>
        </w:rPr>
        <w:t>, 2020)</w:t>
      </w:r>
      <w:r w:rsidR="00B57B79" w:rsidRPr="009D51EF">
        <w:rPr>
          <w:rFonts w:ascii="Times New Roman" w:hAnsi="Times New Roman" w:cs="Times New Roman"/>
        </w:rPr>
        <w:fldChar w:fldCharType="end"/>
      </w:r>
      <w:r w:rsidR="00B57B79" w:rsidRPr="009D51EF">
        <w:rPr>
          <w:rFonts w:ascii="Times New Roman" w:hAnsi="Times New Roman" w:cs="Times New Roman"/>
        </w:rPr>
        <w:t>.</w:t>
      </w:r>
    </w:p>
    <w:p w14:paraId="2045B550" w14:textId="77777777" w:rsidR="00717E04" w:rsidRPr="009D51EF" w:rsidRDefault="00717E04" w:rsidP="00AF1AB5">
      <w:pPr>
        <w:rPr>
          <w:rFonts w:ascii="Times New Roman" w:hAnsi="Times New Roman" w:cs="Times New Roman"/>
        </w:rPr>
      </w:pPr>
      <w:r w:rsidRPr="009D51EF">
        <w:rPr>
          <w:rFonts w:ascii="Times New Roman" w:hAnsi="Times New Roman" w:cs="Times New Roman"/>
        </w:rPr>
        <w:t>Myopia control strategies include behavioral and optical interventions. Behavioral approaches such as increased outdoor activity, longer recess, maintaining reading distances over 30 cm, and taking breaks every 30 minutes during near work help slow progression</w:t>
      </w:r>
      <w:r w:rsidR="001943BF" w:rsidRPr="009D51EF">
        <w:rPr>
          <w:rFonts w:ascii="Times New Roman" w:hAnsi="Times New Roman" w:cs="Times New Roman"/>
        </w:rPr>
        <w:t xml:space="preserve"> </w:t>
      </w:r>
      <w:r w:rsidRPr="009D51EF">
        <w:rPr>
          <w:rFonts w:ascii="Times New Roman" w:hAnsi="Times New Roman" w:cs="Times New Roman"/>
        </w:rPr>
        <w:t xml:space="preserve"> </w:t>
      </w:r>
      <w:r w:rsidR="001943BF" w:rsidRPr="009D51EF">
        <w:rPr>
          <w:rFonts w:ascii="Times New Roman" w:hAnsi="Times New Roman" w:cs="Times New Roman"/>
        </w:rPr>
        <w:fldChar w:fldCharType="begin" w:fldLock="1"/>
      </w:r>
      <w:r w:rsidR="00B1303A" w:rsidRPr="009D51EF">
        <w:rPr>
          <w:rFonts w:ascii="Times New Roman" w:hAnsi="Times New Roman" w:cs="Times New Roman"/>
        </w:rPr>
        <w:instrText>ADDIN CSL_CITATION {"citationItems":[{"id":"ITEM-1","itemData":{"DOI":"10.1016/j.ophtha.2017.12.011","ISSN":"15494713","PMID":"29371008","abstract":"Purpose: To investigate the effectiveness of a school-based program promoting outdoor activities in Taiwan for myopia prevention and to identify protective light intensities. Design: Multi-area, cluster-randomized intervention controlled trial. Participants: A total 693 grade 1 schoolchildren in 16 schools participated. Two hundred sixty-seven schoolchildren were in the intervention group and 426 were in the control group. Methods: Initially, 24 schools were randomized into the intervention and control groups, but 5 and 3 schools in the intervention and control groups, respectively, withdrew before enrollment. A school-based Recess Outside Classroom Trial was implemented in the intervention group, in which schoolchildren were encouraged to go outdoors for up to 11 hours weekly. Data collection included eye examinations, cycloplegic refraction, noncontact axial length measurements, light meter recorders, diary logs, and questionnaires. Main Outcome Measures: Change in spherical equivalent and axial length after 1 year and the intensity and duration of outdoor light exposures. Results: The intervention group showed significantly less myopic shift and axial elongation compared with the control group (0.35 diopter [D] vs. 0.47 D; 0.28 vs. 0.33 mm; P = 0.002 and P = 0.003) and a 54% lower risk of rapid myopia progression (odds ratio, 0.46; 95% confidence interval [CI], 0.28–0.77; P = 0.003). The myopic protective effects were significant in both nonmyopic and myopic children compared with controls. Regarding spending outdoor time of at least 11 hours weekly with exposure to 1000 lux or more of light, the intervention group had significantly more participants compared with the control group (49.79% vs. 22.73%; P &lt; 0.001). Schoolchildren with longer outdoor time in school (≥200 minutes) showed significantly less myopic shift (measured by light meters; ≥1000 lux: 0.14 D; 95% CI, 0.02–0.27; P = 0.02; ≥3000 lux: 0.16 D; 95% CI, 0.002–0.32; P = 0.048). Conclusions: The school-based outdoor promotion program effectively reduced the myopia change in both nonmyopic and myopic children. Outdoor activities with strong sunlight exposure may not be necessary for myopia prevention. Relatively lower outdoor light intensity activity with longer time outdoors, such as in hallways or under trees, also can be considered.","author":[{"dropping-particle":"","family":"Wu","given":"Pei Chang","non-dropping-particle":"","parse-names":false,"suffix":""},{"dropping-particle":"","family":"Chen","given":"Chueh Tan","non-dropping-particle":"","parse-names":false,"suffix":""},{"dropping-particle":"","family":"Lin","given":"Ken Kuo","non-dropping-particle":"","parse-names":false,"suffix":""},{"dropping-particle":"","family":"Sun","given":"Chi Chin","non-dropping-particle":"","parse-names":false,"suffix":""},{"dropping-particle":"","family":"Kuo","given":"Chien Neng","non-dropping-particle":"","parse-names":false,"suffix":""},{"dropping-particle":"","family":"Huang","given":"Hsiu Mei","non-dropping-particle":"","parse-names":false,"suffix":""},{"dropping-particle":"","family":"Poon","given":"Yi Chieh","non-dropping-particle":"","parse-names":false,"suffix":""},{"dropping-particle":"","family":"Yang","given":"Meng Ling","non-dropping-particle":"","parse-names":false,"suffix":""},{"dropping-particle":"","family":"Chen","given":"Chau Yin","non-dropping-particle":"","parse-names":false,"suffix":""},{"dropping-particle":"","family":"Huang","given":"Jou Chen","non-dropping-particle":"","parse-names":false,"suffix":""},{"dropping-particle":"","family":"Wu","given":"Pei Chen","non-dropping-particle":"","parse-names":false,"suffix":""},{"dropping-particle":"","family":"Yang","given":"I. Hui","non-dropping-particle":"","parse-names":false,"suffix":""},{"dropping-particle":"","family":"Yu","given":"Hun Ju","non-dropping-particle":"","parse-names":false,"suffix":""},{"dropping-particle":"","family":"Fang","given":"Po Chiung","non-dropping-particle":"","parse-names":false,"suffix":""},{"dropping-particle":"","family":"Tsai","given":"Chia Ling","non-dropping-particle":"","parse-names":false,"suffix":""},{"dropping-particle":"","family":"Chiou","given":"Shu Ti","non-dropping-particle":"","parse-names":false,"suffix":""},{"dropping-particle":"","family":"Yang","given":"Yi Hsin","non-dropping-particle":"","parse-names":false,"suffix":""}],"container-title":"Ophthalmology","id":"ITEM-1","issue":"8","issued":{"date-parts":[["2018"]]},"page":"1239-1250","publisher":"American Academy of Ophthalmology","title":"Myopia Prevention and Outdoor Light Intensity in a School-Based Cluster Randomized Trial","type":"article-journal","volume":"125"},"uris":["http://www.mendeley.com/documents/?uuid=e57322df-dcb8-451f-a088-be01ec81cb0a"]},{"id":"ITEM-2","itemData":{"DOI":"10.1167/iovs.17-23506","ISSN":"15525783","PMID":"30933262","abstract":"PURPOSE. To assess the incidence rate of myopia, refractive change, and the effects of influencing factors on a group of highly selected senior high school students in an Aviation Cadet prerecruitment class in China. METHODS. A total of 800 nonmyopic, male, Grade 9 students aged 14- to 16-years old with cycloplegic refraction of -0.25 or greater diopters (D) to 1.75 D or less in both eyes were enrolled in May 2016. During their senior high school studies, students had one 20-minute physical training period a day, and they were encouraged to participate in outdoor activities during class recess without any time limits. The first follow-up was 8 months after enrollment when they were in Grade 10, and the second follow-up was 1 year after the first follow-up when they were in Grade 11. Comprehensive ocular examinations and a detailed questionnaire, which included questions about outdoor activity time, parental myopia, and near work, were completed at each follow-up. RESULTS. The average spherical equivalent refraction (SER) of the right eyes was 0.39 ± 0.44 D at baseline, 0.16 ± 0.41 D at the first follow-up, and -0.10 ± 0.38 D at the second follow-up. The cumulative refractive change was -0.50 D (95% confidence interval [CI], -0.53 to -0.47). The cumulative incidence rate of myopia was 15.5% (124/800). Incident myopia was significantly associated with outdoor activity for more than 1 versus less than 0.5 hr/d (odds ratio [OR] = 0.272, 95% CI, 0.132–0.560), baseline refraction (OR = 0.079, 95% CI, 0.041-0.153), maternal myopia (OR = 2.251, 95% CI, 1.160–4.368), longer class time (OR =3.215, 95% CI, 1.088–9.499), frequent, continuous, and long time reading/writing (OR = 1.620, 95% CI, 1.022–2.570), and shorter reading/writing distance (OR = 1.828, 95% CI, 1.065–3.140). In multiple linear regression model, having outdoor activity for more than 1 hr/d was protective from cumulative SER decrease. A higher baseline refraction together with longer reading/ writing time, frequent, continuous, and longtime reading/writing, and shorter reading/ writing distance were risk factors for SER decrease. CONCLUSIONS. In this cohort of highly selected, nonmyopic students, longer outdoor activity time was a protective factor for both incident myopia and refractive change of myopic shift. The risk factors for incident myopia included lower hyperopic baseline refraction, more near work, and maternal myopia. The risk factors for refractive change of myopic shift included more h…","author":[{"dropping-particle":"","family":"Yao","given":"Lu","non-dropping-particle":"","parse-names":false,"suffix":""},{"dropping-particle":"","family":"Qi","given":"Lin Song","non-dropping-particle":"","parse-names":false,"suffix":""},{"dropping-particle":"","family":"Wang","given":"Xue Feng","non-dropping-particle":"","parse-names":false,"suffix":""},{"dropping-particle":"","family":"Tian","given":"Qing","non-dropping-particle":"","parse-names":false,"suffix":""},{"dropping-particle":"","family":"Yang","given":"Qing Hong","non-dropping-particle":"","parse-names":false,"suffix":""},{"dropping-particle":"","family":"Wu","given":"Teng Yun","non-dropping-particle":"","parse-names":false,"suffix":""},{"dropping-particle":"","family":"Chang","given":"Yao Ming","non-dropping-particle":"","parse-names":false,"suffix":""},{"dropping-particle":"","family":"Zou","given":"Zhi Kang","non-dropping-particle":"","parse-names":false,"suffix":""}],"container-title":"Investigative Ophthalmology and Visual Science","id":"ITEM-2","issue":"5","issued":{"date-parts":[["2019"]]},"page":"1344-1352","title":"Refractive change and incidence of myopia among a group of highly selected senior high school students in China: A prospective study in an aviation cadet prerecruitment class","type":"article-journal","volume":"60"},"uris":["http://www.mendeley.com/documents/?uuid=14eb8987-ee46-466f-a05d-db1687706d14"]},{"id":"ITEM-3","itemData":{"DOI":"10.1167/iovs.07-0804","ISSN":"01460404","PMID":"18579757","abstract":"PURPOSE. To examine the association of time spent in near work and reading with spherical equivalent refraction (SER) in a population-based sample of 12-year-old Australian schoolchildren. METHODS. Data on the time spent in near-work or outdoor activities per week and estimates for the duration of continuous reading and reading distances, were collected in questionnaires (2353 participants, 75.3% response) in the Sydney Myopia Study between 2004 and 2005; 2339 children underwent a comprehensive eye examination, including cycloplegia. RESULTS. Longer time spent on reading for pleasure and reports of close reading distance (&lt;30 cm) were associated with a more myopic refraction after adjustment for age, sex, ethnicity, and school type (Ptrend = 0.02 and P = 0.0003, respectively). Time spent in individual near-work activities, however, correlated poorly with SER (all r ≤ 0.2) and was not significant in multivariate analyses for myopia (SER ≤ -0.50 D), with adjustment for age, sex, ethnicity, parental myopia, school type, and outdoor activity. Children of European Caucasian ethnicity reported spending marginally less time in near work than children of East Asian ethnicity (26.0 h/wk vs. 32.5 h/wk, P &lt; 0.0001). East Asian ethnicity, however, was associated with substantially greater odds of having myopia (odds ratio [OR], 11.0; 95% confidence interval [CI], 7.0 -17.4). Near work such as close reading distance (&lt;30 cm) and continuous reading (&gt;30 minutes) independently increased the odds of having myopia in this sample of children. CONCLUSIONS. Although myopia was not significantly associated with time spent in near work after adjustment for other factors, there were significant independent associations with close reading distance and continuous reading. These associations may indicate that the intensity rather than the total duration of near work is an important factor. Copyright © Association for Research in Vision and Ophthalmology.","author":[{"dropping-particle":"","family":"Ip","given":"Jenny M.","non-dropping-particle":"","parse-names":false,"suffix":""},{"dropping-particle":"","family":"Saw","given":"Seang Mei","non-dropping-particle":"","parse-names":false,"suffix":""},{"dropping-particle":"","family":"Rose","given":"Kathryn A.","non-dropping-particle":"","parse-names":false,"suffix":""},{"dropping-particle":"","family":"Morgan","given":"Ian G.","non-dropping-particle":"","parse-names":false,"suffix":""},{"dropping-particle":"","family":"Kifley","given":"Annette","non-dropping-particle":"","parse-names":false,"suffix":""},{"dropping-particle":"","family":"Wang","given":"Jie Jin","non-dropping-particle":"","parse-names":false,"suffix":""},{"dropping-particle":"","family":"Mitchell","given":"Paul","non-dropping-particle":"","parse-names":false,"suffix":""}],"container-title":"Investigative Ophthalmology and Visual Science","id":"ITEM-3","issue":"7","issued":{"date-parts":[["2008"]]},"page":"2903-2910","title":"Role of near work in myopia: Findings in a sample of Australian school children","type":"article-journal","volume":"49"},"uris":["http://www.mendeley.com/documents/?uuid=215ebc40-3b9c-4fca-bf13-a91183736cd3"]}],"mendeley":{"formattedCitation":"(Ip &lt;i&gt;et al.&lt;/i&gt;, 2008; Wu &lt;i&gt;et al.&lt;/i&gt;, 2018; Yao &lt;i&gt;et al.&lt;/i&gt;, 2019)","plainTextFormattedCitation":"(Ip et al., 2008; Wu et al., 2018; Yao et al., 2019)","previouslyFormattedCitation":"(Ip &lt;i&gt;et al.&lt;/i&gt;, 2008; Wu &lt;i&gt;et al.&lt;/i&gt;, 2018; Yao &lt;i&gt;et al.&lt;/i&gt;, 2019)"},"properties":{"noteIndex":0},"schema":"https://github.com/citation-style-language/schema/raw/master/csl-citation.json"}</w:instrText>
      </w:r>
      <w:r w:rsidR="001943BF" w:rsidRPr="009D51EF">
        <w:rPr>
          <w:rFonts w:ascii="Times New Roman" w:hAnsi="Times New Roman" w:cs="Times New Roman"/>
        </w:rPr>
        <w:fldChar w:fldCharType="separate"/>
      </w:r>
      <w:r w:rsidR="001943BF" w:rsidRPr="009D51EF">
        <w:rPr>
          <w:rFonts w:ascii="Times New Roman" w:hAnsi="Times New Roman" w:cs="Times New Roman"/>
          <w:noProof/>
        </w:rPr>
        <w:t xml:space="preserve">(Ip </w:t>
      </w:r>
      <w:r w:rsidR="001943BF" w:rsidRPr="009D51EF">
        <w:rPr>
          <w:rFonts w:ascii="Times New Roman" w:hAnsi="Times New Roman" w:cs="Times New Roman"/>
          <w:i/>
          <w:noProof/>
        </w:rPr>
        <w:t>et al.</w:t>
      </w:r>
      <w:r w:rsidR="001943BF" w:rsidRPr="009D51EF">
        <w:rPr>
          <w:rFonts w:ascii="Times New Roman" w:hAnsi="Times New Roman" w:cs="Times New Roman"/>
          <w:noProof/>
        </w:rPr>
        <w:t xml:space="preserve">, 2008; Wu </w:t>
      </w:r>
      <w:r w:rsidR="001943BF" w:rsidRPr="009D51EF">
        <w:rPr>
          <w:rFonts w:ascii="Times New Roman" w:hAnsi="Times New Roman" w:cs="Times New Roman"/>
          <w:i/>
          <w:noProof/>
        </w:rPr>
        <w:t>et al.</w:t>
      </w:r>
      <w:r w:rsidR="001943BF" w:rsidRPr="009D51EF">
        <w:rPr>
          <w:rFonts w:ascii="Times New Roman" w:hAnsi="Times New Roman" w:cs="Times New Roman"/>
          <w:noProof/>
        </w:rPr>
        <w:t xml:space="preserve">, 2018; Yao </w:t>
      </w:r>
      <w:r w:rsidR="001943BF" w:rsidRPr="009D51EF">
        <w:rPr>
          <w:rFonts w:ascii="Times New Roman" w:hAnsi="Times New Roman" w:cs="Times New Roman"/>
          <w:i/>
          <w:noProof/>
        </w:rPr>
        <w:t>et al.</w:t>
      </w:r>
      <w:r w:rsidR="001943BF" w:rsidRPr="009D51EF">
        <w:rPr>
          <w:rFonts w:ascii="Times New Roman" w:hAnsi="Times New Roman" w:cs="Times New Roman"/>
          <w:noProof/>
        </w:rPr>
        <w:t>, 2019)</w:t>
      </w:r>
      <w:r w:rsidR="001943BF" w:rsidRPr="009D51EF">
        <w:rPr>
          <w:rFonts w:ascii="Times New Roman" w:hAnsi="Times New Roman" w:cs="Times New Roman"/>
        </w:rPr>
        <w:fldChar w:fldCharType="end"/>
      </w:r>
      <w:r w:rsidRPr="009D51EF">
        <w:rPr>
          <w:rFonts w:ascii="Times New Roman" w:hAnsi="Times New Roman" w:cs="Times New Roman"/>
        </w:rPr>
        <w:t>. Optical methods like spectacles and contact lenses are commonly used. Advanced options include orthokeratology and low-dose atropine eye drops, which are effective but face challenges like side effects and adherence</w:t>
      </w:r>
      <w:r w:rsidR="00B1303A" w:rsidRPr="009D51EF">
        <w:rPr>
          <w:rFonts w:ascii="Times New Roman" w:hAnsi="Times New Roman" w:cs="Times New Roman"/>
        </w:rPr>
        <w:t xml:space="preserve"> </w:t>
      </w:r>
      <w:r w:rsidR="00B1303A" w:rsidRPr="009D51EF">
        <w:rPr>
          <w:rFonts w:ascii="Times New Roman" w:hAnsi="Times New Roman" w:cs="Times New Roman"/>
        </w:rPr>
        <w:fldChar w:fldCharType="begin" w:fldLock="1"/>
      </w:r>
      <w:r w:rsidR="00A25BB2" w:rsidRPr="009D51EF">
        <w:rPr>
          <w:rFonts w:ascii="Times New Roman" w:hAnsi="Times New Roman" w:cs="Times New Roman"/>
        </w:rPr>
        <w:instrText>ADDIN CSL_CITATION {"citationItems":[{"id":"ITEM-1","itemData":{"DOI":"10.1097/ICL.0000000000000499","ISBN":"0000000000000","author":[{"dropping-particle":"","family":"Cooper","given":"Jeffrey","non-dropping-particle":"","parse-names":false,"suffix":""},{"dropping-particle":"V","family":"Tkatchenko","given":"Andrei","non-dropping-particle":"","parse-names":false,"suffix":""}],"id":"ITEM-1","issue":"4","issued":{"date-parts":[["2018"]]},"title":"A Review of Current Concepts of the Etiology and Treatment of Myopia","type":"article-journal","volume":"44"},"uris":["http://www.mendeley.com/documents/?uuid=1cac05cb-58ca-463a-a39d-4f307d95bf74"]}],"mendeley":{"formattedCitation":"(Cooper and Tkatchenko, 2018)","plainTextFormattedCitation":"(Cooper and Tkatchenko, 2018)","previouslyFormattedCitation":"(Cooper and Tkatchenko, 2018)"},"properties":{"noteIndex":0},"schema":"https://github.com/citation-style-language/schema/raw/master/csl-citation.json"}</w:instrText>
      </w:r>
      <w:r w:rsidR="00B1303A" w:rsidRPr="009D51EF">
        <w:rPr>
          <w:rFonts w:ascii="Times New Roman" w:hAnsi="Times New Roman" w:cs="Times New Roman"/>
        </w:rPr>
        <w:fldChar w:fldCharType="separate"/>
      </w:r>
      <w:r w:rsidR="00B1303A" w:rsidRPr="009D51EF">
        <w:rPr>
          <w:rFonts w:ascii="Times New Roman" w:hAnsi="Times New Roman" w:cs="Times New Roman"/>
          <w:noProof/>
        </w:rPr>
        <w:t>(Cooper and Tkatchenko, 2018)</w:t>
      </w:r>
      <w:r w:rsidR="00B1303A" w:rsidRPr="009D51EF">
        <w:rPr>
          <w:rFonts w:ascii="Times New Roman" w:hAnsi="Times New Roman" w:cs="Times New Roman"/>
        </w:rPr>
        <w:fldChar w:fldCharType="end"/>
      </w:r>
      <w:r w:rsidR="00B1303A" w:rsidRPr="009D51EF">
        <w:rPr>
          <w:rFonts w:ascii="Times New Roman" w:hAnsi="Times New Roman" w:cs="Times New Roman"/>
        </w:rPr>
        <w:t xml:space="preserve">. </w:t>
      </w:r>
      <w:r w:rsidRPr="009D51EF">
        <w:rPr>
          <w:rFonts w:ascii="Times New Roman" w:hAnsi="Times New Roman" w:cs="Times New Roman"/>
        </w:rPr>
        <w:t>These treatments are often inaccessible in low-resource settings due to high costs and limited availability of specialized services.</w:t>
      </w:r>
    </w:p>
    <w:p w14:paraId="2D498D1D"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 xml:space="preserve">Complications associated with high or pathological myopia are severe and may include irreversible visual impairment due to glaucoma, myopic macular degeneration, and retinal detachment </w:t>
      </w:r>
      <w:r w:rsidR="00A25BB2" w:rsidRPr="009D51EF">
        <w:rPr>
          <w:rFonts w:ascii="Times New Roman" w:hAnsi="Times New Roman" w:cs="Times New Roman"/>
        </w:rPr>
        <w:fldChar w:fldCharType="begin" w:fldLock="1"/>
      </w:r>
      <w:r w:rsidR="009529E2" w:rsidRPr="009D51EF">
        <w:rPr>
          <w:rFonts w:ascii="Times New Roman" w:hAnsi="Times New Roman" w:cs="Times New Roman"/>
        </w:rPr>
        <w:instrText>ADDIN CSL_CITATION {"citationItems":[{"id":"ITEM-1","itemData":{"DOI":"10.1016/j.ajo.2013.08.010","ISSN":"0002-9394","author":[{"dropping-particle":"","family":"Wong","given":"Tien Y","non-dropping-particle":"","parse-names":false,"suffix":""},{"dropping-particle":"","family":"Ferreira","given":"Alberto","non-dropping-particle":"","parse-names":false,"suffix":""},{"dropping-particle":"","family":"Hughes","given":"Rowena","non-dropping-particle":"","parse-names":false,"suffix":""},{"dropping-particle":"","family":"Carter","given":"Gemma","non-dropping-particle":"","parse-names":false,"suffix":""},{"dropping-particle":"","family":"Mitchell","given":"Paul","non-dropping-particle":"","parse-names":false,"suffix":""}],"container-title":"American Journal of Ophthalmology","id":"ITEM-1","issue":"1","issued":{"date-parts":[["2014"]]},"page":"9-25.e12","publisher":"Elsevier Inc.","title":"Epidemiology and Disease Burden of Pathologic Myopia and Myopic Choroidal Neovascularization: An Evidence-Based Systematic Review","type":"article-journal","volume":"157"},"uris":["http://www.mendeley.com/documents/?uuid=664a19bb-31b7-41f7-af96-9cfa59671499"]}],"mendeley":{"formattedCitation":"(Wong &lt;i&gt;et al.&lt;/i&gt;, 2014)","plainTextFormattedCitation":"(Wong et al., 2014)","previouslyFormattedCitation":"(Wong &lt;i&gt;et al.&lt;/i&gt;, 2014)"},"properties":{"noteIndex":0},"schema":"https://github.com/citation-style-language/schema/raw/master/csl-citation.json"}</w:instrText>
      </w:r>
      <w:r w:rsidR="00A25BB2" w:rsidRPr="009D51EF">
        <w:rPr>
          <w:rFonts w:ascii="Times New Roman" w:hAnsi="Times New Roman" w:cs="Times New Roman"/>
        </w:rPr>
        <w:fldChar w:fldCharType="separate"/>
      </w:r>
      <w:r w:rsidR="00A25BB2" w:rsidRPr="009D51EF">
        <w:rPr>
          <w:rFonts w:ascii="Times New Roman" w:hAnsi="Times New Roman" w:cs="Times New Roman"/>
          <w:noProof/>
        </w:rPr>
        <w:t xml:space="preserve">(Wong </w:t>
      </w:r>
      <w:r w:rsidR="00A25BB2" w:rsidRPr="009D51EF">
        <w:rPr>
          <w:rFonts w:ascii="Times New Roman" w:hAnsi="Times New Roman" w:cs="Times New Roman"/>
          <w:i/>
          <w:noProof/>
        </w:rPr>
        <w:t>et al.</w:t>
      </w:r>
      <w:r w:rsidR="00A25BB2" w:rsidRPr="009D51EF">
        <w:rPr>
          <w:rFonts w:ascii="Times New Roman" w:hAnsi="Times New Roman" w:cs="Times New Roman"/>
          <w:noProof/>
        </w:rPr>
        <w:t>, 2014)</w:t>
      </w:r>
      <w:r w:rsidR="00A25BB2" w:rsidRPr="009D51EF">
        <w:rPr>
          <w:rFonts w:ascii="Times New Roman" w:hAnsi="Times New Roman" w:cs="Times New Roman"/>
        </w:rPr>
        <w:fldChar w:fldCharType="end"/>
      </w:r>
      <w:r w:rsidR="00A25BB2" w:rsidRPr="009D51EF">
        <w:rPr>
          <w:rFonts w:ascii="Times New Roman" w:hAnsi="Times New Roman" w:cs="Times New Roman"/>
        </w:rPr>
        <w:t xml:space="preserve"> .</w:t>
      </w:r>
      <w:r w:rsidR="00717E04" w:rsidRPr="009D51EF">
        <w:rPr>
          <w:rFonts w:ascii="Times New Roman" w:hAnsi="Times New Roman" w:cs="Times New Roman"/>
        </w:rPr>
        <w:t xml:space="preserve">These outcomes emphasize </w:t>
      </w:r>
      <w:r w:rsidRPr="009D51EF">
        <w:rPr>
          <w:rFonts w:ascii="Times New Roman" w:hAnsi="Times New Roman" w:cs="Times New Roman"/>
        </w:rPr>
        <w:t>the importance of early identification and management of progressive myopia, particularly in pediatric populations.</w:t>
      </w:r>
    </w:p>
    <w:p w14:paraId="79B75D36"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Despite the growing global burden of myopia, there remains a significant gap in data from Africa, particularly from Tanzania. Compared to other regions where multiple studies and meta-analyses have been conducted, Africa is underrepresented in myopia research. This lack of localized data hampers efforts to design effective prevention and control strategies tailored to the region.</w:t>
      </w:r>
    </w:p>
    <w:p w14:paraId="0A7FCBFE" w14:textId="77777777" w:rsidR="00D2431F" w:rsidRPr="009D51EF" w:rsidRDefault="00AF1AB5" w:rsidP="00AF1AB5">
      <w:pPr>
        <w:rPr>
          <w:rFonts w:ascii="Times New Roman" w:hAnsi="Times New Roman" w:cs="Times New Roman"/>
        </w:rPr>
      </w:pPr>
      <w:r w:rsidRPr="009D51EF">
        <w:rPr>
          <w:rFonts w:ascii="Times New Roman" w:hAnsi="Times New Roman" w:cs="Times New Roman"/>
        </w:rPr>
        <w:t>To address this gap, the present study was conducted at the Eye Clinic of Kilimanjaro Christian Medical Centre (KCMC) in Nort</w:t>
      </w:r>
      <w:r w:rsidR="00717E04" w:rsidRPr="009D51EF">
        <w:rPr>
          <w:rFonts w:ascii="Times New Roman" w:hAnsi="Times New Roman" w:cs="Times New Roman"/>
        </w:rPr>
        <w:t xml:space="preserve">hern Tanzania </w:t>
      </w:r>
      <w:r w:rsidRPr="009D51EF">
        <w:rPr>
          <w:rFonts w:ascii="Times New Roman" w:hAnsi="Times New Roman" w:cs="Times New Roman"/>
        </w:rPr>
        <w:t>to assess the rate of myopia progression and identify associated risk factors among the pediatric myopic population. The findings aim to enhance understanding and inform targeted interventions for myopia management in Tanzania and similar low-resource settings</w:t>
      </w:r>
      <w:r w:rsidR="009020B6">
        <w:rPr>
          <w:rFonts w:ascii="Times New Roman" w:hAnsi="Times New Roman" w:cs="Times New Roman"/>
        </w:rPr>
        <w:t>.</w:t>
      </w:r>
    </w:p>
    <w:p w14:paraId="63C18DFD" w14:textId="77777777" w:rsidR="000E3F48" w:rsidRDefault="000E3F48" w:rsidP="00AF1AB5">
      <w:pPr>
        <w:rPr>
          <w:rFonts w:ascii="Times New Roman" w:hAnsi="Times New Roman" w:cs="Times New Roman"/>
        </w:rPr>
      </w:pPr>
    </w:p>
    <w:p w14:paraId="0EB11BDC" w14:textId="77777777" w:rsidR="008E1425" w:rsidRDefault="008E1425" w:rsidP="00AF1AB5">
      <w:pPr>
        <w:rPr>
          <w:rFonts w:ascii="Times New Roman" w:hAnsi="Times New Roman" w:cs="Times New Roman"/>
        </w:rPr>
      </w:pPr>
    </w:p>
    <w:p w14:paraId="3B869154" w14:textId="77777777" w:rsidR="008E1425" w:rsidRPr="00570AA4" w:rsidRDefault="008E1425" w:rsidP="00AF1AB5">
      <w:pPr>
        <w:rPr>
          <w:rFonts w:ascii="Times New Roman" w:hAnsi="Times New Roman" w:cs="Times New Roman"/>
        </w:rPr>
      </w:pPr>
    </w:p>
    <w:p w14:paraId="1370FE07" w14:textId="77777777" w:rsidR="009A0C05" w:rsidRPr="00570AA4" w:rsidRDefault="005647FC" w:rsidP="009A0C05">
      <w:pPr>
        <w:pStyle w:val="NormalWeb"/>
        <w:rPr>
          <w:rStyle w:val="Strong"/>
          <w:sz w:val="22"/>
          <w:szCs w:val="22"/>
        </w:rPr>
      </w:pPr>
      <w:r w:rsidRPr="00570AA4">
        <w:rPr>
          <w:rStyle w:val="Strong"/>
          <w:sz w:val="22"/>
          <w:szCs w:val="22"/>
        </w:rPr>
        <w:lastRenderedPageBreak/>
        <w:t>METHODOLOGY</w:t>
      </w:r>
    </w:p>
    <w:p w14:paraId="70CE0138" w14:textId="088A8D13" w:rsidR="005647FC" w:rsidRPr="00570AA4" w:rsidRDefault="005647FC" w:rsidP="004E0FD7">
      <w:pPr>
        <w:pStyle w:val="NormalWeb"/>
        <w:tabs>
          <w:tab w:val="left" w:pos="7440"/>
        </w:tabs>
        <w:rPr>
          <w:b/>
          <w:sz w:val="22"/>
          <w:szCs w:val="22"/>
        </w:rPr>
      </w:pPr>
      <w:r w:rsidRPr="00570AA4">
        <w:rPr>
          <w:b/>
          <w:sz w:val="22"/>
          <w:szCs w:val="22"/>
        </w:rPr>
        <w:t>Study Design and Setting</w:t>
      </w:r>
      <w:r w:rsidR="004E0FD7">
        <w:rPr>
          <w:b/>
          <w:sz w:val="22"/>
          <w:szCs w:val="22"/>
        </w:rPr>
        <w:tab/>
      </w:r>
    </w:p>
    <w:p w14:paraId="2A11C7C4" w14:textId="77777777" w:rsidR="005647FC" w:rsidRPr="00570AA4" w:rsidRDefault="005647FC" w:rsidP="005647FC">
      <w:pPr>
        <w:pStyle w:val="NormalWeb"/>
        <w:rPr>
          <w:b/>
          <w:sz w:val="22"/>
          <w:szCs w:val="22"/>
        </w:rPr>
      </w:pPr>
      <w:r w:rsidRPr="00570AA4">
        <w:rPr>
          <w:sz w:val="22"/>
          <w:szCs w:val="22"/>
        </w:rPr>
        <w:t>This analytical hos</w:t>
      </w:r>
      <w:r w:rsidR="00C655AB">
        <w:rPr>
          <w:sz w:val="22"/>
          <w:szCs w:val="22"/>
        </w:rPr>
        <w:t>pital-based cross sectional study</w:t>
      </w:r>
      <w:r w:rsidRPr="00570AA4">
        <w:rPr>
          <w:sz w:val="22"/>
          <w:szCs w:val="22"/>
        </w:rPr>
        <w:t xml:space="preserve">, was conducted at the </w:t>
      </w:r>
      <w:proofErr w:type="spellStart"/>
      <w:r w:rsidRPr="00570AA4">
        <w:rPr>
          <w:sz w:val="22"/>
          <w:szCs w:val="22"/>
        </w:rPr>
        <w:t>Pediatric</w:t>
      </w:r>
      <w:proofErr w:type="spellEnd"/>
      <w:r w:rsidRPr="00570AA4">
        <w:rPr>
          <w:sz w:val="22"/>
          <w:szCs w:val="22"/>
        </w:rPr>
        <w:t xml:space="preserve"> Eye Clinic of Kilimanjaro Christian Medical Centre (KCMC) in Moshi, Tanzania, from January 2022 to April 2024. KCMC is one of four zonal referral hospitals in northeastern Tanzania, serving a population of over 15 million across the northern, eastern, and central regions, in addition to international patients. The hospital houses more than 450 beds and handles hundreds of outpatient visits daily. The Eye Department, which serves as the primary ophthalmic referral </w:t>
      </w:r>
      <w:proofErr w:type="spellStart"/>
      <w:r w:rsidRPr="00570AA4">
        <w:rPr>
          <w:sz w:val="22"/>
          <w:szCs w:val="22"/>
        </w:rPr>
        <w:t>center</w:t>
      </w:r>
      <w:proofErr w:type="spellEnd"/>
      <w:r w:rsidRPr="00570AA4">
        <w:rPr>
          <w:sz w:val="22"/>
          <w:szCs w:val="22"/>
        </w:rPr>
        <w:t xml:space="preserve"> in the region, attends to approxi</w:t>
      </w:r>
      <w:r w:rsidR="008D3A5F" w:rsidRPr="00570AA4">
        <w:rPr>
          <w:sz w:val="22"/>
          <w:szCs w:val="22"/>
        </w:rPr>
        <w:t xml:space="preserve">mately 38,000 patients annually </w:t>
      </w:r>
      <w:r w:rsidRPr="00570AA4">
        <w:rPr>
          <w:sz w:val="22"/>
          <w:szCs w:val="22"/>
        </w:rPr>
        <w:t>including around</w:t>
      </w:r>
      <w:r w:rsidR="008D3A5F" w:rsidRPr="00570AA4">
        <w:rPr>
          <w:sz w:val="22"/>
          <w:szCs w:val="22"/>
        </w:rPr>
        <w:t xml:space="preserve"> 3,000 refractive error cases </w:t>
      </w:r>
      <w:r w:rsidRPr="00570AA4">
        <w:rPr>
          <w:sz w:val="22"/>
          <w:szCs w:val="22"/>
        </w:rPr>
        <w:t xml:space="preserve">and accommodates 49 inpatient beds. It also functions as a key training </w:t>
      </w:r>
      <w:proofErr w:type="spellStart"/>
      <w:r w:rsidRPr="00570AA4">
        <w:rPr>
          <w:sz w:val="22"/>
          <w:szCs w:val="22"/>
        </w:rPr>
        <w:t>center</w:t>
      </w:r>
      <w:proofErr w:type="spellEnd"/>
      <w:r w:rsidRPr="00570AA4">
        <w:rPr>
          <w:sz w:val="22"/>
          <w:szCs w:val="22"/>
        </w:rPr>
        <w:t xml:space="preserve"> for ophthalmologists, </w:t>
      </w:r>
      <w:proofErr w:type="spellStart"/>
      <w:r w:rsidRPr="00570AA4">
        <w:rPr>
          <w:sz w:val="22"/>
          <w:szCs w:val="22"/>
        </w:rPr>
        <w:t>pediatric</w:t>
      </w:r>
      <w:proofErr w:type="spellEnd"/>
      <w:r w:rsidRPr="00570AA4">
        <w:rPr>
          <w:sz w:val="22"/>
          <w:szCs w:val="22"/>
        </w:rPr>
        <w:t xml:space="preserve"> ophthalmologists, vitreoretinal surgeons, optometrists, ophthalmic nurses, assistants, and medical students.</w:t>
      </w:r>
    </w:p>
    <w:p w14:paraId="07297EF3" w14:textId="77777777" w:rsidR="005647FC" w:rsidRPr="00570AA4" w:rsidRDefault="005647FC" w:rsidP="005647FC">
      <w:pPr>
        <w:pStyle w:val="NormalWeb"/>
        <w:rPr>
          <w:b/>
          <w:sz w:val="22"/>
          <w:szCs w:val="22"/>
        </w:rPr>
      </w:pPr>
      <w:r w:rsidRPr="00570AA4">
        <w:rPr>
          <w:b/>
          <w:sz w:val="22"/>
          <w:szCs w:val="22"/>
        </w:rPr>
        <w:t>Study Population and Eligibility Criteria</w:t>
      </w:r>
    </w:p>
    <w:p w14:paraId="5DF7F476" w14:textId="77777777" w:rsidR="005647FC" w:rsidRPr="00570AA4" w:rsidRDefault="005647FC" w:rsidP="005647FC">
      <w:pPr>
        <w:pStyle w:val="NormalWeb"/>
        <w:rPr>
          <w:sz w:val="22"/>
          <w:szCs w:val="22"/>
        </w:rPr>
      </w:pPr>
      <w:r w:rsidRPr="00570AA4">
        <w:rPr>
          <w:sz w:val="22"/>
          <w:szCs w:val="22"/>
        </w:rPr>
        <w:t xml:space="preserve">The study included </w:t>
      </w:r>
      <w:proofErr w:type="spellStart"/>
      <w:r w:rsidRPr="00570AA4">
        <w:rPr>
          <w:sz w:val="22"/>
          <w:szCs w:val="22"/>
        </w:rPr>
        <w:t>pediatric</w:t>
      </w:r>
      <w:proofErr w:type="spellEnd"/>
      <w:r w:rsidRPr="00570AA4">
        <w:rPr>
          <w:sz w:val="22"/>
          <w:szCs w:val="22"/>
        </w:rPr>
        <w:t xml:space="preserve"> patients aged 4 to 18 years who were diagnosed with myopia and attended the KCMC Eye Clinic during the study period. The lower age limit of 4 years was selected due to the low prevalence of myopia in younger children, as well as practical challenges in obtaining accurate refractive measurements and assessing associated risk factors. While KCMC typically classifies </w:t>
      </w:r>
      <w:proofErr w:type="spellStart"/>
      <w:r w:rsidRPr="00570AA4">
        <w:rPr>
          <w:sz w:val="22"/>
          <w:szCs w:val="22"/>
        </w:rPr>
        <w:t>pediatric</w:t>
      </w:r>
      <w:proofErr w:type="spellEnd"/>
      <w:r w:rsidRPr="00570AA4">
        <w:rPr>
          <w:sz w:val="22"/>
          <w:szCs w:val="22"/>
        </w:rPr>
        <w:t xml:space="preserve"> patients as those aged 15 years and younger, the upper limit of 18 years was used to align with the World Health Organization (WHO) definition of a child.</w:t>
      </w:r>
    </w:p>
    <w:p w14:paraId="0C6A37F3" w14:textId="77777777" w:rsidR="005647FC" w:rsidRPr="00A40C18" w:rsidRDefault="005647FC" w:rsidP="005647FC">
      <w:pPr>
        <w:pStyle w:val="NormalWeb"/>
        <w:rPr>
          <w:sz w:val="22"/>
          <w:szCs w:val="22"/>
        </w:rPr>
      </w:pPr>
      <w:r w:rsidRPr="00A40C18">
        <w:rPr>
          <w:sz w:val="22"/>
          <w:szCs w:val="22"/>
        </w:rPr>
        <w:t xml:space="preserve">Eligible participants were those who had a documented spherical equivalent (SE) refractive error of at least -0.50 </w:t>
      </w:r>
      <w:proofErr w:type="spellStart"/>
      <w:r w:rsidRPr="00A40C18">
        <w:rPr>
          <w:sz w:val="22"/>
          <w:szCs w:val="22"/>
        </w:rPr>
        <w:t>diopters</w:t>
      </w:r>
      <w:proofErr w:type="spellEnd"/>
      <w:r w:rsidR="00D7372B" w:rsidRPr="00A40C18">
        <w:rPr>
          <w:sz w:val="22"/>
          <w:szCs w:val="22"/>
        </w:rPr>
        <w:t xml:space="preserve"> </w:t>
      </w:r>
      <w:r w:rsidR="00D7372B" w:rsidRPr="00A40C18">
        <w:rPr>
          <w:sz w:val="22"/>
          <w:szCs w:val="22"/>
        </w:rPr>
        <w:fldChar w:fldCharType="begin" w:fldLock="1"/>
      </w:r>
      <w:r w:rsidR="006C2C79">
        <w:rPr>
          <w:sz w:val="22"/>
          <w:szCs w:val="22"/>
        </w:rPr>
        <w:instrText>ADDIN CSL_CITATION {"citationItems":[{"id":"ITEM-1","itemData":{"DOI":"10.1167/iovs.18-25957","ISSN":"15525783","PMID":"30817826","abstract":"PURPOSE. We provide a standardized set of terminology, definitions, and thresholds of myopia and its main ocular complications. METHODS. Critical review of current terminology and choice of myopia thresholds was done to ensure that the proposed standards are appropriate for clinical research purposes, relevant to the underlying biology of myopia, acceptable to researchers in the field, and useful for developing health policy. RESULTS. We recommend that the many descriptive terms of myopia be consolidated into the following descriptive categories: myopia, secondary myopia, axial myopia, and refractive myopia. To provide a framework for research into myopia prevention, the condition of ‘‘pre-myopia’’ is defined. As a quantitative trait, we recommend that myopia be divided into myopia (i.e., all myopia), low myopia, and high myopia. The current consensus threshold value for myopia is a spherical equivalent refractive error 0.50 diopters (D), but this carries significant risks of classification bias. The current consensus threshold value for high myopia is a spherical equivalent refractive error 6.00 D. ‘‘Pathologic myopia’’ is proposed as the categorical term for the adverse, structural complications of myopia. A clinical classification is proposed to encompass the scope of such structural complications. CONCLUSIONS. Standardized definitions and consistent choice of thresholds are essential elements of evidence-based medicine. It is hoped that these proposals, or derivations from them, will facilitate rigorous, evidence-based approaches to the study and management of myopia.","author":[{"dropping-particle":"","family":"Flitcroft","given":"Daniel Ian","non-dropping-particle":"","parse-names":false,"suffix":""},{"dropping-particle":"","family":"He","given":"Mingguang","non-dropping-particle":"","parse-names":false,"suffix":""},{"dropping-particle":"","family":"Jonas","given":"Jost B.","non-dropping-particle":"","parse-names":false,"suffix":""},{"dropping-particle":"","family":"Jong","given":"Monica","non-dropping-particle":"","parse-names":false,"suffix":""},{"dropping-particle":"","family":"Naidoo","given":"Kovin","non-dropping-particle":"","parse-names":false,"suffix":""},{"dropping-particle":"","family":"Ohno-Matsui","given":"Kyoko","non-dropping-particle":"","parse-names":false,"suffix":""},{"dropping-particle":"","family":"Rahi","given":"Jugnoo","non-dropping-particle":"","parse-names":false,"suffix":""},{"dropping-particle":"","family":"Resnikoff","given":"Serge","non-dropping-particle":"","parse-names":false,"suffix":""},{"dropping-particle":"","family":"Vitale","given":"Susan","non-dropping-particle":"","parse-names":false,"suffix":""},{"dropping-particle":"","family":"Yannuzzi","given":"Lawrence","non-dropping-particle":"","parse-names":false,"suffix":""}],"container-title":"Investigative Ophthalmology and Visual Science","id":"ITEM-1","issue":"3","issued":{"date-parts":[["2019"]]},"page":"M20-M30","title":"IMI – Defining and classifying myopia: A proposed set of standards for clinical and epidemiologic studies","type":"article-journal","volume":"60"},"uris":["http://www.mendeley.com/documents/?uuid=ced7f2f3-3239-48d8-a952-64ee4056c207"]}],"mendeley":{"formattedCitation":"(Flitcroft &lt;i&gt;et al.&lt;/i&gt;, 2019)","plainTextFormattedCitation":"(Flitcroft et al., 2019)","previouslyFormattedCitation":"(Flitcroft &lt;i&gt;et al.&lt;/i&gt;, 2019)"},"properties":{"noteIndex":0},"schema":"https://github.com/citation-style-language/schema/raw/master/csl-citation.json"}</w:instrText>
      </w:r>
      <w:r w:rsidR="00D7372B" w:rsidRPr="00A40C18">
        <w:rPr>
          <w:sz w:val="22"/>
          <w:szCs w:val="22"/>
        </w:rPr>
        <w:fldChar w:fldCharType="separate"/>
      </w:r>
      <w:r w:rsidR="00D7372B" w:rsidRPr="00A40C18">
        <w:rPr>
          <w:noProof/>
          <w:sz w:val="22"/>
          <w:szCs w:val="22"/>
        </w:rPr>
        <w:t xml:space="preserve">(Flitcroft </w:t>
      </w:r>
      <w:r w:rsidR="00D7372B" w:rsidRPr="00A40C18">
        <w:rPr>
          <w:i/>
          <w:noProof/>
          <w:sz w:val="22"/>
          <w:szCs w:val="22"/>
        </w:rPr>
        <w:t>et al.</w:t>
      </w:r>
      <w:r w:rsidR="00D7372B" w:rsidRPr="00A40C18">
        <w:rPr>
          <w:noProof/>
          <w:sz w:val="22"/>
          <w:szCs w:val="22"/>
        </w:rPr>
        <w:t>, 2019)</w:t>
      </w:r>
      <w:r w:rsidR="00D7372B" w:rsidRPr="00A40C18">
        <w:rPr>
          <w:sz w:val="22"/>
          <w:szCs w:val="22"/>
        </w:rPr>
        <w:fldChar w:fldCharType="end"/>
      </w:r>
      <w:r w:rsidRPr="00A40C18">
        <w:rPr>
          <w:sz w:val="22"/>
          <w:szCs w:val="22"/>
        </w:rPr>
        <w:t xml:space="preserve"> in the least myopic eye at their initial visit during t</w:t>
      </w:r>
      <w:r w:rsidR="00E0555F" w:rsidRPr="00A40C18">
        <w:rPr>
          <w:sz w:val="22"/>
          <w:szCs w:val="22"/>
        </w:rPr>
        <w:t xml:space="preserve">he study period. </w:t>
      </w:r>
      <w:r w:rsidR="00C6768B">
        <w:rPr>
          <w:sz w:val="22"/>
          <w:szCs w:val="22"/>
        </w:rPr>
        <w:t xml:space="preserve">To be included in the </w:t>
      </w:r>
      <w:r w:rsidRPr="00A40C18">
        <w:rPr>
          <w:sz w:val="22"/>
          <w:szCs w:val="22"/>
        </w:rPr>
        <w:t>analysis, participants were also required to have undergone a sec</w:t>
      </w:r>
      <w:r w:rsidR="00C655AB">
        <w:rPr>
          <w:sz w:val="22"/>
          <w:szCs w:val="22"/>
        </w:rPr>
        <w:t>ond refraction between 11 and 13</w:t>
      </w:r>
      <w:r w:rsidRPr="00A40C18">
        <w:rPr>
          <w:sz w:val="22"/>
          <w:szCs w:val="22"/>
        </w:rPr>
        <w:t xml:space="preserve"> months after the initial assessment, with both visits falling within the study period. </w:t>
      </w:r>
      <w:r w:rsidR="00A40C18" w:rsidRPr="00A40C18">
        <w:rPr>
          <w:sz w:val="22"/>
          <w:szCs w:val="22"/>
        </w:rPr>
        <w:t xml:space="preserve">Only the least myopic eye was </w:t>
      </w:r>
      <w:proofErr w:type="spellStart"/>
      <w:r w:rsidR="00A40C18" w:rsidRPr="00A40C18">
        <w:rPr>
          <w:sz w:val="22"/>
          <w:szCs w:val="22"/>
        </w:rPr>
        <w:t>analyzed</w:t>
      </w:r>
      <w:proofErr w:type="spellEnd"/>
      <w:r w:rsidR="00A40C18" w:rsidRPr="00A40C18">
        <w:rPr>
          <w:sz w:val="22"/>
          <w:szCs w:val="22"/>
        </w:rPr>
        <w:t xml:space="preserve"> to minimize the risk of overestimating the severity and progression of myopia, as well as to avoid anisometropic bias. </w:t>
      </w:r>
      <w:r w:rsidRPr="00A40C18">
        <w:rPr>
          <w:sz w:val="22"/>
          <w:szCs w:val="22"/>
        </w:rPr>
        <w:t>Written informed consent (or assent, where applicable) was obtained from all participants or their guardians. Patients were excluded if they had ocular anomalies such as cataract or keratoconus, or a history of ocular surgery, including cataract extraction, corneal procedures, or refractive surgery.</w:t>
      </w:r>
    </w:p>
    <w:p w14:paraId="61F11A06" w14:textId="77777777" w:rsidR="009020B6" w:rsidRDefault="009020B6" w:rsidP="005647FC">
      <w:pPr>
        <w:pStyle w:val="NormalWeb"/>
        <w:rPr>
          <w:b/>
          <w:sz w:val="22"/>
          <w:szCs w:val="22"/>
        </w:rPr>
      </w:pPr>
    </w:p>
    <w:p w14:paraId="79805395" w14:textId="77777777" w:rsidR="00C655AB" w:rsidRDefault="005647FC" w:rsidP="005647FC">
      <w:pPr>
        <w:pStyle w:val="NormalWeb"/>
        <w:rPr>
          <w:b/>
          <w:sz w:val="22"/>
          <w:szCs w:val="22"/>
        </w:rPr>
      </w:pPr>
      <w:r w:rsidRPr="00570AA4">
        <w:rPr>
          <w:b/>
          <w:sz w:val="22"/>
          <w:szCs w:val="22"/>
        </w:rPr>
        <w:t>Data Collection Methods</w:t>
      </w:r>
    </w:p>
    <w:p w14:paraId="4B13818D" w14:textId="77777777" w:rsidR="005647FC" w:rsidRPr="00C655AB" w:rsidRDefault="005647FC" w:rsidP="005647FC">
      <w:pPr>
        <w:pStyle w:val="NormalWeb"/>
        <w:rPr>
          <w:b/>
          <w:sz w:val="22"/>
          <w:szCs w:val="22"/>
        </w:rPr>
      </w:pPr>
      <w:r w:rsidRPr="00570AA4">
        <w:rPr>
          <w:sz w:val="22"/>
          <w:szCs w:val="22"/>
        </w:rPr>
        <w:t>Data were extracted from the hospital’s Electronic Health Management System (EHMS) based on the inclusion criteria. Baseline SE values and degree of myopia were recorded and categorized as low (-0.50D to -3.00D), moderate (-3.25D to -4.75D), or high (-5.00D and above). A</w:t>
      </w:r>
      <w:r w:rsidR="008D3A5F" w:rsidRPr="00570AA4">
        <w:rPr>
          <w:sz w:val="22"/>
          <w:szCs w:val="22"/>
        </w:rPr>
        <w:t xml:space="preserve">dditional sociodemographic data </w:t>
      </w:r>
      <w:r w:rsidRPr="00570AA4">
        <w:rPr>
          <w:sz w:val="22"/>
          <w:szCs w:val="22"/>
        </w:rPr>
        <w:t>such as age, sex, residence, a</w:t>
      </w:r>
      <w:r w:rsidR="008D3A5F" w:rsidRPr="00570AA4">
        <w:rPr>
          <w:sz w:val="22"/>
          <w:szCs w:val="22"/>
        </w:rPr>
        <w:t xml:space="preserve">nd parental contact information </w:t>
      </w:r>
      <w:r w:rsidRPr="00570AA4">
        <w:rPr>
          <w:sz w:val="22"/>
          <w:szCs w:val="22"/>
        </w:rPr>
        <w:t>were also documented.</w:t>
      </w:r>
    </w:p>
    <w:p w14:paraId="465DD2F7" w14:textId="6CABBB5A" w:rsidR="005647FC" w:rsidRPr="00570AA4" w:rsidRDefault="00C655AB" w:rsidP="005647FC">
      <w:pPr>
        <w:pStyle w:val="NormalWeb"/>
        <w:rPr>
          <w:sz w:val="22"/>
          <w:szCs w:val="22"/>
        </w:rPr>
      </w:pPr>
      <w:r>
        <w:rPr>
          <w:sz w:val="22"/>
          <w:szCs w:val="22"/>
        </w:rPr>
        <w:t xml:space="preserve">This study </w:t>
      </w:r>
      <w:r w:rsidR="005647FC" w:rsidRPr="00570AA4">
        <w:rPr>
          <w:sz w:val="22"/>
          <w:szCs w:val="22"/>
        </w:rPr>
        <w:t xml:space="preserve">involved clinical </w:t>
      </w:r>
      <w:r w:rsidR="004B341E">
        <w:rPr>
          <w:sz w:val="22"/>
          <w:szCs w:val="22"/>
        </w:rPr>
        <w:t>ref</w:t>
      </w:r>
      <w:r w:rsidR="004E0FD7">
        <w:rPr>
          <w:sz w:val="22"/>
          <w:szCs w:val="22"/>
        </w:rPr>
        <w:t xml:space="preserve">ractive assessments and </w:t>
      </w:r>
      <w:r w:rsidR="004E0FD7" w:rsidRPr="004E0FD7">
        <w:rPr>
          <w:sz w:val="22"/>
          <w:szCs w:val="22"/>
        </w:rPr>
        <w:t>face-to-face</w:t>
      </w:r>
      <w:r w:rsidR="005647FC" w:rsidRPr="00570AA4">
        <w:rPr>
          <w:sz w:val="22"/>
          <w:szCs w:val="22"/>
        </w:rPr>
        <w:t xml:space="preserve"> interviews with participants and/or their parents or caregivers. Appointments were scheduled via telephone, and all assessments were conducted in private to maintain confidentiality.</w:t>
      </w:r>
    </w:p>
    <w:p w14:paraId="18733848" w14:textId="77777777" w:rsidR="005647FC" w:rsidRPr="00570AA4" w:rsidRDefault="005647FC" w:rsidP="005647FC">
      <w:pPr>
        <w:pStyle w:val="NormalWeb"/>
        <w:rPr>
          <w:b/>
          <w:sz w:val="22"/>
          <w:szCs w:val="22"/>
        </w:rPr>
      </w:pPr>
      <w:r w:rsidRPr="00570AA4">
        <w:rPr>
          <w:b/>
          <w:sz w:val="22"/>
          <w:szCs w:val="22"/>
        </w:rPr>
        <w:t>Refractive Assessment</w:t>
      </w:r>
    </w:p>
    <w:p w14:paraId="1742E0E0" w14:textId="77777777" w:rsidR="005647FC" w:rsidRPr="00570AA4" w:rsidRDefault="005647FC" w:rsidP="005647FC">
      <w:pPr>
        <w:pStyle w:val="NormalWeb"/>
        <w:rPr>
          <w:sz w:val="22"/>
          <w:szCs w:val="22"/>
        </w:rPr>
      </w:pPr>
      <w:r w:rsidRPr="00570AA4">
        <w:rPr>
          <w:sz w:val="22"/>
          <w:szCs w:val="22"/>
        </w:rPr>
        <w:t xml:space="preserve">For children under 6 years of age, and for older children who were uncooperative during standard testing, cycloplegic refraction was performed by an </w:t>
      </w:r>
      <w:r w:rsidR="009935A0">
        <w:rPr>
          <w:sz w:val="22"/>
          <w:szCs w:val="22"/>
        </w:rPr>
        <w:t xml:space="preserve">experienced </w:t>
      </w:r>
      <w:r w:rsidRPr="00570AA4">
        <w:rPr>
          <w:sz w:val="22"/>
          <w:szCs w:val="22"/>
        </w:rPr>
        <w:t xml:space="preserve">optometrist using two drops of 1% cyclopentolate administered five minutes apart. Refraction was assessed 30 minutes after the final </w:t>
      </w:r>
      <w:r w:rsidRPr="00570AA4">
        <w:rPr>
          <w:sz w:val="22"/>
          <w:szCs w:val="22"/>
        </w:rPr>
        <w:lastRenderedPageBreak/>
        <w:t>instillation. If pupillary light respo</w:t>
      </w:r>
      <w:r w:rsidR="00BB0194">
        <w:rPr>
          <w:sz w:val="22"/>
          <w:szCs w:val="22"/>
        </w:rPr>
        <w:t xml:space="preserve">nse persisted, an additional 20 </w:t>
      </w:r>
      <w:r w:rsidRPr="00570AA4">
        <w:rPr>
          <w:sz w:val="22"/>
          <w:szCs w:val="22"/>
        </w:rPr>
        <w:t>minute wait was observed be</w:t>
      </w:r>
      <w:r w:rsidR="00E00C8B">
        <w:rPr>
          <w:sz w:val="22"/>
          <w:szCs w:val="22"/>
        </w:rPr>
        <w:t xml:space="preserve">fore conducting cycloplegic </w:t>
      </w:r>
      <w:r w:rsidRPr="00570AA4">
        <w:rPr>
          <w:sz w:val="22"/>
          <w:szCs w:val="22"/>
        </w:rPr>
        <w:t>refraction</w:t>
      </w:r>
      <w:r w:rsidR="00E00C8B">
        <w:rPr>
          <w:sz w:val="22"/>
          <w:szCs w:val="22"/>
        </w:rPr>
        <w:t xml:space="preserve"> with a retinoscope</w:t>
      </w:r>
      <w:r w:rsidRPr="00570AA4">
        <w:rPr>
          <w:sz w:val="22"/>
          <w:szCs w:val="22"/>
        </w:rPr>
        <w:t>. For cooperative participants aged 6 years and above, standard (non-cycloplegic) refraction was performed. Objective refraction results from the least myopic eye were recorded. Myopia progression was defined as an increase in SE between the baseline and follow-up visits.</w:t>
      </w:r>
    </w:p>
    <w:p w14:paraId="7BB9A61F" w14:textId="77777777" w:rsidR="003579F8" w:rsidRDefault="005647FC" w:rsidP="003579F8">
      <w:pPr>
        <w:pStyle w:val="NormalWeb"/>
        <w:rPr>
          <w:b/>
          <w:sz w:val="22"/>
          <w:szCs w:val="22"/>
        </w:rPr>
      </w:pPr>
      <w:r w:rsidRPr="00570AA4">
        <w:rPr>
          <w:b/>
          <w:sz w:val="22"/>
          <w:szCs w:val="22"/>
        </w:rPr>
        <w:t>Interviews</w:t>
      </w:r>
    </w:p>
    <w:p w14:paraId="1C26EEAC" w14:textId="2890419C" w:rsidR="005647FC" w:rsidRPr="00D70080" w:rsidRDefault="004E0FD7" w:rsidP="003579F8">
      <w:pPr>
        <w:pStyle w:val="NormalWeb"/>
        <w:rPr>
          <w:b/>
          <w:sz w:val="22"/>
          <w:szCs w:val="22"/>
        </w:rPr>
      </w:pPr>
      <w:r>
        <w:rPr>
          <w:sz w:val="22"/>
          <w:szCs w:val="22"/>
        </w:rPr>
        <w:t xml:space="preserve">Structured </w:t>
      </w:r>
      <w:r w:rsidRPr="004E0FD7">
        <w:rPr>
          <w:sz w:val="22"/>
          <w:szCs w:val="22"/>
        </w:rPr>
        <w:t>face-to-face</w:t>
      </w:r>
      <w:r w:rsidR="00D8683F" w:rsidRPr="00D8683F">
        <w:rPr>
          <w:sz w:val="22"/>
          <w:szCs w:val="22"/>
        </w:rPr>
        <w:t xml:space="preserve"> interviews lasting 10 to 15 minutes were conducted with participants and their parents or caregivers. Written and verbal informed consent (and assent, where appropriate) was obtained prior to participation. Data were collected using a structured, i</w:t>
      </w:r>
      <w:r w:rsidR="00881150">
        <w:rPr>
          <w:sz w:val="22"/>
          <w:szCs w:val="22"/>
        </w:rPr>
        <w:t xml:space="preserve">nterviewer </w:t>
      </w:r>
      <w:r w:rsidR="00D8683F" w:rsidRPr="00D8683F">
        <w:rPr>
          <w:sz w:val="22"/>
          <w:szCs w:val="22"/>
        </w:rPr>
        <w:t>administered questionnaire adapted from existing literature</w:t>
      </w:r>
      <w:r w:rsidR="00881150">
        <w:rPr>
          <w:sz w:val="22"/>
          <w:szCs w:val="22"/>
        </w:rPr>
        <w:t xml:space="preserve"> </w:t>
      </w:r>
      <w:r w:rsidR="00881150">
        <w:rPr>
          <w:sz w:val="22"/>
          <w:szCs w:val="22"/>
        </w:rPr>
        <w:fldChar w:fldCharType="begin" w:fldLock="1"/>
      </w:r>
      <w:r w:rsidR="00C1691C">
        <w:rPr>
          <w:sz w:val="22"/>
          <w:szCs w:val="22"/>
        </w:rPr>
        <w:instrText>ADDIN CSL_CITATION {"citationItems":[{"id":"ITEM-1","itemData":{"DOI":"10.1371/journal.pone.0248936","ISBN":"1111111111","author":[{"dropping-particle":"","family":"Sinshaw","given":"Abel","non-dropping-particle":"","parse-names":false,"suffix":""},{"dropping-particle":"","family":"Id","given":"Assem","non-dropping-particle":"","parse-names":false,"suffix":""},{"dropping-particle":"","family":"Tegegne","given":"Mebratu Mulusew","non-dropping-particle":"","parse-names":false,"suffix":""},{"dropping-particle":"","family":"Fekadu","given":"Sofonias Addis","non-dropping-particle":"","parse-names":false,"suffix":""}],"id":"ITEM-1","issued":{"date-parts":[["2021"]]},"page":"14-18","title":"Prevalence and associated factors of myopia among school children in Bahir Dar city ,","type":"article-journal","volume":"51"},"uris":["http://www.mendeley.com/documents/?uuid=73df2e75-8f45-4891-94ff-d4086e381d04"]},{"id":"ITEM-2","itemData":{"DOI":"10.1136/bjo.86.11.1200","ISSN":"00071161","PMID":"12386067","abstract":"Background/aims: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Ophthalmology","id":"ITEM-2","issue":"11","issued":{"date-parts":[["2002"]]},"page":"1200-1206","title":"Myopia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 Sinshaw &lt;i&gt;et al.&lt;/i&gt;, 2021)","plainTextFormattedCitation":"(Wedner et al., 2002; Sinshaw et al., 2021)","previouslyFormattedCitation":"(Wedner &lt;i&gt;et al.&lt;/i&gt;, 2002; Sinshaw &lt;i&gt;et al.&lt;/i&gt;, 2021)"},"properties":{"noteIndex":0},"schema":"https://github.com/citation-style-language/schema/raw/master/csl-citation.json"}</w:instrText>
      </w:r>
      <w:r w:rsidR="00881150">
        <w:rPr>
          <w:sz w:val="22"/>
          <w:szCs w:val="22"/>
        </w:rPr>
        <w:fldChar w:fldCharType="separate"/>
      </w:r>
      <w:r w:rsidR="00881150" w:rsidRPr="00881150">
        <w:rPr>
          <w:noProof/>
          <w:sz w:val="22"/>
          <w:szCs w:val="22"/>
        </w:rPr>
        <w:t xml:space="preserve">(Wedner </w:t>
      </w:r>
      <w:r w:rsidR="00881150" w:rsidRPr="00881150">
        <w:rPr>
          <w:i/>
          <w:noProof/>
          <w:sz w:val="22"/>
          <w:szCs w:val="22"/>
        </w:rPr>
        <w:t>et al.</w:t>
      </w:r>
      <w:r w:rsidR="00881150" w:rsidRPr="00881150">
        <w:rPr>
          <w:noProof/>
          <w:sz w:val="22"/>
          <w:szCs w:val="22"/>
        </w:rPr>
        <w:t xml:space="preserve">, 2002; Sinshaw </w:t>
      </w:r>
      <w:r w:rsidR="00881150" w:rsidRPr="00881150">
        <w:rPr>
          <w:i/>
          <w:noProof/>
          <w:sz w:val="22"/>
          <w:szCs w:val="22"/>
        </w:rPr>
        <w:t>et al.</w:t>
      </w:r>
      <w:r w:rsidR="00881150" w:rsidRPr="00881150">
        <w:rPr>
          <w:noProof/>
          <w:sz w:val="22"/>
          <w:szCs w:val="22"/>
        </w:rPr>
        <w:t>, 2021)</w:t>
      </w:r>
      <w:r w:rsidR="00881150">
        <w:rPr>
          <w:sz w:val="22"/>
          <w:szCs w:val="22"/>
        </w:rPr>
        <w:fldChar w:fldCharType="end"/>
      </w:r>
      <w:r w:rsidR="00D8683F" w:rsidRPr="00D8683F">
        <w:rPr>
          <w:sz w:val="22"/>
          <w:szCs w:val="22"/>
        </w:rPr>
        <w:t xml:space="preserve"> and pretested on 5% of the </w:t>
      </w:r>
      <w:r w:rsidR="00D8683F" w:rsidRPr="006A0A71">
        <w:rPr>
          <w:sz w:val="22"/>
          <w:szCs w:val="22"/>
        </w:rPr>
        <w:t>sample to ensure clarity and validity. The questionnaire was available in both English and Swahili; translation into Swahili was co</w:t>
      </w:r>
      <w:r w:rsidR="00D60F89" w:rsidRPr="006A0A71">
        <w:rPr>
          <w:sz w:val="22"/>
          <w:szCs w:val="22"/>
        </w:rPr>
        <w:t xml:space="preserve">nducted by a language expert, and answers were recorded in </w:t>
      </w:r>
      <w:r w:rsidR="00D8683F" w:rsidRPr="006A0A71">
        <w:rPr>
          <w:sz w:val="22"/>
          <w:szCs w:val="22"/>
        </w:rPr>
        <w:t xml:space="preserve">English for analysis. Topics covered included participants’ and parents’ education levels, family history of refractive error, use of electronic devices (computer, tablet, or mobile phone), and spectacle-wearing patterns, which were categorized into three groups: full-time wearers (those who wore spectacles both during the day at school and at home, including at night), occasional wearers (those who wore spectacles only during school hours or during the day), and non-wearers (those who did not wear spectacles at all). </w:t>
      </w:r>
      <w:r w:rsidR="000F6221" w:rsidRPr="006A0A71">
        <w:rPr>
          <w:sz w:val="22"/>
          <w:szCs w:val="22"/>
        </w:rPr>
        <w:t xml:space="preserve">Participants were asked to simulate the distance they sit from a television screen by sitting at a distance from a wall; distances were classified as less than or more than 2 meters. </w:t>
      </w:r>
      <w:r w:rsidR="00D8683F" w:rsidRPr="006A0A71">
        <w:rPr>
          <w:sz w:val="22"/>
          <w:szCs w:val="22"/>
        </w:rPr>
        <w:t>Estimated time spent on near work and outdoor activities after school hours was also assessed and categorized as either more than or less than two hours per day. To enhance data accuracy and reliability, parents or caregivers were involved in verifying participant responses</w:t>
      </w:r>
    </w:p>
    <w:p w14:paraId="1C9EF642" w14:textId="77777777" w:rsidR="00C655AB" w:rsidRDefault="00C655AB" w:rsidP="00C655AB">
      <w:pPr>
        <w:spacing w:after="0"/>
        <w:rPr>
          <w:rFonts w:ascii="Times New Roman" w:hAnsi="Times New Roman" w:cs="Times New Roman"/>
          <w:b/>
          <w:bCs/>
        </w:rPr>
      </w:pPr>
      <w:r>
        <w:rPr>
          <w:rFonts w:ascii="Times New Roman" w:hAnsi="Times New Roman" w:cs="Times New Roman"/>
          <w:b/>
          <w:bCs/>
        </w:rPr>
        <w:t>Data analysis</w:t>
      </w:r>
    </w:p>
    <w:p w14:paraId="1959F72E" w14:textId="39B10C3E" w:rsidR="00C655AB" w:rsidRPr="00C655AB" w:rsidRDefault="00C655AB" w:rsidP="00C655AB">
      <w:pPr>
        <w:spacing w:after="0"/>
        <w:rPr>
          <w:rFonts w:ascii="Times New Roman" w:hAnsi="Times New Roman" w:cs="Times New Roman"/>
          <w:color w:val="EE0000"/>
        </w:rPr>
      </w:pPr>
      <w:r w:rsidRPr="00FF45FE">
        <w:rPr>
          <w:rFonts w:ascii="Times New Roman" w:hAnsi="Times New Roman" w:cs="Times New Roman"/>
        </w:rPr>
        <w:t xml:space="preserve">Data was </w:t>
      </w:r>
      <w:r>
        <w:rPr>
          <w:rFonts w:ascii="Times New Roman" w:hAnsi="Times New Roman" w:cs="Times New Roman"/>
        </w:rPr>
        <w:t xml:space="preserve">cleaned and </w:t>
      </w:r>
      <w:r w:rsidRPr="00FF45FE">
        <w:rPr>
          <w:rFonts w:ascii="Times New Roman" w:hAnsi="Times New Roman" w:cs="Times New Roman"/>
        </w:rPr>
        <w:t xml:space="preserve">analyzed using STATA (Stata Corp LLC, College Station, Texas, USA) version 17. </w:t>
      </w:r>
      <w:r>
        <w:rPr>
          <w:rFonts w:ascii="Times New Roman" w:hAnsi="Times New Roman" w:cs="Times New Roman"/>
        </w:rPr>
        <w:t>C</w:t>
      </w:r>
      <w:r w:rsidRPr="00FF45FE">
        <w:rPr>
          <w:rFonts w:ascii="Times New Roman" w:hAnsi="Times New Roman" w:cs="Times New Roman"/>
        </w:rPr>
        <w:t xml:space="preserve">ategorical variables were summarized using frequency and percentages and numeric variables were summarized </w:t>
      </w:r>
      <w:r>
        <w:rPr>
          <w:rFonts w:ascii="Times New Roman" w:hAnsi="Times New Roman" w:cs="Times New Roman"/>
        </w:rPr>
        <w:t xml:space="preserve">using </w:t>
      </w:r>
      <w:r w:rsidRPr="00FF45FE">
        <w:rPr>
          <w:rFonts w:ascii="Times New Roman" w:hAnsi="Times New Roman" w:cs="Times New Roman"/>
        </w:rPr>
        <w:t>mean with Standard deviation (SD). Generalized linear model with Poisson family and log link function was used to estimate prevalence ratio (PR) and the corresponding 95% confidence interval for factors associated with Myopia progression</w:t>
      </w:r>
      <w:r>
        <w:rPr>
          <w:rFonts w:ascii="Times New Roman" w:hAnsi="Times New Roman" w:cs="Times New Roman"/>
        </w:rPr>
        <w:t>. V</w:t>
      </w:r>
      <w:r w:rsidRPr="00107CE5">
        <w:rPr>
          <w:rFonts w:ascii="Times New Roman" w:hAnsi="Times New Roman" w:cs="Times New Roman"/>
        </w:rPr>
        <w:t>ariables with a P-value of &lt; 0.05 were considered statistically associated with myopia progression.</w:t>
      </w:r>
      <w:r w:rsidRPr="00FF45FE">
        <w:rPr>
          <w:rFonts w:ascii="Times New Roman" w:hAnsi="Times New Roman" w:cs="Times New Roman"/>
        </w:rPr>
        <w:t xml:space="preserve"> Stepwise regression </w:t>
      </w:r>
      <w:r>
        <w:rPr>
          <w:rFonts w:ascii="Times New Roman" w:hAnsi="Times New Roman" w:cs="Times New Roman"/>
        </w:rPr>
        <w:t xml:space="preserve">with </w:t>
      </w:r>
      <w:proofErr w:type="spellStart"/>
      <w:r w:rsidR="004E0FD7">
        <w:rPr>
          <w:rFonts w:ascii="Times New Roman" w:hAnsi="Times New Roman" w:cs="Times New Roman"/>
        </w:rPr>
        <w:t>lockterm</w:t>
      </w:r>
      <w:proofErr w:type="spellEnd"/>
      <w:r>
        <w:rPr>
          <w:rFonts w:ascii="Times New Roman" w:hAnsi="Times New Roman" w:cs="Times New Roman"/>
        </w:rPr>
        <w:t xml:space="preserve"> option for participants age and sex </w:t>
      </w:r>
      <w:r w:rsidRPr="00FF45FE">
        <w:rPr>
          <w:rFonts w:ascii="Times New Roman" w:hAnsi="Times New Roman" w:cs="Times New Roman"/>
        </w:rPr>
        <w:t>was employed for model building and variable selection</w:t>
      </w:r>
      <w:r>
        <w:rPr>
          <w:rFonts w:ascii="Times New Roman" w:hAnsi="Times New Roman" w:cs="Times New Roman"/>
        </w:rPr>
        <w:t xml:space="preserve"> in adjusted analysis</w:t>
      </w:r>
      <w:r w:rsidRPr="00FF45FE">
        <w:rPr>
          <w:rFonts w:ascii="Times New Roman" w:hAnsi="Times New Roman" w:cs="Times New Roman"/>
        </w:rPr>
        <w:t xml:space="preserve">, while </w:t>
      </w:r>
      <w:r>
        <w:rPr>
          <w:rFonts w:ascii="Times New Roman" w:hAnsi="Times New Roman" w:cs="Times New Roman"/>
        </w:rPr>
        <w:t>a p</w:t>
      </w:r>
      <w:r w:rsidRPr="00FF45FE">
        <w:rPr>
          <w:rFonts w:ascii="Times New Roman" w:hAnsi="Times New Roman" w:cs="Times New Roman"/>
        </w:rPr>
        <w:t>airwise correlations were examined to assess collinearity among the variables included in the analysis</w:t>
      </w:r>
      <w:r>
        <w:rPr>
          <w:rFonts w:ascii="Times New Roman" w:hAnsi="Times New Roman" w:cs="Times New Roman"/>
        </w:rPr>
        <w:t xml:space="preserve">. A </w:t>
      </w:r>
      <w:r w:rsidRPr="003A65EC">
        <w:rPr>
          <w:rFonts w:ascii="Times New Roman" w:hAnsi="Times New Roman" w:cs="Times New Roman"/>
        </w:rPr>
        <w:t>Variance Inflation Factor</w:t>
      </w:r>
      <w:r>
        <w:rPr>
          <w:rFonts w:ascii="Times New Roman" w:hAnsi="Times New Roman" w:cs="Times New Roman"/>
        </w:rPr>
        <w:t xml:space="preserve"> (VIF) of &gt;10 was considered high </w:t>
      </w:r>
      <w:r w:rsidRPr="003A65EC">
        <w:rPr>
          <w:rFonts w:ascii="Times New Roman" w:hAnsi="Times New Roman" w:cs="Times New Roman"/>
        </w:rPr>
        <w:t>multicollinearity</w:t>
      </w:r>
      <w:r>
        <w:rPr>
          <w:rFonts w:ascii="Times New Roman" w:hAnsi="Times New Roman" w:cs="Times New Roman"/>
        </w:rPr>
        <w:t>.</w:t>
      </w:r>
    </w:p>
    <w:p w14:paraId="758C6C6F" w14:textId="77777777" w:rsidR="009A0C05" w:rsidRPr="00570AA4" w:rsidRDefault="009A0C05" w:rsidP="009A0C05">
      <w:pPr>
        <w:rPr>
          <w:rFonts w:ascii="Times New Roman" w:hAnsi="Times New Roman" w:cs="Times New Roman"/>
        </w:rPr>
      </w:pPr>
    </w:p>
    <w:p w14:paraId="2728DB88" w14:textId="77777777" w:rsidR="00DC2DE1" w:rsidRPr="00570AA4" w:rsidRDefault="00DC2DE1" w:rsidP="00AF1AB5">
      <w:pPr>
        <w:rPr>
          <w:rFonts w:ascii="Times New Roman" w:hAnsi="Times New Roman" w:cs="Times New Roman"/>
        </w:rPr>
      </w:pPr>
    </w:p>
    <w:p w14:paraId="657AB7F6" w14:textId="77777777" w:rsidR="00DC2DE1" w:rsidRPr="00570AA4" w:rsidRDefault="00DC2DE1" w:rsidP="00AF1AB5">
      <w:pPr>
        <w:rPr>
          <w:rFonts w:ascii="Times New Roman" w:hAnsi="Times New Roman" w:cs="Times New Roman"/>
        </w:rPr>
      </w:pPr>
    </w:p>
    <w:p w14:paraId="2FF0441E" w14:textId="77777777" w:rsidR="00DC2DE1" w:rsidRPr="00570AA4" w:rsidRDefault="00DC2DE1" w:rsidP="00AF1AB5">
      <w:pPr>
        <w:rPr>
          <w:rFonts w:ascii="Times New Roman" w:hAnsi="Times New Roman" w:cs="Times New Roman"/>
        </w:rPr>
      </w:pPr>
    </w:p>
    <w:p w14:paraId="2F71EE05" w14:textId="77777777" w:rsidR="00DC2DE1" w:rsidRDefault="00DC2DE1" w:rsidP="00570AA4">
      <w:pPr>
        <w:keepNext/>
        <w:keepLines/>
        <w:spacing w:before="40" w:after="0" w:line="360" w:lineRule="auto"/>
        <w:jc w:val="both"/>
        <w:outlineLvl w:val="1"/>
        <w:rPr>
          <w:rFonts w:ascii="Times New Roman" w:hAnsi="Times New Roman" w:cs="Times New Roman"/>
        </w:rPr>
      </w:pPr>
    </w:p>
    <w:p w14:paraId="40C4F55B" w14:textId="77777777" w:rsidR="00570AA4" w:rsidRPr="00570AA4" w:rsidRDefault="00570AA4" w:rsidP="00570AA4">
      <w:pPr>
        <w:keepNext/>
        <w:keepLines/>
        <w:spacing w:before="40" w:after="0" w:line="360" w:lineRule="auto"/>
        <w:jc w:val="both"/>
        <w:outlineLvl w:val="1"/>
        <w:rPr>
          <w:rFonts w:ascii="Times New Roman" w:eastAsia="Times New Roman" w:hAnsi="Times New Roman" w:cs="Times New Roman"/>
          <w:b/>
        </w:rPr>
      </w:pPr>
    </w:p>
    <w:p w14:paraId="5F057F18" w14:textId="77777777" w:rsidR="00C45620" w:rsidRPr="00570AA4" w:rsidRDefault="00C45620" w:rsidP="00C45620">
      <w:pPr>
        <w:keepNext/>
        <w:keepLines/>
        <w:spacing w:before="40" w:after="0" w:line="360" w:lineRule="auto"/>
        <w:ind w:left="576" w:hanging="576"/>
        <w:jc w:val="both"/>
        <w:outlineLvl w:val="1"/>
        <w:rPr>
          <w:rFonts w:ascii="Times New Roman" w:eastAsia="Times New Roman" w:hAnsi="Times New Roman" w:cs="Times New Roman"/>
          <w:b/>
        </w:rPr>
      </w:pPr>
      <w:r w:rsidRPr="00570AA4">
        <w:rPr>
          <w:rFonts w:ascii="Times New Roman" w:eastAsia="Times New Roman" w:hAnsi="Times New Roman" w:cs="Times New Roman"/>
          <w:b/>
        </w:rPr>
        <w:t>RESULTS</w:t>
      </w:r>
    </w:p>
    <w:p w14:paraId="70E9B028" w14:textId="77777777" w:rsidR="006421C9" w:rsidRPr="00570AA4" w:rsidRDefault="006421C9" w:rsidP="00C45620">
      <w:pPr>
        <w:keepNext/>
        <w:keepLines/>
        <w:spacing w:before="40" w:after="0" w:line="360" w:lineRule="auto"/>
        <w:ind w:left="576" w:hanging="576"/>
        <w:jc w:val="both"/>
        <w:outlineLvl w:val="1"/>
        <w:rPr>
          <w:rFonts w:ascii="Times New Roman" w:hAnsi="Times New Roman" w:cs="Times New Roman"/>
        </w:rPr>
      </w:pPr>
      <w:r w:rsidRPr="00570AA4">
        <w:rPr>
          <w:rFonts w:ascii="Times New Roman" w:hAnsi="Times New Roman" w:cs="Times New Roman"/>
        </w:rPr>
        <w:t xml:space="preserve">Out of 1,098 myopic patients aged 4–18 years, 297 met the eligibility criteria after exclusions. </w:t>
      </w:r>
    </w:p>
    <w:p w14:paraId="5017D2B6" w14:textId="77777777" w:rsidR="006421C9" w:rsidRDefault="006421C9" w:rsidP="00C45620">
      <w:pPr>
        <w:keepNext/>
        <w:keepLines/>
        <w:spacing w:before="40" w:after="0" w:line="360" w:lineRule="auto"/>
        <w:ind w:left="576" w:hanging="576"/>
        <w:jc w:val="both"/>
        <w:outlineLvl w:val="1"/>
        <w:rPr>
          <w:rFonts w:ascii="Times New Roman" w:hAnsi="Times New Roman" w:cs="Times New Roman"/>
        </w:rPr>
      </w:pPr>
      <w:r w:rsidRPr="00570AA4">
        <w:rPr>
          <w:rFonts w:ascii="Times New Roman" w:hAnsi="Times New Roman" w:cs="Times New Roman"/>
        </w:rPr>
        <w:t>Of these, 201 patients completed the interview and were included in the final analysis. (Figure 1)</w:t>
      </w:r>
    </w:p>
    <w:p w14:paraId="3CFB6469" w14:textId="77777777" w:rsidR="00BF232D" w:rsidRDefault="00BF232D" w:rsidP="00C45620">
      <w:pPr>
        <w:keepNext/>
        <w:keepLines/>
        <w:spacing w:before="40" w:after="0" w:line="360" w:lineRule="auto"/>
        <w:ind w:left="576" w:hanging="576"/>
        <w:jc w:val="both"/>
        <w:outlineLvl w:val="1"/>
        <w:rPr>
          <w:rFonts w:ascii="Times New Roman" w:hAnsi="Times New Roman" w:cs="Times New Roman"/>
        </w:rPr>
      </w:pPr>
    </w:p>
    <w:p w14:paraId="1347F740" w14:textId="77777777" w:rsidR="00BF232D" w:rsidRDefault="00BF232D" w:rsidP="00C45620">
      <w:pPr>
        <w:keepNext/>
        <w:keepLines/>
        <w:spacing w:before="40" w:after="0" w:line="360" w:lineRule="auto"/>
        <w:ind w:left="576" w:hanging="576"/>
        <w:jc w:val="both"/>
        <w:outlineLvl w:val="1"/>
        <w:rPr>
          <w:rFonts w:ascii="Times New Roman" w:hAnsi="Times New Roman" w:cs="Times New Roman"/>
        </w:rPr>
      </w:pPr>
    </w:p>
    <w:p w14:paraId="4AE50354" w14:textId="77777777" w:rsidR="00BF232D" w:rsidRPr="00570AA4" w:rsidRDefault="006667EE" w:rsidP="00C45620">
      <w:pPr>
        <w:keepNext/>
        <w:keepLines/>
        <w:spacing w:before="40" w:after="0" w:line="360" w:lineRule="auto"/>
        <w:ind w:left="576" w:hanging="576"/>
        <w:jc w:val="both"/>
        <w:outlineLvl w:val="1"/>
        <w:rPr>
          <w:rFonts w:ascii="Times New Roman" w:hAnsi="Times New Roman" w:cs="Times New Roman"/>
        </w:rPr>
      </w:pPr>
      <w:r w:rsidRPr="006667EE">
        <w:rPr>
          <w:rFonts w:ascii="Times New Roman" w:hAnsi="Times New Roman" w:cs="Times New Roman"/>
          <w:noProof/>
        </w:rPr>
        <w:drawing>
          <wp:inline distT="0" distB="0" distL="0" distR="0" wp14:anchorId="39C0668D" wp14:editId="252AFBBA">
            <wp:extent cx="5731510" cy="322389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4EBD8661" w14:textId="77777777" w:rsidR="006421C9" w:rsidRPr="00570AA4" w:rsidRDefault="006421C9" w:rsidP="00C45620">
      <w:pPr>
        <w:keepNext/>
        <w:keepLines/>
        <w:spacing w:before="40" w:after="0" w:line="360" w:lineRule="auto"/>
        <w:ind w:left="576" w:hanging="576"/>
        <w:jc w:val="both"/>
        <w:outlineLvl w:val="1"/>
        <w:rPr>
          <w:rFonts w:ascii="Times New Roman" w:hAnsi="Times New Roman" w:cs="Times New Roman"/>
        </w:rPr>
      </w:pPr>
    </w:p>
    <w:p w14:paraId="57D92169" w14:textId="77777777" w:rsidR="00DC2DE1" w:rsidRPr="009D51EF" w:rsidRDefault="00EF4ED1" w:rsidP="009D51EF">
      <w:pPr>
        <w:ind w:left="720" w:firstLine="720"/>
        <w:rPr>
          <w:rFonts w:ascii="Times New Roman" w:eastAsia="Times New Roman" w:hAnsi="Times New Roman" w:cs="Times New Roman"/>
          <w:b/>
          <w:bCs/>
          <w:lang w:eastAsia="en-GB"/>
        </w:rPr>
      </w:pPr>
      <w:bookmarkStart w:id="0" w:name="_GoBack"/>
      <w:r w:rsidRPr="00570AA4">
        <w:rPr>
          <w:rFonts w:ascii="Times New Roman" w:eastAsia="Times New Roman" w:hAnsi="Times New Roman" w:cs="Times New Roman"/>
          <w:b/>
          <w:bCs/>
          <w:lang w:eastAsia="en-GB"/>
        </w:rPr>
        <w:t>Fig</w:t>
      </w:r>
      <w:bookmarkEnd w:id="0"/>
      <w:r w:rsidRPr="00570AA4">
        <w:rPr>
          <w:rFonts w:ascii="Times New Roman" w:eastAsia="Times New Roman" w:hAnsi="Times New Roman" w:cs="Times New Roman"/>
          <w:b/>
          <w:bCs/>
          <w:lang w:eastAsia="en-GB"/>
        </w:rPr>
        <w:t xml:space="preserve">ure 1: </w:t>
      </w:r>
      <w:r w:rsidRPr="00570AA4">
        <w:rPr>
          <w:rFonts w:ascii="Times New Roman" w:eastAsia="Times New Roman" w:hAnsi="Times New Roman" w:cs="Times New Roman"/>
          <w:lang w:eastAsia="en-GB"/>
        </w:rPr>
        <w:t>Flowch</w:t>
      </w:r>
      <w:r w:rsidR="009D51EF">
        <w:rPr>
          <w:rFonts w:ascii="Times New Roman" w:eastAsia="Times New Roman" w:hAnsi="Times New Roman" w:cs="Times New Roman"/>
          <w:lang w:eastAsia="en-GB"/>
        </w:rPr>
        <w:t>art of patient selection process</w:t>
      </w:r>
    </w:p>
    <w:p w14:paraId="3FE3A1BF" w14:textId="77777777" w:rsidR="006421C9" w:rsidRPr="00570AA4" w:rsidRDefault="006421C9" w:rsidP="00C45620">
      <w:pPr>
        <w:keepNext/>
        <w:keepLines/>
        <w:spacing w:before="40" w:after="0" w:line="360" w:lineRule="auto"/>
        <w:ind w:left="576" w:hanging="576"/>
        <w:jc w:val="both"/>
        <w:outlineLvl w:val="1"/>
        <w:rPr>
          <w:rFonts w:ascii="Times New Roman" w:eastAsia="Times New Roman" w:hAnsi="Times New Roman" w:cs="Times New Roman"/>
          <w:b/>
        </w:rPr>
      </w:pPr>
    </w:p>
    <w:p w14:paraId="1AC0E5BE"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bookmarkStart w:id="1" w:name="_Toc171881720"/>
    </w:p>
    <w:p w14:paraId="753A7D31"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5FE1B277"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70886E32"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3CF874BE"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22A36B2D"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72536221" w14:textId="77777777" w:rsidR="00C45620" w:rsidRPr="00570AA4" w:rsidRDefault="00C45620" w:rsidP="00C45620">
      <w:pPr>
        <w:keepNext/>
        <w:keepLines/>
        <w:spacing w:before="40" w:after="0" w:line="360" w:lineRule="auto"/>
        <w:ind w:left="576" w:hanging="576"/>
        <w:jc w:val="both"/>
        <w:outlineLvl w:val="1"/>
        <w:rPr>
          <w:rFonts w:ascii="Times New Roman" w:eastAsia="Times New Roman" w:hAnsi="Times New Roman" w:cs="Times New Roman"/>
          <w:b/>
        </w:rPr>
      </w:pPr>
      <w:r w:rsidRPr="00570AA4">
        <w:rPr>
          <w:rFonts w:ascii="Times New Roman" w:eastAsia="Times New Roman" w:hAnsi="Times New Roman" w:cs="Times New Roman"/>
          <w:b/>
        </w:rPr>
        <w:t>Participants background characteristics</w:t>
      </w:r>
      <w:bookmarkEnd w:id="1"/>
    </w:p>
    <w:p w14:paraId="03E88274" w14:textId="77777777" w:rsidR="00804836" w:rsidRPr="009D51EF" w:rsidRDefault="00804836" w:rsidP="00433157">
      <w:pPr>
        <w:pStyle w:val="NoSpacing"/>
        <w:rPr>
          <w:rFonts w:ascii="Times New Roman" w:hAnsi="Times New Roman" w:cs="Times New Roman"/>
        </w:rPr>
      </w:pPr>
      <w:bookmarkStart w:id="2" w:name="_Toc171881738"/>
      <w:r w:rsidRPr="009D51EF">
        <w:rPr>
          <w:rFonts w:ascii="Times New Roman" w:hAnsi="Times New Roman" w:cs="Times New Roman"/>
        </w:rPr>
        <w:t>A total of 201 participants were enrolled in the study. The mean age at both presentation and diagnosis was 12.9 years (SD = 3.11). Nearly half of the participants (46.3%) were aged between 9–13 years, while 44.7% were older than 13 years. Females constituted a slight majority (55.7%). Most participants (60.2%) were at the secondary education level, with a predominance of private school attendance (69.2%) and urban residency (72.6%). Over half of the mothers had completed secondary education (52.2%), while 50.7% of fathers had attained a college education or higher.</w:t>
      </w:r>
      <w:r w:rsidR="00387E05" w:rsidRPr="009D51EF">
        <w:rPr>
          <w:rFonts w:ascii="Times New Roman" w:hAnsi="Times New Roman" w:cs="Times New Roman"/>
        </w:rPr>
        <w:t xml:space="preserve"> </w:t>
      </w:r>
      <w:r w:rsidRPr="009D51EF">
        <w:rPr>
          <w:rFonts w:ascii="Times New Roman" w:hAnsi="Times New Roman" w:cs="Times New Roman"/>
        </w:rPr>
        <w:t xml:space="preserve">Regarding </w:t>
      </w:r>
      <w:r w:rsidRPr="009D51EF">
        <w:rPr>
          <w:rFonts w:ascii="Times New Roman" w:hAnsi="Times New Roman" w:cs="Times New Roman"/>
        </w:rPr>
        <w:lastRenderedPageBreak/>
        <w:t>spectacle use, majority (44.3%) wore spectacles occasionally</w:t>
      </w:r>
      <w:r w:rsidR="00342AF1" w:rsidRPr="009D51EF">
        <w:rPr>
          <w:rFonts w:ascii="Times New Roman" w:hAnsi="Times New Roman" w:cs="Times New Roman"/>
        </w:rPr>
        <w:t>. Most children reported viewing televi</w:t>
      </w:r>
      <w:r w:rsidR="008037E3">
        <w:rPr>
          <w:rFonts w:ascii="Times New Roman" w:hAnsi="Times New Roman" w:cs="Times New Roman"/>
        </w:rPr>
        <w:t xml:space="preserve">sion at a distance of </w:t>
      </w:r>
      <w:r w:rsidR="00342AF1" w:rsidRPr="009D51EF">
        <w:rPr>
          <w:rFonts w:ascii="Times New Roman" w:hAnsi="Times New Roman" w:cs="Times New Roman"/>
        </w:rPr>
        <w:t>two meters</w:t>
      </w:r>
      <w:r w:rsidR="008037E3">
        <w:rPr>
          <w:rFonts w:ascii="Times New Roman" w:hAnsi="Times New Roman" w:cs="Times New Roman"/>
        </w:rPr>
        <w:t xml:space="preserve"> or less</w:t>
      </w:r>
      <w:r w:rsidR="00342AF1" w:rsidRPr="009D51EF">
        <w:rPr>
          <w:rFonts w:ascii="Times New Roman" w:hAnsi="Times New Roman" w:cs="Times New Roman"/>
        </w:rPr>
        <w:t xml:space="preserve"> (45.8%)</w:t>
      </w:r>
      <w:r w:rsidRPr="009D51EF">
        <w:rPr>
          <w:rFonts w:ascii="Times New Roman" w:hAnsi="Times New Roman" w:cs="Times New Roman"/>
        </w:rPr>
        <w:t xml:space="preserve">. Use of other </w:t>
      </w:r>
      <w:r w:rsidR="002D2C48" w:rsidRPr="009D51EF">
        <w:rPr>
          <w:rFonts w:ascii="Times New Roman" w:hAnsi="Times New Roman" w:cs="Times New Roman"/>
        </w:rPr>
        <w:t xml:space="preserve">electronic devices </w:t>
      </w:r>
      <w:r w:rsidRPr="009D51EF">
        <w:rPr>
          <w:rFonts w:ascii="Times New Roman" w:hAnsi="Times New Roman" w:cs="Times New Roman"/>
        </w:rPr>
        <w:t>was reported by 35.3% of participants. A large proportion (78.6%) engaged in outdoor activities for less than one hour per day, while 39.8% reported more than two hours of near work daily.</w:t>
      </w:r>
    </w:p>
    <w:p w14:paraId="09E1565D" w14:textId="77777777" w:rsidR="00804836" w:rsidRPr="009D51EF" w:rsidRDefault="00804836" w:rsidP="00433157">
      <w:pPr>
        <w:pStyle w:val="NoSpacing"/>
        <w:rPr>
          <w:rFonts w:ascii="Times New Roman" w:hAnsi="Times New Roman" w:cs="Times New Roman"/>
        </w:rPr>
      </w:pPr>
      <w:r w:rsidRPr="009D51EF">
        <w:rPr>
          <w:rFonts w:ascii="Times New Roman" w:hAnsi="Times New Roman" w:cs="Times New Roman"/>
        </w:rPr>
        <w:t>Low myopia was the most common degree (65.2%), followed by high (21.4%) and moderate myopia (13.4%). Family history of myopia was reported in 50.2% of participants</w:t>
      </w:r>
      <w:r w:rsidR="00490228" w:rsidRPr="009D51EF">
        <w:rPr>
          <w:rFonts w:ascii="Times New Roman" w:hAnsi="Times New Roman" w:cs="Times New Roman"/>
        </w:rPr>
        <w:t xml:space="preserve"> </w:t>
      </w:r>
      <w:r w:rsidR="00490228" w:rsidRPr="009D51EF">
        <w:rPr>
          <w:rFonts w:ascii="Times New Roman" w:hAnsi="Times New Roman" w:cs="Times New Roman"/>
          <w:b/>
        </w:rPr>
        <w:t>(Table 1)</w:t>
      </w:r>
      <w:r w:rsidRPr="009D51EF">
        <w:rPr>
          <w:rFonts w:ascii="Times New Roman" w:hAnsi="Times New Roman" w:cs="Times New Roman"/>
          <w:b/>
        </w:rPr>
        <w:t xml:space="preserve">. </w:t>
      </w:r>
      <w:r w:rsidRPr="009D51EF">
        <w:rPr>
          <w:rFonts w:ascii="Times New Roman" w:hAnsi="Times New Roman" w:cs="Times New Roman"/>
        </w:rPr>
        <w:t>Spectacle-wearing patterns varied with the degree of myopia: the majority with low myopia were non-wearers (84.8%), while most with moderate (14.9%) and high myopia (23.8%) were spectacle wearers</w:t>
      </w:r>
      <w:r w:rsidR="00433157" w:rsidRPr="009D51EF">
        <w:rPr>
          <w:rFonts w:ascii="Times New Roman" w:hAnsi="Times New Roman" w:cs="Times New Roman"/>
        </w:rPr>
        <w:t>.</w:t>
      </w:r>
    </w:p>
    <w:p w14:paraId="24BAE66F" w14:textId="77777777" w:rsidR="005C0027" w:rsidRPr="00433157" w:rsidRDefault="005C0027" w:rsidP="00C45620">
      <w:pPr>
        <w:spacing w:before="240" w:after="0" w:line="360" w:lineRule="auto"/>
        <w:ind w:left="1134" w:hanging="1134"/>
        <w:rPr>
          <w:rFonts w:ascii="Times New Roman" w:eastAsia="Calibri" w:hAnsi="Times New Roman" w:cs="Times New Roman"/>
          <w:b/>
          <w:bCs/>
          <w:sz w:val="24"/>
          <w:szCs w:val="24"/>
        </w:rPr>
      </w:pPr>
    </w:p>
    <w:p w14:paraId="3126F017"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3DD56BEF"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3F9A97E6"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28C237DC" w14:textId="77777777" w:rsidR="006C6511" w:rsidRPr="009D51EF" w:rsidRDefault="006C6511" w:rsidP="006C6511">
      <w:pPr>
        <w:spacing w:before="240" w:after="0" w:line="360" w:lineRule="auto"/>
        <w:ind w:left="1134" w:hanging="1134"/>
        <w:rPr>
          <w:rFonts w:ascii="Times New Roman" w:eastAsia="Calibri" w:hAnsi="Times New Roman" w:cs="Times New Roman"/>
          <w:b/>
          <w:bCs/>
        </w:rPr>
      </w:pPr>
      <w:r w:rsidRPr="009D51EF">
        <w:rPr>
          <w:rFonts w:ascii="Times New Roman" w:eastAsia="Calibri" w:hAnsi="Times New Roman" w:cs="Times New Roman"/>
          <w:b/>
          <w:bCs/>
        </w:rPr>
        <w:t xml:space="preserve">Table </w:t>
      </w:r>
      <w:r w:rsidRPr="009D51EF">
        <w:rPr>
          <w:rFonts w:ascii="Times New Roman" w:eastAsia="Calibri" w:hAnsi="Times New Roman" w:cs="Times New Roman"/>
          <w:b/>
          <w:bCs/>
        </w:rPr>
        <w:fldChar w:fldCharType="begin"/>
      </w:r>
      <w:r w:rsidRPr="009D51EF">
        <w:rPr>
          <w:rFonts w:ascii="Times New Roman" w:eastAsia="Calibri" w:hAnsi="Times New Roman" w:cs="Times New Roman"/>
          <w:b/>
          <w:bCs/>
        </w:rPr>
        <w:instrText xml:space="preserve"> SEQ Table \* ARABIC </w:instrText>
      </w:r>
      <w:r w:rsidRPr="009D51EF">
        <w:rPr>
          <w:rFonts w:ascii="Times New Roman" w:eastAsia="Calibri" w:hAnsi="Times New Roman" w:cs="Times New Roman"/>
          <w:b/>
          <w:bCs/>
        </w:rPr>
        <w:fldChar w:fldCharType="separate"/>
      </w:r>
      <w:r w:rsidRPr="009D51EF">
        <w:rPr>
          <w:rFonts w:ascii="Times New Roman" w:eastAsia="Calibri" w:hAnsi="Times New Roman" w:cs="Times New Roman"/>
          <w:b/>
          <w:bCs/>
          <w:noProof/>
        </w:rPr>
        <w:t>1</w:t>
      </w:r>
      <w:r w:rsidRPr="009D51EF">
        <w:rPr>
          <w:rFonts w:ascii="Times New Roman" w:eastAsia="Calibri" w:hAnsi="Times New Roman" w:cs="Times New Roman"/>
          <w:b/>
          <w:bCs/>
          <w:noProof/>
        </w:rPr>
        <w:fldChar w:fldCharType="end"/>
      </w:r>
      <w:r w:rsidRPr="009D51EF">
        <w:rPr>
          <w:rFonts w:ascii="Times New Roman" w:eastAsia="Calibri" w:hAnsi="Times New Roman" w:cs="Times New Roman"/>
          <w:b/>
          <w:bCs/>
        </w:rPr>
        <w:t xml:space="preserve"> : Participants background characteristics (N=201)</w:t>
      </w:r>
    </w:p>
    <w:tbl>
      <w:tblPr>
        <w:tblW w:w="9082" w:type="dxa"/>
        <w:jc w:val="center"/>
        <w:tblLook w:val="04A0" w:firstRow="1" w:lastRow="0" w:firstColumn="1" w:lastColumn="0" w:noHBand="0" w:noVBand="1"/>
      </w:tblPr>
      <w:tblGrid>
        <w:gridCol w:w="5679"/>
        <w:gridCol w:w="1685"/>
        <w:gridCol w:w="1718"/>
      </w:tblGrid>
      <w:tr w:rsidR="006C6511" w:rsidRPr="000A621C" w14:paraId="33F7E79D" w14:textId="77777777" w:rsidTr="00744817">
        <w:trPr>
          <w:trHeight w:val="57"/>
          <w:jc w:val="center"/>
        </w:trPr>
        <w:tc>
          <w:tcPr>
            <w:tcW w:w="5679" w:type="dxa"/>
            <w:tcBorders>
              <w:top w:val="single" w:sz="18" w:space="0" w:color="auto"/>
              <w:left w:val="nil"/>
              <w:bottom w:val="single" w:sz="18" w:space="0" w:color="auto"/>
              <w:right w:val="nil"/>
            </w:tcBorders>
            <w:noWrap/>
            <w:vAlign w:val="bottom"/>
            <w:hideMark/>
          </w:tcPr>
          <w:p w14:paraId="3DE5BC94"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Variable</w:t>
            </w:r>
          </w:p>
        </w:tc>
        <w:tc>
          <w:tcPr>
            <w:tcW w:w="1685" w:type="dxa"/>
            <w:tcBorders>
              <w:top w:val="single" w:sz="18" w:space="0" w:color="auto"/>
              <w:left w:val="nil"/>
              <w:bottom w:val="single" w:sz="18" w:space="0" w:color="auto"/>
              <w:right w:val="nil"/>
            </w:tcBorders>
            <w:noWrap/>
            <w:vAlign w:val="bottom"/>
            <w:hideMark/>
          </w:tcPr>
          <w:p w14:paraId="3180427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Frequency</w:t>
            </w:r>
          </w:p>
        </w:tc>
        <w:tc>
          <w:tcPr>
            <w:tcW w:w="1718" w:type="dxa"/>
            <w:tcBorders>
              <w:top w:val="single" w:sz="18" w:space="0" w:color="auto"/>
              <w:left w:val="nil"/>
              <w:bottom w:val="single" w:sz="18" w:space="0" w:color="auto"/>
              <w:right w:val="nil"/>
            </w:tcBorders>
            <w:noWrap/>
            <w:vAlign w:val="bottom"/>
            <w:hideMark/>
          </w:tcPr>
          <w:p w14:paraId="2081F099"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Percentage</w:t>
            </w:r>
          </w:p>
        </w:tc>
      </w:tr>
      <w:tr w:rsidR="006C6511" w:rsidRPr="000A621C" w14:paraId="1F403F04" w14:textId="77777777" w:rsidTr="00744817">
        <w:trPr>
          <w:trHeight w:val="57"/>
          <w:jc w:val="center"/>
        </w:trPr>
        <w:tc>
          <w:tcPr>
            <w:tcW w:w="5679" w:type="dxa"/>
            <w:tcBorders>
              <w:top w:val="single" w:sz="18" w:space="0" w:color="auto"/>
              <w:left w:val="nil"/>
              <w:bottom w:val="nil"/>
              <w:right w:val="nil"/>
            </w:tcBorders>
            <w:noWrap/>
            <w:vAlign w:val="bottom"/>
            <w:hideMark/>
          </w:tcPr>
          <w:p w14:paraId="487D3732"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Age at presentation (In years)</w:t>
            </w:r>
          </w:p>
        </w:tc>
        <w:tc>
          <w:tcPr>
            <w:tcW w:w="1685" w:type="dxa"/>
            <w:tcBorders>
              <w:top w:val="single" w:sz="18" w:space="0" w:color="auto"/>
              <w:left w:val="nil"/>
              <w:bottom w:val="nil"/>
              <w:right w:val="nil"/>
            </w:tcBorders>
            <w:noWrap/>
            <w:vAlign w:val="bottom"/>
            <w:hideMark/>
          </w:tcPr>
          <w:p w14:paraId="06BB45BF"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tcBorders>
              <w:top w:val="single" w:sz="18" w:space="0" w:color="auto"/>
              <w:left w:val="nil"/>
              <w:bottom w:val="nil"/>
              <w:right w:val="nil"/>
            </w:tcBorders>
            <w:noWrap/>
            <w:vAlign w:val="bottom"/>
            <w:hideMark/>
          </w:tcPr>
          <w:p w14:paraId="596F55E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59C0D7BF" w14:textId="77777777" w:rsidTr="00744817">
        <w:trPr>
          <w:trHeight w:val="57"/>
          <w:jc w:val="center"/>
        </w:trPr>
        <w:tc>
          <w:tcPr>
            <w:tcW w:w="5679" w:type="dxa"/>
            <w:noWrap/>
            <w:vAlign w:val="bottom"/>
            <w:hideMark/>
          </w:tcPr>
          <w:p w14:paraId="7EBE2EBA"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 8</w:t>
            </w:r>
          </w:p>
        </w:tc>
        <w:tc>
          <w:tcPr>
            <w:tcW w:w="1685" w:type="dxa"/>
            <w:noWrap/>
            <w:vAlign w:val="bottom"/>
            <w:hideMark/>
          </w:tcPr>
          <w:p w14:paraId="61139133"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18</w:t>
            </w:r>
          </w:p>
        </w:tc>
        <w:tc>
          <w:tcPr>
            <w:tcW w:w="1718" w:type="dxa"/>
            <w:noWrap/>
            <w:vAlign w:val="bottom"/>
            <w:hideMark/>
          </w:tcPr>
          <w:p w14:paraId="46B646A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9</w:t>
            </w:r>
          </w:p>
        </w:tc>
      </w:tr>
      <w:tr w:rsidR="006C6511" w:rsidRPr="000A621C" w14:paraId="652644F8" w14:textId="77777777" w:rsidTr="00744817">
        <w:trPr>
          <w:trHeight w:val="57"/>
          <w:jc w:val="center"/>
        </w:trPr>
        <w:tc>
          <w:tcPr>
            <w:tcW w:w="5679" w:type="dxa"/>
            <w:noWrap/>
            <w:vAlign w:val="bottom"/>
            <w:hideMark/>
          </w:tcPr>
          <w:p w14:paraId="56218FE1"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9-13</w:t>
            </w:r>
          </w:p>
        </w:tc>
        <w:tc>
          <w:tcPr>
            <w:tcW w:w="1685" w:type="dxa"/>
            <w:noWrap/>
            <w:vAlign w:val="bottom"/>
            <w:hideMark/>
          </w:tcPr>
          <w:p w14:paraId="60998E3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w:t>
            </w:r>
          </w:p>
        </w:tc>
        <w:tc>
          <w:tcPr>
            <w:tcW w:w="1718" w:type="dxa"/>
            <w:noWrap/>
            <w:vAlign w:val="bottom"/>
            <w:hideMark/>
          </w:tcPr>
          <w:p w14:paraId="7DF2C2C0"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46.3</w:t>
            </w:r>
          </w:p>
        </w:tc>
      </w:tr>
      <w:tr w:rsidR="006C6511" w:rsidRPr="000A621C" w14:paraId="337AAF08" w14:textId="77777777" w:rsidTr="00744817">
        <w:trPr>
          <w:trHeight w:val="57"/>
          <w:jc w:val="center"/>
        </w:trPr>
        <w:tc>
          <w:tcPr>
            <w:tcW w:w="5679" w:type="dxa"/>
            <w:noWrap/>
            <w:vAlign w:val="bottom"/>
            <w:hideMark/>
          </w:tcPr>
          <w:p w14:paraId="0830DCCD"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&gt;13</w:t>
            </w:r>
          </w:p>
        </w:tc>
        <w:tc>
          <w:tcPr>
            <w:tcW w:w="1685" w:type="dxa"/>
            <w:noWrap/>
            <w:vAlign w:val="bottom"/>
            <w:hideMark/>
          </w:tcPr>
          <w:p w14:paraId="55935DD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90</w:t>
            </w:r>
          </w:p>
        </w:tc>
        <w:tc>
          <w:tcPr>
            <w:tcW w:w="1718" w:type="dxa"/>
            <w:noWrap/>
            <w:vAlign w:val="bottom"/>
            <w:hideMark/>
          </w:tcPr>
          <w:p w14:paraId="1184ECBC"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44.7</w:t>
            </w:r>
          </w:p>
        </w:tc>
      </w:tr>
      <w:tr w:rsidR="006C6511" w:rsidRPr="000A621C" w14:paraId="0F525B2E" w14:textId="77777777" w:rsidTr="00744817">
        <w:trPr>
          <w:trHeight w:val="57"/>
          <w:jc w:val="center"/>
        </w:trPr>
        <w:tc>
          <w:tcPr>
            <w:tcW w:w="5679" w:type="dxa"/>
            <w:noWrap/>
            <w:vAlign w:val="bottom"/>
            <w:hideMark/>
          </w:tcPr>
          <w:p w14:paraId="04998B5E" w14:textId="77777777" w:rsidR="006C6511" w:rsidRPr="000A621C" w:rsidRDefault="006C6511" w:rsidP="00744817">
            <w:pPr>
              <w:spacing w:after="0" w:line="240" w:lineRule="auto"/>
              <w:ind w:left="341"/>
              <w:jc w:val="both"/>
              <w:rPr>
                <w:rFonts w:ascii="Times New Roman" w:eastAsia="Times New Roman" w:hAnsi="Times New Roman" w:cs="Times New Roman"/>
                <w:i/>
                <w:iCs/>
              </w:rPr>
            </w:pPr>
            <w:r w:rsidRPr="000A621C">
              <w:rPr>
                <w:rFonts w:ascii="Times New Roman" w:eastAsia="Times New Roman" w:hAnsi="Times New Roman" w:cs="Times New Roman"/>
                <w:i/>
                <w:iCs/>
              </w:rPr>
              <w:t>Mean (SD)</w:t>
            </w:r>
          </w:p>
        </w:tc>
        <w:tc>
          <w:tcPr>
            <w:tcW w:w="1685" w:type="dxa"/>
            <w:noWrap/>
            <w:vAlign w:val="bottom"/>
            <w:hideMark/>
          </w:tcPr>
          <w:p w14:paraId="1184573D" w14:textId="77777777" w:rsidR="006C6511" w:rsidRPr="000A621C" w:rsidRDefault="006C6511" w:rsidP="00744817">
            <w:pPr>
              <w:spacing w:after="0" w:line="240" w:lineRule="auto"/>
              <w:jc w:val="both"/>
              <w:rPr>
                <w:rFonts w:ascii="Times New Roman" w:eastAsia="Times New Roman" w:hAnsi="Times New Roman" w:cs="Times New Roman"/>
                <w:i/>
                <w:iCs/>
              </w:rPr>
            </w:pPr>
            <w:r w:rsidRPr="000A621C">
              <w:rPr>
                <w:rFonts w:ascii="Times New Roman" w:eastAsia="Times New Roman" w:hAnsi="Times New Roman" w:cs="Times New Roman"/>
                <w:i/>
                <w:iCs/>
              </w:rPr>
              <w:t>12.9(3.11)</w:t>
            </w:r>
          </w:p>
        </w:tc>
        <w:tc>
          <w:tcPr>
            <w:tcW w:w="1718" w:type="dxa"/>
            <w:noWrap/>
            <w:vAlign w:val="bottom"/>
          </w:tcPr>
          <w:p w14:paraId="1D137A95"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58AE7DFD" w14:textId="77777777" w:rsidTr="00744817">
        <w:trPr>
          <w:trHeight w:val="57"/>
          <w:jc w:val="center"/>
        </w:trPr>
        <w:tc>
          <w:tcPr>
            <w:tcW w:w="5679" w:type="dxa"/>
            <w:noWrap/>
            <w:vAlign w:val="bottom"/>
            <w:hideMark/>
          </w:tcPr>
          <w:p w14:paraId="6580BE4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Age at Diagnosis (in Years)</w:t>
            </w:r>
          </w:p>
        </w:tc>
        <w:tc>
          <w:tcPr>
            <w:tcW w:w="1685" w:type="dxa"/>
            <w:noWrap/>
            <w:vAlign w:val="bottom"/>
            <w:hideMark/>
          </w:tcPr>
          <w:p w14:paraId="17100648"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5CCDA7E2"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7F1C0A8" w14:textId="77777777" w:rsidTr="00744817">
        <w:trPr>
          <w:trHeight w:val="57"/>
          <w:jc w:val="center"/>
        </w:trPr>
        <w:tc>
          <w:tcPr>
            <w:tcW w:w="5679" w:type="dxa"/>
            <w:noWrap/>
            <w:vAlign w:val="bottom"/>
            <w:hideMark/>
          </w:tcPr>
          <w:p w14:paraId="39243A89"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&gt;=8</w:t>
            </w:r>
          </w:p>
        </w:tc>
        <w:tc>
          <w:tcPr>
            <w:tcW w:w="1685" w:type="dxa"/>
            <w:noWrap/>
            <w:vAlign w:val="bottom"/>
            <w:hideMark/>
          </w:tcPr>
          <w:p w14:paraId="3DE67BA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65</w:t>
            </w:r>
          </w:p>
        </w:tc>
        <w:tc>
          <w:tcPr>
            <w:tcW w:w="1718" w:type="dxa"/>
            <w:noWrap/>
            <w:vAlign w:val="bottom"/>
            <w:hideMark/>
          </w:tcPr>
          <w:p w14:paraId="4E218B8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32.3</w:t>
            </w:r>
          </w:p>
        </w:tc>
      </w:tr>
      <w:tr w:rsidR="006C6511" w:rsidRPr="000A621C" w14:paraId="3541CCE6" w14:textId="77777777" w:rsidTr="00744817">
        <w:trPr>
          <w:trHeight w:val="57"/>
          <w:jc w:val="center"/>
        </w:trPr>
        <w:tc>
          <w:tcPr>
            <w:tcW w:w="5679" w:type="dxa"/>
            <w:noWrap/>
            <w:vAlign w:val="bottom"/>
            <w:hideMark/>
          </w:tcPr>
          <w:p w14:paraId="1078E359"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9-13</w:t>
            </w:r>
          </w:p>
        </w:tc>
        <w:tc>
          <w:tcPr>
            <w:tcW w:w="1685" w:type="dxa"/>
            <w:noWrap/>
            <w:vAlign w:val="bottom"/>
            <w:hideMark/>
          </w:tcPr>
          <w:p w14:paraId="08B6799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100</w:t>
            </w:r>
          </w:p>
        </w:tc>
        <w:tc>
          <w:tcPr>
            <w:tcW w:w="1718" w:type="dxa"/>
            <w:noWrap/>
            <w:vAlign w:val="bottom"/>
            <w:hideMark/>
          </w:tcPr>
          <w:p w14:paraId="5B646349"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49.8</w:t>
            </w:r>
          </w:p>
        </w:tc>
      </w:tr>
      <w:tr w:rsidR="006C6511" w:rsidRPr="000A621C" w14:paraId="0610BDA3" w14:textId="77777777" w:rsidTr="00744817">
        <w:trPr>
          <w:trHeight w:val="57"/>
          <w:jc w:val="center"/>
        </w:trPr>
        <w:tc>
          <w:tcPr>
            <w:tcW w:w="5679" w:type="dxa"/>
            <w:noWrap/>
            <w:vAlign w:val="bottom"/>
            <w:hideMark/>
          </w:tcPr>
          <w:p w14:paraId="385E642E"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&gt;13</w:t>
            </w:r>
          </w:p>
        </w:tc>
        <w:tc>
          <w:tcPr>
            <w:tcW w:w="1685" w:type="dxa"/>
            <w:noWrap/>
            <w:vAlign w:val="bottom"/>
            <w:hideMark/>
          </w:tcPr>
          <w:p w14:paraId="1835FD46"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w:t>
            </w:r>
          </w:p>
        </w:tc>
        <w:tc>
          <w:tcPr>
            <w:tcW w:w="1718" w:type="dxa"/>
            <w:noWrap/>
            <w:vAlign w:val="bottom"/>
            <w:hideMark/>
          </w:tcPr>
          <w:p w14:paraId="6A42219F"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17.9</w:t>
            </w:r>
          </w:p>
        </w:tc>
      </w:tr>
      <w:tr w:rsidR="006C6511" w:rsidRPr="000A621C" w14:paraId="6C693C26" w14:textId="77777777" w:rsidTr="00744817">
        <w:trPr>
          <w:trHeight w:val="57"/>
          <w:jc w:val="center"/>
        </w:trPr>
        <w:tc>
          <w:tcPr>
            <w:tcW w:w="5679" w:type="dxa"/>
            <w:noWrap/>
            <w:vAlign w:val="bottom"/>
            <w:hideMark/>
          </w:tcPr>
          <w:p w14:paraId="4B47C6C5"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i/>
                <w:iCs/>
              </w:rPr>
              <w:t>Mean (SD)</w:t>
            </w:r>
          </w:p>
        </w:tc>
        <w:tc>
          <w:tcPr>
            <w:tcW w:w="1685" w:type="dxa"/>
            <w:noWrap/>
            <w:vAlign w:val="bottom"/>
            <w:hideMark/>
          </w:tcPr>
          <w:p w14:paraId="1BA1420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i/>
                <w:iCs/>
              </w:rPr>
              <w:t>12.9(3.11)</w:t>
            </w:r>
          </w:p>
        </w:tc>
        <w:tc>
          <w:tcPr>
            <w:tcW w:w="1718" w:type="dxa"/>
            <w:noWrap/>
            <w:vAlign w:val="bottom"/>
          </w:tcPr>
          <w:p w14:paraId="146E741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02DFFEC" w14:textId="77777777" w:rsidTr="00744817">
        <w:trPr>
          <w:trHeight w:val="57"/>
          <w:jc w:val="center"/>
        </w:trPr>
        <w:tc>
          <w:tcPr>
            <w:tcW w:w="5679" w:type="dxa"/>
            <w:noWrap/>
            <w:vAlign w:val="bottom"/>
            <w:hideMark/>
          </w:tcPr>
          <w:p w14:paraId="1C355FD0"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Sex of the participant</w:t>
            </w:r>
          </w:p>
        </w:tc>
        <w:tc>
          <w:tcPr>
            <w:tcW w:w="1685" w:type="dxa"/>
            <w:noWrap/>
            <w:vAlign w:val="bottom"/>
            <w:hideMark/>
          </w:tcPr>
          <w:p w14:paraId="46A9788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E81448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471BA3A7" w14:textId="77777777" w:rsidTr="00744817">
        <w:trPr>
          <w:trHeight w:val="57"/>
          <w:jc w:val="center"/>
        </w:trPr>
        <w:tc>
          <w:tcPr>
            <w:tcW w:w="5679" w:type="dxa"/>
            <w:noWrap/>
            <w:vAlign w:val="bottom"/>
            <w:hideMark/>
          </w:tcPr>
          <w:p w14:paraId="2FBFF2B4"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Female</w:t>
            </w:r>
          </w:p>
        </w:tc>
        <w:tc>
          <w:tcPr>
            <w:tcW w:w="1685" w:type="dxa"/>
            <w:noWrap/>
            <w:vAlign w:val="bottom"/>
            <w:hideMark/>
          </w:tcPr>
          <w:p w14:paraId="71CEA18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112</w:t>
            </w:r>
          </w:p>
        </w:tc>
        <w:tc>
          <w:tcPr>
            <w:tcW w:w="1718" w:type="dxa"/>
            <w:noWrap/>
            <w:vAlign w:val="bottom"/>
            <w:hideMark/>
          </w:tcPr>
          <w:p w14:paraId="1F16C1F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55.7</w:t>
            </w:r>
          </w:p>
        </w:tc>
      </w:tr>
      <w:tr w:rsidR="006C6511" w:rsidRPr="000A621C" w14:paraId="326CB9DC" w14:textId="77777777" w:rsidTr="00744817">
        <w:trPr>
          <w:trHeight w:val="57"/>
          <w:jc w:val="center"/>
        </w:trPr>
        <w:tc>
          <w:tcPr>
            <w:tcW w:w="5679" w:type="dxa"/>
            <w:noWrap/>
            <w:vAlign w:val="bottom"/>
            <w:hideMark/>
          </w:tcPr>
          <w:p w14:paraId="0A621AB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Male</w:t>
            </w:r>
          </w:p>
        </w:tc>
        <w:tc>
          <w:tcPr>
            <w:tcW w:w="1685" w:type="dxa"/>
            <w:noWrap/>
            <w:vAlign w:val="bottom"/>
            <w:hideMark/>
          </w:tcPr>
          <w:p w14:paraId="70A8425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89</w:t>
            </w:r>
          </w:p>
        </w:tc>
        <w:tc>
          <w:tcPr>
            <w:tcW w:w="1718" w:type="dxa"/>
            <w:noWrap/>
            <w:vAlign w:val="bottom"/>
            <w:hideMark/>
          </w:tcPr>
          <w:p w14:paraId="0205C53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44.3</w:t>
            </w:r>
          </w:p>
        </w:tc>
      </w:tr>
      <w:tr w:rsidR="006C6511" w:rsidRPr="000A621C" w14:paraId="66504132" w14:textId="77777777" w:rsidTr="00744817">
        <w:trPr>
          <w:trHeight w:val="57"/>
          <w:jc w:val="center"/>
        </w:trPr>
        <w:tc>
          <w:tcPr>
            <w:tcW w:w="5679" w:type="dxa"/>
            <w:noWrap/>
            <w:vAlign w:val="bottom"/>
            <w:hideMark/>
          </w:tcPr>
          <w:p w14:paraId="1022FAB4"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Participants education level</w:t>
            </w:r>
          </w:p>
        </w:tc>
        <w:tc>
          <w:tcPr>
            <w:tcW w:w="1685" w:type="dxa"/>
            <w:noWrap/>
            <w:vAlign w:val="bottom"/>
            <w:hideMark/>
          </w:tcPr>
          <w:p w14:paraId="28F88456"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0F9B2E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D6C9732" w14:textId="77777777" w:rsidTr="00744817">
        <w:trPr>
          <w:trHeight w:val="57"/>
          <w:jc w:val="center"/>
        </w:trPr>
        <w:tc>
          <w:tcPr>
            <w:tcW w:w="5679" w:type="dxa"/>
            <w:noWrap/>
            <w:vAlign w:val="bottom"/>
            <w:hideMark/>
          </w:tcPr>
          <w:p w14:paraId="2FE204BD"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Kindergarten/day care</w:t>
            </w:r>
          </w:p>
        </w:tc>
        <w:tc>
          <w:tcPr>
            <w:tcW w:w="1685" w:type="dxa"/>
            <w:noWrap/>
            <w:vAlign w:val="bottom"/>
            <w:hideMark/>
          </w:tcPr>
          <w:p w14:paraId="0CDC9DE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w:t>
            </w:r>
          </w:p>
        </w:tc>
        <w:tc>
          <w:tcPr>
            <w:tcW w:w="1718" w:type="dxa"/>
            <w:noWrap/>
            <w:vAlign w:val="bottom"/>
            <w:hideMark/>
          </w:tcPr>
          <w:p w14:paraId="06A184B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w:t>
            </w:r>
          </w:p>
        </w:tc>
      </w:tr>
      <w:tr w:rsidR="006C6511" w:rsidRPr="000A621C" w14:paraId="2CB6D93B" w14:textId="77777777" w:rsidTr="00744817">
        <w:trPr>
          <w:trHeight w:val="57"/>
          <w:jc w:val="center"/>
        </w:trPr>
        <w:tc>
          <w:tcPr>
            <w:tcW w:w="5679" w:type="dxa"/>
            <w:noWrap/>
            <w:vAlign w:val="bottom"/>
            <w:hideMark/>
          </w:tcPr>
          <w:p w14:paraId="49F16701"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w:t>
            </w:r>
          </w:p>
        </w:tc>
        <w:tc>
          <w:tcPr>
            <w:tcW w:w="1685" w:type="dxa"/>
            <w:noWrap/>
            <w:vAlign w:val="bottom"/>
            <w:hideMark/>
          </w:tcPr>
          <w:p w14:paraId="4D09655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74</w:t>
            </w:r>
          </w:p>
        </w:tc>
        <w:tc>
          <w:tcPr>
            <w:tcW w:w="1718" w:type="dxa"/>
            <w:noWrap/>
            <w:vAlign w:val="bottom"/>
            <w:hideMark/>
          </w:tcPr>
          <w:p w14:paraId="7C8245A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36.8</w:t>
            </w:r>
          </w:p>
        </w:tc>
      </w:tr>
      <w:tr w:rsidR="006C6511" w:rsidRPr="000A621C" w14:paraId="7DDC4437" w14:textId="77777777" w:rsidTr="00744817">
        <w:trPr>
          <w:trHeight w:val="57"/>
          <w:jc w:val="center"/>
        </w:trPr>
        <w:tc>
          <w:tcPr>
            <w:tcW w:w="5679" w:type="dxa"/>
            <w:noWrap/>
            <w:vAlign w:val="bottom"/>
            <w:hideMark/>
          </w:tcPr>
          <w:p w14:paraId="7DB883D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w:t>
            </w:r>
          </w:p>
        </w:tc>
        <w:tc>
          <w:tcPr>
            <w:tcW w:w="1685" w:type="dxa"/>
            <w:noWrap/>
            <w:vAlign w:val="bottom"/>
            <w:hideMark/>
          </w:tcPr>
          <w:p w14:paraId="2AA8013E"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121</w:t>
            </w:r>
          </w:p>
        </w:tc>
        <w:tc>
          <w:tcPr>
            <w:tcW w:w="1718" w:type="dxa"/>
            <w:noWrap/>
            <w:vAlign w:val="bottom"/>
            <w:hideMark/>
          </w:tcPr>
          <w:p w14:paraId="0A446B7D"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60.2</w:t>
            </w:r>
          </w:p>
        </w:tc>
      </w:tr>
      <w:tr w:rsidR="006C6511" w:rsidRPr="000A621C" w14:paraId="11A01D51" w14:textId="77777777" w:rsidTr="00744817">
        <w:trPr>
          <w:trHeight w:val="57"/>
          <w:jc w:val="center"/>
        </w:trPr>
        <w:tc>
          <w:tcPr>
            <w:tcW w:w="5679" w:type="dxa"/>
            <w:noWrap/>
            <w:vAlign w:val="bottom"/>
            <w:hideMark/>
          </w:tcPr>
          <w:p w14:paraId="0631FFD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Mother's education level</w:t>
            </w:r>
          </w:p>
        </w:tc>
        <w:tc>
          <w:tcPr>
            <w:tcW w:w="1685" w:type="dxa"/>
            <w:noWrap/>
            <w:vAlign w:val="bottom"/>
            <w:hideMark/>
          </w:tcPr>
          <w:p w14:paraId="472FEF49"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4FB8EC0"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3C7F3C6C" w14:textId="77777777" w:rsidTr="00744817">
        <w:trPr>
          <w:trHeight w:val="57"/>
          <w:jc w:val="center"/>
        </w:trPr>
        <w:tc>
          <w:tcPr>
            <w:tcW w:w="5679" w:type="dxa"/>
            <w:noWrap/>
            <w:vAlign w:val="bottom"/>
            <w:hideMark/>
          </w:tcPr>
          <w:p w14:paraId="46915D6E"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 formal education</w:t>
            </w:r>
          </w:p>
        </w:tc>
        <w:tc>
          <w:tcPr>
            <w:tcW w:w="1685" w:type="dxa"/>
            <w:noWrap/>
            <w:vAlign w:val="bottom"/>
            <w:hideMark/>
          </w:tcPr>
          <w:p w14:paraId="51BA16D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w:t>
            </w:r>
          </w:p>
        </w:tc>
        <w:tc>
          <w:tcPr>
            <w:tcW w:w="1718" w:type="dxa"/>
            <w:noWrap/>
            <w:vAlign w:val="bottom"/>
            <w:hideMark/>
          </w:tcPr>
          <w:p w14:paraId="6B0BBDD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0.5</w:t>
            </w:r>
          </w:p>
        </w:tc>
      </w:tr>
      <w:tr w:rsidR="006C6511" w:rsidRPr="000A621C" w14:paraId="494219E9" w14:textId="77777777" w:rsidTr="00744817">
        <w:trPr>
          <w:trHeight w:val="57"/>
          <w:jc w:val="center"/>
        </w:trPr>
        <w:tc>
          <w:tcPr>
            <w:tcW w:w="5679" w:type="dxa"/>
            <w:noWrap/>
            <w:vAlign w:val="bottom"/>
            <w:hideMark/>
          </w:tcPr>
          <w:p w14:paraId="783DC82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 education</w:t>
            </w:r>
          </w:p>
        </w:tc>
        <w:tc>
          <w:tcPr>
            <w:tcW w:w="1685" w:type="dxa"/>
            <w:noWrap/>
            <w:vAlign w:val="bottom"/>
            <w:hideMark/>
          </w:tcPr>
          <w:p w14:paraId="7535A1D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31</w:t>
            </w:r>
          </w:p>
        </w:tc>
        <w:tc>
          <w:tcPr>
            <w:tcW w:w="1718" w:type="dxa"/>
            <w:noWrap/>
            <w:vAlign w:val="bottom"/>
            <w:hideMark/>
          </w:tcPr>
          <w:p w14:paraId="258DBAC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15.3</w:t>
            </w:r>
          </w:p>
        </w:tc>
      </w:tr>
      <w:tr w:rsidR="006C6511" w:rsidRPr="000A621C" w14:paraId="0928B360" w14:textId="77777777" w:rsidTr="00744817">
        <w:trPr>
          <w:trHeight w:val="57"/>
          <w:jc w:val="center"/>
        </w:trPr>
        <w:tc>
          <w:tcPr>
            <w:tcW w:w="5679" w:type="dxa"/>
            <w:noWrap/>
            <w:vAlign w:val="bottom"/>
            <w:hideMark/>
          </w:tcPr>
          <w:p w14:paraId="07E8E866"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 education</w:t>
            </w:r>
          </w:p>
        </w:tc>
        <w:tc>
          <w:tcPr>
            <w:tcW w:w="1685" w:type="dxa"/>
            <w:noWrap/>
            <w:vAlign w:val="bottom"/>
            <w:hideMark/>
          </w:tcPr>
          <w:p w14:paraId="0D2841F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105</w:t>
            </w:r>
          </w:p>
        </w:tc>
        <w:tc>
          <w:tcPr>
            <w:tcW w:w="1718" w:type="dxa"/>
            <w:noWrap/>
            <w:vAlign w:val="bottom"/>
            <w:hideMark/>
          </w:tcPr>
          <w:p w14:paraId="5C782B79"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52.2</w:t>
            </w:r>
          </w:p>
        </w:tc>
      </w:tr>
      <w:tr w:rsidR="006C6511" w:rsidRPr="000A621C" w14:paraId="4E599425" w14:textId="77777777" w:rsidTr="00744817">
        <w:trPr>
          <w:trHeight w:val="57"/>
          <w:jc w:val="center"/>
        </w:trPr>
        <w:tc>
          <w:tcPr>
            <w:tcW w:w="5679" w:type="dxa"/>
            <w:noWrap/>
            <w:vAlign w:val="bottom"/>
            <w:hideMark/>
          </w:tcPr>
          <w:p w14:paraId="79762B5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College and above</w:t>
            </w:r>
          </w:p>
        </w:tc>
        <w:tc>
          <w:tcPr>
            <w:tcW w:w="1685" w:type="dxa"/>
            <w:noWrap/>
            <w:vAlign w:val="bottom"/>
            <w:hideMark/>
          </w:tcPr>
          <w:p w14:paraId="456A5F2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64</w:t>
            </w:r>
          </w:p>
        </w:tc>
        <w:tc>
          <w:tcPr>
            <w:tcW w:w="1718" w:type="dxa"/>
            <w:noWrap/>
            <w:vAlign w:val="bottom"/>
            <w:hideMark/>
          </w:tcPr>
          <w:p w14:paraId="1CD2642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31.8</w:t>
            </w:r>
          </w:p>
        </w:tc>
      </w:tr>
      <w:tr w:rsidR="006C6511" w:rsidRPr="000A621C" w14:paraId="7788EF50" w14:textId="77777777" w:rsidTr="00744817">
        <w:trPr>
          <w:trHeight w:val="57"/>
          <w:jc w:val="center"/>
        </w:trPr>
        <w:tc>
          <w:tcPr>
            <w:tcW w:w="5679" w:type="dxa"/>
            <w:noWrap/>
            <w:vAlign w:val="bottom"/>
            <w:hideMark/>
          </w:tcPr>
          <w:p w14:paraId="5D953711"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Father’s education</w:t>
            </w:r>
          </w:p>
        </w:tc>
        <w:tc>
          <w:tcPr>
            <w:tcW w:w="1685" w:type="dxa"/>
            <w:noWrap/>
            <w:vAlign w:val="bottom"/>
            <w:hideMark/>
          </w:tcPr>
          <w:p w14:paraId="406E6908"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6C03A49"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1C747C35" w14:textId="77777777" w:rsidTr="00744817">
        <w:trPr>
          <w:trHeight w:val="57"/>
          <w:jc w:val="center"/>
        </w:trPr>
        <w:tc>
          <w:tcPr>
            <w:tcW w:w="5679" w:type="dxa"/>
            <w:noWrap/>
            <w:vAlign w:val="bottom"/>
            <w:hideMark/>
          </w:tcPr>
          <w:p w14:paraId="5B51C65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 formal education</w:t>
            </w:r>
          </w:p>
        </w:tc>
        <w:tc>
          <w:tcPr>
            <w:tcW w:w="1685" w:type="dxa"/>
            <w:noWrap/>
            <w:vAlign w:val="bottom"/>
            <w:hideMark/>
          </w:tcPr>
          <w:p w14:paraId="6B34238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w:t>
            </w:r>
          </w:p>
        </w:tc>
        <w:tc>
          <w:tcPr>
            <w:tcW w:w="1718" w:type="dxa"/>
            <w:noWrap/>
            <w:vAlign w:val="bottom"/>
            <w:hideMark/>
          </w:tcPr>
          <w:p w14:paraId="4A438C9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0.5</w:t>
            </w:r>
          </w:p>
        </w:tc>
      </w:tr>
      <w:tr w:rsidR="006C6511" w:rsidRPr="000A621C" w14:paraId="712C8406" w14:textId="77777777" w:rsidTr="00744817">
        <w:trPr>
          <w:trHeight w:val="57"/>
          <w:jc w:val="center"/>
        </w:trPr>
        <w:tc>
          <w:tcPr>
            <w:tcW w:w="5679" w:type="dxa"/>
            <w:noWrap/>
            <w:vAlign w:val="bottom"/>
            <w:hideMark/>
          </w:tcPr>
          <w:p w14:paraId="3BCDB57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 education</w:t>
            </w:r>
          </w:p>
        </w:tc>
        <w:tc>
          <w:tcPr>
            <w:tcW w:w="1685" w:type="dxa"/>
            <w:noWrap/>
            <w:vAlign w:val="bottom"/>
            <w:hideMark/>
          </w:tcPr>
          <w:p w14:paraId="5DB6DF7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19</w:t>
            </w:r>
          </w:p>
        </w:tc>
        <w:tc>
          <w:tcPr>
            <w:tcW w:w="1718" w:type="dxa"/>
            <w:noWrap/>
            <w:vAlign w:val="bottom"/>
            <w:hideMark/>
          </w:tcPr>
          <w:p w14:paraId="4BA76DC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9.5</w:t>
            </w:r>
          </w:p>
        </w:tc>
      </w:tr>
      <w:tr w:rsidR="006C6511" w:rsidRPr="000A621C" w14:paraId="6141C3AE" w14:textId="77777777" w:rsidTr="00744817">
        <w:trPr>
          <w:trHeight w:val="57"/>
          <w:jc w:val="center"/>
        </w:trPr>
        <w:tc>
          <w:tcPr>
            <w:tcW w:w="5679" w:type="dxa"/>
            <w:noWrap/>
            <w:vAlign w:val="bottom"/>
            <w:hideMark/>
          </w:tcPr>
          <w:p w14:paraId="53D1D49D"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 education</w:t>
            </w:r>
          </w:p>
        </w:tc>
        <w:tc>
          <w:tcPr>
            <w:tcW w:w="1685" w:type="dxa"/>
            <w:noWrap/>
            <w:vAlign w:val="bottom"/>
            <w:hideMark/>
          </w:tcPr>
          <w:p w14:paraId="33D65D6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79</w:t>
            </w:r>
          </w:p>
        </w:tc>
        <w:tc>
          <w:tcPr>
            <w:tcW w:w="1718" w:type="dxa"/>
            <w:noWrap/>
            <w:vAlign w:val="bottom"/>
            <w:hideMark/>
          </w:tcPr>
          <w:p w14:paraId="41C943F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39.3</w:t>
            </w:r>
          </w:p>
        </w:tc>
      </w:tr>
      <w:tr w:rsidR="006C6511" w:rsidRPr="000A621C" w14:paraId="41FDD2AD" w14:textId="77777777" w:rsidTr="00744817">
        <w:trPr>
          <w:trHeight w:val="57"/>
          <w:jc w:val="center"/>
        </w:trPr>
        <w:tc>
          <w:tcPr>
            <w:tcW w:w="5679" w:type="dxa"/>
            <w:noWrap/>
            <w:vAlign w:val="bottom"/>
            <w:hideMark/>
          </w:tcPr>
          <w:p w14:paraId="32FCDFB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College and above</w:t>
            </w:r>
          </w:p>
        </w:tc>
        <w:tc>
          <w:tcPr>
            <w:tcW w:w="1685" w:type="dxa"/>
            <w:noWrap/>
            <w:vAlign w:val="bottom"/>
            <w:hideMark/>
          </w:tcPr>
          <w:p w14:paraId="2A1EA8AD"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102</w:t>
            </w:r>
          </w:p>
        </w:tc>
        <w:tc>
          <w:tcPr>
            <w:tcW w:w="1718" w:type="dxa"/>
            <w:noWrap/>
            <w:vAlign w:val="bottom"/>
            <w:hideMark/>
          </w:tcPr>
          <w:p w14:paraId="7539B5B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50.7</w:t>
            </w:r>
          </w:p>
        </w:tc>
      </w:tr>
      <w:tr w:rsidR="006C6511" w:rsidRPr="000A621C" w14:paraId="5990D64D" w14:textId="77777777" w:rsidTr="00744817">
        <w:trPr>
          <w:trHeight w:val="57"/>
          <w:jc w:val="center"/>
        </w:trPr>
        <w:tc>
          <w:tcPr>
            <w:tcW w:w="5679" w:type="dxa"/>
            <w:noWrap/>
            <w:vAlign w:val="bottom"/>
            <w:hideMark/>
          </w:tcPr>
          <w:p w14:paraId="4188078C"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Residence location</w:t>
            </w:r>
          </w:p>
        </w:tc>
        <w:tc>
          <w:tcPr>
            <w:tcW w:w="1685" w:type="dxa"/>
            <w:noWrap/>
            <w:vAlign w:val="bottom"/>
            <w:hideMark/>
          </w:tcPr>
          <w:p w14:paraId="1A96516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3BD2067"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9C7734C" w14:textId="77777777" w:rsidTr="00744817">
        <w:trPr>
          <w:trHeight w:val="57"/>
          <w:jc w:val="center"/>
        </w:trPr>
        <w:tc>
          <w:tcPr>
            <w:tcW w:w="5679" w:type="dxa"/>
            <w:noWrap/>
            <w:vAlign w:val="bottom"/>
            <w:hideMark/>
          </w:tcPr>
          <w:p w14:paraId="247A1B5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Rural</w:t>
            </w:r>
          </w:p>
        </w:tc>
        <w:tc>
          <w:tcPr>
            <w:tcW w:w="1685" w:type="dxa"/>
            <w:noWrap/>
            <w:vAlign w:val="bottom"/>
            <w:hideMark/>
          </w:tcPr>
          <w:p w14:paraId="7B78C55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55</w:t>
            </w:r>
          </w:p>
        </w:tc>
        <w:tc>
          <w:tcPr>
            <w:tcW w:w="1718" w:type="dxa"/>
            <w:noWrap/>
            <w:vAlign w:val="bottom"/>
            <w:hideMark/>
          </w:tcPr>
          <w:p w14:paraId="6338169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27.4</w:t>
            </w:r>
          </w:p>
        </w:tc>
      </w:tr>
      <w:tr w:rsidR="006C6511" w:rsidRPr="000A621C" w14:paraId="6C50971A" w14:textId="77777777" w:rsidTr="00744817">
        <w:trPr>
          <w:trHeight w:val="57"/>
          <w:jc w:val="center"/>
        </w:trPr>
        <w:tc>
          <w:tcPr>
            <w:tcW w:w="5679" w:type="dxa"/>
            <w:noWrap/>
            <w:vAlign w:val="bottom"/>
            <w:hideMark/>
          </w:tcPr>
          <w:p w14:paraId="739F1FA5"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Urban</w:t>
            </w:r>
          </w:p>
        </w:tc>
        <w:tc>
          <w:tcPr>
            <w:tcW w:w="1685" w:type="dxa"/>
            <w:noWrap/>
            <w:vAlign w:val="bottom"/>
            <w:hideMark/>
          </w:tcPr>
          <w:p w14:paraId="3A8DF2A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146</w:t>
            </w:r>
          </w:p>
        </w:tc>
        <w:tc>
          <w:tcPr>
            <w:tcW w:w="1718" w:type="dxa"/>
            <w:noWrap/>
            <w:vAlign w:val="bottom"/>
            <w:hideMark/>
          </w:tcPr>
          <w:p w14:paraId="72A2D84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72.6</w:t>
            </w:r>
          </w:p>
        </w:tc>
      </w:tr>
      <w:tr w:rsidR="006C6511" w:rsidRPr="000A621C" w14:paraId="2F840870" w14:textId="77777777" w:rsidTr="00744817">
        <w:trPr>
          <w:trHeight w:val="57"/>
          <w:jc w:val="center"/>
        </w:trPr>
        <w:tc>
          <w:tcPr>
            <w:tcW w:w="5679" w:type="dxa"/>
            <w:noWrap/>
            <w:vAlign w:val="bottom"/>
            <w:hideMark/>
          </w:tcPr>
          <w:p w14:paraId="6AC1A2F9"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School type</w:t>
            </w:r>
          </w:p>
        </w:tc>
        <w:tc>
          <w:tcPr>
            <w:tcW w:w="1685" w:type="dxa"/>
            <w:noWrap/>
            <w:vAlign w:val="bottom"/>
            <w:hideMark/>
          </w:tcPr>
          <w:p w14:paraId="2196254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820706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2E205780" w14:textId="77777777" w:rsidTr="00744817">
        <w:trPr>
          <w:trHeight w:val="57"/>
          <w:jc w:val="center"/>
        </w:trPr>
        <w:tc>
          <w:tcPr>
            <w:tcW w:w="5679" w:type="dxa"/>
            <w:noWrap/>
            <w:vAlign w:val="bottom"/>
            <w:hideMark/>
          </w:tcPr>
          <w:p w14:paraId="77448A4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Government</w:t>
            </w:r>
          </w:p>
        </w:tc>
        <w:tc>
          <w:tcPr>
            <w:tcW w:w="1685" w:type="dxa"/>
            <w:noWrap/>
            <w:vAlign w:val="bottom"/>
            <w:hideMark/>
          </w:tcPr>
          <w:p w14:paraId="1B7A8F1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62</w:t>
            </w:r>
          </w:p>
        </w:tc>
        <w:tc>
          <w:tcPr>
            <w:tcW w:w="1718" w:type="dxa"/>
            <w:noWrap/>
            <w:vAlign w:val="bottom"/>
            <w:hideMark/>
          </w:tcPr>
          <w:p w14:paraId="47D0BE4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30.8</w:t>
            </w:r>
          </w:p>
        </w:tc>
      </w:tr>
      <w:tr w:rsidR="006C6511" w:rsidRPr="000A621C" w14:paraId="13066F9F" w14:textId="77777777" w:rsidTr="00744817">
        <w:trPr>
          <w:trHeight w:val="57"/>
          <w:jc w:val="center"/>
        </w:trPr>
        <w:tc>
          <w:tcPr>
            <w:tcW w:w="5679" w:type="dxa"/>
            <w:noWrap/>
            <w:vAlign w:val="bottom"/>
            <w:hideMark/>
          </w:tcPr>
          <w:p w14:paraId="29C99BB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Private</w:t>
            </w:r>
          </w:p>
        </w:tc>
        <w:tc>
          <w:tcPr>
            <w:tcW w:w="1685" w:type="dxa"/>
            <w:noWrap/>
            <w:vAlign w:val="bottom"/>
            <w:hideMark/>
          </w:tcPr>
          <w:p w14:paraId="3666DF7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139</w:t>
            </w:r>
          </w:p>
        </w:tc>
        <w:tc>
          <w:tcPr>
            <w:tcW w:w="1718" w:type="dxa"/>
            <w:noWrap/>
            <w:vAlign w:val="bottom"/>
            <w:hideMark/>
          </w:tcPr>
          <w:p w14:paraId="2397D65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69.2</w:t>
            </w:r>
          </w:p>
        </w:tc>
      </w:tr>
      <w:tr w:rsidR="006C6511" w:rsidRPr="000A621C" w14:paraId="33238663" w14:textId="77777777" w:rsidTr="00744817">
        <w:trPr>
          <w:trHeight w:val="57"/>
          <w:jc w:val="center"/>
        </w:trPr>
        <w:tc>
          <w:tcPr>
            <w:tcW w:w="5679" w:type="dxa"/>
            <w:noWrap/>
            <w:vAlign w:val="bottom"/>
            <w:hideMark/>
          </w:tcPr>
          <w:p w14:paraId="78F4DA16"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lastRenderedPageBreak/>
              <w:t>Boarding or Day school</w:t>
            </w:r>
          </w:p>
        </w:tc>
        <w:tc>
          <w:tcPr>
            <w:tcW w:w="1685" w:type="dxa"/>
            <w:noWrap/>
            <w:vAlign w:val="bottom"/>
            <w:hideMark/>
          </w:tcPr>
          <w:p w14:paraId="645F6817"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3B291BF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22BF8D91" w14:textId="77777777" w:rsidTr="00744817">
        <w:trPr>
          <w:trHeight w:val="57"/>
          <w:jc w:val="center"/>
        </w:trPr>
        <w:tc>
          <w:tcPr>
            <w:tcW w:w="5679" w:type="dxa"/>
            <w:noWrap/>
            <w:vAlign w:val="bottom"/>
            <w:hideMark/>
          </w:tcPr>
          <w:p w14:paraId="74E756C2"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Boarding School</w:t>
            </w:r>
          </w:p>
        </w:tc>
        <w:tc>
          <w:tcPr>
            <w:tcW w:w="1685" w:type="dxa"/>
            <w:noWrap/>
            <w:vAlign w:val="bottom"/>
            <w:hideMark/>
          </w:tcPr>
          <w:p w14:paraId="69F845A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119</w:t>
            </w:r>
          </w:p>
        </w:tc>
        <w:tc>
          <w:tcPr>
            <w:tcW w:w="1718" w:type="dxa"/>
            <w:noWrap/>
            <w:vAlign w:val="bottom"/>
            <w:hideMark/>
          </w:tcPr>
          <w:p w14:paraId="749567E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59.2</w:t>
            </w:r>
          </w:p>
        </w:tc>
      </w:tr>
      <w:tr w:rsidR="006C6511" w:rsidRPr="000A621C" w14:paraId="32B49304" w14:textId="77777777" w:rsidTr="00744817">
        <w:trPr>
          <w:trHeight w:val="57"/>
          <w:jc w:val="center"/>
        </w:trPr>
        <w:tc>
          <w:tcPr>
            <w:tcW w:w="5679" w:type="dxa"/>
            <w:noWrap/>
            <w:vAlign w:val="bottom"/>
            <w:hideMark/>
          </w:tcPr>
          <w:p w14:paraId="29A6B158"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Day school</w:t>
            </w:r>
          </w:p>
        </w:tc>
        <w:tc>
          <w:tcPr>
            <w:tcW w:w="1685" w:type="dxa"/>
            <w:noWrap/>
            <w:vAlign w:val="bottom"/>
            <w:hideMark/>
          </w:tcPr>
          <w:p w14:paraId="7AEE434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82</w:t>
            </w:r>
          </w:p>
        </w:tc>
        <w:tc>
          <w:tcPr>
            <w:tcW w:w="1718" w:type="dxa"/>
            <w:noWrap/>
            <w:vAlign w:val="bottom"/>
            <w:hideMark/>
          </w:tcPr>
          <w:p w14:paraId="2196D6A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40.8</w:t>
            </w:r>
          </w:p>
        </w:tc>
      </w:tr>
      <w:tr w:rsidR="006C6511" w:rsidRPr="000A621C" w14:paraId="6BA5A184" w14:textId="77777777" w:rsidTr="00744817">
        <w:trPr>
          <w:trHeight w:val="57"/>
          <w:jc w:val="center"/>
        </w:trPr>
        <w:tc>
          <w:tcPr>
            <w:tcW w:w="5679" w:type="dxa"/>
            <w:noWrap/>
            <w:vAlign w:val="bottom"/>
            <w:hideMark/>
          </w:tcPr>
          <w:p w14:paraId="5478C097"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Spectacle wearing pattern</w:t>
            </w:r>
          </w:p>
        </w:tc>
        <w:tc>
          <w:tcPr>
            <w:tcW w:w="1685" w:type="dxa"/>
            <w:noWrap/>
            <w:vAlign w:val="bottom"/>
            <w:hideMark/>
          </w:tcPr>
          <w:p w14:paraId="37814D47"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767E7043"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30A0C68E" w14:textId="77777777" w:rsidTr="00744817">
        <w:trPr>
          <w:trHeight w:val="57"/>
          <w:jc w:val="center"/>
        </w:trPr>
        <w:tc>
          <w:tcPr>
            <w:tcW w:w="5679" w:type="dxa"/>
            <w:noWrap/>
            <w:vAlign w:val="bottom"/>
            <w:hideMark/>
          </w:tcPr>
          <w:p w14:paraId="4C322370"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Full time wearer</w:t>
            </w:r>
          </w:p>
          <w:p w14:paraId="3A865B7A"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Occasional wearers</w:t>
            </w:r>
          </w:p>
        </w:tc>
        <w:tc>
          <w:tcPr>
            <w:tcW w:w="1685" w:type="dxa"/>
            <w:noWrap/>
            <w:vAlign w:val="bottom"/>
            <w:hideMark/>
          </w:tcPr>
          <w:p w14:paraId="4F701E5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79</w:t>
            </w:r>
          </w:p>
          <w:p w14:paraId="1B49440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89</w:t>
            </w:r>
          </w:p>
        </w:tc>
        <w:tc>
          <w:tcPr>
            <w:tcW w:w="1718" w:type="dxa"/>
            <w:noWrap/>
            <w:vAlign w:val="bottom"/>
            <w:hideMark/>
          </w:tcPr>
          <w:p w14:paraId="64C3988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39.3</w:t>
            </w:r>
          </w:p>
          <w:p w14:paraId="3EBE968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44.3</w:t>
            </w:r>
          </w:p>
        </w:tc>
      </w:tr>
      <w:tr w:rsidR="006C6511" w:rsidRPr="000A621C" w14:paraId="383FF7F5" w14:textId="77777777" w:rsidTr="00744817">
        <w:trPr>
          <w:trHeight w:val="57"/>
          <w:jc w:val="center"/>
        </w:trPr>
        <w:tc>
          <w:tcPr>
            <w:tcW w:w="5679" w:type="dxa"/>
            <w:noWrap/>
            <w:vAlign w:val="bottom"/>
            <w:hideMark/>
          </w:tcPr>
          <w:p w14:paraId="22EDFA72"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Non wearer</w:t>
            </w:r>
          </w:p>
        </w:tc>
        <w:tc>
          <w:tcPr>
            <w:tcW w:w="1685" w:type="dxa"/>
            <w:noWrap/>
            <w:vAlign w:val="bottom"/>
            <w:hideMark/>
          </w:tcPr>
          <w:p w14:paraId="1EADBE7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33</w:t>
            </w:r>
          </w:p>
        </w:tc>
        <w:tc>
          <w:tcPr>
            <w:tcW w:w="1718" w:type="dxa"/>
            <w:noWrap/>
            <w:vAlign w:val="bottom"/>
            <w:hideMark/>
          </w:tcPr>
          <w:p w14:paraId="0A715113"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16.4</w:t>
            </w:r>
          </w:p>
        </w:tc>
      </w:tr>
      <w:tr w:rsidR="006C6511" w:rsidRPr="000A621C" w14:paraId="4094F1E1" w14:textId="77777777" w:rsidTr="00744817">
        <w:trPr>
          <w:trHeight w:val="57"/>
          <w:jc w:val="center"/>
        </w:trPr>
        <w:tc>
          <w:tcPr>
            <w:tcW w:w="5679" w:type="dxa"/>
            <w:noWrap/>
            <w:vAlign w:val="bottom"/>
            <w:hideMark/>
          </w:tcPr>
          <w:p w14:paraId="0918325F"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Distance from TV Screen</w:t>
            </w:r>
          </w:p>
        </w:tc>
        <w:tc>
          <w:tcPr>
            <w:tcW w:w="1685" w:type="dxa"/>
            <w:noWrap/>
            <w:vAlign w:val="bottom"/>
            <w:hideMark/>
          </w:tcPr>
          <w:p w14:paraId="00511B1E"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4289EEA4"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977311" w:rsidRPr="000A621C" w14:paraId="64C08B33" w14:textId="77777777" w:rsidTr="00744817">
        <w:trPr>
          <w:trHeight w:val="57"/>
          <w:jc w:val="center"/>
        </w:trPr>
        <w:tc>
          <w:tcPr>
            <w:tcW w:w="5679" w:type="dxa"/>
            <w:noWrap/>
            <w:vAlign w:val="bottom"/>
            <w:hideMark/>
          </w:tcPr>
          <w:p w14:paraId="2D1026F9" w14:textId="77777777" w:rsidR="00977311" w:rsidRPr="007A521E" w:rsidRDefault="00977311" w:rsidP="00977311">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7A521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meters</w:t>
            </w:r>
          </w:p>
        </w:tc>
        <w:tc>
          <w:tcPr>
            <w:tcW w:w="1685" w:type="dxa"/>
            <w:noWrap/>
            <w:vAlign w:val="bottom"/>
            <w:hideMark/>
          </w:tcPr>
          <w:p w14:paraId="5FB3D6F4"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92</w:t>
            </w:r>
          </w:p>
        </w:tc>
        <w:tc>
          <w:tcPr>
            <w:tcW w:w="1718" w:type="dxa"/>
            <w:noWrap/>
            <w:vAlign w:val="bottom"/>
            <w:hideMark/>
          </w:tcPr>
          <w:p w14:paraId="114A26D6"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45.8</w:t>
            </w:r>
          </w:p>
        </w:tc>
      </w:tr>
      <w:tr w:rsidR="00977311" w:rsidRPr="000A621C" w14:paraId="5A8E0302" w14:textId="77777777" w:rsidTr="00744817">
        <w:trPr>
          <w:trHeight w:val="57"/>
          <w:jc w:val="center"/>
        </w:trPr>
        <w:tc>
          <w:tcPr>
            <w:tcW w:w="5679" w:type="dxa"/>
            <w:noWrap/>
            <w:vAlign w:val="bottom"/>
            <w:hideMark/>
          </w:tcPr>
          <w:p w14:paraId="49A90ADA" w14:textId="77777777" w:rsidR="00977311" w:rsidRPr="007A521E" w:rsidRDefault="00977311" w:rsidP="00977311">
            <w:pPr>
              <w:spacing w:after="0" w:line="240" w:lineRule="auto"/>
              <w:ind w:left="510"/>
              <w:jc w:val="both"/>
              <w:rPr>
                <w:rFonts w:ascii="Times New Roman" w:eastAsia="Times New Roman" w:hAnsi="Times New Roman" w:cs="Times New Roman"/>
                <w:color w:val="000000"/>
              </w:rPr>
            </w:pPr>
            <w:r w:rsidRPr="007A521E">
              <w:rPr>
                <w:rFonts w:ascii="Times New Roman" w:eastAsia="Times New Roman" w:hAnsi="Times New Roman" w:cs="Times New Roman"/>
                <w:color w:val="000000"/>
              </w:rPr>
              <w:t>&gt;2</w:t>
            </w:r>
            <w:r>
              <w:rPr>
                <w:rFonts w:ascii="Times New Roman" w:eastAsia="Times New Roman" w:hAnsi="Times New Roman" w:cs="Times New Roman"/>
                <w:color w:val="000000"/>
              </w:rPr>
              <w:t xml:space="preserve"> meters</w:t>
            </w:r>
          </w:p>
        </w:tc>
        <w:tc>
          <w:tcPr>
            <w:tcW w:w="1685" w:type="dxa"/>
            <w:noWrap/>
            <w:vAlign w:val="bottom"/>
            <w:hideMark/>
          </w:tcPr>
          <w:p w14:paraId="7512398A"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109</w:t>
            </w:r>
          </w:p>
        </w:tc>
        <w:tc>
          <w:tcPr>
            <w:tcW w:w="1718" w:type="dxa"/>
            <w:noWrap/>
            <w:vAlign w:val="bottom"/>
            <w:hideMark/>
          </w:tcPr>
          <w:p w14:paraId="573655FF"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54.2</w:t>
            </w:r>
          </w:p>
        </w:tc>
      </w:tr>
      <w:tr w:rsidR="00977311" w:rsidRPr="000A621C" w14:paraId="15A365A6" w14:textId="77777777" w:rsidTr="00744817">
        <w:trPr>
          <w:trHeight w:val="57"/>
          <w:jc w:val="center"/>
        </w:trPr>
        <w:tc>
          <w:tcPr>
            <w:tcW w:w="5679" w:type="dxa"/>
            <w:noWrap/>
            <w:vAlign w:val="bottom"/>
            <w:hideMark/>
          </w:tcPr>
          <w:p w14:paraId="151648BC" w14:textId="77777777" w:rsidR="00977311" w:rsidRPr="000A621C" w:rsidRDefault="00977311" w:rsidP="00977311">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Mobile/tablet/computer Use</w:t>
            </w:r>
          </w:p>
        </w:tc>
        <w:tc>
          <w:tcPr>
            <w:tcW w:w="1685" w:type="dxa"/>
            <w:noWrap/>
            <w:vAlign w:val="bottom"/>
            <w:hideMark/>
          </w:tcPr>
          <w:p w14:paraId="12F10215" w14:textId="77777777" w:rsidR="00977311" w:rsidRPr="000A621C" w:rsidRDefault="00977311" w:rsidP="00977311">
            <w:pPr>
              <w:spacing w:after="0" w:line="240" w:lineRule="auto"/>
              <w:jc w:val="both"/>
              <w:rPr>
                <w:rFonts w:ascii="Times New Roman" w:eastAsia="Times New Roman" w:hAnsi="Times New Roman" w:cs="Times New Roman"/>
              </w:rPr>
            </w:pPr>
          </w:p>
        </w:tc>
        <w:tc>
          <w:tcPr>
            <w:tcW w:w="1718" w:type="dxa"/>
            <w:noWrap/>
            <w:vAlign w:val="bottom"/>
            <w:hideMark/>
          </w:tcPr>
          <w:p w14:paraId="42E9926E" w14:textId="77777777" w:rsidR="00977311" w:rsidRPr="000A621C" w:rsidRDefault="00977311" w:rsidP="00977311">
            <w:pPr>
              <w:spacing w:after="0" w:line="240" w:lineRule="auto"/>
              <w:jc w:val="both"/>
              <w:rPr>
                <w:rFonts w:ascii="Times New Roman" w:eastAsia="Times New Roman" w:hAnsi="Times New Roman" w:cs="Times New Roman"/>
              </w:rPr>
            </w:pPr>
          </w:p>
        </w:tc>
      </w:tr>
      <w:tr w:rsidR="00977311" w:rsidRPr="000A621C" w14:paraId="23629ED8" w14:textId="77777777" w:rsidTr="00744817">
        <w:trPr>
          <w:trHeight w:val="57"/>
          <w:jc w:val="center"/>
        </w:trPr>
        <w:tc>
          <w:tcPr>
            <w:tcW w:w="5679" w:type="dxa"/>
            <w:noWrap/>
            <w:vAlign w:val="bottom"/>
            <w:hideMark/>
          </w:tcPr>
          <w:p w14:paraId="387F430F" w14:textId="77777777" w:rsidR="00977311" w:rsidRPr="000A621C" w:rsidRDefault="00977311" w:rsidP="00977311">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w:t>
            </w:r>
          </w:p>
        </w:tc>
        <w:tc>
          <w:tcPr>
            <w:tcW w:w="1685" w:type="dxa"/>
            <w:noWrap/>
            <w:vAlign w:val="bottom"/>
            <w:hideMark/>
          </w:tcPr>
          <w:p w14:paraId="053C614E"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130</w:t>
            </w:r>
          </w:p>
        </w:tc>
        <w:tc>
          <w:tcPr>
            <w:tcW w:w="1718" w:type="dxa"/>
            <w:noWrap/>
            <w:vAlign w:val="bottom"/>
            <w:hideMark/>
          </w:tcPr>
          <w:p w14:paraId="786DB26B"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64.7</w:t>
            </w:r>
          </w:p>
        </w:tc>
      </w:tr>
      <w:tr w:rsidR="00977311" w:rsidRPr="000A621C" w14:paraId="737E50C8" w14:textId="77777777" w:rsidTr="00744817">
        <w:trPr>
          <w:trHeight w:val="57"/>
          <w:jc w:val="center"/>
        </w:trPr>
        <w:tc>
          <w:tcPr>
            <w:tcW w:w="5679" w:type="dxa"/>
            <w:tcBorders>
              <w:bottom w:val="single" w:sz="12" w:space="0" w:color="auto"/>
            </w:tcBorders>
            <w:noWrap/>
            <w:vAlign w:val="bottom"/>
            <w:hideMark/>
          </w:tcPr>
          <w:p w14:paraId="19749492" w14:textId="77777777" w:rsidR="00977311" w:rsidRPr="000A621C" w:rsidRDefault="00977311" w:rsidP="00977311">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Yes</w:t>
            </w:r>
          </w:p>
        </w:tc>
        <w:tc>
          <w:tcPr>
            <w:tcW w:w="1685" w:type="dxa"/>
            <w:tcBorders>
              <w:bottom w:val="single" w:sz="12" w:space="0" w:color="auto"/>
            </w:tcBorders>
            <w:noWrap/>
            <w:vAlign w:val="bottom"/>
            <w:hideMark/>
          </w:tcPr>
          <w:p w14:paraId="28745F2F"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71</w:t>
            </w:r>
          </w:p>
        </w:tc>
        <w:tc>
          <w:tcPr>
            <w:tcW w:w="1718" w:type="dxa"/>
            <w:tcBorders>
              <w:bottom w:val="single" w:sz="12" w:space="0" w:color="auto"/>
            </w:tcBorders>
            <w:noWrap/>
            <w:vAlign w:val="bottom"/>
            <w:hideMark/>
          </w:tcPr>
          <w:p w14:paraId="1374661E"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35.3</w:t>
            </w:r>
          </w:p>
        </w:tc>
      </w:tr>
    </w:tbl>
    <w:p w14:paraId="4FEDF839" w14:textId="77777777" w:rsidR="006C6511" w:rsidRDefault="006C6511" w:rsidP="00C45620">
      <w:pPr>
        <w:spacing w:before="240" w:after="0" w:line="360" w:lineRule="auto"/>
        <w:ind w:left="1134" w:hanging="1134"/>
        <w:rPr>
          <w:rFonts w:ascii="Times New Roman" w:eastAsia="Calibri" w:hAnsi="Times New Roman" w:cs="Times New Roman"/>
          <w:b/>
          <w:bCs/>
        </w:rPr>
      </w:pPr>
    </w:p>
    <w:p w14:paraId="77588E60" w14:textId="77777777" w:rsidR="006C6511" w:rsidRDefault="006C6511" w:rsidP="00C45620">
      <w:pPr>
        <w:spacing w:before="240" w:after="0" w:line="360" w:lineRule="auto"/>
        <w:ind w:left="1134" w:hanging="1134"/>
        <w:rPr>
          <w:rFonts w:ascii="Times New Roman" w:eastAsia="Calibri" w:hAnsi="Times New Roman" w:cs="Times New Roman"/>
          <w:b/>
          <w:bCs/>
        </w:rPr>
      </w:pPr>
    </w:p>
    <w:bookmarkEnd w:id="2"/>
    <w:p w14:paraId="1B5AF9C1" w14:textId="77777777" w:rsidR="005C0027" w:rsidRDefault="005C0027" w:rsidP="00C45620">
      <w:pPr>
        <w:spacing w:line="360" w:lineRule="auto"/>
        <w:jc w:val="both"/>
        <w:rPr>
          <w:rFonts w:ascii="Times New Roman" w:eastAsia="Calibri" w:hAnsi="Times New Roman" w:cs="Times New Roman"/>
        </w:rPr>
      </w:pPr>
    </w:p>
    <w:p w14:paraId="0C2C24C7" w14:textId="77777777" w:rsidR="005C0027" w:rsidRDefault="005C0027" w:rsidP="00C45620">
      <w:pPr>
        <w:spacing w:line="360" w:lineRule="auto"/>
        <w:jc w:val="both"/>
        <w:rPr>
          <w:rFonts w:ascii="Times New Roman" w:eastAsia="Calibri" w:hAnsi="Times New Roman" w:cs="Times New Roman"/>
        </w:rPr>
      </w:pPr>
    </w:p>
    <w:p w14:paraId="148B9A99" w14:textId="77777777" w:rsidR="005C0027" w:rsidRDefault="005C0027" w:rsidP="00C45620">
      <w:pPr>
        <w:spacing w:line="360" w:lineRule="auto"/>
        <w:jc w:val="both"/>
        <w:rPr>
          <w:rFonts w:ascii="Times New Roman" w:eastAsia="Calibri" w:hAnsi="Times New Roman" w:cs="Times New Roman"/>
        </w:rPr>
      </w:pPr>
    </w:p>
    <w:p w14:paraId="4AB68AD1" w14:textId="77777777" w:rsidR="00387E05" w:rsidRDefault="00387E05" w:rsidP="00C45620">
      <w:pPr>
        <w:spacing w:line="360" w:lineRule="auto"/>
        <w:jc w:val="both"/>
        <w:rPr>
          <w:rFonts w:ascii="Times New Roman" w:eastAsia="Calibri" w:hAnsi="Times New Roman" w:cs="Times New Roman"/>
        </w:rPr>
      </w:pPr>
    </w:p>
    <w:p w14:paraId="57F84659" w14:textId="77777777" w:rsidR="00F9401E" w:rsidRDefault="00F9401E" w:rsidP="00C45620">
      <w:pPr>
        <w:spacing w:line="360" w:lineRule="auto"/>
        <w:jc w:val="both"/>
        <w:rPr>
          <w:rFonts w:ascii="Times New Roman" w:eastAsia="Calibri" w:hAnsi="Times New Roman" w:cs="Times New Roman"/>
        </w:rPr>
      </w:pPr>
    </w:p>
    <w:p w14:paraId="6AAF96AD" w14:textId="568E9B93" w:rsidR="005C0027" w:rsidRDefault="005C0027" w:rsidP="005C0027">
      <w:pPr>
        <w:spacing w:after="0" w:line="240" w:lineRule="auto"/>
        <w:jc w:val="both"/>
      </w:pPr>
      <w:r>
        <w:rPr>
          <w:rFonts w:ascii="Times New Roman" w:eastAsia="Times New Roman" w:hAnsi="Times New Roman" w:cs="Times New Roman"/>
          <w:b/>
          <w:bCs/>
          <w:i/>
          <w:sz w:val="24"/>
          <w:szCs w:val="24"/>
        </w:rPr>
        <w:t xml:space="preserve">Table 1: </w:t>
      </w:r>
      <w:r w:rsidR="00390BD5" w:rsidRPr="00390BD5">
        <w:rPr>
          <w:rFonts w:ascii="Times New Roman" w:eastAsia="Times New Roman" w:hAnsi="Times New Roman" w:cs="Times New Roman"/>
          <w:b/>
          <w:bCs/>
          <w:i/>
          <w:sz w:val="24"/>
          <w:szCs w:val="24"/>
        </w:rPr>
        <w:t>Participants background characteristics (N=201</w:t>
      </w:r>
      <w:r w:rsidR="00390BD5">
        <w:rPr>
          <w:rFonts w:ascii="Times New Roman" w:eastAsia="Times New Roman" w:hAnsi="Times New Roman" w:cs="Times New Roman"/>
          <w:b/>
          <w:bCs/>
          <w:i/>
          <w:sz w:val="24"/>
          <w:szCs w:val="24"/>
        </w:rPr>
        <w:t>) (</w:t>
      </w:r>
      <w:r>
        <w:rPr>
          <w:rFonts w:ascii="Times New Roman" w:eastAsia="Times New Roman" w:hAnsi="Times New Roman" w:cs="Times New Roman"/>
          <w:b/>
          <w:bCs/>
          <w:i/>
          <w:sz w:val="24"/>
          <w:szCs w:val="24"/>
        </w:rPr>
        <w:t>continued</w:t>
      </w:r>
      <w:r w:rsidR="00390BD5">
        <w:rPr>
          <w:rFonts w:ascii="Times New Roman" w:eastAsia="Times New Roman" w:hAnsi="Times New Roman" w:cs="Times New Roman"/>
          <w:b/>
          <w:bCs/>
          <w:i/>
          <w:sz w:val="24"/>
          <w:szCs w:val="24"/>
        </w:rPr>
        <w:t>)</w:t>
      </w:r>
    </w:p>
    <w:tbl>
      <w:tblPr>
        <w:tblW w:w="9082" w:type="dxa"/>
        <w:jc w:val="center"/>
        <w:tblLook w:val="04A0" w:firstRow="1" w:lastRow="0" w:firstColumn="1" w:lastColumn="0" w:noHBand="0" w:noVBand="1"/>
      </w:tblPr>
      <w:tblGrid>
        <w:gridCol w:w="5679"/>
        <w:gridCol w:w="1685"/>
        <w:gridCol w:w="1718"/>
      </w:tblGrid>
      <w:tr w:rsidR="005C0027" w:rsidRPr="000A621C" w14:paraId="4706E397" w14:textId="77777777" w:rsidTr="00744817">
        <w:trPr>
          <w:trHeight w:val="57"/>
          <w:jc w:val="center"/>
        </w:trPr>
        <w:tc>
          <w:tcPr>
            <w:tcW w:w="5679" w:type="dxa"/>
            <w:tcBorders>
              <w:top w:val="single" w:sz="18" w:space="0" w:color="auto"/>
              <w:left w:val="nil"/>
              <w:bottom w:val="single" w:sz="18" w:space="0" w:color="auto"/>
              <w:right w:val="nil"/>
            </w:tcBorders>
            <w:noWrap/>
            <w:vAlign w:val="bottom"/>
            <w:hideMark/>
          </w:tcPr>
          <w:p w14:paraId="6D345C96"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Variable</w:t>
            </w:r>
          </w:p>
        </w:tc>
        <w:tc>
          <w:tcPr>
            <w:tcW w:w="1685" w:type="dxa"/>
            <w:tcBorders>
              <w:top w:val="single" w:sz="18" w:space="0" w:color="auto"/>
              <w:left w:val="nil"/>
              <w:bottom w:val="single" w:sz="18" w:space="0" w:color="auto"/>
              <w:right w:val="nil"/>
            </w:tcBorders>
            <w:noWrap/>
            <w:vAlign w:val="bottom"/>
            <w:hideMark/>
          </w:tcPr>
          <w:p w14:paraId="0CD0DC5C" w14:textId="77777777" w:rsidR="005C0027" w:rsidRPr="000A621C" w:rsidRDefault="005C0027" w:rsidP="00744817">
            <w:pPr>
              <w:spacing w:after="0" w:line="240" w:lineRule="auto"/>
              <w:jc w:val="center"/>
              <w:rPr>
                <w:rFonts w:ascii="Times New Roman" w:eastAsia="Times New Roman" w:hAnsi="Times New Roman" w:cs="Times New Roman"/>
                <w:b/>
                <w:bCs/>
              </w:rPr>
            </w:pPr>
            <w:r w:rsidRPr="000A621C">
              <w:rPr>
                <w:rFonts w:ascii="Times New Roman" w:eastAsia="Times New Roman" w:hAnsi="Times New Roman" w:cs="Times New Roman"/>
                <w:b/>
                <w:bCs/>
              </w:rPr>
              <w:t>Frequency</w:t>
            </w:r>
          </w:p>
        </w:tc>
        <w:tc>
          <w:tcPr>
            <w:tcW w:w="1718" w:type="dxa"/>
            <w:tcBorders>
              <w:top w:val="single" w:sz="18" w:space="0" w:color="auto"/>
              <w:left w:val="nil"/>
              <w:bottom w:val="single" w:sz="18" w:space="0" w:color="auto"/>
              <w:right w:val="nil"/>
            </w:tcBorders>
            <w:noWrap/>
            <w:vAlign w:val="bottom"/>
            <w:hideMark/>
          </w:tcPr>
          <w:p w14:paraId="43A25E42" w14:textId="77777777" w:rsidR="005C0027" w:rsidRPr="000A621C" w:rsidRDefault="005C0027" w:rsidP="00744817">
            <w:pPr>
              <w:spacing w:after="0" w:line="240" w:lineRule="auto"/>
              <w:jc w:val="center"/>
              <w:rPr>
                <w:rFonts w:ascii="Times New Roman" w:eastAsia="Times New Roman" w:hAnsi="Times New Roman" w:cs="Times New Roman"/>
                <w:b/>
                <w:bCs/>
              </w:rPr>
            </w:pPr>
            <w:r w:rsidRPr="000A621C">
              <w:rPr>
                <w:rFonts w:ascii="Times New Roman" w:eastAsia="Times New Roman" w:hAnsi="Times New Roman" w:cs="Times New Roman"/>
                <w:b/>
                <w:bCs/>
              </w:rPr>
              <w:t>Percentage</w:t>
            </w:r>
          </w:p>
        </w:tc>
      </w:tr>
      <w:tr w:rsidR="005C0027" w:rsidRPr="000A621C" w14:paraId="49609D09" w14:textId="77777777" w:rsidTr="00744817">
        <w:trPr>
          <w:trHeight w:val="57"/>
          <w:jc w:val="center"/>
        </w:trPr>
        <w:tc>
          <w:tcPr>
            <w:tcW w:w="5679" w:type="dxa"/>
            <w:noWrap/>
            <w:vAlign w:val="bottom"/>
            <w:hideMark/>
          </w:tcPr>
          <w:p w14:paraId="6E55FAFC"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Hours near work</w:t>
            </w:r>
          </w:p>
        </w:tc>
        <w:tc>
          <w:tcPr>
            <w:tcW w:w="1685" w:type="dxa"/>
            <w:noWrap/>
            <w:vAlign w:val="bottom"/>
            <w:hideMark/>
          </w:tcPr>
          <w:p w14:paraId="738A7B4C"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22A9063A"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3A980EA8" w14:textId="77777777" w:rsidTr="00744817">
        <w:trPr>
          <w:trHeight w:val="57"/>
          <w:jc w:val="center"/>
        </w:trPr>
        <w:tc>
          <w:tcPr>
            <w:tcW w:w="5679" w:type="dxa"/>
            <w:noWrap/>
            <w:vAlign w:val="bottom"/>
            <w:hideMark/>
          </w:tcPr>
          <w:p w14:paraId="1A75446E"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 2 hour a day</w:t>
            </w:r>
          </w:p>
        </w:tc>
        <w:tc>
          <w:tcPr>
            <w:tcW w:w="1685" w:type="dxa"/>
            <w:noWrap/>
            <w:vAlign w:val="bottom"/>
            <w:hideMark/>
          </w:tcPr>
          <w:p w14:paraId="1FCEE17E"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121</w:t>
            </w:r>
          </w:p>
        </w:tc>
        <w:tc>
          <w:tcPr>
            <w:tcW w:w="1718" w:type="dxa"/>
            <w:noWrap/>
            <w:vAlign w:val="bottom"/>
            <w:hideMark/>
          </w:tcPr>
          <w:p w14:paraId="5EAD54B8"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60.2</w:t>
            </w:r>
          </w:p>
        </w:tc>
      </w:tr>
      <w:tr w:rsidR="005C0027" w:rsidRPr="000A621C" w14:paraId="48E99A0A" w14:textId="77777777" w:rsidTr="00744817">
        <w:trPr>
          <w:trHeight w:val="57"/>
          <w:jc w:val="center"/>
        </w:trPr>
        <w:tc>
          <w:tcPr>
            <w:tcW w:w="5679" w:type="dxa"/>
            <w:noWrap/>
            <w:vAlign w:val="bottom"/>
            <w:hideMark/>
          </w:tcPr>
          <w:p w14:paraId="7677078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 2 hours a day</w:t>
            </w:r>
          </w:p>
        </w:tc>
        <w:tc>
          <w:tcPr>
            <w:tcW w:w="1685" w:type="dxa"/>
            <w:noWrap/>
            <w:vAlign w:val="bottom"/>
            <w:hideMark/>
          </w:tcPr>
          <w:p w14:paraId="4F682D8A"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80</w:t>
            </w:r>
          </w:p>
        </w:tc>
        <w:tc>
          <w:tcPr>
            <w:tcW w:w="1718" w:type="dxa"/>
            <w:noWrap/>
            <w:vAlign w:val="bottom"/>
            <w:hideMark/>
          </w:tcPr>
          <w:p w14:paraId="6AA7F833"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39.8</w:t>
            </w:r>
          </w:p>
        </w:tc>
      </w:tr>
      <w:tr w:rsidR="005C0027" w:rsidRPr="000A621C" w14:paraId="32111C86" w14:textId="77777777" w:rsidTr="00744817">
        <w:trPr>
          <w:trHeight w:val="57"/>
          <w:jc w:val="center"/>
        </w:trPr>
        <w:tc>
          <w:tcPr>
            <w:tcW w:w="5679" w:type="dxa"/>
            <w:noWrap/>
            <w:vAlign w:val="bottom"/>
            <w:hideMark/>
          </w:tcPr>
          <w:p w14:paraId="44C73F7C"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Hours outdoor</w:t>
            </w:r>
          </w:p>
        </w:tc>
        <w:tc>
          <w:tcPr>
            <w:tcW w:w="1685" w:type="dxa"/>
            <w:noWrap/>
            <w:vAlign w:val="bottom"/>
            <w:hideMark/>
          </w:tcPr>
          <w:p w14:paraId="2ADB4753"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394BF55F"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3247A1A3" w14:textId="77777777" w:rsidTr="00744817">
        <w:trPr>
          <w:trHeight w:val="57"/>
          <w:jc w:val="center"/>
        </w:trPr>
        <w:tc>
          <w:tcPr>
            <w:tcW w:w="5679" w:type="dxa"/>
            <w:noWrap/>
            <w:vAlign w:val="bottom"/>
            <w:hideMark/>
          </w:tcPr>
          <w:p w14:paraId="55800071"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&lt; 1 hour a day</w:t>
            </w:r>
          </w:p>
        </w:tc>
        <w:tc>
          <w:tcPr>
            <w:tcW w:w="1685" w:type="dxa"/>
            <w:noWrap/>
            <w:vAlign w:val="bottom"/>
            <w:hideMark/>
          </w:tcPr>
          <w:p w14:paraId="2A9DDEFF"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158</w:t>
            </w:r>
          </w:p>
        </w:tc>
        <w:tc>
          <w:tcPr>
            <w:tcW w:w="1718" w:type="dxa"/>
            <w:noWrap/>
            <w:vAlign w:val="bottom"/>
            <w:hideMark/>
          </w:tcPr>
          <w:p w14:paraId="05809E5A"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78.6</w:t>
            </w:r>
          </w:p>
        </w:tc>
      </w:tr>
      <w:tr w:rsidR="005C0027" w:rsidRPr="000A621C" w14:paraId="6BD25FB0" w14:textId="77777777" w:rsidTr="00744817">
        <w:trPr>
          <w:trHeight w:val="57"/>
          <w:jc w:val="center"/>
        </w:trPr>
        <w:tc>
          <w:tcPr>
            <w:tcW w:w="5679" w:type="dxa"/>
            <w:noWrap/>
            <w:vAlign w:val="bottom"/>
            <w:hideMark/>
          </w:tcPr>
          <w:p w14:paraId="0110B3E0"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 1 hour a day</w:t>
            </w:r>
          </w:p>
        </w:tc>
        <w:tc>
          <w:tcPr>
            <w:tcW w:w="1685" w:type="dxa"/>
            <w:noWrap/>
            <w:vAlign w:val="bottom"/>
            <w:hideMark/>
          </w:tcPr>
          <w:p w14:paraId="78D13AB0"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43</w:t>
            </w:r>
          </w:p>
        </w:tc>
        <w:tc>
          <w:tcPr>
            <w:tcW w:w="1718" w:type="dxa"/>
            <w:noWrap/>
            <w:vAlign w:val="bottom"/>
            <w:hideMark/>
          </w:tcPr>
          <w:p w14:paraId="0DC5797D"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21.4</w:t>
            </w:r>
          </w:p>
        </w:tc>
      </w:tr>
      <w:tr w:rsidR="005C0027" w:rsidRPr="000A621C" w14:paraId="6C85F2A4" w14:textId="77777777" w:rsidTr="00744817">
        <w:trPr>
          <w:trHeight w:val="57"/>
          <w:jc w:val="center"/>
        </w:trPr>
        <w:tc>
          <w:tcPr>
            <w:tcW w:w="5679" w:type="dxa"/>
            <w:noWrap/>
            <w:vAlign w:val="bottom"/>
            <w:hideMark/>
          </w:tcPr>
          <w:p w14:paraId="00ADD462"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Degree of Myopia</w:t>
            </w:r>
          </w:p>
        </w:tc>
        <w:tc>
          <w:tcPr>
            <w:tcW w:w="1685" w:type="dxa"/>
            <w:noWrap/>
            <w:vAlign w:val="bottom"/>
            <w:hideMark/>
          </w:tcPr>
          <w:p w14:paraId="27B96761"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0EBFBB6D"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4AF9B1E7" w14:textId="77777777" w:rsidTr="00744817">
        <w:trPr>
          <w:trHeight w:val="57"/>
          <w:jc w:val="center"/>
        </w:trPr>
        <w:tc>
          <w:tcPr>
            <w:tcW w:w="5679" w:type="dxa"/>
            <w:noWrap/>
            <w:vAlign w:val="bottom"/>
            <w:hideMark/>
          </w:tcPr>
          <w:p w14:paraId="69BA5BF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Low</w:t>
            </w:r>
          </w:p>
        </w:tc>
        <w:tc>
          <w:tcPr>
            <w:tcW w:w="1685" w:type="dxa"/>
            <w:noWrap/>
            <w:vAlign w:val="bottom"/>
            <w:hideMark/>
          </w:tcPr>
          <w:p w14:paraId="2D665DC2"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131</w:t>
            </w:r>
          </w:p>
        </w:tc>
        <w:tc>
          <w:tcPr>
            <w:tcW w:w="1718" w:type="dxa"/>
            <w:noWrap/>
            <w:vAlign w:val="bottom"/>
            <w:hideMark/>
          </w:tcPr>
          <w:p w14:paraId="4B27A535"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65.2</w:t>
            </w:r>
          </w:p>
        </w:tc>
      </w:tr>
      <w:tr w:rsidR="005C0027" w:rsidRPr="000A621C" w14:paraId="1A721C1C" w14:textId="77777777" w:rsidTr="00744817">
        <w:trPr>
          <w:trHeight w:val="57"/>
          <w:jc w:val="center"/>
        </w:trPr>
        <w:tc>
          <w:tcPr>
            <w:tcW w:w="5679" w:type="dxa"/>
            <w:noWrap/>
            <w:vAlign w:val="bottom"/>
            <w:hideMark/>
          </w:tcPr>
          <w:p w14:paraId="682AC7FA"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Moderate</w:t>
            </w:r>
          </w:p>
        </w:tc>
        <w:tc>
          <w:tcPr>
            <w:tcW w:w="1685" w:type="dxa"/>
            <w:noWrap/>
            <w:vAlign w:val="bottom"/>
            <w:hideMark/>
          </w:tcPr>
          <w:p w14:paraId="4C46B296"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27</w:t>
            </w:r>
          </w:p>
        </w:tc>
        <w:tc>
          <w:tcPr>
            <w:tcW w:w="1718" w:type="dxa"/>
            <w:noWrap/>
            <w:vAlign w:val="bottom"/>
            <w:hideMark/>
          </w:tcPr>
          <w:p w14:paraId="4F3E0C7E"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13.4</w:t>
            </w:r>
          </w:p>
        </w:tc>
      </w:tr>
      <w:tr w:rsidR="005C0027" w:rsidRPr="000A621C" w14:paraId="26CC3B04" w14:textId="77777777" w:rsidTr="00744817">
        <w:trPr>
          <w:trHeight w:val="57"/>
          <w:jc w:val="center"/>
        </w:trPr>
        <w:tc>
          <w:tcPr>
            <w:tcW w:w="5679" w:type="dxa"/>
            <w:noWrap/>
            <w:vAlign w:val="bottom"/>
            <w:hideMark/>
          </w:tcPr>
          <w:p w14:paraId="26AD2BF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High</w:t>
            </w:r>
          </w:p>
        </w:tc>
        <w:tc>
          <w:tcPr>
            <w:tcW w:w="1685" w:type="dxa"/>
            <w:noWrap/>
            <w:vAlign w:val="bottom"/>
            <w:hideMark/>
          </w:tcPr>
          <w:p w14:paraId="5C7BD195"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43</w:t>
            </w:r>
          </w:p>
        </w:tc>
        <w:tc>
          <w:tcPr>
            <w:tcW w:w="1718" w:type="dxa"/>
            <w:noWrap/>
            <w:vAlign w:val="bottom"/>
            <w:hideMark/>
          </w:tcPr>
          <w:p w14:paraId="152425D6"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21.4</w:t>
            </w:r>
          </w:p>
        </w:tc>
      </w:tr>
      <w:tr w:rsidR="005C0027" w:rsidRPr="000A621C" w14:paraId="4212F208" w14:textId="77777777" w:rsidTr="003716AD">
        <w:trPr>
          <w:trHeight w:val="57"/>
          <w:jc w:val="center"/>
        </w:trPr>
        <w:tc>
          <w:tcPr>
            <w:tcW w:w="5679" w:type="dxa"/>
            <w:noWrap/>
            <w:vAlign w:val="bottom"/>
            <w:hideMark/>
          </w:tcPr>
          <w:p w14:paraId="0400CBBE" w14:textId="77777777" w:rsidR="005C0027" w:rsidRPr="000A621C" w:rsidRDefault="005C0027"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b/>
                <w:bCs/>
              </w:rPr>
              <w:t>Family History</w:t>
            </w:r>
          </w:p>
        </w:tc>
        <w:tc>
          <w:tcPr>
            <w:tcW w:w="1685" w:type="dxa"/>
            <w:noWrap/>
            <w:vAlign w:val="bottom"/>
            <w:hideMark/>
          </w:tcPr>
          <w:p w14:paraId="2D94EFD9"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45C217AC"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52897932" w14:textId="77777777" w:rsidTr="00744817">
        <w:trPr>
          <w:trHeight w:val="57"/>
          <w:jc w:val="center"/>
        </w:trPr>
        <w:tc>
          <w:tcPr>
            <w:tcW w:w="5679" w:type="dxa"/>
            <w:noWrap/>
            <w:vAlign w:val="bottom"/>
            <w:hideMark/>
          </w:tcPr>
          <w:p w14:paraId="6BDC00DC" w14:textId="77777777" w:rsidR="005C0027"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w:t>
            </w:r>
          </w:p>
          <w:p w14:paraId="7219DD99" w14:textId="77777777" w:rsidR="00804836" w:rsidRDefault="00804836"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Sibling wearing spectacles for distant vision</w:t>
            </w:r>
          </w:p>
          <w:p w14:paraId="65572327" w14:textId="77777777" w:rsidR="00804836" w:rsidRPr="000A621C" w:rsidRDefault="00804836"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 xml:space="preserve">Parent </w:t>
            </w:r>
            <w:proofErr w:type="spellStart"/>
            <w:r>
              <w:rPr>
                <w:rFonts w:ascii="Times New Roman" w:eastAsia="Times New Roman" w:hAnsi="Times New Roman" w:cs="Times New Roman"/>
              </w:rPr>
              <w:t>waersing</w:t>
            </w:r>
            <w:proofErr w:type="spellEnd"/>
            <w:r>
              <w:rPr>
                <w:rFonts w:ascii="Times New Roman" w:eastAsia="Times New Roman" w:hAnsi="Times New Roman" w:cs="Times New Roman"/>
              </w:rPr>
              <w:t xml:space="preserve"> spectacles for distant vision</w:t>
            </w:r>
          </w:p>
        </w:tc>
        <w:tc>
          <w:tcPr>
            <w:tcW w:w="1685" w:type="dxa"/>
            <w:noWrap/>
            <w:vAlign w:val="bottom"/>
            <w:hideMark/>
          </w:tcPr>
          <w:p w14:paraId="5AEC70A6" w14:textId="77777777" w:rsidR="005C0027"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100</w:t>
            </w:r>
          </w:p>
          <w:p w14:paraId="3BAA7635" w14:textId="77777777" w:rsidR="00804836"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p w14:paraId="1585AA4B" w14:textId="77777777" w:rsidR="00804836"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718" w:type="dxa"/>
            <w:noWrap/>
            <w:vAlign w:val="bottom"/>
            <w:hideMark/>
          </w:tcPr>
          <w:p w14:paraId="43E2CD52" w14:textId="77777777" w:rsidR="005C0027"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49.7</w:t>
            </w:r>
          </w:p>
          <w:p w14:paraId="6EEBA6F7" w14:textId="77777777" w:rsidR="00804836"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24.9</w:t>
            </w:r>
          </w:p>
          <w:p w14:paraId="61714C50" w14:textId="77777777" w:rsidR="00804836"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w:t>
            </w:r>
          </w:p>
        </w:tc>
      </w:tr>
      <w:tr w:rsidR="005C0027" w:rsidRPr="000A621C" w14:paraId="74EF9927" w14:textId="77777777" w:rsidTr="003716AD">
        <w:trPr>
          <w:trHeight w:val="57"/>
          <w:jc w:val="center"/>
        </w:trPr>
        <w:tc>
          <w:tcPr>
            <w:tcW w:w="5679" w:type="dxa"/>
            <w:tcBorders>
              <w:bottom w:val="single" w:sz="12" w:space="0" w:color="auto"/>
            </w:tcBorders>
            <w:noWrap/>
            <w:vAlign w:val="bottom"/>
            <w:hideMark/>
          </w:tcPr>
          <w:p w14:paraId="7EFB4EB9" w14:textId="77777777" w:rsidR="005C0027" w:rsidRPr="000A621C" w:rsidRDefault="003716AD"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1685" w:type="dxa"/>
            <w:tcBorders>
              <w:bottom w:val="single" w:sz="12" w:space="0" w:color="auto"/>
            </w:tcBorders>
            <w:noWrap/>
            <w:vAlign w:val="bottom"/>
            <w:hideMark/>
          </w:tcPr>
          <w:p w14:paraId="0A080E10" w14:textId="77777777" w:rsidR="005C0027"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718" w:type="dxa"/>
            <w:tcBorders>
              <w:bottom w:val="single" w:sz="12" w:space="0" w:color="auto"/>
            </w:tcBorders>
            <w:noWrap/>
            <w:vAlign w:val="bottom"/>
            <w:hideMark/>
          </w:tcPr>
          <w:p w14:paraId="72104337" w14:textId="77777777" w:rsidR="005C0027"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26D356E5" w14:textId="77777777" w:rsidR="005C0027" w:rsidRDefault="005C0027" w:rsidP="005C0027">
      <w:pPr>
        <w:spacing w:after="0" w:line="360" w:lineRule="auto"/>
        <w:jc w:val="both"/>
        <w:rPr>
          <w:rFonts w:ascii="Times New Roman" w:hAnsi="Times New Roman" w:cs="Times New Roman"/>
          <w:sz w:val="24"/>
          <w:szCs w:val="24"/>
        </w:rPr>
      </w:pPr>
    </w:p>
    <w:p w14:paraId="14B94E0F" w14:textId="77777777" w:rsidR="005C0027" w:rsidRPr="00570AA4" w:rsidRDefault="005C0027" w:rsidP="00C45620">
      <w:pPr>
        <w:spacing w:line="360" w:lineRule="auto"/>
        <w:jc w:val="both"/>
        <w:rPr>
          <w:rFonts w:ascii="Times New Roman" w:eastAsia="Calibri" w:hAnsi="Times New Roman" w:cs="Times New Roman"/>
        </w:rPr>
      </w:pPr>
    </w:p>
    <w:p w14:paraId="23F45823" w14:textId="77777777" w:rsidR="00C45620" w:rsidRPr="00570AA4" w:rsidRDefault="00C45620" w:rsidP="00C45620">
      <w:pPr>
        <w:rPr>
          <w:rFonts w:ascii="Times New Roman" w:eastAsia="Times New Roman" w:hAnsi="Times New Roman" w:cs="Times New Roman"/>
          <w:b/>
        </w:rPr>
      </w:pPr>
      <w:r w:rsidRPr="00570AA4">
        <w:rPr>
          <w:rFonts w:ascii="Times New Roman" w:eastAsia="Calibri" w:hAnsi="Times New Roman" w:cs="Times New Roman"/>
        </w:rPr>
        <w:br w:type="page"/>
      </w:r>
    </w:p>
    <w:p w14:paraId="6FE60384" w14:textId="77777777" w:rsidR="003C0E6C" w:rsidRDefault="003C0E6C" w:rsidP="006667EE">
      <w:pPr>
        <w:spacing w:before="240"/>
        <w:jc w:val="both"/>
        <w:rPr>
          <w:rFonts w:ascii="Times New Roman" w:hAnsi="Times New Roman" w:cs="Times New Roman"/>
          <w:b/>
        </w:rPr>
      </w:pPr>
      <w:r w:rsidRPr="003C0E6C">
        <w:rPr>
          <w:rFonts w:ascii="Times New Roman" w:hAnsi="Times New Roman" w:cs="Times New Roman"/>
          <w:b/>
        </w:rPr>
        <w:lastRenderedPageBreak/>
        <w:t>Factors associated with myopia progression</w:t>
      </w:r>
      <w:r>
        <w:rPr>
          <w:rFonts w:ascii="Times New Roman" w:hAnsi="Times New Roman" w:cs="Times New Roman"/>
          <w:b/>
        </w:rPr>
        <w:t>:</w:t>
      </w:r>
    </w:p>
    <w:p w14:paraId="6621BFC2"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Out of 201 participants, 127 (63.2%) experienced myopia progression. In the unadjusted analysis</w:t>
      </w:r>
      <w:r w:rsidR="00550B87" w:rsidRPr="009D51EF">
        <w:rPr>
          <w:rFonts w:ascii="Times New Roman" w:hAnsi="Times New Roman" w:cs="Times New Roman"/>
        </w:rPr>
        <w:t xml:space="preserve"> </w:t>
      </w:r>
      <w:r w:rsidR="00550B87" w:rsidRPr="009D51EF">
        <w:rPr>
          <w:rFonts w:ascii="Times New Roman" w:hAnsi="Times New Roman" w:cs="Times New Roman"/>
          <w:b/>
        </w:rPr>
        <w:t>(Table 2)</w:t>
      </w:r>
      <w:r w:rsidR="00550B87" w:rsidRPr="009D51EF">
        <w:rPr>
          <w:rFonts w:ascii="Times New Roman" w:hAnsi="Times New Roman" w:cs="Times New Roman"/>
        </w:rPr>
        <w:t>,</w:t>
      </w:r>
      <w:r w:rsidRPr="009D51EF">
        <w:rPr>
          <w:rFonts w:ascii="Times New Roman" w:hAnsi="Times New Roman" w:cs="Times New Roman"/>
        </w:rPr>
        <w:t xml:space="preserve"> several factors were significantly associated with progression. Male participants (49/89; 55.1%) had a lower progression rate compared to females (78/112; 69.6%) (PR = 0.79, 95% CI: 0.63–0.98, p = 0.04). Non-spectacle wearers (27/33; 81.8%) had a higher rate of progression than wearers (100/168; 59.5%) (PR = 1.37, 95% CI: 1.12–1.69, p = 0.002). Children who watched TV from a distance of ≤2 meters (74/92; 80.4%) were significantly more likely to progress compared to those who viewed from &gt;2 meters (53/109; 48.6%) (PR = 1.65, 95% CI: 1.33–2.06, p &lt; 0.001).</w:t>
      </w:r>
    </w:p>
    <w:p w14:paraId="37C66964"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Mobile device users (57/71; 80.3%) showed a higher progression rate compared to non-users (70/130; 53.8%) (PR = 1.49, 95% CI: 1.22–1.82, p &lt; 0.001). Those engaging in more than two hours of near work daily (68/80; 85%) had a significantly higher progression rate than those with ≤2 hours of near work (59/121; 48.8%) (PR = 1.74, 95% CI: 1.42–2.14, p &lt; 0.001). Children who spent less than one hour outdoors per day (108/158; 68.4%) also had higher progression compared to those spending more than an hour outdoors (19/43; 44.2%) (PR = 0.65, 95% CI: 0.45–0.92, p = 0.015). A positive family history (82/101; 81.2%) was also strongly associated with progression compared to those with no history (45/100; 45%) (PR = 1.80, 95% CI: 1.42–2.29, p &lt; 0.001).</w:t>
      </w:r>
    </w:p>
    <w:p w14:paraId="51C5FB17"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 xml:space="preserve">Variables with a p-value &lt;0.1 were entered into a stepwise multivariable regression model, with age and sex retained in the model by design. In the adjusted </w:t>
      </w:r>
      <w:r w:rsidR="00066CB3" w:rsidRPr="009D51EF">
        <w:rPr>
          <w:rFonts w:ascii="Times New Roman" w:hAnsi="Times New Roman" w:cs="Times New Roman"/>
        </w:rPr>
        <w:t>analysis</w:t>
      </w:r>
      <w:r w:rsidR="00066CB3" w:rsidRPr="009D51EF">
        <w:rPr>
          <w:rFonts w:ascii="Times New Roman" w:hAnsi="Times New Roman" w:cs="Times New Roman"/>
          <w:b/>
        </w:rPr>
        <w:t xml:space="preserve"> (</w:t>
      </w:r>
      <w:r w:rsidR="00BE428A" w:rsidRPr="009D51EF">
        <w:rPr>
          <w:rFonts w:ascii="Times New Roman" w:hAnsi="Times New Roman" w:cs="Times New Roman"/>
          <w:b/>
        </w:rPr>
        <w:t>Table 3)</w:t>
      </w:r>
      <w:r w:rsidRPr="009D51EF">
        <w:rPr>
          <w:rFonts w:ascii="Times New Roman" w:hAnsi="Times New Roman" w:cs="Times New Roman"/>
        </w:rPr>
        <w:t>, four variables remained significantly associated with myopia progression. Children aged over 13 years were significantly less likely to progress compared to those aged ≤9 years (PR = 0.64, 95% CI: 0.43–0.96, p = 0.03). Viewing TV at a distance of ≤2 meters remained a risk factor (PR = 1.31, 95% CI: 1.07–1.62, p = 0.01), as did performing more than two hours of near work per day (PR = 1.55, 95% CI: 1.23–1.94, p &lt; 0.001). A positive family history continued to show a strong association (PR = 1.53, 95% CI: 1.23–1.91, p &lt; 0.001).</w:t>
      </w:r>
    </w:p>
    <w:p w14:paraId="333E926C" w14:textId="77777777" w:rsidR="00550B87" w:rsidRPr="009D51EF" w:rsidRDefault="00550B87" w:rsidP="00550B87">
      <w:pPr>
        <w:pStyle w:val="NoSpacing"/>
        <w:rPr>
          <w:rFonts w:ascii="Times New Roman" w:hAnsi="Times New Roman" w:cs="Times New Roman"/>
        </w:rPr>
      </w:pPr>
      <w:r w:rsidRPr="009D51EF">
        <w:rPr>
          <w:rFonts w:ascii="Times New Roman" w:hAnsi="Times New Roman" w:cs="Times New Roman"/>
        </w:rPr>
        <w:t>Sex, outdoor time, and age 10–13 years were not significantly associated in the adjusted model. The final model showed no multicollinearity (VIF = 1.96).</w:t>
      </w:r>
    </w:p>
    <w:p w14:paraId="028416C0" w14:textId="77777777" w:rsidR="006667EE" w:rsidRPr="00F6744C" w:rsidRDefault="006667EE" w:rsidP="006667EE">
      <w:pPr>
        <w:spacing w:before="240" w:after="0"/>
        <w:rPr>
          <w:rFonts w:ascii="Times New Roman" w:hAnsi="Times New Roman" w:cs="Times New Roman"/>
        </w:rPr>
      </w:pPr>
      <w:r w:rsidRPr="00C75BF6">
        <w:rPr>
          <w:rFonts w:ascii="Times New Roman" w:hAnsi="Times New Roman" w:cs="Times New Roman"/>
          <w:b/>
          <w:bCs/>
        </w:rPr>
        <w:t>Table 2</w:t>
      </w:r>
      <w:r>
        <w:rPr>
          <w:rFonts w:ascii="Times New Roman" w:hAnsi="Times New Roman" w:cs="Times New Roman"/>
          <w:b/>
          <w:bCs/>
        </w:rPr>
        <w:t xml:space="preserve">: </w:t>
      </w:r>
      <w:r w:rsidRPr="00F6744C">
        <w:rPr>
          <w:rFonts w:ascii="Times New Roman" w:hAnsi="Times New Roman" w:cs="Times New Roman"/>
        </w:rPr>
        <w:t>Distribution of Myopia progression and its associated factors in unadjusted/crude analysis</w:t>
      </w:r>
    </w:p>
    <w:tbl>
      <w:tblPr>
        <w:tblW w:w="9985" w:type="dxa"/>
        <w:tblLook w:val="04A0" w:firstRow="1" w:lastRow="0" w:firstColumn="1" w:lastColumn="0" w:noHBand="0" w:noVBand="1"/>
      </w:tblPr>
      <w:tblGrid>
        <w:gridCol w:w="4836"/>
        <w:gridCol w:w="2089"/>
        <w:gridCol w:w="1898"/>
        <w:gridCol w:w="1162"/>
      </w:tblGrid>
      <w:tr w:rsidR="006667EE" w:rsidRPr="006D2427" w14:paraId="13915C72" w14:textId="77777777" w:rsidTr="0079675D">
        <w:trPr>
          <w:trHeight w:val="315"/>
        </w:trPr>
        <w:tc>
          <w:tcPr>
            <w:tcW w:w="4836" w:type="dxa"/>
            <w:tcBorders>
              <w:top w:val="single" w:sz="12" w:space="0" w:color="auto"/>
            </w:tcBorders>
            <w:shd w:val="clear" w:color="auto" w:fill="auto"/>
            <w:noWrap/>
            <w:vAlign w:val="bottom"/>
            <w:hideMark/>
          </w:tcPr>
          <w:p w14:paraId="20696B3D"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Variable</w:t>
            </w:r>
          </w:p>
        </w:tc>
        <w:tc>
          <w:tcPr>
            <w:tcW w:w="2089" w:type="dxa"/>
            <w:tcBorders>
              <w:top w:val="single" w:sz="12" w:space="0" w:color="auto"/>
              <w:bottom w:val="single" w:sz="12" w:space="0" w:color="auto"/>
            </w:tcBorders>
            <w:shd w:val="clear" w:color="auto" w:fill="auto"/>
            <w:vAlign w:val="bottom"/>
          </w:tcPr>
          <w:p w14:paraId="0743D271"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583D65">
              <w:rPr>
                <w:rFonts w:ascii="Times New Roman" w:eastAsia="Times New Roman" w:hAnsi="Times New Roman" w:cs="Times New Roman"/>
                <w:b/>
                <w:bCs/>
                <w:color w:val="000000"/>
              </w:rPr>
              <w:t xml:space="preserve">Progression of </w:t>
            </w:r>
            <w:r w:rsidRPr="00583D65">
              <w:rPr>
                <w:rFonts w:ascii="Times New Roman" w:hAnsi="Times New Roman" w:cs="Times New Roman"/>
                <w:b/>
                <w:bCs/>
              </w:rPr>
              <w:t>Myopia</w:t>
            </w:r>
            <w:r>
              <w:rPr>
                <w:rFonts w:ascii="Times New Roman" w:hAnsi="Times New Roman" w:cs="Times New Roman"/>
                <w:b/>
                <w:bCs/>
              </w:rPr>
              <w:t xml:space="preserve">, </w:t>
            </w:r>
            <w:r>
              <w:rPr>
                <w:rFonts w:ascii="Times New Roman" w:hAnsi="Times New Roman" w:cs="Times New Roman"/>
              </w:rPr>
              <w:t>(N=127)</w:t>
            </w:r>
            <w:r>
              <w:rPr>
                <w:rFonts w:ascii="Times New Roman" w:eastAsia="Times New Roman" w:hAnsi="Times New Roman" w:cs="Times New Roman"/>
                <w:b/>
                <w:bCs/>
                <w:color w:val="000000"/>
              </w:rPr>
              <w:t xml:space="preserve"> </w:t>
            </w:r>
          </w:p>
        </w:tc>
        <w:tc>
          <w:tcPr>
            <w:tcW w:w="1898" w:type="dxa"/>
            <w:tcBorders>
              <w:top w:val="single" w:sz="12" w:space="0" w:color="auto"/>
              <w:bottom w:val="single" w:sz="12" w:space="0" w:color="auto"/>
            </w:tcBorders>
            <w:vAlign w:val="bottom"/>
          </w:tcPr>
          <w:p w14:paraId="4FECE3E9"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Unadjusted</w:t>
            </w:r>
          </w:p>
        </w:tc>
        <w:tc>
          <w:tcPr>
            <w:tcW w:w="1162" w:type="dxa"/>
            <w:tcBorders>
              <w:top w:val="single" w:sz="12" w:space="0" w:color="auto"/>
            </w:tcBorders>
            <w:vAlign w:val="bottom"/>
          </w:tcPr>
          <w:p w14:paraId="4DF03796"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r w:rsidRPr="0094224F">
              <w:rPr>
                <w:rFonts w:ascii="Times New Roman" w:eastAsia="Times New Roman" w:hAnsi="Times New Roman" w:cs="Times New Roman"/>
                <w:b/>
                <w:bCs/>
                <w:color w:val="000000"/>
              </w:rPr>
              <w:t>P-value</w:t>
            </w:r>
          </w:p>
        </w:tc>
      </w:tr>
      <w:tr w:rsidR="006667EE" w:rsidRPr="006D2427" w14:paraId="2FD28F53" w14:textId="77777777" w:rsidTr="0079675D">
        <w:trPr>
          <w:trHeight w:val="315"/>
        </w:trPr>
        <w:tc>
          <w:tcPr>
            <w:tcW w:w="4836" w:type="dxa"/>
            <w:shd w:val="clear" w:color="auto" w:fill="auto"/>
            <w:noWrap/>
            <w:vAlign w:val="bottom"/>
            <w:hideMark/>
          </w:tcPr>
          <w:p w14:paraId="4A944AEB" w14:textId="77777777" w:rsidR="006667EE" w:rsidRPr="006D2427" w:rsidRDefault="006667EE" w:rsidP="0079675D">
            <w:pPr>
              <w:spacing w:after="0" w:line="240" w:lineRule="auto"/>
              <w:rPr>
                <w:rFonts w:ascii="Times New Roman" w:eastAsia="Times New Roman" w:hAnsi="Times New Roman" w:cs="Times New Roman"/>
                <w:color w:val="000000"/>
              </w:rPr>
            </w:pPr>
            <w:r w:rsidRPr="006D2427">
              <w:rPr>
                <w:rFonts w:ascii="Times New Roman" w:eastAsia="Times New Roman" w:hAnsi="Times New Roman" w:cs="Times New Roman"/>
                <w:color w:val="000000"/>
              </w:rPr>
              <w:t> </w:t>
            </w:r>
          </w:p>
        </w:tc>
        <w:tc>
          <w:tcPr>
            <w:tcW w:w="2089" w:type="dxa"/>
            <w:tcBorders>
              <w:top w:val="single" w:sz="12" w:space="0" w:color="auto"/>
            </w:tcBorders>
            <w:shd w:val="clear" w:color="auto" w:fill="auto"/>
            <w:noWrap/>
            <w:vAlign w:val="bottom"/>
            <w:hideMark/>
          </w:tcPr>
          <w:p w14:paraId="360AFA7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roofErr w:type="gramStart"/>
            <w:r w:rsidRPr="00746511">
              <w:rPr>
                <w:rFonts w:ascii="Times New Roman" w:eastAsia="Times New Roman" w:hAnsi="Times New Roman" w:cs="Times New Roman"/>
                <w:b/>
                <w:bCs/>
                <w:color w:val="000000"/>
              </w:rPr>
              <w:t>n(</w:t>
            </w:r>
            <w:proofErr w:type="gramEnd"/>
            <w:r w:rsidRPr="00746511">
              <w:rPr>
                <w:rFonts w:ascii="Times New Roman" w:eastAsia="Times New Roman" w:hAnsi="Times New Roman" w:cs="Times New Roman"/>
                <w:b/>
                <w:bCs/>
                <w:color w:val="000000"/>
              </w:rPr>
              <w:t>%)</w:t>
            </w:r>
          </w:p>
        </w:tc>
        <w:tc>
          <w:tcPr>
            <w:tcW w:w="1898" w:type="dxa"/>
            <w:tcBorders>
              <w:top w:val="single" w:sz="12" w:space="0" w:color="auto"/>
            </w:tcBorders>
            <w:shd w:val="clear" w:color="auto" w:fill="auto"/>
            <w:vAlign w:val="bottom"/>
          </w:tcPr>
          <w:p w14:paraId="5E3803BE"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r w:rsidRPr="0094224F">
              <w:rPr>
                <w:rFonts w:ascii="Times New Roman" w:eastAsia="Times New Roman" w:hAnsi="Times New Roman" w:cs="Times New Roman"/>
                <w:b/>
                <w:bCs/>
                <w:color w:val="000000"/>
              </w:rPr>
              <w:t>PR(95%CI)</w:t>
            </w:r>
          </w:p>
        </w:tc>
        <w:tc>
          <w:tcPr>
            <w:tcW w:w="1162" w:type="dxa"/>
            <w:shd w:val="clear" w:color="auto" w:fill="auto"/>
            <w:vAlign w:val="bottom"/>
          </w:tcPr>
          <w:p w14:paraId="25F47FAB"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r>
      <w:tr w:rsidR="006667EE" w:rsidRPr="006D2427" w14:paraId="7B1C5BC5" w14:textId="77777777" w:rsidTr="0079675D">
        <w:trPr>
          <w:trHeight w:val="330"/>
        </w:trPr>
        <w:tc>
          <w:tcPr>
            <w:tcW w:w="4836" w:type="dxa"/>
            <w:tcBorders>
              <w:top w:val="single" w:sz="12" w:space="0" w:color="auto"/>
            </w:tcBorders>
            <w:shd w:val="clear" w:color="auto" w:fill="auto"/>
            <w:noWrap/>
            <w:vAlign w:val="bottom"/>
            <w:hideMark/>
          </w:tcPr>
          <w:p w14:paraId="3BD13294" w14:textId="77777777" w:rsidR="006667EE" w:rsidRPr="006D2427" w:rsidRDefault="006667EE" w:rsidP="0079675D">
            <w:pPr>
              <w:spacing w:after="0" w:line="240" w:lineRule="auto"/>
              <w:rPr>
                <w:rFonts w:ascii="Times New Roman" w:eastAsia="Times New Roman" w:hAnsi="Times New Roman" w:cs="Times New Roman"/>
                <w:color w:val="000000"/>
              </w:rPr>
            </w:pPr>
            <w:r w:rsidRPr="006D2427">
              <w:rPr>
                <w:rFonts w:ascii="Times New Roman" w:eastAsia="Times New Roman" w:hAnsi="Times New Roman" w:cs="Times New Roman"/>
                <w:color w:val="000000"/>
              </w:rPr>
              <w:t> </w:t>
            </w:r>
          </w:p>
        </w:tc>
        <w:tc>
          <w:tcPr>
            <w:tcW w:w="2089" w:type="dxa"/>
            <w:tcBorders>
              <w:top w:val="single" w:sz="12" w:space="0" w:color="auto"/>
            </w:tcBorders>
            <w:shd w:val="clear" w:color="auto" w:fill="auto"/>
            <w:noWrap/>
            <w:vAlign w:val="bottom"/>
            <w:hideMark/>
          </w:tcPr>
          <w:p w14:paraId="638E1FE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tcBorders>
              <w:top w:val="single" w:sz="12" w:space="0" w:color="auto"/>
            </w:tcBorders>
            <w:vAlign w:val="bottom"/>
          </w:tcPr>
          <w:p w14:paraId="5E6B7780"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c>
          <w:tcPr>
            <w:tcW w:w="1162" w:type="dxa"/>
            <w:tcBorders>
              <w:top w:val="single" w:sz="12" w:space="0" w:color="auto"/>
            </w:tcBorders>
            <w:vAlign w:val="bottom"/>
          </w:tcPr>
          <w:p w14:paraId="5BD45060"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r>
      <w:tr w:rsidR="006667EE" w:rsidRPr="006D2427" w14:paraId="15DE36D3" w14:textId="77777777" w:rsidTr="0079675D">
        <w:trPr>
          <w:trHeight w:val="330"/>
        </w:trPr>
        <w:tc>
          <w:tcPr>
            <w:tcW w:w="4836" w:type="dxa"/>
            <w:shd w:val="clear" w:color="auto" w:fill="auto"/>
            <w:noWrap/>
            <w:vAlign w:val="center"/>
            <w:hideMark/>
          </w:tcPr>
          <w:p w14:paraId="09F9A029"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Age</w:t>
            </w:r>
            <w:r>
              <w:rPr>
                <w:rFonts w:ascii="Times New Roman" w:eastAsia="Times New Roman" w:hAnsi="Times New Roman" w:cs="Times New Roman"/>
                <w:b/>
                <w:bCs/>
                <w:color w:val="000000"/>
              </w:rPr>
              <w:t xml:space="preserve"> of the participant</w:t>
            </w:r>
            <w:r w:rsidRPr="006D2427">
              <w:rPr>
                <w:rFonts w:ascii="Times New Roman" w:eastAsia="Times New Roman" w:hAnsi="Times New Roman" w:cs="Times New Roman"/>
                <w:b/>
                <w:bCs/>
                <w:color w:val="000000"/>
              </w:rPr>
              <w:t xml:space="preserve"> in Years</w:t>
            </w:r>
          </w:p>
        </w:tc>
        <w:tc>
          <w:tcPr>
            <w:tcW w:w="2089" w:type="dxa"/>
            <w:shd w:val="clear" w:color="auto" w:fill="auto"/>
            <w:noWrap/>
            <w:vAlign w:val="bottom"/>
            <w:hideMark/>
          </w:tcPr>
          <w:p w14:paraId="488207A8"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F6C8BC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423C142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75663EED" w14:textId="77777777" w:rsidTr="0079675D">
        <w:trPr>
          <w:trHeight w:val="330"/>
        </w:trPr>
        <w:tc>
          <w:tcPr>
            <w:tcW w:w="4836" w:type="dxa"/>
            <w:shd w:val="clear" w:color="auto" w:fill="auto"/>
            <w:noWrap/>
            <w:vAlign w:val="center"/>
            <w:hideMark/>
          </w:tcPr>
          <w:p w14:paraId="08E9EC89"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≤9</w:t>
            </w:r>
          </w:p>
        </w:tc>
        <w:tc>
          <w:tcPr>
            <w:tcW w:w="2089" w:type="dxa"/>
            <w:shd w:val="clear" w:color="auto" w:fill="auto"/>
            <w:noWrap/>
            <w:vAlign w:val="bottom"/>
            <w:hideMark/>
          </w:tcPr>
          <w:p w14:paraId="1123F9D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14(58.3)</w:t>
            </w:r>
          </w:p>
        </w:tc>
        <w:tc>
          <w:tcPr>
            <w:tcW w:w="1898" w:type="dxa"/>
            <w:vAlign w:val="bottom"/>
          </w:tcPr>
          <w:p w14:paraId="2C35990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1F3CAA84"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6DBFE043" w14:textId="77777777" w:rsidTr="0079675D">
        <w:trPr>
          <w:trHeight w:val="330"/>
        </w:trPr>
        <w:tc>
          <w:tcPr>
            <w:tcW w:w="4836" w:type="dxa"/>
            <w:shd w:val="clear" w:color="auto" w:fill="auto"/>
            <w:noWrap/>
            <w:vAlign w:val="center"/>
            <w:hideMark/>
          </w:tcPr>
          <w:p w14:paraId="6E88F40B"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10-13</w:t>
            </w:r>
          </w:p>
        </w:tc>
        <w:tc>
          <w:tcPr>
            <w:tcW w:w="2089" w:type="dxa"/>
            <w:shd w:val="clear" w:color="auto" w:fill="auto"/>
            <w:noWrap/>
            <w:vAlign w:val="bottom"/>
            <w:hideMark/>
          </w:tcPr>
          <w:p w14:paraId="17074435"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64(73.6)</w:t>
            </w:r>
          </w:p>
        </w:tc>
        <w:tc>
          <w:tcPr>
            <w:tcW w:w="1898" w:type="dxa"/>
            <w:vAlign w:val="bottom"/>
          </w:tcPr>
          <w:p w14:paraId="0CD062A0"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1.26(0.88-1.81)</w:t>
            </w:r>
          </w:p>
        </w:tc>
        <w:tc>
          <w:tcPr>
            <w:tcW w:w="1162" w:type="dxa"/>
            <w:vAlign w:val="bottom"/>
          </w:tcPr>
          <w:p w14:paraId="31643E8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0.209</w:t>
            </w:r>
          </w:p>
        </w:tc>
      </w:tr>
      <w:tr w:rsidR="006667EE" w:rsidRPr="006D2427" w14:paraId="2544BD7D" w14:textId="77777777" w:rsidTr="0079675D">
        <w:trPr>
          <w:trHeight w:val="330"/>
        </w:trPr>
        <w:tc>
          <w:tcPr>
            <w:tcW w:w="4836" w:type="dxa"/>
            <w:shd w:val="clear" w:color="auto" w:fill="auto"/>
            <w:noWrap/>
            <w:vAlign w:val="center"/>
            <w:hideMark/>
          </w:tcPr>
          <w:p w14:paraId="750B6A04"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&gt;13</w:t>
            </w:r>
          </w:p>
        </w:tc>
        <w:tc>
          <w:tcPr>
            <w:tcW w:w="2089" w:type="dxa"/>
            <w:shd w:val="clear" w:color="auto" w:fill="auto"/>
            <w:noWrap/>
            <w:vAlign w:val="bottom"/>
            <w:hideMark/>
          </w:tcPr>
          <w:p w14:paraId="51EF091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49(54.4)</w:t>
            </w:r>
          </w:p>
        </w:tc>
        <w:tc>
          <w:tcPr>
            <w:tcW w:w="1898" w:type="dxa"/>
            <w:vAlign w:val="bottom"/>
          </w:tcPr>
          <w:p w14:paraId="5A3BEDD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0.93(0.63-1.38)</w:t>
            </w:r>
          </w:p>
        </w:tc>
        <w:tc>
          <w:tcPr>
            <w:tcW w:w="1162" w:type="dxa"/>
            <w:vAlign w:val="bottom"/>
          </w:tcPr>
          <w:p w14:paraId="482096C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0.728</w:t>
            </w:r>
          </w:p>
        </w:tc>
      </w:tr>
      <w:tr w:rsidR="006667EE" w:rsidRPr="006D2427" w14:paraId="5B39F824" w14:textId="77777777" w:rsidTr="0079675D">
        <w:trPr>
          <w:trHeight w:val="330"/>
        </w:trPr>
        <w:tc>
          <w:tcPr>
            <w:tcW w:w="4836" w:type="dxa"/>
            <w:shd w:val="clear" w:color="auto" w:fill="auto"/>
            <w:noWrap/>
            <w:vAlign w:val="center"/>
            <w:hideMark/>
          </w:tcPr>
          <w:p w14:paraId="5926278B"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Sex of the participant</w:t>
            </w:r>
          </w:p>
        </w:tc>
        <w:tc>
          <w:tcPr>
            <w:tcW w:w="2089" w:type="dxa"/>
            <w:shd w:val="clear" w:color="auto" w:fill="auto"/>
            <w:noWrap/>
            <w:vAlign w:val="bottom"/>
            <w:hideMark/>
          </w:tcPr>
          <w:p w14:paraId="27C7F61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D395841"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5BFB856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1659B5E1" w14:textId="77777777" w:rsidTr="0079675D">
        <w:trPr>
          <w:trHeight w:val="330"/>
        </w:trPr>
        <w:tc>
          <w:tcPr>
            <w:tcW w:w="4836" w:type="dxa"/>
            <w:shd w:val="clear" w:color="auto" w:fill="auto"/>
            <w:noWrap/>
            <w:vAlign w:val="center"/>
            <w:hideMark/>
          </w:tcPr>
          <w:p w14:paraId="59F1659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Female</w:t>
            </w:r>
          </w:p>
        </w:tc>
        <w:tc>
          <w:tcPr>
            <w:tcW w:w="2089" w:type="dxa"/>
            <w:shd w:val="clear" w:color="auto" w:fill="auto"/>
            <w:noWrap/>
            <w:vAlign w:val="bottom"/>
            <w:hideMark/>
          </w:tcPr>
          <w:p w14:paraId="1CD3ADB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78(69.6)</w:t>
            </w:r>
          </w:p>
        </w:tc>
        <w:tc>
          <w:tcPr>
            <w:tcW w:w="1898" w:type="dxa"/>
            <w:vAlign w:val="bottom"/>
          </w:tcPr>
          <w:p w14:paraId="7FBB5CF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1E9EDEE"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1832DA9B" w14:textId="77777777" w:rsidTr="0079675D">
        <w:trPr>
          <w:trHeight w:val="330"/>
        </w:trPr>
        <w:tc>
          <w:tcPr>
            <w:tcW w:w="4836" w:type="dxa"/>
            <w:shd w:val="clear" w:color="auto" w:fill="auto"/>
            <w:noWrap/>
            <w:vAlign w:val="center"/>
            <w:hideMark/>
          </w:tcPr>
          <w:p w14:paraId="0AA33A3B"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Male</w:t>
            </w:r>
          </w:p>
        </w:tc>
        <w:tc>
          <w:tcPr>
            <w:tcW w:w="2089" w:type="dxa"/>
            <w:shd w:val="clear" w:color="auto" w:fill="auto"/>
            <w:noWrap/>
            <w:vAlign w:val="bottom"/>
            <w:hideMark/>
          </w:tcPr>
          <w:p w14:paraId="32FD9378"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49(55.1)</w:t>
            </w:r>
          </w:p>
        </w:tc>
        <w:tc>
          <w:tcPr>
            <w:tcW w:w="1898" w:type="dxa"/>
            <w:vAlign w:val="bottom"/>
          </w:tcPr>
          <w:p w14:paraId="450F389D"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0.79(0.63-0.98)</w:t>
            </w:r>
          </w:p>
        </w:tc>
        <w:tc>
          <w:tcPr>
            <w:tcW w:w="1162" w:type="dxa"/>
            <w:vAlign w:val="bottom"/>
          </w:tcPr>
          <w:p w14:paraId="73FBA697"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0.04</w:t>
            </w:r>
          </w:p>
        </w:tc>
      </w:tr>
      <w:tr w:rsidR="006667EE" w:rsidRPr="006D2427" w14:paraId="2C0852D3" w14:textId="77777777" w:rsidTr="0079675D">
        <w:trPr>
          <w:trHeight w:val="330"/>
        </w:trPr>
        <w:tc>
          <w:tcPr>
            <w:tcW w:w="4836" w:type="dxa"/>
            <w:shd w:val="clear" w:color="auto" w:fill="auto"/>
            <w:noWrap/>
            <w:vAlign w:val="center"/>
            <w:hideMark/>
          </w:tcPr>
          <w:p w14:paraId="71F92793"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Spectacle wearing pattern</w:t>
            </w:r>
          </w:p>
        </w:tc>
        <w:tc>
          <w:tcPr>
            <w:tcW w:w="2089" w:type="dxa"/>
            <w:shd w:val="clear" w:color="auto" w:fill="auto"/>
            <w:noWrap/>
            <w:vAlign w:val="bottom"/>
            <w:hideMark/>
          </w:tcPr>
          <w:p w14:paraId="7E70263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2F77EB78"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2691376F"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57873D22" w14:textId="77777777" w:rsidTr="0079675D">
        <w:trPr>
          <w:trHeight w:val="330"/>
        </w:trPr>
        <w:tc>
          <w:tcPr>
            <w:tcW w:w="4836" w:type="dxa"/>
            <w:shd w:val="clear" w:color="auto" w:fill="auto"/>
            <w:noWrap/>
            <w:vAlign w:val="center"/>
            <w:hideMark/>
          </w:tcPr>
          <w:p w14:paraId="565E36A7"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Wearer</w:t>
            </w:r>
          </w:p>
        </w:tc>
        <w:tc>
          <w:tcPr>
            <w:tcW w:w="2089" w:type="dxa"/>
            <w:shd w:val="clear" w:color="auto" w:fill="auto"/>
            <w:noWrap/>
            <w:vAlign w:val="bottom"/>
            <w:hideMark/>
          </w:tcPr>
          <w:p w14:paraId="776381E0"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100(59.5)</w:t>
            </w:r>
          </w:p>
        </w:tc>
        <w:tc>
          <w:tcPr>
            <w:tcW w:w="1898" w:type="dxa"/>
            <w:vAlign w:val="bottom"/>
          </w:tcPr>
          <w:p w14:paraId="3F7A6D1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6B7781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72F6293C" w14:textId="77777777" w:rsidTr="0079675D">
        <w:trPr>
          <w:trHeight w:val="330"/>
        </w:trPr>
        <w:tc>
          <w:tcPr>
            <w:tcW w:w="4836" w:type="dxa"/>
            <w:shd w:val="clear" w:color="auto" w:fill="auto"/>
            <w:noWrap/>
            <w:vAlign w:val="center"/>
            <w:hideMark/>
          </w:tcPr>
          <w:p w14:paraId="7A412A53"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Non wearer</w:t>
            </w:r>
          </w:p>
        </w:tc>
        <w:tc>
          <w:tcPr>
            <w:tcW w:w="2089" w:type="dxa"/>
            <w:shd w:val="clear" w:color="auto" w:fill="auto"/>
            <w:noWrap/>
            <w:vAlign w:val="bottom"/>
            <w:hideMark/>
          </w:tcPr>
          <w:p w14:paraId="31019E5A"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27(81.8)</w:t>
            </w:r>
          </w:p>
        </w:tc>
        <w:tc>
          <w:tcPr>
            <w:tcW w:w="1898" w:type="dxa"/>
            <w:vAlign w:val="bottom"/>
          </w:tcPr>
          <w:p w14:paraId="2624A1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1.37(1.12-1.69)</w:t>
            </w:r>
          </w:p>
        </w:tc>
        <w:tc>
          <w:tcPr>
            <w:tcW w:w="1162" w:type="dxa"/>
            <w:vAlign w:val="bottom"/>
          </w:tcPr>
          <w:p w14:paraId="664B548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0.002</w:t>
            </w:r>
          </w:p>
        </w:tc>
      </w:tr>
      <w:tr w:rsidR="006667EE" w:rsidRPr="006D2427" w14:paraId="4C580BA2" w14:textId="77777777" w:rsidTr="0079675D">
        <w:trPr>
          <w:trHeight w:val="330"/>
        </w:trPr>
        <w:tc>
          <w:tcPr>
            <w:tcW w:w="4836" w:type="dxa"/>
            <w:shd w:val="clear" w:color="auto" w:fill="auto"/>
            <w:noWrap/>
            <w:vAlign w:val="center"/>
            <w:hideMark/>
          </w:tcPr>
          <w:p w14:paraId="6898E877"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 xml:space="preserve">Distance from TV Screen </w:t>
            </w:r>
          </w:p>
        </w:tc>
        <w:tc>
          <w:tcPr>
            <w:tcW w:w="2089" w:type="dxa"/>
            <w:shd w:val="clear" w:color="auto" w:fill="auto"/>
            <w:noWrap/>
            <w:vAlign w:val="bottom"/>
            <w:hideMark/>
          </w:tcPr>
          <w:p w14:paraId="4D1B1F3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2489F9E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5C4489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23A7A62" w14:textId="77777777" w:rsidTr="0079675D">
        <w:trPr>
          <w:trHeight w:val="330"/>
        </w:trPr>
        <w:tc>
          <w:tcPr>
            <w:tcW w:w="4836" w:type="dxa"/>
            <w:shd w:val="clear" w:color="auto" w:fill="auto"/>
            <w:noWrap/>
            <w:vAlign w:val="center"/>
            <w:hideMark/>
          </w:tcPr>
          <w:p w14:paraId="68C3302C"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≤2</w:t>
            </w:r>
          </w:p>
        </w:tc>
        <w:tc>
          <w:tcPr>
            <w:tcW w:w="2089" w:type="dxa"/>
            <w:shd w:val="clear" w:color="auto" w:fill="auto"/>
            <w:noWrap/>
            <w:vAlign w:val="bottom"/>
            <w:hideMark/>
          </w:tcPr>
          <w:p w14:paraId="231BFE8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74(80.4)</w:t>
            </w:r>
          </w:p>
        </w:tc>
        <w:tc>
          <w:tcPr>
            <w:tcW w:w="1898" w:type="dxa"/>
            <w:vAlign w:val="bottom"/>
          </w:tcPr>
          <w:p w14:paraId="04001BC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1.65(1.33-2.06)</w:t>
            </w:r>
          </w:p>
        </w:tc>
        <w:tc>
          <w:tcPr>
            <w:tcW w:w="1162" w:type="dxa"/>
            <w:vAlign w:val="bottom"/>
          </w:tcPr>
          <w:p w14:paraId="13370EAB"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0B749EB2" w14:textId="77777777" w:rsidTr="0079675D">
        <w:trPr>
          <w:trHeight w:val="330"/>
        </w:trPr>
        <w:tc>
          <w:tcPr>
            <w:tcW w:w="4836" w:type="dxa"/>
            <w:shd w:val="clear" w:color="auto" w:fill="auto"/>
            <w:noWrap/>
            <w:vAlign w:val="center"/>
            <w:hideMark/>
          </w:tcPr>
          <w:p w14:paraId="5875C749"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&gt;2</w:t>
            </w:r>
          </w:p>
        </w:tc>
        <w:tc>
          <w:tcPr>
            <w:tcW w:w="2089" w:type="dxa"/>
            <w:shd w:val="clear" w:color="auto" w:fill="auto"/>
            <w:noWrap/>
            <w:vAlign w:val="bottom"/>
            <w:hideMark/>
          </w:tcPr>
          <w:p w14:paraId="396B128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53(48.6)</w:t>
            </w:r>
          </w:p>
        </w:tc>
        <w:tc>
          <w:tcPr>
            <w:tcW w:w="1898" w:type="dxa"/>
            <w:vAlign w:val="bottom"/>
          </w:tcPr>
          <w:p w14:paraId="5BB20102"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6DD86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579AB71D" w14:textId="77777777" w:rsidTr="0079675D">
        <w:trPr>
          <w:trHeight w:val="330"/>
        </w:trPr>
        <w:tc>
          <w:tcPr>
            <w:tcW w:w="4836" w:type="dxa"/>
            <w:shd w:val="clear" w:color="auto" w:fill="auto"/>
            <w:noWrap/>
            <w:vAlign w:val="center"/>
            <w:hideMark/>
          </w:tcPr>
          <w:p w14:paraId="13F8CACA"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Mobile Use</w:t>
            </w:r>
          </w:p>
        </w:tc>
        <w:tc>
          <w:tcPr>
            <w:tcW w:w="2089" w:type="dxa"/>
            <w:shd w:val="clear" w:color="auto" w:fill="auto"/>
            <w:noWrap/>
            <w:vAlign w:val="bottom"/>
            <w:hideMark/>
          </w:tcPr>
          <w:p w14:paraId="4A885CB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6C5A585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60FCA6E0"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6D07F8C" w14:textId="77777777" w:rsidTr="0079675D">
        <w:trPr>
          <w:trHeight w:val="330"/>
        </w:trPr>
        <w:tc>
          <w:tcPr>
            <w:tcW w:w="4836" w:type="dxa"/>
            <w:shd w:val="clear" w:color="auto" w:fill="auto"/>
            <w:noWrap/>
            <w:vAlign w:val="center"/>
            <w:hideMark/>
          </w:tcPr>
          <w:p w14:paraId="656FC84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No</w:t>
            </w:r>
          </w:p>
        </w:tc>
        <w:tc>
          <w:tcPr>
            <w:tcW w:w="2089" w:type="dxa"/>
            <w:shd w:val="clear" w:color="auto" w:fill="auto"/>
            <w:noWrap/>
            <w:vAlign w:val="bottom"/>
            <w:hideMark/>
          </w:tcPr>
          <w:p w14:paraId="0C62FF1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70(53.8)</w:t>
            </w:r>
          </w:p>
        </w:tc>
        <w:tc>
          <w:tcPr>
            <w:tcW w:w="1898" w:type="dxa"/>
            <w:vAlign w:val="bottom"/>
          </w:tcPr>
          <w:p w14:paraId="4CE20BF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16F3174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8F59B2C" w14:textId="77777777" w:rsidTr="0079675D">
        <w:trPr>
          <w:trHeight w:val="330"/>
        </w:trPr>
        <w:tc>
          <w:tcPr>
            <w:tcW w:w="4836" w:type="dxa"/>
            <w:shd w:val="clear" w:color="auto" w:fill="auto"/>
            <w:noWrap/>
            <w:vAlign w:val="center"/>
            <w:hideMark/>
          </w:tcPr>
          <w:p w14:paraId="07B9CA4C"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Yes</w:t>
            </w:r>
          </w:p>
        </w:tc>
        <w:tc>
          <w:tcPr>
            <w:tcW w:w="2089" w:type="dxa"/>
            <w:shd w:val="clear" w:color="auto" w:fill="auto"/>
            <w:noWrap/>
            <w:vAlign w:val="bottom"/>
            <w:hideMark/>
          </w:tcPr>
          <w:p w14:paraId="7D926E1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57(80.3)</w:t>
            </w:r>
          </w:p>
        </w:tc>
        <w:tc>
          <w:tcPr>
            <w:tcW w:w="1898" w:type="dxa"/>
            <w:vAlign w:val="bottom"/>
          </w:tcPr>
          <w:p w14:paraId="759585A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1.49(1.22-1.82)</w:t>
            </w:r>
          </w:p>
        </w:tc>
        <w:tc>
          <w:tcPr>
            <w:tcW w:w="1162" w:type="dxa"/>
            <w:vAlign w:val="bottom"/>
          </w:tcPr>
          <w:p w14:paraId="04360F4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7465D3CC" w14:textId="77777777" w:rsidTr="0079675D">
        <w:trPr>
          <w:trHeight w:val="330"/>
        </w:trPr>
        <w:tc>
          <w:tcPr>
            <w:tcW w:w="4836" w:type="dxa"/>
            <w:shd w:val="clear" w:color="auto" w:fill="auto"/>
            <w:noWrap/>
            <w:vAlign w:val="center"/>
            <w:hideMark/>
          </w:tcPr>
          <w:p w14:paraId="714EA22D"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lastRenderedPageBreak/>
              <w:t>Hours near work in a day</w:t>
            </w:r>
          </w:p>
        </w:tc>
        <w:tc>
          <w:tcPr>
            <w:tcW w:w="2089" w:type="dxa"/>
            <w:shd w:val="clear" w:color="auto" w:fill="auto"/>
            <w:noWrap/>
            <w:vAlign w:val="bottom"/>
            <w:hideMark/>
          </w:tcPr>
          <w:p w14:paraId="70B0853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EF38C5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205B94B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7627EA0" w14:textId="77777777" w:rsidTr="0079675D">
        <w:trPr>
          <w:trHeight w:val="330"/>
        </w:trPr>
        <w:tc>
          <w:tcPr>
            <w:tcW w:w="4836" w:type="dxa"/>
            <w:shd w:val="clear" w:color="auto" w:fill="auto"/>
            <w:noWrap/>
            <w:vAlign w:val="center"/>
            <w:hideMark/>
          </w:tcPr>
          <w:p w14:paraId="017B41B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 2 hour a day</w:t>
            </w:r>
          </w:p>
        </w:tc>
        <w:tc>
          <w:tcPr>
            <w:tcW w:w="2089" w:type="dxa"/>
            <w:shd w:val="clear" w:color="auto" w:fill="auto"/>
            <w:noWrap/>
            <w:vAlign w:val="bottom"/>
            <w:hideMark/>
          </w:tcPr>
          <w:p w14:paraId="70947552"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59(48.8)</w:t>
            </w:r>
          </w:p>
        </w:tc>
        <w:tc>
          <w:tcPr>
            <w:tcW w:w="1898" w:type="dxa"/>
            <w:vAlign w:val="bottom"/>
          </w:tcPr>
          <w:p w14:paraId="0A65D05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7EF5664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3404724F" w14:textId="77777777" w:rsidTr="0079675D">
        <w:trPr>
          <w:trHeight w:val="330"/>
        </w:trPr>
        <w:tc>
          <w:tcPr>
            <w:tcW w:w="4836" w:type="dxa"/>
            <w:shd w:val="clear" w:color="auto" w:fill="auto"/>
            <w:noWrap/>
            <w:vAlign w:val="center"/>
            <w:hideMark/>
          </w:tcPr>
          <w:p w14:paraId="08A09446" w14:textId="77777777" w:rsidR="006667EE" w:rsidRPr="006D2427" w:rsidRDefault="00E07377" w:rsidP="0079675D">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667EE" w:rsidRPr="006D2427">
              <w:rPr>
                <w:rFonts w:ascii="Times New Roman" w:eastAsia="Times New Roman" w:hAnsi="Times New Roman" w:cs="Times New Roman"/>
                <w:color w:val="000000"/>
              </w:rPr>
              <w:t>&gt; 2 hours a day</w:t>
            </w:r>
          </w:p>
        </w:tc>
        <w:tc>
          <w:tcPr>
            <w:tcW w:w="2089" w:type="dxa"/>
            <w:shd w:val="clear" w:color="auto" w:fill="auto"/>
            <w:noWrap/>
            <w:vAlign w:val="bottom"/>
            <w:hideMark/>
          </w:tcPr>
          <w:p w14:paraId="1364F43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68(85)</w:t>
            </w:r>
          </w:p>
        </w:tc>
        <w:tc>
          <w:tcPr>
            <w:tcW w:w="1898" w:type="dxa"/>
            <w:vAlign w:val="bottom"/>
          </w:tcPr>
          <w:p w14:paraId="22FA5B1E"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1.74(1.42-2.14)</w:t>
            </w:r>
          </w:p>
        </w:tc>
        <w:tc>
          <w:tcPr>
            <w:tcW w:w="1162" w:type="dxa"/>
            <w:vAlign w:val="bottom"/>
          </w:tcPr>
          <w:p w14:paraId="7986660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37314D85" w14:textId="77777777" w:rsidTr="0079675D">
        <w:trPr>
          <w:trHeight w:val="330"/>
        </w:trPr>
        <w:tc>
          <w:tcPr>
            <w:tcW w:w="4836" w:type="dxa"/>
            <w:shd w:val="clear" w:color="auto" w:fill="auto"/>
            <w:noWrap/>
            <w:vAlign w:val="center"/>
            <w:hideMark/>
          </w:tcPr>
          <w:p w14:paraId="29A205DC"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outdoor in a day</w:t>
            </w:r>
          </w:p>
        </w:tc>
        <w:tc>
          <w:tcPr>
            <w:tcW w:w="2089" w:type="dxa"/>
            <w:shd w:val="clear" w:color="auto" w:fill="auto"/>
            <w:noWrap/>
            <w:vAlign w:val="bottom"/>
            <w:hideMark/>
          </w:tcPr>
          <w:p w14:paraId="47C79580"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4EBF1B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148B185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CC33C33" w14:textId="77777777" w:rsidTr="0079675D">
        <w:trPr>
          <w:trHeight w:val="330"/>
        </w:trPr>
        <w:tc>
          <w:tcPr>
            <w:tcW w:w="4836" w:type="dxa"/>
            <w:shd w:val="clear" w:color="auto" w:fill="auto"/>
            <w:noWrap/>
            <w:vAlign w:val="center"/>
            <w:hideMark/>
          </w:tcPr>
          <w:p w14:paraId="7977BC9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&lt; 1 hour a day</w:t>
            </w:r>
          </w:p>
        </w:tc>
        <w:tc>
          <w:tcPr>
            <w:tcW w:w="2089" w:type="dxa"/>
            <w:shd w:val="clear" w:color="auto" w:fill="auto"/>
            <w:noWrap/>
            <w:vAlign w:val="bottom"/>
            <w:hideMark/>
          </w:tcPr>
          <w:p w14:paraId="018A951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108(68.4)</w:t>
            </w:r>
          </w:p>
        </w:tc>
        <w:tc>
          <w:tcPr>
            <w:tcW w:w="1898" w:type="dxa"/>
            <w:vAlign w:val="bottom"/>
          </w:tcPr>
          <w:p w14:paraId="3C86820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0F3704E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C5A299A" w14:textId="77777777" w:rsidTr="0079675D">
        <w:trPr>
          <w:trHeight w:val="330"/>
        </w:trPr>
        <w:tc>
          <w:tcPr>
            <w:tcW w:w="4836" w:type="dxa"/>
            <w:shd w:val="clear" w:color="auto" w:fill="auto"/>
            <w:noWrap/>
            <w:vAlign w:val="center"/>
            <w:hideMark/>
          </w:tcPr>
          <w:p w14:paraId="78E95228"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 1 hour a day</w:t>
            </w:r>
          </w:p>
        </w:tc>
        <w:tc>
          <w:tcPr>
            <w:tcW w:w="2089" w:type="dxa"/>
            <w:shd w:val="clear" w:color="auto" w:fill="auto"/>
            <w:noWrap/>
            <w:vAlign w:val="bottom"/>
            <w:hideMark/>
          </w:tcPr>
          <w:p w14:paraId="2A01BC5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19(44.2)</w:t>
            </w:r>
          </w:p>
        </w:tc>
        <w:tc>
          <w:tcPr>
            <w:tcW w:w="1898" w:type="dxa"/>
            <w:vAlign w:val="bottom"/>
          </w:tcPr>
          <w:p w14:paraId="1FA45B7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0.65(0.45-0.92)</w:t>
            </w:r>
          </w:p>
        </w:tc>
        <w:tc>
          <w:tcPr>
            <w:tcW w:w="1162" w:type="dxa"/>
            <w:vAlign w:val="bottom"/>
          </w:tcPr>
          <w:p w14:paraId="7F5574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0.015</w:t>
            </w:r>
          </w:p>
        </w:tc>
      </w:tr>
      <w:tr w:rsidR="006667EE" w:rsidRPr="006D2427" w14:paraId="50C4B762" w14:textId="77777777" w:rsidTr="0079675D">
        <w:trPr>
          <w:trHeight w:val="330"/>
        </w:trPr>
        <w:tc>
          <w:tcPr>
            <w:tcW w:w="4836" w:type="dxa"/>
            <w:shd w:val="clear" w:color="auto" w:fill="auto"/>
            <w:noWrap/>
            <w:vAlign w:val="center"/>
            <w:hideMark/>
          </w:tcPr>
          <w:p w14:paraId="79FAA4C6"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Degree of Myopia</w:t>
            </w:r>
          </w:p>
        </w:tc>
        <w:tc>
          <w:tcPr>
            <w:tcW w:w="2089" w:type="dxa"/>
            <w:shd w:val="clear" w:color="auto" w:fill="auto"/>
            <w:noWrap/>
            <w:vAlign w:val="bottom"/>
            <w:hideMark/>
          </w:tcPr>
          <w:p w14:paraId="1F904A1A"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7D7778D2"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6B63050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7628A1A" w14:textId="77777777" w:rsidTr="0079675D">
        <w:trPr>
          <w:trHeight w:val="330"/>
        </w:trPr>
        <w:tc>
          <w:tcPr>
            <w:tcW w:w="4836" w:type="dxa"/>
            <w:shd w:val="clear" w:color="auto" w:fill="auto"/>
            <w:noWrap/>
            <w:vAlign w:val="center"/>
            <w:hideMark/>
          </w:tcPr>
          <w:p w14:paraId="25BBFC5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Low</w:t>
            </w:r>
          </w:p>
        </w:tc>
        <w:tc>
          <w:tcPr>
            <w:tcW w:w="2089" w:type="dxa"/>
            <w:shd w:val="clear" w:color="auto" w:fill="auto"/>
            <w:noWrap/>
            <w:vAlign w:val="bottom"/>
            <w:hideMark/>
          </w:tcPr>
          <w:p w14:paraId="37CCC2B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26(60.5)</w:t>
            </w:r>
          </w:p>
        </w:tc>
        <w:tc>
          <w:tcPr>
            <w:tcW w:w="1898" w:type="dxa"/>
            <w:vAlign w:val="bottom"/>
          </w:tcPr>
          <w:p w14:paraId="4555CA68"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0742C3EA" w14:textId="77777777" w:rsidR="006667EE" w:rsidRPr="00BD738A"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B705482" w14:textId="77777777" w:rsidTr="0079675D">
        <w:trPr>
          <w:trHeight w:val="330"/>
        </w:trPr>
        <w:tc>
          <w:tcPr>
            <w:tcW w:w="4836" w:type="dxa"/>
            <w:shd w:val="clear" w:color="auto" w:fill="auto"/>
            <w:noWrap/>
            <w:vAlign w:val="center"/>
            <w:hideMark/>
          </w:tcPr>
          <w:p w14:paraId="0A58D3B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Moderate</w:t>
            </w:r>
          </w:p>
        </w:tc>
        <w:tc>
          <w:tcPr>
            <w:tcW w:w="2089" w:type="dxa"/>
            <w:shd w:val="clear" w:color="auto" w:fill="auto"/>
            <w:noWrap/>
            <w:vAlign w:val="bottom"/>
            <w:hideMark/>
          </w:tcPr>
          <w:p w14:paraId="0CBF369A"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83(63.4)</w:t>
            </w:r>
          </w:p>
        </w:tc>
        <w:tc>
          <w:tcPr>
            <w:tcW w:w="1898" w:type="dxa"/>
            <w:vAlign w:val="bottom"/>
          </w:tcPr>
          <w:p w14:paraId="1E9E75FC"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1.05(0.78-1.42)</w:t>
            </w:r>
          </w:p>
        </w:tc>
        <w:tc>
          <w:tcPr>
            <w:tcW w:w="1162" w:type="dxa"/>
            <w:vAlign w:val="bottom"/>
          </w:tcPr>
          <w:p w14:paraId="4020F553"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0.737</w:t>
            </w:r>
          </w:p>
        </w:tc>
      </w:tr>
      <w:tr w:rsidR="006667EE" w:rsidRPr="006D2427" w14:paraId="0CC31B46" w14:textId="77777777" w:rsidTr="0079675D">
        <w:trPr>
          <w:trHeight w:val="330"/>
        </w:trPr>
        <w:tc>
          <w:tcPr>
            <w:tcW w:w="4836" w:type="dxa"/>
            <w:shd w:val="clear" w:color="auto" w:fill="auto"/>
            <w:noWrap/>
            <w:vAlign w:val="center"/>
            <w:hideMark/>
          </w:tcPr>
          <w:p w14:paraId="2F66D386"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 xml:space="preserve">High </w:t>
            </w:r>
          </w:p>
        </w:tc>
        <w:tc>
          <w:tcPr>
            <w:tcW w:w="2089" w:type="dxa"/>
            <w:shd w:val="clear" w:color="auto" w:fill="auto"/>
            <w:noWrap/>
            <w:vAlign w:val="bottom"/>
            <w:hideMark/>
          </w:tcPr>
          <w:p w14:paraId="16CD7C6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18(66.7)</w:t>
            </w:r>
          </w:p>
        </w:tc>
        <w:tc>
          <w:tcPr>
            <w:tcW w:w="1898" w:type="dxa"/>
            <w:vAlign w:val="bottom"/>
          </w:tcPr>
          <w:p w14:paraId="642AEC4F"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0.95(0.72-1.25)</w:t>
            </w:r>
          </w:p>
        </w:tc>
        <w:tc>
          <w:tcPr>
            <w:tcW w:w="1162" w:type="dxa"/>
            <w:vAlign w:val="bottom"/>
          </w:tcPr>
          <w:p w14:paraId="5DB891ED"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0.739</w:t>
            </w:r>
          </w:p>
        </w:tc>
      </w:tr>
      <w:tr w:rsidR="006667EE" w:rsidRPr="006D2427" w14:paraId="702A4ECB" w14:textId="77777777" w:rsidTr="0079675D">
        <w:trPr>
          <w:trHeight w:val="330"/>
        </w:trPr>
        <w:tc>
          <w:tcPr>
            <w:tcW w:w="4836" w:type="dxa"/>
            <w:shd w:val="clear" w:color="auto" w:fill="auto"/>
            <w:noWrap/>
            <w:vAlign w:val="bottom"/>
            <w:hideMark/>
          </w:tcPr>
          <w:p w14:paraId="33FA0EAB"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7A521E">
              <w:rPr>
                <w:rFonts w:ascii="Times New Roman" w:eastAsia="Times New Roman" w:hAnsi="Times New Roman" w:cs="Times New Roman"/>
                <w:b/>
                <w:bCs/>
                <w:color w:val="000000"/>
              </w:rPr>
              <w:t>Family History</w:t>
            </w:r>
            <w:r>
              <w:rPr>
                <w:rFonts w:ascii="Times New Roman" w:eastAsia="Times New Roman" w:hAnsi="Times New Roman" w:cs="Times New Roman"/>
                <w:b/>
                <w:bCs/>
                <w:color w:val="000000"/>
              </w:rPr>
              <w:t xml:space="preserve"> </w:t>
            </w:r>
          </w:p>
        </w:tc>
        <w:tc>
          <w:tcPr>
            <w:tcW w:w="2089" w:type="dxa"/>
            <w:shd w:val="clear" w:color="auto" w:fill="auto"/>
            <w:noWrap/>
            <w:vAlign w:val="bottom"/>
            <w:hideMark/>
          </w:tcPr>
          <w:p w14:paraId="1B117F7A"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09543E7F"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7FEE331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F8AB2D1" w14:textId="77777777" w:rsidTr="0079675D">
        <w:trPr>
          <w:trHeight w:val="330"/>
        </w:trPr>
        <w:tc>
          <w:tcPr>
            <w:tcW w:w="4836" w:type="dxa"/>
            <w:shd w:val="clear" w:color="auto" w:fill="auto"/>
            <w:noWrap/>
            <w:vAlign w:val="bottom"/>
            <w:hideMark/>
          </w:tcPr>
          <w:p w14:paraId="221DBB5B" w14:textId="77777777" w:rsidR="006667EE" w:rsidRPr="006D2427" w:rsidRDefault="006667EE" w:rsidP="0079675D">
            <w:pPr>
              <w:spacing w:after="0" w:line="240" w:lineRule="auto"/>
              <w:ind w:left="510"/>
              <w:rPr>
                <w:rFonts w:ascii="Times New Roman" w:eastAsia="Times New Roman" w:hAnsi="Times New Roman" w:cs="Times New Roman"/>
                <w:color w:val="000000"/>
              </w:rPr>
            </w:pPr>
            <w:r w:rsidRPr="007A521E">
              <w:rPr>
                <w:rFonts w:ascii="Times New Roman" w:eastAsia="Times New Roman" w:hAnsi="Times New Roman" w:cs="Times New Roman"/>
                <w:color w:val="000000"/>
              </w:rPr>
              <w:t>No history</w:t>
            </w:r>
          </w:p>
        </w:tc>
        <w:tc>
          <w:tcPr>
            <w:tcW w:w="2089" w:type="dxa"/>
            <w:shd w:val="clear" w:color="auto" w:fill="auto"/>
            <w:noWrap/>
            <w:vAlign w:val="bottom"/>
            <w:hideMark/>
          </w:tcPr>
          <w:p w14:paraId="69A964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45(45)</w:t>
            </w:r>
          </w:p>
        </w:tc>
        <w:tc>
          <w:tcPr>
            <w:tcW w:w="1898" w:type="dxa"/>
            <w:vAlign w:val="bottom"/>
          </w:tcPr>
          <w:p w14:paraId="227DB52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4B9BB56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9DAC013" w14:textId="77777777" w:rsidTr="0079675D">
        <w:trPr>
          <w:trHeight w:val="330"/>
        </w:trPr>
        <w:tc>
          <w:tcPr>
            <w:tcW w:w="4836" w:type="dxa"/>
            <w:tcBorders>
              <w:bottom w:val="single" w:sz="12" w:space="0" w:color="auto"/>
            </w:tcBorders>
            <w:shd w:val="clear" w:color="auto" w:fill="auto"/>
            <w:noWrap/>
            <w:vAlign w:val="bottom"/>
            <w:hideMark/>
          </w:tcPr>
          <w:p w14:paraId="76FACE92" w14:textId="77777777" w:rsidR="006667EE" w:rsidRPr="006D2427"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2089" w:type="dxa"/>
            <w:tcBorders>
              <w:bottom w:val="single" w:sz="12" w:space="0" w:color="auto"/>
            </w:tcBorders>
            <w:shd w:val="clear" w:color="auto" w:fill="auto"/>
            <w:noWrap/>
            <w:vAlign w:val="bottom"/>
            <w:hideMark/>
          </w:tcPr>
          <w:p w14:paraId="0ED39E4B"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82(81.2)</w:t>
            </w:r>
          </w:p>
        </w:tc>
        <w:tc>
          <w:tcPr>
            <w:tcW w:w="1898" w:type="dxa"/>
            <w:tcBorders>
              <w:bottom w:val="single" w:sz="12" w:space="0" w:color="auto"/>
            </w:tcBorders>
            <w:vAlign w:val="bottom"/>
          </w:tcPr>
          <w:p w14:paraId="676C626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1.80(1.42-2.29)</w:t>
            </w:r>
          </w:p>
        </w:tc>
        <w:tc>
          <w:tcPr>
            <w:tcW w:w="1162" w:type="dxa"/>
            <w:tcBorders>
              <w:bottom w:val="single" w:sz="12" w:space="0" w:color="auto"/>
            </w:tcBorders>
            <w:vAlign w:val="bottom"/>
          </w:tcPr>
          <w:p w14:paraId="440834B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bl>
    <w:p w14:paraId="280754D9" w14:textId="77777777" w:rsidR="00BD6F5F" w:rsidRDefault="00BD6F5F" w:rsidP="006667EE">
      <w:pPr>
        <w:spacing w:before="240" w:after="0"/>
        <w:rPr>
          <w:rFonts w:ascii="Times New Roman" w:hAnsi="Times New Roman" w:cs="Times New Roman"/>
          <w:b/>
          <w:bCs/>
        </w:rPr>
      </w:pPr>
    </w:p>
    <w:p w14:paraId="3C4EC84C" w14:textId="77777777" w:rsidR="006667EE" w:rsidRDefault="006667EE" w:rsidP="006667EE">
      <w:pPr>
        <w:spacing w:before="240" w:after="0"/>
        <w:rPr>
          <w:rFonts w:ascii="Times New Roman" w:hAnsi="Times New Roman" w:cs="Times New Roman"/>
        </w:rPr>
      </w:pPr>
      <w:r w:rsidRPr="003A65EC">
        <w:rPr>
          <w:rFonts w:ascii="Times New Roman" w:hAnsi="Times New Roman" w:cs="Times New Roman"/>
          <w:b/>
          <w:bCs/>
        </w:rPr>
        <w:t>Table 3</w:t>
      </w:r>
      <w:r>
        <w:rPr>
          <w:rFonts w:ascii="Times New Roman" w:hAnsi="Times New Roman" w:cs="Times New Roman"/>
        </w:rPr>
        <w:t xml:space="preserve">: Adjusted analysis for factors associated with </w:t>
      </w:r>
      <w:r w:rsidRPr="00F6744C">
        <w:rPr>
          <w:rFonts w:ascii="Times New Roman" w:hAnsi="Times New Roman" w:cs="Times New Roman"/>
        </w:rPr>
        <w:t>Myopia progression</w:t>
      </w:r>
    </w:p>
    <w:tbl>
      <w:tblPr>
        <w:tblW w:w="7735" w:type="dxa"/>
        <w:tblLook w:val="04A0" w:firstRow="1" w:lastRow="0" w:firstColumn="1" w:lastColumn="0" w:noHBand="0" w:noVBand="1"/>
      </w:tblPr>
      <w:tblGrid>
        <w:gridCol w:w="3596"/>
        <w:gridCol w:w="1619"/>
        <w:gridCol w:w="1440"/>
        <w:gridCol w:w="1080"/>
      </w:tblGrid>
      <w:tr w:rsidR="006667EE" w:rsidRPr="003A65EC" w14:paraId="51261F3F" w14:textId="77777777" w:rsidTr="0079675D">
        <w:trPr>
          <w:trHeight w:val="315"/>
        </w:trPr>
        <w:tc>
          <w:tcPr>
            <w:tcW w:w="3596" w:type="dxa"/>
            <w:tcBorders>
              <w:top w:val="single" w:sz="12" w:space="0" w:color="auto"/>
              <w:bottom w:val="single" w:sz="12" w:space="0" w:color="auto"/>
            </w:tcBorders>
            <w:shd w:val="clear" w:color="auto" w:fill="auto"/>
            <w:noWrap/>
            <w:vAlign w:val="bottom"/>
            <w:hideMark/>
          </w:tcPr>
          <w:p w14:paraId="3566DFAE"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Variable</w:t>
            </w:r>
          </w:p>
        </w:tc>
        <w:tc>
          <w:tcPr>
            <w:tcW w:w="1619" w:type="dxa"/>
            <w:tcBorders>
              <w:top w:val="single" w:sz="12" w:space="0" w:color="auto"/>
              <w:bottom w:val="single" w:sz="12" w:space="0" w:color="auto"/>
            </w:tcBorders>
            <w:shd w:val="clear" w:color="auto" w:fill="auto"/>
            <w:noWrap/>
            <w:vAlign w:val="bottom"/>
            <w:hideMark/>
          </w:tcPr>
          <w:p w14:paraId="469FE868"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Adjusted PR</w:t>
            </w:r>
          </w:p>
        </w:tc>
        <w:tc>
          <w:tcPr>
            <w:tcW w:w="1440" w:type="dxa"/>
            <w:tcBorders>
              <w:top w:val="single" w:sz="12" w:space="0" w:color="auto"/>
              <w:bottom w:val="single" w:sz="12" w:space="0" w:color="auto"/>
            </w:tcBorders>
            <w:shd w:val="clear" w:color="auto" w:fill="auto"/>
            <w:noWrap/>
            <w:vAlign w:val="bottom"/>
            <w:hideMark/>
          </w:tcPr>
          <w:p w14:paraId="7FA3C195"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95%CI</w:t>
            </w:r>
          </w:p>
        </w:tc>
        <w:tc>
          <w:tcPr>
            <w:tcW w:w="1080" w:type="dxa"/>
            <w:tcBorders>
              <w:top w:val="single" w:sz="12" w:space="0" w:color="auto"/>
              <w:bottom w:val="single" w:sz="12" w:space="0" w:color="auto"/>
            </w:tcBorders>
            <w:shd w:val="clear" w:color="auto" w:fill="auto"/>
            <w:noWrap/>
            <w:vAlign w:val="bottom"/>
            <w:hideMark/>
          </w:tcPr>
          <w:p w14:paraId="48466F3C"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P-value</w:t>
            </w:r>
          </w:p>
        </w:tc>
      </w:tr>
      <w:tr w:rsidR="006667EE" w:rsidRPr="003A65EC" w14:paraId="66136820" w14:textId="77777777" w:rsidTr="0079675D">
        <w:trPr>
          <w:trHeight w:val="315"/>
        </w:trPr>
        <w:tc>
          <w:tcPr>
            <w:tcW w:w="3596" w:type="dxa"/>
            <w:tcBorders>
              <w:top w:val="single" w:sz="12" w:space="0" w:color="auto"/>
            </w:tcBorders>
            <w:shd w:val="clear" w:color="auto" w:fill="auto"/>
            <w:noWrap/>
            <w:vAlign w:val="center"/>
            <w:hideMark/>
          </w:tcPr>
          <w:p w14:paraId="3E89948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Age</w:t>
            </w:r>
            <w:r>
              <w:rPr>
                <w:rFonts w:ascii="Times New Roman" w:eastAsia="Times New Roman" w:hAnsi="Times New Roman" w:cs="Times New Roman"/>
                <w:b/>
                <w:bCs/>
                <w:color w:val="000000"/>
              </w:rPr>
              <w:t xml:space="preserve"> of the participant</w:t>
            </w:r>
            <w:r w:rsidRPr="006D2427">
              <w:rPr>
                <w:rFonts w:ascii="Times New Roman" w:eastAsia="Times New Roman" w:hAnsi="Times New Roman" w:cs="Times New Roman"/>
                <w:b/>
                <w:bCs/>
                <w:color w:val="000000"/>
              </w:rPr>
              <w:t xml:space="preserve"> in Years</w:t>
            </w:r>
          </w:p>
        </w:tc>
        <w:tc>
          <w:tcPr>
            <w:tcW w:w="1619" w:type="dxa"/>
            <w:tcBorders>
              <w:top w:val="single" w:sz="12" w:space="0" w:color="auto"/>
            </w:tcBorders>
            <w:shd w:val="clear" w:color="auto" w:fill="auto"/>
            <w:noWrap/>
            <w:vAlign w:val="bottom"/>
            <w:hideMark/>
          </w:tcPr>
          <w:p w14:paraId="3F147E7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tcBorders>
              <w:top w:val="single" w:sz="12" w:space="0" w:color="auto"/>
            </w:tcBorders>
            <w:shd w:val="clear" w:color="auto" w:fill="auto"/>
            <w:noWrap/>
            <w:vAlign w:val="bottom"/>
            <w:hideMark/>
          </w:tcPr>
          <w:p w14:paraId="1044C9F7"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tcBorders>
              <w:top w:val="single" w:sz="12" w:space="0" w:color="auto"/>
            </w:tcBorders>
            <w:shd w:val="clear" w:color="auto" w:fill="auto"/>
            <w:noWrap/>
            <w:vAlign w:val="bottom"/>
            <w:hideMark/>
          </w:tcPr>
          <w:p w14:paraId="3A04D2A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6F0EA7C2" w14:textId="77777777" w:rsidTr="0079675D">
        <w:trPr>
          <w:trHeight w:val="315"/>
        </w:trPr>
        <w:tc>
          <w:tcPr>
            <w:tcW w:w="3596" w:type="dxa"/>
            <w:shd w:val="clear" w:color="auto" w:fill="auto"/>
            <w:noWrap/>
            <w:vAlign w:val="center"/>
            <w:hideMark/>
          </w:tcPr>
          <w:p w14:paraId="118E8AB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≤9</w:t>
            </w:r>
          </w:p>
        </w:tc>
        <w:tc>
          <w:tcPr>
            <w:tcW w:w="1619" w:type="dxa"/>
            <w:shd w:val="clear" w:color="auto" w:fill="auto"/>
            <w:noWrap/>
            <w:vAlign w:val="bottom"/>
            <w:hideMark/>
          </w:tcPr>
          <w:p w14:paraId="246B4D78"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4387ABAB"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46D1860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3EDEF131" w14:textId="77777777" w:rsidTr="0079675D">
        <w:trPr>
          <w:trHeight w:val="315"/>
        </w:trPr>
        <w:tc>
          <w:tcPr>
            <w:tcW w:w="3596" w:type="dxa"/>
            <w:shd w:val="clear" w:color="auto" w:fill="auto"/>
            <w:noWrap/>
            <w:vAlign w:val="center"/>
            <w:hideMark/>
          </w:tcPr>
          <w:p w14:paraId="20469DB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10-13</w:t>
            </w:r>
          </w:p>
        </w:tc>
        <w:tc>
          <w:tcPr>
            <w:tcW w:w="1619" w:type="dxa"/>
            <w:shd w:val="clear" w:color="auto" w:fill="auto"/>
            <w:noWrap/>
            <w:vAlign w:val="bottom"/>
            <w:hideMark/>
          </w:tcPr>
          <w:p w14:paraId="501C251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0.79</w:t>
            </w:r>
          </w:p>
        </w:tc>
        <w:tc>
          <w:tcPr>
            <w:tcW w:w="1440" w:type="dxa"/>
            <w:shd w:val="clear" w:color="auto" w:fill="auto"/>
            <w:noWrap/>
            <w:vAlign w:val="bottom"/>
            <w:hideMark/>
          </w:tcPr>
          <w:p w14:paraId="62C8512D"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0.54-1.14</w:t>
            </w:r>
          </w:p>
        </w:tc>
        <w:tc>
          <w:tcPr>
            <w:tcW w:w="1080" w:type="dxa"/>
            <w:shd w:val="clear" w:color="auto" w:fill="auto"/>
            <w:noWrap/>
            <w:vAlign w:val="bottom"/>
            <w:hideMark/>
          </w:tcPr>
          <w:p w14:paraId="39DF196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0.215</w:t>
            </w:r>
          </w:p>
        </w:tc>
      </w:tr>
      <w:tr w:rsidR="006667EE" w:rsidRPr="003A65EC" w14:paraId="48A433A3" w14:textId="77777777" w:rsidTr="0079675D">
        <w:trPr>
          <w:trHeight w:val="315"/>
        </w:trPr>
        <w:tc>
          <w:tcPr>
            <w:tcW w:w="3596" w:type="dxa"/>
            <w:shd w:val="clear" w:color="auto" w:fill="auto"/>
            <w:noWrap/>
            <w:vAlign w:val="center"/>
            <w:hideMark/>
          </w:tcPr>
          <w:p w14:paraId="09D7BE0B"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&gt;13</w:t>
            </w:r>
          </w:p>
        </w:tc>
        <w:tc>
          <w:tcPr>
            <w:tcW w:w="1619" w:type="dxa"/>
            <w:shd w:val="clear" w:color="auto" w:fill="auto"/>
            <w:noWrap/>
            <w:vAlign w:val="bottom"/>
            <w:hideMark/>
          </w:tcPr>
          <w:p w14:paraId="34A26C49"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0.64</w:t>
            </w:r>
          </w:p>
        </w:tc>
        <w:tc>
          <w:tcPr>
            <w:tcW w:w="1440" w:type="dxa"/>
            <w:shd w:val="clear" w:color="auto" w:fill="auto"/>
            <w:noWrap/>
            <w:vAlign w:val="bottom"/>
            <w:hideMark/>
          </w:tcPr>
          <w:p w14:paraId="56210083"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0.43-0.96</w:t>
            </w:r>
          </w:p>
        </w:tc>
        <w:tc>
          <w:tcPr>
            <w:tcW w:w="1080" w:type="dxa"/>
            <w:shd w:val="clear" w:color="auto" w:fill="auto"/>
            <w:noWrap/>
            <w:vAlign w:val="bottom"/>
            <w:hideMark/>
          </w:tcPr>
          <w:p w14:paraId="4B1D932E"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0.03</w:t>
            </w:r>
          </w:p>
        </w:tc>
      </w:tr>
      <w:tr w:rsidR="006667EE" w:rsidRPr="003A65EC" w14:paraId="26D56707" w14:textId="77777777" w:rsidTr="0079675D">
        <w:trPr>
          <w:trHeight w:val="315"/>
        </w:trPr>
        <w:tc>
          <w:tcPr>
            <w:tcW w:w="3596" w:type="dxa"/>
            <w:shd w:val="clear" w:color="auto" w:fill="auto"/>
            <w:noWrap/>
            <w:vAlign w:val="center"/>
            <w:hideMark/>
          </w:tcPr>
          <w:p w14:paraId="5E5DCB94"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Sex of the participant</w:t>
            </w:r>
          </w:p>
        </w:tc>
        <w:tc>
          <w:tcPr>
            <w:tcW w:w="1619" w:type="dxa"/>
            <w:shd w:val="clear" w:color="auto" w:fill="auto"/>
            <w:noWrap/>
            <w:vAlign w:val="bottom"/>
            <w:hideMark/>
          </w:tcPr>
          <w:p w14:paraId="4F57E50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79FA057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07B0DB3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06F28BB" w14:textId="77777777" w:rsidTr="0079675D">
        <w:trPr>
          <w:trHeight w:val="315"/>
        </w:trPr>
        <w:tc>
          <w:tcPr>
            <w:tcW w:w="3596" w:type="dxa"/>
            <w:shd w:val="clear" w:color="auto" w:fill="auto"/>
            <w:noWrap/>
            <w:vAlign w:val="center"/>
            <w:hideMark/>
          </w:tcPr>
          <w:p w14:paraId="63DE3FEC"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Female</w:t>
            </w:r>
          </w:p>
        </w:tc>
        <w:tc>
          <w:tcPr>
            <w:tcW w:w="1619" w:type="dxa"/>
            <w:shd w:val="clear" w:color="auto" w:fill="auto"/>
            <w:noWrap/>
            <w:vAlign w:val="bottom"/>
            <w:hideMark/>
          </w:tcPr>
          <w:p w14:paraId="60472C68"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257F6C4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246A634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9A726C2" w14:textId="77777777" w:rsidTr="0079675D">
        <w:trPr>
          <w:trHeight w:val="315"/>
        </w:trPr>
        <w:tc>
          <w:tcPr>
            <w:tcW w:w="3596" w:type="dxa"/>
            <w:shd w:val="clear" w:color="auto" w:fill="auto"/>
            <w:noWrap/>
            <w:vAlign w:val="center"/>
            <w:hideMark/>
          </w:tcPr>
          <w:p w14:paraId="637A5F87"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Male</w:t>
            </w:r>
          </w:p>
        </w:tc>
        <w:tc>
          <w:tcPr>
            <w:tcW w:w="1619" w:type="dxa"/>
            <w:shd w:val="clear" w:color="auto" w:fill="auto"/>
            <w:noWrap/>
            <w:vAlign w:val="bottom"/>
            <w:hideMark/>
          </w:tcPr>
          <w:p w14:paraId="68AFB6D3"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0.91</w:t>
            </w:r>
          </w:p>
        </w:tc>
        <w:tc>
          <w:tcPr>
            <w:tcW w:w="1440" w:type="dxa"/>
            <w:shd w:val="clear" w:color="auto" w:fill="auto"/>
            <w:noWrap/>
            <w:vAlign w:val="bottom"/>
            <w:hideMark/>
          </w:tcPr>
          <w:p w14:paraId="3805B55D"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0.74-1.13</w:t>
            </w:r>
          </w:p>
        </w:tc>
        <w:tc>
          <w:tcPr>
            <w:tcW w:w="1080" w:type="dxa"/>
            <w:shd w:val="clear" w:color="auto" w:fill="auto"/>
            <w:noWrap/>
            <w:vAlign w:val="bottom"/>
            <w:hideMark/>
          </w:tcPr>
          <w:p w14:paraId="4E0B7C2A"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0.394</w:t>
            </w:r>
          </w:p>
        </w:tc>
      </w:tr>
      <w:tr w:rsidR="006667EE" w:rsidRPr="003A65EC" w14:paraId="6610B40F" w14:textId="77777777" w:rsidTr="0079675D">
        <w:trPr>
          <w:trHeight w:val="315"/>
        </w:trPr>
        <w:tc>
          <w:tcPr>
            <w:tcW w:w="3596" w:type="dxa"/>
            <w:shd w:val="clear" w:color="auto" w:fill="auto"/>
            <w:noWrap/>
            <w:vAlign w:val="center"/>
            <w:hideMark/>
          </w:tcPr>
          <w:p w14:paraId="0C86AF9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 xml:space="preserve">Distance from TV Screen </w:t>
            </w:r>
          </w:p>
        </w:tc>
        <w:tc>
          <w:tcPr>
            <w:tcW w:w="1619" w:type="dxa"/>
            <w:shd w:val="clear" w:color="auto" w:fill="auto"/>
            <w:noWrap/>
            <w:vAlign w:val="bottom"/>
            <w:hideMark/>
          </w:tcPr>
          <w:p w14:paraId="260B7998"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21447D1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B805A2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09FE0E1E" w14:textId="77777777" w:rsidTr="0079675D">
        <w:trPr>
          <w:trHeight w:val="315"/>
        </w:trPr>
        <w:tc>
          <w:tcPr>
            <w:tcW w:w="3596" w:type="dxa"/>
            <w:shd w:val="clear" w:color="auto" w:fill="auto"/>
            <w:noWrap/>
            <w:vAlign w:val="center"/>
            <w:hideMark/>
          </w:tcPr>
          <w:p w14:paraId="29D88E6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≤2</w:t>
            </w:r>
          </w:p>
        </w:tc>
        <w:tc>
          <w:tcPr>
            <w:tcW w:w="1619" w:type="dxa"/>
            <w:shd w:val="clear" w:color="auto" w:fill="auto"/>
            <w:noWrap/>
            <w:vAlign w:val="bottom"/>
            <w:hideMark/>
          </w:tcPr>
          <w:p w14:paraId="73DAB411"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w:t>
            </w:r>
            <w:r>
              <w:rPr>
                <w:rFonts w:ascii="Times New Roman" w:eastAsia="Times New Roman" w:hAnsi="Times New Roman" w:cs="Times New Roman"/>
                <w:color w:val="000000"/>
              </w:rPr>
              <w:t>31</w:t>
            </w:r>
          </w:p>
        </w:tc>
        <w:tc>
          <w:tcPr>
            <w:tcW w:w="1440" w:type="dxa"/>
            <w:shd w:val="clear" w:color="auto" w:fill="auto"/>
            <w:noWrap/>
            <w:vAlign w:val="bottom"/>
            <w:hideMark/>
          </w:tcPr>
          <w:p w14:paraId="283ADD0C"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1.07-1.62</w:t>
            </w:r>
          </w:p>
        </w:tc>
        <w:tc>
          <w:tcPr>
            <w:tcW w:w="1080" w:type="dxa"/>
            <w:shd w:val="clear" w:color="auto" w:fill="auto"/>
            <w:noWrap/>
            <w:vAlign w:val="bottom"/>
            <w:hideMark/>
          </w:tcPr>
          <w:p w14:paraId="753EEC59"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r w:rsidR="006667EE" w:rsidRPr="003A65EC" w14:paraId="4249224A" w14:textId="77777777" w:rsidTr="0079675D">
        <w:trPr>
          <w:trHeight w:val="315"/>
        </w:trPr>
        <w:tc>
          <w:tcPr>
            <w:tcW w:w="3596" w:type="dxa"/>
            <w:shd w:val="clear" w:color="auto" w:fill="auto"/>
            <w:noWrap/>
            <w:vAlign w:val="center"/>
            <w:hideMark/>
          </w:tcPr>
          <w:p w14:paraId="72704B12"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&gt;2</w:t>
            </w:r>
          </w:p>
        </w:tc>
        <w:tc>
          <w:tcPr>
            <w:tcW w:w="1619" w:type="dxa"/>
            <w:shd w:val="clear" w:color="auto" w:fill="auto"/>
            <w:noWrap/>
            <w:vAlign w:val="bottom"/>
            <w:hideMark/>
          </w:tcPr>
          <w:p w14:paraId="58FCD7E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76F3247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68CAAC84"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FDF4C53" w14:textId="77777777" w:rsidTr="0079675D">
        <w:trPr>
          <w:trHeight w:val="315"/>
        </w:trPr>
        <w:tc>
          <w:tcPr>
            <w:tcW w:w="3596" w:type="dxa"/>
            <w:shd w:val="clear" w:color="auto" w:fill="auto"/>
            <w:noWrap/>
            <w:vAlign w:val="center"/>
            <w:hideMark/>
          </w:tcPr>
          <w:p w14:paraId="0AB53EA9"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near work in a day</w:t>
            </w:r>
          </w:p>
        </w:tc>
        <w:tc>
          <w:tcPr>
            <w:tcW w:w="1619" w:type="dxa"/>
            <w:shd w:val="clear" w:color="auto" w:fill="auto"/>
            <w:noWrap/>
            <w:vAlign w:val="bottom"/>
            <w:hideMark/>
          </w:tcPr>
          <w:p w14:paraId="6631A1B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191534B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D94C89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7179109D" w14:textId="77777777" w:rsidTr="0079675D">
        <w:trPr>
          <w:trHeight w:val="315"/>
        </w:trPr>
        <w:tc>
          <w:tcPr>
            <w:tcW w:w="3596" w:type="dxa"/>
            <w:shd w:val="clear" w:color="auto" w:fill="auto"/>
            <w:noWrap/>
            <w:vAlign w:val="center"/>
            <w:hideMark/>
          </w:tcPr>
          <w:p w14:paraId="247FEA57"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 2 hour a day</w:t>
            </w:r>
          </w:p>
        </w:tc>
        <w:tc>
          <w:tcPr>
            <w:tcW w:w="1619" w:type="dxa"/>
            <w:shd w:val="clear" w:color="auto" w:fill="auto"/>
            <w:noWrap/>
            <w:vAlign w:val="bottom"/>
            <w:hideMark/>
          </w:tcPr>
          <w:p w14:paraId="5A4DCB7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7582A4F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2FFF555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16BBEB7F" w14:textId="77777777" w:rsidTr="0079675D">
        <w:trPr>
          <w:trHeight w:val="315"/>
        </w:trPr>
        <w:tc>
          <w:tcPr>
            <w:tcW w:w="3596" w:type="dxa"/>
            <w:shd w:val="clear" w:color="auto" w:fill="auto"/>
            <w:noWrap/>
            <w:vAlign w:val="center"/>
            <w:hideMark/>
          </w:tcPr>
          <w:p w14:paraId="4C7F5178"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 2 hours a day</w:t>
            </w:r>
          </w:p>
        </w:tc>
        <w:tc>
          <w:tcPr>
            <w:tcW w:w="1619" w:type="dxa"/>
            <w:shd w:val="clear" w:color="auto" w:fill="auto"/>
            <w:noWrap/>
            <w:vAlign w:val="bottom"/>
            <w:hideMark/>
          </w:tcPr>
          <w:p w14:paraId="4B653AF1"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1440" w:type="dxa"/>
            <w:shd w:val="clear" w:color="auto" w:fill="auto"/>
            <w:noWrap/>
            <w:vAlign w:val="bottom"/>
            <w:hideMark/>
          </w:tcPr>
          <w:p w14:paraId="0592FAEF"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1.23-1.94</w:t>
            </w:r>
          </w:p>
        </w:tc>
        <w:tc>
          <w:tcPr>
            <w:tcW w:w="1080" w:type="dxa"/>
            <w:shd w:val="clear" w:color="auto" w:fill="auto"/>
            <w:noWrap/>
            <w:vAlign w:val="bottom"/>
            <w:hideMark/>
          </w:tcPr>
          <w:p w14:paraId="72B14BF5"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r>
      <w:tr w:rsidR="006667EE" w:rsidRPr="003A65EC" w14:paraId="4E147073" w14:textId="77777777" w:rsidTr="0079675D">
        <w:trPr>
          <w:trHeight w:val="315"/>
        </w:trPr>
        <w:tc>
          <w:tcPr>
            <w:tcW w:w="3596" w:type="dxa"/>
            <w:shd w:val="clear" w:color="auto" w:fill="auto"/>
            <w:noWrap/>
            <w:vAlign w:val="center"/>
            <w:hideMark/>
          </w:tcPr>
          <w:p w14:paraId="4246136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outdoor in a day</w:t>
            </w:r>
          </w:p>
        </w:tc>
        <w:tc>
          <w:tcPr>
            <w:tcW w:w="1619" w:type="dxa"/>
            <w:shd w:val="clear" w:color="auto" w:fill="auto"/>
            <w:noWrap/>
            <w:vAlign w:val="bottom"/>
            <w:hideMark/>
          </w:tcPr>
          <w:p w14:paraId="1563D72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3240A5A4"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751F553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4F918147" w14:textId="77777777" w:rsidTr="0079675D">
        <w:trPr>
          <w:trHeight w:val="315"/>
        </w:trPr>
        <w:tc>
          <w:tcPr>
            <w:tcW w:w="3596" w:type="dxa"/>
            <w:shd w:val="clear" w:color="auto" w:fill="auto"/>
            <w:noWrap/>
            <w:vAlign w:val="center"/>
            <w:hideMark/>
          </w:tcPr>
          <w:p w14:paraId="012ACD6A"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&lt; 1 hour a day</w:t>
            </w:r>
          </w:p>
        </w:tc>
        <w:tc>
          <w:tcPr>
            <w:tcW w:w="1619" w:type="dxa"/>
            <w:shd w:val="clear" w:color="auto" w:fill="auto"/>
            <w:noWrap/>
            <w:vAlign w:val="bottom"/>
            <w:hideMark/>
          </w:tcPr>
          <w:p w14:paraId="6217029E"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27CC608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66A1283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8528BE7" w14:textId="77777777" w:rsidTr="0079675D">
        <w:trPr>
          <w:trHeight w:val="315"/>
        </w:trPr>
        <w:tc>
          <w:tcPr>
            <w:tcW w:w="3596" w:type="dxa"/>
            <w:shd w:val="clear" w:color="auto" w:fill="auto"/>
            <w:noWrap/>
            <w:vAlign w:val="center"/>
            <w:hideMark/>
          </w:tcPr>
          <w:p w14:paraId="1C1967D2"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 1 hour a day</w:t>
            </w:r>
          </w:p>
        </w:tc>
        <w:tc>
          <w:tcPr>
            <w:tcW w:w="1619" w:type="dxa"/>
            <w:shd w:val="clear" w:color="auto" w:fill="auto"/>
            <w:noWrap/>
            <w:vAlign w:val="bottom"/>
            <w:hideMark/>
          </w:tcPr>
          <w:p w14:paraId="15B0B3C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0.75</w:t>
            </w:r>
          </w:p>
        </w:tc>
        <w:tc>
          <w:tcPr>
            <w:tcW w:w="1440" w:type="dxa"/>
            <w:shd w:val="clear" w:color="auto" w:fill="auto"/>
            <w:noWrap/>
            <w:vAlign w:val="bottom"/>
            <w:hideMark/>
          </w:tcPr>
          <w:p w14:paraId="36ED1CD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0.52-1.07</w:t>
            </w:r>
          </w:p>
        </w:tc>
        <w:tc>
          <w:tcPr>
            <w:tcW w:w="1080" w:type="dxa"/>
            <w:shd w:val="clear" w:color="auto" w:fill="auto"/>
            <w:noWrap/>
            <w:vAlign w:val="bottom"/>
            <w:hideMark/>
          </w:tcPr>
          <w:p w14:paraId="4177B47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0.111</w:t>
            </w:r>
          </w:p>
        </w:tc>
      </w:tr>
      <w:tr w:rsidR="006667EE" w:rsidRPr="003A65EC" w14:paraId="0F54D1C0" w14:textId="77777777" w:rsidTr="0079675D">
        <w:trPr>
          <w:trHeight w:val="315"/>
        </w:trPr>
        <w:tc>
          <w:tcPr>
            <w:tcW w:w="3596" w:type="dxa"/>
            <w:shd w:val="clear" w:color="auto" w:fill="auto"/>
            <w:noWrap/>
            <w:vAlign w:val="bottom"/>
            <w:hideMark/>
          </w:tcPr>
          <w:p w14:paraId="01CDD485"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7A521E">
              <w:rPr>
                <w:rFonts w:ascii="Times New Roman" w:eastAsia="Times New Roman" w:hAnsi="Times New Roman" w:cs="Times New Roman"/>
                <w:b/>
                <w:bCs/>
                <w:color w:val="000000"/>
              </w:rPr>
              <w:t>Family History</w:t>
            </w:r>
            <w:r>
              <w:rPr>
                <w:rFonts w:ascii="Times New Roman" w:eastAsia="Times New Roman" w:hAnsi="Times New Roman" w:cs="Times New Roman"/>
                <w:b/>
                <w:bCs/>
                <w:color w:val="000000"/>
              </w:rPr>
              <w:t xml:space="preserve"> </w:t>
            </w:r>
          </w:p>
        </w:tc>
        <w:tc>
          <w:tcPr>
            <w:tcW w:w="1619" w:type="dxa"/>
            <w:shd w:val="clear" w:color="auto" w:fill="auto"/>
            <w:noWrap/>
            <w:vAlign w:val="bottom"/>
            <w:hideMark/>
          </w:tcPr>
          <w:p w14:paraId="505E9D4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58C37D2A"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EA587BA"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4E8B6BA2" w14:textId="77777777" w:rsidTr="0079675D">
        <w:trPr>
          <w:trHeight w:val="315"/>
        </w:trPr>
        <w:tc>
          <w:tcPr>
            <w:tcW w:w="3596" w:type="dxa"/>
            <w:shd w:val="clear" w:color="auto" w:fill="auto"/>
            <w:noWrap/>
            <w:vAlign w:val="bottom"/>
            <w:hideMark/>
          </w:tcPr>
          <w:p w14:paraId="43FF6ACC"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7A521E">
              <w:rPr>
                <w:rFonts w:ascii="Times New Roman" w:eastAsia="Times New Roman" w:hAnsi="Times New Roman" w:cs="Times New Roman"/>
                <w:color w:val="000000"/>
              </w:rPr>
              <w:t>No history</w:t>
            </w:r>
          </w:p>
        </w:tc>
        <w:tc>
          <w:tcPr>
            <w:tcW w:w="1619" w:type="dxa"/>
            <w:shd w:val="clear" w:color="auto" w:fill="auto"/>
            <w:noWrap/>
            <w:vAlign w:val="bottom"/>
            <w:hideMark/>
          </w:tcPr>
          <w:p w14:paraId="38B0E8D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75E1DDBE"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7504A71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5AEA826C" w14:textId="77777777" w:rsidTr="0079675D">
        <w:trPr>
          <w:trHeight w:val="315"/>
        </w:trPr>
        <w:tc>
          <w:tcPr>
            <w:tcW w:w="3596" w:type="dxa"/>
            <w:tcBorders>
              <w:bottom w:val="single" w:sz="12" w:space="0" w:color="auto"/>
            </w:tcBorders>
            <w:shd w:val="clear" w:color="auto" w:fill="auto"/>
            <w:noWrap/>
            <w:vAlign w:val="bottom"/>
            <w:hideMark/>
          </w:tcPr>
          <w:p w14:paraId="55AD01F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1619" w:type="dxa"/>
            <w:tcBorders>
              <w:bottom w:val="single" w:sz="12" w:space="0" w:color="auto"/>
            </w:tcBorders>
            <w:shd w:val="clear" w:color="auto" w:fill="auto"/>
            <w:noWrap/>
            <w:vAlign w:val="bottom"/>
            <w:hideMark/>
          </w:tcPr>
          <w:p w14:paraId="69303717"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1.53</w:t>
            </w:r>
          </w:p>
        </w:tc>
        <w:tc>
          <w:tcPr>
            <w:tcW w:w="1440" w:type="dxa"/>
            <w:tcBorders>
              <w:bottom w:val="single" w:sz="12" w:space="0" w:color="auto"/>
            </w:tcBorders>
            <w:shd w:val="clear" w:color="auto" w:fill="auto"/>
            <w:noWrap/>
            <w:vAlign w:val="bottom"/>
            <w:hideMark/>
          </w:tcPr>
          <w:p w14:paraId="79BE6490"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1.23-1.91</w:t>
            </w:r>
          </w:p>
        </w:tc>
        <w:tc>
          <w:tcPr>
            <w:tcW w:w="1080" w:type="dxa"/>
            <w:tcBorders>
              <w:bottom w:val="single" w:sz="12" w:space="0" w:color="auto"/>
            </w:tcBorders>
            <w:shd w:val="clear" w:color="auto" w:fill="auto"/>
            <w:noWrap/>
            <w:vAlign w:val="bottom"/>
            <w:hideMark/>
          </w:tcPr>
          <w:p w14:paraId="1824E825"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&lt;0.001</w:t>
            </w:r>
          </w:p>
        </w:tc>
      </w:tr>
    </w:tbl>
    <w:p w14:paraId="719A3ECD" w14:textId="77777777" w:rsidR="006667EE" w:rsidRPr="003A65EC" w:rsidRDefault="006667EE" w:rsidP="006667EE">
      <w:pPr>
        <w:spacing w:before="240"/>
        <w:rPr>
          <w:rFonts w:ascii="Times New Roman" w:hAnsi="Times New Roman" w:cs="Times New Roman"/>
        </w:rPr>
      </w:pPr>
    </w:p>
    <w:p w14:paraId="456828F2" w14:textId="77777777" w:rsidR="007D1CD9" w:rsidRDefault="007D1CD9" w:rsidP="00FC4A95">
      <w:pPr>
        <w:spacing w:before="100" w:beforeAutospacing="1" w:after="100" w:afterAutospacing="1" w:line="240" w:lineRule="auto"/>
        <w:rPr>
          <w:rFonts w:ascii="Times New Roman" w:eastAsiaTheme="majorEastAsia" w:hAnsi="Times New Roman" w:cs="Times New Roman"/>
          <w:b/>
        </w:rPr>
      </w:pPr>
    </w:p>
    <w:p w14:paraId="47F7AA19" w14:textId="77777777" w:rsidR="005C0027" w:rsidRDefault="005C0027" w:rsidP="00FC4A95">
      <w:pPr>
        <w:spacing w:before="100" w:beforeAutospacing="1" w:after="100" w:afterAutospacing="1" w:line="240" w:lineRule="auto"/>
        <w:rPr>
          <w:rFonts w:ascii="Times New Roman" w:eastAsia="Times New Roman" w:hAnsi="Times New Roman" w:cs="Times New Roman"/>
        </w:rPr>
      </w:pPr>
    </w:p>
    <w:p w14:paraId="0345674A" w14:textId="77777777" w:rsidR="003F6C20" w:rsidRDefault="003F6C20" w:rsidP="00FC4A95">
      <w:pPr>
        <w:spacing w:before="100" w:beforeAutospacing="1" w:after="100" w:afterAutospacing="1" w:line="240" w:lineRule="auto"/>
        <w:rPr>
          <w:rFonts w:ascii="Times New Roman" w:eastAsia="Times New Roman" w:hAnsi="Times New Roman" w:cs="Times New Roman"/>
        </w:rPr>
      </w:pPr>
    </w:p>
    <w:p w14:paraId="18982C12" w14:textId="77777777" w:rsidR="003F6C20" w:rsidRPr="003F6C20" w:rsidRDefault="003F6C20" w:rsidP="003F6C20">
      <w:pPr>
        <w:spacing w:before="100" w:beforeAutospacing="1" w:after="100" w:afterAutospacing="1" w:line="240" w:lineRule="auto"/>
        <w:rPr>
          <w:rFonts w:ascii="Times New Roman" w:eastAsia="Times New Roman" w:hAnsi="Times New Roman" w:cs="Times New Roman"/>
          <w:b/>
          <w:sz w:val="24"/>
          <w:szCs w:val="24"/>
        </w:rPr>
      </w:pPr>
      <w:r w:rsidRPr="003F6C20">
        <w:rPr>
          <w:rFonts w:ascii="Times New Roman" w:eastAsia="Times New Roman" w:hAnsi="Times New Roman" w:cs="Times New Roman"/>
          <w:b/>
          <w:sz w:val="24"/>
          <w:szCs w:val="24"/>
        </w:rPr>
        <w:t>DISCUSSION</w:t>
      </w:r>
      <w:r w:rsidR="007F535F">
        <w:rPr>
          <w:rFonts w:ascii="Times New Roman" w:eastAsia="Times New Roman" w:hAnsi="Times New Roman" w:cs="Times New Roman"/>
          <w:b/>
          <w:sz w:val="24"/>
          <w:szCs w:val="24"/>
        </w:rPr>
        <w:t xml:space="preserve"> </w:t>
      </w:r>
    </w:p>
    <w:p w14:paraId="20DF6C22" w14:textId="77777777" w:rsidR="001C6D7F" w:rsidRPr="002F6448" w:rsidRDefault="003F6C20"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This study evaluated the proportion and associated factors of myopia progression among pediatric patients attending the Kilimanjaro Christian Medical Centre (KCMC) in Northern Tanzania. </w:t>
      </w:r>
      <w:r w:rsidR="002F3A6C" w:rsidRPr="002F6448">
        <w:rPr>
          <w:rFonts w:ascii="Times New Roman" w:hAnsi="Times New Roman" w:cs="Times New Roman"/>
        </w:rPr>
        <w:t>The results of the study revealed that the proportion of myopia progression was 63%. The analysis revealed that children who engaged in prolonged near work, had a positive family history of myopia, viewed television screens at less than 2 meters, or were younger than 9 years in age were significantly more likely to experience progression. Although other variables such as spectacle wear, sex, and mobile device use were not retained in the adjusted model, their significance in unadjusted analyses suggests they may still play a contributory role in specific subgroups.</w:t>
      </w:r>
    </w:p>
    <w:p w14:paraId="36442AAB" w14:textId="77777777" w:rsidR="003F6C20" w:rsidRPr="002F6448" w:rsidRDefault="003F6C20"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A </w:t>
      </w:r>
      <w:r w:rsidR="001C6D7F" w:rsidRPr="002F6448">
        <w:rPr>
          <w:rFonts w:ascii="Times New Roman" w:eastAsia="Times New Roman" w:hAnsi="Times New Roman" w:cs="Times New Roman"/>
        </w:rPr>
        <w:t xml:space="preserve">relatively </w:t>
      </w:r>
      <w:r w:rsidRPr="002F6448">
        <w:rPr>
          <w:rFonts w:ascii="Times New Roman" w:eastAsia="Times New Roman" w:hAnsi="Times New Roman" w:cs="Times New Roman"/>
        </w:rPr>
        <w:t xml:space="preserve">high proportion (63.2%) of participants experienced myopia progression, aligning with findings from </w:t>
      </w:r>
      <w:r w:rsidR="001A252D" w:rsidRPr="002F6448">
        <w:rPr>
          <w:rFonts w:ascii="Times New Roman" w:eastAsia="Times New Roman" w:hAnsi="Times New Roman" w:cs="Times New Roman"/>
        </w:rPr>
        <w:t>other regions, including Ghana</w:t>
      </w:r>
      <w:r w:rsidRPr="002F6448">
        <w:rPr>
          <w:rFonts w:ascii="Times New Roman" w:eastAsia="Times New Roman" w:hAnsi="Times New Roman" w:cs="Times New Roman"/>
        </w:rPr>
        <w:t xml:space="preserve"> (56.8%), the United Kingdom (62%), and Ireland (53</w:t>
      </w:r>
      <w:r w:rsidR="00D45D93" w:rsidRPr="002F6448">
        <w:rPr>
          <w:rFonts w:ascii="Times New Roman" w:eastAsia="Times New Roman" w:hAnsi="Times New Roman" w:cs="Times New Roman"/>
        </w:rPr>
        <w:t xml:space="preserve">%) </w:t>
      </w:r>
      <w:r w:rsidR="006C2C79" w:rsidRPr="002F6448">
        <w:rPr>
          <w:rFonts w:ascii="Times New Roman" w:eastAsia="Times New Roman" w:hAnsi="Times New Roman" w:cs="Times New Roman"/>
        </w:rPr>
        <w:fldChar w:fldCharType="begin" w:fldLock="1"/>
      </w:r>
      <w:r w:rsidR="00D240CC" w:rsidRPr="002F6448">
        <w:rPr>
          <w:rFonts w:ascii="Times New Roman" w:eastAsia="Times New Roman" w:hAnsi="Times New Roman" w:cs="Times New Roman"/>
        </w:rPr>
        <w:instrText>ADDIN CSL_CITATION {"citationItems":[{"id":"ITEM-1","itemData":{"DOI":"10.1002/hsr2.70273","ISSN":"23988835","abstract":"Background and Aim: To investigate the pattern of progression of myopia among a Ghanaian clinical cohort. Methods: A retrospective cohort analysis of a clinical data set of all healthy myopic participants attending a tertiary eye care center was performed. Participants' biennial refraction examinations were tracked for refractive changes 4 years after the date of the first visit. This covered the period from January 2015 to December 2019. Myopia progression was defined as a difference in spherical equivalent between consecutive biennial visits equal to, or greater than −0.50 D of myopia. Results: The medical records of 169 myopic participants were reviewed, with the majority (53.8%) being female. Most of the participants (51.4%) were younger than 36 years, and at the end of the study period, 96 participants (56.8%), who made up the majority, showed progression of myopia Univariate regression revealed that the 36–59-year-old age range is associated with a 60% [cOR = 0.40, 95% CI: –0.17, 0.97; p = 0.04] reduced likelihood compared to those belonging to the 0–17-year-old age group, and the Mole-Dagbon ethnicity is associated with an almost fourfold [cOR = 3.80; 95% CI: –1.40, 10.316; p = 0.01] increased likelihood of experiencing myopia progression compared to those of Ga-Adangbe ethnicity. Multivariate regression revealed that the Mole-Dagbon ethnicity is associated with an increased likelihood of experiencing myopia progression 4 years after their initial visit [aOR = 3.49; 95% CI: –1.27, 9.63; p = 0.02] compared to those of Ga-Adangbe ethnicity. Conclusion: Our study provides important insights into myopia progression in Ghana, with findings that are consistent with global trends. The association of myopia progression with age, place of residence, degree of myopia, and ethnicity highlights the need for tailored interventions to manage this growing public health concern in African populations.","author":[{"dropping-particle":"","family":"Kyei","given":"Samuel","non-dropping-particle":"","parse-names":false,"suffix":""},{"dropping-particle":"","family":"Avornyo","given":"Godwin","non-dropping-particle":"","parse-names":false,"suffix":""},{"dropping-particle":"","family":"Asiamah","given":"Randy","non-dropping-particle":"","parse-names":false,"suffix":""},{"dropping-particle":"","family":"Boadi-Kusi","given":"Samuel B.","non-dropping-particle":"","parse-names":false,"suffix":""},{"dropping-particle":"","family":"Kwarteng","given":"Michael Agyemang","non-dropping-particle":"","parse-names":false,"suffix":""}],"container-title":"Health Science Reports","id":"ITEM-1","issue":"12","issued":{"date-parts":[["2024"]]},"page":"1-10","title":"Dynamics of Myopia Progression in Ghana—Evidence From Clinical Practice: A Retrospective Cohort Study","type":"article-journal","volume":"7"},"uris":["http://www.mendeley.com/documents/?uuid=a14dcdcb-5997-42ee-a621-40e3feeaeb5f"]},{"id":"ITEM-2","itemData":{"DOI":"10.1016/j.optom.2019.06.002","ISSN":"19891342","PMID":"31992534","abstract":"Purpose:: Worldwide, the prevalence of myopia is increasing. Myopia begins at younger ages and progresses faster, leading to more adults with high myopia and risk of sight-threatening complications. No data are available about myopia trends in children in urban areas in the UK. We present a 10-year review of children attending a secondary and tertiary eye care facility in London, focussing on the proportion of glasses prescriptions for myopia and progression rates. Methods:: We collated refraction and demographic data from children under the age of 17 years seen at Moorfields Eye Hospital, London, UK, between 2008 and 2017. Results:: We included 63,854 datasets from 23,593 children (51.2% boys, median age 5.4 years, interquartile range IQR 3.8–7.1). The proportion of myopic prescriptions increased from 24 to 32%. In n = 3355 with initial mild/moderate myopia, median progression rate was −0.16 (−0.5 to 0.04) D/year. In those with progression (n = 2095), the rate was -0.40 (−0.19 to −0.74) D/year, slightly higher in girls than in boys (−0.42 vs −0.38 D/year; p = 0.02). Progression was faster in initial moderate than initial mild myopia (−0.54 vs −0.37 D/year; p &lt; 0.001), and before than after average age of onset of puberty (−0.41 vs −0.35 D/year; p = 0.013). There was no statistically significant difference between children of different ethnic backgrounds. Conclusions:: In this cohort, the proportion of glasses prescriptions for myopia and the rate of progression are higher than previously reported for European countries. Living in an urban environment may result in similar progression rates despite different genetic backgrounds.","author":[{"dropping-particle":"","family":"Wong","given":"Karen","non-dropping-particle":"","parse-names":false,"suffix":""},{"dropping-particle":"","family":"Dahlmann-Noor","given":"Annegret","non-dropping-particle":"","parse-names":false,"suffix":""}],"container-title":"Journal of Optometry","id":"ITEM-2","issue":"3","issued":{"date-parts":[["2020"]]},"page":"146-154","title":"Myopia and its progression in children in London, UK: a retrospective evaluation","type":"article-journal","volume":"13"},"uris":["http://www.mendeley.com/documents/?uuid=150b64e7-1749-48d9-bd2b-f12ae69f7ef1"]},{"id":"ITEM-3","itemData":{"DOI":"10.1111/opo.13259","ISSN":"14751313","PMID":"38062894","abstract":"Purpose: This retrospective analysis of electronic medical record (EMR) data investigated the natural history of myopic progression in children from optometric practices in Ireland. Methods: The analysis was of myopic patients aged 7–17 with multiple visits and not prescribed myopia control treatment. Sex- and age-specific population centiles for annual myopic progression were derived by fitting a weighted cubic spline to empirical quantiles. These were compared to progression rates derived from control group data obtained from 17 randomised clinical trials (RCTs) for myopia. Linear mixed models (LMMs) were used to allow comparison of myopia progression rates against outputs from a predictive online calculator. Survival analysis was performed to determine the intervals at which a significant level of myopic progression was predicted to occur. Results: Myopia progression was highest in children aged 7 years (median: −0.67 D/year) and progressively slowed with increasing age (median: −0.18 D/year at age 17). Female sex (p &lt; 0.001), a more myopic SER at baseline (p &lt; 0.001) and younger age (p &lt; 0.001) were all found to be predictive of faster myopic progression. Every RCT exhibited a mean progression higher than the median centile observed in the EMR data, while clinic-based studies more closely matched the median progression rates. The LMM predicted faster myopia progression for patients with higher baseline myopia levels, in keeping with previous studies, which was in contrast to an online calculator that predicted slower myopia progression for patients with higher baseline myopia. Survival analysis indicated that at a recall period of 12 months, myopia will have progressed in between 10% and 70% of children, depending upon age. Conclusions: This study produced progression centiles of untreated myopic children, helping to define the natural history of untreated myopia. This will enable clinicians to better predict both refractive outcomes without treatment and monitor treatment efficacy, particularly in the absence of axial length data.","author":[{"dropping-particle":"","family":"Moore","given":"Michael","non-dropping-particle":"","parse-names":false,"suffix":""},{"dropping-particle":"","family":"Lingham","given":"Gareth","non-dropping-particle":"","parse-names":false,"suffix":""},{"dropping-particle":"","family":"Flitcroft","given":"Daniel I.","non-dropping-particle":"","parse-names":false,"suffix":""},{"dropping-particle":"","family":"Loughman","given":"James","non-dropping-particle":"","parse-names":false,"suffix":""}],"container-title":"Ophthalmic and Physiological Optics","id":"ITEM-3","issue":"2","issued":{"date-parts":[["2024"]]},"page":"258-269","title":"Myopia progression patterns among paediatric patients in a clinical setting","type":"article-journal","volume":"44"},"uris":["http://www.mendeley.com/documents/?uuid=ef66e48d-7315-4365-bfd5-253704608144"]}],"mendeley":{"formattedCitation":"(Wong and Dahlmann-Noor, 2020; Kyei &lt;i&gt;et al.&lt;/i&gt;, 2024; Moore &lt;i&gt;et al.&lt;/i&gt;, 2024)","plainTextFormattedCitation":"(Wong and Dahlmann-Noor, 2020; Kyei et al., 2024; Moore et al., 2024)","previouslyFormattedCitation":"(Wong and Dahlmann-Noor, 2020; Kyei &lt;i&gt;et al.&lt;/i&gt;, 2024; Moore &lt;i&gt;et al.&lt;/i&gt;, 2024)"},"properties":{"noteIndex":0},"schema":"https://github.com/citation-style-language/schema/raw/master/csl-citation.json"}</w:instrText>
      </w:r>
      <w:r w:rsidR="006C2C79" w:rsidRPr="002F6448">
        <w:rPr>
          <w:rFonts w:ascii="Times New Roman" w:eastAsia="Times New Roman" w:hAnsi="Times New Roman" w:cs="Times New Roman"/>
        </w:rPr>
        <w:fldChar w:fldCharType="separate"/>
      </w:r>
      <w:r w:rsidR="006C2C79" w:rsidRPr="002F6448">
        <w:rPr>
          <w:rFonts w:ascii="Times New Roman" w:eastAsia="Times New Roman" w:hAnsi="Times New Roman" w:cs="Times New Roman"/>
          <w:noProof/>
        </w:rPr>
        <w:t xml:space="preserve">(Wong and Dahlmann-Noor, 2020; Kyei </w:t>
      </w:r>
      <w:r w:rsidR="006C2C79" w:rsidRPr="002F6448">
        <w:rPr>
          <w:rFonts w:ascii="Times New Roman" w:eastAsia="Times New Roman" w:hAnsi="Times New Roman" w:cs="Times New Roman"/>
          <w:i/>
          <w:noProof/>
        </w:rPr>
        <w:t>et al.</w:t>
      </w:r>
      <w:r w:rsidR="006C2C79" w:rsidRPr="002F6448">
        <w:rPr>
          <w:rFonts w:ascii="Times New Roman" w:eastAsia="Times New Roman" w:hAnsi="Times New Roman" w:cs="Times New Roman"/>
          <w:noProof/>
        </w:rPr>
        <w:t xml:space="preserve">, 2024; Moore </w:t>
      </w:r>
      <w:r w:rsidR="006C2C79" w:rsidRPr="002F6448">
        <w:rPr>
          <w:rFonts w:ascii="Times New Roman" w:eastAsia="Times New Roman" w:hAnsi="Times New Roman" w:cs="Times New Roman"/>
          <w:i/>
          <w:noProof/>
        </w:rPr>
        <w:t>et al.</w:t>
      </w:r>
      <w:r w:rsidR="006C2C79" w:rsidRPr="002F6448">
        <w:rPr>
          <w:rFonts w:ascii="Times New Roman" w:eastAsia="Times New Roman" w:hAnsi="Times New Roman" w:cs="Times New Roman"/>
          <w:noProof/>
        </w:rPr>
        <w:t>, 2024)</w:t>
      </w:r>
      <w:r w:rsidR="006C2C79" w:rsidRPr="002F6448">
        <w:rPr>
          <w:rFonts w:ascii="Times New Roman" w:eastAsia="Times New Roman" w:hAnsi="Times New Roman" w:cs="Times New Roman"/>
        </w:rPr>
        <w:fldChar w:fldCharType="end"/>
      </w:r>
      <w:r w:rsidR="006C2C79" w:rsidRPr="002F6448">
        <w:rPr>
          <w:rFonts w:ascii="Times New Roman" w:eastAsia="Times New Roman" w:hAnsi="Times New Roman" w:cs="Times New Roman"/>
        </w:rPr>
        <w:t>.</w:t>
      </w:r>
      <w:r w:rsidRPr="002F6448">
        <w:rPr>
          <w:rFonts w:ascii="Times New Roman" w:eastAsia="Times New Roman" w:hAnsi="Times New Roman" w:cs="Times New Roman"/>
        </w:rPr>
        <w:t>This relatively high proportion may be attributed to high urban residency (72.6%) and low engagement in outdoor activities, with 78.6% of participants reporting le</w:t>
      </w:r>
      <w:r w:rsidR="00A15818" w:rsidRPr="002F6448">
        <w:rPr>
          <w:rFonts w:ascii="Times New Roman" w:eastAsia="Times New Roman" w:hAnsi="Times New Roman" w:cs="Times New Roman"/>
        </w:rPr>
        <w:t xml:space="preserve">ss than one hour outdoors daily </w:t>
      </w:r>
      <w:r w:rsidRPr="002F6448">
        <w:rPr>
          <w:rFonts w:ascii="Times New Roman" w:eastAsia="Times New Roman" w:hAnsi="Times New Roman" w:cs="Times New Roman"/>
        </w:rPr>
        <w:t>conditions known to contribute to myopia progression.</w:t>
      </w:r>
      <w:r w:rsidR="00B145FD" w:rsidRPr="002F6448">
        <w:rPr>
          <w:rFonts w:ascii="Times New Roman" w:eastAsia="Times New Roman" w:hAnsi="Times New Roman" w:cs="Times New Roman"/>
          <w:lang w:val="en-GB" w:eastAsia="en-GB"/>
        </w:rPr>
        <w:t xml:space="preserve"> </w:t>
      </w:r>
      <w:r w:rsidR="00B145FD" w:rsidRPr="002F6448">
        <w:rPr>
          <w:rFonts w:ascii="Times New Roman" w:eastAsia="Times New Roman" w:hAnsi="Times New Roman" w:cs="Times New Roman"/>
          <w:lang w:val="en-GB" w:eastAsia="en-GB"/>
        </w:rPr>
        <w:fldChar w:fldCharType="begin" w:fldLock="1"/>
      </w:r>
      <w:r w:rsidR="00B145FD" w:rsidRPr="002F6448">
        <w:rPr>
          <w:rFonts w:ascii="Times New Roman" w:eastAsia="Times New Roman" w:hAnsi="Times New Roman" w:cs="Times New Roman"/>
          <w:lang w:val="en-GB" w:eastAsia="en-GB"/>
        </w:rPr>
        <w:instrText>ADDIN CSL_CITATION {"citationItems":[{"id":"ITEM-1","itemData":{"DOI":"10.5114/ko.2022.116834","ISSN":"00232157","author":[{"dropping-particle":"","family":"Nouraeinejad","given":"Ali","non-dropping-particle":"","parse-names":false,"suffix":""}],"container-title":"Klinika Oczna","id":"ITEM-1","issue":"2","issued":{"date-parts":[["2022"]]},"page":"124-125","title":"Urbanization as a factor for myopia progression","type":"article-journal","volume":"124"},"uris":["http://www.mendeley.com/documents/?uuid=100b4b55-152a-47e3-aeac-f040e0b1bd47"]},{"id":"ITEM-2","itemData":{"DOI":"10.3109/09286586.2014.988874","ISSN":"17445086","PMID":"25495661","abstract":"Purpose: To investigate the association between potential risk factors for myopia and its progression in young adult Taiwanese men. Methods: A survey of male military conscripts (aged 18-24 years) was conducted from February 2010 to March 2011 in Taiwan. Participants underwent comprehensive eye examinations, including measurements of axial length and corneal radius by optical biometry and non-cycloplegic autorefraction. Participants also provided self-reported progression of myopia and information regarding potential risk factors, including age, parental myopia, educational level, close work, outdoor activities, and urbanization. Results: Of 5145 eligible participants, 5048 (98.11%) provided refraction and questionnaire data; 2316 (45.88%) of the 5048 also had biometric measurements. The prevalence of myopia was 86.1% in this group, with a mean refractive error of -3.66 diopters (D). Of the 5048 participants, 1376 (27.3%) had experienced progression of their myopia during the past year. There were trends for a higher prevalence of myopia among older participants (p = 0.014), those with a history of parental myopia (p&lt;0.001), higher levels of education (p = 0.001), increased time spent reading (p&lt;0.001), less time outdoors (p=0.003), and higher levels of urbanization (p = 0.010). However, only parental myopia, close work, and higher urbanization levels were significantly associated with self-reported progression of myopia. Conclusion: Older age, parental myopia, higher educational level, close work, fewer outdoor activities, and higher urbanization level were associated with the prevalence of myopia in Taiwanese men.","author":[{"dropping-particle":"","family":"Lee","given":"Yin Yang","non-dropping-particle":"","parse-names":false,"suffix":""},{"dropping-particle":"","family":"Lo","given":"Chung Ting","non-dropping-particle":"","parse-names":false,"suffix":""},{"dropping-particle":"","family":"Sheu","given":"Shwu Jiuan","non-dropping-particle":"","parse-names":false,"suffix":""},{"dropping-particle":"Te","family":"Yin","given":"Li","non-dropping-particle":"","parse-names":false,"suffix":""}],"container-title":"Ophthalmic Epidemiology","id":"ITEM-2","issue":"1","issued":{"date-parts":[["2015"]]},"page":"66-73","title":"Risk factors for and progression of myopia in young Taiwanese men","type":"article-journal","volume":"22"},"uris":["http://www.mendeley.com/documents/?uuid=a684d8cb-f0b3-44e7-8b1c-92c17a7ae683"]},{"id":"ITEM-3","itemData":{"DOI":"10.1007/s10384-010-0860-7","ISBN":"1038401008607","ISSN":"00215155","PMID":"21052908","abstract":"Purpose: To compare myopic progression rates in Taiwanese schoolchildren between urban and rural areas. Methods: Several longitudinal studies of myopic progression were performed in urban and rural areas. Five primary schools, four junior high schools, and two senior high schools were selected from both urban and rural areas. Ages ranged from 7 to 18 years. The refractive state of each student was measured with an autorefractometer under cycloplegia. Results: Mean myopic progression in primary school children (ages 7 to 12) in the urban areas was around 0.20 D/year for boys and 0.27 D/year for girls. The mean myopic progression rate in urban children from primary to junior high school age (ages 10 to 15) was 0.43 D/year for boys and 0.50 D/year for girls, faster than that in rural children (0.24 and 0.31 D/year, respectively). The average progression rate was fastest in children in junior high school (ages 13 to 15), around 0.45 D/year in urban areas and 0.28 D/year in rural areas. In senior high schools (ages 16 to 18), myopic progression slowed to 0.17 D/ year in boys and 0.33 D/year in girls. Myopic progression in all groups was faster in myopic eyes than in emmetropic or hyperopic eyes. Conclusions: The average myopic progression in urban areas was greater than that in rural areas. Environmental factors such as urban development and academic grade level may be important contributing factors to myopic progression. © 2010 Japanese Ophthalmological Society (JOS).","author":[{"dropping-particle":"","family":"Shih","given":"Yung Feng","non-dropping-particle":"","parse-names":false,"suffix":""},{"dropping-particle":"","family":"Chiang","given":"Ting Hsuan","non-dropping-particle":"","parse-names":false,"suffix":""},{"dropping-particle":"","family":"Hsiao","given":"C. Kate","non-dropping-particle":"","parse-names":false,"suffix":""},{"dropping-particle":"","family":"Chen","given":"Chien Jen","non-dropping-particle":"","parse-names":false,"suffix":""},{"dropping-particle":"","family":"Hung","given":"Por Tying","non-dropping-particle":"","parse-names":false,"suffix":""},{"dropping-particle":"","family":"Lin","given":"Luke L.K.","non-dropping-particle":"","parse-names":false,"suffix":""}],"container-title":"Japanese Journal of Ophthalmology","id":"ITEM-3","issue":"5","issued":{"date-parts":[["2010"]]},"page":"446-451","title":"Comparing myopic progression of urban and rural Taiwanese schoolchildren","type":"article-journal","volume":"54"},"uris":["http://www.mendeley.com/documents/?uuid=ad02ee92-8f3d-4af4-ab76-91c1c6f9ad09"]}],"mendeley":{"formattedCitation":"(Shih &lt;i&gt;et al.&lt;/i&gt;, 2010; Lee &lt;i&gt;et al.&lt;/i&gt;, 2015; Nouraeinejad, 2022)","plainTextFormattedCitation":"(Shih et al., 2010; Lee et al., 2015; Nouraeinejad, 2022)","previouslyFormattedCitation":"(Shih &lt;i&gt;et al.&lt;/i&gt;, 2010; Lee &lt;i&gt;et al.&lt;/i&gt;, 2015; Nouraeinejad, 2022)"},"properties":{"noteIndex":0},"schema":"https://github.com/citation-style-language/schema/raw/master/csl-citation.json"}</w:instrText>
      </w:r>
      <w:r w:rsidR="00B145FD" w:rsidRPr="002F6448">
        <w:rPr>
          <w:rFonts w:ascii="Times New Roman" w:eastAsia="Times New Roman" w:hAnsi="Times New Roman" w:cs="Times New Roman"/>
          <w:lang w:val="en-GB" w:eastAsia="en-GB"/>
        </w:rPr>
        <w:fldChar w:fldCharType="separate"/>
      </w:r>
      <w:r w:rsidR="00B145FD" w:rsidRPr="002F6448">
        <w:rPr>
          <w:rFonts w:ascii="Times New Roman" w:eastAsia="Times New Roman" w:hAnsi="Times New Roman" w:cs="Times New Roman"/>
          <w:noProof/>
          <w:lang w:val="en-GB" w:eastAsia="en-GB"/>
        </w:rPr>
        <w:t xml:space="preserve">(Shih </w:t>
      </w:r>
      <w:r w:rsidR="00B145FD" w:rsidRPr="002F6448">
        <w:rPr>
          <w:rFonts w:ascii="Times New Roman" w:eastAsia="Times New Roman" w:hAnsi="Times New Roman" w:cs="Times New Roman"/>
          <w:i/>
          <w:noProof/>
          <w:lang w:val="en-GB" w:eastAsia="en-GB"/>
        </w:rPr>
        <w:t>et al.</w:t>
      </w:r>
      <w:r w:rsidR="00B145FD" w:rsidRPr="002F6448">
        <w:rPr>
          <w:rFonts w:ascii="Times New Roman" w:eastAsia="Times New Roman" w:hAnsi="Times New Roman" w:cs="Times New Roman"/>
          <w:noProof/>
          <w:lang w:val="en-GB" w:eastAsia="en-GB"/>
        </w:rPr>
        <w:t xml:space="preserve">, 2010; Lee </w:t>
      </w:r>
      <w:r w:rsidR="00B145FD" w:rsidRPr="002F6448">
        <w:rPr>
          <w:rFonts w:ascii="Times New Roman" w:eastAsia="Times New Roman" w:hAnsi="Times New Roman" w:cs="Times New Roman"/>
          <w:i/>
          <w:noProof/>
          <w:lang w:val="en-GB" w:eastAsia="en-GB"/>
        </w:rPr>
        <w:t>et al.</w:t>
      </w:r>
      <w:r w:rsidR="00B145FD" w:rsidRPr="002F6448">
        <w:rPr>
          <w:rFonts w:ascii="Times New Roman" w:eastAsia="Times New Roman" w:hAnsi="Times New Roman" w:cs="Times New Roman"/>
          <w:noProof/>
          <w:lang w:val="en-GB" w:eastAsia="en-GB"/>
        </w:rPr>
        <w:t>, 2015; Nouraeinejad, 2022)</w:t>
      </w:r>
      <w:r w:rsidR="00B145FD" w:rsidRPr="002F6448">
        <w:rPr>
          <w:rFonts w:ascii="Times New Roman" w:eastAsia="Times New Roman" w:hAnsi="Times New Roman" w:cs="Times New Roman"/>
          <w:lang w:val="en-GB" w:eastAsia="en-GB"/>
        </w:rPr>
        <w:fldChar w:fldCharType="end"/>
      </w:r>
      <w:r w:rsidR="00B145FD" w:rsidRPr="002F6448">
        <w:rPr>
          <w:rFonts w:ascii="Times New Roman" w:eastAsia="Times New Roman" w:hAnsi="Times New Roman" w:cs="Times New Roman"/>
        </w:rPr>
        <w:t xml:space="preserve">. </w:t>
      </w:r>
      <w:r w:rsidRPr="002F6448">
        <w:rPr>
          <w:rFonts w:ascii="Times New Roman" w:eastAsia="Times New Roman" w:hAnsi="Times New Roman" w:cs="Times New Roman"/>
        </w:rPr>
        <w:t>The findings suggest a growin</w:t>
      </w:r>
      <w:r w:rsidR="003F4E64" w:rsidRPr="002F6448">
        <w:rPr>
          <w:rFonts w:ascii="Times New Roman" w:eastAsia="Times New Roman" w:hAnsi="Times New Roman" w:cs="Times New Roman"/>
        </w:rPr>
        <w:t xml:space="preserve">g burden of myopia in both high income and low </w:t>
      </w:r>
      <w:r w:rsidRPr="002F6448">
        <w:rPr>
          <w:rFonts w:ascii="Times New Roman" w:eastAsia="Times New Roman" w:hAnsi="Times New Roman" w:cs="Times New Roman"/>
        </w:rPr>
        <w:t>resource settings.</w:t>
      </w:r>
    </w:p>
    <w:p w14:paraId="7025C58C" w14:textId="77777777" w:rsidR="00C2493C" w:rsidRPr="002F6448" w:rsidRDefault="00C2493C"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In the adjusted analysis, age remained a significant predictor of myopia progression. Children older than 13 years were found to be 36% less likely to experience progression compared to those aged 9 years and below (p = 0.03). This trend may reflect underlying differences in the etiology and natural history of myopia development across age groups. It has been suggested that myopia arising in early childhood may represent a more genetically driven and aggressive subtype, with a higher likelihood of progressing to high myopia. In contrast, older children may already be approaching the plateau phase of refractive change, where ocular growth slows and myopia stabilizes</w:t>
      </w:r>
      <w:r w:rsidR="00BE0ABF" w:rsidRPr="002F6448">
        <w:rPr>
          <w:rFonts w:ascii="Times New Roman" w:hAnsi="Times New Roman" w:cs="Times New Roman"/>
        </w:rPr>
        <w:t xml:space="preserve"> </w:t>
      </w:r>
      <w:r w:rsidR="00BE0ABF" w:rsidRPr="002F6448">
        <w:rPr>
          <w:rFonts w:ascii="Times New Roman" w:hAnsi="Times New Roman" w:cs="Times New Roman"/>
        </w:rPr>
        <w:fldChar w:fldCharType="begin" w:fldLock="1"/>
      </w:r>
      <w:r w:rsidR="00BE0ABF" w:rsidRPr="002F6448">
        <w:rPr>
          <w:rFonts w:ascii="Times New Roman" w:hAnsi="Times New Roman" w:cs="Times New Roman"/>
        </w:rPr>
        <w:instrText>ADDIN CSL_CITATION {"citationItems":[{"id":"ITEM-1","itemData":{"author":[{"dropping-particle":"","family":"Hyman","given":"Leslie","non-dropping-particle":"","parse-names":false,"suffix":""},{"dropping-particle":"","family":"Gwiazda","given":"Jane","non-dropping-particle":"","parse-names":false,"suffix":""},{"dropping-particle":"","family":"Hussein","given":"Mohamed","non-dropping-particle":"","parse-names":false,"suffix":""},{"dropping-particle":"","family":"Norton","given":"Thomas T","non-dropping-particle":"","parse-names":false,"suffix":""},{"dropping-particle":"","family":"Wang","given":"Ying","non-dropping-particle":"","parse-names":false,"suffix":""},{"dropping-particle":"","family":"Marsh-tootle","given":"Wendy","non-dropping-particle":"","parse-names":false,"suffix":""},{"dropping-particle":"","family":"Everett","given":"Donald","non-dropping-particle":"","parse-names":false,"suffix":""}],"id":"ITEM-1","issue":"July","issued":{"date-parts":[["2005"]]},"title":"Relationship of Age, Sex, and Ethnicity With Myopia Progression and Axial Elongation in the Correction of Myopia Evaluation Trial","type":"article-journal","volume":"123"},"uris":["http://www.mendeley.com/documents/?uuid=43158bbc-1ad7-4d23-9404-e4d1a8be0cff"]}],"mendeley":{"formattedCitation":"(Hyman &lt;i&gt;et al.&lt;/i&gt;, 2005)","plainTextFormattedCitation":"(Hyman et al., 2005)","previouslyFormattedCitation":"(Hyman &lt;i&gt;et al.&lt;/i&gt;, 2005)"},"properties":{"noteIndex":0},"schema":"https://github.com/citation-style-language/schema/raw/master/csl-citation.json"}</w:instrText>
      </w:r>
      <w:r w:rsidR="00BE0ABF" w:rsidRPr="002F6448">
        <w:rPr>
          <w:rFonts w:ascii="Times New Roman" w:hAnsi="Times New Roman" w:cs="Times New Roman"/>
        </w:rPr>
        <w:fldChar w:fldCharType="separate"/>
      </w:r>
      <w:r w:rsidR="00BE0ABF" w:rsidRPr="002F6448">
        <w:rPr>
          <w:rFonts w:ascii="Times New Roman" w:hAnsi="Times New Roman" w:cs="Times New Roman"/>
          <w:noProof/>
        </w:rPr>
        <w:t xml:space="preserve">(Hyman </w:t>
      </w:r>
      <w:r w:rsidR="00BE0ABF" w:rsidRPr="002F6448">
        <w:rPr>
          <w:rFonts w:ascii="Times New Roman" w:hAnsi="Times New Roman" w:cs="Times New Roman"/>
          <w:i/>
          <w:noProof/>
        </w:rPr>
        <w:t>et al.</w:t>
      </w:r>
      <w:r w:rsidR="00BE0ABF" w:rsidRPr="002F6448">
        <w:rPr>
          <w:rFonts w:ascii="Times New Roman" w:hAnsi="Times New Roman" w:cs="Times New Roman"/>
          <w:noProof/>
        </w:rPr>
        <w:t>, 2005)</w:t>
      </w:r>
      <w:r w:rsidR="00BE0ABF" w:rsidRPr="002F6448">
        <w:rPr>
          <w:rFonts w:ascii="Times New Roman" w:hAnsi="Times New Roman" w:cs="Times New Roman"/>
        </w:rPr>
        <w:fldChar w:fldCharType="end"/>
      </w:r>
      <w:r w:rsidR="00BE0ABF" w:rsidRPr="002F6448">
        <w:rPr>
          <w:rFonts w:ascii="Times New Roman" w:hAnsi="Times New Roman" w:cs="Times New Roman"/>
        </w:rPr>
        <w:t xml:space="preserve">. </w:t>
      </w:r>
      <w:r w:rsidRPr="002F6448">
        <w:rPr>
          <w:rFonts w:ascii="Times New Roman" w:hAnsi="Times New Roman" w:cs="Times New Roman"/>
        </w:rPr>
        <w:t>A similar pattern was observed by</w:t>
      </w:r>
      <w:r w:rsidR="00BE0ABF" w:rsidRPr="002F6448">
        <w:rPr>
          <w:rFonts w:ascii="Times New Roman" w:hAnsi="Times New Roman" w:cs="Times New Roman"/>
        </w:rPr>
        <w:t xml:space="preserve"> </w:t>
      </w:r>
      <w:r w:rsidR="00BE0ABF" w:rsidRPr="002F6448">
        <w:rPr>
          <w:rFonts w:ascii="Times New Roman" w:hAnsi="Times New Roman" w:cs="Times New Roman"/>
        </w:rPr>
        <w:fldChar w:fldCharType="begin" w:fldLock="1"/>
      </w:r>
      <w:r w:rsidR="00BE0ABF" w:rsidRPr="002F6448">
        <w:rPr>
          <w:rFonts w:ascii="Times New Roman" w:hAnsi="Times New Roman" w:cs="Times New Roman"/>
        </w:rPr>
        <w:instrText>ADDIN CSL_CITATION {"citationItems":[{"id":"ITEM-1","itemData":{"DOI":"10.1371/journal.pone.0241759","ISBN":"1111111111","author":[{"dropping-particle":"","family":"Kumar","given":"Pavan","non-dropping-particle":"","parse-names":false,"suffix":""},{"dropping-particle":"","family":"Id","given":"Verkicharla","non-dropping-particle":"","parse-names":false,"suffix":""},{"dropping-particle":"","family":"Id","given":"Priyanka Kammari","non-dropping-particle":"","parse-names":false,"suffix":""},{"dropping-particle":"","family":"Das","given":"Anthony Vipin","non-dropping-particle":"","parse-names":false,"suffix":""}],"id":"ITEM-1","issued":{"date-parts":[["2020"]]},"page":"1-9","title":"Myopia progression varies with age and severity of myopia","type":"article-journal"},"uris":["http://www.mendeley.com/documents/?uuid=f92773af-ad38-4ba2-b2c0-1c5c63648770"]}],"mendeley":{"formattedCitation":"(Kumar &lt;i&gt;et al.&lt;/i&gt;, 2020)","plainTextFormattedCitation":"(Kumar et al., 2020)","previouslyFormattedCitation":"(Kumar &lt;i&gt;et al.&lt;/i&gt;, 2020)"},"properties":{"noteIndex":0},"schema":"https://github.com/citation-style-language/schema/raw/master/csl-citation.json"}</w:instrText>
      </w:r>
      <w:r w:rsidR="00BE0ABF" w:rsidRPr="002F6448">
        <w:rPr>
          <w:rFonts w:ascii="Times New Roman" w:hAnsi="Times New Roman" w:cs="Times New Roman"/>
        </w:rPr>
        <w:fldChar w:fldCharType="separate"/>
      </w:r>
      <w:r w:rsidR="00BE0ABF" w:rsidRPr="002F6448">
        <w:rPr>
          <w:rFonts w:ascii="Times New Roman" w:hAnsi="Times New Roman" w:cs="Times New Roman"/>
          <w:noProof/>
        </w:rPr>
        <w:t xml:space="preserve">(Kumar </w:t>
      </w:r>
      <w:r w:rsidR="00BE0ABF" w:rsidRPr="002F6448">
        <w:rPr>
          <w:rFonts w:ascii="Times New Roman" w:hAnsi="Times New Roman" w:cs="Times New Roman"/>
          <w:i/>
          <w:noProof/>
        </w:rPr>
        <w:t>et al.</w:t>
      </w:r>
      <w:r w:rsidR="00BE0ABF" w:rsidRPr="002F6448">
        <w:rPr>
          <w:rFonts w:ascii="Times New Roman" w:hAnsi="Times New Roman" w:cs="Times New Roman"/>
          <w:noProof/>
        </w:rPr>
        <w:t>, 2020)</w:t>
      </w:r>
      <w:r w:rsidR="00BE0ABF" w:rsidRPr="002F6448">
        <w:rPr>
          <w:rFonts w:ascii="Times New Roman" w:hAnsi="Times New Roman" w:cs="Times New Roman"/>
        </w:rPr>
        <w:fldChar w:fldCharType="end"/>
      </w:r>
      <w:r w:rsidR="00BE0ABF" w:rsidRPr="002F6448">
        <w:rPr>
          <w:rFonts w:ascii="Times New Roman" w:hAnsi="Times New Roman" w:cs="Times New Roman"/>
        </w:rPr>
        <w:t xml:space="preserve"> and </w:t>
      </w:r>
      <w:r w:rsidR="00BE0ABF" w:rsidRPr="002F6448">
        <w:rPr>
          <w:rFonts w:ascii="Times New Roman" w:hAnsi="Times New Roman" w:cs="Times New Roman"/>
        </w:rPr>
        <w:fldChar w:fldCharType="begin" w:fldLock="1"/>
      </w:r>
      <w:r w:rsidR="00881150" w:rsidRPr="002F6448">
        <w:rPr>
          <w:rFonts w:ascii="Times New Roman" w:hAnsi="Times New Roman" w:cs="Times New Roman"/>
        </w:rPr>
        <w:instrText>ADDIN CSL_CITATION {"citationItems":[{"id":"ITEM-1","itemData":{"DOI":"10.1001/jamaophthalmol.2020.6239","ISSN":"21686173","PMID":"33443542","abstract":"Importance: Time spent in outdoor activities has decreased owing to home confinement for the coronavirus disease 2019 (COVID-19) pandemic. Concerns have been raised about whether home confinement may have worsened the burden of myopia owing to substantially decreased time spent outdoors and increased screen time at home. Objective: To investigate the refractive changes and prevalence of myopia in school-aged children during the COVID-19 home confinement. Design, Setting, and Participants: A prospective cross-sectional study using school-based photoscreenings in 123535 children aged 6 to 13 years from 10 elementary schools in Feicheng, China, was conducted. The study was performed during 6 consecutive years (2015-2020). Data were analyzed in July 2020. Exposures: Noncycloplegic photorefraction was examined using a photoscreener device. Main Outcomes and Measures: The spherical equivalent refraction was recorded for each child and the prevalence of myopia for each age group during each year was calculated. The mean spherical equivalent refraction and prevalence of myopia were compared between 2020 (after home confinement) and the previous 5 years for each age group. Results: Of the 123535 children included in the study, 64335 (52.1%) were boys. A total of 194904 test results (389808 eyes) were included in the analysis. A substantial myopic shift (approximately -0.3 diopters [D]) was found in the 2020 school-based photoscreenings compared with previous years (2015-2019) for younger children aged 6 (-0.32 D), 7 (-0.28 D), and 8 (-0.29 D) years. The prevalence of myopia in the 2020 photoscreenings was higher than the highest prevalence of myopia within 2015-2019 for children aged 6 (21.5% vs 5.7%), 7 (26.2% vs 16.2%), and 8 (37.2% vs 27.7%) years. The differences in spherical equivalent refraction and the prevalence of myopia between 2020 and previous years were minimal in children aged 9 to 13 years. Conclusions and Relevance: Home confinement during the COVID-19 pandemic appeared to be associated with a significant myopic shift for children aged 6 to 8 years according to 2020 school-based photoscreenings. However, numerous limitations warrant caution in the interpretation of these associations, including use of noncycloplegic refractions and lack of orthokeratology history or ocular biometry data. Younger children's refractive status may be more sensitive to environmental changes than older ages, given the younger children are in a critical period for the …","author":[{"dropping-particle":"","family":"Wang","given":"Jiaxing","non-dropping-particle":"","parse-names":false,"suffix":""},{"dropping-particle":"","family":"Li","given":"Ying","non-dropping-particle":"","parse-names":false,"suffix":""},{"dropping-particle":"","family":"Musch","given":"David C.","non-dropping-particle":"","parse-names":false,"suffix":""},{"dropping-particle":"","family":"Wei","given":"Nan","non-dropping-particle":"","parse-names":false,"suffix":""},{"dropping-particle":"","family":"Qi","given":"Xiaoli","non-dropping-particle":"","parse-names":false,"suffix":""},{"dropping-particle":"","family":"Ding","given":"Gang","non-dropping-particle":"","parse-names":false,"suffix":""},{"dropping-particle":"","family":"Li","given":"Xue","non-dropping-particle":"","parse-names":false,"suffix":""},{"dropping-particle":"","family":"Li","given":"Jing","non-dropping-particle":"","parse-names":false,"suffix":""},{"dropping-particle":"","family":"Song","given":"Linlin","non-dropping-particle":"","parse-names":false,"suffix":""},{"dropping-particle":"","family":"Zhang","given":"Ying","non-dropping-particle":"","parse-names":false,"suffix":""},{"dropping-particle":"","family":"Ning","given":"Yuxian","non-dropping-particle":"","parse-names":false,"suffix":""},{"dropping-particle":"","family":"Zeng","given":"Xiaoyu","non-dropping-particle":"","parse-names":false,"suffix":""},{"dropping-particle":"","family":"Hua","given":"Ning","non-dropping-particle":"","parse-names":false,"suffix":""},{"dropping-particle":"","family":"Li","given":"Shuo","non-dropping-particle":"","parse-names":false,"suffix":""},{"dropping-particle":"","family":"Qian","given":"Xuehan","non-dropping-particle":"","parse-names":false,"suffix":""}],"container-title":"JAMA Ophthalmology","id":"ITEM-1","issue":"3","issued":{"date-parts":[["2021"]]},"page":"293-300","title":"Progression of Myopia in School-Aged Children after COVID-19 Home Confinement","type":"article-journal","volume":"139"},"uris":["http://www.mendeley.com/documents/?uuid=aaa156a0-834a-472b-b1c2-773505d61107"]}],"mendeley":{"formattedCitation":"(Wang &lt;i&gt;et al.&lt;/i&gt;, 2021)","plainTextFormattedCitation":"(Wang et al., 2021)","previouslyFormattedCitation":"(Wang &lt;i&gt;et al.&lt;/i&gt;, 2021)"},"properties":{"noteIndex":0},"schema":"https://github.com/citation-style-language/schema/raw/master/csl-citation.json"}</w:instrText>
      </w:r>
      <w:r w:rsidR="00BE0ABF" w:rsidRPr="002F6448">
        <w:rPr>
          <w:rFonts w:ascii="Times New Roman" w:hAnsi="Times New Roman" w:cs="Times New Roman"/>
        </w:rPr>
        <w:fldChar w:fldCharType="separate"/>
      </w:r>
      <w:r w:rsidR="00881150" w:rsidRPr="002F6448">
        <w:rPr>
          <w:rFonts w:ascii="Times New Roman" w:hAnsi="Times New Roman" w:cs="Times New Roman"/>
          <w:noProof/>
        </w:rPr>
        <w:t xml:space="preserve">(Wang </w:t>
      </w:r>
      <w:r w:rsidR="00881150" w:rsidRPr="002F6448">
        <w:rPr>
          <w:rFonts w:ascii="Times New Roman" w:hAnsi="Times New Roman" w:cs="Times New Roman"/>
          <w:i/>
          <w:noProof/>
        </w:rPr>
        <w:t>et al.</w:t>
      </w:r>
      <w:r w:rsidR="00881150" w:rsidRPr="002F6448">
        <w:rPr>
          <w:rFonts w:ascii="Times New Roman" w:hAnsi="Times New Roman" w:cs="Times New Roman"/>
          <w:noProof/>
        </w:rPr>
        <w:t>, 2021)</w:t>
      </w:r>
      <w:r w:rsidR="00BE0ABF" w:rsidRPr="002F6448">
        <w:rPr>
          <w:rFonts w:ascii="Times New Roman" w:hAnsi="Times New Roman" w:cs="Times New Roman"/>
        </w:rPr>
        <w:fldChar w:fldCharType="end"/>
      </w:r>
      <w:r w:rsidRPr="002F6448">
        <w:rPr>
          <w:rFonts w:ascii="Times New Roman" w:hAnsi="Times New Roman" w:cs="Times New Roman"/>
        </w:rPr>
        <w:t>, who reported reduced p</w:t>
      </w:r>
      <w:r w:rsidR="00BE0ABF" w:rsidRPr="002F6448">
        <w:rPr>
          <w:rFonts w:ascii="Times New Roman" w:hAnsi="Times New Roman" w:cs="Times New Roman"/>
        </w:rPr>
        <w:t xml:space="preserve">rogression rates among older </w:t>
      </w:r>
      <w:r w:rsidRPr="002F6448">
        <w:rPr>
          <w:rFonts w:ascii="Times New Roman" w:hAnsi="Times New Roman" w:cs="Times New Roman"/>
        </w:rPr>
        <w:t>children reinforcing the notion that early onset myopia tends to follow a more aggressive course.</w:t>
      </w:r>
      <w:r w:rsidRPr="002F6448">
        <w:t xml:space="preserve"> </w:t>
      </w:r>
    </w:p>
    <w:p w14:paraId="74188D7C" w14:textId="77777777" w:rsidR="000C3BA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Although sex was not significantly associated with progression in the adjusted analysis, unadjusted results showed that males had a significantly lower prevalence of progression compared to females</w:t>
      </w:r>
      <w:r w:rsidR="004E335C" w:rsidRPr="002F6448">
        <w:rPr>
          <w:rFonts w:ascii="Times New Roman" w:eastAsia="Times New Roman" w:hAnsi="Times New Roman" w:cs="Times New Roman"/>
        </w:rPr>
        <w:t xml:space="preserve"> (p=0.04)</w:t>
      </w:r>
      <w:r w:rsidRPr="002F6448">
        <w:rPr>
          <w:rFonts w:ascii="Times New Roman" w:eastAsia="Times New Roman" w:hAnsi="Times New Roman" w:cs="Times New Roman"/>
        </w:rPr>
        <w:t>. This finding is consistent with studies conducted in Fran</w:t>
      </w:r>
      <w:r w:rsidR="00D240CC" w:rsidRPr="002F6448">
        <w:rPr>
          <w:rFonts w:ascii="Times New Roman" w:eastAsia="Times New Roman" w:hAnsi="Times New Roman" w:cs="Times New Roman"/>
        </w:rPr>
        <w:t xml:space="preserve">ce and Ireland </w:t>
      </w:r>
      <w:r w:rsidR="00D240CC" w:rsidRPr="002F6448">
        <w:rPr>
          <w:rFonts w:ascii="Times New Roman" w:eastAsia="Times New Roman" w:hAnsi="Times New Roman" w:cs="Times New Roman"/>
        </w:rPr>
        <w:fldChar w:fldCharType="begin" w:fldLock="1"/>
      </w:r>
      <w:r w:rsidR="000C3BA0" w:rsidRPr="002F6448">
        <w:rPr>
          <w:rFonts w:ascii="Times New Roman" w:eastAsia="Times New Roman" w:hAnsi="Times New Roman" w:cs="Times New Roman"/>
        </w:rPr>
        <w:instrText>ADDIN CSL_CITATION {"citationItems":[{"id":"ITEM-1","itemData":{"DOI":"10.1136/bjophthalmol-2020-318256","author":[{"dropping-particle":"","family":"Tricard","given":"Dorian","non-dropping-particle":"","parse-names":false,"suffix":""},{"dropping-particle":"","family":"Marillet","given":"Simon","non-dropping-particle":"","parse-names":false,"suffix":""},{"dropping-particle":"","family":"Ingrand","given":"Pierre","non-dropping-particle":"","parse-names":false,"suffix":""},{"dropping-particle":"","family":"Bullimore","given":"Mark A","non-dropping-particle":"","parse-names":false,"suffix":""},{"dropping-particle":"","family":"Bourne","given":"Rupert R A","non-dropping-particle":"","parse-names":false,"suffix":""},{"dropping-particle":"","family":"Leveziel","given":"Nicolas","non-dropping-particle":"","parse-names":false,"suffix":""}],"id":"ITEM-1","issued":{"date-parts":[["2022"]]},"page":"1104-1109","title":"Progression of myopia in children and teenagers : a nationwide longitudinal study","type":"article-journal"},"uris":["http://www.mendeley.com/documents/?uuid=33b3705a-7b98-4889-8fbd-38d7210defa7"]},{"id":"ITEM-2","itemData":{"DOI":"10.1111/opo.13259","ISSN":"14751313","PMID":"38062894","abstract":"Purpose: This retrospective analysis of electronic medical record (EMR) data investigated the natural history of myopic progression in children from optometric practices in Ireland. Methods: The analysis was of myopic patients aged 7–17 with multiple visits and not prescribed myopia control treatment. Sex- and age-specific population centiles for annual myopic progression were derived by fitting a weighted cubic spline to empirical quantiles. These were compared to progression rates derived from control group data obtained from 17 randomised clinical trials (RCTs) for myopia. Linear mixed models (LMMs) were used to allow comparison of myopia progression rates against outputs from a predictive online calculator. Survival analysis was performed to determine the intervals at which a significant level of myopic progression was predicted to occur. Results: Myopia progression was highest in children aged 7 years (median: −0.67 D/year) and progressively slowed with increasing age (median: −0.18 D/year at age 17). Female sex (p &lt; 0.001), a more myopic SER at baseline (p &lt; 0.001) and younger age (p &lt; 0.001) were all found to be predictive of faster myopic progression. Every RCT exhibited a mean progression higher than the median centile observed in the EMR data, while clinic-based studies more closely matched the median progression rates. The LMM predicted faster myopia progression for patients with higher baseline myopia levels, in keeping with previous studies, which was in contrast to an online calculator that predicted slower myopia progression for patients with higher baseline myopia. Survival analysis indicated that at a recall period of 12 months, myopia will have progressed in between 10% and 70% of children, depending upon age. Conclusions: This study produced progression centiles of untreated myopic children, helping to define the natural history of untreated myopia. This will enable clinicians to better predict both refractive outcomes without treatment and monitor treatment efficacy, particularly in the absence of axial length data.","author":[{"dropping-particle":"","family":"Moore","given":"Michael","non-dropping-particle":"","parse-names":false,"suffix":""},{"dropping-particle":"","family":"Lingham","given":"Gareth","non-dropping-particle":"","parse-names":false,"suffix":""},{"dropping-particle":"","family":"Flitcroft","given":"Daniel I.","non-dropping-particle":"","parse-names":false,"suffix":""},{"dropping-particle":"","family":"Loughman","given":"James","non-dropping-particle":"","parse-names":false,"suffix":""}],"container-title":"Ophthalmic and Physiological Optics","id":"ITEM-2","issue":"2","issued":{"date-parts":[["2024"]]},"page":"258-269","title":"Myopia progression patterns among paediatric patients in a clinical setting","type":"article-journal","volume":"44"},"uris":["http://www.mendeley.com/documents/?uuid=ef66e48d-7315-4365-bfd5-253704608144"]}],"mendeley":{"formattedCitation":"(Tricard &lt;i&gt;et al.&lt;/i&gt;, 2022; Moore &lt;i&gt;et al.&lt;/i&gt;, 2024)","plainTextFormattedCitation":"(Tricard et al., 2022; Moore et al., 2024)","previouslyFormattedCitation":"(Tricard &lt;i&gt;et al.&lt;/i&gt;, 2022; Moore &lt;i&gt;et al.&lt;/i&gt;, 2024)"},"properties":{"noteIndex":0},"schema":"https://github.com/citation-style-language/schema/raw/master/csl-citation.json"}</w:instrText>
      </w:r>
      <w:r w:rsidR="00D240CC" w:rsidRPr="002F6448">
        <w:rPr>
          <w:rFonts w:ascii="Times New Roman" w:eastAsia="Times New Roman" w:hAnsi="Times New Roman" w:cs="Times New Roman"/>
        </w:rPr>
        <w:fldChar w:fldCharType="separate"/>
      </w:r>
      <w:r w:rsidR="00D240CC" w:rsidRPr="002F6448">
        <w:rPr>
          <w:rFonts w:ascii="Times New Roman" w:eastAsia="Times New Roman" w:hAnsi="Times New Roman" w:cs="Times New Roman"/>
          <w:noProof/>
        </w:rPr>
        <w:t xml:space="preserve">(Tricard </w:t>
      </w:r>
      <w:r w:rsidR="00D240CC" w:rsidRPr="002F6448">
        <w:rPr>
          <w:rFonts w:ascii="Times New Roman" w:eastAsia="Times New Roman" w:hAnsi="Times New Roman" w:cs="Times New Roman"/>
          <w:i/>
          <w:noProof/>
        </w:rPr>
        <w:t>et al.</w:t>
      </w:r>
      <w:r w:rsidR="00D240CC" w:rsidRPr="002F6448">
        <w:rPr>
          <w:rFonts w:ascii="Times New Roman" w:eastAsia="Times New Roman" w:hAnsi="Times New Roman" w:cs="Times New Roman"/>
          <w:noProof/>
        </w:rPr>
        <w:t xml:space="preserve">, 2022; Moore </w:t>
      </w:r>
      <w:r w:rsidR="00D240CC" w:rsidRPr="002F6448">
        <w:rPr>
          <w:rFonts w:ascii="Times New Roman" w:eastAsia="Times New Roman" w:hAnsi="Times New Roman" w:cs="Times New Roman"/>
          <w:i/>
          <w:noProof/>
        </w:rPr>
        <w:t>et al.</w:t>
      </w:r>
      <w:r w:rsidR="00D240CC" w:rsidRPr="002F6448">
        <w:rPr>
          <w:rFonts w:ascii="Times New Roman" w:eastAsia="Times New Roman" w:hAnsi="Times New Roman" w:cs="Times New Roman"/>
          <w:noProof/>
        </w:rPr>
        <w:t>, 2024)</w:t>
      </w:r>
      <w:r w:rsidR="00D240CC" w:rsidRPr="002F6448">
        <w:rPr>
          <w:rFonts w:ascii="Times New Roman" w:eastAsia="Times New Roman" w:hAnsi="Times New Roman" w:cs="Times New Roman"/>
        </w:rPr>
        <w:fldChar w:fldCharType="end"/>
      </w:r>
      <w:r w:rsidR="00D240CC" w:rsidRPr="002F6448">
        <w:rPr>
          <w:rFonts w:ascii="Times New Roman" w:eastAsia="Times New Roman" w:hAnsi="Times New Roman" w:cs="Times New Roman"/>
        </w:rPr>
        <w:t xml:space="preserve"> </w:t>
      </w:r>
      <w:r w:rsidR="000C3BA0" w:rsidRPr="002F6448">
        <w:rPr>
          <w:rFonts w:ascii="Times New Roman" w:eastAsia="Times New Roman" w:hAnsi="Times New Roman" w:cs="Times New Roman"/>
        </w:rPr>
        <w:t xml:space="preserve">and may be attributed to sex </w:t>
      </w:r>
      <w:r w:rsidRPr="002F6448">
        <w:rPr>
          <w:rFonts w:ascii="Times New Roman" w:eastAsia="Times New Roman" w:hAnsi="Times New Roman" w:cs="Times New Roman"/>
        </w:rPr>
        <w:t>related behavioral and biological differences. Females may engage in less outdoor activity and experience earlier hormonal changes that influence scleral remodeling and axial elongation via increased levels of estrogen and matrix metalloproteinase activity</w:t>
      </w:r>
      <w:r w:rsidR="000C3BA0" w:rsidRPr="002F6448">
        <w:rPr>
          <w:rFonts w:ascii="Times New Roman" w:eastAsia="Times New Roman" w:hAnsi="Times New Roman" w:cs="Times New Roman"/>
        </w:rPr>
        <w:t xml:space="preserve"> </w:t>
      </w:r>
      <w:r w:rsidR="000C3BA0" w:rsidRPr="002F6448">
        <w:rPr>
          <w:rFonts w:ascii="Times New Roman" w:eastAsia="Times New Roman" w:hAnsi="Times New Roman" w:cs="Times New Roman"/>
        </w:rPr>
        <w:fldChar w:fldCharType="begin" w:fldLock="1"/>
      </w:r>
      <w:r w:rsidR="00CB1EF2" w:rsidRPr="002F6448">
        <w:rPr>
          <w:rFonts w:ascii="Times New Roman" w:eastAsia="Times New Roman" w:hAnsi="Times New Roman" w:cs="Times New Roman"/>
        </w:rPr>
        <w:instrText>ADDIN CSL_CITATION {"citationItems":[{"id":"ITEM-1","itemData":{"DOI":"10.1167/iovs.01-1276","ISSN":"01460404","PMID":"12506055","abstract":"PURPOSE. Age-related macular degeneration (ARMD) is characterized by progressive thickening and accumulation of various lipid-rich extracellular matrix (ECM) deposits under the retinal pigment epithelium (RPE). ECM dysregulation probably contributes to the pathologic course of ARMD. By activating estrogen receptors (ERs), estrogens regulate the expression of genes relevant in the turnover of ECM, among them matrix metalloproteinase (MMP)-2. Estrogen deficiency may predispose to dysregulated synthesis and degradation of ECM, leading to accumulation of collagens and other proteins between the RPE and its basement membrane. The purposes in the current study were to confirm the expression of ERs in human RPE, to elucidate whether these ERs are functional, and to test whether 17β-estradiol (E2) regulates expression of ERs and MMP-2. METHODS. Expression of ERs was examined in freshly isolated human RPE monolayer and in cultured human RPE cells, by using total RNA for RT-PCR and protein extracts for Western blot analysis. Supernatants were collected from freshly isolated human RPE and from cultured human RPE to assess MMP-2 activity by zymography and protein expression by Western blot. The transcriptional activity of ERs was studied in transfection experiments with an estrogen-responsive reporter construct. All these studies were preformed in the presence or absence of E2 (10-11 and 10-7 M). RESULTS. Human RPE isolated from female and male individuals expressed both ER subtypes α and β at the mRNA and protein levels. Treatment of cultured RPE cells with 10-10 M E2 increased expression of mRNA and protein of both receptor subtypes. E2 (10-10 M) also increased MMP-2 activity (</w:instrText>
      </w:r>
      <w:r w:rsidR="00CB1EF2" w:rsidRPr="002F6448">
        <w:rPr>
          <w:rFonts w:ascii="Cambria Math" w:eastAsia="Times New Roman" w:hAnsi="Cambria Math" w:cs="Cambria Math"/>
        </w:rPr>
        <w:instrText>∼</w:instrText>
      </w:r>
      <w:r w:rsidR="00CB1EF2" w:rsidRPr="002F6448">
        <w:rPr>
          <w:rFonts w:ascii="Times New Roman" w:eastAsia="Times New Roman" w:hAnsi="Times New Roman" w:cs="Times New Roman"/>
        </w:rPr>
        <w:instrText>2.2-fold) and protein expression (</w:instrText>
      </w:r>
      <w:r w:rsidR="00CB1EF2" w:rsidRPr="002F6448">
        <w:rPr>
          <w:rFonts w:ascii="Cambria Math" w:eastAsia="Times New Roman" w:hAnsi="Cambria Math" w:cs="Cambria Math"/>
        </w:rPr>
        <w:instrText>∼</w:instrText>
      </w:r>
      <w:r w:rsidR="00CB1EF2" w:rsidRPr="002F6448">
        <w:rPr>
          <w:rFonts w:ascii="Times New Roman" w:eastAsia="Times New Roman" w:hAnsi="Times New Roman" w:cs="Times New Roman"/>
        </w:rPr>
        <w:instrText>2.5-fold). In contrast, there was no change in ER levels and MMP-2 activity at higher E2 concentrations (10-8 M), compared with baseline. Preincubation of cells with 10-7 M pyrrolidinedithiocarbamate (PDTC), an inhibitor of nuclear factor (NF)-κB, abolished the increase in MMP-2 activity and protein expression induced by E2 at 10-10 M. CONCLUSIONS. Both ER subtypes are expressed in RPE and regulated in a dose-dependent fashion by E2. Estrogens similarly regulate MMP-2. This estrogen-induced effect is, at least in part, mediated through NF-κB. These data support the hypothesis that estrogens may exert biological function in RPE through ERs and that estrogen deficiency or excess may cause dysregulation of molecules that influence the turnover of ECM in Bruc…","author":[{"dropping-particle":"","family":"Marin-Castaño","given":"Maria E.","non-dropping-particle":"","parse-names":false,"suffix":""},{"dropping-particle":"","family":"Elliot","given":"Sharon J.","non-dropping-particle":"","parse-names":false,"suffix":""},{"dropping-particle":"","family":"Potier","given":"Mylen","non-dropping-particle":"","parse-names":false,"suffix":""},{"dropping-particle":"","family":"Karl","given":"Michael","non-dropping-particle":"","parse-names":false,"suffix":""},{"dropping-particle":"","family":"Striker","given":"Liliane J.","non-dropping-particle":"","parse-names":false,"suffix":""},{"dropping-particle":"","family":"Striker","given":"Gary E.","non-dropping-particle":"","parse-names":false,"suffix":""},{"dropping-particle":"","family":"Csaky","given":"Karl G.","non-dropping-particle":"","parse-names":false,"suffix":""},{"dropping-particle":"","family":"Cousins","given":"Scott W.","non-dropping-particle":"","parse-names":false,"suffix":""}],"container-title":"Investigative Ophthalmology and Visual Science","id":"ITEM-1","issue":"1","issued":{"date-parts":[["2003"]]},"page":"50-59","title":"Regulation of estrogen receptors and MMP-2 expression by estrogens in human retinal pigment epithelium","type":"article-journal","volume":"44"},"uris":["http://www.mendeley.com/documents/?uuid=b2ea86ca-a0d7-458e-8d01-03e67719e7db"]}],"mendeley":{"formattedCitation":"(Marin-Castaño &lt;i&gt;et al.&lt;/i&gt;, 2003)","plainTextFormattedCitation":"(Marin-Castaño et al., 2003)","previouslyFormattedCitation":"(Marin-Castaño &lt;i&gt;et al.&lt;/i&gt;, 2003)"},"properties":{"noteIndex":0},"schema":"https://github.com/citation-style-language/schema/raw/master/csl-citation.json"}</w:instrText>
      </w:r>
      <w:r w:rsidR="000C3BA0" w:rsidRPr="002F6448">
        <w:rPr>
          <w:rFonts w:ascii="Times New Roman" w:eastAsia="Times New Roman" w:hAnsi="Times New Roman" w:cs="Times New Roman"/>
        </w:rPr>
        <w:fldChar w:fldCharType="separate"/>
      </w:r>
      <w:r w:rsidR="000C3BA0" w:rsidRPr="002F6448">
        <w:rPr>
          <w:rFonts w:ascii="Times New Roman" w:eastAsia="Times New Roman" w:hAnsi="Times New Roman" w:cs="Times New Roman"/>
          <w:noProof/>
        </w:rPr>
        <w:t xml:space="preserve">(Marin-Castaño </w:t>
      </w:r>
      <w:r w:rsidR="000C3BA0" w:rsidRPr="002F6448">
        <w:rPr>
          <w:rFonts w:ascii="Times New Roman" w:eastAsia="Times New Roman" w:hAnsi="Times New Roman" w:cs="Times New Roman"/>
          <w:i/>
          <w:noProof/>
        </w:rPr>
        <w:t>et al.</w:t>
      </w:r>
      <w:r w:rsidR="000C3BA0" w:rsidRPr="002F6448">
        <w:rPr>
          <w:rFonts w:ascii="Times New Roman" w:eastAsia="Times New Roman" w:hAnsi="Times New Roman" w:cs="Times New Roman"/>
          <w:noProof/>
        </w:rPr>
        <w:t>, 2003)</w:t>
      </w:r>
      <w:r w:rsidR="000C3BA0" w:rsidRPr="002F6448">
        <w:rPr>
          <w:rFonts w:ascii="Times New Roman" w:eastAsia="Times New Roman" w:hAnsi="Times New Roman" w:cs="Times New Roman"/>
        </w:rPr>
        <w:fldChar w:fldCharType="end"/>
      </w:r>
      <w:r w:rsidR="000C3BA0" w:rsidRPr="002F6448">
        <w:rPr>
          <w:rFonts w:ascii="Times New Roman" w:eastAsia="Times New Roman" w:hAnsi="Times New Roman" w:cs="Times New Roman"/>
        </w:rPr>
        <w:t>.</w:t>
      </w:r>
    </w:p>
    <w:p w14:paraId="6CF8B12D" w14:textId="77777777" w:rsidR="003F6C20" w:rsidRPr="002F6448" w:rsidRDefault="00586F25"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Spectacle </w:t>
      </w:r>
      <w:r w:rsidR="003F6C20" w:rsidRPr="002F6448">
        <w:rPr>
          <w:rFonts w:ascii="Times New Roman" w:eastAsia="Times New Roman" w:hAnsi="Times New Roman" w:cs="Times New Roman"/>
        </w:rPr>
        <w:t>wearing patterns were significantly associated with myopia progression in the unadjusted analysis. Non-wearers were 37% more likely to experience progression compared to wearers</w:t>
      </w:r>
      <w:r w:rsidRPr="002F6448">
        <w:rPr>
          <w:rFonts w:ascii="Times New Roman" w:eastAsia="Times New Roman" w:hAnsi="Times New Roman" w:cs="Times New Roman"/>
        </w:rPr>
        <w:t xml:space="preserve"> (p=0.002)</w:t>
      </w:r>
      <w:r w:rsidR="003F6C20" w:rsidRPr="002F6448">
        <w:rPr>
          <w:rFonts w:ascii="Times New Roman" w:eastAsia="Times New Roman" w:hAnsi="Times New Roman" w:cs="Times New Roman"/>
        </w:rPr>
        <w:t>. Previous studies from Malaysia and Ghana</w:t>
      </w:r>
      <w:r w:rsidR="00CB1EF2" w:rsidRPr="002F6448">
        <w:rPr>
          <w:rFonts w:ascii="Times New Roman" w:eastAsia="Times New Roman" w:hAnsi="Times New Roman" w:cs="Times New Roman"/>
        </w:rPr>
        <w:t xml:space="preserve"> </w:t>
      </w:r>
      <w:r w:rsidR="00CB1EF2" w:rsidRPr="002F6448">
        <w:rPr>
          <w:rFonts w:ascii="Times New Roman" w:eastAsia="Times New Roman" w:hAnsi="Times New Roman" w:cs="Times New Roman"/>
        </w:rPr>
        <w:fldChar w:fldCharType="begin" w:fldLock="1"/>
      </w:r>
      <w:r w:rsidR="005F43CE" w:rsidRPr="002F6448">
        <w:rPr>
          <w:rFonts w:ascii="Times New Roman" w:eastAsia="Times New Roman" w:hAnsi="Times New Roman" w:cs="Times New Roman"/>
        </w:rPr>
        <w:instrText>ADDIN CSL_CITATION {"citationItems":[{"id":"ITEM-1","itemData":{"DOI":"10.1111/opo.12035","ISSN":"02755408","PMID":"23662960","abstract":"Purpose: To evaluate the effect of a dual treatment modality for myopia, by improving accommodative functions, on myopia progression. Methods: A double blind randomised control trial was conducted on 96 subjects. The treatment modality for the trial employed custom designed contact lenses which control spherical aberration in an attempt to optimise static accommodation responses during near-work, and a vision-training programme to improve accommodation dynamics. Myopia progression was assessed over a 2 year period using cycloplegic autorefraction and biometry. Results: The mean progression was found to be -0.33 Dioptres (D) over the 2 years of the study. There was no interaction between contact lens treatment and vision training treatment at 24 months (p = 0.72). There was no significant treatment effect of either Vision Training or Contact Lens Spherical Aberration control on myopia progression. Conclusions: This study is unable to demonstrate that the progression of myopia can be reduced over a 2 year period by either of the two treatments aimed at improving accommodative function. Neither treatment group (contact lens or vision training) progressed at a slower rate over the 2 years of the study than did the appropriate control group. © 2013 The College of Optometrists.","author":[{"dropping-particle":"","family":"Allen","given":"Peter M.","non-dropping-particle":"","parse-names":false,"suffix":""},{"dropping-particle":"","family":"Radhakrishnan","given":"Hema","non-dropping-particle":"","parse-names":false,"suffix":""},{"dropping-particle":"","family":"Price","given":"Holly","non-dropping-particle":"","parse-names":false,"suffix":""},{"dropping-particle":"","family":"Rae","given":"Sheila","non-dropping-particle":"","parse-names":false,"suffix":""},{"dropping-particle":"","family":"Theagarayan","given":"Baskar","non-dropping-particle":"","parse-names":false,"suffix":""},{"dropping-particle":"","family":"Calver","given":"Richard I.","non-dropping-particle":"","parse-names":false,"suffix":""},{"dropping-particle":"","family":"Sailoganathan","given":"Ananth","non-dropping-particle":"","parse-names":false,"suffix":""},{"dropping-particle":"","family":"Latham","given":"Keziah","non-dropping-particle":"","parse-names":false,"suffix":""},{"dropping-particle":"","family":"O'Leary","given":"Daniel J.","non-dropping-particle":"","parse-names":false,"suffix":""}],"container-title":"Ophthalmic and Physiological Optics","id":"ITEM-1","issue":"3","issued":{"date-parts":[["2013"]]},"page":"267-276","title":"A randomised clinical trial to assess the effect of a dual treatment on myopia progression: The Cambridge Anti-Myopia Study","type":"article-journal","volume":"33"},"uris":["http://www.mendeley.com/documents/?uuid=0aec2286-bcb0-4780-99e2-4abf735e0e64"]},{"id":"ITEM-2","itemData":{"DOI":"10.1097/OPX.0000000000000867","ISSN":"15389235","PMID":"27058593","abstract":"Purpose. To determine the relationship between accommodative lag and rate of myopia progression when Ghanaian myopic school children are either undercorrected or fully corrected with single vision lenses. Methods. A 2-year single masked randomized control trial was conducted using 150 Ghanaian myopic children aged 10 to 15 years with mean baseline myopia of-1.98 ± 0.50D. The children were randomly assigned to wear either a full correction (n = 75) or +0.50D undercorrection (UC) (n = 75) single vision lenses. Repeated measurements which included refractive error and accommodative response at 33 and 28.6 cm for FC and UC, respectively, were performed using Open-Field Autorefractor whereas ocular biometry results were obtained using A-Scan ultrasonography. Results were based on the right eye and analyzed using STATA 11. Results. After 24 months, the mean myopia progression of children in the FC group (-0.54 ± 0.26D) was not significantly different from that of the children in the UC group (-0.5 ± 0.22D) (p = 0.31). There was no significant difference between the mean values of the initial near lag and the average lag measured 24 months later in both groups (FC: initial lag -0.74 ± 0.17D, average lag -0.72 ± 0.15D, p = 0.44; UC: initial lag -0.57 ± 0.14D, average lag -0.58 ± 0.15D; p = 0.67). Also, there was no significant correlation between refractive change seen in 24months and either the first near lag for both FC (r = -0.05, p = 0.43) andUC (r =-0.08, p = 0.43) or the average near lag of accommodation for both FC (r =-0.02, p = 0.49) and UC (r = -0.04, p = 0.49). Conclusions. This study showed no relationship between lag of accommodation and rate of myopia progression in children with progressing myopia. Different ethnic groups may respond differently to the same size of hyperopic blur.","author":[{"dropping-particle":"","family":"Koomson","given":"Nana Yaa","non-dropping-particle":"","parse-names":false,"suffix":""},{"dropping-particle":"","family":"Amedo","given":"Angela Ofeibea","non-dropping-particle":"","parse-names":false,"suffix":""},{"dropping-particle":"","family":"Opoku-Baah","given":"Collins","non-dropping-particle":"","parse-names":false,"suffix":""},{"dropping-particle":"","family":"Ampeh","given":"Percy Boateng","non-dropping-particle":"","parse-names":false,"suffix":""},{"dropping-particle":"","family":"Ankamah","given":"Emmanuel","non-dropping-particle":"","parse-names":false,"suffix":""},{"dropping-particle":"","family":"Bonsu","given":"Kwaku","non-dropping-particle":"","parse-names":false,"suffix":""}],"container-title":"Optometry and Vision Science","id":"ITEM-2","issue":"7","issued":{"date-parts":[["2016"]]},"page":"683-691","title":"Relationship between reduced accommodative lag and myopia progression","type":"article-journal","volume":"93"},"uris":["http://www.mendeley.com/documents/?uuid=084af91d-4f99-49d8-ad71-81f42b9da775"]}],"mendeley":{"formattedCitation":"(Allen &lt;i&gt;et al.&lt;/i&gt;, 2013; Koomson &lt;i&gt;et al.&lt;/i&gt;, 2016)","plainTextFormattedCitation":"(Allen et al., 2013; Koomson et al., 2016)","previouslyFormattedCitation":"(Allen &lt;i&gt;et al.&lt;/i&gt;, 2013; Koomson &lt;i&gt;et al.&lt;/i&gt;, 2016)"},"properties":{"noteIndex":0},"schema":"https://github.com/citation-style-language/schema/raw/master/csl-citation.json"}</w:instrText>
      </w:r>
      <w:r w:rsidR="00CB1EF2" w:rsidRPr="002F6448">
        <w:rPr>
          <w:rFonts w:ascii="Times New Roman" w:eastAsia="Times New Roman" w:hAnsi="Times New Roman" w:cs="Times New Roman"/>
        </w:rPr>
        <w:fldChar w:fldCharType="separate"/>
      </w:r>
      <w:r w:rsidR="00CB1EF2" w:rsidRPr="002F6448">
        <w:rPr>
          <w:rFonts w:ascii="Times New Roman" w:eastAsia="Times New Roman" w:hAnsi="Times New Roman" w:cs="Times New Roman"/>
          <w:noProof/>
        </w:rPr>
        <w:t xml:space="preserve">(Allen </w:t>
      </w:r>
      <w:r w:rsidR="00CB1EF2" w:rsidRPr="002F6448">
        <w:rPr>
          <w:rFonts w:ascii="Times New Roman" w:eastAsia="Times New Roman" w:hAnsi="Times New Roman" w:cs="Times New Roman"/>
          <w:i/>
          <w:noProof/>
        </w:rPr>
        <w:t>et al.</w:t>
      </w:r>
      <w:r w:rsidR="00CB1EF2" w:rsidRPr="002F6448">
        <w:rPr>
          <w:rFonts w:ascii="Times New Roman" w:eastAsia="Times New Roman" w:hAnsi="Times New Roman" w:cs="Times New Roman"/>
          <w:noProof/>
        </w:rPr>
        <w:t xml:space="preserve">, 2013; Koomson </w:t>
      </w:r>
      <w:r w:rsidR="00CB1EF2" w:rsidRPr="002F6448">
        <w:rPr>
          <w:rFonts w:ascii="Times New Roman" w:eastAsia="Times New Roman" w:hAnsi="Times New Roman" w:cs="Times New Roman"/>
          <w:i/>
          <w:noProof/>
        </w:rPr>
        <w:t>et al.</w:t>
      </w:r>
      <w:r w:rsidR="00CB1EF2" w:rsidRPr="002F6448">
        <w:rPr>
          <w:rFonts w:ascii="Times New Roman" w:eastAsia="Times New Roman" w:hAnsi="Times New Roman" w:cs="Times New Roman"/>
          <w:noProof/>
        </w:rPr>
        <w:t>, 2016)</w:t>
      </w:r>
      <w:r w:rsidR="00CB1EF2" w:rsidRPr="002F6448">
        <w:rPr>
          <w:rFonts w:ascii="Times New Roman" w:eastAsia="Times New Roman" w:hAnsi="Times New Roman" w:cs="Times New Roman"/>
        </w:rPr>
        <w:fldChar w:fldCharType="end"/>
      </w:r>
      <w:r w:rsidR="00CB1EF2" w:rsidRPr="002F6448">
        <w:rPr>
          <w:rFonts w:ascii="Times New Roman" w:eastAsia="Times New Roman" w:hAnsi="Times New Roman" w:cs="Times New Roman"/>
        </w:rPr>
        <w:t xml:space="preserve"> </w:t>
      </w:r>
      <w:r w:rsidR="003F6C20" w:rsidRPr="002F6448">
        <w:rPr>
          <w:rFonts w:ascii="Times New Roman" w:eastAsia="Times New Roman" w:hAnsi="Times New Roman" w:cs="Times New Roman"/>
        </w:rPr>
        <w:t>support the protective effect of full-time spectacle wear, likely due to correction of hyperopic defocus and reduction of accommodative strain. In this study, 84% of non-spectacle wearers belonged to the low myopia group. This group may underestimate the need for correction, potentially increasing the risk of progression due to uncorrected refractive error.</w:t>
      </w:r>
    </w:p>
    <w:p w14:paraId="1BB1F12E"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Mobile device use was significantly associated with myopia progression in the unadjusted model. Children who used mobile devices were 49% more likely to experience progression than non-users</w:t>
      </w:r>
      <w:r w:rsidR="00D747B7" w:rsidRPr="002F6448">
        <w:rPr>
          <w:rFonts w:ascii="Times New Roman" w:eastAsia="Times New Roman" w:hAnsi="Times New Roman" w:cs="Times New Roman"/>
        </w:rPr>
        <w:t xml:space="preserve"> (p</w:t>
      </w:r>
      <w:r w:rsidR="00D747B7"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consistent with previous studies linking screen exposure to accommodative stress and hyperopic defocus</w:t>
      </w:r>
      <w:r w:rsidR="005F43CE" w:rsidRPr="002F6448">
        <w:rPr>
          <w:rFonts w:ascii="Times New Roman" w:eastAsia="Times New Roman" w:hAnsi="Times New Roman" w:cs="Times New Roman"/>
        </w:rPr>
        <w:t xml:space="preserve"> </w:t>
      </w:r>
      <w:r w:rsidR="005F43CE" w:rsidRPr="002F6448">
        <w:rPr>
          <w:rFonts w:ascii="Times New Roman" w:eastAsia="Times New Roman" w:hAnsi="Times New Roman" w:cs="Times New Roman"/>
        </w:rPr>
        <w:fldChar w:fldCharType="begin" w:fldLock="1"/>
      </w:r>
      <w:r w:rsidR="00B145FD" w:rsidRPr="002F6448">
        <w:rPr>
          <w:rFonts w:ascii="Times New Roman" w:eastAsia="Times New Roman" w:hAnsi="Times New Roman" w:cs="Times New Roman"/>
        </w:rPr>
        <w:instrText>ADDIN CSL_CITATION {"citationItems":[{"id":"ITEM-1","itemData":{"DOI":"10.1097/OPX.0000000000000867","ISSN":"15389235","PMID":"27058593","abstract":"Purpose. To determine the relationship between accommodative lag and rate of myopia progression when Ghanaian myopic school children are either undercorrected or fully corrected with single vision lenses. Methods. A 2-year single masked randomized control trial was conducted using 150 Ghanaian myopic children aged 10 to 15 years with mean baseline myopia of-1.98 ± 0.50D. The children were randomly assigned to wear either a full correction (n = 75) or +0.50D undercorrection (UC) (n = 75) single vision lenses. Repeated measurements which included refractive error and accommodative response at 33 and 28.6 cm for FC and UC, respectively, were performed using Open-Field Autorefractor whereas ocular biometry results were obtained using A-Scan ultrasonography. Results were based on the right eye and analyzed using STATA 11. Results. After 24 months, the mean myopia progression of children in the FC group (-0.54 ± 0.26D) was not significantly different from that of the children in the UC group (-0.5 ± 0.22D) (p = 0.31). There was no significant difference between the mean values of the initial near lag and the average lag measured 24 months later in both groups (FC: initial lag -0.74 ± 0.17D, average lag -0.72 ± 0.15D, p = 0.44; UC: initial lag -0.57 ± 0.14D, average lag -0.58 ± 0.15D; p = 0.67). Also, there was no significant correlation between refractive change seen in 24months and either the first near lag for both FC (r = -0.05, p = 0.43) andUC (r =-0.08, p = 0.43) or the average near lag of accommodation for both FC (r =-0.02, p = 0.49) and UC (r = -0.04, p = 0.49). Conclusions. This study showed no relationship between lag of accommodation and rate of myopia progression in children with progressing myopia. Different ethnic groups may respond differently to the same size of hyperopic blur.","author":[{"dropping-particle":"","family":"Koomson","given":"Nana Yaa","non-dropping-particle":"","parse-names":false,"suffix":""},{"dropping-particle":"","family":"Amedo","given":"Angela Ofeibea","non-dropping-particle":"","parse-names":false,"suffix":""},{"dropping-particle":"","family":"Opoku-Baah","given":"Collins","non-dropping-particle":"","parse-names":false,"suffix":""},{"dropping-particle":"","family":"Ampeh","given":"Percy Boateng","non-dropping-particle":"","parse-names":false,"suffix":""},{"dropping-particle":"","family":"Ankamah","given":"Emmanuel","non-dropping-particle":"","parse-names":false,"suffix":""},{"dropping-particle":"","family":"Bonsu","given":"Kwaku","non-dropping-particle":"","parse-names":false,"suffix":""}],"container-title":"Optometry and Vision Science","id":"ITEM-1","issue":"7","issued":{"date-parts":[["2016"]]},"page":"683-691","title":"Relationship between reduced accommodative lag and myopia progression","type":"article-journal","volume":"93"},"uris":["http://www.mendeley.com/documents/?uuid=084af91d-4f99-49d8-ad71-81f42b9da775"]},{"id":"ITEM-2","itemData":{"DOI":"10.1167/iovs.17-23506","ISSN":"15525783","PMID":"30933262","abstract":"PURPOSE. To assess the incidence rate of myopia, refractive change, and the effects of influencing factors on a group of highly selected senior high school students in an Aviation Cadet prerecruitment class in China. METHODS. A total of 800 nonmyopic, male, Grade 9 students aged 14- to 16-years old with cycloplegic refraction of -0.25 or greater diopters (D) to 1.75 D or less in both eyes were enrolled in May 2016. During their senior high school studies, students had one 20-minute physical training period a day, and they were encouraged to participate in outdoor activities during class recess without any time limits. The first follow-up was 8 months after enrollment when they were in Grade 10, and the second follow-up was 1 year after the first follow-up when they were in Grade 11. Comprehensive ocular examinations and a detailed questionnaire, which included questions about outdoor activity time, parental myopia, and near work, were completed at each follow-up. RESULTS. The average spherical equivalent refraction (SER) of the right eyes was 0.39 ± 0.44 D at baseline, 0.16 ± 0.41 D at the first follow-up, and -0.10 ± 0.38 D at the second follow-up. The cumulative refractive change was -0.50 D (95% confidence interval [CI], -0.53 to -0.47). The cumulative incidence rate of myopia was 15.5% (124/800). Incident myopia was significantly associated with outdoor activity for more than 1 versus less than 0.5 hr/d (odds ratio [OR] = 0.272, 95% CI, 0.132–0.560), baseline refraction (OR = 0.079, 95% CI, 0.041-0.153), maternal myopia (OR = 2.251, 95% CI, 1.160–4.368), longer class time (OR =3.215, 95% CI, 1.088–9.499), frequent, continuous, and long time reading/writing (OR = 1.620, 95% CI, 1.022–2.570), and shorter reading/writing distance (OR = 1.828, 95% CI, 1.065–3.140). In multiple linear regression model, having outdoor activity for more than 1 hr/d was protective from cumulative SER decrease. A higher baseline refraction together with longer reading/ writing time, frequent, continuous, and longtime reading/writing, and shorter reading/ writing distance were risk factors for SER decrease. CONCLUSIONS. In this cohort of highly selected, nonmyopic students, longer outdoor activity time was a protective factor for both incident myopia and refractive change of myopic shift. The risk factors for incident myopia included lower hyperopic baseline refraction, more near work, and maternal myopia. The risk factors for refractive change of myopic shift included more h…","author":[{"dropping-particle":"","family":"Yao","given":"Lu","non-dropping-particle":"","parse-names":false,"suffix":""},{"dropping-particle":"","family":"Qi","given":"Lin Song","non-dropping-particle":"","parse-names":false,"suffix":""},{"dropping-particle":"","family":"Wang","given":"Xue Feng","non-dropping-particle":"","parse-names":false,"suffix":""},{"dropping-particle":"","family":"Tian","given":"Qing","non-dropping-particle":"","parse-names":false,"suffix":""},{"dropping-particle":"","family":"Yang","given":"Qing Hong","non-dropping-particle":"","parse-names":false,"suffix":""},{"dropping-particle":"","family":"Wu","given":"Teng Yun","non-dropping-particle":"","parse-names":false,"suffix":""},{"dropping-particle":"","family":"Chang","given":"Yao Ming","non-dropping-particle":"","parse-names":false,"suffix":""},{"dropping-particle":"","family":"Zou","given":"Zhi Kang","non-dropping-particle":"","parse-names":false,"suffix":""}],"container-title":"Investigative Ophthalmology and Visual Science","id":"ITEM-2","issue":"5","issued":{"date-parts":[["2019"]]},"page":"1344-1352","title":"Refractive change and incidence of myopia among a group of highly selected senior high school students in China: A prospective study in an aviation cadet prerecruitment class","type":"article-journal","volume":"60"},"uris":["http://www.mendeley.com/documents/?uuid=14eb8987-ee46-466f-a05d-db1687706d14"]},{"id":"ITEM-3","itemData":{"DOI":"10.1136/bjophthalmol-2019-314101","ISSN":"14682079","PMID":"31615762","abstract":"Aim To investigate the protective behaviours of longer near work distance, discontinuing near work and more time outdoors in recess from parent self-report in the myopia prevalence and progression among myopic children aged 9-11 years. Methods Myopia Investigation study in Taipei is a longitudinal population-based study that enrolled elementary school students in Taipei. We provided vision and refraction examination every 6 months. Spherical equivalent (SE) of cycloplegic refraction ≤-0.50 Diopter (D) is defined as myopia. Total 10 743 (70.4%) students completed 2-year refraction data and questionnaire. The myopia prevalence and progression (difference of SE) in baseline, 6, 12, 18 and 24 months were compared by generalised estimating equations. Results Children with persistent protective behaviour had significant lower prevalence of myopia. The protective impact was statistically significant from 6 to 24 months. In 2 years follow-up, risk ratio after adjusting the background variables and the other two behaviours in near work distance, near work time and outdoor time were 0.71, 0.89 and 0.77. In SE analysis, after adjusting the other two behaviours, near work distance &gt;30 cm (-0.7 vs -1.04 D; p&lt;0.001), discontinuing near work every 30 min (-0.77 vs -0.96 D, p=0.005) and more time outdoors in recess from parent self-report (-0.75 vs -0.98 D; p=0.012) revealed protective impacts on diminishing myopia progression from 6 to 24 months. Conclusion In myopic children aged around 10 years in Taipei, longer distance in near work, discontinuing near work every 30 min and more outdoor time from parent self-report are protective behaviours in myopia prevalence and progression in 6-24 months.","author":[{"dropping-particle":"","family":"Huang","given":"Pin Chen","non-dropping-particle":"","parse-names":false,"suffix":""},{"dropping-particle":"","family":"Hsiao","given":"Ya Chuan","non-dropping-particle":"","parse-names":false,"suffix":""},{"dropping-particle":"","family":"Tsai","given":"Ching Yao","non-dropping-particle":"","parse-names":false,"suffix":""},{"dropping-particle":"","family":"Tsai","given":"Der Chong","non-dropping-particle":"","parse-names":false,"suffix":""},{"dropping-particle":"","family":"Chen","given":"Chi Wen","non-dropping-particle":"","parse-names":false,"suffix":""},{"dropping-particle":"","family":"Hsu","given":"Chih Chien","non-dropping-particle":"","parse-names":false,"suffix":""},{"dropping-particle":"","family":"Huang","given":"Shier Chieg","non-dropping-particle":"","parse-names":false,"suffix":""},{"dropping-particle":"","family":"Lin","given":"Meng Hui","non-dropping-particle":"","parse-names":false,"suffix":""},{"dropping-particle":"","family":"Liou","given":"Yiing Mei","non-dropping-particle":"","parse-names":false,"suffix":""}],"container-title":"British Journal of Ophthalmology","id":"ITEM-3","issue":"7","issued":{"date-parts":[["2020"]]},"page":"956-961","title":"Protective behaviours of near work and time outdoors in myopia prevalence and progression in myopic children: A 2-year prospective population study","type":"article-journal","volume":"104"},"uris":["http://www.mendeley.com/documents/?uuid=31e13f31-3ea9-4832-b3d2-b7b41f9961fa"]}],"mendeley":{"formattedCitation":"(Koomson &lt;i&gt;et al.&lt;/i&gt;, 2016; Yao &lt;i&gt;et al.&lt;/i&gt;, 2019; Huang &lt;i&gt;et al.&lt;/i&gt;, 2020)","plainTextFormattedCitation":"(Koomson et al., 2016; Yao et al., 2019; Huang et al., 2020)","previouslyFormattedCitation":"(Koomson &lt;i&gt;et al.&lt;/i&gt;, 2016; Yao &lt;i&gt;et al.&lt;/i&gt;, 2019; Huang &lt;i&gt;et al.&lt;/i&gt;, 2020)"},"properties":{"noteIndex":0},"schema":"https://github.com/citation-style-language/schema/raw/master/csl-citation.json"}</w:instrText>
      </w:r>
      <w:r w:rsidR="005F43CE" w:rsidRPr="002F6448">
        <w:rPr>
          <w:rFonts w:ascii="Times New Roman" w:eastAsia="Times New Roman" w:hAnsi="Times New Roman" w:cs="Times New Roman"/>
        </w:rPr>
        <w:fldChar w:fldCharType="separate"/>
      </w:r>
      <w:r w:rsidR="005F43CE" w:rsidRPr="002F6448">
        <w:rPr>
          <w:rFonts w:ascii="Times New Roman" w:eastAsia="Times New Roman" w:hAnsi="Times New Roman" w:cs="Times New Roman"/>
          <w:noProof/>
        </w:rPr>
        <w:t xml:space="preserve">(Koomson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xml:space="preserve">, 2016; Yao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xml:space="preserve">, 2019; Huang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2020)</w:t>
      </w:r>
      <w:r w:rsidR="005F43CE"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xml:space="preserve">. Although mobile use did not remain significant in the adjusted model, it may serve as a surrogate marker for prolonged </w:t>
      </w:r>
      <w:r w:rsidRPr="002F6448">
        <w:rPr>
          <w:rFonts w:ascii="Times New Roman" w:eastAsia="Times New Roman" w:hAnsi="Times New Roman" w:cs="Times New Roman"/>
        </w:rPr>
        <w:lastRenderedPageBreak/>
        <w:t>near work and reduced tim</w:t>
      </w:r>
      <w:r w:rsidR="00B85233" w:rsidRPr="002F6448">
        <w:rPr>
          <w:rFonts w:ascii="Times New Roman" w:eastAsia="Times New Roman" w:hAnsi="Times New Roman" w:cs="Times New Roman"/>
        </w:rPr>
        <w:t xml:space="preserve">e spent outdoors </w:t>
      </w:r>
      <w:r w:rsidRPr="002F6448">
        <w:rPr>
          <w:rFonts w:ascii="Times New Roman" w:eastAsia="Times New Roman" w:hAnsi="Times New Roman" w:cs="Times New Roman"/>
        </w:rPr>
        <w:t>both establish</w:t>
      </w:r>
      <w:r w:rsidR="001A335D" w:rsidRPr="002F6448">
        <w:rPr>
          <w:rFonts w:ascii="Times New Roman" w:eastAsia="Times New Roman" w:hAnsi="Times New Roman" w:cs="Times New Roman"/>
        </w:rPr>
        <w:t>ed risk factors for progression</w:t>
      </w:r>
      <w:r w:rsidR="00D25B7B" w:rsidRPr="002F6448">
        <w:rPr>
          <w:rFonts w:ascii="Times New Roman" w:eastAsia="Times New Roman" w:hAnsi="Times New Roman" w:cs="Times New Roman"/>
        </w:rPr>
        <w:fldChar w:fldCharType="begin" w:fldLock="1"/>
      </w:r>
      <w:r w:rsidR="004B6B37" w:rsidRPr="002F6448">
        <w:rPr>
          <w:rFonts w:ascii="Times New Roman" w:eastAsia="Times New Roman" w:hAnsi="Times New Roman" w:cs="Times New Roman"/>
        </w:rPr>
        <w:instrText>ADDIN CSL_CITATION {"citationItems":[{"id":"ITEM-1","itemData":{"DOI":"10.1097/OPX.0000000000000040","ISSN":"10405488","PMID":"24037061","abstract":"PURPOSE: Visual sensing of the sign of defocus is important not only for the rapid control of accommodation but also for regulating the slower long-term growth of the eye. METHODS: We examined the possibility that ocular spherical aberration (SA) elicits a sign of defocus by optical modeling of image formation using the principles of physical optics. RESULTS: Retinal image contrast, as measured by the area under the visually weighted modulation-transfer function, depends on both the magnitude and the sign of defocus relative to the sign of the SA. Image contrast is greater for hyperopic blur than for myopic blur when SA is positive and vice versa when SA is negative. CONCLUSIONS: When coupled with Wallman's hypothesis that retinal activity caused by image contrast inhibits eye growth, these results provide a testable hypothesis to account for myopia progression. For example, we suggest that hyperopic blur is a risk factor for myopia progression only when the eye has a negative SA because that is the combination leading to relatively low contrast in the defocused retinal image. Because the likelihood of a negative SA increases with accommodation, avoiding long hours of near work in the presence of accommodative lag may help prevent the onset and progression of myopia. © American Academy of Optometry.","author":[{"dropping-particle":"","family":"Thibos","given":"Larry N.","non-dropping-particle":"","parse-names":false,"suffix":""},{"dropping-particle":"","family":"Bradley","given":"Arthur","non-dropping-particle":"","parse-names":false,"suffix":""},{"dropping-particle":"","family":"Liu","given":"Tao","non-dropping-particle":"","parse-names":false,"suffix":""},{"dropping-particle":"","family":"López-Gil","given":"Norberto","non-dropping-particle":"","parse-names":false,"suffix":""}],"container-title":"Optometry and Vision Science","id":"ITEM-1","issue":"11","issued":{"date-parts":[["2013"]]},"page":"1284-1291","title":"Spherical aberration and the sign of defocus","type":"article-journal","volume":"90"},"uris":["http://www.mendeley.com/documents/?uuid=4e45ebb0-62f2-4175-8f14-6f578c0b3f05"]},{"id":"ITEM-2","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-2","issued":{"date-parts":[["2017"]]},"page":"1-12","title":"Incidence and progression of myopia and associated factors in urban school children in Delhi : The North India Myopia Study ( NIM Study )","type":"article-journal"},"uris":["http://www.mendeley.com/documents/?uuid=8e1a8586-294b-44f3-ab2c-2ce80911937e"]}],"mendeley":{"formattedCitation":"(Thibos &lt;i&gt;et al.&lt;/i&gt;, 2013; Saxena &lt;i&gt;et al.&lt;/i&gt;, 2017)","plainTextFormattedCitation":"(Thibos et al., 2013; Saxena et al., 2017)","previouslyFormattedCitation":"(Thibos &lt;i&gt;et al.&lt;/i&gt;, 2013; Saxena &lt;i&gt;et al.&lt;/i&gt;, 2017)"},"properties":{"noteIndex":0},"schema":"https://github.com/citation-style-language/schema/raw/master/csl-citation.json"}</w:instrText>
      </w:r>
      <w:r w:rsidR="00D25B7B" w:rsidRPr="002F6448">
        <w:rPr>
          <w:rFonts w:ascii="Times New Roman" w:eastAsia="Times New Roman" w:hAnsi="Times New Roman" w:cs="Times New Roman"/>
        </w:rPr>
        <w:fldChar w:fldCharType="separate"/>
      </w:r>
      <w:r w:rsidR="00D25B7B" w:rsidRPr="002F6448">
        <w:rPr>
          <w:rFonts w:ascii="Times New Roman" w:eastAsia="Times New Roman" w:hAnsi="Times New Roman" w:cs="Times New Roman"/>
          <w:noProof/>
        </w:rPr>
        <w:t xml:space="preserve">(Thibos </w:t>
      </w:r>
      <w:r w:rsidR="00D25B7B" w:rsidRPr="002F6448">
        <w:rPr>
          <w:rFonts w:ascii="Times New Roman" w:eastAsia="Times New Roman" w:hAnsi="Times New Roman" w:cs="Times New Roman"/>
          <w:i/>
          <w:noProof/>
        </w:rPr>
        <w:t>et al.</w:t>
      </w:r>
      <w:r w:rsidR="00D25B7B" w:rsidRPr="002F6448">
        <w:rPr>
          <w:rFonts w:ascii="Times New Roman" w:eastAsia="Times New Roman" w:hAnsi="Times New Roman" w:cs="Times New Roman"/>
          <w:noProof/>
        </w:rPr>
        <w:t xml:space="preserve">, 2013; Saxena </w:t>
      </w:r>
      <w:r w:rsidR="00D25B7B" w:rsidRPr="002F6448">
        <w:rPr>
          <w:rFonts w:ascii="Times New Roman" w:eastAsia="Times New Roman" w:hAnsi="Times New Roman" w:cs="Times New Roman"/>
          <w:i/>
          <w:noProof/>
        </w:rPr>
        <w:t>et al.</w:t>
      </w:r>
      <w:r w:rsidR="00D25B7B" w:rsidRPr="002F6448">
        <w:rPr>
          <w:rFonts w:ascii="Times New Roman" w:eastAsia="Times New Roman" w:hAnsi="Times New Roman" w:cs="Times New Roman"/>
          <w:noProof/>
        </w:rPr>
        <w:t>, 2017)</w:t>
      </w:r>
      <w:r w:rsidR="00D25B7B" w:rsidRPr="002F6448">
        <w:rPr>
          <w:rFonts w:ascii="Times New Roman" w:eastAsia="Times New Roman" w:hAnsi="Times New Roman" w:cs="Times New Roman"/>
        </w:rPr>
        <w:fldChar w:fldCharType="end"/>
      </w:r>
      <w:r w:rsidR="001A335D" w:rsidRPr="002F6448">
        <w:rPr>
          <w:rFonts w:ascii="Times New Roman" w:eastAsia="Times New Roman" w:hAnsi="Times New Roman" w:cs="Times New Roman"/>
        </w:rPr>
        <w:t>.</w:t>
      </w:r>
    </w:p>
    <w:p w14:paraId="147E1F7F" w14:textId="77777777" w:rsidR="00920E96"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Viewing television at a distance of two meters or less was associated with a 31% higher prevalence of progression and remained significant in both unadjusted</w:t>
      </w:r>
      <w:r w:rsidR="00EF0BC8" w:rsidRPr="002F6448">
        <w:rPr>
          <w:rFonts w:ascii="Times New Roman" w:eastAsia="Times New Roman" w:hAnsi="Times New Roman" w:cs="Times New Roman"/>
        </w:rPr>
        <w:t xml:space="preserve"> (p</w:t>
      </w:r>
      <w:r w:rsidR="00EF0BC8"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xml:space="preserve"> and adjusted</w:t>
      </w:r>
      <w:r w:rsidR="00EF0BC8" w:rsidRPr="002F6448">
        <w:rPr>
          <w:rFonts w:ascii="Times New Roman" w:eastAsia="Times New Roman" w:hAnsi="Times New Roman" w:cs="Times New Roman"/>
        </w:rPr>
        <w:t>(p=0.001)</w:t>
      </w:r>
      <w:r w:rsidRPr="002F6448">
        <w:rPr>
          <w:rFonts w:ascii="Times New Roman" w:eastAsia="Times New Roman" w:hAnsi="Times New Roman" w:cs="Times New Roman"/>
        </w:rPr>
        <w:t xml:space="preserve"> models. </w:t>
      </w:r>
      <w:r w:rsidR="00B145FD" w:rsidRPr="002F6448">
        <w:rPr>
          <w:rFonts w:ascii="Times New Roman" w:eastAsia="Times New Roman" w:hAnsi="Times New Roman" w:cs="Times New Roman"/>
        </w:rPr>
        <w:t>With similar findings seen in studies done in India</w:t>
      </w:r>
      <w:r w:rsidR="00920E96" w:rsidRPr="002F6448">
        <w:rPr>
          <w:rFonts w:ascii="Times New Roman" w:eastAsia="Times New Roman" w:hAnsi="Times New Roman" w:cs="Times New Roman"/>
        </w:rPr>
        <w:t xml:space="preserve"> </w:t>
      </w:r>
      <w:r w:rsidR="00B145FD" w:rsidRPr="002F6448">
        <w:rPr>
          <w:rFonts w:ascii="Times New Roman" w:eastAsia="Times New Roman" w:hAnsi="Times New Roman" w:cs="Times New Roman"/>
        </w:rPr>
        <w:fldChar w:fldCharType="begin" w:fldLock="1"/>
      </w:r>
      <w:r w:rsidR="00920E96" w:rsidRPr="002F6448">
        <w:rPr>
          <w:rFonts w:ascii="Times New Roman" w:eastAsia="Times New Roman" w:hAnsi="Times New Roman" w:cs="Times New Roman"/>
        </w:rPr>
        <w:instrText>ADDIN CSL_CITATION {"citationItems":[{"id":"ITEM-1","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-1","issued":{"date-parts":[["2017"]]},"page":"1-12","title":"Incidence and progression of myopia and associated factors in urban school children in Delhi : The North India Myopia Study ( NIM Study )","type":"article-journal"},"uris":["http://www.mendeley.com/documents/?uuid=8e1a8586-294b-44f3-ab2c-2ce80911937e"]}],"mendeley":{"formattedCitation":"(Saxena &lt;i&gt;et al.&lt;/i&gt;, 2017)","plainTextFormattedCitation":"(Saxena et al., 2017)","previouslyFormattedCitation":"(Saxena &lt;i&gt;et al.&lt;/i&gt;, 2017)"},"properties":{"noteIndex":0},"schema":"https://github.com/citation-style-language/schema/raw/master/csl-citation.json"}</w:instrText>
      </w:r>
      <w:r w:rsidR="00B145FD" w:rsidRPr="002F6448">
        <w:rPr>
          <w:rFonts w:ascii="Times New Roman" w:eastAsia="Times New Roman" w:hAnsi="Times New Roman" w:cs="Times New Roman"/>
        </w:rPr>
        <w:fldChar w:fldCharType="separate"/>
      </w:r>
      <w:r w:rsidR="00B145FD" w:rsidRPr="002F6448">
        <w:rPr>
          <w:rFonts w:ascii="Times New Roman" w:eastAsia="Times New Roman" w:hAnsi="Times New Roman" w:cs="Times New Roman"/>
          <w:noProof/>
        </w:rPr>
        <w:t xml:space="preserve">(Saxena </w:t>
      </w:r>
      <w:r w:rsidR="00B145FD" w:rsidRPr="002F6448">
        <w:rPr>
          <w:rFonts w:ascii="Times New Roman" w:eastAsia="Times New Roman" w:hAnsi="Times New Roman" w:cs="Times New Roman"/>
          <w:i/>
          <w:noProof/>
        </w:rPr>
        <w:t>et al.</w:t>
      </w:r>
      <w:r w:rsidR="00B145FD" w:rsidRPr="002F6448">
        <w:rPr>
          <w:rFonts w:ascii="Times New Roman" w:eastAsia="Times New Roman" w:hAnsi="Times New Roman" w:cs="Times New Roman"/>
          <w:noProof/>
        </w:rPr>
        <w:t>, 2017)</w:t>
      </w:r>
      <w:r w:rsidR="00B145FD" w:rsidRPr="002F6448">
        <w:rPr>
          <w:rFonts w:ascii="Times New Roman" w:eastAsia="Times New Roman" w:hAnsi="Times New Roman" w:cs="Times New Roman"/>
        </w:rPr>
        <w:fldChar w:fldCharType="end"/>
      </w:r>
      <w:r w:rsidR="00920E96" w:rsidRPr="002F6448">
        <w:rPr>
          <w:rFonts w:ascii="Times New Roman" w:eastAsia="Times New Roman" w:hAnsi="Times New Roman" w:cs="Times New Roman"/>
        </w:rPr>
        <w:t xml:space="preserve">. </w:t>
      </w:r>
      <w:r w:rsidRPr="002F6448">
        <w:rPr>
          <w:rFonts w:ascii="Times New Roman" w:eastAsia="Times New Roman" w:hAnsi="Times New Roman" w:cs="Times New Roman"/>
        </w:rPr>
        <w:t>Closer viewing distances increase accommodative demand and may result in sustained hyperopic retinal defocus, which promotes axial elongation</w:t>
      </w:r>
      <w:r w:rsidR="00920E96" w:rsidRPr="002F6448">
        <w:rPr>
          <w:rFonts w:ascii="Times New Roman" w:eastAsia="Times New Roman" w:hAnsi="Times New Roman" w:cs="Times New Roman"/>
        </w:rPr>
        <w:t xml:space="preserve"> </w:t>
      </w:r>
      <w:r w:rsidR="00920E96" w:rsidRPr="002F6448">
        <w:rPr>
          <w:rFonts w:ascii="Times New Roman" w:eastAsia="Times New Roman" w:hAnsi="Times New Roman" w:cs="Times New Roman"/>
        </w:rPr>
        <w:fldChar w:fldCharType="begin" w:fldLock="1"/>
      </w:r>
      <w:r w:rsidR="00635184" w:rsidRPr="002F6448">
        <w:rPr>
          <w:rFonts w:ascii="Times New Roman" w:eastAsia="Times New Roman" w:hAnsi="Times New Roman" w:cs="Times New Roman"/>
        </w:rPr>
        <w:instrText>ADDIN CSL_CITATION {"citationItems":[{"id":"ITEM-1","itemData":{"DOI":"10.3389/fped.2021.662984","author":[{"dropping-particle":"","family":"Liu","given":"Ji","non-dropping-particle":"","parse-names":false,"suffix":""},{"dropping-particle":"","family":"Li","given":"Baihuiyu","non-dropping-particle":"","parse-names":false,"suffix":""},{"dropping-particle":"","family":"Sun","given":"Yan","non-dropping-particle":"","parse-names":false,"suffix":""},{"dropping-particle":"","family":"Chen","given":"Qiaoyi","non-dropping-particle":"","parse-names":false,"suffix":""},{"dropping-particle":"","family":"Dang","given":"Jingxia","non-dropping-particle":"","parse-names":false,"suffix":""}],"id":"ITEM-1","issue":"May","issued":{"date-parts":[["2021"]]},"page":"1-7","title":"Adolescent Vision Health During the Outbreak of COVID-19 : Association Between Digital Screen Use and Myopia Progression","type":"article-journal","volume":"9"},"uris":["http://www.mendeley.com/documents/?uuid=1085bd76-9fc2-4116-a306-b38eb21cc25e"]}],"mendeley":{"formattedCitation":"(Liu &lt;i&gt;et al.&lt;/i&gt;, 2021)","plainTextFormattedCitation":"(Liu et al., 2021)","previouslyFormattedCitation":"(Liu &lt;i&gt;et al.&lt;/i&gt;, 2021)"},"properties":{"noteIndex":0},"schema":"https://github.com/citation-style-language/schema/raw/master/csl-citation.json"}</w:instrText>
      </w:r>
      <w:r w:rsidR="00920E96" w:rsidRPr="002F6448">
        <w:rPr>
          <w:rFonts w:ascii="Times New Roman" w:eastAsia="Times New Roman" w:hAnsi="Times New Roman" w:cs="Times New Roman"/>
        </w:rPr>
        <w:fldChar w:fldCharType="separate"/>
      </w:r>
      <w:r w:rsidR="00920E96" w:rsidRPr="002F6448">
        <w:rPr>
          <w:rFonts w:ascii="Times New Roman" w:eastAsia="Times New Roman" w:hAnsi="Times New Roman" w:cs="Times New Roman"/>
          <w:noProof/>
        </w:rPr>
        <w:t xml:space="preserve">(Liu </w:t>
      </w:r>
      <w:r w:rsidR="00920E96" w:rsidRPr="002F6448">
        <w:rPr>
          <w:rFonts w:ascii="Times New Roman" w:eastAsia="Times New Roman" w:hAnsi="Times New Roman" w:cs="Times New Roman"/>
          <w:i/>
          <w:noProof/>
        </w:rPr>
        <w:t>et al.</w:t>
      </w:r>
      <w:r w:rsidR="00920E96" w:rsidRPr="002F6448">
        <w:rPr>
          <w:rFonts w:ascii="Times New Roman" w:eastAsia="Times New Roman" w:hAnsi="Times New Roman" w:cs="Times New Roman"/>
          <w:noProof/>
        </w:rPr>
        <w:t>, 2021)</w:t>
      </w:r>
      <w:r w:rsidR="00920E96" w:rsidRPr="002F6448">
        <w:rPr>
          <w:rFonts w:ascii="Times New Roman" w:eastAsia="Times New Roman" w:hAnsi="Times New Roman" w:cs="Times New Roman"/>
        </w:rPr>
        <w:fldChar w:fldCharType="end"/>
      </w:r>
      <w:r w:rsidR="00920E96" w:rsidRPr="002F6448">
        <w:rPr>
          <w:rFonts w:ascii="Times New Roman" w:eastAsia="Times New Roman" w:hAnsi="Times New Roman" w:cs="Times New Roman"/>
        </w:rPr>
        <w:t>.</w:t>
      </w:r>
    </w:p>
    <w:p w14:paraId="458AFDF0"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Engaging in near work for more than two hours per day</w:t>
      </w:r>
      <w:r w:rsidR="00EE1B94" w:rsidRPr="002F6448">
        <w:rPr>
          <w:rFonts w:ascii="Times New Roman" w:eastAsia="Times New Roman" w:hAnsi="Times New Roman" w:cs="Times New Roman"/>
        </w:rPr>
        <w:t xml:space="preserve"> after school hours</w:t>
      </w:r>
      <w:r w:rsidRPr="002F6448">
        <w:rPr>
          <w:rFonts w:ascii="Times New Roman" w:eastAsia="Times New Roman" w:hAnsi="Times New Roman" w:cs="Times New Roman"/>
        </w:rPr>
        <w:t xml:space="preserve"> was strongly associated with myopia progression in both crude</w:t>
      </w:r>
      <w:r w:rsidR="008B514C" w:rsidRPr="002F6448">
        <w:rPr>
          <w:rFonts w:ascii="Times New Roman" w:eastAsia="Times New Roman" w:hAnsi="Times New Roman" w:cs="Times New Roman"/>
        </w:rPr>
        <w:t xml:space="preserve"> (p </w:t>
      </w:r>
      <w:r w:rsidR="008B514C"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xml:space="preserve"> and adjusted analyses</w:t>
      </w:r>
      <w:r w:rsidR="008B514C" w:rsidRPr="002F6448">
        <w:rPr>
          <w:rFonts w:ascii="Times New Roman" w:eastAsia="Times New Roman" w:hAnsi="Times New Roman" w:cs="Times New Roman"/>
        </w:rPr>
        <w:t xml:space="preserve"> (p&lt;0.001)</w:t>
      </w:r>
      <w:r w:rsidRPr="002F6448">
        <w:rPr>
          <w:rFonts w:ascii="Times New Roman" w:eastAsia="Times New Roman" w:hAnsi="Times New Roman" w:cs="Times New Roman"/>
        </w:rPr>
        <w:t>. This is consistent with global literature that identifies prolonged near work as a major contributor to increased accommodative demand and associated ocular growth</w:t>
      </w:r>
      <w:r w:rsidR="0010328A" w:rsidRPr="002F6448">
        <w:rPr>
          <w:rFonts w:ascii="Times New Roman" w:eastAsia="Times New Roman" w:hAnsi="Times New Roman" w:cs="Times New Roman"/>
        </w:rPr>
        <w:t xml:space="preserve"> </w:t>
      </w:r>
      <w:r w:rsidR="0010328A" w:rsidRPr="002F6448">
        <w:rPr>
          <w:rFonts w:ascii="Times New Roman" w:eastAsia="Times New Roman" w:hAnsi="Times New Roman" w:cs="Times New Roman"/>
        </w:rPr>
        <w:fldChar w:fldCharType="begin" w:fldLock="1"/>
      </w:r>
      <w:r w:rsidR="004B6B37" w:rsidRPr="002F6448">
        <w:rPr>
          <w:rFonts w:ascii="Times New Roman" w:eastAsia="Times New Roman" w:hAnsi="Times New Roman" w:cs="Times New Roman"/>
        </w:rPr>
        <w:instrText>ADDIN CSL_CITATION {"citationItems":[{"id":"ITEM-1","itemData":{"DOI":"10.1097/OPX.0000000000000040","ISSN":"10405488","PMID":"24037061","abstract":"PURPOSE: Visual sensing of the sign of defocus is important not only for the rapid control of accommodation but also for regulating the slower long-term growth of the eye. METHODS: We examined the possibility that ocular spherical aberration (SA) elicits a sign of defocus by optical modeling of image formation using the principles of physical optics. RESULTS: Retinal image contrast, as measured by the area under the visually weighted modulation-transfer function, depends on both the magnitude and the sign of defocus relative to the sign of the SA. Image contrast is greater for hyperopic blur than for myopic blur when SA is positive and vice versa when SA is negative. CONCLUSIONS: When coupled with Wallman's hypothesis that retinal activity caused by image contrast inhibits eye growth, these results provide a testable hypothesis to account for myopia progression. For example, we suggest that hyperopic blur is a risk factor for myopia progression only when the eye has a negative SA because that is the combination leading to relatively low contrast in the defocused retinal image. Because the likelihood of a negative SA increases with accommodation, avoiding long hours of near work in the presence of accommodative lag may help prevent the onset and progression of myopia. © American Academy of Optometry.","author":[{"dropping-particle":"","family":"Thibos","given":"Larry N.","non-dropping-particle":"","parse-names":false,"suffix":""},{"dropping-particle":"","family":"Bradley","given":"Arthur","non-dropping-particle":"","parse-names":false,"suffix":""},{"dropping-particle":"","family":"Liu","given":"Tao","non-dropping-particle":"","parse-names":false,"suffix":""},{"dropping-particle":"","family":"López-Gil","given":"Norberto","non-dropping-particle":"","parse-names":false,"suffix":""}],"container-title":"Optometry and Vision Science","id":"ITEM-1","issue":"11","issued":{"date-parts":[["2013"]]},"page":"1284-1291","title":"Spherical aberration and the sign of defocus","type":"article-journal","volume":"90"},"uris":["http://www.mendeley.com/documents/?uuid=4e45ebb0-62f2-4175-8f14-6f578c0b3f05"]},{"id":"ITEM-2","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-2","issued":{"date-parts":[["2017"]]},"page":"1-12","title":"Incidence and progression of myopia and associated factors in urban school children in Delhi : The North India Myopia Study ( NIM Study )","type":"article-journal"},"uris":["http://www.mendeley.com/documents/?uuid=8e1a8586-294b-44f3-ab2c-2ce80911937e"]}],"mendeley":{"formattedCitation":"(Thibos &lt;i&gt;et al.&lt;/i&gt;, 2013; Saxena &lt;i&gt;et al.&lt;/i&gt;, 2017)","plainTextFormattedCitation":"(Thibos et al., 2013; Saxena et al., 2017)","previouslyFormattedCitation":"(Thibos &lt;i&gt;et al.&lt;/i&gt;, 2013; Saxena &lt;i&gt;et al.&lt;/i&gt;, 2017)"},"properties":{"noteIndex":0},"schema":"https://github.com/citation-style-language/schema/raw/master/csl-citation.json"}</w:instrText>
      </w:r>
      <w:r w:rsidR="0010328A" w:rsidRPr="002F6448">
        <w:rPr>
          <w:rFonts w:ascii="Times New Roman" w:eastAsia="Times New Roman" w:hAnsi="Times New Roman" w:cs="Times New Roman"/>
        </w:rPr>
        <w:fldChar w:fldCharType="separate"/>
      </w:r>
      <w:r w:rsidR="0010328A" w:rsidRPr="002F6448">
        <w:rPr>
          <w:rFonts w:ascii="Times New Roman" w:eastAsia="Times New Roman" w:hAnsi="Times New Roman" w:cs="Times New Roman"/>
          <w:noProof/>
        </w:rPr>
        <w:t xml:space="preserve">(Thibos </w:t>
      </w:r>
      <w:r w:rsidR="0010328A" w:rsidRPr="002F6448">
        <w:rPr>
          <w:rFonts w:ascii="Times New Roman" w:eastAsia="Times New Roman" w:hAnsi="Times New Roman" w:cs="Times New Roman"/>
          <w:i/>
          <w:noProof/>
        </w:rPr>
        <w:t>et al.</w:t>
      </w:r>
      <w:r w:rsidR="0010328A" w:rsidRPr="002F6448">
        <w:rPr>
          <w:rFonts w:ascii="Times New Roman" w:eastAsia="Times New Roman" w:hAnsi="Times New Roman" w:cs="Times New Roman"/>
          <w:noProof/>
        </w:rPr>
        <w:t xml:space="preserve">, 2013; Saxena </w:t>
      </w:r>
      <w:r w:rsidR="0010328A" w:rsidRPr="002F6448">
        <w:rPr>
          <w:rFonts w:ascii="Times New Roman" w:eastAsia="Times New Roman" w:hAnsi="Times New Roman" w:cs="Times New Roman"/>
          <w:i/>
          <w:noProof/>
        </w:rPr>
        <w:t>et al.</w:t>
      </w:r>
      <w:r w:rsidR="0010328A" w:rsidRPr="002F6448">
        <w:rPr>
          <w:rFonts w:ascii="Times New Roman" w:eastAsia="Times New Roman" w:hAnsi="Times New Roman" w:cs="Times New Roman"/>
          <w:noProof/>
        </w:rPr>
        <w:t>, 2017)</w:t>
      </w:r>
      <w:r w:rsidR="0010328A" w:rsidRPr="002F6448">
        <w:rPr>
          <w:rFonts w:ascii="Times New Roman" w:eastAsia="Times New Roman" w:hAnsi="Times New Roman" w:cs="Times New Roman"/>
        </w:rPr>
        <w:fldChar w:fldCharType="end"/>
      </w:r>
      <w:r w:rsidR="00635184" w:rsidRPr="002F6448">
        <w:rPr>
          <w:rFonts w:ascii="Times New Roman" w:eastAsia="Times New Roman" w:hAnsi="Times New Roman" w:cs="Times New Roman"/>
        </w:rPr>
        <w:t>.</w:t>
      </w:r>
      <w:r w:rsidRPr="002F6448">
        <w:rPr>
          <w:rFonts w:ascii="Times New Roman" w:eastAsia="Times New Roman" w:hAnsi="Times New Roman" w:cs="Times New Roman"/>
        </w:rPr>
        <w:t>These findings underscore the importance of limiting extended near tasks, particularly in urban school-aged populations.</w:t>
      </w:r>
    </w:p>
    <w:p w14:paraId="003CBFE0" w14:textId="77777777" w:rsidR="00B35726" w:rsidRPr="002F6448" w:rsidRDefault="00B35726"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Family history of myopia </w:t>
      </w:r>
      <w:r w:rsidR="003F6C20" w:rsidRPr="002F6448">
        <w:rPr>
          <w:rFonts w:ascii="Times New Roman" w:eastAsia="Times New Roman" w:hAnsi="Times New Roman" w:cs="Times New Roman"/>
        </w:rPr>
        <w:t>defined in this study as having at least one parent or sibling who wears</w:t>
      </w:r>
      <w:r w:rsidRPr="002F6448">
        <w:rPr>
          <w:rFonts w:ascii="Times New Roman" w:eastAsia="Times New Roman" w:hAnsi="Times New Roman" w:cs="Times New Roman"/>
        </w:rPr>
        <w:t xml:space="preserve"> spectacles for distance vision </w:t>
      </w:r>
      <w:r w:rsidR="003F6C20" w:rsidRPr="002F6448">
        <w:rPr>
          <w:rFonts w:ascii="Times New Roman" w:eastAsia="Times New Roman" w:hAnsi="Times New Roman" w:cs="Times New Roman"/>
        </w:rPr>
        <w:t>was another strong and independent predictor of myopia prog</w:t>
      </w:r>
      <w:r w:rsidR="00D25B7B" w:rsidRPr="002F6448">
        <w:rPr>
          <w:rFonts w:ascii="Times New Roman" w:eastAsia="Times New Roman" w:hAnsi="Times New Roman" w:cs="Times New Roman"/>
        </w:rPr>
        <w:t xml:space="preserve">ression. This supports the well </w:t>
      </w:r>
      <w:r w:rsidR="003F6C20" w:rsidRPr="002F6448">
        <w:rPr>
          <w:rFonts w:ascii="Times New Roman" w:eastAsia="Times New Roman" w:hAnsi="Times New Roman" w:cs="Times New Roman"/>
        </w:rPr>
        <w:t>documented role of genetic predisposition in myopia development and highlights the importance of early screening and monitoring among children with a positive family history</w:t>
      </w:r>
      <w:r w:rsidRPr="002F6448">
        <w:rPr>
          <w:rFonts w:ascii="Times New Roman" w:eastAsia="Times New Roman" w:hAnsi="Times New Roman" w:cs="Times New Roman"/>
        </w:rPr>
        <w:t xml:space="preserve"> </w:t>
      </w:r>
      <w:r w:rsidRPr="002F6448">
        <w:rPr>
          <w:rFonts w:ascii="Times New Roman" w:eastAsia="Times New Roman" w:hAnsi="Times New Roman" w:cs="Times New Roman"/>
        </w:rPr>
        <w:fldChar w:fldCharType="begin" w:fldLock="1"/>
      </w:r>
      <w:r w:rsidR="007A6441" w:rsidRPr="002F6448">
        <w:rPr>
          <w:rFonts w:ascii="Times New Roman" w:eastAsia="Times New Roman" w:hAnsi="Times New Roman" w:cs="Times New Roman"/>
        </w:rPr>
        <w:instrText>ADDIN CSL_CITATION {"citationItems":[{"id":"ITEM-1","itemData":{"DOI":"10.1167/iovs.03-1058","ISSN":"01460404","PMID":"15452048","abstract":"PURPOSE. To investigate the impact of a positive family history of high myopia on the level and onset of myopia and its ocular components. METHODS. A cross-sectional study was conducted. The participants (aged 17 to 45 years) were categorized into four groups: normal, mild, moderate, and high myopia. The age of first glasses for myopia was used as the onset of myopia. The impact of the family history on the level and the onset of myopia was quantified. Parental effect on corneal curvature (CC), anterior chamber depth (ACD), and axial length (AXL) was analyzed. RESULTS. The study included 185 normal subjects, 170 mild, 140 moderate, and 392 high myopes. Family history was strongly associated with the probands' status (P &lt; 6 × 10-12). When there was ≥1 highly myopic parent, the odds ratios (ORs) of developing mild or moderate myopia were between 2.5 and 3.7 (95% CI: 1.1-6.5) and the ORs of having high myopia were &gt; 5.5 (95% CI: 3.2-12.6). A strong association (P = 2 × 10-6) between parental myopic state and the AXL in the subjects was also found, but there was no statistical relationship for ACD or CC. There was an association between high myopia in parents and the onset of myopia in children. Siblings had a weaker association with the level of myopia and had no effect on the onset of myopia. CONCLUSIONS. This study found strong familial effects on the level and onset of myopia even after adjusting for environmental factors. The parental effect on ocular components in their offspring was primarily on AXL.","author":[{"dropping-particle":"","family":"Liang","given":"Chung Ling","non-dropping-particle":"","parse-names":false,"suffix":""},{"dropping-particle":"","family":"Yen","given":"Eugene","non-dropping-particle":"","parse-names":false,"suffix":""},{"dropping-particle":"","family":"Su","given":"Jui Yung","non-dropping-particle":"","parse-names":false,"suffix":""},{"dropping-particle":"","family":"Liu","given":"Chang","non-dropping-particle":"","parse-names":false,"suffix":""},{"dropping-particle":"","family":"Chang","given":"Tzu Yi","non-dropping-particle":"","parse-names":false,"suffix":""},{"dropping-particle":"","family":"Park","given":"Naeun","non-dropping-particle":"","parse-names":false,"suffix":""},{"dropping-particle":"","family":"Wu","given":"Ming Jin","non-dropping-particle":"","parse-names":false,"suffix":""},{"dropping-particle":"","family":"Lee","given":"Sharon","non-dropping-particle":"","parse-names":false,"suffix":""},{"dropping-particle":"","family":"Flynn","given":"John T.","non-dropping-particle":"","parse-names":false,"suffix":""},{"dropping-particle":"","family":"Juo","given":"Sub Hang Hank","non-dropping-particle":"","parse-names":false,"suffix":""}],"container-title":"Investigative Ophthalmology and Visual Science","id":"ITEM-1","issue":"10","issued":{"date-parts":[["2004"]]},"page":"3446-3452","title":"Impact of family history of high myopia on level and onset of myopia","type":"article-journal","volume":"45"},"uris":["http://www.mendeley.com/documents/?uuid=8e185c12-c6c0-436d-8ab4-6b241d50ba02"]},{"id":"ITEM-2","itemData":{"author":[{"dropping-particle":"","family":"Liao","given":"Chimei","non-dropping-particle":"","parse-names":false,"suffix":""},{"dropping-particle":"","family":"Ding","given":"Xiaohu","non-dropping-particle":"","parse-names":false,"suffix":""},{"dropping-particle":"","family":"Han","given":"Xiaotong","non-dropping-particle":"","parse-names":false,"suffix":""},{"dropping-particle":"","family":"Jiang","given":"Yu","non-dropping-particle":"","parse-names":false,"suffix":""},{"dropping-particle":"","family":"Zhang","given":"Jian","non-dropping-particle":"","parse-names":false,"suffix":""},{"dropping-particle":"","family":"Scheetz","given":"Jane","non-dropping-particle":"","parse-names":false,"suffix":""},{"dropping-particle":"","family":"He","given":"Mingguang","non-dropping-particle":"","parse-names":false,"suffix":""}],"id":"ITEM-2","issued":{"date-parts":[["2019"]]},"title":"Role of Parental Refractive Status in Myopia Progression : 12-Year Annual Observation From the Guangzhou Twin Eye Study","type":"article-journal"},"uris":["http://www.mendeley.com/documents/?uuid=91fddcb7-0811-46b7-b540-e8b395b6527b"]}],"mendeley":{"formattedCitation":"(Liang &lt;i&gt;et al.&lt;/i&gt;, 2004; Liao &lt;i&gt;et al.&lt;/i&gt;, 2019)","plainTextFormattedCitation":"(Liang et al., 2004; Liao et al., 2019)","previouslyFormattedCitation":"(Liang &lt;i&gt;et al.&lt;/i&gt;, 2004; Liao &lt;i&gt;et al.&lt;/i&gt;, 2019)"},"properties":{"noteIndex":0},"schema":"https://github.com/citation-style-language/schema/raw/master/csl-citation.json"}</w:instrText>
      </w:r>
      <w:r w:rsidRPr="002F6448">
        <w:rPr>
          <w:rFonts w:ascii="Times New Roman" w:eastAsia="Times New Roman" w:hAnsi="Times New Roman" w:cs="Times New Roman"/>
        </w:rPr>
        <w:fldChar w:fldCharType="separate"/>
      </w:r>
      <w:r w:rsidRPr="002F6448">
        <w:rPr>
          <w:rFonts w:ascii="Times New Roman" w:eastAsia="Times New Roman" w:hAnsi="Times New Roman" w:cs="Times New Roman"/>
          <w:noProof/>
        </w:rPr>
        <w:t xml:space="preserve">(Liang </w:t>
      </w:r>
      <w:r w:rsidRPr="002F6448">
        <w:rPr>
          <w:rFonts w:ascii="Times New Roman" w:eastAsia="Times New Roman" w:hAnsi="Times New Roman" w:cs="Times New Roman"/>
          <w:i/>
          <w:noProof/>
        </w:rPr>
        <w:t>et al.</w:t>
      </w:r>
      <w:r w:rsidRPr="002F6448">
        <w:rPr>
          <w:rFonts w:ascii="Times New Roman" w:eastAsia="Times New Roman" w:hAnsi="Times New Roman" w:cs="Times New Roman"/>
          <w:noProof/>
        </w:rPr>
        <w:t xml:space="preserve">, 2004; Liao </w:t>
      </w:r>
      <w:r w:rsidRPr="002F6448">
        <w:rPr>
          <w:rFonts w:ascii="Times New Roman" w:eastAsia="Times New Roman" w:hAnsi="Times New Roman" w:cs="Times New Roman"/>
          <w:i/>
          <w:noProof/>
        </w:rPr>
        <w:t>et al.</w:t>
      </w:r>
      <w:r w:rsidRPr="002F6448">
        <w:rPr>
          <w:rFonts w:ascii="Times New Roman" w:eastAsia="Times New Roman" w:hAnsi="Times New Roman" w:cs="Times New Roman"/>
          <w:noProof/>
        </w:rPr>
        <w:t>, 2019)</w:t>
      </w:r>
      <w:r w:rsidRPr="002F6448">
        <w:rPr>
          <w:rFonts w:ascii="Times New Roman" w:eastAsia="Times New Roman" w:hAnsi="Times New Roman" w:cs="Times New Roman"/>
        </w:rPr>
        <w:fldChar w:fldCharType="end"/>
      </w:r>
      <w:r w:rsidR="008A7EA2" w:rsidRPr="002F6448">
        <w:rPr>
          <w:rFonts w:ascii="Times New Roman" w:eastAsia="Times New Roman" w:hAnsi="Times New Roman" w:cs="Times New Roman"/>
        </w:rPr>
        <w:t>.</w:t>
      </w:r>
    </w:p>
    <w:p w14:paraId="3599A621" w14:textId="6E239260" w:rsidR="00174EB8" w:rsidRPr="00B1132C"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Although spending more than one hour outdoors per day appeared protective in unadjusted analysis</w:t>
      </w:r>
      <w:r w:rsidR="008A7EA2" w:rsidRPr="002F6448">
        <w:rPr>
          <w:rFonts w:ascii="Times New Roman" w:eastAsia="Times New Roman" w:hAnsi="Times New Roman" w:cs="Times New Roman"/>
        </w:rPr>
        <w:t xml:space="preserve"> (P=0.015)</w:t>
      </w:r>
      <w:r w:rsidRPr="002F6448">
        <w:rPr>
          <w:rFonts w:ascii="Times New Roman" w:eastAsia="Times New Roman" w:hAnsi="Times New Roman" w:cs="Times New Roman"/>
        </w:rPr>
        <w:t>, this association was not statistically significant in the adjusted model. This may be due to the limited variability in outdoor exposure among participants. A large majority (78.6%) reported spending less</w:t>
      </w:r>
      <w:r w:rsidR="008A7EA2" w:rsidRPr="002F6448">
        <w:rPr>
          <w:rFonts w:ascii="Times New Roman" w:eastAsia="Times New Roman" w:hAnsi="Times New Roman" w:cs="Times New Roman"/>
        </w:rPr>
        <w:t xml:space="preserve"> than one hour outdoors per day </w:t>
      </w:r>
      <w:r w:rsidRPr="002F6448">
        <w:rPr>
          <w:rFonts w:ascii="Times New Roman" w:eastAsia="Times New Roman" w:hAnsi="Times New Roman" w:cs="Times New Roman"/>
        </w:rPr>
        <w:t xml:space="preserve">likely below the threshold required to confer a significant protective effect, as suggested in other studies </w:t>
      </w:r>
      <w:r w:rsidR="00174EB8" w:rsidRPr="002F6448">
        <w:rPr>
          <w:rFonts w:ascii="Times New Roman" w:eastAsia="Times New Roman" w:hAnsi="Times New Roman" w:cs="Times New Roman"/>
        </w:rPr>
        <w:fldChar w:fldCharType="begin" w:fldLock="1"/>
      </w:r>
      <w:r w:rsidR="008342C7" w:rsidRPr="002F6448">
        <w:rPr>
          <w:rFonts w:ascii="Times New Roman" w:eastAsia="Times New Roman" w:hAnsi="Times New Roman" w:cs="Times New Roman"/>
        </w:rPr>
        <w:instrText>ADDIN CSL_CITATION {"citationItems":[{"id":"ITEM-1","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-1","issued":{"date-parts":[["2017"]]},"page":"1-12","title":"Incidence and progression of myopia and associated factors in urban school children in Delhi : The North India Myopia Study ( NIM Study )","type":"article-journal"},"uris":["http://www.mendeley.com/documents/?uuid=8e1a8586-294b-44f3-ab2c-2ce80911937e"]},{"id":"ITEM-2","itemData":{"DOI":"10.3109/09286586.2014.988874","ISSN":"17445086","PMID":"25495661","abstract":"Purpose: To investigate the association between potential risk factors for myopia and its progression in young adult Taiwanese men. Methods: A survey of male military conscripts (aged 18-24 years) was conducted from February 2010 to March 2011 in Taiwan. Participants underwent comprehensive eye examinations, including measurements of axial length and corneal radius by optical biometry and non-cycloplegic autorefraction. Participants also provided self-reported progression of myopia and information regarding potential risk factors, including age, parental myopia, educational level, close work, outdoor activities, and urbanization. Results: Of 5145 eligible participants, 5048 (98.11%) provided refraction and questionnaire data; 2316 (45.88%) of the 5048 also had biometric measurements. The prevalence of myopia was 86.1% in this group, with a mean refractive error of -3.66 diopters (D). Of the 5048 participants, 1376 (27.3%) had experienced progression of their myopia during the past year. There were trends for a higher prevalence of myopia among older participants (p = 0.014), those with a history of parental myopia (p&lt;0.001), higher levels of education (p = 0.001), increased time spent reading (p&lt;0.001), less time outdoors (p=0.003), and higher levels of urbanization (p = 0.010). However, only parental myopia, close work, and higher urbanization levels were significantly associated with self-reported progression of myopia. Conclusion: Older age, parental myopia, higher educational level, close work, fewer outdoor activities, and higher urbanization level were associated with the prevalence of myopia in Taiwanese men.","author":[{"dropping-particle":"","family":"Lee","given":"Yin Yang","non-dropping-particle":"","parse-names":false,"suffix":""},{"dropping-particle":"","family":"Lo","given":"Chung Ting","non-dropping-particle":"","parse-names":false,"suffix":""},{"dropping-particle":"","family":"Sheu","given":"Shwu Jiuan","non-dropping-particle":"","parse-names":false,"suffix":""},{"dropping-particle":"Te","family":"Yin","given":"Li","non-dropping-particle":"","parse-names":false,"suffix":""}],"container-title":"Ophthalmic Epidemiology","id":"ITEM-2","issue":"1","issued":{"date-parts":[["2015"]]},"page":"66-73","title":"Risk factors for and progression of myopia in young Taiwanese men","type":"article-journal","volume":"22"},"uris":["http://www.mendeley.com/documents/?uuid=a684d8cb-f0b3-44e7-8b1c-92c17a7ae683"]},{"id":"ITEM-3","itemData":{"DOI":"10.1016/j.exer.2003.11.002","ISSN":"00144835","author":[{"dropping-particle":"","family":"Bron","given":"Anthony J.","non-dropping-particle":"","parse-names":false,"suffix":""},{"dropping-particle":"","family":"Paterson","given":"Christopher","non-dropping-particle":"","parse-names":false,"suffix":""},{"dropping-particle":"","family":"Cunha-Vaz","given":"José","non-dropping-particle":"","parse-names":false,"suffix":""}],"container-title":"Experimental Eye Research","id":"ITEM-3","issue":"3","issued":{"date-parts":[["2004"]]},"page":"1-11","title":"Experimental Eye Research: Editorial","type":"article-journal","volume":"78"},"uris":["http://www.mendeley.com/documents/?uuid=ebb5c5ce-dbdb-41fb-b034-ecc70889866f"]}],"mendeley":{"formattedCitation":"(Bron, Paterson and Cunha-Vaz, 2004; Lee &lt;i&gt;et al.&lt;/i&gt;, 2015; Saxena &lt;i&gt;et al.&lt;/i&gt;, 2017)","plainTextFormattedCitation":"(Bron, Paterson and Cunha-Vaz, 2004; Lee et al., 2015; Saxena et al., 2017)","previouslyFormattedCitation":"(Bron, Paterson and Cunha-Vaz, 2004; Lee &lt;i&gt;et al.&lt;/i&gt;, 2015; Saxena &lt;i&gt;et al.&lt;/i&gt;, 2017)"},"properties":{"noteIndex":0},"schema":"https://github.com/citation-style-language/schema/raw/master/csl-citation.json"}</w:instrText>
      </w:r>
      <w:r w:rsidR="00174EB8" w:rsidRPr="002F6448">
        <w:rPr>
          <w:rFonts w:ascii="Times New Roman" w:eastAsia="Times New Roman" w:hAnsi="Times New Roman" w:cs="Times New Roman"/>
        </w:rPr>
        <w:fldChar w:fldCharType="separate"/>
      </w:r>
      <w:r w:rsidR="00174EB8" w:rsidRPr="002F6448">
        <w:rPr>
          <w:rFonts w:ascii="Times New Roman" w:eastAsia="Times New Roman" w:hAnsi="Times New Roman" w:cs="Times New Roman"/>
          <w:noProof/>
        </w:rPr>
        <w:t xml:space="preserve">(Bron, Paterson and Cunha-Vaz, 2004; Lee </w:t>
      </w:r>
      <w:r w:rsidR="00174EB8" w:rsidRPr="002F6448">
        <w:rPr>
          <w:rFonts w:ascii="Times New Roman" w:eastAsia="Times New Roman" w:hAnsi="Times New Roman" w:cs="Times New Roman"/>
          <w:i/>
          <w:noProof/>
        </w:rPr>
        <w:t>et al.</w:t>
      </w:r>
      <w:r w:rsidR="00174EB8" w:rsidRPr="002F6448">
        <w:rPr>
          <w:rFonts w:ascii="Times New Roman" w:eastAsia="Times New Roman" w:hAnsi="Times New Roman" w:cs="Times New Roman"/>
          <w:noProof/>
        </w:rPr>
        <w:t xml:space="preserve">, 2015; Saxena </w:t>
      </w:r>
      <w:r w:rsidR="00174EB8" w:rsidRPr="002F6448">
        <w:rPr>
          <w:rFonts w:ascii="Times New Roman" w:eastAsia="Times New Roman" w:hAnsi="Times New Roman" w:cs="Times New Roman"/>
          <w:i/>
          <w:noProof/>
        </w:rPr>
        <w:t>et al.</w:t>
      </w:r>
      <w:r w:rsidR="00174EB8" w:rsidRPr="002F6448">
        <w:rPr>
          <w:rFonts w:ascii="Times New Roman" w:eastAsia="Times New Roman" w:hAnsi="Times New Roman" w:cs="Times New Roman"/>
          <w:noProof/>
        </w:rPr>
        <w:t>, 2017)</w:t>
      </w:r>
      <w:r w:rsidR="00174EB8" w:rsidRPr="002F6448">
        <w:rPr>
          <w:rFonts w:ascii="Times New Roman" w:eastAsia="Times New Roman" w:hAnsi="Times New Roman" w:cs="Times New Roman"/>
        </w:rPr>
        <w:fldChar w:fldCharType="end"/>
      </w:r>
      <w:r w:rsidR="00174EB8" w:rsidRPr="002F6448">
        <w:rPr>
          <w:rFonts w:ascii="Times New Roman" w:eastAsia="Times New Roman" w:hAnsi="Times New Roman" w:cs="Times New Roman"/>
        </w:rPr>
        <w:t>.</w:t>
      </w:r>
      <w:r w:rsidR="004E0FD7">
        <w:rPr>
          <w:rFonts w:ascii="Times New Roman" w:eastAsia="Times New Roman" w:hAnsi="Times New Roman" w:cs="Times New Roman"/>
        </w:rPr>
        <w:t xml:space="preserve"> </w:t>
      </w:r>
      <w:r w:rsidR="004E0FD7" w:rsidRPr="00B1132C">
        <w:rPr>
          <w:rFonts w:ascii="Times New Roman" w:hAnsi="Times New Roman" w:cs="Times New Roman"/>
        </w:rPr>
        <w:t>Moreover,</w:t>
      </w:r>
      <w:r w:rsidR="00B1132C" w:rsidRPr="00B1132C">
        <w:rPr>
          <w:rFonts w:ascii="Times New Roman" w:hAnsi="Times New Roman" w:cs="Times New Roman"/>
        </w:rPr>
        <w:t xml:space="preserve"> </w:t>
      </w:r>
      <w:r w:rsidR="00B1132C" w:rsidRPr="00B1132C">
        <w:rPr>
          <w:rStyle w:val="Strong"/>
          <w:rFonts w:ascii="Times New Roman" w:hAnsi="Times New Roman" w:cs="Times New Roman"/>
          <w:b w:val="0"/>
        </w:rPr>
        <w:t>outdoor time may serve as an indirect measure of other protective behaviors</w:t>
      </w:r>
      <w:r w:rsidR="00B1132C" w:rsidRPr="00B1132C">
        <w:rPr>
          <w:rFonts w:ascii="Times New Roman" w:hAnsi="Times New Roman" w:cs="Times New Roman"/>
        </w:rPr>
        <w:t xml:space="preserve"> particularly reduced near work. Children who spend more time outdoors are less likely to be engaged in prolonged reading, writing </w:t>
      </w:r>
      <w:r w:rsidR="00B1132C" w:rsidRPr="00B1132C">
        <w:rPr>
          <w:rFonts w:ascii="Times New Roman" w:hAnsi="Times New Roman" w:cs="Times New Roman"/>
        </w:rPr>
        <w:fldChar w:fldCharType="begin" w:fldLock="1"/>
      </w:r>
      <w:r w:rsidR="007D4C1C">
        <w:rPr>
          <w:rFonts w:ascii="Times New Roman" w:hAnsi="Times New Roman" w:cs="Times New Roman"/>
        </w:rPr>
        <w:instrText>ADDIN CSL_CITATION {"citationItems":[{"id":"ITEM-1","itemData":{"DOI":"10.1016/j.ophtha.2012.11.009","ISSN":"01616420","PMID":"23462271","abstract":"Purpose: The aim of this study was to investigate the effect of outdoor activity during class recess on myopia changes among elementary school students in a suburban area of Taiwan. Design: Prospective, comparative, consecutive, interventional study. Participants: Elementary school students 7 to 11 years of age recruited from 2 nearby schools located in a suburban area of southern Taiwan. Intervention: The children of one school participated in the interventions, whereas those from the other school served as the control group. The interventions consisted of performing a recess outside the classroom (ROC) program that encouraged children to go outside for outdoor activities during recess. The control school did not have any special programs during recess. Main Outcome Measures: Data were obtained by means of a parent questionnaire and ocular evaluations that included axial length and cycloplegic autorefraction at the beginning and after 1 year. Results: Five hundred seventy-one students were recruited for this study, of whom 333 students participated in the interventional program, and 238 students were in the control school. At the beginning of the study, there were no significant differences between these 2 schools with regard to age, gender, baseline refraction, and myopia prevalence (47.75% vs. 49.16%). After 1 year, new onset of myopia was significantly lower in the ROC group than in the control group (8.41% vs. 17.65%; P&lt;0.001). There was also significantly lower myopic shift in the ROC group compared with the control group (-0.25 diopter [D]/year vs. -0.38 D/year; P = 0.029). The multivariate analysis demonstrated that the variables of intervention of the ROC program and higher school year proved to be a protective factor against myopia shift in nonmyopic subjects (P = 0.020 and P = 0.017, respectively). For myopic subjects, school year was the only variable significantly associated with myopia progression (P = 0.006). Conclusions: Outdoor activities during class recess in school have a significant effect on myopia onset and myopic shift. Such activities have a prominent effect on the control of myopia shift, especially in nonmyopic children. © 2013 American Academy of Ophthalmology.","author":[{"dropping-particle":"","family":"Wu","given":"Pei Chang","non-dropping-particle":"","parse-names":false,"suffix":""},{"dropping-particle":"","family":"Tsai","given":"Chia Ling","non-dropping-particle":"","parse-names":false,"suffix":""},{"dropping-particle":"","family":"Wu","given":"Hsiang Lin","non-dropping-particle":"","parse-names":false,"suffix":""},{"dropping-particle":"","family":"Yang","given":"Yi Hsin","non-dropping-particle":"","parse-names":false,"suffix":""},{"dropping-particle":"","family":"Kuo","given":"Hsi Kung","non-dropping-particle":"","parse-names":false,"suffix":""}],"container-title":"Ophthalmology","id":"ITEM-1","issue":"5","issued":{"date-parts":[["2013"]]},"page":"1080-1085","title":"Outdoor activity during class recess reduces myopia onset and progression in school children","type":"article-journal","volume":"120"},"uris":["http://www.mendeley.com/documents/?uuid=4ea76d41-295f-4471-a0a1-7108ffcfcce5"]}],"mendeley":{"formattedCitation":"(Wu &lt;i&gt;et al.&lt;/i&gt;, 2013)","plainTextFormattedCitation":"(Wu et al., 2013)","previouslyFormattedCitation":"(Wu &lt;i&gt;et al.&lt;/i&gt;, 2013)"},"properties":{"noteIndex":0},"schema":"https://github.com/citation-style-language/schema/raw/master/csl-citation.json"}</w:instrText>
      </w:r>
      <w:r w:rsidR="00B1132C" w:rsidRPr="00B1132C">
        <w:rPr>
          <w:rFonts w:ascii="Times New Roman" w:hAnsi="Times New Roman" w:cs="Times New Roman"/>
        </w:rPr>
        <w:fldChar w:fldCharType="separate"/>
      </w:r>
      <w:r w:rsidR="00B1132C" w:rsidRPr="00B1132C">
        <w:rPr>
          <w:rFonts w:ascii="Times New Roman" w:hAnsi="Times New Roman" w:cs="Times New Roman"/>
          <w:noProof/>
        </w:rPr>
        <w:t xml:space="preserve">(Wu </w:t>
      </w:r>
      <w:r w:rsidR="00B1132C" w:rsidRPr="00B1132C">
        <w:rPr>
          <w:rFonts w:ascii="Times New Roman" w:hAnsi="Times New Roman" w:cs="Times New Roman"/>
          <w:i/>
          <w:noProof/>
        </w:rPr>
        <w:t>et al.</w:t>
      </w:r>
      <w:r w:rsidR="00B1132C" w:rsidRPr="00B1132C">
        <w:rPr>
          <w:rFonts w:ascii="Times New Roman" w:hAnsi="Times New Roman" w:cs="Times New Roman"/>
          <w:noProof/>
        </w:rPr>
        <w:t>, 2013)</w:t>
      </w:r>
      <w:r w:rsidR="00B1132C" w:rsidRPr="00B1132C">
        <w:rPr>
          <w:rFonts w:ascii="Times New Roman" w:hAnsi="Times New Roman" w:cs="Times New Roman"/>
        </w:rPr>
        <w:fldChar w:fldCharType="end"/>
      </w:r>
      <w:r w:rsidR="00B1132C" w:rsidRPr="00B1132C">
        <w:rPr>
          <w:rFonts w:ascii="Times New Roman" w:hAnsi="Times New Roman" w:cs="Times New Roman"/>
        </w:rPr>
        <w:t>. Therefore, the inclusion of near work as a separate covariate in the regression model may have accounted for much of the effect initially</w:t>
      </w:r>
      <w:r w:rsidR="00B1132C">
        <w:rPr>
          <w:rFonts w:ascii="Times New Roman" w:hAnsi="Times New Roman" w:cs="Times New Roman"/>
        </w:rPr>
        <w:t xml:space="preserve"> attributed to outdoor exposure</w:t>
      </w:r>
      <w:r w:rsidR="00B1132C" w:rsidRPr="00B1132C">
        <w:rPr>
          <w:rFonts w:ascii="Times New Roman" w:hAnsi="Times New Roman" w:cs="Times New Roman"/>
        </w:rPr>
        <w:t>.</w:t>
      </w:r>
    </w:p>
    <w:p w14:paraId="62870AD7" w14:textId="0230D1CA" w:rsidR="00C1691C" w:rsidRPr="00C1691C" w:rsidRDefault="00C1691C" w:rsidP="003F6C20">
      <w:pPr>
        <w:spacing w:before="100" w:beforeAutospacing="1" w:after="100" w:afterAutospacing="1" w:line="240" w:lineRule="auto"/>
        <w:rPr>
          <w:rFonts w:ascii="Times New Roman" w:eastAsia="Times New Roman" w:hAnsi="Times New Roman" w:cs="Times New Roman"/>
        </w:rPr>
      </w:pPr>
      <w:r w:rsidRPr="00C1691C">
        <w:rPr>
          <w:rFonts w:ascii="Times New Roman" w:eastAsia="Times New Roman" w:hAnsi="Times New Roman" w:cs="Times New Roman"/>
        </w:rPr>
        <w:t>In this study no association was found between myopia progression and the degree of myopia.</w:t>
      </w:r>
      <w:r w:rsidRPr="00C1691C">
        <w:rPr>
          <w:rFonts w:ascii="Times New Roman" w:eastAsia="Times New Roman" w:hAnsi="Times New Roman" w:cs="Times New Roman"/>
          <w:lang w:val="en-GB" w:eastAsia="en-GB"/>
        </w:rPr>
        <w:t xml:space="preserve"> Typically, higher degrees of myopia are associated with progression due to increased scleral thinning and axial elongation</w:t>
      </w:r>
      <w:r>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fldChar w:fldCharType="begin" w:fldLock="1"/>
      </w:r>
      <w:r>
        <w:rPr>
          <w:rFonts w:ascii="Times New Roman" w:eastAsia="Times New Roman" w:hAnsi="Times New Roman" w:cs="Times New Roman"/>
          <w:lang w:val="en-GB" w:eastAsia="en-GB"/>
        </w:rPr>
        <w:instrText>ADDIN CSL_CITATION {"citationItems":[{"id":"ITEM-1","itemData":{"author":[{"dropping-particle":"","family":"Kumah","given":"Ben D","non-dropping-particle":"","parse-names":false,"suffix":""},{"dropping-particle":"","family":"Ebri","given":"Anne","non-dropping-particle":"","parse-names":false,"suffix":""},{"dropping-particle":"","family":"Abdul-kabir","given":"Mohammed","non-dropping-particle":"","parse-names":false,"suffix":""},{"dropping-particle":"","family":"Ahmed","given":"Abdul-sadik","non-dropping-particle":"","parse-names":false,"suffix":""},{"dropping-particle":"","family":"Koomson","given":"Nana Ya","non-dropping-particle":"","parse-names":false,"suffix":""}],"id":"ITEM-1","issue":"12","issued":{"date-parts":[["2013"]]},"page":"1456-1461","title":"Optometry and Vision Science Volume 90 issue 12 2013 [doi 10.1097_OPX.0000000000000099] Kumah, Ben D.; Ebri, Anne; Abdul-Kabir, Mohammed; Ahmed, Abdul-S -- Refractive Error and Visual Impairment in .pdf","type":"article-journal","volume":"90"},"uris":["http://www.mendeley.com/documents/?uuid=75208e45-7b68-467f-b0a7-12a0b8f57d61"]}],"mendeley":{"formattedCitation":"(Kumah &lt;i&gt;et al.&lt;/i&gt;, 2013)","plainTextFormattedCitation":"(Kumah et al., 2013)","previouslyFormattedCitation":"(Kumah &lt;i&gt;et al.&lt;/i&gt;, 2013)"},"properties":{"noteIndex":0},"schema":"https://github.com/citation-style-language/schema/raw/master/csl-citation.json"}</w:instrText>
      </w:r>
      <w:r>
        <w:rPr>
          <w:rFonts w:ascii="Times New Roman" w:eastAsia="Times New Roman" w:hAnsi="Times New Roman" w:cs="Times New Roman"/>
          <w:lang w:val="en-GB" w:eastAsia="en-GB"/>
        </w:rPr>
        <w:fldChar w:fldCharType="separate"/>
      </w:r>
      <w:r w:rsidRPr="00C1691C">
        <w:rPr>
          <w:rFonts w:ascii="Times New Roman" w:eastAsia="Times New Roman" w:hAnsi="Times New Roman" w:cs="Times New Roman"/>
          <w:noProof/>
          <w:lang w:val="en-GB" w:eastAsia="en-GB"/>
        </w:rPr>
        <w:t xml:space="preserve">(Kumah </w:t>
      </w:r>
      <w:r w:rsidRPr="00C1691C">
        <w:rPr>
          <w:rFonts w:ascii="Times New Roman" w:eastAsia="Times New Roman" w:hAnsi="Times New Roman" w:cs="Times New Roman"/>
          <w:i/>
          <w:noProof/>
          <w:lang w:val="en-GB" w:eastAsia="en-GB"/>
        </w:rPr>
        <w:t>et al.</w:t>
      </w:r>
      <w:r w:rsidRPr="00C1691C">
        <w:rPr>
          <w:rFonts w:ascii="Times New Roman" w:eastAsia="Times New Roman" w:hAnsi="Times New Roman" w:cs="Times New Roman"/>
          <w:noProof/>
          <w:lang w:val="en-GB" w:eastAsia="en-GB"/>
        </w:rPr>
        <w:t>, 2013)</w:t>
      </w:r>
      <w:r>
        <w:rPr>
          <w:rFonts w:ascii="Times New Roman" w:eastAsia="Times New Roman" w:hAnsi="Times New Roman" w:cs="Times New Roman"/>
          <w:lang w:val="en-GB" w:eastAsia="en-GB"/>
        </w:rPr>
        <w:fldChar w:fldCharType="end"/>
      </w:r>
      <w:r w:rsidRPr="00C1691C">
        <w:rPr>
          <w:rFonts w:ascii="Times New Roman" w:eastAsia="Times New Roman" w:hAnsi="Times New Roman" w:cs="Times New Roman"/>
          <w:lang w:val="en-GB" w:eastAsia="en-GB"/>
        </w:rPr>
        <w:t>.However, in this study, a high proportion of non-spectacle wearers (84%) belonged to the low myopia group, whereas moderate and high myopia groups had greater spectacle compliance. Given that full-time spectacle wear has a protective effect against progression</w:t>
      </w:r>
      <w:r>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fldChar w:fldCharType="begin" w:fldLock="1"/>
      </w:r>
      <w:r w:rsidR="00B1132C">
        <w:rPr>
          <w:rFonts w:ascii="Times New Roman" w:eastAsia="Times New Roman" w:hAnsi="Times New Roman" w:cs="Times New Roman"/>
          <w:lang w:val="en-GB" w:eastAsia="en-GB"/>
        </w:rPr>
        <w:instrText>ADDIN CSL_CITATION {"citationItems":[{"id":"ITEM-1","itemData":{"DOI":"10.1136/bjophthalmol-2019-315258","ISSN":"14682079","PMID":"32075819","abstract":"Aim To reassess the association between near work, outdoor exposure and myopia in children through an objective approach. Methods Eighty-six children (10.13±0.48 years) were asked to wear Clouclip, a newly developed wearable device that is able to measure working distance and eye-level illuminance, for a complete week to obtain information on near work and outdoor exposure. The mean daily Clouclip wearing time was 11.72±1.14 hour. The spherical equivalent refraction was determined by cycloplegic autorefraction. Results The myopic children were found to be exposed to light intensities &gt;3000 lux (0.68±0.50 hour vs 1.02±0.53 hour, p=0.012) and &gt;5000 lux (0.42±0.35 hour vs 0.63±0.31 hour, p=0.004) for shorter durations on average each day than the non-myopic children. Additionally, the myopic children spent more time on average each day on activities at a distance of &lt;20 cm than non-myopic children (1.89±0.61 hour vs 1.52±0.77 hour, p=0.019). In the multivariate logistic analysis, the time spent with a higher light intensity (&gt;3000 lux (OR=0.27, 95% CI: 0.10 to 0.72, p=0.009); &gt;5000 lux (OR=0.11, 95% CI: 0.02 to 0.56, p=0.008)) and a working distance of &lt;20 cm (in a circumstance of &gt;3000 lux (OR=1.17, 95% CI: 1.09 to 1.86, p=0.038) or in that of &gt;5000 lux (OR=1.12, 95% CI: 1.03 to 1.77, p=0.046)) were the independent protective factors and risk factors, respectively. Conclusion The current study provides novel evidence, based on objective data, to support the association between the intensity of near work, light intensity and myopia. However, the causality and the dose-effect relationship need to be investigated further.","author":[{"dropping-particle":"","family":"Wen","given":"Longbo","non-dropping-particle":"","parse-names":false,"suffix":""},{"dropping-particle":"","family":"Cao","given":"Yingpin","non-dropping-particle":"","parse-names":false,"suffix":""},{"dropping-particle":"","family":"Cheng","given":"Qian","non-dropping-particle":"","parse-names":false,"suffix":""},{"dropping-particle":"","family":"Li","given":"Xiaoning","non-dropping-particle":"","parse-names":false,"suffix":""},{"dropping-particle":"","family":"Pan","given":"Lun","non-dropping-particle":"","parse-names":false,"suffix":""},{"dropping-particle":"","family":"Li","given":"Lei","non-dropping-particle":"","parse-names":false,"suffix":""},{"dropping-particle":"","family":"Zhu","given":"Hao Gang","non-dropping-particle":"","parse-names":false,"suffix":""},{"dropping-particle":"","family":"Lan","given":"Weizhong","non-dropping-particle":"","parse-names":false,"suffix":""},{"dropping-particle":"","family":"Yang","given":"Zhikuan","non-dropping-particle":"","parse-names":false,"suffix":""}],"container-title":"British Journal of Ophthalmology","id":"ITEM-1","issue":"11","issued":{"date-parts":[["2020"]]},"page":"1542-1547","title":"Objectively measured near work, outdoor exposure and myopia in children","type":"article-journal","volume":"104"},"uris":["http://www.mendeley.com/documents/?uuid=8d00466b-c034-40ca-a9b6-0f3b9d914cbc"]},{"id":"ITEM-2","itemData":{"author":[{"dropping-particle":"","family":"J. Bao et al","given":"","non-dropping-particle":"","parse-names":false,"suffix":""}],"id":"ITEM-2","issue":"8","issued":{"date-parts":[["2015"]]},"page":"908-915","title":"Influence of Near Tasks on Posture in Myopic","type":"article-journal","volume":"92"},"uris":["http://www.mendeley.com/documents/?uuid=3fac013d-938b-4618-aad5-35b338602363"]}],"mendeley":{"formattedCitation":"(J. Bao et al, 2015; Wen &lt;i&gt;et al.&lt;/i&gt;, 2020)","plainTextFormattedCitation":"(J. Bao et al, 2015; Wen et al., 2020)","previouslyFormattedCitation":"(J. Bao et al, 2015; Wen &lt;i&gt;et al.&lt;/i&gt;, 2020)"},"properties":{"noteIndex":0},"schema":"https://github.com/citation-style-language/schema/raw/master/csl-citation.json"}</w:instrText>
      </w:r>
      <w:r>
        <w:rPr>
          <w:rFonts w:ascii="Times New Roman" w:eastAsia="Times New Roman" w:hAnsi="Times New Roman" w:cs="Times New Roman"/>
          <w:lang w:val="en-GB" w:eastAsia="en-GB"/>
        </w:rPr>
        <w:fldChar w:fldCharType="separate"/>
      </w:r>
      <w:r w:rsidRPr="00C1691C">
        <w:rPr>
          <w:rFonts w:ascii="Times New Roman" w:eastAsia="Times New Roman" w:hAnsi="Times New Roman" w:cs="Times New Roman"/>
          <w:noProof/>
          <w:lang w:val="en-GB" w:eastAsia="en-GB"/>
        </w:rPr>
        <w:t xml:space="preserve">(J. Bao et al, 2015; Wen </w:t>
      </w:r>
      <w:r w:rsidRPr="00C1691C">
        <w:rPr>
          <w:rFonts w:ascii="Times New Roman" w:eastAsia="Times New Roman" w:hAnsi="Times New Roman" w:cs="Times New Roman"/>
          <w:i/>
          <w:noProof/>
          <w:lang w:val="en-GB" w:eastAsia="en-GB"/>
        </w:rPr>
        <w:t>et al.</w:t>
      </w:r>
      <w:r w:rsidRPr="00C1691C">
        <w:rPr>
          <w:rFonts w:ascii="Times New Roman" w:eastAsia="Times New Roman" w:hAnsi="Times New Roman" w:cs="Times New Roman"/>
          <w:noProof/>
          <w:lang w:val="en-GB" w:eastAsia="en-GB"/>
        </w:rPr>
        <w:t>, 2020)</w:t>
      </w:r>
      <w:r>
        <w:rPr>
          <w:rFonts w:ascii="Times New Roman" w:eastAsia="Times New Roman" w:hAnsi="Times New Roman" w:cs="Times New Roman"/>
          <w:lang w:val="en-GB" w:eastAsia="en-GB"/>
        </w:rPr>
        <w:fldChar w:fldCharType="end"/>
      </w:r>
      <w:r w:rsidRPr="00C1691C">
        <w:rPr>
          <w:rFonts w:ascii="Times New Roman" w:eastAsia="Times New Roman" w:hAnsi="Times New Roman" w:cs="Times New Roman"/>
          <w:lang w:val="en-GB" w:eastAsia="en-GB"/>
        </w:rPr>
        <w:t>, this difference in spectacle use may explain the similar progression rates across all severity groups</w:t>
      </w:r>
    </w:p>
    <w:p w14:paraId="71B7D3F0"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Parental education was moderately high, with 52.2% of mothers having completed secondary education and 50.</w:t>
      </w:r>
      <w:r w:rsidR="006A4E0E" w:rsidRPr="002F6448">
        <w:rPr>
          <w:rFonts w:ascii="Times New Roman" w:eastAsia="Times New Roman" w:hAnsi="Times New Roman" w:cs="Times New Roman"/>
        </w:rPr>
        <w:t xml:space="preserve">7% of fathers attaining college </w:t>
      </w:r>
      <w:r w:rsidRPr="002F6448">
        <w:rPr>
          <w:rFonts w:ascii="Times New Roman" w:eastAsia="Times New Roman" w:hAnsi="Times New Roman" w:cs="Times New Roman"/>
        </w:rPr>
        <w:t>level or higher education. These figures represent an improvement compared to earlier Tanzanian data, where only 37% of mothers and 27% of fathers had achieved similar education levels</w:t>
      </w:r>
      <w:r w:rsidR="006738E6" w:rsidRPr="002F6448">
        <w:rPr>
          <w:rFonts w:ascii="Times New Roman" w:eastAsia="Times New Roman" w:hAnsi="Times New Roman" w:cs="Times New Roman"/>
        </w:rPr>
        <w:t xml:space="preserve"> </w:t>
      </w:r>
      <w:r w:rsidR="006738E6" w:rsidRPr="002F6448">
        <w:rPr>
          <w:rFonts w:ascii="Times New Roman" w:eastAsia="Times New Roman" w:hAnsi="Times New Roman" w:cs="Times New Roman"/>
        </w:rPr>
        <w:fldChar w:fldCharType="begin" w:fldLock="1"/>
      </w:r>
      <w:r w:rsidR="002768C2" w:rsidRPr="002F6448">
        <w:rPr>
          <w:rFonts w:ascii="Times New Roman" w:eastAsia="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2002)","plainTextFormattedCitation":"(Wedner et al., 2002)","previouslyFormattedCitation":"(Wedner &lt;i&gt;et al.&lt;/i&gt;, 2002)"},"properties":{"noteIndex":0},"schema":"https://github.com/citation-style-language/schema/raw/master/csl-citation.json"}</w:instrText>
      </w:r>
      <w:r w:rsidR="006738E6" w:rsidRPr="002F6448">
        <w:rPr>
          <w:rFonts w:ascii="Times New Roman" w:eastAsia="Times New Roman" w:hAnsi="Times New Roman" w:cs="Times New Roman"/>
        </w:rPr>
        <w:fldChar w:fldCharType="separate"/>
      </w:r>
      <w:r w:rsidR="006738E6" w:rsidRPr="002F6448">
        <w:rPr>
          <w:rFonts w:ascii="Times New Roman" w:eastAsia="Times New Roman" w:hAnsi="Times New Roman" w:cs="Times New Roman"/>
          <w:noProof/>
        </w:rPr>
        <w:t xml:space="preserve">(Wedner </w:t>
      </w:r>
      <w:r w:rsidR="006738E6" w:rsidRPr="002F6448">
        <w:rPr>
          <w:rFonts w:ascii="Times New Roman" w:eastAsia="Times New Roman" w:hAnsi="Times New Roman" w:cs="Times New Roman"/>
          <w:i/>
          <w:noProof/>
        </w:rPr>
        <w:t>et al.</w:t>
      </w:r>
      <w:r w:rsidR="006738E6" w:rsidRPr="002F6448">
        <w:rPr>
          <w:rFonts w:ascii="Times New Roman" w:eastAsia="Times New Roman" w:hAnsi="Times New Roman" w:cs="Times New Roman"/>
          <w:noProof/>
        </w:rPr>
        <w:t>, 2002)</w:t>
      </w:r>
      <w:r w:rsidR="006738E6"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A similar trend has been reported in Kenya</w:t>
      </w:r>
      <w:r w:rsidR="002768C2" w:rsidRPr="002F6448">
        <w:rPr>
          <w:rFonts w:ascii="Times New Roman" w:eastAsia="Times New Roman" w:hAnsi="Times New Roman" w:cs="Times New Roman"/>
        </w:rPr>
        <w:t xml:space="preserve"> </w:t>
      </w:r>
      <w:r w:rsidR="002768C2" w:rsidRPr="002F6448">
        <w:rPr>
          <w:rFonts w:ascii="Times New Roman" w:eastAsia="Times New Roman" w:hAnsi="Times New Roman" w:cs="Times New Roman"/>
        </w:rPr>
        <w:fldChar w:fldCharType="begin" w:fldLock="1"/>
      </w:r>
      <w:r w:rsidR="00E75244" w:rsidRPr="002F6448">
        <w:rPr>
          <w:rFonts w:ascii="Times New Roman" w:eastAsia="Times New Roman" w:hAnsi="Times New Roman" w:cs="Times New Roman"/>
        </w:rPr>
        <w:instrText>ADDIN CSL_CITATION {"citationItems":[{"id":"ITEM-1","itemData":{"DOI":"10.5603/oj.2022.0021","abstract":"Background: Uncorrected refractive errors (URE) present an enormous burden on children in Kenya. The study investigated factors associated with URE in school-going adolescents in Kakamega County, Kenya. Material and methods: An observational, cross-sectional study with multistage sampling was conducted with randomly selected secondary school students in forms one to four. Comprehensive clinical examinations conducted by optometrists were used to determine participants’ URE types and dioptric strength. Structured pre-validated questionnaires were administered to participants to elicit information on their sociodemographic and socioeconomic statuses. Results: A total of 165 students, aged 17.45 ± 1.44 years, with URE classified into myopia, hyperopia, and astigmatism, participated in the study. There were more males (57%) than females in this study, and most participants had astigmatism (52%). The study found no-to-weak association between predefined factors and URE. While males had decreased odds [odds ratio (OR): 0.557, 95% confidence interval (CI): 0.211–1.470] for myopia than astigmatism, the converse was true for hyperopia (OR: 1.165, 95% CI: 0.385–3.524) compared with astigmatism. Even though participants from families with lower affluence and living in rural settings had up to 18 times increased odds (OR: 18.699, 95% CI: 0.840–416.442) for myopia than astigmatism and hyperopia, significant dioptric power was less likely to be present in those with myopia (OR: 0.529, 95% CI: 0.165–1.698) and hyperopia (OR: 0.011, 95% CI: 0.001–0.192). Conclusions: URE may not be significantly associated with school-going adolescents’ sociodemographic and socioeconomic statuses. However, myopia and astigmatism are increasingly likely to be present among participants from families with lower affluence and living in rural settings.","author":[{"dropping-particle":"","family":"Okenwa-Vincent","given":"Emmanuel E.","non-dropping-particle":"","parse-names":false,"suffix":""},{"dropping-particle":"","family":"Naidoo","given":"Jyoti","non-dropping-particle":"","parse-names":false,"suffix":""},{"dropping-particle":"","family":"Clarke-Farr","given":"Peter","non-dropping-particle":"","parse-names":false,"suffix":""}],"container-title":"Ophthalmology Journal","id":"ITEM-1","issue":"0","issued":{"date-parts":[["2022"]]},"page":"152-162","title":"Factors associated with uncorrected refractive errors in school-going adolescents in Kakamega County, Kenya","type":"article-journal","volume":"7"},"uris":["http://www.mendeley.com/documents/?uuid=7c7269f4-5c7c-4ec2-af4d-34315f8338f1"]}],"mendeley":{"formattedCitation":"(Okenwa-Vincent, Naidoo and Clarke-Farr, 2022)","plainTextFormattedCitation":"(Okenwa-Vincent, Naidoo and Clarke-Farr, 2022)","previouslyFormattedCitation":"(Okenwa-Vincent, Naidoo and Clarke-Farr, 2022)"},"properties":{"noteIndex":0},"schema":"https://github.com/citation-style-language/schema/raw/master/csl-citation.json"}</w:instrText>
      </w:r>
      <w:r w:rsidR="002768C2" w:rsidRPr="002F6448">
        <w:rPr>
          <w:rFonts w:ascii="Times New Roman" w:eastAsia="Times New Roman" w:hAnsi="Times New Roman" w:cs="Times New Roman"/>
        </w:rPr>
        <w:fldChar w:fldCharType="separate"/>
      </w:r>
      <w:r w:rsidR="002768C2" w:rsidRPr="002F6448">
        <w:rPr>
          <w:rFonts w:ascii="Times New Roman" w:eastAsia="Times New Roman" w:hAnsi="Times New Roman" w:cs="Times New Roman"/>
          <w:noProof/>
        </w:rPr>
        <w:t>(Okenwa-Vincent, Naidoo and Clarke-Farr, 2022)</w:t>
      </w:r>
      <w:r w:rsidR="002768C2"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Higher parental education may create more academically intensive home environments, potentially inc</w:t>
      </w:r>
      <w:r w:rsidR="00E75244" w:rsidRPr="002F6448">
        <w:rPr>
          <w:rFonts w:ascii="Times New Roman" w:eastAsia="Times New Roman" w:hAnsi="Times New Roman" w:cs="Times New Roman"/>
        </w:rPr>
        <w:t xml:space="preserve">reasing time spent on near work </w:t>
      </w:r>
      <w:r w:rsidRPr="002F6448">
        <w:rPr>
          <w:rFonts w:ascii="Times New Roman" w:eastAsia="Times New Roman" w:hAnsi="Times New Roman" w:cs="Times New Roman"/>
        </w:rPr>
        <w:t>a known risk factor for myopia progression</w:t>
      </w:r>
      <w:r w:rsidR="00E75244" w:rsidRPr="002F6448">
        <w:rPr>
          <w:rFonts w:ascii="Times New Roman" w:eastAsia="Times New Roman" w:hAnsi="Times New Roman" w:cs="Times New Roman"/>
        </w:rPr>
        <w:t xml:space="preserve"> </w:t>
      </w:r>
      <w:r w:rsidR="00E75244" w:rsidRPr="002F6448">
        <w:rPr>
          <w:rFonts w:ascii="Times New Roman" w:eastAsia="Times New Roman" w:hAnsi="Times New Roman" w:cs="Times New Roman"/>
        </w:rPr>
        <w:fldChar w:fldCharType="begin" w:fldLock="1"/>
      </w:r>
      <w:r w:rsidR="00174EB8" w:rsidRPr="002F6448">
        <w:rPr>
          <w:rFonts w:ascii="Times New Roman" w:eastAsia="Times New Roman" w:hAnsi="Times New Roman" w:cs="Times New Roman"/>
        </w:rPr>
        <w:instrText>ADDIN CSL_CITATION {"citationItems":[{"id":"ITEM-1","itemData":{"DOI":"10.1097/OPX.0b013e31822171ad","ISSN":"10405488","PMID":"21642891","abstract":"Purpose.: To investigate refractive error, especially myopia, in parents of myopic children and its association with education and occupation. Methods.: Six hundred twenty-seven parents (n = 375 mothers and 252 fathers) of the 469 myopic 6- to &lt;12-year-old children enrolled in COMET provided refraction data as well as answered questions about their education and occupation. Eighty-five percent of the refractions were obtained by non-cycloplegic autorefraction (Nidek ARK 700A), and 15% were obtained from the most recent prescription. Results.: The mean age ± SD of the parents was 44.26 ± 5.81 years, and their mean spherical equivalent refraction was -2.34 ± 2.94 D. Parents with higher education (college degree or greater) had significantly more myopia (-2.97 ± 2.98 D) than parents with lower education (-1.72 ± 2.76 D). The odds of being myopic were significantly higher in the higher education group (multivariate odds ratio = 2.12, 95% confidence interval = 1.41 to 3.19). Mean myopia also differed significantly by occupation, with parents in white collar jobs (-2.87 ± 3.10 D) significantly more myopic than those in blue collar jobs (-1.21 ± 2.02 D) by 1.66 D (p &lt; 0.001). The odds of being myopic between the two occupation groups were of borderline significance (multivariate odds ratio = 1.61, 95% confidence interval = 0.999 to 2.60). Conclusions.: The parents of myopic children participating in a clinical trial of lenses to slow the progression of myopia had a high prevalence of myopia that was associated with their level of education and to a lesser extent with their choice of occupation. To our knowledge, this is the first account of refractive errors, education, and occupation in parents of a large group of myopic children. Copyright © 2011 American Academy of Optometry.","author":[{"dropping-particle":"","family":"Gwiazda","given":"Jane","non-dropping-particle":"","parse-names":false,"suffix":""},{"dropping-particle":"","family":"Deng","given":"Li","non-dropping-particle":"","parse-names":false,"suffix":""},{"dropping-particle":"","family":"Dias","given":"Lynette","non-dropping-particle":"","parse-names":false,"suffix":""},{"dropping-particle":"","family":"Marsh-Tootle","given":"Wendy","non-dropping-particle":"","parse-names":false,"suffix":""}],"container-title":"Optometry and Vision Science","id":"ITEM-1","issue":"9","issued":{"date-parts":[["2011"]]},"page":"1045-1053","title":"Association of education and occupation with myopia in COMET parents","type":"article-journal","volume":"88"},"uris":["http://www.mendeley.com/documents/?uuid=89fb0a0d-a0cb-4c78-8d6e-f0d5f99e1cc5"]}],"mendeley":{"formattedCitation":"(Gwiazda &lt;i&gt;et al.&lt;/i&gt;, 2011)","plainTextFormattedCitation":"(Gwiazda et al., 2011)","previouslyFormattedCitation":"(Gwiazda &lt;i&gt;et al.&lt;/i&gt;, 2011)"},"properties":{"noteIndex":0},"schema":"https://github.com/citation-style-language/schema/raw/master/csl-citation.json"}</w:instrText>
      </w:r>
      <w:r w:rsidR="00E75244" w:rsidRPr="002F6448">
        <w:rPr>
          <w:rFonts w:ascii="Times New Roman" w:eastAsia="Times New Roman" w:hAnsi="Times New Roman" w:cs="Times New Roman"/>
        </w:rPr>
        <w:fldChar w:fldCharType="separate"/>
      </w:r>
      <w:r w:rsidR="00E75244" w:rsidRPr="002F6448">
        <w:rPr>
          <w:rFonts w:ascii="Times New Roman" w:eastAsia="Times New Roman" w:hAnsi="Times New Roman" w:cs="Times New Roman"/>
          <w:noProof/>
        </w:rPr>
        <w:t xml:space="preserve">(Gwiazda </w:t>
      </w:r>
      <w:r w:rsidR="00E75244" w:rsidRPr="002F6448">
        <w:rPr>
          <w:rFonts w:ascii="Times New Roman" w:eastAsia="Times New Roman" w:hAnsi="Times New Roman" w:cs="Times New Roman"/>
          <w:i/>
          <w:noProof/>
        </w:rPr>
        <w:t>et al.</w:t>
      </w:r>
      <w:r w:rsidR="00E75244" w:rsidRPr="002F6448">
        <w:rPr>
          <w:rFonts w:ascii="Times New Roman" w:eastAsia="Times New Roman" w:hAnsi="Times New Roman" w:cs="Times New Roman"/>
          <w:noProof/>
        </w:rPr>
        <w:t>, 2011)</w:t>
      </w:r>
      <w:r w:rsidR="00E75244"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w:t>
      </w:r>
    </w:p>
    <w:p w14:paraId="29EB1F45" w14:textId="6E58D04E" w:rsidR="00B2109E" w:rsidRPr="007D4C1C"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The prevalence of screen exp</w:t>
      </w:r>
      <w:r w:rsidR="00127EF2" w:rsidRPr="002F6448">
        <w:rPr>
          <w:rFonts w:ascii="Times New Roman" w:eastAsia="Times New Roman" w:hAnsi="Times New Roman" w:cs="Times New Roman"/>
        </w:rPr>
        <w:t>osure was also high, with all</w:t>
      </w:r>
      <w:r w:rsidRPr="002F6448">
        <w:rPr>
          <w:rFonts w:ascii="Times New Roman" w:eastAsia="Times New Roman" w:hAnsi="Times New Roman" w:cs="Times New Roman"/>
        </w:rPr>
        <w:t xml:space="preserve"> participants reporting access to a television and 45.8% viewing it from less than two meters away. Additionally, 35.3% of children owned mobile </w:t>
      </w:r>
      <w:r w:rsidRPr="00BB73A4">
        <w:rPr>
          <w:rFonts w:ascii="Times New Roman" w:eastAsia="Times New Roman" w:hAnsi="Times New Roman" w:cs="Times New Roman"/>
        </w:rPr>
        <w:t>phones, tablets, or computers. These rates far exceed those reported in earlier Tanzanian studies</w:t>
      </w:r>
      <w:r w:rsidR="005A5FF5" w:rsidRPr="00BB73A4">
        <w:rPr>
          <w:rFonts w:ascii="Times New Roman" w:eastAsia="Times New Roman" w:hAnsi="Times New Roman" w:cs="Times New Roman"/>
        </w:rPr>
        <w:t xml:space="preserve"> </w:t>
      </w:r>
      <w:r w:rsidR="005A5FF5" w:rsidRPr="00BB73A4">
        <w:rPr>
          <w:rFonts w:ascii="Times New Roman" w:eastAsia="Times New Roman" w:hAnsi="Times New Roman" w:cs="Times New Roman"/>
        </w:rPr>
        <w:fldChar w:fldCharType="begin" w:fldLock="1"/>
      </w:r>
      <w:r w:rsidR="005A5FF5" w:rsidRPr="00BB73A4">
        <w:rPr>
          <w:rFonts w:ascii="Times New Roman" w:eastAsia="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2002)","plainTextFormattedCitation":"(Wedner et al., 2002)","previouslyFormattedCitation":"(Wedner &lt;i&gt;et al.&lt;/i&gt;, 2002)"},"properties":{"noteIndex":0},"schema":"https://github.com/citation-style-language/schema/raw/master/csl-citation.json"}</w:instrText>
      </w:r>
      <w:r w:rsidR="005A5FF5" w:rsidRPr="00BB73A4">
        <w:rPr>
          <w:rFonts w:ascii="Times New Roman" w:eastAsia="Times New Roman" w:hAnsi="Times New Roman" w:cs="Times New Roman"/>
        </w:rPr>
        <w:fldChar w:fldCharType="separate"/>
      </w:r>
      <w:r w:rsidR="005A5FF5" w:rsidRPr="00BB73A4">
        <w:rPr>
          <w:rFonts w:ascii="Times New Roman" w:eastAsia="Times New Roman" w:hAnsi="Times New Roman" w:cs="Times New Roman"/>
          <w:noProof/>
        </w:rPr>
        <w:t xml:space="preserve">(Wedner </w:t>
      </w:r>
      <w:r w:rsidR="005A5FF5" w:rsidRPr="00BB73A4">
        <w:rPr>
          <w:rFonts w:ascii="Times New Roman" w:eastAsia="Times New Roman" w:hAnsi="Times New Roman" w:cs="Times New Roman"/>
          <w:i/>
          <w:noProof/>
        </w:rPr>
        <w:t>et al.</w:t>
      </w:r>
      <w:r w:rsidR="005A5FF5" w:rsidRPr="00BB73A4">
        <w:rPr>
          <w:rFonts w:ascii="Times New Roman" w:eastAsia="Times New Roman" w:hAnsi="Times New Roman" w:cs="Times New Roman"/>
          <w:noProof/>
        </w:rPr>
        <w:t>, 2002)</w:t>
      </w:r>
      <w:r w:rsidR="005A5FF5" w:rsidRPr="00BB73A4">
        <w:rPr>
          <w:rFonts w:ascii="Times New Roman" w:eastAsia="Times New Roman" w:hAnsi="Times New Roman" w:cs="Times New Roman"/>
        </w:rPr>
        <w:fldChar w:fldCharType="end"/>
      </w:r>
      <w:r w:rsidRPr="00BB73A4">
        <w:rPr>
          <w:rFonts w:ascii="Times New Roman" w:eastAsia="Times New Roman" w:hAnsi="Times New Roman" w:cs="Times New Roman"/>
        </w:rPr>
        <w:t xml:space="preserve">, where 67% had access to television and only 9.7% to computers. </w:t>
      </w:r>
      <w:r w:rsidR="00BB73A4" w:rsidRPr="00BB73A4">
        <w:rPr>
          <w:rFonts w:ascii="Times New Roman" w:hAnsi="Times New Roman" w:cs="Times New Roman"/>
        </w:rPr>
        <w:t xml:space="preserve">This rising trend in digital screen use underscores the need for targeted education on healthy visual habits. </w:t>
      </w:r>
      <w:r w:rsidR="00BB73A4" w:rsidRPr="00BB73A4">
        <w:rPr>
          <w:rStyle w:val="Strong"/>
          <w:rFonts w:ascii="Times New Roman" w:hAnsi="Times New Roman" w:cs="Times New Roman"/>
          <w:b w:val="0"/>
        </w:rPr>
        <w:lastRenderedPageBreak/>
        <w:t>Parental awareness, in particular, is essential, as many may be unfamiliar with simple strategies that can help delay the onset and slow the progression of myopia</w:t>
      </w:r>
      <w:r w:rsidR="008342C7" w:rsidRPr="002F6448">
        <w:rPr>
          <w:rFonts w:ascii="Times New Roman" w:eastAsia="Times New Roman" w:hAnsi="Times New Roman" w:cs="Times New Roman"/>
        </w:rPr>
        <w:t xml:space="preserve"> </w:t>
      </w:r>
      <w:r w:rsidR="00BB73A4">
        <w:rPr>
          <w:rFonts w:ascii="Times New Roman" w:eastAsia="Times New Roman" w:hAnsi="Times New Roman" w:cs="Times New Roman"/>
        </w:rPr>
        <w:fldChar w:fldCharType="begin" w:fldLock="1"/>
      </w:r>
      <w:r w:rsidR="00BB73A4">
        <w:rPr>
          <w:rFonts w:ascii="Times New Roman" w:eastAsia="Times New Roman" w:hAnsi="Times New Roman" w:cs="Times New Roman"/>
        </w:rPr>
        <w:instrText>ADDIN CSL_CITATION {"citationItems":[{"id":"ITEM-1","itemData":{"DOI":"10.1001/jamaophthalmol.2020.6239","ISSN":"21686173","PMID":"33443542","abstract":"Importance: Time spent in outdoor activities has decreased owing to home confinement for the coronavirus disease 2019 (COVID-19) pandemic. Concerns have been raised about whether home confinement may have worsened the burden of myopia owing to substantially decreased time spent outdoors and increased screen time at home. Objective: To investigate the refractive changes and prevalence of myopia in school-aged children during the COVID-19 home confinement. Design, Setting, and Participants: A prospective cross-sectional study using school-based photoscreenings in 123535 children aged 6 to 13 years from 10 elementary schools in Feicheng, China, was conducted. The study was performed during 6 consecutive years (2015-2020). Data were analyzed in July 2020. Exposures: Noncycloplegic photorefraction was examined using a photoscreener device. Main Outcomes and Measures: The spherical equivalent refraction was recorded for each child and the prevalence of myopia for each age group during each year was calculated. The mean spherical equivalent refraction and prevalence of myopia were compared between 2020 (after home confinement) and the previous 5 years for each age group. Results: Of the 123535 children included in the study, 64335 (52.1%) were boys. A total of 194904 test results (389808 eyes) were included in the analysis. A substantial myopic shift (approximately -0.3 diopters [D]) was found in the 2020 school-based photoscreenings compared with previous years (2015-2019) for younger children aged 6 (-0.32 D), 7 (-0.28 D), and 8 (-0.29 D) years. The prevalence of myopia in the 2020 photoscreenings was higher than the highest prevalence of myopia within 2015-2019 for children aged 6 (21.5% vs 5.7%), 7 (26.2% vs 16.2%), and 8 (37.2% vs 27.7%) years. The differences in spherical equivalent refraction and the prevalence of myopia between 2020 and previous years were minimal in children aged 9 to 13 years. Conclusions and Relevance: Home confinement during the COVID-19 pandemic appeared to be associated with a significant myopic shift for children aged 6 to 8 years according to 2020 school-based photoscreenings. However, numerous limitations warrant caution in the interpretation of these associations, including use of noncycloplegic refractions and lack of orthokeratology history or ocular biometry data. Younger children's refractive status may be more sensitive to environmental changes than older ages, given the younger children are in a critical period for the …","author":[{"dropping-particle":"","family":"Wang","given":"Jiaxing","non-dropping-particle":"","parse-names":false,"suffix":""},{"dropping-particle":"","family":"Li","given":"Ying","non-dropping-particle":"","parse-names":false,"suffix":""},{"dropping-particle":"","family":"Musch","given":"David C.","non-dropping-particle":"","parse-names":false,"suffix":""},{"dropping-particle":"","family":"Wei","given":"Nan","non-dropping-particle":"","parse-names":false,"suffix":""},{"dropping-particle":"","family":"Qi","given":"Xiaoli","non-dropping-particle":"","parse-names":false,"suffix":""},{"dropping-particle":"","family":"Ding","given":"Gang","non-dropping-particle":"","parse-names":false,"suffix":""},{"dropping-particle":"","family":"Li","given":"Xue","non-dropping-particle":"","parse-names":false,"suffix":""},{"dropping-particle":"","family":"Li","given":"Jing","non-dropping-particle":"","parse-names":false,"suffix":""},{"dropping-particle":"","family":"Song","given":"Linlin","non-dropping-particle":"","parse-names":false,"suffix":""},{"dropping-particle":"","family":"Zhang","given":"Ying","non-dropping-particle":"","parse-names":false,"suffix":""},{"dropping-particle":"","family":"Ning","given":"Yuxian","non-dropping-particle":"","parse-names":false,"suffix":""},{"dropping-particle":"","family":"Zeng","given":"Xiaoyu","non-dropping-particle":"","parse-names":false,"suffix":""},{"dropping-particle":"","family":"Hua","given":"Ning","non-dropping-particle":"","parse-names":false,"suffix":""},{"dropping-particle":"","family":"Li","given":"Shuo","non-dropping-particle":"","parse-names":false,"suffix":""},{"dropping-particle":"","family":"Qian","given":"Xuehan","non-dropping-particle":"","parse-names":false,"suffix":""}],"container-title":"JAMA Ophthalmology","id":"ITEM-1","issue":"3","issued":{"date-parts":[["2021"]]},"page":"293-300","title":"Progression of Myopia in School-Aged Children after COVID-19 Home Confinement","type":"article-journal","volume":"139"},"uris":["http://www.mendeley.com/documents/?uuid=aaa156a0-834a-472b-b1c2-773505d61107"]},{"id":"ITEM-2","itemData":{"author":[{"dropping-particle":"","family":"Muley","given":"Sonal","non-dropping-particle":"","parse-names":false,"suffix":""}],"id":"ITEM-2","issue":"March","issued":{"date-parts":[["2022"]]},"page":"455-460","title":"Awareness of Myopia Amongst Parents of School Going Children in a Survey Done in a Tertiary Care Centre in Vidarbha Region","type":"article-journal","volume":"6"},"uris":["http://www.mendeley.com/documents/?uuid=16c07a13-21ea-4060-995f-f030d70de71c"]}],"mendeley":{"formattedCitation":"(Wang &lt;i&gt;et al.&lt;/i&gt;, 2021; Muley, 2022)","plainTextFormattedCitation":"(Wang et al., 2021; Muley, 2022)"},"properties":{"noteIndex":0},"schema":"https://github.com/citation-style-language/schema/raw/master/csl-citation.json"}</w:instrText>
      </w:r>
      <w:r w:rsidR="00BB73A4">
        <w:rPr>
          <w:rFonts w:ascii="Times New Roman" w:eastAsia="Times New Roman" w:hAnsi="Times New Roman" w:cs="Times New Roman"/>
        </w:rPr>
        <w:fldChar w:fldCharType="separate"/>
      </w:r>
      <w:r w:rsidR="00BB73A4" w:rsidRPr="00BB73A4">
        <w:rPr>
          <w:rFonts w:ascii="Times New Roman" w:eastAsia="Times New Roman" w:hAnsi="Times New Roman" w:cs="Times New Roman"/>
          <w:noProof/>
        </w:rPr>
        <w:t xml:space="preserve">(Wang </w:t>
      </w:r>
      <w:r w:rsidR="00BB73A4" w:rsidRPr="00BB73A4">
        <w:rPr>
          <w:rFonts w:ascii="Times New Roman" w:eastAsia="Times New Roman" w:hAnsi="Times New Roman" w:cs="Times New Roman"/>
          <w:i/>
          <w:noProof/>
        </w:rPr>
        <w:t>et al.</w:t>
      </w:r>
      <w:r w:rsidR="00BB73A4" w:rsidRPr="00BB73A4">
        <w:rPr>
          <w:rFonts w:ascii="Times New Roman" w:eastAsia="Times New Roman" w:hAnsi="Times New Roman" w:cs="Times New Roman"/>
          <w:noProof/>
        </w:rPr>
        <w:t>, 2021; Muley, 2022)</w:t>
      </w:r>
      <w:r w:rsidR="00BB73A4">
        <w:rPr>
          <w:rFonts w:ascii="Times New Roman" w:eastAsia="Times New Roman" w:hAnsi="Times New Roman" w:cs="Times New Roman"/>
        </w:rPr>
        <w:fldChar w:fldCharType="end"/>
      </w:r>
    </w:p>
    <w:p w14:paraId="12ED2D4D" w14:textId="77777777" w:rsidR="00B2109E" w:rsidRPr="002F6448"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t>Conclusion</w:t>
      </w:r>
    </w:p>
    <w:p w14:paraId="2FEF9434" w14:textId="77777777" w:rsidR="00E15ABC" w:rsidRPr="002F6448" w:rsidRDefault="00E15ABC"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This study highlights a substantial burden of myopia progression among children attending the KCMC Pediat</w:t>
      </w:r>
      <w:r w:rsidR="00773D1E" w:rsidRPr="002F6448">
        <w:rPr>
          <w:rFonts w:ascii="Times New Roman" w:hAnsi="Times New Roman" w:cs="Times New Roman"/>
        </w:rPr>
        <w:t xml:space="preserve">ric Eye Clinic, with nearly two </w:t>
      </w:r>
      <w:r w:rsidRPr="002F6448">
        <w:rPr>
          <w:rFonts w:ascii="Times New Roman" w:hAnsi="Times New Roman" w:cs="Times New Roman"/>
        </w:rPr>
        <w:t>thirds of participants showing</w:t>
      </w:r>
      <w:r w:rsidR="00773D1E" w:rsidRPr="002F6448">
        <w:rPr>
          <w:rFonts w:ascii="Times New Roman" w:hAnsi="Times New Roman" w:cs="Times New Roman"/>
        </w:rPr>
        <w:t xml:space="preserve"> myopia progression</w:t>
      </w:r>
      <w:r w:rsidRPr="002F6448">
        <w:rPr>
          <w:rFonts w:ascii="Times New Roman" w:hAnsi="Times New Roman" w:cs="Times New Roman"/>
        </w:rPr>
        <w:t>. Independent predictors of progression included younger age, prolonged near work, close television viewing distance, and a positive family history of myopia. Although othe</w:t>
      </w:r>
      <w:r w:rsidR="00A63162" w:rsidRPr="002F6448">
        <w:rPr>
          <w:rFonts w:ascii="Times New Roman" w:hAnsi="Times New Roman" w:cs="Times New Roman"/>
        </w:rPr>
        <w:t xml:space="preserve">r factors such as spectacle non </w:t>
      </w:r>
      <w:r w:rsidRPr="002F6448">
        <w:rPr>
          <w:rFonts w:ascii="Times New Roman" w:hAnsi="Times New Roman" w:cs="Times New Roman"/>
        </w:rPr>
        <w:t>wear and mobile device use were significant in unadjusted models, they did not retain significance after adjustment suggesting potential confounding or indirect associations through related behaviors such as near work or reduced outdoor activity</w:t>
      </w:r>
      <w:r w:rsidRPr="002F6448">
        <w:t>.</w:t>
      </w:r>
    </w:p>
    <w:p w14:paraId="15154F55" w14:textId="287D7451" w:rsidR="00B2109E"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t>Recommendations</w:t>
      </w:r>
      <w:r w:rsidRPr="00817B0B">
        <w:rPr>
          <w:rFonts w:ascii="Times New Roman" w:eastAsia="Times New Roman" w:hAnsi="Times New Roman" w:cs="Times New Roman"/>
        </w:rPr>
        <w:br/>
        <w:t>Educational initiatives should target caregivers to improve aware</w:t>
      </w:r>
      <w:r w:rsidR="00D8644D">
        <w:rPr>
          <w:rFonts w:ascii="Times New Roman" w:eastAsia="Times New Roman" w:hAnsi="Times New Roman" w:cs="Times New Roman"/>
        </w:rPr>
        <w:t xml:space="preserve">ness of modifiable risk factors. </w:t>
      </w:r>
      <w:r w:rsidR="00817B0B" w:rsidRPr="00817B0B">
        <w:rPr>
          <w:rFonts w:ascii="Times New Roman" w:hAnsi="Times New Roman" w:cs="Times New Roman"/>
        </w:rPr>
        <w:t>School-based policies could be particularly effective, including structured limits on screen time during school hours, increased outdoor activities, and educational programs for both parents and children about healthy visual behaviors.</w:t>
      </w:r>
      <w:r w:rsidRPr="002F6448">
        <w:rPr>
          <w:rFonts w:ascii="Times New Roman" w:eastAsia="Times New Roman" w:hAnsi="Times New Roman" w:cs="Times New Roman"/>
        </w:rPr>
        <w:t xml:space="preserve"> Consistent spectacle wear should be encouraged. Clinicians should explore evidence based interventions such as low dose atropine and myopia control lenses. Policymakers are urged to</w:t>
      </w:r>
      <w:r w:rsidR="00817B0B">
        <w:rPr>
          <w:rFonts w:ascii="Times New Roman" w:eastAsia="Times New Roman" w:hAnsi="Times New Roman" w:cs="Times New Roman"/>
        </w:rPr>
        <w:t xml:space="preserve"> </w:t>
      </w:r>
      <w:r w:rsidRPr="002F6448">
        <w:rPr>
          <w:rFonts w:ascii="Times New Roman" w:eastAsia="Times New Roman" w:hAnsi="Times New Roman" w:cs="Times New Roman"/>
        </w:rPr>
        <w:t>support school screening programs and access to affordable eye care. Further largescale community studies are needed to support region specific strategies.</w:t>
      </w:r>
    </w:p>
    <w:p w14:paraId="7472E214" w14:textId="77777777" w:rsidR="00390BD5" w:rsidRPr="002F6448" w:rsidRDefault="00390BD5" w:rsidP="00390BD5">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t>Strengths and Limitations</w:t>
      </w:r>
    </w:p>
    <w:p w14:paraId="7657FC78" w14:textId="77777777" w:rsidR="00390BD5" w:rsidRPr="002F6448" w:rsidRDefault="00390BD5" w:rsidP="00390BD5">
      <w:pPr>
        <w:spacing w:before="10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 xml:space="preserve">This study provides valuable data on the rate and determinants of myopia progression among children attending KCMC, serving as a foundation for future interventions. The use of objective rather than subjective refraction methods enhanced the accuracy and reliability of measurements. Several strategies were employed to minimize bias: recall bias was reduced through the use of short recall periods, a structured and pretested questionnaire, parental or caregiver verification of responses, and face to face interviews; non-response bias was mitigated by including participants who had previously visited the hospital and were therefore more likely to return. Nonetheless, the </w:t>
      </w:r>
      <w:proofErr w:type="gramStart"/>
      <w:r w:rsidRPr="002F6448">
        <w:rPr>
          <w:rFonts w:ascii="Times New Roman" w:hAnsi="Times New Roman" w:cs="Times New Roman"/>
        </w:rPr>
        <w:t>cross sectional</w:t>
      </w:r>
      <w:proofErr w:type="gramEnd"/>
      <w:r w:rsidRPr="002F6448">
        <w:rPr>
          <w:rFonts w:ascii="Times New Roman" w:hAnsi="Times New Roman" w:cs="Times New Roman"/>
        </w:rPr>
        <w:t xml:space="preserve"> design and single-center setting may limit the generalizability of the findings</w:t>
      </w:r>
      <w:r w:rsidRPr="002F6448">
        <w:rPr>
          <w:rFonts w:ascii="Times New Roman" w:eastAsia="Times New Roman" w:hAnsi="Times New Roman" w:cs="Times New Roman"/>
        </w:rPr>
        <w:t>.</w:t>
      </w:r>
    </w:p>
    <w:p w14:paraId="5AE32EA5" w14:textId="77777777" w:rsidR="00390BD5" w:rsidRDefault="00390BD5" w:rsidP="00B2109E">
      <w:pPr>
        <w:spacing w:before="100" w:beforeAutospacing="1" w:after="100" w:afterAutospacing="1" w:line="240" w:lineRule="auto"/>
        <w:rPr>
          <w:rFonts w:ascii="Times New Roman" w:eastAsia="Times New Roman" w:hAnsi="Times New Roman" w:cs="Times New Roman"/>
        </w:rPr>
      </w:pPr>
    </w:p>
    <w:p w14:paraId="7E03D824" w14:textId="390F35F6" w:rsidR="00390BD5" w:rsidRPr="00390BD5" w:rsidRDefault="00390BD5" w:rsidP="00390BD5">
      <w:pPr>
        <w:spacing w:before="100" w:beforeAutospacing="1" w:after="100" w:afterAutospacing="1" w:line="240" w:lineRule="auto"/>
        <w:rPr>
          <w:rFonts w:ascii="Times New Roman" w:eastAsia="Times New Roman" w:hAnsi="Times New Roman" w:cs="Times New Roman"/>
          <w:b/>
        </w:rPr>
      </w:pPr>
      <w:r w:rsidRPr="00390BD5">
        <w:rPr>
          <w:rFonts w:ascii="Times New Roman" w:eastAsia="Times New Roman" w:hAnsi="Times New Roman" w:cs="Times New Roman"/>
          <w:b/>
        </w:rPr>
        <w:t xml:space="preserve">Ethical </w:t>
      </w:r>
      <w:r w:rsidRPr="00390BD5">
        <w:rPr>
          <w:rFonts w:ascii="Times New Roman" w:eastAsia="Times New Roman" w:hAnsi="Times New Roman" w:cs="Times New Roman"/>
          <w:b/>
        </w:rPr>
        <w:t>Approval and Consent:</w:t>
      </w:r>
    </w:p>
    <w:p w14:paraId="09D0834D" w14:textId="585AFDCF" w:rsidR="00CA0482" w:rsidRDefault="00390BD5" w:rsidP="00390BD5">
      <w:pPr>
        <w:spacing w:before="100" w:beforeAutospacing="1" w:after="100" w:afterAutospacing="1" w:line="240" w:lineRule="auto"/>
        <w:rPr>
          <w:rFonts w:ascii="Times New Roman" w:eastAsia="Times New Roman" w:hAnsi="Times New Roman" w:cs="Times New Roman"/>
        </w:rPr>
      </w:pPr>
      <w:r w:rsidRPr="00390BD5">
        <w:rPr>
          <w:rFonts w:ascii="Times New Roman" w:eastAsia="Times New Roman" w:hAnsi="Times New Roman" w:cs="Times New Roman"/>
        </w:rPr>
        <w:t>Ethical approval was obtained from the Kilimanjaro Christian Medical University College Research and Ethics Review Committee (KCMU-CRERC), reference number PG 82/2023. Confidentiality of participant names and personal hospital information was strictly maintained. Participants identified as needing further medical evaluation were referred for appropriate management.</w:t>
      </w:r>
      <w:r>
        <w:rPr>
          <w:rFonts w:ascii="Times New Roman" w:eastAsia="Times New Roman" w:hAnsi="Times New Roman" w:cs="Times New Roman"/>
        </w:rPr>
        <w:t xml:space="preserve"> </w:t>
      </w:r>
      <w:r w:rsidRPr="00390BD5">
        <w:rPr>
          <w:rFonts w:ascii="Times New Roman" w:eastAsia="Times New Roman" w:hAnsi="Times New Roman" w:cs="Times New Roman"/>
        </w:rPr>
        <w:t>Written informed consent (or assent, where applicable) was obtained from all participants or their guardians.</w:t>
      </w:r>
    </w:p>
    <w:p w14:paraId="64E6C94F" w14:textId="77777777" w:rsidR="003608FF" w:rsidRPr="00390BD5" w:rsidRDefault="003608FF" w:rsidP="003608FF">
      <w:pPr>
        <w:rPr>
          <w:rFonts w:ascii="Calibri" w:eastAsia="Calibri" w:hAnsi="Calibri" w:cs="Times New Roman"/>
          <w:b/>
          <w:kern w:val="2"/>
        </w:rPr>
      </w:pPr>
      <w:bookmarkStart w:id="3" w:name="_Hlk197682619"/>
      <w:bookmarkStart w:id="4" w:name="_Hlk180402183"/>
      <w:bookmarkStart w:id="5" w:name="_Hlk183680988"/>
      <w:r w:rsidRPr="00390BD5">
        <w:rPr>
          <w:rFonts w:ascii="Calibri" w:eastAsia="Calibri" w:hAnsi="Calibri" w:cs="Times New Roman"/>
          <w:b/>
          <w:kern w:val="2"/>
        </w:rPr>
        <w:t>Disclaimer (Artificial intelligence)</w:t>
      </w:r>
    </w:p>
    <w:p w14:paraId="323F24DF" w14:textId="77777777" w:rsidR="003608FF" w:rsidRPr="00817B0B" w:rsidRDefault="003608FF" w:rsidP="003608FF">
      <w:pPr>
        <w:rPr>
          <w:rFonts w:ascii="Calibri" w:eastAsia="Calibri" w:hAnsi="Calibri" w:cs="Times New Roman"/>
          <w:kern w:val="2"/>
        </w:rPr>
      </w:pPr>
      <w:r w:rsidRPr="00817B0B">
        <w:rPr>
          <w:rFonts w:ascii="Calibri" w:eastAsia="Calibri" w:hAnsi="Calibri" w:cs="Times New Roman"/>
          <w:kern w:val="2"/>
        </w:rPr>
        <w:t>Author(s) hereby declare that NO generative AI technologies such as Large Language Models (</w:t>
      </w:r>
      <w:proofErr w:type="spellStart"/>
      <w:r w:rsidRPr="00817B0B">
        <w:rPr>
          <w:rFonts w:ascii="Calibri" w:eastAsia="Calibri" w:hAnsi="Calibri" w:cs="Times New Roman"/>
          <w:kern w:val="2"/>
        </w:rPr>
        <w:t>ChatGPT</w:t>
      </w:r>
      <w:proofErr w:type="spellEnd"/>
      <w:r w:rsidRPr="00817B0B">
        <w:rPr>
          <w:rFonts w:ascii="Calibri" w:eastAsia="Calibri" w:hAnsi="Calibri" w:cs="Times New Roman"/>
          <w:kern w:val="2"/>
        </w:rPr>
        <w:t xml:space="preserve">, COPILOT, etc.) and text-to-image generators have been used during the writing or editing of this manuscript. </w:t>
      </w:r>
    </w:p>
    <w:bookmarkEnd w:id="3"/>
    <w:bookmarkEnd w:id="4"/>
    <w:bookmarkEnd w:id="5"/>
    <w:p w14:paraId="5603A53C" w14:textId="77777777" w:rsidR="003608FF" w:rsidRPr="002F6448" w:rsidRDefault="003608FF" w:rsidP="00CA0482">
      <w:pPr>
        <w:spacing w:before="100" w:beforeAutospacing="1" w:after="100" w:afterAutospacing="1" w:line="240" w:lineRule="auto"/>
        <w:rPr>
          <w:rFonts w:ascii="Times New Roman" w:eastAsia="Times New Roman" w:hAnsi="Times New Roman" w:cs="Times New Roman"/>
        </w:rPr>
      </w:pPr>
    </w:p>
    <w:p w14:paraId="6D912B72" w14:textId="77777777" w:rsidR="00B2109E" w:rsidRPr="002F6448" w:rsidRDefault="00B2109E" w:rsidP="003F6C20">
      <w:pPr>
        <w:spacing w:before="100" w:beforeAutospacing="1" w:after="100" w:afterAutospacing="1" w:line="240" w:lineRule="auto"/>
        <w:rPr>
          <w:rFonts w:ascii="Times New Roman" w:eastAsia="Times New Roman" w:hAnsi="Times New Roman" w:cs="Times New Roman"/>
        </w:rPr>
      </w:pPr>
    </w:p>
    <w:p w14:paraId="753C9DC3" w14:textId="77777777" w:rsidR="003F6C20" w:rsidRPr="009B06F9" w:rsidRDefault="003F6C20" w:rsidP="00FC4A95">
      <w:pPr>
        <w:spacing w:before="100" w:beforeAutospacing="1" w:after="100" w:afterAutospacing="1" w:line="240" w:lineRule="auto"/>
        <w:rPr>
          <w:rFonts w:ascii="Times New Roman" w:eastAsia="Times New Roman" w:hAnsi="Times New Roman" w:cs="Times New Roman"/>
        </w:rPr>
      </w:pPr>
    </w:p>
    <w:p w14:paraId="317D2AAA" w14:textId="77777777" w:rsidR="007D1CD9" w:rsidRPr="009B06F9" w:rsidRDefault="00B2109E" w:rsidP="00FC4A95">
      <w:pPr>
        <w:spacing w:before="100" w:beforeAutospacing="1" w:after="100" w:afterAutospacing="1" w:line="240" w:lineRule="auto"/>
        <w:rPr>
          <w:rFonts w:ascii="Times New Roman" w:eastAsia="Times New Roman" w:hAnsi="Times New Roman" w:cs="Times New Roman"/>
          <w:b/>
        </w:rPr>
      </w:pPr>
      <w:r>
        <w:rPr>
          <w:rFonts w:ascii="Times New Roman" w:eastAsia="Times New Roman" w:hAnsi="Times New Roman" w:cs="Times New Roman"/>
          <w:b/>
        </w:rPr>
        <w:t>REF</w:t>
      </w:r>
      <w:r w:rsidR="007D1CD9" w:rsidRPr="009B06F9">
        <w:rPr>
          <w:rFonts w:ascii="Times New Roman" w:eastAsia="Times New Roman" w:hAnsi="Times New Roman" w:cs="Times New Roman"/>
          <w:b/>
        </w:rPr>
        <w:t>ERENCES:</w:t>
      </w:r>
    </w:p>
    <w:p w14:paraId="207746CD" w14:textId="7AD4D003" w:rsidR="00BB73A4" w:rsidRPr="00BB73A4" w:rsidRDefault="007D1CD9" w:rsidP="00BB73A4">
      <w:pPr>
        <w:widowControl w:val="0"/>
        <w:autoSpaceDE w:val="0"/>
        <w:autoSpaceDN w:val="0"/>
        <w:adjustRightInd w:val="0"/>
        <w:spacing w:before="100" w:after="100" w:line="240" w:lineRule="auto"/>
        <w:rPr>
          <w:rFonts w:ascii="Times New Roman" w:hAnsi="Times New Roman" w:cs="Times New Roman"/>
          <w:noProof/>
          <w:szCs w:val="24"/>
        </w:rPr>
      </w:pPr>
      <w:r w:rsidRPr="009B06F9">
        <w:rPr>
          <w:rFonts w:ascii="Times New Roman" w:eastAsia="Times New Roman" w:hAnsi="Times New Roman" w:cs="Times New Roman"/>
        </w:rPr>
        <w:fldChar w:fldCharType="begin" w:fldLock="1"/>
      </w:r>
      <w:r w:rsidRPr="009B06F9">
        <w:rPr>
          <w:rFonts w:ascii="Times New Roman" w:eastAsia="Times New Roman" w:hAnsi="Times New Roman" w:cs="Times New Roman"/>
        </w:rPr>
        <w:instrText xml:space="preserve">ADDIN Mendeley Bibliography CSL_BIBLIOGRAPHY </w:instrText>
      </w:r>
      <w:r w:rsidRPr="009B06F9">
        <w:rPr>
          <w:rFonts w:ascii="Times New Roman" w:eastAsia="Times New Roman" w:hAnsi="Times New Roman" w:cs="Times New Roman"/>
        </w:rPr>
        <w:fldChar w:fldCharType="separate"/>
      </w:r>
      <w:r w:rsidR="00BB73A4" w:rsidRPr="00BB73A4">
        <w:rPr>
          <w:rFonts w:ascii="Times New Roman" w:hAnsi="Times New Roman" w:cs="Times New Roman"/>
          <w:noProof/>
          <w:szCs w:val="24"/>
        </w:rPr>
        <w:t xml:space="preserve">Allen, P.M. </w:t>
      </w:r>
      <w:r w:rsidR="00BB73A4" w:rsidRPr="00BB73A4">
        <w:rPr>
          <w:rFonts w:ascii="Times New Roman" w:hAnsi="Times New Roman" w:cs="Times New Roman"/>
          <w:i/>
          <w:iCs/>
          <w:noProof/>
          <w:szCs w:val="24"/>
        </w:rPr>
        <w:t>et al.</w:t>
      </w:r>
      <w:r w:rsidR="00BB73A4" w:rsidRPr="00BB73A4">
        <w:rPr>
          <w:rFonts w:ascii="Times New Roman" w:hAnsi="Times New Roman" w:cs="Times New Roman"/>
          <w:noProof/>
          <w:szCs w:val="24"/>
        </w:rPr>
        <w:t xml:space="preserve"> (2013) ‘A randomised clinical trial to assess the effect of a dual treatment on myopia progression: The Cambridge Anti-Myopia Study’, </w:t>
      </w:r>
      <w:r w:rsidR="00BB73A4" w:rsidRPr="00BB73A4">
        <w:rPr>
          <w:rFonts w:ascii="Times New Roman" w:hAnsi="Times New Roman" w:cs="Times New Roman"/>
          <w:i/>
          <w:iCs/>
          <w:noProof/>
          <w:szCs w:val="24"/>
        </w:rPr>
        <w:t>Ophthalmic and Physiological Optics</w:t>
      </w:r>
      <w:r w:rsidR="00BB73A4" w:rsidRPr="00BB73A4">
        <w:rPr>
          <w:rFonts w:ascii="Times New Roman" w:hAnsi="Times New Roman" w:cs="Times New Roman"/>
          <w:noProof/>
          <w:szCs w:val="24"/>
        </w:rPr>
        <w:t>, 33(3), pp. 267–276. Available at: https://doi.org/10.1111/opo.12035.</w:t>
      </w:r>
    </w:p>
    <w:p w14:paraId="1AE3F2FA"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Bron, A.J., Paterson, C. and Cunha-Vaz, J. (2004) ‘Experimental Eye Research: Editorial’, </w:t>
      </w:r>
      <w:r w:rsidRPr="00BB73A4">
        <w:rPr>
          <w:rFonts w:ascii="Times New Roman" w:hAnsi="Times New Roman" w:cs="Times New Roman"/>
          <w:i/>
          <w:iCs/>
          <w:noProof/>
          <w:szCs w:val="24"/>
        </w:rPr>
        <w:t>Experimental Eye Research</w:t>
      </w:r>
      <w:r w:rsidRPr="00BB73A4">
        <w:rPr>
          <w:rFonts w:ascii="Times New Roman" w:hAnsi="Times New Roman" w:cs="Times New Roman"/>
          <w:noProof/>
          <w:szCs w:val="24"/>
        </w:rPr>
        <w:t>, 78(3), pp. 1–11. Available at: https://doi.org/10.1016/j.exer.2003.11.002.</w:t>
      </w:r>
    </w:p>
    <w:p w14:paraId="35ED25C1"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Cooper, J. and Tkatchenko, A. V (2018) ‘A Review of Current Concepts of the Etiology and Treatment of Myopia’, 44(4). Available at: https://doi.org/10.1097/ICL.0000000000000499.</w:t>
      </w:r>
    </w:p>
    <w:p w14:paraId="65CE3B25"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Flitcroft, D.I.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(2019) ‘IMI – Defining and classifying myopia: A proposed set of standards for clinical and epidemiologic studies’,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60(3), pp. M20–M30. Available at: https://doi.org/10.1167/iovs.18-25957.</w:t>
      </w:r>
    </w:p>
    <w:p w14:paraId="33BFF912"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Fricke, T.R. and Flanagan, J. (2019) ‘Myopia : a growing epidemic’, (January), pp. 27–28.</w:t>
      </w:r>
    </w:p>
    <w:p w14:paraId="66C30054"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Graddipneurosci, K.A.R. (2018) ‘C L I N I C A L A N D E X P E R I M E N TA L Myopia : is the nature-nurture debate fi nally over ?’, pp. 1–15. Available at: https://doi.org/10.1111/cxo.12845.</w:t>
      </w:r>
    </w:p>
    <w:p w14:paraId="61F079B8"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Grzybowski, A.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(2020) ‘</w:t>
      </w:r>
      <w:r w:rsidRPr="00BB73A4">
        <w:rPr>
          <w:rFonts w:ascii="Times New Roman" w:eastAsia="MS Gothic" w:hAnsi="Times New Roman" w:cs="Times New Roman" w:hint="eastAsia"/>
          <w:noProof/>
          <w:szCs w:val="24"/>
        </w:rPr>
        <w:t>全球。儿童。近</w:t>
      </w:r>
      <w:r w:rsidRPr="00BB73A4">
        <w:rPr>
          <w:rFonts w:ascii="Times New Roman" w:eastAsia="Microsoft JhengHei" w:hAnsi="Times New Roman" w:cs="Times New Roman" w:hint="eastAsia"/>
          <w:noProof/>
          <w:szCs w:val="24"/>
        </w:rPr>
        <w:t>视发病率。</w:t>
      </w:r>
      <w:r w:rsidRPr="00BB73A4">
        <w:rPr>
          <w:rFonts w:ascii="Times New Roman" w:hAnsi="Times New Roman" w:cs="Times New Roman"/>
          <w:noProof/>
          <w:szCs w:val="24"/>
        </w:rPr>
        <w:t xml:space="preserve">’, </w:t>
      </w:r>
      <w:r w:rsidRPr="00BB73A4">
        <w:rPr>
          <w:rFonts w:ascii="Times New Roman" w:hAnsi="Times New Roman" w:cs="Times New Roman"/>
          <w:i/>
          <w:iCs/>
          <w:noProof/>
          <w:szCs w:val="24"/>
        </w:rPr>
        <w:t>BMC ophthalmology</w:t>
      </w:r>
      <w:r w:rsidRPr="00BB73A4">
        <w:rPr>
          <w:rFonts w:ascii="Times New Roman" w:hAnsi="Times New Roman" w:cs="Times New Roman"/>
          <w:noProof/>
          <w:szCs w:val="24"/>
        </w:rPr>
        <w:t>, 20(1), p. 27. Available at: https://doi.org/10.1186/s12886-019-1220-0%0AREVIEW.</w:t>
      </w:r>
    </w:p>
    <w:p w14:paraId="617A7490"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Gwiazda, J.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(2011) ‘Association of education and occupation with myopia in COMET parents’, </w:t>
      </w:r>
      <w:r w:rsidRPr="00BB73A4">
        <w:rPr>
          <w:rFonts w:ascii="Times New Roman" w:hAnsi="Times New Roman" w:cs="Times New Roman"/>
          <w:i/>
          <w:iCs/>
          <w:noProof/>
          <w:szCs w:val="24"/>
        </w:rPr>
        <w:t>Optometry and Vision Science</w:t>
      </w:r>
      <w:r w:rsidRPr="00BB73A4">
        <w:rPr>
          <w:rFonts w:ascii="Times New Roman" w:hAnsi="Times New Roman" w:cs="Times New Roman"/>
          <w:noProof/>
          <w:szCs w:val="24"/>
        </w:rPr>
        <w:t>, 88(9), pp. 1045–1053. Available at: https://doi.org/10.1097/OPX.0b013e31822171ad.</w:t>
      </w:r>
    </w:p>
    <w:p w14:paraId="31D6A7A8"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Holden, B.A.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(2016) ‘Global Prevalence of Myopia and High Myopia and Temporal Trends from 2000 through 2050’, </w:t>
      </w:r>
      <w:r w:rsidRPr="00BB73A4">
        <w:rPr>
          <w:rFonts w:ascii="Times New Roman" w:hAnsi="Times New Roman" w:cs="Times New Roman"/>
          <w:i/>
          <w:iCs/>
          <w:noProof/>
          <w:szCs w:val="24"/>
        </w:rPr>
        <w:t>Ophthalmology</w:t>
      </w:r>
      <w:r w:rsidRPr="00BB73A4">
        <w:rPr>
          <w:rFonts w:ascii="Times New Roman" w:hAnsi="Times New Roman" w:cs="Times New Roman"/>
          <w:noProof/>
          <w:szCs w:val="24"/>
        </w:rPr>
        <w:t>, 123(5), pp. 1036–1042. Available at: https://doi.org/10.1016/j.ophtha.2016.01.006.</w:t>
      </w:r>
    </w:p>
    <w:p w14:paraId="12EAAEBA"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Hsu, C.C.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(2016) ‘Prevalence and risk factors for myopia in second-grade primary school children in Taipei: A population-based study’, </w:t>
      </w:r>
      <w:r w:rsidRPr="00BB73A4">
        <w:rPr>
          <w:rFonts w:ascii="Times New Roman" w:hAnsi="Times New Roman" w:cs="Times New Roman"/>
          <w:i/>
          <w:iCs/>
          <w:noProof/>
          <w:szCs w:val="24"/>
        </w:rPr>
        <w:t>Journal of the Chinese Medical Association</w:t>
      </w:r>
      <w:r w:rsidRPr="00BB73A4">
        <w:rPr>
          <w:rFonts w:ascii="Times New Roman" w:hAnsi="Times New Roman" w:cs="Times New Roman"/>
          <w:noProof/>
          <w:szCs w:val="24"/>
        </w:rPr>
        <w:t>, 79(11), pp. 625–632. Available at: https://doi.org/10.1016/j.jcma.2016.02.011.</w:t>
      </w:r>
    </w:p>
    <w:p w14:paraId="503DCF1D"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Hsu, C.C.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(2017) ‘Risk factors for myopia progression in second-grade primary school children in Taipei: A population-based cohort study’, </w:t>
      </w:r>
      <w:r w:rsidRPr="00BB73A4">
        <w:rPr>
          <w:rFonts w:ascii="Times New Roman" w:hAnsi="Times New Roman" w:cs="Times New Roman"/>
          <w:i/>
          <w:iCs/>
          <w:noProof/>
          <w:szCs w:val="24"/>
        </w:rPr>
        <w:t>British Journal of Ophthalmology</w:t>
      </w:r>
      <w:r w:rsidRPr="00BB73A4">
        <w:rPr>
          <w:rFonts w:ascii="Times New Roman" w:hAnsi="Times New Roman" w:cs="Times New Roman"/>
          <w:noProof/>
          <w:szCs w:val="24"/>
        </w:rPr>
        <w:t>, 101(12), pp. 1611–1617. Available at: https://doi.org/10.1136/bjophthalmol-2016-309299.</w:t>
      </w:r>
    </w:p>
    <w:p w14:paraId="6E3F788E"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Huang, P.C.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(2020) ‘Protective behaviours of near work and time outdoors in myopia prevalence and progression in myopic children: A 2-year prospective population study’, </w:t>
      </w:r>
      <w:r w:rsidRPr="00BB73A4">
        <w:rPr>
          <w:rFonts w:ascii="Times New Roman" w:hAnsi="Times New Roman" w:cs="Times New Roman"/>
          <w:i/>
          <w:iCs/>
          <w:noProof/>
          <w:szCs w:val="24"/>
        </w:rPr>
        <w:t>British Journal of Ophthalmology</w:t>
      </w:r>
      <w:r w:rsidRPr="00BB73A4">
        <w:rPr>
          <w:rFonts w:ascii="Times New Roman" w:hAnsi="Times New Roman" w:cs="Times New Roman"/>
          <w:noProof/>
          <w:szCs w:val="24"/>
        </w:rPr>
        <w:t>, 104(7), pp. 956–961. Available at: https://doi.org/10.1136/bjophthalmol-2019-314101.</w:t>
      </w:r>
    </w:p>
    <w:p w14:paraId="1400C471"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Hyman, L.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(2005) ‘Relationship of Age, Sex, and Ethnicity With Myopia Progression and Axial Elongation in the Correction of Myopia Evaluation Trial’, 123(July).</w:t>
      </w:r>
    </w:p>
    <w:p w14:paraId="7C7CE968"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Ip, J.M.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(2008) ‘Role of near work in myopia: Findings in a sample of Australian school children’,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49(7), pp. 2903–2910. Available at: https://doi.org/10.1167/iovs.07-0804.</w:t>
      </w:r>
    </w:p>
    <w:p w14:paraId="5F132A20"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J. Bao et al (2015) ‘Influence of Near Tasks on Posture in Myopic’, 92(8), pp. 908–915.</w:t>
      </w:r>
    </w:p>
    <w:p w14:paraId="7D43E477"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Jones-Jordan, L.A.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(2012) ‘Time outdoors, visual activity, and myopia progression in juvenile-onset myopes’,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53(11), pp. 7169–7175. Available at: https://doi.org/10.1167/iovs.11-8336.</w:t>
      </w:r>
    </w:p>
    <w:p w14:paraId="30A09714"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Kobia-Acquah, E.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(2022) ‘Regional variations and temporal trends of childhood myopia prevalence in Africa: A systematic review and meta-analysis’, </w:t>
      </w:r>
      <w:r w:rsidRPr="00BB73A4">
        <w:rPr>
          <w:rFonts w:ascii="Times New Roman" w:hAnsi="Times New Roman" w:cs="Times New Roman"/>
          <w:i/>
          <w:iCs/>
          <w:noProof/>
          <w:szCs w:val="24"/>
        </w:rPr>
        <w:t>Ophthalmic and Physiological Optics</w:t>
      </w:r>
      <w:r w:rsidRPr="00BB73A4">
        <w:rPr>
          <w:rFonts w:ascii="Times New Roman" w:hAnsi="Times New Roman" w:cs="Times New Roman"/>
          <w:noProof/>
          <w:szCs w:val="24"/>
        </w:rPr>
        <w:t>, 42(6), pp. 1232–1252. Available at: https://doi.org/10.1111/opo.13035.</w:t>
      </w:r>
    </w:p>
    <w:p w14:paraId="1BD098D5"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lastRenderedPageBreak/>
        <w:t xml:space="preserve">Koomson, N.Y.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(2016) ‘Relationship between reduced accommodative lag and myopia progression’, </w:t>
      </w:r>
      <w:r w:rsidRPr="00BB73A4">
        <w:rPr>
          <w:rFonts w:ascii="Times New Roman" w:hAnsi="Times New Roman" w:cs="Times New Roman"/>
          <w:i/>
          <w:iCs/>
          <w:noProof/>
          <w:szCs w:val="24"/>
        </w:rPr>
        <w:t>Optometry and Vision Science</w:t>
      </w:r>
      <w:r w:rsidRPr="00BB73A4">
        <w:rPr>
          <w:rFonts w:ascii="Times New Roman" w:hAnsi="Times New Roman" w:cs="Times New Roman"/>
          <w:noProof/>
          <w:szCs w:val="24"/>
        </w:rPr>
        <w:t>, 93(7), pp. 683–691. Available at: https://doi.org/10.1097/OPX.0000000000000867.</w:t>
      </w:r>
    </w:p>
    <w:p w14:paraId="2C83F08E"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Kumah, B.D.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(2013) ‘Optometry and Vision Science Volume 90 issue 12 2013 [doi 10.1097_OPX.0000000000000099] Kumah, Ben D.; Ebri, Anne; Abdul-Kabir, Mohammed; Ahmed, Abdul-S -- Refractive Error and Visual Impairment in .pdf’, 90(12), pp. 1456–1461.</w:t>
      </w:r>
    </w:p>
    <w:p w14:paraId="5CB054DF"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Kumar, P.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(2020) ‘Myopia progression varies with age and severity of myopia’, pp. 1–9. Available at: https://doi.org/10.1371/journal.pone.0241759.</w:t>
      </w:r>
    </w:p>
    <w:p w14:paraId="73B4CE51"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Kyei, S.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(2024) ‘Dynamics of Myopia Progression in Ghana—Evidence From Clinical Practice: A Retrospective Cohort Study’, </w:t>
      </w:r>
      <w:r w:rsidRPr="00BB73A4">
        <w:rPr>
          <w:rFonts w:ascii="Times New Roman" w:hAnsi="Times New Roman" w:cs="Times New Roman"/>
          <w:i/>
          <w:iCs/>
          <w:noProof/>
          <w:szCs w:val="24"/>
        </w:rPr>
        <w:t>Health Science Reports</w:t>
      </w:r>
      <w:r w:rsidRPr="00BB73A4">
        <w:rPr>
          <w:rFonts w:ascii="Times New Roman" w:hAnsi="Times New Roman" w:cs="Times New Roman"/>
          <w:noProof/>
          <w:szCs w:val="24"/>
        </w:rPr>
        <w:t>, 7(12), pp. 1–10. Available at: https://doi.org/10.1002/hsr2.70273.</w:t>
      </w:r>
    </w:p>
    <w:p w14:paraId="7A5BFB6C"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Lee, Y.Y.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(2015) ‘Risk factors for and progression of myopia in young Taiwanese men’, </w:t>
      </w:r>
      <w:r w:rsidRPr="00BB73A4">
        <w:rPr>
          <w:rFonts w:ascii="Times New Roman" w:hAnsi="Times New Roman" w:cs="Times New Roman"/>
          <w:i/>
          <w:iCs/>
          <w:noProof/>
          <w:szCs w:val="24"/>
        </w:rPr>
        <w:t>Ophthalmic Epidemiology</w:t>
      </w:r>
      <w:r w:rsidRPr="00BB73A4">
        <w:rPr>
          <w:rFonts w:ascii="Times New Roman" w:hAnsi="Times New Roman" w:cs="Times New Roman"/>
          <w:noProof/>
          <w:szCs w:val="24"/>
        </w:rPr>
        <w:t>, 22(1), pp. 66–73. Available at: https://doi.org/10.3109/09286586.2014.988874.</w:t>
      </w:r>
    </w:p>
    <w:p w14:paraId="35C96422"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Liang, C.L.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(2004) ‘Impact of family history of high myopia on level and onset of myopia’,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45(10), pp. 3446–3452. Available at: https://doi.org/10.1167/iovs.03-1058.</w:t>
      </w:r>
    </w:p>
    <w:p w14:paraId="0A13369C"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Liao, 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(2019) ‘Role of Parental Refractive Status in Myopia Progression : 12-Year Annual Observation From the Guangzhou Twin Eye Study’.</w:t>
      </w:r>
    </w:p>
    <w:p w14:paraId="1E22B260"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Liu, J.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(2021) ‘Adolescent Vision Health During the Outbreak of COVID-19 : Association Between Digital Screen Use and Myopia Progression’, 9(May), pp. 1–7. Available at: https://doi.org/10.3389/fped.2021.662984.</w:t>
      </w:r>
    </w:p>
    <w:p w14:paraId="3421CD17"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Marin-Castaño, M.E.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(2003) ‘Regulation of estrogen receptors and MMP-2 expression by estrogens in human retinal pigment epithelium’,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44(1), pp. 50–59. Available at: https://doi.org/10.1167/iovs.01-1276.</w:t>
      </w:r>
    </w:p>
    <w:p w14:paraId="0FC5B863"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Moore, M.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(2024) ‘Myopia progression patterns among paediatric patients in a clinical setting’, </w:t>
      </w:r>
      <w:r w:rsidRPr="00BB73A4">
        <w:rPr>
          <w:rFonts w:ascii="Times New Roman" w:hAnsi="Times New Roman" w:cs="Times New Roman"/>
          <w:i/>
          <w:iCs/>
          <w:noProof/>
          <w:szCs w:val="24"/>
        </w:rPr>
        <w:t>Ophthalmic and Physiological Optics</w:t>
      </w:r>
      <w:r w:rsidRPr="00BB73A4">
        <w:rPr>
          <w:rFonts w:ascii="Times New Roman" w:hAnsi="Times New Roman" w:cs="Times New Roman"/>
          <w:noProof/>
          <w:szCs w:val="24"/>
        </w:rPr>
        <w:t>, 44(2), pp. 258–269. Available at: https://doi.org/10.1111/opo.13259.</w:t>
      </w:r>
    </w:p>
    <w:p w14:paraId="2F3F56F4"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Muley, S. (2022) ‘Awareness of Myopia Amongst Parents of School Going Children in a Survey Done in a Tertiary Care Centre in Vidarbha Region’, 6(March), pp. 455–460.</w:t>
      </w:r>
    </w:p>
    <w:p w14:paraId="2BF78FD4"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Nouraeinejad, A. (2022) ‘Urbanization as a factor for myopia progression’, </w:t>
      </w:r>
      <w:r w:rsidRPr="00BB73A4">
        <w:rPr>
          <w:rFonts w:ascii="Times New Roman" w:hAnsi="Times New Roman" w:cs="Times New Roman"/>
          <w:i/>
          <w:iCs/>
          <w:noProof/>
          <w:szCs w:val="24"/>
        </w:rPr>
        <w:t>Klinika Oczna</w:t>
      </w:r>
      <w:r w:rsidRPr="00BB73A4">
        <w:rPr>
          <w:rFonts w:ascii="Times New Roman" w:hAnsi="Times New Roman" w:cs="Times New Roman"/>
          <w:noProof/>
          <w:szCs w:val="24"/>
        </w:rPr>
        <w:t>, 124(2), pp. 124–125. Available at: https://doi.org/10.5114/ko.2022.116834.</w:t>
      </w:r>
    </w:p>
    <w:p w14:paraId="535592E7"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Okenwa-Vincent, E.E., Naidoo, J. and Clarke-Farr, P. (2022) ‘Factors associated with uncorrected refractive errors in school-going adolescents in Kakamega County, Kenya’, </w:t>
      </w:r>
      <w:r w:rsidRPr="00BB73A4">
        <w:rPr>
          <w:rFonts w:ascii="Times New Roman" w:hAnsi="Times New Roman" w:cs="Times New Roman"/>
          <w:i/>
          <w:iCs/>
          <w:noProof/>
          <w:szCs w:val="24"/>
        </w:rPr>
        <w:t>Ophthalmology Journal</w:t>
      </w:r>
      <w:r w:rsidRPr="00BB73A4">
        <w:rPr>
          <w:rFonts w:ascii="Times New Roman" w:hAnsi="Times New Roman" w:cs="Times New Roman"/>
          <w:noProof/>
          <w:szCs w:val="24"/>
        </w:rPr>
        <w:t>, 7(0), pp. 152–162. Available at: https://doi.org/10.5603/oj.2022.0021.</w:t>
      </w:r>
    </w:p>
    <w:p w14:paraId="14F18E6C"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Saxena, R.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(2017) ‘Incidence and progression of myopia and associated factors in urban school children in Delhi : The North India Myopia Study ( NIM Study )’, pp. 1–12.</w:t>
      </w:r>
    </w:p>
    <w:p w14:paraId="11F18B4C"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Shih, Y.F.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(2010) ‘Comparing myopic progression of urban and rural Taiwanese schoolchildren’, </w:t>
      </w:r>
      <w:r w:rsidRPr="00BB73A4">
        <w:rPr>
          <w:rFonts w:ascii="Times New Roman" w:hAnsi="Times New Roman" w:cs="Times New Roman"/>
          <w:i/>
          <w:iCs/>
          <w:noProof/>
          <w:szCs w:val="24"/>
        </w:rPr>
        <w:t>Japanese Journal of Ophthalmology</w:t>
      </w:r>
      <w:r w:rsidRPr="00BB73A4">
        <w:rPr>
          <w:rFonts w:ascii="Times New Roman" w:hAnsi="Times New Roman" w:cs="Times New Roman"/>
          <w:noProof/>
          <w:szCs w:val="24"/>
        </w:rPr>
        <w:t>, 54(5), pp. 446–451. Available at: https://doi.org/10.1007/s10384-010-0860-7.</w:t>
      </w:r>
    </w:p>
    <w:p w14:paraId="7A798FB7"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Sinshaw, A.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(2021) ‘Prevalence and associated factors of myopia among school children in Bahir Dar city ’, 51, pp. 14–18. Available at: https://doi.org/10.1371/journal.pone.0248936.</w:t>
      </w:r>
    </w:p>
    <w:p w14:paraId="248B46A9"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Thibos, L.N.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(2013) ‘Spherical aberration and the sign of defocus’, </w:t>
      </w:r>
      <w:r w:rsidRPr="00BB73A4">
        <w:rPr>
          <w:rFonts w:ascii="Times New Roman" w:hAnsi="Times New Roman" w:cs="Times New Roman"/>
          <w:i/>
          <w:iCs/>
          <w:noProof/>
          <w:szCs w:val="24"/>
        </w:rPr>
        <w:t>Optometry and Vision Science</w:t>
      </w:r>
      <w:r w:rsidRPr="00BB73A4">
        <w:rPr>
          <w:rFonts w:ascii="Times New Roman" w:hAnsi="Times New Roman" w:cs="Times New Roman"/>
          <w:noProof/>
          <w:szCs w:val="24"/>
        </w:rPr>
        <w:t>, 90(11), pp. 1284–1291. Available at: https://doi.org/10.1097/OPX.0000000000000040.</w:t>
      </w:r>
    </w:p>
    <w:p w14:paraId="0E227985"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Tricard, D.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(2022) ‘Progression of myopia in children and teenagers : a nationwide longitudinal study’, pp. 1104–1109. Available at: https://doi.org/10.1136/bjophthalmol-2020-318256.</w:t>
      </w:r>
    </w:p>
    <w:p w14:paraId="5B9C98AA"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Wang, J.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(2021) ‘Progression of Myopia in School-Aged Children after COVID-19 Home Confinement’, </w:t>
      </w:r>
      <w:r w:rsidRPr="00BB73A4">
        <w:rPr>
          <w:rFonts w:ascii="Times New Roman" w:hAnsi="Times New Roman" w:cs="Times New Roman"/>
          <w:i/>
          <w:iCs/>
          <w:noProof/>
          <w:szCs w:val="24"/>
        </w:rPr>
        <w:t>JAMA Ophthalmology</w:t>
      </w:r>
      <w:r w:rsidRPr="00BB73A4">
        <w:rPr>
          <w:rFonts w:ascii="Times New Roman" w:hAnsi="Times New Roman" w:cs="Times New Roman"/>
          <w:noProof/>
          <w:szCs w:val="24"/>
        </w:rPr>
        <w:t xml:space="preserve">, 139(3), pp. 293–300. Available at: </w:t>
      </w:r>
      <w:r w:rsidRPr="00BB73A4">
        <w:rPr>
          <w:rFonts w:ascii="Times New Roman" w:hAnsi="Times New Roman" w:cs="Times New Roman"/>
          <w:noProof/>
          <w:szCs w:val="24"/>
        </w:rPr>
        <w:lastRenderedPageBreak/>
        <w:t>https://doi.org/10.1001/jamaophthalmol.2020.6239.</w:t>
      </w:r>
    </w:p>
    <w:p w14:paraId="21999830"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Wedner, S.H.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(2002) ‘Myopia in secondary school students in Mwanza City, Tanzania: The need for a national screening programme’, </w:t>
      </w:r>
      <w:r w:rsidRPr="00BB73A4">
        <w:rPr>
          <w:rFonts w:ascii="Times New Roman" w:hAnsi="Times New Roman" w:cs="Times New Roman"/>
          <w:i/>
          <w:iCs/>
          <w:noProof/>
          <w:szCs w:val="24"/>
        </w:rPr>
        <w:t>British Journal of Ophthalmology</w:t>
      </w:r>
      <w:r w:rsidRPr="00BB73A4">
        <w:rPr>
          <w:rFonts w:ascii="Times New Roman" w:hAnsi="Times New Roman" w:cs="Times New Roman"/>
          <w:noProof/>
          <w:szCs w:val="24"/>
        </w:rPr>
        <w:t>, 86(11), pp. 1200–1206. Available at: https://doi.org/10.1136/bjo.86.11.1200.</w:t>
      </w:r>
    </w:p>
    <w:p w14:paraId="1C702888"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Wen, L.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(2020) ‘Objectively measured near work, outdoor exposure and myopia in children’, </w:t>
      </w:r>
      <w:r w:rsidRPr="00BB73A4">
        <w:rPr>
          <w:rFonts w:ascii="Times New Roman" w:hAnsi="Times New Roman" w:cs="Times New Roman"/>
          <w:i/>
          <w:iCs/>
          <w:noProof/>
          <w:szCs w:val="24"/>
        </w:rPr>
        <w:t>British Journal of Ophthalmology</w:t>
      </w:r>
      <w:r w:rsidRPr="00BB73A4">
        <w:rPr>
          <w:rFonts w:ascii="Times New Roman" w:hAnsi="Times New Roman" w:cs="Times New Roman"/>
          <w:noProof/>
          <w:szCs w:val="24"/>
        </w:rPr>
        <w:t>, 104(11), pp. 1542–1547. Available at: https://doi.org/10.1136/bjophthalmol-2019-315258.</w:t>
      </w:r>
    </w:p>
    <w:p w14:paraId="15CF9AA3"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Wicaksana, A. and Rachman, T. (2018) </w:t>
      </w:r>
      <w:r w:rsidRPr="00BB73A4">
        <w:rPr>
          <w:rFonts w:ascii="MS Gothic" w:hAnsi="MS Gothic" w:cs="MS Gothic"/>
          <w:i/>
          <w:iCs/>
          <w:noProof/>
          <w:szCs w:val="24"/>
        </w:rPr>
        <w:t>済無</w:t>
      </w:r>
      <w:r w:rsidRPr="00BB73A4">
        <w:rPr>
          <w:rFonts w:ascii="Times New Roman" w:hAnsi="Times New Roman" w:cs="Times New Roman"/>
          <w:i/>
          <w:iCs/>
          <w:noProof/>
          <w:szCs w:val="24"/>
        </w:rPr>
        <w:t>No Title No Title No Title</w:t>
      </w:r>
      <w:r w:rsidRPr="00BB73A4">
        <w:rPr>
          <w:rFonts w:ascii="Times New Roman" w:hAnsi="Times New Roman" w:cs="Times New Roman"/>
          <w:noProof/>
          <w:szCs w:val="24"/>
        </w:rPr>
        <w:t xml:space="preserve">, </w:t>
      </w:r>
      <w:r w:rsidRPr="00BB73A4">
        <w:rPr>
          <w:rFonts w:ascii="Times New Roman" w:hAnsi="Times New Roman" w:cs="Times New Roman"/>
          <w:i/>
          <w:iCs/>
          <w:noProof/>
          <w:szCs w:val="24"/>
        </w:rPr>
        <w:t>Angewandte Chemie International Edition, 6(11), 951–952.</w:t>
      </w:r>
      <w:r w:rsidRPr="00BB73A4">
        <w:rPr>
          <w:rFonts w:ascii="Times New Roman" w:hAnsi="Times New Roman" w:cs="Times New Roman"/>
          <w:noProof/>
          <w:szCs w:val="24"/>
        </w:rPr>
        <w:t xml:space="preserve"> Available at: https://medium.com/@arifwicaksanaa/pengertian-use-case-a7e576e1b6bf.</w:t>
      </w:r>
    </w:p>
    <w:p w14:paraId="586C1FA7"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Wong, K. and Dahlmann-Noor, A. (2020) ‘Myopia and its progression in children in London, UK: a retrospective evaluation’, </w:t>
      </w:r>
      <w:r w:rsidRPr="00BB73A4">
        <w:rPr>
          <w:rFonts w:ascii="Times New Roman" w:hAnsi="Times New Roman" w:cs="Times New Roman"/>
          <w:i/>
          <w:iCs/>
          <w:noProof/>
          <w:szCs w:val="24"/>
        </w:rPr>
        <w:t>Journal of Optometry</w:t>
      </w:r>
      <w:r w:rsidRPr="00BB73A4">
        <w:rPr>
          <w:rFonts w:ascii="Times New Roman" w:hAnsi="Times New Roman" w:cs="Times New Roman"/>
          <w:noProof/>
          <w:szCs w:val="24"/>
        </w:rPr>
        <w:t>, 13(3), pp. 146–154. Available at: https://doi.org/10.1016/j.optom.2019.06.002.</w:t>
      </w:r>
    </w:p>
    <w:p w14:paraId="47072B99"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Wong, T.Y.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(2014) ‘Epidemiology and Disease Burden of Pathologic Myopia and Myopic Choroidal Neovascularization: An Evidence-Based Systematic Review’, </w:t>
      </w:r>
      <w:r w:rsidRPr="00BB73A4">
        <w:rPr>
          <w:rFonts w:ascii="Times New Roman" w:hAnsi="Times New Roman" w:cs="Times New Roman"/>
          <w:i/>
          <w:iCs/>
          <w:noProof/>
          <w:szCs w:val="24"/>
        </w:rPr>
        <w:t>American Journal of Ophthalmology</w:t>
      </w:r>
      <w:r w:rsidRPr="00BB73A4">
        <w:rPr>
          <w:rFonts w:ascii="Times New Roman" w:hAnsi="Times New Roman" w:cs="Times New Roman"/>
          <w:noProof/>
          <w:szCs w:val="24"/>
        </w:rPr>
        <w:t>, 157(1), p. 9–25.e12. Available at: https://doi.org/10.1016/j.ajo.2013.08.010.</w:t>
      </w:r>
    </w:p>
    <w:p w14:paraId="792075EE"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Wu, P.C.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(2013) ‘Outdoor activity during class recess reduces myopia onset and progression in school children’, </w:t>
      </w:r>
      <w:r w:rsidRPr="00BB73A4">
        <w:rPr>
          <w:rFonts w:ascii="Times New Roman" w:hAnsi="Times New Roman" w:cs="Times New Roman"/>
          <w:i/>
          <w:iCs/>
          <w:noProof/>
          <w:szCs w:val="24"/>
        </w:rPr>
        <w:t>Ophthalmology</w:t>
      </w:r>
      <w:r w:rsidRPr="00BB73A4">
        <w:rPr>
          <w:rFonts w:ascii="Times New Roman" w:hAnsi="Times New Roman" w:cs="Times New Roman"/>
          <w:noProof/>
          <w:szCs w:val="24"/>
        </w:rPr>
        <w:t>, 120(5), pp. 1080–1085. Available at: https://doi.org/10.1016/j.ophtha.2012.11.009.</w:t>
      </w:r>
    </w:p>
    <w:p w14:paraId="6D591422"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szCs w:val="24"/>
        </w:rPr>
      </w:pPr>
      <w:r w:rsidRPr="00BB73A4">
        <w:rPr>
          <w:rFonts w:ascii="Times New Roman" w:hAnsi="Times New Roman" w:cs="Times New Roman"/>
          <w:noProof/>
          <w:szCs w:val="24"/>
        </w:rPr>
        <w:t xml:space="preserve">Wu, P.C.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(2018) ‘Myopia Prevention and Outdoor Light Intensity in a School-Based Cluster Randomized Trial’, </w:t>
      </w:r>
      <w:r w:rsidRPr="00BB73A4">
        <w:rPr>
          <w:rFonts w:ascii="Times New Roman" w:hAnsi="Times New Roman" w:cs="Times New Roman"/>
          <w:i/>
          <w:iCs/>
          <w:noProof/>
          <w:szCs w:val="24"/>
        </w:rPr>
        <w:t>Ophthalmology</w:t>
      </w:r>
      <w:r w:rsidRPr="00BB73A4">
        <w:rPr>
          <w:rFonts w:ascii="Times New Roman" w:hAnsi="Times New Roman" w:cs="Times New Roman"/>
          <w:noProof/>
          <w:szCs w:val="24"/>
        </w:rPr>
        <w:t>, 125(8), pp. 1239–1250. Available at: https://doi.org/10.1016/j.ophtha.2017.12.011.</w:t>
      </w:r>
    </w:p>
    <w:p w14:paraId="0D66531E" w14:textId="77777777" w:rsidR="00BB73A4" w:rsidRPr="00BB73A4" w:rsidRDefault="00BB73A4" w:rsidP="00BB73A4">
      <w:pPr>
        <w:widowControl w:val="0"/>
        <w:autoSpaceDE w:val="0"/>
        <w:autoSpaceDN w:val="0"/>
        <w:adjustRightInd w:val="0"/>
        <w:spacing w:before="100" w:after="100" w:line="240" w:lineRule="auto"/>
        <w:rPr>
          <w:rFonts w:ascii="Times New Roman" w:hAnsi="Times New Roman" w:cs="Times New Roman"/>
          <w:noProof/>
        </w:rPr>
      </w:pPr>
      <w:r w:rsidRPr="00BB73A4">
        <w:rPr>
          <w:rFonts w:ascii="Times New Roman" w:hAnsi="Times New Roman" w:cs="Times New Roman"/>
          <w:noProof/>
          <w:szCs w:val="24"/>
        </w:rPr>
        <w:t xml:space="preserve">Yao, L. </w:t>
      </w:r>
      <w:r w:rsidRPr="00BB73A4">
        <w:rPr>
          <w:rFonts w:ascii="Times New Roman" w:hAnsi="Times New Roman" w:cs="Times New Roman"/>
          <w:i/>
          <w:iCs/>
          <w:noProof/>
          <w:szCs w:val="24"/>
        </w:rPr>
        <w:t>et al.</w:t>
      </w:r>
      <w:r w:rsidRPr="00BB73A4">
        <w:rPr>
          <w:rFonts w:ascii="Times New Roman" w:hAnsi="Times New Roman" w:cs="Times New Roman"/>
          <w:noProof/>
          <w:szCs w:val="24"/>
        </w:rPr>
        <w:t xml:space="preserve"> (2019) ‘Refractive change and incidence of myopia among a group of highly selected senior high school students in China: A prospective study in an aviation cadet prerecruitment class’, </w:t>
      </w:r>
      <w:r w:rsidRPr="00BB73A4">
        <w:rPr>
          <w:rFonts w:ascii="Times New Roman" w:hAnsi="Times New Roman" w:cs="Times New Roman"/>
          <w:i/>
          <w:iCs/>
          <w:noProof/>
          <w:szCs w:val="24"/>
        </w:rPr>
        <w:t>Investigative Ophthalmology and Visual Science</w:t>
      </w:r>
      <w:r w:rsidRPr="00BB73A4">
        <w:rPr>
          <w:rFonts w:ascii="Times New Roman" w:hAnsi="Times New Roman" w:cs="Times New Roman"/>
          <w:noProof/>
          <w:szCs w:val="24"/>
        </w:rPr>
        <w:t>, 60(5), pp. 1344–1352. Available at: https://doi.org/10.1167/iovs.17-23506.</w:t>
      </w:r>
    </w:p>
    <w:p w14:paraId="0CC5A926" w14:textId="77777777" w:rsidR="007D1CD9" w:rsidRPr="00570AA4" w:rsidRDefault="007D1CD9" w:rsidP="00FC4A95">
      <w:pPr>
        <w:spacing w:before="100" w:beforeAutospacing="1" w:after="100" w:afterAutospacing="1" w:line="240" w:lineRule="auto"/>
        <w:rPr>
          <w:rFonts w:ascii="Times New Roman" w:eastAsia="Times New Roman" w:hAnsi="Times New Roman" w:cs="Times New Roman"/>
        </w:rPr>
      </w:pPr>
      <w:r w:rsidRPr="009B06F9">
        <w:rPr>
          <w:rFonts w:ascii="Times New Roman" w:eastAsia="Times New Roman" w:hAnsi="Times New Roman" w:cs="Times New Roman"/>
        </w:rPr>
        <w:fldChar w:fldCharType="end"/>
      </w:r>
    </w:p>
    <w:p w14:paraId="15F6D7C5" w14:textId="77777777" w:rsidR="00FD52CB" w:rsidRPr="00570AA4" w:rsidRDefault="00FD52CB" w:rsidP="00E40AEC">
      <w:pPr>
        <w:rPr>
          <w:rFonts w:ascii="Times New Roman" w:hAnsi="Times New Roman" w:cs="Times New Roman"/>
        </w:rPr>
      </w:pPr>
    </w:p>
    <w:sectPr w:rsidR="00FD52CB" w:rsidRPr="00570AA4">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8039" w14:textId="77777777" w:rsidR="00450952" w:rsidRDefault="00450952" w:rsidP="00FF0BD3">
      <w:pPr>
        <w:spacing w:after="0" w:line="240" w:lineRule="auto"/>
      </w:pPr>
      <w:r>
        <w:separator/>
      </w:r>
    </w:p>
  </w:endnote>
  <w:endnote w:type="continuationSeparator" w:id="0">
    <w:p w14:paraId="048002FE" w14:textId="77777777" w:rsidR="00450952" w:rsidRDefault="00450952" w:rsidP="00F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F3F9" w14:textId="77777777" w:rsidR="00450952" w:rsidRDefault="00450952" w:rsidP="00FF0BD3">
      <w:pPr>
        <w:spacing w:after="0" w:line="240" w:lineRule="auto"/>
      </w:pPr>
      <w:r>
        <w:separator/>
      </w:r>
    </w:p>
  </w:footnote>
  <w:footnote w:type="continuationSeparator" w:id="0">
    <w:p w14:paraId="2BAC37E1" w14:textId="77777777" w:rsidR="00450952" w:rsidRDefault="00450952" w:rsidP="00FF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2005" w14:textId="0A69A8CE" w:rsidR="008E1425" w:rsidRDefault="00450952">
    <w:pPr>
      <w:pStyle w:val="Header"/>
    </w:pPr>
    <w:r>
      <w:rPr>
        <w:noProof/>
      </w:rPr>
      <w:pict w14:anchorId="3FC1D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B2DC" w14:textId="2DFD1E24" w:rsidR="008E1425" w:rsidRDefault="00450952">
    <w:pPr>
      <w:pStyle w:val="Header"/>
    </w:pPr>
    <w:r>
      <w:rPr>
        <w:noProof/>
      </w:rPr>
      <w:pict w14:anchorId="78960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DAB9" w14:textId="0CD02E96" w:rsidR="008E1425" w:rsidRDefault="00450952">
    <w:pPr>
      <w:pStyle w:val="Header"/>
    </w:pPr>
    <w:r>
      <w:rPr>
        <w:noProof/>
      </w:rPr>
      <w:pict w14:anchorId="1078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FF1"/>
    <w:multiLevelType w:val="multilevel"/>
    <w:tmpl w:val="9A44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098E"/>
    <w:multiLevelType w:val="hybridMultilevel"/>
    <w:tmpl w:val="844A7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7B54"/>
    <w:multiLevelType w:val="multilevel"/>
    <w:tmpl w:val="43D22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B1BC2"/>
    <w:multiLevelType w:val="multilevel"/>
    <w:tmpl w:val="43326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B344C"/>
    <w:multiLevelType w:val="multilevel"/>
    <w:tmpl w:val="118C7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44DAB"/>
    <w:multiLevelType w:val="hybridMultilevel"/>
    <w:tmpl w:val="C5DAC236"/>
    <w:lvl w:ilvl="0" w:tplc="448C094C">
      <w:start w:val="1"/>
      <w:numFmt w:val="bullet"/>
      <w:lvlText w:val="•"/>
      <w:lvlJc w:val="left"/>
      <w:pPr>
        <w:tabs>
          <w:tab w:val="num" w:pos="720"/>
        </w:tabs>
        <w:ind w:left="720" w:hanging="360"/>
      </w:pPr>
      <w:rPr>
        <w:rFonts w:ascii="Arial" w:hAnsi="Arial" w:hint="default"/>
      </w:rPr>
    </w:lvl>
    <w:lvl w:ilvl="1" w:tplc="1F541D6E">
      <w:start w:val="378"/>
      <w:numFmt w:val="bullet"/>
      <w:lvlText w:val=""/>
      <w:lvlJc w:val="left"/>
      <w:pPr>
        <w:tabs>
          <w:tab w:val="num" w:pos="1440"/>
        </w:tabs>
        <w:ind w:left="1440" w:hanging="360"/>
      </w:pPr>
      <w:rPr>
        <w:rFonts w:ascii="Wingdings" w:hAnsi="Wingdings" w:hint="default"/>
      </w:rPr>
    </w:lvl>
    <w:lvl w:ilvl="2" w:tplc="55841EF6" w:tentative="1">
      <w:start w:val="1"/>
      <w:numFmt w:val="bullet"/>
      <w:lvlText w:val="•"/>
      <w:lvlJc w:val="left"/>
      <w:pPr>
        <w:tabs>
          <w:tab w:val="num" w:pos="2160"/>
        </w:tabs>
        <w:ind w:left="2160" w:hanging="360"/>
      </w:pPr>
      <w:rPr>
        <w:rFonts w:ascii="Arial" w:hAnsi="Arial" w:hint="default"/>
      </w:rPr>
    </w:lvl>
    <w:lvl w:ilvl="3" w:tplc="1C62298A" w:tentative="1">
      <w:start w:val="1"/>
      <w:numFmt w:val="bullet"/>
      <w:lvlText w:val="•"/>
      <w:lvlJc w:val="left"/>
      <w:pPr>
        <w:tabs>
          <w:tab w:val="num" w:pos="2880"/>
        </w:tabs>
        <w:ind w:left="2880" w:hanging="360"/>
      </w:pPr>
      <w:rPr>
        <w:rFonts w:ascii="Arial" w:hAnsi="Arial" w:hint="default"/>
      </w:rPr>
    </w:lvl>
    <w:lvl w:ilvl="4" w:tplc="0AB66B2C" w:tentative="1">
      <w:start w:val="1"/>
      <w:numFmt w:val="bullet"/>
      <w:lvlText w:val="•"/>
      <w:lvlJc w:val="left"/>
      <w:pPr>
        <w:tabs>
          <w:tab w:val="num" w:pos="3600"/>
        </w:tabs>
        <w:ind w:left="3600" w:hanging="360"/>
      </w:pPr>
      <w:rPr>
        <w:rFonts w:ascii="Arial" w:hAnsi="Arial" w:hint="default"/>
      </w:rPr>
    </w:lvl>
    <w:lvl w:ilvl="5" w:tplc="11F686A4" w:tentative="1">
      <w:start w:val="1"/>
      <w:numFmt w:val="bullet"/>
      <w:lvlText w:val="•"/>
      <w:lvlJc w:val="left"/>
      <w:pPr>
        <w:tabs>
          <w:tab w:val="num" w:pos="4320"/>
        </w:tabs>
        <w:ind w:left="4320" w:hanging="360"/>
      </w:pPr>
      <w:rPr>
        <w:rFonts w:ascii="Arial" w:hAnsi="Arial" w:hint="default"/>
      </w:rPr>
    </w:lvl>
    <w:lvl w:ilvl="6" w:tplc="AFE433DC" w:tentative="1">
      <w:start w:val="1"/>
      <w:numFmt w:val="bullet"/>
      <w:lvlText w:val="•"/>
      <w:lvlJc w:val="left"/>
      <w:pPr>
        <w:tabs>
          <w:tab w:val="num" w:pos="5040"/>
        </w:tabs>
        <w:ind w:left="5040" w:hanging="360"/>
      </w:pPr>
      <w:rPr>
        <w:rFonts w:ascii="Arial" w:hAnsi="Arial" w:hint="default"/>
      </w:rPr>
    </w:lvl>
    <w:lvl w:ilvl="7" w:tplc="0C5A57F4" w:tentative="1">
      <w:start w:val="1"/>
      <w:numFmt w:val="bullet"/>
      <w:lvlText w:val="•"/>
      <w:lvlJc w:val="left"/>
      <w:pPr>
        <w:tabs>
          <w:tab w:val="num" w:pos="5760"/>
        </w:tabs>
        <w:ind w:left="5760" w:hanging="360"/>
      </w:pPr>
      <w:rPr>
        <w:rFonts w:ascii="Arial" w:hAnsi="Arial" w:hint="default"/>
      </w:rPr>
    </w:lvl>
    <w:lvl w:ilvl="8" w:tplc="B1A23A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1803FC"/>
    <w:multiLevelType w:val="multilevel"/>
    <w:tmpl w:val="07244E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A986014"/>
    <w:multiLevelType w:val="hybridMultilevel"/>
    <w:tmpl w:val="4608FB48"/>
    <w:lvl w:ilvl="0" w:tplc="879A9E40">
      <w:start w:val="1"/>
      <w:numFmt w:val="bullet"/>
      <w:lvlText w:val="•"/>
      <w:lvlJc w:val="left"/>
      <w:pPr>
        <w:tabs>
          <w:tab w:val="num" w:pos="720"/>
        </w:tabs>
        <w:ind w:left="720" w:hanging="360"/>
      </w:pPr>
      <w:rPr>
        <w:rFonts w:ascii="Arial" w:hAnsi="Arial" w:hint="default"/>
      </w:rPr>
    </w:lvl>
    <w:lvl w:ilvl="1" w:tplc="6616C19A" w:tentative="1">
      <w:start w:val="1"/>
      <w:numFmt w:val="bullet"/>
      <w:lvlText w:val="•"/>
      <w:lvlJc w:val="left"/>
      <w:pPr>
        <w:tabs>
          <w:tab w:val="num" w:pos="1440"/>
        </w:tabs>
        <w:ind w:left="1440" w:hanging="360"/>
      </w:pPr>
      <w:rPr>
        <w:rFonts w:ascii="Arial" w:hAnsi="Arial" w:hint="default"/>
      </w:rPr>
    </w:lvl>
    <w:lvl w:ilvl="2" w:tplc="C7BE5E42" w:tentative="1">
      <w:start w:val="1"/>
      <w:numFmt w:val="bullet"/>
      <w:lvlText w:val="•"/>
      <w:lvlJc w:val="left"/>
      <w:pPr>
        <w:tabs>
          <w:tab w:val="num" w:pos="2160"/>
        </w:tabs>
        <w:ind w:left="2160" w:hanging="360"/>
      </w:pPr>
      <w:rPr>
        <w:rFonts w:ascii="Arial" w:hAnsi="Arial" w:hint="default"/>
      </w:rPr>
    </w:lvl>
    <w:lvl w:ilvl="3" w:tplc="809C7CBC" w:tentative="1">
      <w:start w:val="1"/>
      <w:numFmt w:val="bullet"/>
      <w:lvlText w:val="•"/>
      <w:lvlJc w:val="left"/>
      <w:pPr>
        <w:tabs>
          <w:tab w:val="num" w:pos="2880"/>
        </w:tabs>
        <w:ind w:left="2880" w:hanging="360"/>
      </w:pPr>
      <w:rPr>
        <w:rFonts w:ascii="Arial" w:hAnsi="Arial" w:hint="default"/>
      </w:rPr>
    </w:lvl>
    <w:lvl w:ilvl="4" w:tplc="DF623D92" w:tentative="1">
      <w:start w:val="1"/>
      <w:numFmt w:val="bullet"/>
      <w:lvlText w:val="•"/>
      <w:lvlJc w:val="left"/>
      <w:pPr>
        <w:tabs>
          <w:tab w:val="num" w:pos="3600"/>
        </w:tabs>
        <w:ind w:left="3600" w:hanging="360"/>
      </w:pPr>
      <w:rPr>
        <w:rFonts w:ascii="Arial" w:hAnsi="Arial" w:hint="default"/>
      </w:rPr>
    </w:lvl>
    <w:lvl w:ilvl="5" w:tplc="8BA83C72" w:tentative="1">
      <w:start w:val="1"/>
      <w:numFmt w:val="bullet"/>
      <w:lvlText w:val="•"/>
      <w:lvlJc w:val="left"/>
      <w:pPr>
        <w:tabs>
          <w:tab w:val="num" w:pos="4320"/>
        </w:tabs>
        <w:ind w:left="4320" w:hanging="360"/>
      </w:pPr>
      <w:rPr>
        <w:rFonts w:ascii="Arial" w:hAnsi="Arial" w:hint="default"/>
      </w:rPr>
    </w:lvl>
    <w:lvl w:ilvl="6" w:tplc="332C70B0" w:tentative="1">
      <w:start w:val="1"/>
      <w:numFmt w:val="bullet"/>
      <w:lvlText w:val="•"/>
      <w:lvlJc w:val="left"/>
      <w:pPr>
        <w:tabs>
          <w:tab w:val="num" w:pos="5040"/>
        </w:tabs>
        <w:ind w:left="5040" w:hanging="360"/>
      </w:pPr>
      <w:rPr>
        <w:rFonts w:ascii="Arial" w:hAnsi="Arial" w:hint="default"/>
      </w:rPr>
    </w:lvl>
    <w:lvl w:ilvl="7" w:tplc="9056994A" w:tentative="1">
      <w:start w:val="1"/>
      <w:numFmt w:val="bullet"/>
      <w:lvlText w:val="•"/>
      <w:lvlJc w:val="left"/>
      <w:pPr>
        <w:tabs>
          <w:tab w:val="num" w:pos="5760"/>
        </w:tabs>
        <w:ind w:left="5760" w:hanging="360"/>
      </w:pPr>
      <w:rPr>
        <w:rFonts w:ascii="Arial" w:hAnsi="Arial" w:hint="default"/>
      </w:rPr>
    </w:lvl>
    <w:lvl w:ilvl="8" w:tplc="33FA6A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F06A84"/>
    <w:multiLevelType w:val="multilevel"/>
    <w:tmpl w:val="0C348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B2D4E"/>
    <w:multiLevelType w:val="hybridMultilevel"/>
    <w:tmpl w:val="66901198"/>
    <w:lvl w:ilvl="0" w:tplc="759A335A">
      <w:start w:val="1"/>
      <w:numFmt w:val="bullet"/>
      <w:lvlText w:val=""/>
      <w:lvlJc w:val="left"/>
      <w:pPr>
        <w:tabs>
          <w:tab w:val="num" w:pos="720"/>
        </w:tabs>
        <w:ind w:left="720" w:hanging="360"/>
      </w:pPr>
      <w:rPr>
        <w:rFonts w:ascii="Wingdings" w:hAnsi="Wingdings" w:hint="default"/>
      </w:rPr>
    </w:lvl>
    <w:lvl w:ilvl="1" w:tplc="492EFFF4" w:tentative="1">
      <w:start w:val="1"/>
      <w:numFmt w:val="bullet"/>
      <w:lvlText w:val=""/>
      <w:lvlJc w:val="left"/>
      <w:pPr>
        <w:tabs>
          <w:tab w:val="num" w:pos="1440"/>
        </w:tabs>
        <w:ind w:left="1440" w:hanging="360"/>
      </w:pPr>
      <w:rPr>
        <w:rFonts w:ascii="Wingdings" w:hAnsi="Wingdings" w:hint="default"/>
      </w:rPr>
    </w:lvl>
    <w:lvl w:ilvl="2" w:tplc="D08E903A" w:tentative="1">
      <w:start w:val="1"/>
      <w:numFmt w:val="bullet"/>
      <w:lvlText w:val=""/>
      <w:lvlJc w:val="left"/>
      <w:pPr>
        <w:tabs>
          <w:tab w:val="num" w:pos="2160"/>
        </w:tabs>
        <w:ind w:left="2160" w:hanging="360"/>
      </w:pPr>
      <w:rPr>
        <w:rFonts w:ascii="Wingdings" w:hAnsi="Wingdings" w:hint="default"/>
      </w:rPr>
    </w:lvl>
    <w:lvl w:ilvl="3" w:tplc="6D246D2E" w:tentative="1">
      <w:start w:val="1"/>
      <w:numFmt w:val="bullet"/>
      <w:lvlText w:val=""/>
      <w:lvlJc w:val="left"/>
      <w:pPr>
        <w:tabs>
          <w:tab w:val="num" w:pos="2880"/>
        </w:tabs>
        <w:ind w:left="2880" w:hanging="360"/>
      </w:pPr>
      <w:rPr>
        <w:rFonts w:ascii="Wingdings" w:hAnsi="Wingdings" w:hint="default"/>
      </w:rPr>
    </w:lvl>
    <w:lvl w:ilvl="4" w:tplc="EFA4F54A" w:tentative="1">
      <w:start w:val="1"/>
      <w:numFmt w:val="bullet"/>
      <w:lvlText w:val=""/>
      <w:lvlJc w:val="left"/>
      <w:pPr>
        <w:tabs>
          <w:tab w:val="num" w:pos="3600"/>
        </w:tabs>
        <w:ind w:left="3600" w:hanging="360"/>
      </w:pPr>
      <w:rPr>
        <w:rFonts w:ascii="Wingdings" w:hAnsi="Wingdings" w:hint="default"/>
      </w:rPr>
    </w:lvl>
    <w:lvl w:ilvl="5" w:tplc="B36CE67C" w:tentative="1">
      <w:start w:val="1"/>
      <w:numFmt w:val="bullet"/>
      <w:lvlText w:val=""/>
      <w:lvlJc w:val="left"/>
      <w:pPr>
        <w:tabs>
          <w:tab w:val="num" w:pos="4320"/>
        </w:tabs>
        <w:ind w:left="4320" w:hanging="360"/>
      </w:pPr>
      <w:rPr>
        <w:rFonts w:ascii="Wingdings" w:hAnsi="Wingdings" w:hint="default"/>
      </w:rPr>
    </w:lvl>
    <w:lvl w:ilvl="6" w:tplc="CF72F2BA" w:tentative="1">
      <w:start w:val="1"/>
      <w:numFmt w:val="bullet"/>
      <w:lvlText w:val=""/>
      <w:lvlJc w:val="left"/>
      <w:pPr>
        <w:tabs>
          <w:tab w:val="num" w:pos="5040"/>
        </w:tabs>
        <w:ind w:left="5040" w:hanging="360"/>
      </w:pPr>
      <w:rPr>
        <w:rFonts w:ascii="Wingdings" w:hAnsi="Wingdings" w:hint="default"/>
      </w:rPr>
    </w:lvl>
    <w:lvl w:ilvl="7" w:tplc="544C4648" w:tentative="1">
      <w:start w:val="1"/>
      <w:numFmt w:val="bullet"/>
      <w:lvlText w:val=""/>
      <w:lvlJc w:val="left"/>
      <w:pPr>
        <w:tabs>
          <w:tab w:val="num" w:pos="5760"/>
        </w:tabs>
        <w:ind w:left="5760" w:hanging="360"/>
      </w:pPr>
      <w:rPr>
        <w:rFonts w:ascii="Wingdings" w:hAnsi="Wingdings" w:hint="default"/>
      </w:rPr>
    </w:lvl>
    <w:lvl w:ilvl="8" w:tplc="88AE1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D2F33"/>
    <w:multiLevelType w:val="hybridMultilevel"/>
    <w:tmpl w:val="DB5E33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D296E31"/>
    <w:multiLevelType w:val="hybridMultilevel"/>
    <w:tmpl w:val="17707118"/>
    <w:lvl w:ilvl="0" w:tplc="0A36FD28">
      <w:start w:val="1"/>
      <w:numFmt w:val="bullet"/>
      <w:lvlText w:val="•"/>
      <w:lvlJc w:val="left"/>
      <w:pPr>
        <w:tabs>
          <w:tab w:val="num" w:pos="720"/>
        </w:tabs>
        <w:ind w:left="720" w:hanging="360"/>
      </w:pPr>
      <w:rPr>
        <w:rFonts w:ascii="Arial" w:hAnsi="Arial" w:hint="default"/>
      </w:rPr>
    </w:lvl>
    <w:lvl w:ilvl="1" w:tplc="7BA26846" w:tentative="1">
      <w:start w:val="1"/>
      <w:numFmt w:val="bullet"/>
      <w:lvlText w:val="•"/>
      <w:lvlJc w:val="left"/>
      <w:pPr>
        <w:tabs>
          <w:tab w:val="num" w:pos="1440"/>
        </w:tabs>
        <w:ind w:left="1440" w:hanging="360"/>
      </w:pPr>
      <w:rPr>
        <w:rFonts w:ascii="Arial" w:hAnsi="Arial" w:hint="default"/>
      </w:rPr>
    </w:lvl>
    <w:lvl w:ilvl="2" w:tplc="B1A2026A" w:tentative="1">
      <w:start w:val="1"/>
      <w:numFmt w:val="bullet"/>
      <w:lvlText w:val="•"/>
      <w:lvlJc w:val="left"/>
      <w:pPr>
        <w:tabs>
          <w:tab w:val="num" w:pos="2160"/>
        </w:tabs>
        <w:ind w:left="2160" w:hanging="360"/>
      </w:pPr>
      <w:rPr>
        <w:rFonts w:ascii="Arial" w:hAnsi="Arial" w:hint="default"/>
      </w:rPr>
    </w:lvl>
    <w:lvl w:ilvl="3" w:tplc="E1F61D22" w:tentative="1">
      <w:start w:val="1"/>
      <w:numFmt w:val="bullet"/>
      <w:lvlText w:val="•"/>
      <w:lvlJc w:val="left"/>
      <w:pPr>
        <w:tabs>
          <w:tab w:val="num" w:pos="2880"/>
        </w:tabs>
        <w:ind w:left="2880" w:hanging="360"/>
      </w:pPr>
      <w:rPr>
        <w:rFonts w:ascii="Arial" w:hAnsi="Arial" w:hint="default"/>
      </w:rPr>
    </w:lvl>
    <w:lvl w:ilvl="4" w:tplc="F89E9296" w:tentative="1">
      <w:start w:val="1"/>
      <w:numFmt w:val="bullet"/>
      <w:lvlText w:val="•"/>
      <w:lvlJc w:val="left"/>
      <w:pPr>
        <w:tabs>
          <w:tab w:val="num" w:pos="3600"/>
        </w:tabs>
        <w:ind w:left="3600" w:hanging="360"/>
      </w:pPr>
      <w:rPr>
        <w:rFonts w:ascii="Arial" w:hAnsi="Arial" w:hint="default"/>
      </w:rPr>
    </w:lvl>
    <w:lvl w:ilvl="5" w:tplc="100C2268" w:tentative="1">
      <w:start w:val="1"/>
      <w:numFmt w:val="bullet"/>
      <w:lvlText w:val="•"/>
      <w:lvlJc w:val="left"/>
      <w:pPr>
        <w:tabs>
          <w:tab w:val="num" w:pos="4320"/>
        </w:tabs>
        <w:ind w:left="4320" w:hanging="360"/>
      </w:pPr>
      <w:rPr>
        <w:rFonts w:ascii="Arial" w:hAnsi="Arial" w:hint="default"/>
      </w:rPr>
    </w:lvl>
    <w:lvl w:ilvl="6" w:tplc="42DA262E" w:tentative="1">
      <w:start w:val="1"/>
      <w:numFmt w:val="bullet"/>
      <w:lvlText w:val="•"/>
      <w:lvlJc w:val="left"/>
      <w:pPr>
        <w:tabs>
          <w:tab w:val="num" w:pos="5040"/>
        </w:tabs>
        <w:ind w:left="5040" w:hanging="360"/>
      </w:pPr>
      <w:rPr>
        <w:rFonts w:ascii="Arial" w:hAnsi="Arial" w:hint="default"/>
      </w:rPr>
    </w:lvl>
    <w:lvl w:ilvl="7" w:tplc="F7342EFC" w:tentative="1">
      <w:start w:val="1"/>
      <w:numFmt w:val="bullet"/>
      <w:lvlText w:val="•"/>
      <w:lvlJc w:val="left"/>
      <w:pPr>
        <w:tabs>
          <w:tab w:val="num" w:pos="5760"/>
        </w:tabs>
        <w:ind w:left="5760" w:hanging="360"/>
      </w:pPr>
      <w:rPr>
        <w:rFonts w:ascii="Arial" w:hAnsi="Arial" w:hint="default"/>
      </w:rPr>
    </w:lvl>
    <w:lvl w:ilvl="8" w:tplc="E89E7A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74416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23F121E"/>
    <w:multiLevelType w:val="multilevel"/>
    <w:tmpl w:val="746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A031C"/>
    <w:multiLevelType w:val="multilevel"/>
    <w:tmpl w:val="E49257D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A1C241A"/>
    <w:multiLevelType w:val="hybridMultilevel"/>
    <w:tmpl w:val="617080AE"/>
    <w:lvl w:ilvl="0" w:tplc="328E0158">
      <w:start w:val="1"/>
      <w:numFmt w:val="bullet"/>
      <w:lvlText w:val="•"/>
      <w:lvlJc w:val="left"/>
      <w:pPr>
        <w:tabs>
          <w:tab w:val="num" w:pos="720"/>
        </w:tabs>
        <w:ind w:left="720" w:hanging="360"/>
      </w:pPr>
      <w:rPr>
        <w:rFonts w:ascii="Arial" w:hAnsi="Arial" w:hint="default"/>
      </w:rPr>
    </w:lvl>
    <w:lvl w:ilvl="1" w:tplc="C9D221C2">
      <w:start w:val="1"/>
      <w:numFmt w:val="bullet"/>
      <w:lvlText w:val="•"/>
      <w:lvlJc w:val="left"/>
      <w:pPr>
        <w:tabs>
          <w:tab w:val="num" w:pos="1440"/>
        </w:tabs>
        <w:ind w:left="1440" w:hanging="360"/>
      </w:pPr>
      <w:rPr>
        <w:rFonts w:ascii="Arial" w:hAnsi="Arial" w:hint="default"/>
      </w:rPr>
    </w:lvl>
    <w:lvl w:ilvl="2" w:tplc="91EA4502" w:tentative="1">
      <w:start w:val="1"/>
      <w:numFmt w:val="bullet"/>
      <w:lvlText w:val="•"/>
      <w:lvlJc w:val="left"/>
      <w:pPr>
        <w:tabs>
          <w:tab w:val="num" w:pos="2160"/>
        </w:tabs>
        <w:ind w:left="2160" w:hanging="360"/>
      </w:pPr>
      <w:rPr>
        <w:rFonts w:ascii="Arial" w:hAnsi="Arial" w:hint="default"/>
      </w:rPr>
    </w:lvl>
    <w:lvl w:ilvl="3" w:tplc="D47AC3C8" w:tentative="1">
      <w:start w:val="1"/>
      <w:numFmt w:val="bullet"/>
      <w:lvlText w:val="•"/>
      <w:lvlJc w:val="left"/>
      <w:pPr>
        <w:tabs>
          <w:tab w:val="num" w:pos="2880"/>
        </w:tabs>
        <w:ind w:left="2880" w:hanging="360"/>
      </w:pPr>
      <w:rPr>
        <w:rFonts w:ascii="Arial" w:hAnsi="Arial" w:hint="default"/>
      </w:rPr>
    </w:lvl>
    <w:lvl w:ilvl="4" w:tplc="54DE610C" w:tentative="1">
      <w:start w:val="1"/>
      <w:numFmt w:val="bullet"/>
      <w:lvlText w:val="•"/>
      <w:lvlJc w:val="left"/>
      <w:pPr>
        <w:tabs>
          <w:tab w:val="num" w:pos="3600"/>
        </w:tabs>
        <w:ind w:left="3600" w:hanging="360"/>
      </w:pPr>
      <w:rPr>
        <w:rFonts w:ascii="Arial" w:hAnsi="Arial" w:hint="default"/>
      </w:rPr>
    </w:lvl>
    <w:lvl w:ilvl="5" w:tplc="9D484EA0" w:tentative="1">
      <w:start w:val="1"/>
      <w:numFmt w:val="bullet"/>
      <w:lvlText w:val="•"/>
      <w:lvlJc w:val="left"/>
      <w:pPr>
        <w:tabs>
          <w:tab w:val="num" w:pos="4320"/>
        </w:tabs>
        <w:ind w:left="4320" w:hanging="360"/>
      </w:pPr>
      <w:rPr>
        <w:rFonts w:ascii="Arial" w:hAnsi="Arial" w:hint="default"/>
      </w:rPr>
    </w:lvl>
    <w:lvl w:ilvl="6" w:tplc="B24EE76A" w:tentative="1">
      <w:start w:val="1"/>
      <w:numFmt w:val="bullet"/>
      <w:lvlText w:val="•"/>
      <w:lvlJc w:val="left"/>
      <w:pPr>
        <w:tabs>
          <w:tab w:val="num" w:pos="5040"/>
        </w:tabs>
        <w:ind w:left="5040" w:hanging="360"/>
      </w:pPr>
      <w:rPr>
        <w:rFonts w:ascii="Arial" w:hAnsi="Arial" w:hint="default"/>
      </w:rPr>
    </w:lvl>
    <w:lvl w:ilvl="7" w:tplc="6A7473E0" w:tentative="1">
      <w:start w:val="1"/>
      <w:numFmt w:val="bullet"/>
      <w:lvlText w:val="•"/>
      <w:lvlJc w:val="left"/>
      <w:pPr>
        <w:tabs>
          <w:tab w:val="num" w:pos="5760"/>
        </w:tabs>
        <w:ind w:left="5760" w:hanging="360"/>
      </w:pPr>
      <w:rPr>
        <w:rFonts w:ascii="Arial" w:hAnsi="Arial" w:hint="default"/>
      </w:rPr>
    </w:lvl>
    <w:lvl w:ilvl="8" w:tplc="E26E35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705B3"/>
    <w:multiLevelType w:val="hybridMultilevel"/>
    <w:tmpl w:val="8F1A55D4"/>
    <w:lvl w:ilvl="0" w:tplc="2E9EF1C4">
      <w:start w:val="1"/>
      <w:numFmt w:val="bullet"/>
      <w:lvlText w:val="•"/>
      <w:lvlJc w:val="left"/>
      <w:pPr>
        <w:tabs>
          <w:tab w:val="num" w:pos="720"/>
        </w:tabs>
        <w:ind w:left="720" w:hanging="360"/>
      </w:pPr>
      <w:rPr>
        <w:rFonts w:ascii="Arial" w:hAnsi="Arial" w:hint="default"/>
      </w:rPr>
    </w:lvl>
    <w:lvl w:ilvl="1" w:tplc="9E5464B2" w:tentative="1">
      <w:start w:val="1"/>
      <w:numFmt w:val="bullet"/>
      <w:lvlText w:val="•"/>
      <w:lvlJc w:val="left"/>
      <w:pPr>
        <w:tabs>
          <w:tab w:val="num" w:pos="1440"/>
        </w:tabs>
        <w:ind w:left="1440" w:hanging="360"/>
      </w:pPr>
      <w:rPr>
        <w:rFonts w:ascii="Arial" w:hAnsi="Arial" w:hint="default"/>
      </w:rPr>
    </w:lvl>
    <w:lvl w:ilvl="2" w:tplc="61CC3FE2" w:tentative="1">
      <w:start w:val="1"/>
      <w:numFmt w:val="bullet"/>
      <w:lvlText w:val="•"/>
      <w:lvlJc w:val="left"/>
      <w:pPr>
        <w:tabs>
          <w:tab w:val="num" w:pos="2160"/>
        </w:tabs>
        <w:ind w:left="2160" w:hanging="360"/>
      </w:pPr>
      <w:rPr>
        <w:rFonts w:ascii="Arial" w:hAnsi="Arial" w:hint="default"/>
      </w:rPr>
    </w:lvl>
    <w:lvl w:ilvl="3" w:tplc="3B28BF32" w:tentative="1">
      <w:start w:val="1"/>
      <w:numFmt w:val="bullet"/>
      <w:lvlText w:val="•"/>
      <w:lvlJc w:val="left"/>
      <w:pPr>
        <w:tabs>
          <w:tab w:val="num" w:pos="2880"/>
        </w:tabs>
        <w:ind w:left="2880" w:hanging="360"/>
      </w:pPr>
      <w:rPr>
        <w:rFonts w:ascii="Arial" w:hAnsi="Arial" w:hint="default"/>
      </w:rPr>
    </w:lvl>
    <w:lvl w:ilvl="4" w:tplc="83781E68" w:tentative="1">
      <w:start w:val="1"/>
      <w:numFmt w:val="bullet"/>
      <w:lvlText w:val="•"/>
      <w:lvlJc w:val="left"/>
      <w:pPr>
        <w:tabs>
          <w:tab w:val="num" w:pos="3600"/>
        </w:tabs>
        <w:ind w:left="3600" w:hanging="360"/>
      </w:pPr>
      <w:rPr>
        <w:rFonts w:ascii="Arial" w:hAnsi="Arial" w:hint="default"/>
      </w:rPr>
    </w:lvl>
    <w:lvl w:ilvl="5" w:tplc="DA1E7216" w:tentative="1">
      <w:start w:val="1"/>
      <w:numFmt w:val="bullet"/>
      <w:lvlText w:val="•"/>
      <w:lvlJc w:val="left"/>
      <w:pPr>
        <w:tabs>
          <w:tab w:val="num" w:pos="4320"/>
        </w:tabs>
        <w:ind w:left="4320" w:hanging="360"/>
      </w:pPr>
      <w:rPr>
        <w:rFonts w:ascii="Arial" w:hAnsi="Arial" w:hint="default"/>
      </w:rPr>
    </w:lvl>
    <w:lvl w:ilvl="6" w:tplc="4AB2DEE0" w:tentative="1">
      <w:start w:val="1"/>
      <w:numFmt w:val="bullet"/>
      <w:lvlText w:val="•"/>
      <w:lvlJc w:val="left"/>
      <w:pPr>
        <w:tabs>
          <w:tab w:val="num" w:pos="5040"/>
        </w:tabs>
        <w:ind w:left="5040" w:hanging="360"/>
      </w:pPr>
      <w:rPr>
        <w:rFonts w:ascii="Arial" w:hAnsi="Arial" w:hint="default"/>
      </w:rPr>
    </w:lvl>
    <w:lvl w:ilvl="7" w:tplc="C9648F2C" w:tentative="1">
      <w:start w:val="1"/>
      <w:numFmt w:val="bullet"/>
      <w:lvlText w:val="•"/>
      <w:lvlJc w:val="left"/>
      <w:pPr>
        <w:tabs>
          <w:tab w:val="num" w:pos="5760"/>
        </w:tabs>
        <w:ind w:left="5760" w:hanging="360"/>
      </w:pPr>
      <w:rPr>
        <w:rFonts w:ascii="Arial" w:hAnsi="Arial" w:hint="default"/>
      </w:rPr>
    </w:lvl>
    <w:lvl w:ilvl="8" w:tplc="2528B5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E60143"/>
    <w:multiLevelType w:val="hybridMultilevel"/>
    <w:tmpl w:val="139C90DC"/>
    <w:lvl w:ilvl="0" w:tplc="C0B6A006">
      <w:start w:val="1"/>
      <w:numFmt w:val="bullet"/>
      <w:lvlText w:val="•"/>
      <w:lvlJc w:val="left"/>
      <w:pPr>
        <w:tabs>
          <w:tab w:val="num" w:pos="720"/>
        </w:tabs>
        <w:ind w:left="720" w:hanging="360"/>
      </w:pPr>
      <w:rPr>
        <w:rFonts w:ascii="Arial" w:hAnsi="Arial" w:hint="default"/>
      </w:rPr>
    </w:lvl>
    <w:lvl w:ilvl="1" w:tplc="85DE34A4" w:tentative="1">
      <w:start w:val="1"/>
      <w:numFmt w:val="bullet"/>
      <w:lvlText w:val="•"/>
      <w:lvlJc w:val="left"/>
      <w:pPr>
        <w:tabs>
          <w:tab w:val="num" w:pos="1440"/>
        </w:tabs>
        <w:ind w:left="1440" w:hanging="360"/>
      </w:pPr>
      <w:rPr>
        <w:rFonts w:ascii="Arial" w:hAnsi="Arial" w:hint="default"/>
      </w:rPr>
    </w:lvl>
    <w:lvl w:ilvl="2" w:tplc="E58CF32C" w:tentative="1">
      <w:start w:val="1"/>
      <w:numFmt w:val="bullet"/>
      <w:lvlText w:val="•"/>
      <w:lvlJc w:val="left"/>
      <w:pPr>
        <w:tabs>
          <w:tab w:val="num" w:pos="2160"/>
        </w:tabs>
        <w:ind w:left="2160" w:hanging="360"/>
      </w:pPr>
      <w:rPr>
        <w:rFonts w:ascii="Arial" w:hAnsi="Arial" w:hint="default"/>
      </w:rPr>
    </w:lvl>
    <w:lvl w:ilvl="3" w:tplc="6BAC2F3C" w:tentative="1">
      <w:start w:val="1"/>
      <w:numFmt w:val="bullet"/>
      <w:lvlText w:val="•"/>
      <w:lvlJc w:val="left"/>
      <w:pPr>
        <w:tabs>
          <w:tab w:val="num" w:pos="2880"/>
        </w:tabs>
        <w:ind w:left="2880" w:hanging="360"/>
      </w:pPr>
      <w:rPr>
        <w:rFonts w:ascii="Arial" w:hAnsi="Arial" w:hint="default"/>
      </w:rPr>
    </w:lvl>
    <w:lvl w:ilvl="4" w:tplc="6F325206" w:tentative="1">
      <w:start w:val="1"/>
      <w:numFmt w:val="bullet"/>
      <w:lvlText w:val="•"/>
      <w:lvlJc w:val="left"/>
      <w:pPr>
        <w:tabs>
          <w:tab w:val="num" w:pos="3600"/>
        </w:tabs>
        <w:ind w:left="3600" w:hanging="360"/>
      </w:pPr>
      <w:rPr>
        <w:rFonts w:ascii="Arial" w:hAnsi="Arial" w:hint="default"/>
      </w:rPr>
    </w:lvl>
    <w:lvl w:ilvl="5" w:tplc="02D85BB2" w:tentative="1">
      <w:start w:val="1"/>
      <w:numFmt w:val="bullet"/>
      <w:lvlText w:val="•"/>
      <w:lvlJc w:val="left"/>
      <w:pPr>
        <w:tabs>
          <w:tab w:val="num" w:pos="4320"/>
        </w:tabs>
        <w:ind w:left="4320" w:hanging="360"/>
      </w:pPr>
      <w:rPr>
        <w:rFonts w:ascii="Arial" w:hAnsi="Arial" w:hint="default"/>
      </w:rPr>
    </w:lvl>
    <w:lvl w:ilvl="6" w:tplc="3AEE092E" w:tentative="1">
      <w:start w:val="1"/>
      <w:numFmt w:val="bullet"/>
      <w:lvlText w:val="•"/>
      <w:lvlJc w:val="left"/>
      <w:pPr>
        <w:tabs>
          <w:tab w:val="num" w:pos="5040"/>
        </w:tabs>
        <w:ind w:left="5040" w:hanging="360"/>
      </w:pPr>
      <w:rPr>
        <w:rFonts w:ascii="Arial" w:hAnsi="Arial" w:hint="default"/>
      </w:rPr>
    </w:lvl>
    <w:lvl w:ilvl="7" w:tplc="9F506880" w:tentative="1">
      <w:start w:val="1"/>
      <w:numFmt w:val="bullet"/>
      <w:lvlText w:val="•"/>
      <w:lvlJc w:val="left"/>
      <w:pPr>
        <w:tabs>
          <w:tab w:val="num" w:pos="5760"/>
        </w:tabs>
        <w:ind w:left="5760" w:hanging="360"/>
      </w:pPr>
      <w:rPr>
        <w:rFonts w:ascii="Arial" w:hAnsi="Arial" w:hint="default"/>
      </w:rPr>
    </w:lvl>
    <w:lvl w:ilvl="8" w:tplc="59BC01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B12FD0"/>
    <w:multiLevelType w:val="multilevel"/>
    <w:tmpl w:val="118C7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66592"/>
    <w:multiLevelType w:val="multilevel"/>
    <w:tmpl w:val="CC7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53A51"/>
    <w:multiLevelType w:val="multilevel"/>
    <w:tmpl w:val="DE04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6A31C8"/>
    <w:multiLevelType w:val="multilevel"/>
    <w:tmpl w:val="00786C26"/>
    <w:lvl w:ilvl="0">
      <w:start w:val="1"/>
      <w:numFmt w:val="low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6EB43F2"/>
    <w:multiLevelType w:val="hybridMultilevel"/>
    <w:tmpl w:val="BF085180"/>
    <w:lvl w:ilvl="0" w:tplc="0409001B">
      <w:start w:val="1"/>
      <w:numFmt w:val="lowerRoman"/>
      <w:lvlText w:val="%1."/>
      <w:lvlJc w:val="right"/>
      <w:pPr>
        <w:tabs>
          <w:tab w:val="num" w:pos="720"/>
        </w:tabs>
        <w:ind w:left="720" w:hanging="360"/>
      </w:pPr>
    </w:lvl>
    <w:lvl w:ilvl="1" w:tplc="452C0616" w:tentative="1">
      <w:start w:val="1"/>
      <w:numFmt w:val="decimal"/>
      <w:lvlText w:val="%2."/>
      <w:lvlJc w:val="left"/>
      <w:pPr>
        <w:tabs>
          <w:tab w:val="num" w:pos="1440"/>
        </w:tabs>
        <w:ind w:left="1440" w:hanging="360"/>
      </w:pPr>
    </w:lvl>
    <w:lvl w:ilvl="2" w:tplc="E4BCC700" w:tentative="1">
      <w:start w:val="1"/>
      <w:numFmt w:val="decimal"/>
      <w:lvlText w:val="%3."/>
      <w:lvlJc w:val="left"/>
      <w:pPr>
        <w:tabs>
          <w:tab w:val="num" w:pos="2160"/>
        </w:tabs>
        <w:ind w:left="2160" w:hanging="360"/>
      </w:pPr>
    </w:lvl>
    <w:lvl w:ilvl="3" w:tplc="E8EE8BE8" w:tentative="1">
      <w:start w:val="1"/>
      <w:numFmt w:val="decimal"/>
      <w:lvlText w:val="%4."/>
      <w:lvlJc w:val="left"/>
      <w:pPr>
        <w:tabs>
          <w:tab w:val="num" w:pos="2880"/>
        </w:tabs>
        <w:ind w:left="2880" w:hanging="360"/>
      </w:pPr>
    </w:lvl>
    <w:lvl w:ilvl="4" w:tplc="BE7298BC" w:tentative="1">
      <w:start w:val="1"/>
      <w:numFmt w:val="decimal"/>
      <w:lvlText w:val="%5."/>
      <w:lvlJc w:val="left"/>
      <w:pPr>
        <w:tabs>
          <w:tab w:val="num" w:pos="3600"/>
        </w:tabs>
        <w:ind w:left="3600" w:hanging="360"/>
      </w:pPr>
    </w:lvl>
    <w:lvl w:ilvl="5" w:tplc="D1066FBE" w:tentative="1">
      <w:start w:val="1"/>
      <w:numFmt w:val="decimal"/>
      <w:lvlText w:val="%6."/>
      <w:lvlJc w:val="left"/>
      <w:pPr>
        <w:tabs>
          <w:tab w:val="num" w:pos="4320"/>
        </w:tabs>
        <w:ind w:left="4320" w:hanging="360"/>
      </w:pPr>
    </w:lvl>
    <w:lvl w:ilvl="6" w:tplc="6D6C2FDC" w:tentative="1">
      <w:start w:val="1"/>
      <w:numFmt w:val="decimal"/>
      <w:lvlText w:val="%7."/>
      <w:lvlJc w:val="left"/>
      <w:pPr>
        <w:tabs>
          <w:tab w:val="num" w:pos="5040"/>
        </w:tabs>
        <w:ind w:left="5040" w:hanging="360"/>
      </w:pPr>
    </w:lvl>
    <w:lvl w:ilvl="7" w:tplc="751E814E" w:tentative="1">
      <w:start w:val="1"/>
      <w:numFmt w:val="decimal"/>
      <w:lvlText w:val="%8."/>
      <w:lvlJc w:val="left"/>
      <w:pPr>
        <w:tabs>
          <w:tab w:val="num" w:pos="5760"/>
        </w:tabs>
        <w:ind w:left="5760" w:hanging="360"/>
      </w:pPr>
    </w:lvl>
    <w:lvl w:ilvl="8" w:tplc="FB966DF6" w:tentative="1">
      <w:start w:val="1"/>
      <w:numFmt w:val="decimal"/>
      <w:lvlText w:val="%9."/>
      <w:lvlJc w:val="left"/>
      <w:pPr>
        <w:tabs>
          <w:tab w:val="num" w:pos="6480"/>
        </w:tabs>
        <w:ind w:left="6480" w:hanging="360"/>
      </w:pPr>
    </w:lvl>
  </w:abstractNum>
  <w:abstractNum w:abstractNumId="23" w15:restartNumberingAfterBreak="0">
    <w:nsid w:val="5758018C"/>
    <w:multiLevelType w:val="hybridMultilevel"/>
    <w:tmpl w:val="108E5C12"/>
    <w:lvl w:ilvl="0" w:tplc="9574074A">
      <w:start w:val="1"/>
      <w:numFmt w:val="bullet"/>
      <w:lvlText w:val="•"/>
      <w:lvlJc w:val="left"/>
      <w:pPr>
        <w:tabs>
          <w:tab w:val="num" w:pos="720"/>
        </w:tabs>
        <w:ind w:left="720" w:hanging="360"/>
      </w:pPr>
      <w:rPr>
        <w:rFonts w:ascii="Arial" w:hAnsi="Arial" w:hint="default"/>
      </w:rPr>
    </w:lvl>
    <w:lvl w:ilvl="1" w:tplc="16506742" w:tentative="1">
      <w:start w:val="1"/>
      <w:numFmt w:val="bullet"/>
      <w:lvlText w:val="•"/>
      <w:lvlJc w:val="left"/>
      <w:pPr>
        <w:tabs>
          <w:tab w:val="num" w:pos="1440"/>
        </w:tabs>
        <w:ind w:left="1440" w:hanging="360"/>
      </w:pPr>
      <w:rPr>
        <w:rFonts w:ascii="Arial" w:hAnsi="Arial" w:hint="default"/>
      </w:rPr>
    </w:lvl>
    <w:lvl w:ilvl="2" w:tplc="CA8616F6" w:tentative="1">
      <w:start w:val="1"/>
      <w:numFmt w:val="bullet"/>
      <w:lvlText w:val="•"/>
      <w:lvlJc w:val="left"/>
      <w:pPr>
        <w:tabs>
          <w:tab w:val="num" w:pos="2160"/>
        </w:tabs>
        <w:ind w:left="2160" w:hanging="360"/>
      </w:pPr>
      <w:rPr>
        <w:rFonts w:ascii="Arial" w:hAnsi="Arial" w:hint="default"/>
      </w:rPr>
    </w:lvl>
    <w:lvl w:ilvl="3" w:tplc="194A79BA" w:tentative="1">
      <w:start w:val="1"/>
      <w:numFmt w:val="bullet"/>
      <w:lvlText w:val="•"/>
      <w:lvlJc w:val="left"/>
      <w:pPr>
        <w:tabs>
          <w:tab w:val="num" w:pos="2880"/>
        </w:tabs>
        <w:ind w:left="2880" w:hanging="360"/>
      </w:pPr>
      <w:rPr>
        <w:rFonts w:ascii="Arial" w:hAnsi="Arial" w:hint="default"/>
      </w:rPr>
    </w:lvl>
    <w:lvl w:ilvl="4" w:tplc="72CEAC9E" w:tentative="1">
      <w:start w:val="1"/>
      <w:numFmt w:val="bullet"/>
      <w:lvlText w:val="•"/>
      <w:lvlJc w:val="left"/>
      <w:pPr>
        <w:tabs>
          <w:tab w:val="num" w:pos="3600"/>
        </w:tabs>
        <w:ind w:left="3600" w:hanging="360"/>
      </w:pPr>
      <w:rPr>
        <w:rFonts w:ascii="Arial" w:hAnsi="Arial" w:hint="default"/>
      </w:rPr>
    </w:lvl>
    <w:lvl w:ilvl="5" w:tplc="D5EA15C4" w:tentative="1">
      <w:start w:val="1"/>
      <w:numFmt w:val="bullet"/>
      <w:lvlText w:val="•"/>
      <w:lvlJc w:val="left"/>
      <w:pPr>
        <w:tabs>
          <w:tab w:val="num" w:pos="4320"/>
        </w:tabs>
        <w:ind w:left="4320" w:hanging="360"/>
      </w:pPr>
      <w:rPr>
        <w:rFonts w:ascii="Arial" w:hAnsi="Arial" w:hint="default"/>
      </w:rPr>
    </w:lvl>
    <w:lvl w:ilvl="6" w:tplc="6EB0F75E" w:tentative="1">
      <w:start w:val="1"/>
      <w:numFmt w:val="bullet"/>
      <w:lvlText w:val="•"/>
      <w:lvlJc w:val="left"/>
      <w:pPr>
        <w:tabs>
          <w:tab w:val="num" w:pos="5040"/>
        </w:tabs>
        <w:ind w:left="5040" w:hanging="360"/>
      </w:pPr>
      <w:rPr>
        <w:rFonts w:ascii="Arial" w:hAnsi="Arial" w:hint="default"/>
      </w:rPr>
    </w:lvl>
    <w:lvl w:ilvl="7" w:tplc="9C169AB8" w:tentative="1">
      <w:start w:val="1"/>
      <w:numFmt w:val="bullet"/>
      <w:lvlText w:val="•"/>
      <w:lvlJc w:val="left"/>
      <w:pPr>
        <w:tabs>
          <w:tab w:val="num" w:pos="5760"/>
        </w:tabs>
        <w:ind w:left="5760" w:hanging="360"/>
      </w:pPr>
      <w:rPr>
        <w:rFonts w:ascii="Arial" w:hAnsi="Arial" w:hint="default"/>
      </w:rPr>
    </w:lvl>
    <w:lvl w:ilvl="8" w:tplc="19844C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D22EFC"/>
    <w:multiLevelType w:val="multilevel"/>
    <w:tmpl w:val="6254B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C113CD0"/>
    <w:multiLevelType w:val="hybridMultilevel"/>
    <w:tmpl w:val="8FFC574A"/>
    <w:lvl w:ilvl="0" w:tplc="2098BA56">
      <w:start w:val="1"/>
      <w:numFmt w:val="bullet"/>
      <w:lvlText w:val="•"/>
      <w:lvlJc w:val="left"/>
      <w:pPr>
        <w:tabs>
          <w:tab w:val="num" w:pos="720"/>
        </w:tabs>
        <w:ind w:left="720" w:hanging="360"/>
      </w:pPr>
      <w:rPr>
        <w:rFonts w:ascii="Arial" w:hAnsi="Arial" w:hint="default"/>
      </w:rPr>
    </w:lvl>
    <w:lvl w:ilvl="1" w:tplc="16982008" w:tentative="1">
      <w:start w:val="1"/>
      <w:numFmt w:val="bullet"/>
      <w:lvlText w:val="•"/>
      <w:lvlJc w:val="left"/>
      <w:pPr>
        <w:tabs>
          <w:tab w:val="num" w:pos="1440"/>
        </w:tabs>
        <w:ind w:left="1440" w:hanging="360"/>
      </w:pPr>
      <w:rPr>
        <w:rFonts w:ascii="Arial" w:hAnsi="Arial" w:hint="default"/>
      </w:rPr>
    </w:lvl>
    <w:lvl w:ilvl="2" w:tplc="5B58A984" w:tentative="1">
      <w:start w:val="1"/>
      <w:numFmt w:val="bullet"/>
      <w:lvlText w:val="•"/>
      <w:lvlJc w:val="left"/>
      <w:pPr>
        <w:tabs>
          <w:tab w:val="num" w:pos="2160"/>
        </w:tabs>
        <w:ind w:left="2160" w:hanging="360"/>
      </w:pPr>
      <w:rPr>
        <w:rFonts w:ascii="Arial" w:hAnsi="Arial" w:hint="default"/>
      </w:rPr>
    </w:lvl>
    <w:lvl w:ilvl="3" w:tplc="965495A0" w:tentative="1">
      <w:start w:val="1"/>
      <w:numFmt w:val="bullet"/>
      <w:lvlText w:val="•"/>
      <w:lvlJc w:val="left"/>
      <w:pPr>
        <w:tabs>
          <w:tab w:val="num" w:pos="2880"/>
        </w:tabs>
        <w:ind w:left="2880" w:hanging="360"/>
      </w:pPr>
      <w:rPr>
        <w:rFonts w:ascii="Arial" w:hAnsi="Arial" w:hint="default"/>
      </w:rPr>
    </w:lvl>
    <w:lvl w:ilvl="4" w:tplc="C1DA7EA8" w:tentative="1">
      <w:start w:val="1"/>
      <w:numFmt w:val="bullet"/>
      <w:lvlText w:val="•"/>
      <w:lvlJc w:val="left"/>
      <w:pPr>
        <w:tabs>
          <w:tab w:val="num" w:pos="3600"/>
        </w:tabs>
        <w:ind w:left="3600" w:hanging="360"/>
      </w:pPr>
      <w:rPr>
        <w:rFonts w:ascii="Arial" w:hAnsi="Arial" w:hint="default"/>
      </w:rPr>
    </w:lvl>
    <w:lvl w:ilvl="5" w:tplc="64BAA698" w:tentative="1">
      <w:start w:val="1"/>
      <w:numFmt w:val="bullet"/>
      <w:lvlText w:val="•"/>
      <w:lvlJc w:val="left"/>
      <w:pPr>
        <w:tabs>
          <w:tab w:val="num" w:pos="4320"/>
        </w:tabs>
        <w:ind w:left="4320" w:hanging="360"/>
      </w:pPr>
      <w:rPr>
        <w:rFonts w:ascii="Arial" w:hAnsi="Arial" w:hint="default"/>
      </w:rPr>
    </w:lvl>
    <w:lvl w:ilvl="6" w:tplc="9FB67AE6" w:tentative="1">
      <w:start w:val="1"/>
      <w:numFmt w:val="bullet"/>
      <w:lvlText w:val="•"/>
      <w:lvlJc w:val="left"/>
      <w:pPr>
        <w:tabs>
          <w:tab w:val="num" w:pos="5040"/>
        </w:tabs>
        <w:ind w:left="5040" w:hanging="360"/>
      </w:pPr>
      <w:rPr>
        <w:rFonts w:ascii="Arial" w:hAnsi="Arial" w:hint="default"/>
      </w:rPr>
    </w:lvl>
    <w:lvl w:ilvl="7" w:tplc="2B4C7C0E" w:tentative="1">
      <w:start w:val="1"/>
      <w:numFmt w:val="bullet"/>
      <w:lvlText w:val="•"/>
      <w:lvlJc w:val="left"/>
      <w:pPr>
        <w:tabs>
          <w:tab w:val="num" w:pos="5760"/>
        </w:tabs>
        <w:ind w:left="5760" w:hanging="360"/>
      </w:pPr>
      <w:rPr>
        <w:rFonts w:ascii="Arial" w:hAnsi="Arial" w:hint="default"/>
      </w:rPr>
    </w:lvl>
    <w:lvl w:ilvl="8" w:tplc="A3265B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AD65AA"/>
    <w:multiLevelType w:val="multilevel"/>
    <w:tmpl w:val="FDAECA3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BCA6DE8"/>
    <w:multiLevelType w:val="hybridMultilevel"/>
    <w:tmpl w:val="4CF6056E"/>
    <w:lvl w:ilvl="0" w:tplc="0409001B">
      <w:start w:val="1"/>
      <w:numFmt w:val="lowerRoman"/>
      <w:lvlText w:val="%1."/>
      <w:lvlJc w:val="right"/>
      <w:pPr>
        <w:tabs>
          <w:tab w:val="num" w:pos="720"/>
        </w:tabs>
        <w:ind w:left="720" w:hanging="360"/>
      </w:pPr>
    </w:lvl>
    <w:lvl w:ilvl="1" w:tplc="DA40430C" w:tentative="1">
      <w:start w:val="1"/>
      <w:numFmt w:val="decimal"/>
      <w:lvlText w:val="%2."/>
      <w:lvlJc w:val="left"/>
      <w:pPr>
        <w:tabs>
          <w:tab w:val="num" w:pos="1440"/>
        </w:tabs>
        <w:ind w:left="1440" w:hanging="360"/>
      </w:pPr>
    </w:lvl>
    <w:lvl w:ilvl="2" w:tplc="7916CF7C" w:tentative="1">
      <w:start w:val="1"/>
      <w:numFmt w:val="decimal"/>
      <w:lvlText w:val="%3."/>
      <w:lvlJc w:val="left"/>
      <w:pPr>
        <w:tabs>
          <w:tab w:val="num" w:pos="2160"/>
        </w:tabs>
        <w:ind w:left="2160" w:hanging="360"/>
      </w:pPr>
    </w:lvl>
    <w:lvl w:ilvl="3" w:tplc="6186B524" w:tentative="1">
      <w:start w:val="1"/>
      <w:numFmt w:val="decimal"/>
      <w:lvlText w:val="%4."/>
      <w:lvlJc w:val="left"/>
      <w:pPr>
        <w:tabs>
          <w:tab w:val="num" w:pos="2880"/>
        </w:tabs>
        <w:ind w:left="2880" w:hanging="360"/>
      </w:pPr>
    </w:lvl>
    <w:lvl w:ilvl="4" w:tplc="B6DA6482" w:tentative="1">
      <w:start w:val="1"/>
      <w:numFmt w:val="decimal"/>
      <w:lvlText w:val="%5."/>
      <w:lvlJc w:val="left"/>
      <w:pPr>
        <w:tabs>
          <w:tab w:val="num" w:pos="3600"/>
        </w:tabs>
        <w:ind w:left="3600" w:hanging="360"/>
      </w:pPr>
    </w:lvl>
    <w:lvl w:ilvl="5" w:tplc="26A841EA" w:tentative="1">
      <w:start w:val="1"/>
      <w:numFmt w:val="decimal"/>
      <w:lvlText w:val="%6."/>
      <w:lvlJc w:val="left"/>
      <w:pPr>
        <w:tabs>
          <w:tab w:val="num" w:pos="4320"/>
        </w:tabs>
        <w:ind w:left="4320" w:hanging="360"/>
      </w:pPr>
    </w:lvl>
    <w:lvl w:ilvl="6" w:tplc="2854A280" w:tentative="1">
      <w:start w:val="1"/>
      <w:numFmt w:val="decimal"/>
      <w:lvlText w:val="%7."/>
      <w:lvlJc w:val="left"/>
      <w:pPr>
        <w:tabs>
          <w:tab w:val="num" w:pos="5040"/>
        </w:tabs>
        <w:ind w:left="5040" w:hanging="360"/>
      </w:pPr>
    </w:lvl>
    <w:lvl w:ilvl="7" w:tplc="88FEDDB6" w:tentative="1">
      <w:start w:val="1"/>
      <w:numFmt w:val="decimal"/>
      <w:lvlText w:val="%8."/>
      <w:lvlJc w:val="left"/>
      <w:pPr>
        <w:tabs>
          <w:tab w:val="num" w:pos="5760"/>
        </w:tabs>
        <w:ind w:left="5760" w:hanging="360"/>
      </w:pPr>
    </w:lvl>
    <w:lvl w:ilvl="8" w:tplc="0802789E" w:tentative="1">
      <w:start w:val="1"/>
      <w:numFmt w:val="decimal"/>
      <w:lvlText w:val="%9."/>
      <w:lvlJc w:val="left"/>
      <w:pPr>
        <w:tabs>
          <w:tab w:val="num" w:pos="6480"/>
        </w:tabs>
        <w:ind w:left="6480" w:hanging="360"/>
      </w:pPr>
    </w:lvl>
  </w:abstractNum>
  <w:abstractNum w:abstractNumId="28" w15:restartNumberingAfterBreak="0">
    <w:nsid w:val="6EB61D14"/>
    <w:multiLevelType w:val="multilevel"/>
    <w:tmpl w:val="591272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82150C"/>
    <w:multiLevelType w:val="multilevel"/>
    <w:tmpl w:val="4FC22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8C447D"/>
    <w:multiLevelType w:val="hybridMultilevel"/>
    <w:tmpl w:val="600E79E6"/>
    <w:lvl w:ilvl="0" w:tplc="DEE44F02">
      <w:start w:val="1"/>
      <w:numFmt w:val="bullet"/>
      <w:lvlText w:val="•"/>
      <w:lvlJc w:val="left"/>
      <w:pPr>
        <w:tabs>
          <w:tab w:val="num" w:pos="720"/>
        </w:tabs>
        <w:ind w:left="720" w:hanging="360"/>
      </w:pPr>
      <w:rPr>
        <w:rFonts w:ascii="Arial" w:hAnsi="Arial" w:hint="default"/>
      </w:rPr>
    </w:lvl>
    <w:lvl w:ilvl="1" w:tplc="87B81624" w:tentative="1">
      <w:start w:val="1"/>
      <w:numFmt w:val="bullet"/>
      <w:lvlText w:val="•"/>
      <w:lvlJc w:val="left"/>
      <w:pPr>
        <w:tabs>
          <w:tab w:val="num" w:pos="1440"/>
        </w:tabs>
        <w:ind w:left="1440" w:hanging="360"/>
      </w:pPr>
      <w:rPr>
        <w:rFonts w:ascii="Arial" w:hAnsi="Arial" w:hint="default"/>
      </w:rPr>
    </w:lvl>
    <w:lvl w:ilvl="2" w:tplc="BED46382" w:tentative="1">
      <w:start w:val="1"/>
      <w:numFmt w:val="bullet"/>
      <w:lvlText w:val="•"/>
      <w:lvlJc w:val="left"/>
      <w:pPr>
        <w:tabs>
          <w:tab w:val="num" w:pos="2160"/>
        </w:tabs>
        <w:ind w:left="2160" w:hanging="360"/>
      </w:pPr>
      <w:rPr>
        <w:rFonts w:ascii="Arial" w:hAnsi="Arial" w:hint="default"/>
      </w:rPr>
    </w:lvl>
    <w:lvl w:ilvl="3" w:tplc="E7D8FC26" w:tentative="1">
      <w:start w:val="1"/>
      <w:numFmt w:val="bullet"/>
      <w:lvlText w:val="•"/>
      <w:lvlJc w:val="left"/>
      <w:pPr>
        <w:tabs>
          <w:tab w:val="num" w:pos="2880"/>
        </w:tabs>
        <w:ind w:left="2880" w:hanging="360"/>
      </w:pPr>
      <w:rPr>
        <w:rFonts w:ascii="Arial" w:hAnsi="Arial" w:hint="default"/>
      </w:rPr>
    </w:lvl>
    <w:lvl w:ilvl="4" w:tplc="D160DF42" w:tentative="1">
      <w:start w:val="1"/>
      <w:numFmt w:val="bullet"/>
      <w:lvlText w:val="•"/>
      <w:lvlJc w:val="left"/>
      <w:pPr>
        <w:tabs>
          <w:tab w:val="num" w:pos="3600"/>
        </w:tabs>
        <w:ind w:left="3600" w:hanging="360"/>
      </w:pPr>
      <w:rPr>
        <w:rFonts w:ascii="Arial" w:hAnsi="Arial" w:hint="default"/>
      </w:rPr>
    </w:lvl>
    <w:lvl w:ilvl="5" w:tplc="808E336E" w:tentative="1">
      <w:start w:val="1"/>
      <w:numFmt w:val="bullet"/>
      <w:lvlText w:val="•"/>
      <w:lvlJc w:val="left"/>
      <w:pPr>
        <w:tabs>
          <w:tab w:val="num" w:pos="4320"/>
        </w:tabs>
        <w:ind w:left="4320" w:hanging="360"/>
      </w:pPr>
      <w:rPr>
        <w:rFonts w:ascii="Arial" w:hAnsi="Arial" w:hint="default"/>
      </w:rPr>
    </w:lvl>
    <w:lvl w:ilvl="6" w:tplc="8072FC3E" w:tentative="1">
      <w:start w:val="1"/>
      <w:numFmt w:val="bullet"/>
      <w:lvlText w:val="•"/>
      <w:lvlJc w:val="left"/>
      <w:pPr>
        <w:tabs>
          <w:tab w:val="num" w:pos="5040"/>
        </w:tabs>
        <w:ind w:left="5040" w:hanging="360"/>
      </w:pPr>
      <w:rPr>
        <w:rFonts w:ascii="Arial" w:hAnsi="Arial" w:hint="default"/>
      </w:rPr>
    </w:lvl>
    <w:lvl w:ilvl="7" w:tplc="7D9642F0" w:tentative="1">
      <w:start w:val="1"/>
      <w:numFmt w:val="bullet"/>
      <w:lvlText w:val="•"/>
      <w:lvlJc w:val="left"/>
      <w:pPr>
        <w:tabs>
          <w:tab w:val="num" w:pos="5760"/>
        </w:tabs>
        <w:ind w:left="5760" w:hanging="360"/>
      </w:pPr>
      <w:rPr>
        <w:rFonts w:ascii="Arial" w:hAnsi="Arial" w:hint="default"/>
      </w:rPr>
    </w:lvl>
    <w:lvl w:ilvl="8" w:tplc="588099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677520"/>
    <w:multiLevelType w:val="multilevel"/>
    <w:tmpl w:val="16E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E07D9"/>
    <w:multiLevelType w:val="hybridMultilevel"/>
    <w:tmpl w:val="4E5A2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37458"/>
    <w:multiLevelType w:val="multilevel"/>
    <w:tmpl w:val="50F4F6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E8F06A6"/>
    <w:multiLevelType w:val="multilevel"/>
    <w:tmpl w:val="6DF8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11"/>
  </w:num>
  <w:num w:numId="4">
    <w:abstractNumId w:val="15"/>
  </w:num>
  <w:num w:numId="5">
    <w:abstractNumId w:val="16"/>
  </w:num>
  <w:num w:numId="6">
    <w:abstractNumId w:val="5"/>
  </w:num>
  <w:num w:numId="7">
    <w:abstractNumId w:val="25"/>
  </w:num>
  <w:num w:numId="8">
    <w:abstractNumId w:val="7"/>
  </w:num>
  <w:num w:numId="9">
    <w:abstractNumId w:val="30"/>
  </w:num>
  <w:num w:numId="10">
    <w:abstractNumId w:val="12"/>
  </w:num>
  <w:num w:numId="11">
    <w:abstractNumId w:val="6"/>
  </w:num>
  <w:num w:numId="12">
    <w:abstractNumId w:val="9"/>
  </w:num>
  <w:num w:numId="13">
    <w:abstractNumId w:val="21"/>
  </w:num>
  <w:num w:numId="14">
    <w:abstractNumId w:val="27"/>
  </w:num>
  <w:num w:numId="15">
    <w:abstractNumId w:val="22"/>
  </w:num>
  <w:num w:numId="16">
    <w:abstractNumId w:val="1"/>
  </w:num>
  <w:num w:numId="17">
    <w:abstractNumId w:val="29"/>
  </w:num>
  <w:num w:numId="18">
    <w:abstractNumId w:val="33"/>
  </w:num>
  <w:num w:numId="19">
    <w:abstractNumId w:val="24"/>
  </w:num>
  <w:num w:numId="20">
    <w:abstractNumId w:val="13"/>
  </w:num>
  <w:num w:numId="21">
    <w:abstractNumId w:val="19"/>
  </w:num>
  <w:num w:numId="22">
    <w:abstractNumId w:val="3"/>
  </w:num>
  <w:num w:numId="23">
    <w:abstractNumId w:val="31"/>
  </w:num>
  <w:num w:numId="24">
    <w:abstractNumId w:val="32"/>
  </w:num>
  <w:num w:numId="25">
    <w:abstractNumId w:val="34"/>
  </w:num>
  <w:num w:numId="26">
    <w:abstractNumId w:val="0"/>
  </w:num>
  <w:num w:numId="27">
    <w:abstractNumId w:val="20"/>
  </w:num>
  <w:num w:numId="28">
    <w:abstractNumId w:val="8"/>
  </w:num>
  <w:num w:numId="29">
    <w:abstractNumId w:val="18"/>
  </w:num>
  <w:num w:numId="30">
    <w:abstractNumId w:val="2"/>
  </w:num>
  <w:num w:numId="31">
    <w:abstractNumId w:val="4"/>
  </w:num>
  <w:num w:numId="32">
    <w:abstractNumId w:val="14"/>
  </w:num>
  <w:num w:numId="33">
    <w:abstractNumId w:val="12"/>
    <w:lvlOverride w:ilvl="0">
      <w:startOverride w:val="3"/>
    </w:lvlOverride>
    <w:lvlOverride w:ilvl="1"/>
  </w:num>
  <w:num w:numId="34">
    <w:abstractNumId w:val="12"/>
    <w:lvlOverride w:ilvl="0">
      <w:startOverride w:val="3"/>
    </w:lvlOverride>
    <w:lvlOverride w:ilvl="1">
      <w:startOverride w:val="6"/>
    </w:lvlOverride>
  </w:num>
  <w:num w:numId="35">
    <w:abstractNumId w:val="12"/>
    <w:lvlOverride w:ilvl="0">
      <w:startOverride w:val="3"/>
    </w:lvlOverride>
    <w:lvlOverride w:ilvl="1">
      <w:startOverride w:val="5"/>
    </w:lvlOverride>
  </w:num>
  <w:num w:numId="36">
    <w:abstractNumId w:val="12"/>
    <w:lvlOverride w:ilvl="0">
      <w:startOverride w:val="3"/>
    </w:lvlOverride>
    <w:lvlOverride w:ilvl="1">
      <w:startOverride w:val="5"/>
    </w:lvlOverride>
    <w:lvlOverride w:ilvl="2">
      <w:startOverride w:val="2"/>
    </w:lvlOverride>
  </w:num>
  <w:num w:numId="37">
    <w:abstractNumId w:val="26"/>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73A"/>
    <w:rsid w:val="000007DD"/>
    <w:rsid w:val="00005E1C"/>
    <w:rsid w:val="00007919"/>
    <w:rsid w:val="00017E4B"/>
    <w:rsid w:val="0004563C"/>
    <w:rsid w:val="00047469"/>
    <w:rsid w:val="00047698"/>
    <w:rsid w:val="00052F57"/>
    <w:rsid w:val="00060E3F"/>
    <w:rsid w:val="00066CB3"/>
    <w:rsid w:val="000A7E83"/>
    <w:rsid w:val="000C2E9D"/>
    <w:rsid w:val="000C3BA0"/>
    <w:rsid w:val="000E0BE4"/>
    <w:rsid w:val="000E0CBF"/>
    <w:rsid w:val="000E24E4"/>
    <w:rsid w:val="000E3F48"/>
    <w:rsid w:val="000F6221"/>
    <w:rsid w:val="0010328A"/>
    <w:rsid w:val="00127EF2"/>
    <w:rsid w:val="00130501"/>
    <w:rsid w:val="001321D8"/>
    <w:rsid w:val="00133857"/>
    <w:rsid w:val="00136BDE"/>
    <w:rsid w:val="00157056"/>
    <w:rsid w:val="0017350B"/>
    <w:rsid w:val="00174EB8"/>
    <w:rsid w:val="0017607A"/>
    <w:rsid w:val="00181A77"/>
    <w:rsid w:val="00186A98"/>
    <w:rsid w:val="001943BF"/>
    <w:rsid w:val="001A252D"/>
    <w:rsid w:val="001A335D"/>
    <w:rsid w:val="001B0D8E"/>
    <w:rsid w:val="001B56E0"/>
    <w:rsid w:val="001C6D7F"/>
    <w:rsid w:val="001D572C"/>
    <w:rsid w:val="001E38B4"/>
    <w:rsid w:val="001E65E5"/>
    <w:rsid w:val="001F7531"/>
    <w:rsid w:val="0020691C"/>
    <w:rsid w:val="00213101"/>
    <w:rsid w:val="00216190"/>
    <w:rsid w:val="00221760"/>
    <w:rsid w:val="0023666E"/>
    <w:rsid w:val="00237385"/>
    <w:rsid w:val="00253B0A"/>
    <w:rsid w:val="002600B4"/>
    <w:rsid w:val="00260653"/>
    <w:rsid w:val="002765AF"/>
    <w:rsid w:val="002768C2"/>
    <w:rsid w:val="00293B0A"/>
    <w:rsid w:val="00293BBA"/>
    <w:rsid w:val="002A134F"/>
    <w:rsid w:val="002A7BBB"/>
    <w:rsid w:val="002B09FB"/>
    <w:rsid w:val="002B6F16"/>
    <w:rsid w:val="002D2C48"/>
    <w:rsid w:val="002E4A01"/>
    <w:rsid w:val="002F3A6C"/>
    <w:rsid w:val="002F6448"/>
    <w:rsid w:val="003234C4"/>
    <w:rsid w:val="00327134"/>
    <w:rsid w:val="0032781D"/>
    <w:rsid w:val="00342AF1"/>
    <w:rsid w:val="003441D9"/>
    <w:rsid w:val="00344E76"/>
    <w:rsid w:val="003579F8"/>
    <w:rsid w:val="003608FF"/>
    <w:rsid w:val="00360EEC"/>
    <w:rsid w:val="003711A7"/>
    <w:rsid w:val="003716AD"/>
    <w:rsid w:val="00383595"/>
    <w:rsid w:val="00387E05"/>
    <w:rsid w:val="00390BD5"/>
    <w:rsid w:val="003C0E6C"/>
    <w:rsid w:val="003C470D"/>
    <w:rsid w:val="003E416D"/>
    <w:rsid w:val="003E5F7A"/>
    <w:rsid w:val="003E65B9"/>
    <w:rsid w:val="003F4E64"/>
    <w:rsid w:val="003F6C20"/>
    <w:rsid w:val="00406AB5"/>
    <w:rsid w:val="00411326"/>
    <w:rsid w:val="004149E3"/>
    <w:rsid w:val="00426459"/>
    <w:rsid w:val="00433157"/>
    <w:rsid w:val="00450952"/>
    <w:rsid w:val="00457F96"/>
    <w:rsid w:val="0046337A"/>
    <w:rsid w:val="0047204C"/>
    <w:rsid w:val="00490228"/>
    <w:rsid w:val="00494713"/>
    <w:rsid w:val="004A008F"/>
    <w:rsid w:val="004A3214"/>
    <w:rsid w:val="004B341E"/>
    <w:rsid w:val="004B3825"/>
    <w:rsid w:val="004B6B37"/>
    <w:rsid w:val="004C4467"/>
    <w:rsid w:val="004D0848"/>
    <w:rsid w:val="004D1C4D"/>
    <w:rsid w:val="004E0FD7"/>
    <w:rsid w:val="004E335C"/>
    <w:rsid w:val="004E3720"/>
    <w:rsid w:val="00513E8C"/>
    <w:rsid w:val="00524003"/>
    <w:rsid w:val="00524C04"/>
    <w:rsid w:val="0053014A"/>
    <w:rsid w:val="00530169"/>
    <w:rsid w:val="00532520"/>
    <w:rsid w:val="00536D89"/>
    <w:rsid w:val="00550B87"/>
    <w:rsid w:val="00551AB3"/>
    <w:rsid w:val="00553814"/>
    <w:rsid w:val="00557F5B"/>
    <w:rsid w:val="005647FC"/>
    <w:rsid w:val="005653F0"/>
    <w:rsid w:val="00565A2D"/>
    <w:rsid w:val="00570AA4"/>
    <w:rsid w:val="00577DCE"/>
    <w:rsid w:val="00583680"/>
    <w:rsid w:val="00586F25"/>
    <w:rsid w:val="00592A30"/>
    <w:rsid w:val="00592F86"/>
    <w:rsid w:val="00595EED"/>
    <w:rsid w:val="0059640F"/>
    <w:rsid w:val="005A2F35"/>
    <w:rsid w:val="005A5FF5"/>
    <w:rsid w:val="005B470C"/>
    <w:rsid w:val="005B49EA"/>
    <w:rsid w:val="005B5553"/>
    <w:rsid w:val="005C0027"/>
    <w:rsid w:val="005C5082"/>
    <w:rsid w:val="005D0918"/>
    <w:rsid w:val="005D616E"/>
    <w:rsid w:val="005E286C"/>
    <w:rsid w:val="005F43CE"/>
    <w:rsid w:val="005F786F"/>
    <w:rsid w:val="00601A21"/>
    <w:rsid w:val="00606F7D"/>
    <w:rsid w:val="00611343"/>
    <w:rsid w:val="00634759"/>
    <w:rsid w:val="00635184"/>
    <w:rsid w:val="00635783"/>
    <w:rsid w:val="00636596"/>
    <w:rsid w:val="006421C9"/>
    <w:rsid w:val="00650E1F"/>
    <w:rsid w:val="006667EE"/>
    <w:rsid w:val="006738E6"/>
    <w:rsid w:val="006A0A71"/>
    <w:rsid w:val="006A2524"/>
    <w:rsid w:val="006A4E0E"/>
    <w:rsid w:val="006C2C79"/>
    <w:rsid w:val="006C6511"/>
    <w:rsid w:val="006D0EFB"/>
    <w:rsid w:val="006D3E9B"/>
    <w:rsid w:val="00717E04"/>
    <w:rsid w:val="00744817"/>
    <w:rsid w:val="007476A8"/>
    <w:rsid w:val="00753A18"/>
    <w:rsid w:val="0076611A"/>
    <w:rsid w:val="007713C4"/>
    <w:rsid w:val="00773D1E"/>
    <w:rsid w:val="00777A11"/>
    <w:rsid w:val="0079675D"/>
    <w:rsid w:val="007A6441"/>
    <w:rsid w:val="007B2D35"/>
    <w:rsid w:val="007B67DC"/>
    <w:rsid w:val="007D1CD9"/>
    <w:rsid w:val="007D4C1C"/>
    <w:rsid w:val="007D5DA7"/>
    <w:rsid w:val="007F405E"/>
    <w:rsid w:val="007F535F"/>
    <w:rsid w:val="00802410"/>
    <w:rsid w:val="008037E3"/>
    <w:rsid w:val="00804836"/>
    <w:rsid w:val="00815271"/>
    <w:rsid w:val="00816D9B"/>
    <w:rsid w:val="00817B0B"/>
    <w:rsid w:val="008226A6"/>
    <w:rsid w:val="008342C7"/>
    <w:rsid w:val="00841A58"/>
    <w:rsid w:val="00850B99"/>
    <w:rsid w:val="00855A3C"/>
    <w:rsid w:val="008635D7"/>
    <w:rsid w:val="0086653C"/>
    <w:rsid w:val="00881150"/>
    <w:rsid w:val="00887F45"/>
    <w:rsid w:val="008916C7"/>
    <w:rsid w:val="00892366"/>
    <w:rsid w:val="00894A37"/>
    <w:rsid w:val="00895BFE"/>
    <w:rsid w:val="0089678F"/>
    <w:rsid w:val="008A604C"/>
    <w:rsid w:val="008A7EA2"/>
    <w:rsid w:val="008B1766"/>
    <w:rsid w:val="008B2E04"/>
    <w:rsid w:val="008B326B"/>
    <w:rsid w:val="008B3D7E"/>
    <w:rsid w:val="008B514C"/>
    <w:rsid w:val="008D2C50"/>
    <w:rsid w:val="008D3A5F"/>
    <w:rsid w:val="008E0BA8"/>
    <w:rsid w:val="008E1425"/>
    <w:rsid w:val="008E60B4"/>
    <w:rsid w:val="008E7BA8"/>
    <w:rsid w:val="008F4ABE"/>
    <w:rsid w:val="009020B6"/>
    <w:rsid w:val="00910489"/>
    <w:rsid w:val="00911157"/>
    <w:rsid w:val="00917B0E"/>
    <w:rsid w:val="00920E96"/>
    <w:rsid w:val="009253A6"/>
    <w:rsid w:val="00937866"/>
    <w:rsid w:val="00937EB8"/>
    <w:rsid w:val="009444F0"/>
    <w:rsid w:val="009529E2"/>
    <w:rsid w:val="009539B4"/>
    <w:rsid w:val="009544CF"/>
    <w:rsid w:val="0096410D"/>
    <w:rsid w:val="00977311"/>
    <w:rsid w:val="009935A0"/>
    <w:rsid w:val="009A0C05"/>
    <w:rsid w:val="009A0D5E"/>
    <w:rsid w:val="009B06F9"/>
    <w:rsid w:val="009D22AB"/>
    <w:rsid w:val="009D51EF"/>
    <w:rsid w:val="009E2C0B"/>
    <w:rsid w:val="009E6B15"/>
    <w:rsid w:val="009F3667"/>
    <w:rsid w:val="009F412E"/>
    <w:rsid w:val="00A15818"/>
    <w:rsid w:val="00A16404"/>
    <w:rsid w:val="00A233D6"/>
    <w:rsid w:val="00A235D1"/>
    <w:rsid w:val="00A25BB2"/>
    <w:rsid w:val="00A36A51"/>
    <w:rsid w:val="00A40C18"/>
    <w:rsid w:val="00A44A02"/>
    <w:rsid w:val="00A5163F"/>
    <w:rsid w:val="00A529D4"/>
    <w:rsid w:val="00A53C08"/>
    <w:rsid w:val="00A63162"/>
    <w:rsid w:val="00A66372"/>
    <w:rsid w:val="00A84BF0"/>
    <w:rsid w:val="00A86006"/>
    <w:rsid w:val="00A865A6"/>
    <w:rsid w:val="00A91CCE"/>
    <w:rsid w:val="00AB1399"/>
    <w:rsid w:val="00AC61C6"/>
    <w:rsid w:val="00AE5831"/>
    <w:rsid w:val="00AE5F8B"/>
    <w:rsid w:val="00AF1AB5"/>
    <w:rsid w:val="00B1132C"/>
    <w:rsid w:val="00B1303A"/>
    <w:rsid w:val="00B13808"/>
    <w:rsid w:val="00B145FD"/>
    <w:rsid w:val="00B17D56"/>
    <w:rsid w:val="00B2109E"/>
    <w:rsid w:val="00B21EDB"/>
    <w:rsid w:val="00B2615B"/>
    <w:rsid w:val="00B35726"/>
    <w:rsid w:val="00B40393"/>
    <w:rsid w:val="00B554D0"/>
    <w:rsid w:val="00B57B79"/>
    <w:rsid w:val="00B85233"/>
    <w:rsid w:val="00BA30DA"/>
    <w:rsid w:val="00BB0194"/>
    <w:rsid w:val="00BB3FF4"/>
    <w:rsid w:val="00BB73A4"/>
    <w:rsid w:val="00BC22B3"/>
    <w:rsid w:val="00BC6EF7"/>
    <w:rsid w:val="00BD44B4"/>
    <w:rsid w:val="00BD5753"/>
    <w:rsid w:val="00BD6F5F"/>
    <w:rsid w:val="00BE0ABF"/>
    <w:rsid w:val="00BE428A"/>
    <w:rsid w:val="00BE6707"/>
    <w:rsid w:val="00BF232D"/>
    <w:rsid w:val="00BF6F7F"/>
    <w:rsid w:val="00C027DF"/>
    <w:rsid w:val="00C076CF"/>
    <w:rsid w:val="00C106F8"/>
    <w:rsid w:val="00C1174B"/>
    <w:rsid w:val="00C1691C"/>
    <w:rsid w:val="00C17868"/>
    <w:rsid w:val="00C2493C"/>
    <w:rsid w:val="00C43DD4"/>
    <w:rsid w:val="00C454BA"/>
    <w:rsid w:val="00C45620"/>
    <w:rsid w:val="00C45D18"/>
    <w:rsid w:val="00C6173A"/>
    <w:rsid w:val="00C655AB"/>
    <w:rsid w:val="00C6768B"/>
    <w:rsid w:val="00C92CB9"/>
    <w:rsid w:val="00CA0482"/>
    <w:rsid w:val="00CA44D2"/>
    <w:rsid w:val="00CB1EF2"/>
    <w:rsid w:val="00CC0C01"/>
    <w:rsid w:val="00CC37BF"/>
    <w:rsid w:val="00CD597B"/>
    <w:rsid w:val="00CE06D2"/>
    <w:rsid w:val="00CE6F90"/>
    <w:rsid w:val="00D2319E"/>
    <w:rsid w:val="00D240CC"/>
    <w:rsid w:val="00D2431F"/>
    <w:rsid w:val="00D25B7B"/>
    <w:rsid w:val="00D26B67"/>
    <w:rsid w:val="00D378AD"/>
    <w:rsid w:val="00D4277C"/>
    <w:rsid w:val="00D451F3"/>
    <w:rsid w:val="00D45D93"/>
    <w:rsid w:val="00D60F89"/>
    <w:rsid w:val="00D659F6"/>
    <w:rsid w:val="00D70080"/>
    <w:rsid w:val="00D714D4"/>
    <w:rsid w:val="00D7372B"/>
    <w:rsid w:val="00D747B7"/>
    <w:rsid w:val="00D8644D"/>
    <w:rsid w:val="00D8683F"/>
    <w:rsid w:val="00DA0D72"/>
    <w:rsid w:val="00DA0DA4"/>
    <w:rsid w:val="00DA6CB9"/>
    <w:rsid w:val="00DC2DE1"/>
    <w:rsid w:val="00E00C8B"/>
    <w:rsid w:val="00E01BF2"/>
    <w:rsid w:val="00E04ACC"/>
    <w:rsid w:val="00E0555F"/>
    <w:rsid w:val="00E07377"/>
    <w:rsid w:val="00E15ABC"/>
    <w:rsid w:val="00E15BEC"/>
    <w:rsid w:val="00E40AEC"/>
    <w:rsid w:val="00E41CE5"/>
    <w:rsid w:val="00E43DB2"/>
    <w:rsid w:val="00E50B6E"/>
    <w:rsid w:val="00E624B0"/>
    <w:rsid w:val="00E75244"/>
    <w:rsid w:val="00E83DC5"/>
    <w:rsid w:val="00EA24C4"/>
    <w:rsid w:val="00EC014D"/>
    <w:rsid w:val="00ED04DE"/>
    <w:rsid w:val="00EE0C81"/>
    <w:rsid w:val="00EE1B94"/>
    <w:rsid w:val="00EF0BC8"/>
    <w:rsid w:val="00EF2FC2"/>
    <w:rsid w:val="00EF4ED1"/>
    <w:rsid w:val="00F014E7"/>
    <w:rsid w:val="00F02500"/>
    <w:rsid w:val="00F07592"/>
    <w:rsid w:val="00F37EF2"/>
    <w:rsid w:val="00F41302"/>
    <w:rsid w:val="00F42C26"/>
    <w:rsid w:val="00F63296"/>
    <w:rsid w:val="00F74608"/>
    <w:rsid w:val="00F82FC5"/>
    <w:rsid w:val="00F879C8"/>
    <w:rsid w:val="00F939C5"/>
    <w:rsid w:val="00F9401E"/>
    <w:rsid w:val="00FA0D13"/>
    <w:rsid w:val="00FA0D59"/>
    <w:rsid w:val="00FA1F7A"/>
    <w:rsid w:val="00FB0369"/>
    <w:rsid w:val="00FB24E4"/>
    <w:rsid w:val="00FC4A95"/>
    <w:rsid w:val="00FC590E"/>
    <w:rsid w:val="00FD52CB"/>
    <w:rsid w:val="00FD54F8"/>
    <w:rsid w:val="00FF0BD3"/>
    <w:rsid w:val="00FF1734"/>
    <w:rsid w:val="00FF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D127D"/>
  <w15:docId w15:val="{6ECBABFA-A5DE-4233-A7EE-6A03A51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73A"/>
    <w:pPr>
      <w:spacing w:after="160" w:line="259" w:lineRule="auto"/>
    </w:pPr>
    <w:rPr>
      <w:lang w:val="en-US"/>
    </w:rPr>
  </w:style>
  <w:style w:type="paragraph" w:styleId="Heading1">
    <w:name w:val="heading 1"/>
    <w:basedOn w:val="Normal"/>
    <w:next w:val="Normal"/>
    <w:link w:val="Heading1Char"/>
    <w:uiPriority w:val="9"/>
    <w:qFormat/>
    <w:rsid w:val="000E3F48"/>
    <w:pPr>
      <w:keepNext/>
      <w:keepLines/>
      <w:spacing w:after="0" w:line="360" w:lineRule="auto"/>
      <w:ind w:left="432" w:hanging="432"/>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0E3F48"/>
    <w:pPr>
      <w:keepNext/>
      <w:keepLines/>
      <w:spacing w:before="40" w:after="0" w:line="360" w:lineRule="auto"/>
      <w:ind w:left="576" w:hanging="576"/>
      <w:jc w:val="both"/>
      <w:outlineLvl w:val="1"/>
    </w:pPr>
    <w:rPr>
      <w:rFonts w:ascii="Times New Roman" w:eastAsiaTheme="majorEastAsia" w:hAnsi="Times New Roman" w:cs="Times New Roman"/>
      <w:b/>
      <w:sz w:val="24"/>
      <w:szCs w:val="24"/>
    </w:rPr>
  </w:style>
  <w:style w:type="paragraph" w:styleId="Heading3">
    <w:name w:val="heading 3"/>
    <w:basedOn w:val="Heading2"/>
    <w:next w:val="Normal"/>
    <w:link w:val="Heading3Char"/>
    <w:uiPriority w:val="9"/>
    <w:unhideWhenUsed/>
    <w:qFormat/>
    <w:rsid w:val="000E3F48"/>
    <w:pPr>
      <w:outlineLvl w:val="2"/>
    </w:pPr>
  </w:style>
  <w:style w:type="paragraph" w:styleId="Heading4">
    <w:name w:val="heading 4"/>
    <w:basedOn w:val="Normal"/>
    <w:next w:val="Normal"/>
    <w:link w:val="Heading4Char"/>
    <w:uiPriority w:val="9"/>
    <w:semiHidden/>
    <w:unhideWhenUsed/>
    <w:qFormat/>
    <w:rsid w:val="000E3F48"/>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3F48"/>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3F48"/>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3F48"/>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3F4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F4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73A"/>
    <w:rPr>
      <w:color w:val="0000FF"/>
      <w:u w:val="single"/>
    </w:rPr>
  </w:style>
  <w:style w:type="paragraph" w:customStyle="1" w:styleId="p1">
    <w:name w:val="p1"/>
    <w:basedOn w:val="Normal"/>
    <w:rsid w:val="0004769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s1">
    <w:name w:val="s1"/>
    <w:basedOn w:val="DefaultParagraphFont"/>
    <w:rsid w:val="00047698"/>
  </w:style>
  <w:style w:type="character" w:customStyle="1" w:styleId="s2">
    <w:name w:val="s2"/>
    <w:basedOn w:val="DefaultParagraphFont"/>
    <w:rsid w:val="00047698"/>
  </w:style>
  <w:style w:type="paragraph" w:customStyle="1" w:styleId="p2">
    <w:name w:val="p2"/>
    <w:basedOn w:val="Normal"/>
    <w:rsid w:val="0004769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NormalWeb">
    <w:name w:val="Normal (Web)"/>
    <w:basedOn w:val="Normal"/>
    <w:uiPriority w:val="99"/>
    <w:unhideWhenUsed/>
    <w:rsid w:val="007D5D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D5DA7"/>
    <w:rPr>
      <w:b/>
      <w:bCs/>
    </w:rPr>
  </w:style>
  <w:style w:type="character" w:customStyle="1" w:styleId="Heading1Char">
    <w:name w:val="Heading 1 Char"/>
    <w:basedOn w:val="DefaultParagraphFont"/>
    <w:link w:val="Heading1"/>
    <w:uiPriority w:val="9"/>
    <w:rsid w:val="000E3F48"/>
    <w:rPr>
      <w:rFonts w:ascii="Times New Roman" w:eastAsiaTheme="majorEastAsia" w:hAnsi="Times New Roman" w:cs="Times New Roman"/>
      <w:b/>
      <w:sz w:val="24"/>
      <w:szCs w:val="24"/>
      <w:lang w:val="en-US"/>
    </w:rPr>
  </w:style>
  <w:style w:type="character" w:customStyle="1" w:styleId="Heading2Char">
    <w:name w:val="Heading 2 Char"/>
    <w:basedOn w:val="DefaultParagraphFont"/>
    <w:link w:val="Heading2"/>
    <w:uiPriority w:val="9"/>
    <w:rsid w:val="000E3F48"/>
    <w:rPr>
      <w:rFonts w:ascii="Times New Roman" w:eastAsiaTheme="majorEastAsia" w:hAnsi="Times New Roman" w:cs="Times New Roman"/>
      <w:b/>
      <w:sz w:val="24"/>
      <w:szCs w:val="24"/>
      <w:lang w:val="en-US"/>
    </w:rPr>
  </w:style>
  <w:style w:type="character" w:customStyle="1" w:styleId="Heading3Char">
    <w:name w:val="Heading 3 Char"/>
    <w:basedOn w:val="DefaultParagraphFont"/>
    <w:link w:val="Heading3"/>
    <w:uiPriority w:val="9"/>
    <w:rsid w:val="000E3F48"/>
    <w:rPr>
      <w:rFonts w:ascii="Times New Roman" w:eastAsiaTheme="majorEastAsia" w:hAnsi="Times New Roman" w:cs="Times New Roman"/>
      <w:b/>
      <w:sz w:val="24"/>
      <w:szCs w:val="24"/>
      <w:lang w:val="en-US"/>
    </w:rPr>
  </w:style>
  <w:style w:type="character" w:customStyle="1" w:styleId="Heading4Char">
    <w:name w:val="Heading 4 Char"/>
    <w:basedOn w:val="DefaultParagraphFont"/>
    <w:link w:val="Heading4"/>
    <w:uiPriority w:val="9"/>
    <w:semiHidden/>
    <w:rsid w:val="000E3F4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0E3F48"/>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0E3F4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0E3F48"/>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0E3F4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E3F48"/>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0E3F48"/>
    <w:pPr>
      <w:ind w:left="720"/>
      <w:contextualSpacing/>
    </w:pPr>
  </w:style>
  <w:style w:type="table" w:styleId="TableGrid">
    <w:name w:val="Table Grid"/>
    <w:basedOn w:val="TableNormal"/>
    <w:uiPriority w:val="39"/>
    <w:rsid w:val="000E3F48"/>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3F48"/>
    <w:rPr>
      <w:sz w:val="16"/>
      <w:szCs w:val="16"/>
    </w:rPr>
  </w:style>
  <w:style w:type="paragraph" w:styleId="CommentText">
    <w:name w:val="annotation text"/>
    <w:basedOn w:val="Normal"/>
    <w:link w:val="CommentTextChar"/>
    <w:uiPriority w:val="99"/>
    <w:unhideWhenUsed/>
    <w:rsid w:val="000E3F48"/>
    <w:pPr>
      <w:spacing w:line="240" w:lineRule="auto"/>
    </w:pPr>
    <w:rPr>
      <w:sz w:val="20"/>
      <w:szCs w:val="20"/>
    </w:rPr>
  </w:style>
  <w:style w:type="character" w:customStyle="1" w:styleId="CommentTextChar">
    <w:name w:val="Comment Text Char"/>
    <w:basedOn w:val="DefaultParagraphFont"/>
    <w:link w:val="CommentText"/>
    <w:uiPriority w:val="99"/>
    <w:rsid w:val="000E3F48"/>
    <w:rPr>
      <w:sz w:val="20"/>
      <w:szCs w:val="20"/>
      <w:lang w:val="en-US"/>
    </w:rPr>
  </w:style>
  <w:style w:type="paragraph" w:styleId="CommentSubject">
    <w:name w:val="annotation subject"/>
    <w:basedOn w:val="CommentText"/>
    <w:next w:val="CommentText"/>
    <w:link w:val="CommentSubjectChar"/>
    <w:uiPriority w:val="99"/>
    <w:semiHidden/>
    <w:unhideWhenUsed/>
    <w:rsid w:val="000E3F48"/>
    <w:rPr>
      <w:b/>
      <w:bCs/>
    </w:rPr>
  </w:style>
  <w:style w:type="character" w:customStyle="1" w:styleId="CommentSubjectChar">
    <w:name w:val="Comment Subject Char"/>
    <w:basedOn w:val="CommentTextChar"/>
    <w:link w:val="CommentSubject"/>
    <w:uiPriority w:val="99"/>
    <w:semiHidden/>
    <w:rsid w:val="000E3F48"/>
    <w:rPr>
      <w:b/>
      <w:bCs/>
      <w:sz w:val="20"/>
      <w:szCs w:val="20"/>
      <w:lang w:val="en-US"/>
    </w:rPr>
  </w:style>
  <w:style w:type="paragraph" w:styleId="Revision">
    <w:name w:val="Revision"/>
    <w:hidden/>
    <w:uiPriority w:val="99"/>
    <w:semiHidden/>
    <w:rsid w:val="000E3F48"/>
    <w:pPr>
      <w:spacing w:after="0" w:line="240" w:lineRule="auto"/>
    </w:pPr>
    <w:rPr>
      <w:lang w:val="en-US"/>
    </w:rPr>
  </w:style>
  <w:style w:type="paragraph" w:styleId="BalloonText">
    <w:name w:val="Balloon Text"/>
    <w:basedOn w:val="Normal"/>
    <w:link w:val="BalloonTextChar"/>
    <w:uiPriority w:val="99"/>
    <w:semiHidden/>
    <w:unhideWhenUsed/>
    <w:rsid w:val="000E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48"/>
    <w:rPr>
      <w:rFonts w:ascii="Segoe UI" w:hAnsi="Segoe UI" w:cs="Segoe UI"/>
      <w:sz w:val="18"/>
      <w:szCs w:val="18"/>
      <w:lang w:val="en-US"/>
    </w:rPr>
  </w:style>
  <w:style w:type="paragraph" w:styleId="Header">
    <w:name w:val="header"/>
    <w:basedOn w:val="Normal"/>
    <w:link w:val="HeaderChar"/>
    <w:uiPriority w:val="99"/>
    <w:unhideWhenUsed/>
    <w:rsid w:val="000E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48"/>
    <w:rPr>
      <w:lang w:val="en-US"/>
    </w:rPr>
  </w:style>
  <w:style w:type="paragraph" w:styleId="Footer">
    <w:name w:val="footer"/>
    <w:basedOn w:val="Normal"/>
    <w:link w:val="FooterChar"/>
    <w:uiPriority w:val="99"/>
    <w:unhideWhenUsed/>
    <w:rsid w:val="000E3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48"/>
    <w:rPr>
      <w:lang w:val="en-US"/>
    </w:rPr>
  </w:style>
  <w:style w:type="paragraph" w:styleId="NoSpacing">
    <w:name w:val="No Spacing"/>
    <w:uiPriority w:val="1"/>
    <w:qFormat/>
    <w:rsid w:val="000E3F48"/>
    <w:pPr>
      <w:spacing w:after="0" w:line="240" w:lineRule="auto"/>
    </w:pPr>
    <w:rPr>
      <w:lang w:val="en-US"/>
    </w:rPr>
  </w:style>
  <w:style w:type="paragraph" w:styleId="TOCHeading">
    <w:name w:val="TOC Heading"/>
    <w:basedOn w:val="Heading1"/>
    <w:next w:val="Normal"/>
    <w:uiPriority w:val="39"/>
    <w:unhideWhenUsed/>
    <w:qFormat/>
    <w:rsid w:val="000E3F48"/>
    <w:pPr>
      <w:ind w:left="0" w:firstLine="0"/>
      <w:outlineLvl w:val="9"/>
    </w:pPr>
  </w:style>
  <w:style w:type="paragraph" w:styleId="TOC1">
    <w:name w:val="toc 1"/>
    <w:basedOn w:val="Normal"/>
    <w:next w:val="Normal"/>
    <w:autoRedefine/>
    <w:uiPriority w:val="39"/>
    <w:unhideWhenUsed/>
    <w:rsid w:val="000E3F48"/>
    <w:pPr>
      <w:tabs>
        <w:tab w:val="right" w:leader="dot" w:pos="9350"/>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E3F48"/>
    <w:pPr>
      <w:spacing w:after="100"/>
      <w:ind w:left="220"/>
    </w:pPr>
  </w:style>
  <w:style w:type="paragraph" w:styleId="TOC3">
    <w:name w:val="toc 3"/>
    <w:basedOn w:val="Normal"/>
    <w:next w:val="Normal"/>
    <w:autoRedefine/>
    <w:uiPriority w:val="39"/>
    <w:unhideWhenUsed/>
    <w:rsid w:val="000E3F48"/>
    <w:pPr>
      <w:spacing w:after="100"/>
      <w:ind w:left="440"/>
    </w:pPr>
  </w:style>
  <w:style w:type="paragraph" w:styleId="Caption">
    <w:name w:val="caption"/>
    <w:basedOn w:val="Normal"/>
    <w:next w:val="Normal"/>
    <w:uiPriority w:val="35"/>
    <w:unhideWhenUsed/>
    <w:qFormat/>
    <w:rsid w:val="000E3F48"/>
    <w:pPr>
      <w:spacing w:before="240" w:after="0" w:line="360" w:lineRule="auto"/>
      <w:ind w:left="1134" w:hanging="1134"/>
    </w:pPr>
    <w:rPr>
      <w:rFonts w:ascii="Times New Roman" w:hAnsi="Times New Roman" w:cs="Times New Roman"/>
      <w:b/>
      <w:bCs/>
      <w:sz w:val="24"/>
      <w:szCs w:val="18"/>
    </w:rPr>
  </w:style>
  <w:style w:type="table" w:customStyle="1" w:styleId="TableGridLight1">
    <w:name w:val="Table Grid Light1"/>
    <w:basedOn w:val="TableNormal"/>
    <w:uiPriority w:val="40"/>
    <w:rsid w:val="000E3F48"/>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0E3F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0E3F48"/>
    <w:pPr>
      <w:spacing w:after="0" w:line="240" w:lineRule="auto"/>
      <w:jc w:val="center"/>
    </w:pPr>
    <w:rPr>
      <w:rFonts w:ascii="Verdana" w:eastAsia="Times New Roman" w:hAnsi="Verdana" w:cs="Times New Roman"/>
      <w:b/>
      <w:sz w:val="20"/>
      <w:szCs w:val="20"/>
      <w:lang w:val="en-GB"/>
    </w:rPr>
  </w:style>
  <w:style w:type="character" w:customStyle="1" w:styleId="BodyText2Char">
    <w:name w:val="Body Text 2 Char"/>
    <w:basedOn w:val="DefaultParagraphFont"/>
    <w:link w:val="BodyText2"/>
    <w:semiHidden/>
    <w:rsid w:val="000E3F48"/>
    <w:rPr>
      <w:rFonts w:ascii="Verdana" w:eastAsia="Times New Roman" w:hAnsi="Verdana" w:cs="Times New Roman"/>
      <w:b/>
      <w:sz w:val="20"/>
      <w:szCs w:val="20"/>
    </w:rPr>
  </w:style>
  <w:style w:type="paragraph" w:styleId="TableofFigures">
    <w:name w:val="table of figures"/>
    <w:basedOn w:val="Normal"/>
    <w:next w:val="Normal"/>
    <w:uiPriority w:val="99"/>
    <w:unhideWhenUsed/>
    <w:rsid w:val="000E3F48"/>
    <w:pPr>
      <w:spacing w:after="0"/>
    </w:pPr>
  </w:style>
  <w:style w:type="character" w:styleId="Emphasis">
    <w:name w:val="Emphasis"/>
    <w:basedOn w:val="DefaultParagraphFont"/>
    <w:uiPriority w:val="20"/>
    <w:qFormat/>
    <w:rsid w:val="001D572C"/>
    <w:rPr>
      <w:i/>
      <w:iCs/>
    </w:rPr>
  </w:style>
  <w:style w:type="character" w:customStyle="1" w:styleId="UnresolvedMention1">
    <w:name w:val="Unresolved Mention1"/>
    <w:basedOn w:val="DefaultParagraphFont"/>
    <w:uiPriority w:val="99"/>
    <w:semiHidden/>
    <w:unhideWhenUsed/>
    <w:rsid w:val="00CA4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0120">
      <w:bodyDiv w:val="1"/>
      <w:marLeft w:val="0"/>
      <w:marRight w:val="0"/>
      <w:marTop w:val="0"/>
      <w:marBottom w:val="0"/>
      <w:divBdr>
        <w:top w:val="none" w:sz="0" w:space="0" w:color="auto"/>
        <w:left w:val="none" w:sz="0" w:space="0" w:color="auto"/>
        <w:bottom w:val="none" w:sz="0" w:space="0" w:color="auto"/>
        <w:right w:val="none" w:sz="0" w:space="0" w:color="auto"/>
      </w:divBdr>
    </w:div>
    <w:div w:id="217130021">
      <w:bodyDiv w:val="1"/>
      <w:marLeft w:val="0"/>
      <w:marRight w:val="0"/>
      <w:marTop w:val="0"/>
      <w:marBottom w:val="0"/>
      <w:divBdr>
        <w:top w:val="none" w:sz="0" w:space="0" w:color="auto"/>
        <w:left w:val="none" w:sz="0" w:space="0" w:color="auto"/>
        <w:bottom w:val="none" w:sz="0" w:space="0" w:color="auto"/>
        <w:right w:val="none" w:sz="0" w:space="0" w:color="auto"/>
      </w:divBdr>
    </w:div>
    <w:div w:id="301230673">
      <w:bodyDiv w:val="1"/>
      <w:marLeft w:val="0"/>
      <w:marRight w:val="0"/>
      <w:marTop w:val="0"/>
      <w:marBottom w:val="0"/>
      <w:divBdr>
        <w:top w:val="none" w:sz="0" w:space="0" w:color="auto"/>
        <w:left w:val="none" w:sz="0" w:space="0" w:color="auto"/>
        <w:bottom w:val="none" w:sz="0" w:space="0" w:color="auto"/>
        <w:right w:val="none" w:sz="0" w:space="0" w:color="auto"/>
      </w:divBdr>
    </w:div>
    <w:div w:id="313066219">
      <w:bodyDiv w:val="1"/>
      <w:marLeft w:val="0"/>
      <w:marRight w:val="0"/>
      <w:marTop w:val="0"/>
      <w:marBottom w:val="0"/>
      <w:divBdr>
        <w:top w:val="none" w:sz="0" w:space="0" w:color="auto"/>
        <w:left w:val="none" w:sz="0" w:space="0" w:color="auto"/>
        <w:bottom w:val="none" w:sz="0" w:space="0" w:color="auto"/>
        <w:right w:val="none" w:sz="0" w:space="0" w:color="auto"/>
      </w:divBdr>
      <w:divsChild>
        <w:div w:id="1448309081">
          <w:marLeft w:val="360"/>
          <w:marRight w:val="0"/>
          <w:marTop w:val="200"/>
          <w:marBottom w:val="0"/>
          <w:divBdr>
            <w:top w:val="none" w:sz="0" w:space="0" w:color="auto"/>
            <w:left w:val="none" w:sz="0" w:space="0" w:color="auto"/>
            <w:bottom w:val="none" w:sz="0" w:space="0" w:color="auto"/>
            <w:right w:val="none" w:sz="0" w:space="0" w:color="auto"/>
          </w:divBdr>
        </w:div>
        <w:div w:id="1587955000">
          <w:marLeft w:val="360"/>
          <w:marRight w:val="0"/>
          <w:marTop w:val="200"/>
          <w:marBottom w:val="0"/>
          <w:divBdr>
            <w:top w:val="none" w:sz="0" w:space="0" w:color="auto"/>
            <w:left w:val="none" w:sz="0" w:space="0" w:color="auto"/>
            <w:bottom w:val="none" w:sz="0" w:space="0" w:color="auto"/>
            <w:right w:val="none" w:sz="0" w:space="0" w:color="auto"/>
          </w:divBdr>
        </w:div>
      </w:divsChild>
    </w:div>
    <w:div w:id="437992882">
      <w:bodyDiv w:val="1"/>
      <w:marLeft w:val="0"/>
      <w:marRight w:val="0"/>
      <w:marTop w:val="0"/>
      <w:marBottom w:val="0"/>
      <w:divBdr>
        <w:top w:val="none" w:sz="0" w:space="0" w:color="auto"/>
        <w:left w:val="none" w:sz="0" w:space="0" w:color="auto"/>
        <w:bottom w:val="none" w:sz="0" w:space="0" w:color="auto"/>
        <w:right w:val="none" w:sz="0" w:space="0" w:color="auto"/>
      </w:divBdr>
    </w:div>
    <w:div w:id="445000168">
      <w:bodyDiv w:val="1"/>
      <w:marLeft w:val="0"/>
      <w:marRight w:val="0"/>
      <w:marTop w:val="0"/>
      <w:marBottom w:val="0"/>
      <w:divBdr>
        <w:top w:val="none" w:sz="0" w:space="0" w:color="auto"/>
        <w:left w:val="none" w:sz="0" w:space="0" w:color="auto"/>
        <w:bottom w:val="none" w:sz="0" w:space="0" w:color="auto"/>
        <w:right w:val="none" w:sz="0" w:space="0" w:color="auto"/>
      </w:divBdr>
    </w:div>
    <w:div w:id="554127454">
      <w:bodyDiv w:val="1"/>
      <w:marLeft w:val="0"/>
      <w:marRight w:val="0"/>
      <w:marTop w:val="0"/>
      <w:marBottom w:val="0"/>
      <w:divBdr>
        <w:top w:val="none" w:sz="0" w:space="0" w:color="auto"/>
        <w:left w:val="none" w:sz="0" w:space="0" w:color="auto"/>
        <w:bottom w:val="none" w:sz="0" w:space="0" w:color="auto"/>
        <w:right w:val="none" w:sz="0" w:space="0" w:color="auto"/>
      </w:divBdr>
      <w:divsChild>
        <w:div w:id="1160079159">
          <w:marLeft w:val="360"/>
          <w:marRight w:val="0"/>
          <w:marTop w:val="200"/>
          <w:marBottom w:val="0"/>
          <w:divBdr>
            <w:top w:val="none" w:sz="0" w:space="0" w:color="auto"/>
            <w:left w:val="none" w:sz="0" w:space="0" w:color="auto"/>
            <w:bottom w:val="none" w:sz="0" w:space="0" w:color="auto"/>
            <w:right w:val="none" w:sz="0" w:space="0" w:color="auto"/>
          </w:divBdr>
        </w:div>
        <w:div w:id="2004235166">
          <w:marLeft w:val="360"/>
          <w:marRight w:val="0"/>
          <w:marTop w:val="200"/>
          <w:marBottom w:val="0"/>
          <w:divBdr>
            <w:top w:val="none" w:sz="0" w:space="0" w:color="auto"/>
            <w:left w:val="none" w:sz="0" w:space="0" w:color="auto"/>
            <w:bottom w:val="none" w:sz="0" w:space="0" w:color="auto"/>
            <w:right w:val="none" w:sz="0" w:space="0" w:color="auto"/>
          </w:divBdr>
        </w:div>
        <w:div w:id="500856537">
          <w:marLeft w:val="360"/>
          <w:marRight w:val="0"/>
          <w:marTop w:val="200"/>
          <w:marBottom w:val="0"/>
          <w:divBdr>
            <w:top w:val="none" w:sz="0" w:space="0" w:color="auto"/>
            <w:left w:val="none" w:sz="0" w:space="0" w:color="auto"/>
            <w:bottom w:val="none" w:sz="0" w:space="0" w:color="auto"/>
            <w:right w:val="none" w:sz="0" w:space="0" w:color="auto"/>
          </w:divBdr>
        </w:div>
      </w:divsChild>
    </w:div>
    <w:div w:id="665208823">
      <w:bodyDiv w:val="1"/>
      <w:marLeft w:val="0"/>
      <w:marRight w:val="0"/>
      <w:marTop w:val="0"/>
      <w:marBottom w:val="0"/>
      <w:divBdr>
        <w:top w:val="none" w:sz="0" w:space="0" w:color="auto"/>
        <w:left w:val="none" w:sz="0" w:space="0" w:color="auto"/>
        <w:bottom w:val="none" w:sz="0" w:space="0" w:color="auto"/>
        <w:right w:val="none" w:sz="0" w:space="0" w:color="auto"/>
      </w:divBdr>
      <w:divsChild>
        <w:div w:id="208349331">
          <w:marLeft w:val="360"/>
          <w:marRight w:val="0"/>
          <w:marTop w:val="200"/>
          <w:marBottom w:val="0"/>
          <w:divBdr>
            <w:top w:val="none" w:sz="0" w:space="0" w:color="auto"/>
            <w:left w:val="none" w:sz="0" w:space="0" w:color="auto"/>
            <w:bottom w:val="none" w:sz="0" w:space="0" w:color="auto"/>
            <w:right w:val="none" w:sz="0" w:space="0" w:color="auto"/>
          </w:divBdr>
        </w:div>
        <w:div w:id="765881770">
          <w:marLeft w:val="360"/>
          <w:marRight w:val="0"/>
          <w:marTop w:val="200"/>
          <w:marBottom w:val="0"/>
          <w:divBdr>
            <w:top w:val="none" w:sz="0" w:space="0" w:color="auto"/>
            <w:left w:val="none" w:sz="0" w:space="0" w:color="auto"/>
            <w:bottom w:val="none" w:sz="0" w:space="0" w:color="auto"/>
            <w:right w:val="none" w:sz="0" w:space="0" w:color="auto"/>
          </w:divBdr>
        </w:div>
        <w:div w:id="868180599">
          <w:marLeft w:val="360"/>
          <w:marRight w:val="0"/>
          <w:marTop w:val="200"/>
          <w:marBottom w:val="0"/>
          <w:divBdr>
            <w:top w:val="none" w:sz="0" w:space="0" w:color="auto"/>
            <w:left w:val="none" w:sz="0" w:space="0" w:color="auto"/>
            <w:bottom w:val="none" w:sz="0" w:space="0" w:color="auto"/>
            <w:right w:val="none" w:sz="0" w:space="0" w:color="auto"/>
          </w:divBdr>
        </w:div>
      </w:divsChild>
    </w:div>
    <w:div w:id="913322982">
      <w:bodyDiv w:val="1"/>
      <w:marLeft w:val="0"/>
      <w:marRight w:val="0"/>
      <w:marTop w:val="0"/>
      <w:marBottom w:val="0"/>
      <w:divBdr>
        <w:top w:val="none" w:sz="0" w:space="0" w:color="auto"/>
        <w:left w:val="none" w:sz="0" w:space="0" w:color="auto"/>
        <w:bottom w:val="none" w:sz="0" w:space="0" w:color="auto"/>
        <w:right w:val="none" w:sz="0" w:space="0" w:color="auto"/>
      </w:divBdr>
      <w:divsChild>
        <w:div w:id="394161228">
          <w:marLeft w:val="360"/>
          <w:marRight w:val="0"/>
          <w:marTop w:val="200"/>
          <w:marBottom w:val="0"/>
          <w:divBdr>
            <w:top w:val="none" w:sz="0" w:space="0" w:color="auto"/>
            <w:left w:val="none" w:sz="0" w:space="0" w:color="auto"/>
            <w:bottom w:val="none" w:sz="0" w:space="0" w:color="auto"/>
            <w:right w:val="none" w:sz="0" w:space="0" w:color="auto"/>
          </w:divBdr>
        </w:div>
        <w:div w:id="1607811248">
          <w:marLeft w:val="360"/>
          <w:marRight w:val="0"/>
          <w:marTop w:val="200"/>
          <w:marBottom w:val="0"/>
          <w:divBdr>
            <w:top w:val="none" w:sz="0" w:space="0" w:color="auto"/>
            <w:left w:val="none" w:sz="0" w:space="0" w:color="auto"/>
            <w:bottom w:val="none" w:sz="0" w:space="0" w:color="auto"/>
            <w:right w:val="none" w:sz="0" w:space="0" w:color="auto"/>
          </w:divBdr>
        </w:div>
      </w:divsChild>
    </w:div>
    <w:div w:id="978071341">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360"/>
          <w:marRight w:val="0"/>
          <w:marTop w:val="200"/>
          <w:marBottom w:val="0"/>
          <w:divBdr>
            <w:top w:val="none" w:sz="0" w:space="0" w:color="auto"/>
            <w:left w:val="none" w:sz="0" w:space="0" w:color="auto"/>
            <w:bottom w:val="none" w:sz="0" w:space="0" w:color="auto"/>
            <w:right w:val="none" w:sz="0" w:space="0" w:color="auto"/>
          </w:divBdr>
        </w:div>
        <w:div w:id="1078358732">
          <w:marLeft w:val="1080"/>
          <w:marRight w:val="0"/>
          <w:marTop w:val="100"/>
          <w:marBottom w:val="0"/>
          <w:divBdr>
            <w:top w:val="none" w:sz="0" w:space="0" w:color="auto"/>
            <w:left w:val="none" w:sz="0" w:space="0" w:color="auto"/>
            <w:bottom w:val="none" w:sz="0" w:space="0" w:color="auto"/>
            <w:right w:val="none" w:sz="0" w:space="0" w:color="auto"/>
          </w:divBdr>
        </w:div>
        <w:div w:id="1399131014">
          <w:marLeft w:val="1080"/>
          <w:marRight w:val="0"/>
          <w:marTop w:val="100"/>
          <w:marBottom w:val="0"/>
          <w:divBdr>
            <w:top w:val="none" w:sz="0" w:space="0" w:color="auto"/>
            <w:left w:val="none" w:sz="0" w:space="0" w:color="auto"/>
            <w:bottom w:val="none" w:sz="0" w:space="0" w:color="auto"/>
            <w:right w:val="none" w:sz="0" w:space="0" w:color="auto"/>
          </w:divBdr>
        </w:div>
        <w:div w:id="1936589095">
          <w:marLeft w:val="1080"/>
          <w:marRight w:val="0"/>
          <w:marTop w:val="100"/>
          <w:marBottom w:val="0"/>
          <w:divBdr>
            <w:top w:val="none" w:sz="0" w:space="0" w:color="auto"/>
            <w:left w:val="none" w:sz="0" w:space="0" w:color="auto"/>
            <w:bottom w:val="none" w:sz="0" w:space="0" w:color="auto"/>
            <w:right w:val="none" w:sz="0" w:space="0" w:color="auto"/>
          </w:divBdr>
        </w:div>
      </w:divsChild>
    </w:div>
    <w:div w:id="1089618803">
      <w:bodyDiv w:val="1"/>
      <w:marLeft w:val="0"/>
      <w:marRight w:val="0"/>
      <w:marTop w:val="0"/>
      <w:marBottom w:val="0"/>
      <w:divBdr>
        <w:top w:val="none" w:sz="0" w:space="0" w:color="auto"/>
        <w:left w:val="none" w:sz="0" w:space="0" w:color="auto"/>
        <w:bottom w:val="none" w:sz="0" w:space="0" w:color="auto"/>
        <w:right w:val="none" w:sz="0" w:space="0" w:color="auto"/>
      </w:divBdr>
      <w:divsChild>
        <w:div w:id="1949853948">
          <w:marLeft w:val="360"/>
          <w:marRight w:val="0"/>
          <w:marTop w:val="200"/>
          <w:marBottom w:val="0"/>
          <w:divBdr>
            <w:top w:val="none" w:sz="0" w:space="0" w:color="auto"/>
            <w:left w:val="none" w:sz="0" w:space="0" w:color="auto"/>
            <w:bottom w:val="none" w:sz="0" w:space="0" w:color="auto"/>
            <w:right w:val="none" w:sz="0" w:space="0" w:color="auto"/>
          </w:divBdr>
        </w:div>
        <w:div w:id="752899700">
          <w:marLeft w:val="360"/>
          <w:marRight w:val="0"/>
          <w:marTop w:val="200"/>
          <w:marBottom w:val="0"/>
          <w:divBdr>
            <w:top w:val="none" w:sz="0" w:space="0" w:color="auto"/>
            <w:left w:val="none" w:sz="0" w:space="0" w:color="auto"/>
            <w:bottom w:val="none" w:sz="0" w:space="0" w:color="auto"/>
            <w:right w:val="none" w:sz="0" w:space="0" w:color="auto"/>
          </w:divBdr>
        </w:div>
      </w:divsChild>
    </w:div>
    <w:div w:id="1273630340">
      <w:bodyDiv w:val="1"/>
      <w:marLeft w:val="0"/>
      <w:marRight w:val="0"/>
      <w:marTop w:val="0"/>
      <w:marBottom w:val="0"/>
      <w:divBdr>
        <w:top w:val="none" w:sz="0" w:space="0" w:color="auto"/>
        <w:left w:val="none" w:sz="0" w:space="0" w:color="auto"/>
        <w:bottom w:val="none" w:sz="0" w:space="0" w:color="auto"/>
        <w:right w:val="none" w:sz="0" w:space="0" w:color="auto"/>
      </w:divBdr>
      <w:divsChild>
        <w:div w:id="404111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457095">
      <w:bodyDiv w:val="1"/>
      <w:marLeft w:val="0"/>
      <w:marRight w:val="0"/>
      <w:marTop w:val="0"/>
      <w:marBottom w:val="0"/>
      <w:divBdr>
        <w:top w:val="none" w:sz="0" w:space="0" w:color="auto"/>
        <w:left w:val="none" w:sz="0" w:space="0" w:color="auto"/>
        <w:bottom w:val="none" w:sz="0" w:space="0" w:color="auto"/>
        <w:right w:val="none" w:sz="0" w:space="0" w:color="auto"/>
      </w:divBdr>
    </w:div>
    <w:div w:id="1399093316">
      <w:bodyDiv w:val="1"/>
      <w:marLeft w:val="0"/>
      <w:marRight w:val="0"/>
      <w:marTop w:val="0"/>
      <w:marBottom w:val="0"/>
      <w:divBdr>
        <w:top w:val="none" w:sz="0" w:space="0" w:color="auto"/>
        <w:left w:val="none" w:sz="0" w:space="0" w:color="auto"/>
        <w:bottom w:val="none" w:sz="0" w:space="0" w:color="auto"/>
        <w:right w:val="none" w:sz="0" w:space="0" w:color="auto"/>
      </w:divBdr>
    </w:div>
    <w:div w:id="1641764406">
      <w:bodyDiv w:val="1"/>
      <w:marLeft w:val="0"/>
      <w:marRight w:val="0"/>
      <w:marTop w:val="0"/>
      <w:marBottom w:val="0"/>
      <w:divBdr>
        <w:top w:val="none" w:sz="0" w:space="0" w:color="auto"/>
        <w:left w:val="none" w:sz="0" w:space="0" w:color="auto"/>
        <w:bottom w:val="none" w:sz="0" w:space="0" w:color="auto"/>
        <w:right w:val="none" w:sz="0" w:space="0" w:color="auto"/>
      </w:divBdr>
      <w:divsChild>
        <w:div w:id="883753331">
          <w:marLeft w:val="360"/>
          <w:marRight w:val="0"/>
          <w:marTop w:val="200"/>
          <w:marBottom w:val="0"/>
          <w:divBdr>
            <w:top w:val="none" w:sz="0" w:space="0" w:color="auto"/>
            <w:left w:val="none" w:sz="0" w:space="0" w:color="auto"/>
            <w:bottom w:val="none" w:sz="0" w:space="0" w:color="auto"/>
            <w:right w:val="none" w:sz="0" w:space="0" w:color="auto"/>
          </w:divBdr>
        </w:div>
        <w:div w:id="392696839">
          <w:marLeft w:val="360"/>
          <w:marRight w:val="0"/>
          <w:marTop w:val="200"/>
          <w:marBottom w:val="0"/>
          <w:divBdr>
            <w:top w:val="none" w:sz="0" w:space="0" w:color="auto"/>
            <w:left w:val="none" w:sz="0" w:space="0" w:color="auto"/>
            <w:bottom w:val="none" w:sz="0" w:space="0" w:color="auto"/>
            <w:right w:val="none" w:sz="0" w:space="0" w:color="auto"/>
          </w:divBdr>
        </w:div>
      </w:divsChild>
    </w:div>
    <w:div w:id="1841309916">
      <w:bodyDiv w:val="1"/>
      <w:marLeft w:val="0"/>
      <w:marRight w:val="0"/>
      <w:marTop w:val="0"/>
      <w:marBottom w:val="0"/>
      <w:divBdr>
        <w:top w:val="none" w:sz="0" w:space="0" w:color="auto"/>
        <w:left w:val="none" w:sz="0" w:space="0" w:color="auto"/>
        <w:bottom w:val="none" w:sz="0" w:space="0" w:color="auto"/>
        <w:right w:val="none" w:sz="0" w:space="0" w:color="auto"/>
      </w:divBdr>
    </w:div>
    <w:div w:id="1871871151">
      <w:bodyDiv w:val="1"/>
      <w:marLeft w:val="0"/>
      <w:marRight w:val="0"/>
      <w:marTop w:val="0"/>
      <w:marBottom w:val="0"/>
      <w:divBdr>
        <w:top w:val="none" w:sz="0" w:space="0" w:color="auto"/>
        <w:left w:val="none" w:sz="0" w:space="0" w:color="auto"/>
        <w:bottom w:val="none" w:sz="0" w:space="0" w:color="auto"/>
        <w:right w:val="none" w:sz="0" w:space="0" w:color="auto"/>
      </w:divBdr>
    </w:div>
    <w:div w:id="1883905988">
      <w:bodyDiv w:val="1"/>
      <w:marLeft w:val="0"/>
      <w:marRight w:val="0"/>
      <w:marTop w:val="0"/>
      <w:marBottom w:val="0"/>
      <w:divBdr>
        <w:top w:val="none" w:sz="0" w:space="0" w:color="auto"/>
        <w:left w:val="none" w:sz="0" w:space="0" w:color="auto"/>
        <w:bottom w:val="none" w:sz="0" w:space="0" w:color="auto"/>
        <w:right w:val="none" w:sz="0" w:space="0" w:color="auto"/>
      </w:divBdr>
    </w:div>
    <w:div w:id="1913612411">
      <w:bodyDiv w:val="1"/>
      <w:marLeft w:val="0"/>
      <w:marRight w:val="0"/>
      <w:marTop w:val="0"/>
      <w:marBottom w:val="0"/>
      <w:divBdr>
        <w:top w:val="none" w:sz="0" w:space="0" w:color="auto"/>
        <w:left w:val="none" w:sz="0" w:space="0" w:color="auto"/>
        <w:bottom w:val="none" w:sz="0" w:space="0" w:color="auto"/>
        <w:right w:val="none" w:sz="0" w:space="0" w:color="auto"/>
      </w:divBdr>
    </w:div>
    <w:div w:id="2089421072">
      <w:bodyDiv w:val="1"/>
      <w:marLeft w:val="0"/>
      <w:marRight w:val="0"/>
      <w:marTop w:val="0"/>
      <w:marBottom w:val="0"/>
      <w:divBdr>
        <w:top w:val="none" w:sz="0" w:space="0" w:color="auto"/>
        <w:left w:val="none" w:sz="0" w:space="0" w:color="auto"/>
        <w:bottom w:val="none" w:sz="0" w:space="0" w:color="auto"/>
        <w:right w:val="none" w:sz="0" w:space="0" w:color="auto"/>
      </w:divBdr>
      <w:divsChild>
        <w:div w:id="791092334">
          <w:marLeft w:val="360"/>
          <w:marRight w:val="0"/>
          <w:marTop w:val="200"/>
          <w:marBottom w:val="0"/>
          <w:divBdr>
            <w:top w:val="none" w:sz="0" w:space="0" w:color="auto"/>
            <w:left w:val="none" w:sz="0" w:space="0" w:color="auto"/>
            <w:bottom w:val="none" w:sz="0" w:space="0" w:color="auto"/>
            <w:right w:val="none" w:sz="0" w:space="0" w:color="auto"/>
          </w:divBdr>
        </w:div>
        <w:div w:id="66147698">
          <w:marLeft w:val="360"/>
          <w:marRight w:val="0"/>
          <w:marTop w:val="200"/>
          <w:marBottom w:val="0"/>
          <w:divBdr>
            <w:top w:val="none" w:sz="0" w:space="0" w:color="auto"/>
            <w:left w:val="none" w:sz="0" w:space="0" w:color="auto"/>
            <w:bottom w:val="none" w:sz="0" w:space="0" w:color="auto"/>
            <w:right w:val="none" w:sz="0" w:space="0" w:color="auto"/>
          </w:divBdr>
        </w:div>
        <w:div w:id="1293051432">
          <w:marLeft w:val="360"/>
          <w:marRight w:val="0"/>
          <w:marTop w:val="200"/>
          <w:marBottom w:val="0"/>
          <w:divBdr>
            <w:top w:val="none" w:sz="0" w:space="0" w:color="auto"/>
            <w:left w:val="none" w:sz="0" w:space="0" w:color="auto"/>
            <w:bottom w:val="none" w:sz="0" w:space="0" w:color="auto"/>
            <w:right w:val="none" w:sz="0" w:space="0" w:color="auto"/>
          </w:divBdr>
        </w:div>
        <w:div w:id="1585186850">
          <w:marLeft w:val="360"/>
          <w:marRight w:val="0"/>
          <w:marTop w:val="200"/>
          <w:marBottom w:val="0"/>
          <w:divBdr>
            <w:top w:val="none" w:sz="0" w:space="0" w:color="auto"/>
            <w:left w:val="none" w:sz="0" w:space="0" w:color="auto"/>
            <w:bottom w:val="none" w:sz="0" w:space="0" w:color="auto"/>
            <w:right w:val="none" w:sz="0" w:space="0" w:color="auto"/>
          </w:divBdr>
        </w:div>
      </w:divsChild>
    </w:div>
    <w:div w:id="2102335753">
      <w:bodyDiv w:val="1"/>
      <w:marLeft w:val="0"/>
      <w:marRight w:val="0"/>
      <w:marTop w:val="0"/>
      <w:marBottom w:val="0"/>
      <w:divBdr>
        <w:top w:val="none" w:sz="0" w:space="0" w:color="auto"/>
        <w:left w:val="none" w:sz="0" w:space="0" w:color="auto"/>
        <w:bottom w:val="none" w:sz="0" w:space="0" w:color="auto"/>
        <w:right w:val="none" w:sz="0" w:space="0" w:color="auto"/>
      </w:divBdr>
    </w:div>
    <w:div w:id="2106222599">
      <w:bodyDiv w:val="1"/>
      <w:marLeft w:val="0"/>
      <w:marRight w:val="0"/>
      <w:marTop w:val="0"/>
      <w:marBottom w:val="0"/>
      <w:divBdr>
        <w:top w:val="none" w:sz="0" w:space="0" w:color="auto"/>
        <w:left w:val="none" w:sz="0" w:space="0" w:color="auto"/>
        <w:bottom w:val="none" w:sz="0" w:space="0" w:color="auto"/>
        <w:right w:val="none" w:sz="0" w:space="0" w:color="auto"/>
      </w:divBdr>
      <w:divsChild>
        <w:div w:id="408617383">
          <w:marLeft w:val="360"/>
          <w:marRight w:val="0"/>
          <w:marTop w:val="200"/>
          <w:marBottom w:val="0"/>
          <w:divBdr>
            <w:top w:val="none" w:sz="0" w:space="0" w:color="auto"/>
            <w:left w:val="none" w:sz="0" w:space="0" w:color="auto"/>
            <w:bottom w:val="none" w:sz="0" w:space="0" w:color="auto"/>
            <w:right w:val="none" w:sz="0" w:space="0" w:color="auto"/>
          </w:divBdr>
        </w:div>
        <w:div w:id="1748115954">
          <w:marLeft w:val="360"/>
          <w:marRight w:val="0"/>
          <w:marTop w:val="200"/>
          <w:marBottom w:val="0"/>
          <w:divBdr>
            <w:top w:val="none" w:sz="0" w:space="0" w:color="auto"/>
            <w:left w:val="none" w:sz="0" w:space="0" w:color="auto"/>
            <w:bottom w:val="none" w:sz="0" w:space="0" w:color="auto"/>
            <w:right w:val="none" w:sz="0" w:space="0" w:color="auto"/>
          </w:divBdr>
        </w:div>
        <w:div w:id="1951549803">
          <w:marLeft w:val="360"/>
          <w:marRight w:val="0"/>
          <w:marTop w:val="200"/>
          <w:marBottom w:val="0"/>
          <w:divBdr>
            <w:top w:val="none" w:sz="0" w:space="0" w:color="auto"/>
            <w:left w:val="none" w:sz="0" w:space="0" w:color="auto"/>
            <w:bottom w:val="none" w:sz="0" w:space="0" w:color="auto"/>
            <w:right w:val="none" w:sz="0" w:space="0" w:color="auto"/>
          </w:divBdr>
        </w:div>
        <w:div w:id="16682399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DF71-0C6D-444A-9D65-ED2ACFCA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15</Pages>
  <Words>29867</Words>
  <Characters>170244</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1183</cp:lastModifiedBy>
  <cp:revision>345</cp:revision>
  <dcterms:created xsi:type="dcterms:W3CDTF">2025-05-28T10:39:00Z</dcterms:created>
  <dcterms:modified xsi:type="dcterms:W3CDTF">2025-07-08T08:45:00Z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e4a14d3a-5204-387f-8a9a-7440c22cdf5a</vt:lpwstr>
  </property>
  <property fmtid="{D5CDD505-2E9C-101B-9397-08002B2CF9AE}" pid="24" name="Mendeley Citation Style_1">
    <vt:lpwstr>http://www.zotero.org/styles/harvard1</vt:lpwstr>
  </property>
</Properties>
</file>