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EDD5F" w14:textId="0D5F7E3A" w:rsidR="00845BE9" w:rsidRDefault="00845BE9" w:rsidP="00A96836">
      <w:pPr>
        <w:spacing w:line="360" w:lineRule="auto"/>
        <w:jc w:val="both"/>
        <w:rPr>
          <w:rFonts w:ascii="Times New Roman" w:eastAsia="Times New Roman" w:hAnsi="Times New Roman" w:cs="Times New Roman"/>
        </w:rPr>
      </w:pPr>
    </w:p>
    <w:p w14:paraId="237A1C29" w14:textId="2F455D5C" w:rsidR="00845BE9" w:rsidRPr="00A81A85" w:rsidRDefault="00FD69D9" w:rsidP="00A96836">
      <w:pPr>
        <w:spacing w:line="360" w:lineRule="auto"/>
        <w:jc w:val="both"/>
        <w:rPr>
          <w:rFonts w:ascii="Times New Roman" w:eastAsia="Times New Roman" w:hAnsi="Times New Roman" w:cs="Times New Roman"/>
          <w:b/>
        </w:rPr>
      </w:pPr>
      <w:bookmarkStart w:id="0" w:name="_GoBack"/>
      <w:r w:rsidRPr="00A81A85">
        <w:rPr>
          <w:rFonts w:ascii="Times New Roman" w:eastAsia="Times New Roman" w:hAnsi="Times New Roman" w:cs="Times New Roman"/>
          <w:b/>
        </w:rPr>
        <w:t>Efficacy of Limited Cyclophotocoagulation in the Treatment of Refractory Glaucoma Among Adults</w:t>
      </w:r>
      <w:r w:rsidR="008D09A2" w:rsidRPr="00A81A85">
        <w:rPr>
          <w:rFonts w:ascii="Times New Roman" w:eastAsia="Times New Roman" w:hAnsi="Times New Roman" w:cs="Times New Roman"/>
          <w:b/>
        </w:rPr>
        <w:t xml:space="preserve"> Patients</w:t>
      </w:r>
      <w:r w:rsidRPr="00A81A85">
        <w:rPr>
          <w:rFonts w:ascii="Times New Roman" w:eastAsia="Times New Roman" w:hAnsi="Times New Roman" w:cs="Times New Roman"/>
          <w:b/>
        </w:rPr>
        <w:t xml:space="preserve"> Treated at a Tertiary Hospital in Northern Tanzania</w:t>
      </w:r>
    </w:p>
    <w:bookmarkEnd w:id="0"/>
    <w:p w14:paraId="1350C936" w14:textId="4765A7A5" w:rsidR="00C3277B" w:rsidRDefault="005230D8" w:rsidP="00A96836">
      <w:pPr>
        <w:pStyle w:val="NormalWeb"/>
        <w:spacing w:line="360" w:lineRule="auto"/>
        <w:jc w:val="both"/>
        <w:rPr>
          <w:rStyle w:val="Strong"/>
        </w:rPr>
      </w:pPr>
      <w:r w:rsidRPr="00A96836">
        <w:rPr>
          <w:rStyle w:val="Strong"/>
        </w:rPr>
        <w:t>Abstract</w:t>
      </w:r>
    </w:p>
    <w:p w14:paraId="21DD447A" w14:textId="616921FA" w:rsidR="00C3277B" w:rsidRDefault="00C3277B" w:rsidP="00A96836">
      <w:pPr>
        <w:pStyle w:val="NormalWeb"/>
        <w:spacing w:line="360" w:lineRule="auto"/>
        <w:jc w:val="both"/>
        <w:rPr>
          <w:rStyle w:val="Strong"/>
          <w:b w:val="0"/>
          <w:bCs w:val="0"/>
        </w:rPr>
      </w:pPr>
      <w:r>
        <w:rPr>
          <w:rStyle w:val="Strong"/>
        </w:rPr>
        <w:t xml:space="preserve">Background: </w:t>
      </w:r>
      <w:r w:rsidRPr="00C3277B">
        <w:rPr>
          <w:rStyle w:val="Strong"/>
          <w:b w:val="0"/>
          <w:bCs w:val="0"/>
        </w:rPr>
        <w:t>Refractory glaucoma</w:t>
      </w:r>
      <w:r>
        <w:rPr>
          <w:rStyle w:val="Strong"/>
          <w:b w:val="0"/>
          <w:bCs w:val="0"/>
        </w:rPr>
        <w:t xml:space="preserve"> </w:t>
      </w:r>
      <w:r w:rsidR="00B84548">
        <w:rPr>
          <w:rStyle w:val="Strong"/>
          <w:b w:val="0"/>
          <w:bCs w:val="0"/>
        </w:rPr>
        <w:t>possess</w:t>
      </w:r>
      <w:r>
        <w:rPr>
          <w:rStyle w:val="Strong"/>
          <w:b w:val="0"/>
          <w:bCs w:val="0"/>
        </w:rPr>
        <w:t xml:space="preserve"> a therapeutic challenge due to poor response to standard medical and surgical treatments. Cyclophotocoagulation (CPC)</w:t>
      </w:r>
      <w:r w:rsidR="00CB7BAD">
        <w:rPr>
          <w:rStyle w:val="Strong"/>
          <w:b w:val="0"/>
          <w:bCs w:val="0"/>
        </w:rPr>
        <w:t xml:space="preserve"> is an alternative method for lowering intraocular pressure (IOP) in such cases, however its use is often limited to advanced disease due to variable outcomes and complications</w:t>
      </w:r>
      <w:r w:rsidR="00CA3EFF">
        <w:rPr>
          <w:rStyle w:val="Strong"/>
          <w:b w:val="0"/>
          <w:bCs w:val="0"/>
        </w:rPr>
        <w:t xml:space="preserve"> after destructive procedure on the ciliary body.</w:t>
      </w:r>
    </w:p>
    <w:p w14:paraId="5C2C9AAE" w14:textId="5946442F" w:rsidR="00CB7BAD" w:rsidRDefault="00CB7BAD" w:rsidP="00A96836">
      <w:pPr>
        <w:pStyle w:val="NormalWeb"/>
        <w:spacing w:line="360" w:lineRule="auto"/>
        <w:jc w:val="both"/>
        <w:rPr>
          <w:rStyle w:val="Strong"/>
          <w:b w:val="0"/>
          <w:bCs w:val="0"/>
        </w:rPr>
      </w:pPr>
      <w:r w:rsidRPr="00CB7BAD">
        <w:rPr>
          <w:rStyle w:val="Strong"/>
        </w:rPr>
        <w:t>Objective</w:t>
      </w:r>
      <w:r>
        <w:rPr>
          <w:rStyle w:val="Strong"/>
        </w:rPr>
        <w:t xml:space="preserve">: </w:t>
      </w:r>
      <w:r w:rsidRPr="00CB7BAD">
        <w:rPr>
          <w:rStyle w:val="Strong"/>
          <w:b w:val="0"/>
          <w:bCs w:val="0"/>
        </w:rPr>
        <w:t>To assess</w:t>
      </w:r>
      <w:r>
        <w:rPr>
          <w:rStyle w:val="Strong"/>
          <w:b w:val="0"/>
          <w:bCs w:val="0"/>
        </w:rPr>
        <w:t xml:space="preserve"> the efficacy of limited CPC in reducing</w:t>
      </w:r>
      <w:r w:rsidR="00A25D30">
        <w:rPr>
          <w:rStyle w:val="Strong"/>
          <w:b w:val="0"/>
          <w:bCs w:val="0"/>
        </w:rPr>
        <w:t xml:space="preserve"> IOP among adult patients with refractory glaucoma at Kilimanjaro Cristian Medical </w:t>
      </w:r>
      <w:r w:rsidR="003173B3">
        <w:rPr>
          <w:rStyle w:val="Strong"/>
          <w:b w:val="0"/>
          <w:bCs w:val="0"/>
        </w:rPr>
        <w:t xml:space="preserve">Center, Ophthalmology </w:t>
      </w:r>
      <w:r w:rsidR="00A25D30">
        <w:rPr>
          <w:rStyle w:val="Strong"/>
          <w:b w:val="0"/>
          <w:bCs w:val="0"/>
        </w:rPr>
        <w:t>department between 2023 and 2024.</w:t>
      </w:r>
    </w:p>
    <w:p w14:paraId="637DE594" w14:textId="5F8A2DE7" w:rsidR="00A25D30" w:rsidRDefault="00A25D30" w:rsidP="00A96836">
      <w:pPr>
        <w:pStyle w:val="NormalWeb"/>
        <w:spacing w:line="360" w:lineRule="auto"/>
        <w:jc w:val="both"/>
      </w:pPr>
      <w:r w:rsidRPr="00A25D30">
        <w:rPr>
          <w:rStyle w:val="Strong"/>
        </w:rPr>
        <w:t>Methodology:</w:t>
      </w:r>
      <w:r>
        <w:rPr>
          <w:rStyle w:val="Strong"/>
        </w:rPr>
        <w:t xml:space="preserve"> </w:t>
      </w:r>
      <w:r w:rsidRPr="00A25D30">
        <w:rPr>
          <w:rStyle w:val="Strong"/>
          <w:b w:val="0"/>
          <w:bCs w:val="0"/>
        </w:rPr>
        <w:t>A prospective study</w:t>
      </w:r>
      <w:r>
        <w:rPr>
          <w:rStyle w:val="Strong"/>
          <w:b w:val="0"/>
          <w:bCs w:val="0"/>
        </w:rPr>
        <w:t xml:space="preserve"> was conducted involving 74 patients who underwent transscleral CPC.</w:t>
      </w:r>
      <w:r w:rsidR="00911B44">
        <w:rPr>
          <w:rStyle w:val="Strong"/>
          <w:b w:val="0"/>
          <w:bCs w:val="0"/>
        </w:rPr>
        <w:t xml:space="preserve"> Laser was applied to the inferior </w:t>
      </w:r>
      <w:r w:rsidR="00911B44" w:rsidRPr="00A96836">
        <w:t>180°</w:t>
      </w:r>
      <w:r w:rsidR="00911B44">
        <w:t xml:space="preserve"> of the ciliary body with 10 burns per quadrant at 2000 mW for 2 seconds per burn. Treatment success was defined as achieving an IOP ≤ 21 mmHg and ≥ a 20% reduction from baseline at three months with or without treatment. </w:t>
      </w:r>
    </w:p>
    <w:p w14:paraId="7E591F18" w14:textId="74C2FBEF" w:rsidR="005230D8" w:rsidRDefault="00911B44" w:rsidP="00A96836">
      <w:pPr>
        <w:pStyle w:val="NormalWeb"/>
        <w:spacing w:line="360" w:lineRule="auto"/>
        <w:jc w:val="both"/>
      </w:pPr>
      <w:r w:rsidRPr="00911B44">
        <w:rPr>
          <w:b/>
          <w:bCs/>
        </w:rPr>
        <w:t>Results:</w:t>
      </w:r>
      <w:r>
        <w:t xml:space="preserve"> At three months, 36 patients (48.6%) achieved target IOP (≤ 21mmHg and ≥ 20% reduction), while 63 (85.1%) had at least 20% reduction in IOP. The median baseline IOP decreased </w:t>
      </w:r>
      <w:r w:rsidR="0012128A">
        <w:t>from 46.5 mmHg (IQR 39-56) to 25mmHg (IQR 18-38). Lower pre</w:t>
      </w:r>
      <w:r w:rsidR="00EE5012">
        <w:t>-</w:t>
      </w:r>
      <w:r w:rsidR="0012128A">
        <w:t xml:space="preserve">treatment IOP (AHR=0.95; 95% CI: 0.91-0.99; P= 0.015) and optic </w:t>
      </w:r>
      <w:r w:rsidR="00EE5012">
        <w:t>disc</w:t>
      </w:r>
      <w:r w:rsidR="0012128A">
        <w:t xml:space="preserve"> notching were positively associated with treatment success, while ocular comorbidities were negatively associated (AHR = 0.33; 95% CI: 0.14-0.74; P=0.007). The most common complications were transient uveitis (10.8%) and cystoid macular edema (8.1%).</w:t>
      </w:r>
    </w:p>
    <w:p w14:paraId="21385265" w14:textId="4010A22C" w:rsidR="009B6F69" w:rsidRDefault="009B6F69" w:rsidP="00A96836">
      <w:pPr>
        <w:pStyle w:val="NormalWeb"/>
        <w:spacing w:line="360" w:lineRule="auto"/>
        <w:jc w:val="both"/>
      </w:pPr>
      <w:r w:rsidRPr="000B092B">
        <w:rPr>
          <w:b/>
          <w:bCs/>
        </w:rPr>
        <w:t>Conclusion:</w:t>
      </w:r>
      <w:r>
        <w:t xml:space="preserve"> Limited CPC showed moderate effectiveness in lowering IOP after a single session, with minimal complications. However, nearly half of the patients required a repeat procedure to achieve target IOP at three months.</w:t>
      </w:r>
    </w:p>
    <w:p w14:paraId="75B0A3B3" w14:textId="77777777" w:rsidR="0091607A" w:rsidRDefault="00797BF8" w:rsidP="0091607A">
      <w:pPr>
        <w:pStyle w:val="NormalWeb"/>
        <w:spacing w:line="360" w:lineRule="auto"/>
      </w:pPr>
      <w:r w:rsidRPr="00797BF8">
        <w:rPr>
          <w:b/>
          <w:bCs/>
        </w:rPr>
        <w:lastRenderedPageBreak/>
        <w:t>Key words:</w:t>
      </w:r>
      <w:r>
        <w:t xml:space="preserve"> Refractory glaucoma, Limited cyclophotocoagulation, Transscleral CPC, Intraocular Pressure Reduction, Laser Therapy Complications.</w:t>
      </w:r>
    </w:p>
    <w:p w14:paraId="2D1FABB2" w14:textId="22D0F911" w:rsidR="000415FE" w:rsidRPr="00FA5C49" w:rsidRDefault="00732592" w:rsidP="00A96836">
      <w:pPr>
        <w:pStyle w:val="NormalWeb"/>
        <w:spacing w:line="360" w:lineRule="auto"/>
        <w:jc w:val="both"/>
        <w:rPr>
          <w:b/>
          <w:bCs/>
        </w:rPr>
      </w:pPr>
      <w:r w:rsidRPr="00A96836">
        <w:rPr>
          <w:rStyle w:val="Strong"/>
        </w:rPr>
        <w:t>Introduction</w:t>
      </w:r>
    </w:p>
    <w:p w14:paraId="36CB51EB" w14:textId="6F550C87" w:rsidR="00732592" w:rsidRDefault="000415FE" w:rsidP="00A96836">
      <w:pPr>
        <w:spacing w:line="360" w:lineRule="auto"/>
        <w:jc w:val="both"/>
        <w:rPr>
          <w:rFonts w:ascii="Times New Roman" w:hAnsi="Times New Roman" w:cs="Times New Roman"/>
        </w:rPr>
      </w:pPr>
      <w:r>
        <w:rPr>
          <w:rFonts w:ascii="Times New Roman" w:hAnsi="Times New Roman" w:cs="Times New Roman"/>
        </w:rPr>
        <w:t xml:space="preserve"> Glaucoma refers to a group</w:t>
      </w:r>
      <w:r w:rsidR="00FA5C49">
        <w:rPr>
          <w:rFonts w:ascii="Times New Roman" w:hAnsi="Times New Roman" w:cs="Times New Roman"/>
        </w:rPr>
        <w:t xml:space="preserve"> </w:t>
      </w:r>
      <w:r>
        <w:rPr>
          <w:rFonts w:ascii="Times New Roman" w:hAnsi="Times New Roman" w:cs="Times New Roman"/>
        </w:rPr>
        <w:t>of progressive optic neuropathies characterized by the degeneration of retinal ganglion cells and their axons, leading to optic disc cupping and irreversible visual field loss</w:t>
      </w:r>
      <w:r w:rsidR="00732592" w:rsidRPr="00A96836">
        <w:rPr>
          <w:rFonts w:ascii="Times New Roman" w:hAnsi="Times New Roman" w:cs="Times New Roman"/>
        </w:rPr>
        <w:t>.</w:t>
      </w:r>
      <w:r w:rsidR="00FA5C49">
        <w:rPr>
          <w:rFonts w:ascii="Times New Roman" w:hAnsi="Times New Roman" w:cs="Times New Roman"/>
        </w:rPr>
        <w:t xml:space="preserve"> If left untreated, the disease invariably results in permanent blindness</w:t>
      </w:r>
      <w:r w:rsidR="00E650D3" w:rsidRPr="00A96836">
        <w:rPr>
          <w:rFonts w:ascii="Times New Roman" w:hAnsi="Times New Roman" w:cs="Times New Roman"/>
        </w:rPr>
        <w:t xml:space="preserve"> </w:t>
      </w:r>
      <w:r w:rsidR="00E650D3" w:rsidRPr="00A96836">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{"citationItems":[{"id":"ITEM-1","itemData":{"DOI":"10.1016/j.mayocpiqo.2022.09.007","ISSN":"25424548","abstract":"Glaucoma is the leading cause of blindness throughout the world (after cataracts); therefore, general physicians should be familiar with the diagnosis and management of affected patients. Glaucomas are usually categorized by the anatomy of the anterior chamber angle (open vs narrow/closed), rapidity of onset (acute vs chronic), and major etiology (primary vs secondary). Most glaucomas are primary (ie, without a contributing comorbidity); however, several coexisting ophthalmic conditions may serve as the underlying etiologies of secondary glaucomas. Chronic glaucoma occurs most commonly; thus, regular eye examinations should be performed in at-risk patients to prevent the insidious loss of vision that can develop before diagnosis. Glaucoma damages the optic nerve and retinal nerve fiber layer, leading to peripheral and central visual field defects. Elevated intraocular pressure (IOP), a crucial determinant of disease progression, remains the only modifiable risk factor; thus, all current treatments (medications, lasers, and operations) aim to reduce the IOP. Pharmacotherapy is the usual first-line therapy, but noncompliance, undesirable adverse effects, and cost limit effectiveness. Laser and surgical treatments may lower IOP significantly over long periods and may be more cost effective than pharmacotherapy, but they are plagued by greater procedural risks and frequent treatment failures. Traditional incisional procedures have recently been replaced by several novel, minimally invasive glaucoma surgeries with improved safety profiles and only minimal decreases in efficacy. Minimally invasive glaucoma surgeries have dramatically transformed the surgical management of glaucoma; nevertheless, large, randomized trials are required to assess their long-term efficacy. ª 2022 THE AUTHORS. Published by Elsevier Inc on behalf of Mayo Foundation for Medical Education and Research. This is an open access article under the CC BY license (http://creativecommons.org/licenses/by/4.0/) n Mayo Clin Proc Inn Qual Out 2022;6(6):618-635","author":[{"dropping-particle":"V.","family":"Wagner","given":"Isabella","non-dropping-particle":"","parse-names":false,"suffix":""},{"dropping-particle":"","family":"Stewart","given":"Michael W.","non-dropping-particle":"","parse-names":false,"suffix":""},{"dropping-particle":"","family":"Dorairaj","given":"Syril K.","non-dropping-particle":"","parse-names":false,"suffix":""}],"container-title":"Mayo Clinic Proceedings: Innovations, Quality &amp; Outcomes","id":"ITEM-1","issue":"6","issued":{"date-parts":[["2022"]]},"page":"618-635","publisher":"The Authors","title":"Updates on the Diagnosis and Management of Glaucoma","type":"article-journal","volume":"6"},"uris":["http://www.mendeley.com/documents/?uuid=a139d67f-045d-42a9-b568-a44d21811f95"]}],"mendeley":{"formattedCitation":"(1)","plainTextFormattedCitation":"(1)","previouslyFormattedCitation":"(1)"},"properties":{"noteIndex":0},"schema":"https://github.com/citation-style-language/schema/raw/master/csl-citation.json"}</w:instrText>
      </w:r>
      <w:r w:rsidR="00E650D3" w:rsidRPr="00A96836">
        <w:rPr>
          <w:rFonts w:ascii="Times New Roman" w:hAnsi="Times New Roman" w:cs="Times New Roman"/>
        </w:rPr>
        <w:fldChar w:fldCharType="separate"/>
      </w:r>
      <w:r w:rsidR="006F2937" w:rsidRPr="006F2937">
        <w:rPr>
          <w:rFonts w:ascii="Times New Roman" w:hAnsi="Times New Roman" w:cs="Times New Roman"/>
          <w:noProof/>
        </w:rPr>
        <w:t>(1)</w:t>
      </w:r>
      <w:r w:rsidR="00E650D3" w:rsidRPr="00A96836">
        <w:rPr>
          <w:rFonts w:ascii="Times New Roman" w:hAnsi="Times New Roman" w:cs="Times New Roman"/>
        </w:rPr>
        <w:fldChar w:fldCharType="end"/>
      </w:r>
      <w:r w:rsidR="00FA5C49">
        <w:rPr>
          <w:rFonts w:ascii="Times New Roman" w:hAnsi="Times New Roman" w:cs="Times New Roman"/>
        </w:rPr>
        <w:t>.</w:t>
      </w:r>
      <w:r w:rsidR="00732592" w:rsidRPr="00A96836">
        <w:rPr>
          <w:rFonts w:ascii="Times New Roman" w:hAnsi="Times New Roman" w:cs="Times New Roman"/>
        </w:rPr>
        <w:t xml:space="preserve"> </w:t>
      </w:r>
      <w:r w:rsidR="00FA5C49">
        <w:rPr>
          <w:rFonts w:ascii="Times New Roman" w:hAnsi="Times New Roman" w:cs="Times New Roman"/>
        </w:rPr>
        <w:t xml:space="preserve">Although the etiology of glaucoma is multifactorial, elevated intraocular pressure (IOP) remains the only modifiable risk factor and the main target of current treatment </w:t>
      </w:r>
      <w:r w:rsidR="0087693D">
        <w:rPr>
          <w:rFonts w:ascii="Times New Roman" w:hAnsi="Times New Roman" w:cs="Times New Roman"/>
        </w:rPr>
        <w:t>approaches.</w:t>
      </w:r>
      <w:r w:rsidR="0087693D" w:rsidRPr="00A96836">
        <w:rPr>
          <w:rFonts w:ascii="Times New Roman" w:hAnsi="Times New Roman" w:cs="Times New Roman"/>
        </w:rPr>
        <w:t xml:space="preserve"> While</w:t>
      </w:r>
      <w:r w:rsidR="00732592" w:rsidRPr="00A96836">
        <w:rPr>
          <w:rFonts w:ascii="Times New Roman" w:hAnsi="Times New Roman" w:cs="Times New Roman"/>
        </w:rPr>
        <w:t xml:space="preserve"> age</w:t>
      </w:r>
      <w:r w:rsidR="00A31120" w:rsidRPr="00A96836">
        <w:rPr>
          <w:rFonts w:ascii="Times New Roman" w:hAnsi="Times New Roman" w:cs="Times New Roman"/>
        </w:rPr>
        <w:t xml:space="preserve"> </w:t>
      </w:r>
      <w:r w:rsidR="00732592" w:rsidRPr="00A96836">
        <w:rPr>
          <w:rFonts w:ascii="Times New Roman" w:hAnsi="Times New Roman" w:cs="Times New Roman"/>
        </w:rPr>
        <w:t>related lens enlargement is a contributing factor, genetic and environmental components also influence disease onset and progression</w:t>
      </w:r>
      <w:r w:rsidR="00E650D3" w:rsidRPr="00A96836">
        <w:rPr>
          <w:rFonts w:ascii="Times New Roman" w:hAnsi="Times New Roman" w:cs="Times New Roman"/>
        </w:rPr>
        <w:t xml:space="preserve"> </w:t>
      </w:r>
      <w:r w:rsidR="00E650D3" w:rsidRPr="00A96836">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{"citationItems":[{"id":"ITEM-1","itemData":{"DOI":"10.1007/s40615-023-01679-2","ISBN":"4061502301","ISSN":"21968837","abstract":"Glaucoma is an ophthalmic disorder that affects a significant number of Blacks globally. A leading cause of this condition is an age-related enlargement of the lens and increased intraocular pressure. Although Blacks are affected by glaucoma at a higher rate than their Caucasian counterparts, there remains a lack of emphasis placed on the detection, diagnosis, monitoring, and treatment of glaucoma in this population. Education regarding glaucoma in the African and African American populations is essential to reducing rates of glaucoma-related visual impairment and improving treatment success. In this article, we highlight specific issues and limitations to the management of glaucoma, which affects Blacks at a higher rate. In addition, we also review the backgrounds of Blacks globally and examine historical events that have contributed to financial inequality and wealth/health disparities affecting glaucoma management. Lastly, we suggest reparations and solutions that health care professionals can use to improve glaucoma screening and management.","author":[{"dropping-particle":"","family":"Adebayo","given":"Ayobami","non-dropping-particle":"","parse-names":false,"suffix":""},{"dropping-particle":"","family":"Laroche","given":"Daniel","non-dropping-particle":"","parse-names":false,"suffix":""}],"container-title":"Journal of Racial and Ethnic Health Disparities","id":"ITEM-1","issue":"0123456789","issued":{"date-parts":[["2023"]]},"page":"1-6","publisher":"Springer International Publishing","title":"Unfulfilled Needs in the Detection, Diagnosis, Monitoring, Treatment, and Understanding of Glaucoma in Blacks Globally","type":"article-journal"},"uris":["http://www.mendeley.com/documents/?uuid=23d96a09-0994-4453-86f0-241c57e51522"]}],"mendeley":{"formattedCitation":"(2)","plainTextFormattedCitation":"(2)","previouslyFormattedCitation":"(2)"},"properties":{"noteIndex":0},"schema":"https://github.com/citation-style-language/schema/raw/master/csl-citation.json"}</w:instrText>
      </w:r>
      <w:r w:rsidR="00E650D3" w:rsidRPr="00A96836">
        <w:rPr>
          <w:rFonts w:ascii="Times New Roman" w:hAnsi="Times New Roman" w:cs="Times New Roman"/>
        </w:rPr>
        <w:fldChar w:fldCharType="separate"/>
      </w:r>
      <w:r w:rsidR="006F2937" w:rsidRPr="006F2937">
        <w:rPr>
          <w:rFonts w:ascii="Times New Roman" w:hAnsi="Times New Roman" w:cs="Times New Roman"/>
          <w:noProof/>
        </w:rPr>
        <w:t>(2)</w:t>
      </w:r>
      <w:r w:rsidR="00E650D3" w:rsidRPr="00A96836">
        <w:rPr>
          <w:rFonts w:ascii="Times New Roman" w:hAnsi="Times New Roman" w:cs="Times New Roman"/>
        </w:rPr>
        <w:fldChar w:fldCharType="end"/>
      </w:r>
      <w:r w:rsidR="00732592" w:rsidRPr="00A96836">
        <w:rPr>
          <w:rFonts w:ascii="Times New Roman" w:hAnsi="Times New Roman" w:cs="Times New Roman"/>
        </w:rPr>
        <w:t>.</w:t>
      </w:r>
    </w:p>
    <w:p w14:paraId="4B812E8F" w14:textId="35E4050F" w:rsidR="008C3A6A" w:rsidRDefault="008C3A6A" w:rsidP="00A96836">
      <w:pPr>
        <w:spacing w:line="360" w:lineRule="auto"/>
        <w:jc w:val="both"/>
        <w:rPr>
          <w:rFonts w:ascii="Times New Roman" w:hAnsi="Times New Roman" w:cs="Times New Roman"/>
        </w:rPr>
      </w:pPr>
    </w:p>
    <w:p w14:paraId="4DEFBAF9" w14:textId="18EA95F2" w:rsidR="00FA5C49" w:rsidRDefault="008C3A6A" w:rsidP="00A96836">
      <w:pPr>
        <w:spacing w:line="360" w:lineRule="auto"/>
        <w:jc w:val="both"/>
        <w:rPr>
          <w:rFonts w:ascii="Times New Roman" w:hAnsi="Times New Roman" w:cs="Times New Roman"/>
        </w:rPr>
      </w:pPr>
      <w:r>
        <w:rPr>
          <w:rFonts w:ascii="Times New Roman" w:hAnsi="Times New Roman" w:cs="Times New Roman"/>
        </w:rPr>
        <w:t>Globally, glaucoma affects approximately 2.4% of the population, though prevalence varies geographically. Sub Saharan Africa is the most affected region with a prevalence of 4.0</w:t>
      </w:r>
      <w:r w:rsidR="00D66CC6">
        <w:rPr>
          <w:rFonts w:ascii="Times New Roman" w:hAnsi="Times New Roman" w:cs="Times New Roman"/>
        </w:rPr>
        <w:t>% compared to 2.4% in North America, 2.3% in Europe, 2.1% in Asia and 1.8% in South America</w:t>
      </w:r>
      <w:r w:rsidR="006F2937">
        <w:rPr>
          <w:rFonts w:ascii="Times New Roman" w:hAnsi="Times New Roman" w:cs="Times New Roman"/>
        </w:rPr>
        <w:t xml:space="preserve"> </w:t>
      </w:r>
      <w:r w:rsidR="006F2937">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{"citationItems":[{"id":"ITEM-1","itemData":{"DOI":"10.1038/s41598-021-92971-w","ISBN":"4159802192","ISSN":"20452322","PMID":"34215769","abstract":"Primary open-angle glaucoma (POAG) is a leading cause of irreversible blindness in the world and is influenced by various sociodemographic factors. This meta-analysis aims to determine the worldwide prevalence of POAG in the adult general population for the last 20 years, and explore variation in prevalence by age, gender and geographical location. An electronic literature search was performed using the PubMed, Embase, and Web of Science databases. Population-based cross-sectional or cohort studies published in the last 20 years (2000–2020) that reported prevalence of POAG were recruited. Relevant studies meeting defined eligibility criteria were selected and reviewed systematically by meta-analysis. The prevalence of POAG was analyzed according to various risk factors. A random effect model was used for the meta-analysis. Fifty publications with a total of 198,259 subjects were included in this meta-analysis. The worldwide overall prevalence of POAG was 2.4% (95% CI 2.0 ~ 2.8%). The prevalence increases with age. Men are found to be more susceptible to POAG than women (RR 1.28, p &lt; 0.01). Africa is found to have the highest prevalence of POAG (4.0%) among all continents. The current estimated global population of POAG is 68.56 million (95% CI 59.99 ~ 79.98). POAG is a worldwide vision threatening disease with high prevalence for the last 20 years. The population-based prevalence of POAG varies widely across individual studies, due to variations in risk factors of age, gender, and population geographic location.","author":[{"dropping-particle":"","family":"Zhang","given":"Nan","non-dropping-particle":"","parse-names":false,"suffix":""},{"dropping-particle":"","family":"Wang","given":"Jiaxing","non-dropping-particle":"","parse-names":false,"suffix":""},{"dropping-particle":"","family":"Li","given":"Ying","non-dropping-particle":"","parse-names":false,"suffix":""},{"dropping-particle":"","family":"Jiang","given":"Bing","non-dropping-particle":"","parse-names":false,"suffix":""}],"container-title":"Scientific Reports","id":"ITEM-1","issue":"1","issued":{"date-parts":[["2021"]]},"page":"1-12","publisher":"Nature Publishing Group UK","title":"Prevalence of primary open angle glaucoma in the last 20 years: a meta-analysis and systematic review","type":"article-journal","volume":"11"},"uris":["http://www.mendeley.com/documents/?uuid=64b82608-298f-45c3-90bf-5825af8ad347"]}],"mendeley":{"formattedCitation":"(3)","plainTextFormattedCitation":"(3)","previouslyFormattedCitation":"(3)"},"properties":{"noteIndex":0},"schema":"https://github.com/citation-style-language/schema/raw/master/csl-citation.json"}</w:instrText>
      </w:r>
      <w:r w:rsidR="006F2937">
        <w:rPr>
          <w:rFonts w:ascii="Times New Roman" w:hAnsi="Times New Roman" w:cs="Times New Roman"/>
        </w:rPr>
        <w:fldChar w:fldCharType="separate"/>
      </w:r>
      <w:r w:rsidR="006F2937" w:rsidRPr="006F2937">
        <w:rPr>
          <w:rFonts w:ascii="Times New Roman" w:hAnsi="Times New Roman" w:cs="Times New Roman"/>
          <w:noProof/>
        </w:rPr>
        <w:t>(3)</w:t>
      </w:r>
      <w:r w:rsidR="006F2937">
        <w:rPr>
          <w:rFonts w:ascii="Times New Roman" w:hAnsi="Times New Roman" w:cs="Times New Roman"/>
        </w:rPr>
        <w:fldChar w:fldCharType="end"/>
      </w:r>
      <w:r w:rsidR="00D66CC6">
        <w:rPr>
          <w:rFonts w:ascii="Times New Roman" w:hAnsi="Times New Roman" w:cs="Times New Roman"/>
        </w:rPr>
        <w:t>.</w:t>
      </w:r>
      <w:r w:rsidRPr="008C3A6A">
        <w:rPr>
          <w:rFonts w:ascii="Times New Roman" w:hAnsi="Times New Roman" w:cs="Times New Roman"/>
        </w:rPr>
        <w:t xml:space="preserve"> </w:t>
      </w:r>
      <w:r w:rsidR="00D66CC6">
        <w:rPr>
          <w:rFonts w:ascii="Times New Roman" w:hAnsi="Times New Roman" w:cs="Times New Roman"/>
        </w:rPr>
        <w:t xml:space="preserve">In Tanzania among individuals aged 40 years and above, the estimated prevalence is 4.2%, similar to figures </w:t>
      </w:r>
      <w:r w:rsidR="00FC74BD">
        <w:rPr>
          <w:rFonts w:ascii="Times New Roman" w:hAnsi="Times New Roman" w:cs="Times New Roman"/>
        </w:rPr>
        <w:t>observed in African American populations in the United States. However, it is lower than the 5.3% reported in South Africa and the 7.1% reported in African Caribbean populations</w:t>
      </w:r>
      <w:r w:rsidR="006F2937">
        <w:rPr>
          <w:rFonts w:ascii="Times New Roman" w:hAnsi="Times New Roman" w:cs="Times New Roman"/>
        </w:rPr>
        <w:t xml:space="preserve"> </w:t>
      </w:r>
      <w:r w:rsidR="006F2937">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{"citationItems":[{"id":"ITEM-1","itemData":{"DOI":"10.4103/0974-9233.110605","ISSN":"09749233","PMID":"23741130","abstract":"Purpose: The purpose of this study is to review the epidemiology of different types of glaucoma relevant to Sub-Saharan Africa (SSA) and to discuss the evidence regarding the risk factors for onset and progression of glaucoma, including risk factors for glaucoma blindness. Methods: Electronic databases (PubMed, MedLine, African Journals Online-AJOL) were searched using the full text, Medical Subject Headings (MeSH) terms, author(s) and title to identify publications since 1982 in the following areas: population-based glaucoma prevalence and incidence studies in SSA and in African-derived black populations outside Africa; population-based prevalence and incidence of blindness and visual impairment studies in SSA including rapid assessment methods, which elucidate the glaucoma-specific blindness prevalence; studies of risk factors for glaucoma; and publications that discussed public health approaches for the control of glaucoma in Africa. Results: Studies highlighted that glaucoma in SSA is a public health problem and predominantly open-angle glaucoma. It is the second-leading cause of blindness, has a high prevalence, an early onset and progresses more rapidly than in Caucasians. These factors are further compounded by poor awareness and low knowledge about glaucoma even by persons affected by the condition. Conclusion: Glaucoma care needs to be given high priority in Vision 2020 programs in Africa. Many questions remain unanswered and there is a need for further research in glaucoma in SSA in all aspects especially epidemiology and clinical care and outcomes involving randomized controlled trials. Genetic and genome-wide association studies may aid identification of high-risk groups. Social sciences and qualitative studies, health economics and health systems research will also enhance public health approaches for the prevention of blindness due to glaucoma.","author":[{"dropping-particle":"","family":"Kyari","given":"Fatima","non-dropping-particle":"","parse-names":false,"suffix":""},{"dropping-particle":"","family":"Abdull","given":"Mohammed M.","non-dropping-particle":"","parse-names":false,"suffix":""},{"dropping-particle":"","family":"Bastawrous","given":"Andrew","non-dropping-particle":"","parse-names":false,"suffix":""},{"dropping-particle":"","family":"Gilbert","given":"Clare E.","non-dropping-particle":"","parse-names":false,"suffix":""},{"dropping-particle":"","family":"Faal","given":"Hannah","non-dropping-particle":"","parse-names":false,"suffix":""}],"container-title":"Middle East African Journal of Ophthalmology","id":"ITEM-1","issue":"2","issued":{"date-parts":[["2013"]]},"page":"111-125","title":"Epidemiology of glaucoma in Sub-Saharan Africa: Prevalence, incidence and risk factors","type":"article-journal","volume":"20"},"uris":["http://www.mendeley.com/documents/?uuid=b9f5841a-8453-4195-a47f-893a7acf5d85"]}],"mendeley":{"formattedCitation":"(4)","plainTextFormattedCitation":"(4)","previouslyFormattedCitation":"(4)"},"properties":{"noteIndex":0},"schema":"https://github.com/citation-style-language/schema/raw/master/csl-citation.json"}</w:instrText>
      </w:r>
      <w:r w:rsidR="006F2937">
        <w:rPr>
          <w:rFonts w:ascii="Times New Roman" w:hAnsi="Times New Roman" w:cs="Times New Roman"/>
        </w:rPr>
        <w:fldChar w:fldCharType="separate"/>
      </w:r>
      <w:r w:rsidR="006F2937" w:rsidRPr="006F2937">
        <w:rPr>
          <w:rFonts w:ascii="Times New Roman" w:hAnsi="Times New Roman" w:cs="Times New Roman"/>
          <w:noProof/>
        </w:rPr>
        <w:t>(4)</w:t>
      </w:r>
      <w:r w:rsidR="006F2937">
        <w:rPr>
          <w:rFonts w:ascii="Times New Roman" w:hAnsi="Times New Roman" w:cs="Times New Roman"/>
        </w:rPr>
        <w:fldChar w:fldCharType="end"/>
      </w:r>
    </w:p>
    <w:p w14:paraId="47D7D8B7" w14:textId="77AA5448" w:rsidR="00732592" w:rsidRDefault="008D7D8D" w:rsidP="00A96836">
      <w:pPr>
        <w:pStyle w:val="NormalWeb"/>
        <w:spacing w:line="360" w:lineRule="auto"/>
        <w:jc w:val="both"/>
      </w:pPr>
      <w:r>
        <w:t xml:space="preserve"> Glaucoma is the second leading cause of blindness worldwide and </w:t>
      </w:r>
      <w:r w:rsidR="00813550">
        <w:t xml:space="preserve">the leading cause of irreversible blindness. In 2020, 76 million people were affected and this number is expected to reach approximately 111.8 million by 2040 </w:t>
      </w:r>
      <w:r w:rsidR="004A7A1C" w:rsidRPr="00A96836">
        <w:fldChar w:fldCharType="begin" w:fldLock="1"/>
      </w:r>
      <w:r w:rsidR="00DB630F">
        <w:instrText>ADDIN CSL_CITATION {"citationItems":[{"id":"ITEM-1","itemData":{"DOI":"10.1080/09286586.2018.1501499","ISSN":"17445086","PMID":"30059637","abstract":"Purpose: A review of the effectiveness, costs, and cost-effectiveness of detection and treatment strategies for glaucoma control in Sub-Saharan Africa (SSA) was conducted. Methods: Detailed searches were performed using the Ovid Medline, Ovid Embase, The Cochrane Library, Web of Science, Scopus, and LILACS databases up to September 2016. The key Medical Subject Heading search terms used included glaucoma, diagnosis, treatment, effectiveness, costs, cost-effectiveness, and Sub-Saharan Africa. Effectiveness was measured as the proportion of study participants with an intra-ocular pressure less than or equal to 22 mmHg. Results: A total of 5658 records were examined with 48 papers identified. The sensitivity and specificity of portable instruments or smartphone technologies to detect glaucomatous changes ranged from 58.3% to 93.8% and from 82.4% to 96.8%, respectively. The overall effect size for various glaucoma interventions was: 0.39 (95% confidence interval (CI) 0.27–0.54, I 2  = 64.85, p = 0.036) for laser trabeculoplasty; 0.56 (95% CI 0.23–0.84, I 2  = 85.74, p = 0.001) for drainage implant devices; 0.66 (95% CI 0.61–0.71, I 2  = 0.00, p = 0.402) for medical management; and 0.73 (95% CI 0.65–0.80, I 2  = 93.25, p = 0.000) for all other non-drainage tube surgical interventions, including trabeculectomy surgery and the use of anti-metabolites. The mean annual cost of anti-glaucoma drugs across SSA was USD 394, with a mean direct non-medication cost per year of USD 54, and a mean surgical cost per year of USD 283. Conclusions: While effective glaucoma control interventions exist, their widespread use and diffusion across SSA remain challenging principally due to low per capita income levels and high glaucoma treatment costs.","author":[{"dropping-particle":"","family":"Smith","given":"Andrew F.","non-dropping-particle":"","parse-names":false,"suffix":""},{"dropping-particle":"","family":"Negretti","given":"Guy","non-dropping-particle":"","parse-names":false,"suffix":""},{"dropping-particle":"","family":"Mascaro","given":"Aaron","non-dropping-particle":"","parse-names":false,"suffix":""},{"dropping-particle":"","family":"Bokre","given":"Desta","non-dropping-particle":"","parse-names":false,"suffix":""},{"dropping-particle":"","family":"Baker","given":"Helen","non-dropping-particle":"","parse-names":false,"suffix":""},{"dropping-particle":"","family":"Dhalla","given":"Kazim","non-dropping-particle":"","parse-names":false,"suffix":""},{"dropping-particle":"","family":"Murdoch","given":"Ian E.","non-dropping-particle":"","parse-names":false,"suffix":""}],"container-title":"Ophthalmic Epidemiology","id":"ITEM-1","issue":"5-6","issued":{"date-parts":[["2018"]]},"page":"419-435","title":"Glaucoma Control Strategies in Sub-Saharan Africa: A Review of the Clinical and Health Economic Evidence","type":"article-journal","volume":"25"},"uris":["http://www.mendeley.com/documents/?uuid=46e54951-e0d8-4a1a-b000-b10440136f25"]}],"mendeley":{"formattedCitation":"(5)","plainTextFormattedCitation":"(5)","previouslyFormattedCitation":"(5)"},"properties":{"noteIndex":0},"schema":"https://github.com/citation-style-language/schema/raw/master/csl-citation.json"}</w:instrText>
      </w:r>
      <w:r w:rsidR="004A7A1C" w:rsidRPr="00A96836">
        <w:fldChar w:fldCharType="separate"/>
      </w:r>
      <w:r w:rsidR="006F2937" w:rsidRPr="006F2937">
        <w:rPr>
          <w:noProof/>
        </w:rPr>
        <w:t>(5)</w:t>
      </w:r>
      <w:r w:rsidR="004A7A1C" w:rsidRPr="00A96836">
        <w:fldChar w:fldCharType="end"/>
      </w:r>
      <w:r w:rsidR="004A7A1C" w:rsidRPr="00A96836">
        <w:t>.</w:t>
      </w:r>
      <w:r w:rsidR="00813550">
        <w:t xml:space="preserve"> Despite improvements in treatment, about 10% of glaucoma patients still progress to permanent </w:t>
      </w:r>
      <w:r w:rsidR="00EC037E">
        <w:t>vision loss</w:t>
      </w:r>
      <w:r w:rsidR="004A7A1C" w:rsidRPr="00A96836">
        <w:fldChar w:fldCharType="begin" w:fldLock="1"/>
      </w:r>
      <w:r w:rsidR="00DB630F">
        <w:instrText>ADDIN CSL_CITATION {"citationItems":[{"id":"ITEM-1","itemData":{"DOI":"10.7759/cureus.11686","ISSN":"2168-8184","PMID":"33391921","abstract":"Glaucoma is a multifactorial optic degenerative neuropathy characterized by the loss of retinal ganglion cells. It is a combination of vascular, genetic, anatomical, and immune factors. Glaucoma poses a significant public health concern as it is the second leading cause of blindness after cataracts, and this blindness is usually irreversible. It is estimated that 57.5 million people worldwide are affected by primary open-angle glaucoma (POAG). People over 60 years of age, family members of those already diagnosed with glaucoma, steroid users, diabetics, as well as those with high myopia, hypertension, central cornea thickness of &lt;5 mm, and eye injury are at an increased risk of glaucoma. By 2020, it is expected that approximately 76 million people will suffer from glaucoma with that number estimated to reach 111.8 million by 2040. In this article, we perform an extensive literature review focusing on the epidemiology of glaucoma and try to determine the number of people affected; we categorize them by sex, location, and level of income. Furthermore, we strive to estimate the future projection of the disease in the next 20 years (2040) while determining the disease burden, including the cost involved in treating and preventing the disease and the disease and disability projection of glaucoma.","author":[{"dropping-particle":"","family":"Allison","given":"Karen","non-dropping-particle":"","parse-names":false,"suffix":""},{"dropping-particle":"","family":"Patel","given":"Deepkumar","non-dropping-particle":"","parse-names":false,"suffix":""},{"dropping-particle":"","family":"Alabi","given":"Omobolanle","non-dropping-particle":"","parse-names":false,"suffix":""}],"container-title":"Cureus","id":"ITEM-1","issue":"11","issued":{"date-parts":[["2020"]]},"title":"Epidemiology of Glaucoma: The Past, Present, and Predictions for the Future","type":"article-journal","volume":"12"},"uris":["http://www.mendeley.com/documents/?uuid=095e6ad6-9b93-4a25-9ee1-d317281a5515"]}],"mendeley":{"formattedCitation":"(6)","plainTextFormattedCitation":"(6)","previouslyFormattedCitation":"(6)"},"properties":{"noteIndex":0},"schema":"https://github.com/citation-style-language/schema/raw/master/csl-citation.json"}</w:instrText>
      </w:r>
      <w:r w:rsidR="004A7A1C" w:rsidRPr="00A96836">
        <w:fldChar w:fldCharType="separate"/>
      </w:r>
      <w:r w:rsidR="006F2937" w:rsidRPr="006F2937">
        <w:rPr>
          <w:noProof/>
        </w:rPr>
        <w:t>(6)</w:t>
      </w:r>
      <w:r w:rsidR="004A7A1C" w:rsidRPr="00A96836">
        <w:fldChar w:fldCharType="end"/>
      </w:r>
      <w:r w:rsidR="00732592" w:rsidRPr="00A96836">
        <w:t>.</w:t>
      </w:r>
    </w:p>
    <w:p w14:paraId="5FDB0CC4" w14:textId="5AFC4E61" w:rsidR="00732592" w:rsidRDefault="00807045" w:rsidP="00A96836">
      <w:pPr>
        <w:pStyle w:val="NormalWeb"/>
        <w:spacing w:line="360" w:lineRule="auto"/>
        <w:jc w:val="both"/>
      </w:pPr>
      <w:r>
        <w:t xml:space="preserve">The primary goal of glaucoma treatment is to preserve functional vision by controlling IOP, thereby preventing further damage to the optic nerve. Treatment modalities include medical therapy with eye drops, surgery or laser therapies </w:t>
      </w:r>
      <w:r w:rsidR="007F1996" w:rsidRPr="00A96836">
        <w:fldChar w:fldCharType="begin" w:fldLock="1"/>
      </w:r>
      <w:r w:rsidR="00DB630F">
        <w:instrText>ADDIN CSL_CITATION {"citationItems":[{"id":"ITEM-1","itemData":{"DOI":"10.2147/CEOR.S30697","ISSN":"11786981","abstract":"Glaucoma is the second highest cause of blindness worldwide with an estimated half of the glaucoma population unaware of their disease. To date, intraocular pressure is the most important modifiable risk factor and lowering it has been proven to reduce progression of visual field loss associated with glaucoma. Different strategies are available to lower intraocular pressure and include medical, laser, or surgical treatment in the form of topical or systemic medications, argon or selective laser trabeculoplasty, and glaucoma drainage surgery such as trabeculectomy, deep sclerectomy, or other drainage devices. The effectiveness of these treatments has been well documented however their cost-effectiveness between the developed world and third world remains unclear.","author":[{"dropping-particle":"","family":"Ting","given":"Naomi Sj","non-dropping-particle":"","parse-names":false,"suffix":""},{"dropping-particle":"","family":"Li Yim","given":"James F.T.","non-dropping-particle":"","parse-names":false,"suffix":""},{"dropping-particle":"","family":"Ng","given":"Jia Y.","non-dropping-particle":"","parse-names":false,"suffix":""}],"container-title":"ClinicoEconomics and Outcomes Research","id":"ITEM-1","issued":{"date-parts":[["2014"]]},"page":"523-530","title":"Different strategies and cost-effectiveness in the treatment of primary open angle glaucoma","type":"article-journal","volume":"6"},"uris":["http://www.mendeley.com/documents/?uuid=8896f48a-d4bc-46dd-9de3-673ac005c97d"]}],"mendeley":{"formattedCitation":"(7)","plainTextFormattedCitation":"(7)","previouslyFormattedCitation":"(7)"},"properties":{"noteIndex":0},"schema":"https://github.com/citation-style-language/schema/raw/master/csl-citation.json"}</w:instrText>
      </w:r>
      <w:r w:rsidR="007F1996" w:rsidRPr="00A96836">
        <w:fldChar w:fldCharType="separate"/>
      </w:r>
      <w:r w:rsidR="006F2937" w:rsidRPr="006F2937">
        <w:rPr>
          <w:noProof/>
        </w:rPr>
        <w:t>(7)</w:t>
      </w:r>
      <w:r w:rsidR="007F1996" w:rsidRPr="00A96836">
        <w:fldChar w:fldCharType="end"/>
      </w:r>
      <w:r w:rsidR="00732592" w:rsidRPr="00A96836">
        <w:t>.</w:t>
      </w:r>
    </w:p>
    <w:p w14:paraId="14BA7F7F" w14:textId="0B610B7A" w:rsidR="00A06020" w:rsidRDefault="006B0980" w:rsidP="00A96836">
      <w:pPr>
        <w:pStyle w:val="NormalWeb"/>
        <w:spacing w:line="360" w:lineRule="auto"/>
        <w:jc w:val="both"/>
      </w:pPr>
      <w:r>
        <w:t>Among the laser-based options, transscleral cyclophotocoagulation (TSCPC)</w:t>
      </w:r>
      <w:r w:rsidR="00A06020">
        <w:t xml:space="preserve"> is</w:t>
      </w:r>
      <w:r>
        <w:t xml:space="preserve"> increasingly used for managing refractory glaucoma. This procedure involves the application of laser energy to the pigmented epithelium of the ciliary body, which is responsible for aqueous humor production. Destroying this tissue reduces aqueous production, th</w:t>
      </w:r>
      <w:r w:rsidR="00A06020">
        <w:t>us</w:t>
      </w:r>
      <w:r>
        <w:t xml:space="preserve"> lowering IOP</w:t>
      </w:r>
      <w:r w:rsidR="007F1996" w:rsidRPr="00A96836">
        <w:fldChar w:fldCharType="begin" w:fldLock="1"/>
      </w:r>
      <w:r w:rsidR="00DB630F">
        <w:instrText>ADDIN CSL_CITATION {"citationItems":[{"id":"ITEM-1","itemData":{"author":[{"dropping-particle":"","family":"Boboev","given":"S A","non-dropping-particle":"","parse-names":false,"suffix":""}],"id":"ITEM-1","issue":"May","issued":{"date-parts":[["2022"]]},"page":"166-172","title":"STAGES OF ETIOLOGY , PATHOGENESIS , DIAGNOSIS , TREATMENT OF REFRACTER GLUCOMAS","type":"article-journal"},"uris":["http://www.mendeley.com/documents/?uuid=62b7f529-d4c6-4957-8edc-d128bcdc31de"]}],"mendeley":{"formattedCitation":"(8)","plainTextFormattedCitation":"(8)","previouslyFormattedCitation":"(8)"},"properties":{"noteIndex":0},"schema":"https://github.com/citation-style-language/schema/raw/master/csl-citation.json"}</w:instrText>
      </w:r>
      <w:r w:rsidR="007F1996" w:rsidRPr="00A96836">
        <w:fldChar w:fldCharType="separate"/>
      </w:r>
      <w:r w:rsidR="006F2937" w:rsidRPr="006F2937">
        <w:rPr>
          <w:noProof/>
        </w:rPr>
        <w:t>(8)</w:t>
      </w:r>
      <w:r w:rsidR="007F1996" w:rsidRPr="00A96836">
        <w:fldChar w:fldCharType="end"/>
      </w:r>
      <w:r w:rsidR="00732592" w:rsidRPr="00A96836">
        <w:t>.</w:t>
      </w:r>
      <w:r>
        <w:t xml:space="preserve"> While </w:t>
      </w:r>
      <w:r>
        <w:lastRenderedPageBreak/>
        <w:t>TSCPC has shown promising results, it is generally reserved for cases</w:t>
      </w:r>
      <w:r w:rsidR="00AF6CC9">
        <w:t xml:space="preserve"> where conventional treatments have failed due to the risk of complications such as post operative inflammation, hypotony, phthisis bulbi, cystoid macular edema and inconsistent pressure lowering effects</w:t>
      </w:r>
      <w:r w:rsidR="007F1996" w:rsidRPr="00A96836">
        <w:fldChar w:fldCharType="begin" w:fldLock="1"/>
      </w:r>
      <w:r w:rsidR="00DB630F">
        <w:instrText>ADDIN CSL_CITATION {"citationItems":[{"id":"ITEM-1","itemData":{"DOI":"10.5935/0004-2749.20190076","ISSN":"16782925","PMID":"31271570","abstract":"Purpose: To evaluate the effectiveness in intraocular pressure reduction and safety of micropulse transscleral diode cyclophotocoagulation in refractory glaucoma. Methods: We prospectively evaluated a case series of 21 eyes of 21 consecutive patients with refractory glaucoma treated with micropulse transscleral diode cyclophotocoagulation at 12-month follow-up. The total treatment time was at the discretion of the surgeon, considering baseline and target intraocular pressure and glaucoma diagnosis. Intraocular pressure, inflammation, visual acuity, and number of medications were monitored. Success was defined as intraocular pressure between 6 and 21 mmHg and/or 30% reduction from baseline intraocular pressure with or without the use of antiglaucoma medications. Visual acuity loss was defined as a loss of ≥2 lines of vision on the Snellen chart or a ≥2-level decrease in visual function in patients with nonmeasurable chart acuity. Results: The mean age was 61.04 ± 12.99 years, and 11 (52.4%) patients were male, with most (95%) patients showing low visual acuity at baseline (count fingers or worse). The mean intraocular pressure was 33.38 ± 15.95 mmHg, and the mean number of medications was 3.5 ± 1.1 at baseline. After 1, 3, 6, and 12 months, 76.19%, 57.14%, 55.56%, and 66.67%, respectively, of the patients were classified as treatment successes. Seven (33.3%) patients required new laser treatment and were considered treatment failures. The mean intraocular pressure reduction was 44.72% ± 29.72% in the first week and 41.59% ± 18.93% at the end of follow-up (p=0.006). The mean number of medications significantly dropped to 2.00 ± 1.7 at the 12-month visit (p=0.044). Complications included hypotony (4.8%), intraocular inflammation after 1 month (19%), and visual acuity loss (4.8%). Conclusions: Micropulse transscleral diode cyclophotocoagulation was safe and effective for reducing intraocular pressure in eyes with refractory and advanced glaucoma, with reduced need for ocular antihypertensive medication.","author":[{"dropping-particle":"","family":"Jammal","given":"Alessandro Adad","non-dropping-particle":"","parse-names":false,"suffix":""},{"dropping-particle":"","family":"Costa","given":"Danilo Campos","non-dropping-particle":"","parse-names":false,"suffix":""},{"dropping-particle":"","family":"Vasconcellos","given":"José Paulo Cabral","non-dropping-particle":"","parse-names":false,"suffix":""},{"dropping-particle":"","family":"Costa","given":"Vital Paulino","non-dropping-particle":"","parse-names":false,"suffix":""}],"container-title":"Arquivos Brasileiros de Oftalmologia","id":"ITEM-1","issue":"5","issued":{"date-parts":[["2019"]]},"page":"381-388","title":"Prospective evaluation of micropulse transscleral diode cyclophotocoagulation in refractory glaucoma: 1 year results","type":"article-journal","volume":"82"},"uris":["http://www.mendeley.com/documents/?uuid=068ae9db-9ba3-4b48-a326-46b82d2ce0d6"]}],"mendeley":{"formattedCitation":"(9)","plainTextFormattedCitation":"(9)","previouslyFormattedCitation":"(9)"},"properties":{"noteIndex":0},"schema":"https://github.com/citation-style-language/schema/raw/master/csl-citation.json"}</w:instrText>
      </w:r>
      <w:r w:rsidR="007F1996" w:rsidRPr="00A96836">
        <w:fldChar w:fldCharType="separate"/>
      </w:r>
      <w:r w:rsidR="006F2937" w:rsidRPr="006F2937">
        <w:rPr>
          <w:noProof/>
        </w:rPr>
        <w:t>(9)</w:t>
      </w:r>
      <w:r w:rsidR="007F1996" w:rsidRPr="00A96836">
        <w:fldChar w:fldCharType="end"/>
      </w:r>
      <w:r w:rsidR="00732592" w:rsidRPr="00A96836">
        <w:t>.</w:t>
      </w:r>
    </w:p>
    <w:p w14:paraId="260A137B" w14:textId="6E3838CE" w:rsidR="00A06020" w:rsidRDefault="002E33FF" w:rsidP="00A96836">
      <w:pPr>
        <w:pStyle w:val="NormalWeb"/>
        <w:spacing w:line="360" w:lineRule="auto"/>
        <w:jc w:val="both"/>
      </w:pPr>
      <w:r>
        <w:t>Despite its growing use in clinical practice, there is paucity of data concerning the efficacy and safety of limited TSCPC, particularly within Sub Saharan Africa. Some studies from countries such as Ghana, Cameroon, Malawi and Tanzania have explored its application often with varying indications and outcomes. Most reported</w:t>
      </w:r>
      <w:r w:rsidR="008E7C34">
        <w:t xml:space="preserve"> that </w:t>
      </w:r>
      <w:r>
        <w:t xml:space="preserve">TSCPC </w:t>
      </w:r>
      <w:r w:rsidR="008E7C34">
        <w:t>is</w:t>
      </w:r>
      <w:r>
        <w:t xml:space="preserve"> re</w:t>
      </w:r>
      <w:r w:rsidR="008E7C34">
        <w:t>latively safe with mild associated complications. A study from Nigeria demonstrated that, TSCPC could be safe and effective for patients with good vision, suggesting it as a viable alternative to other interventions.</w:t>
      </w:r>
    </w:p>
    <w:p w14:paraId="7DE82A39" w14:textId="5A1629A3" w:rsidR="008E7C34" w:rsidRPr="00A96836" w:rsidRDefault="008E7C34" w:rsidP="00A96836">
      <w:pPr>
        <w:pStyle w:val="NormalWeb"/>
        <w:spacing w:line="360" w:lineRule="auto"/>
        <w:jc w:val="both"/>
      </w:pPr>
      <w:r>
        <w:t>Given the high prevalence of refractory glaucoma and limited resource</w:t>
      </w:r>
      <w:r w:rsidR="00254813">
        <w:t>s in many African eye care settings, further investigations on the effectiveness of TSCPC is needed. This study aims to evaluate the efficacy of limited TSCPC in patients with refractory glaucoma at KCMC</w:t>
      </w:r>
      <w:r w:rsidR="00FD69D9">
        <w:t xml:space="preserve"> Ophthalmology</w:t>
      </w:r>
      <w:r w:rsidR="00254813">
        <w:t xml:space="preserve"> Department.</w:t>
      </w:r>
    </w:p>
    <w:p w14:paraId="07230E07" w14:textId="66DDD019" w:rsidR="00606F69" w:rsidRDefault="00606F69" w:rsidP="00A96836">
      <w:pPr>
        <w:pStyle w:val="NormalWeb"/>
        <w:spacing w:line="360" w:lineRule="auto"/>
        <w:jc w:val="both"/>
      </w:pPr>
    </w:p>
    <w:p w14:paraId="668539B4" w14:textId="0C0995A2" w:rsidR="00606F69" w:rsidRDefault="00606F69" w:rsidP="00A96836">
      <w:pPr>
        <w:pStyle w:val="NormalWeb"/>
        <w:spacing w:line="360" w:lineRule="auto"/>
        <w:jc w:val="both"/>
      </w:pPr>
    </w:p>
    <w:p w14:paraId="66BE1E06" w14:textId="4A34AB8A" w:rsidR="00606F69" w:rsidRDefault="00606F69" w:rsidP="00A96836">
      <w:pPr>
        <w:pStyle w:val="NormalWeb"/>
        <w:spacing w:line="360" w:lineRule="auto"/>
        <w:jc w:val="both"/>
      </w:pPr>
    </w:p>
    <w:p w14:paraId="61A5B38F" w14:textId="1E2BA888" w:rsidR="00606F69" w:rsidRDefault="00606F69" w:rsidP="00A96836">
      <w:pPr>
        <w:pStyle w:val="NormalWeb"/>
        <w:spacing w:line="360" w:lineRule="auto"/>
        <w:jc w:val="both"/>
      </w:pPr>
    </w:p>
    <w:p w14:paraId="0BED24FA" w14:textId="1AD731EA" w:rsidR="00606F69" w:rsidRDefault="00606F69" w:rsidP="00A96836">
      <w:pPr>
        <w:pStyle w:val="NormalWeb"/>
        <w:spacing w:line="360" w:lineRule="auto"/>
        <w:jc w:val="both"/>
      </w:pPr>
    </w:p>
    <w:p w14:paraId="4CA2AD0F" w14:textId="4DEA3DA4" w:rsidR="00606F69" w:rsidRDefault="00606F69" w:rsidP="00A96836">
      <w:pPr>
        <w:pStyle w:val="NormalWeb"/>
        <w:spacing w:line="360" w:lineRule="auto"/>
        <w:jc w:val="both"/>
      </w:pPr>
    </w:p>
    <w:p w14:paraId="2E4B90B9" w14:textId="77777777" w:rsidR="00606F69" w:rsidRPr="00A96836" w:rsidRDefault="00606F69" w:rsidP="00A96836">
      <w:pPr>
        <w:pStyle w:val="NormalWeb"/>
        <w:spacing w:line="360" w:lineRule="auto"/>
        <w:jc w:val="both"/>
        <w:rPr>
          <w:b/>
          <w:color w:val="000000"/>
        </w:rPr>
      </w:pPr>
    </w:p>
    <w:p w14:paraId="39FD3FFF" w14:textId="789B078A" w:rsidR="00732592" w:rsidRPr="00A96836" w:rsidRDefault="000C2B1D" w:rsidP="00A96836">
      <w:pPr>
        <w:pStyle w:val="Heading2"/>
        <w:spacing w:line="360" w:lineRule="auto"/>
        <w:jc w:val="both"/>
        <w:rPr>
          <w:rFonts w:ascii="Times New Roman" w:hAnsi="Times New Roman" w:cs="Times New Roman"/>
          <w:sz w:val="24"/>
          <w:szCs w:val="24"/>
        </w:rPr>
      </w:pPr>
      <w:bookmarkStart w:id="1" w:name="_Toc199960598"/>
      <w:r w:rsidRPr="00A96836">
        <w:rPr>
          <w:rFonts w:ascii="Times New Roman" w:eastAsia="Times New Roman" w:hAnsi="Times New Roman" w:cs="Times New Roman"/>
          <w:bCs/>
          <w:color w:val="000000"/>
          <w:sz w:val="24"/>
          <w:szCs w:val="24"/>
        </w:rPr>
        <w:t xml:space="preserve"> </w:t>
      </w:r>
      <w:bookmarkEnd w:id="1"/>
    </w:p>
    <w:p w14:paraId="36387580" w14:textId="323375A6" w:rsidR="00732592" w:rsidRPr="00A96836" w:rsidRDefault="00732592" w:rsidP="00A96836">
      <w:pPr>
        <w:spacing w:line="360" w:lineRule="auto"/>
        <w:jc w:val="both"/>
        <w:rPr>
          <w:rFonts w:ascii="Times New Roman" w:hAnsi="Times New Roman" w:cs="Times New Roman"/>
        </w:rPr>
      </w:pPr>
    </w:p>
    <w:p w14:paraId="7B352B2E" w14:textId="116F7002" w:rsidR="00732592" w:rsidRPr="00A96836" w:rsidRDefault="00732592" w:rsidP="00A96836">
      <w:pPr>
        <w:spacing w:line="360" w:lineRule="auto"/>
        <w:jc w:val="both"/>
        <w:rPr>
          <w:rFonts w:ascii="Times New Roman" w:hAnsi="Times New Roman" w:cs="Times New Roman"/>
        </w:rPr>
      </w:pPr>
    </w:p>
    <w:p w14:paraId="7B28B332" w14:textId="366F9478" w:rsidR="00732592" w:rsidRPr="00A96836" w:rsidRDefault="00732592" w:rsidP="00A96836">
      <w:pPr>
        <w:spacing w:line="360" w:lineRule="auto"/>
        <w:jc w:val="both"/>
        <w:rPr>
          <w:rFonts w:ascii="Times New Roman" w:hAnsi="Times New Roman" w:cs="Times New Roman"/>
        </w:rPr>
      </w:pPr>
    </w:p>
    <w:p w14:paraId="06E538C2" w14:textId="7A362096" w:rsidR="00124D3C" w:rsidRDefault="00124D3C" w:rsidP="00A96836">
      <w:pPr>
        <w:spacing w:before="100" w:beforeAutospacing="1" w:line="360" w:lineRule="auto"/>
        <w:outlineLvl w:val="2"/>
        <w:rPr>
          <w:rFonts w:ascii="Times New Roman" w:eastAsia="Times New Roman" w:hAnsi="Times New Roman" w:cs="Times New Roman"/>
          <w:b/>
          <w:bCs/>
        </w:rPr>
      </w:pPr>
    </w:p>
    <w:p w14:paraId="098D159A" w14:textId="77777777" w:rsidR="00B6450B" w:rsidRDefault="00B6450B" w:rsidP="00A96836">
      <w:pPr>
        <w:spacing w:before="100" w:beforeAutospacing="1" w:line="360" w:lineRule="auto"/>
        <w:outlineLvl w:val="2"/>
        <w:rPr>
          <w:rFonts w:ascii="Times New Roman" w:eastAsia="Times New Roman" w:hAnsi="Times New Roman" w:cs="Times New Roman"/>
          <w:b/>
          <w:bCs/>
        </w:rPr>
      </w:pPr>
    </w:p>
    <w:p w14:paraId="1188A14D" w14:textId="457B6EF2" w:rsidR="00A96836" w:rsidRDefault="006B3176" w:rsidP="00A96836">
      <w:pPr>
        <w:spacing w:before="100" w:beforeAutospacing="1" w:line="360" w:lineRule="auto"/>
        <w:outlineLvl w:val="2"/>
        <w:rPr>
          <w:rFonts w:ascii="Times New Roman" w:eastAsia="Times New Roman" w:hAnsi="Times New Roman" w:cs="Times New Roman"/>
          <w:b/>
          <w:bCs/>
        </w:rPr>
      </w:pPr>
      <w:r>
        <w:rPr>
          <w:rFonts w:ascii="Times New Roman" w:eastAsia="Times New Roman" w:hAnsi="Times New Roman" w:cs="Times New Roman"/>
          <w:b/>
          <w:bCs/>
        </w:rPr>
        <w:t>Methods</w:t>
      </w:r>
    </w:p>
    <w:p w14:paraId="4239047F" w14:textId="3326694E" w:rsidR="002705C3" w:rsidRPr="00A96836" w:rsidRDefault="00B26408" w:rsidP="00A96836">
      <w:pPr>
        <w:spacing w:line="360" w:lineRule="auto"/>
        <w:outlineLvl w:val="2"/>
        <w:rPr>
          <w:rFonts w:ascii="Times New Roman" w:eastAsia="Times New Roman" w:hAnsi="Times New Roman" w:cs="Times New Roman"/>
          <w:b/>
          <w:bCs/>
        </w:rPr>
      </w:pPr>
      <w:r w:rsidRPr="00A96836">
        <w:rPr>
          <w:rFonts w:ascii="Times New Roman" w:eastAsia="Times New Roman" w:hAnsi="Times New Roman" w:cs="Times New Roman"/>
          <w:b/>
          <w:bCs/>
        </w:rPr>
        <w:t xml:space="preserve">Study </w:t>
      </w:r>
      <w:r w:rsidR="002705C3" w:rsidRPr="00A96836">
        <w:rPr>
          <w:rFonts w:ascii="Times New Roman" w:eastAsia="Times New Roman" w:hAnsi="Times New Roman" w:cs="Times New Roman"/>
          <w:b/>
          <w:bCs/>
        </w:rPr>
        <w:t>design and setting</w:t>
      </w:r>
      <w:r w:rsidRPr="00A96836">
        <w:rPr>
          <w:rFonts w:ascii="Times New Roman" w:eastAsia="Times New Roman" w:hAnsi="Times New Roman" w:cs="Times New Roman"/>
        </w:rPr>
        <w:br/>
      </w:r>
      <w:r w:rsidR="007E5CA6" w:rsidRPr="00A96836">
        <w:rPr>
          <w:rFonts w:ascii="Times New Roman" w:eastAsia="Times New Roman" w:hAnsi="Times New Roman" w:cs="Times New Roman"/>
        </w:rPr>
        <w:t>A</w:t>
      </w:r>
      <w:r w:rsidRPr="00A96836">
        <w:rPr>
          <w:rFonts w:ascii="Times New Roman" w:eastAsia="Times New Roman" w:hAnsi="Times New Roman" w:cs="Times New Roman"/>
        </w:rPr>
        <w:t xml:space="preserve"> prospective</w:t>
      </w:r>
      <w:r w:rsidR="00D06CA2" w:rsidRPr="00A96836">
        <w:rPr>
          <w:rFonts w:ascii="Times New Roman" w:eastAsia="Times New Roman" w:hAnsi="Times New Roman" w:cs="Times New Roman"/>
        </w:rPr>
        <w:t xml:space="preserve"> </w:t>
      </w:r>
      <w:r w:rsidRPr="00A96836">
        <w:rPr>
          <w:rFonts w:ascii="Times New Roman" w:eastAsia="Times New Roman" w:hAnsi="Times New Roman" w:cs="Times New Roman"/>
        </w:rPr>
        <w:t xml:space="preserve">cohort study </w:t>
      </w:r>
      <w:r w:rsidR="00BF7E1F" w:rsidRPr="00A96836">
        <w:rPr>
          <w:rFonts w:ascii="Times New Roman" w:eastAsia="Times New Roman" w:hAnsi="Times New Roman" w:cs="Times New Roman"/>
        </w:rPr>
        <w:t xml:space="preserve">of 74 participants aged 18 years and above </w:t>
      </w:r>
      <w:r w:rsidRPr="00A96836">
        <w:rPr>
          <w:rFonts w:ascii="Times New Roman" w:eastAsia="Times New Roman" w:hAnsi="Times New Roman" w:cs="Times New Roman"/>
        </w:rPr>
        <w:t>was conducted at the Ophthalmology Department of Kilimanjaro Christian Medical Centre (KCMC), Moshi, Northern Tanzania, from August 2023 to June 2024. KCMC is one of five consultant hospitals in Tanzania, serving the northern regions and receiving referrals nationally and from neighboring countries</w:t>
      </w:r>
      <w:r w:rsidR="009D2A76">
        <w:rPr>
          <w:rFonts w:ascii="Times New Roman" w:eastAsia="Times New Roman" w:hAnsi="Times New Roman" w:cs="Times New Roman"/>
        </w:rPr>
        <w:t>. It also</w:t>
      </w:r>
      <w:r w:rsidR="00D43599" w:rsidRPr="00A96836">
        <w:rPr>
          <w:rFonts w:ascii="Times New Roman" w:eastAsia="Times New Roman" w:hAnsi="Times New Roman" w:cs="Times New Roman"/>
        </w:rPr>
        <w:t xml:space="preserve"> serves as a training center </w:t>
      </w:r>
      <w:r w:rsidR="002705C3" w:rsidRPr="00A96836">
        <w:rPr>
          <w:rFonts w:ascii="Times New Roman" w:eastAsia="Times New Roman" w:hAnsi="Times New Roman" w:cs="Times New Roman"/>
        </w:rPr>
        <w:t xml:space="preserve">and </w:t>
      </w:r>
      <w:r w:rsidR="00D43599" w:rsidRPr="00A96836">
        <w:rPr>
          <w:rFonts w:ascii="Times New Roman" w:eastAsia="Times New Roman" w:hAnsi="Times New Roman" w:cs="Times New Roman"/>
        </w:rPr>
        <w:t>ophthalmolog</w:t>
      </w:r>
      <w:r w:rsidR="006B3176">
        <w:rPr>
          <w:rFonts w:ascii="Times New Roman" w:eastAsia="Times New Roman" w:hAnsi="Times New Roman" w:cs="Times New Roman"/>
        </w:rPr>
        <w:t>y</w:t>
      </w:r>
      <w:r w:rsidR="00D43599" w:rsidRPr="00A96836">
        <w:rPr>
          <w:rFonts w:ascii="Times New Roman" w:eastAsia="Times New Roman" w:hAnsi="Times New Roman" w:cs="Times New Roman"/>
        </w:rPr>
        <w:t xml:space="preserve"> and allied eye care professionals</w:t>
      </w:r>
      <w:r w:rsidR="002705C3" w:rsidRPr="00A96836">
        <w:rPr>
          <w:rFonts w:ascii="Times New Roman" w:eastAsia="Times New Roman" w:hAnsi="Times New Roman" w:cs="Times New Roman"/>
        </w:rPr>
        <w:t xml:space="preserve"> is one of the trainings </w:t>
      </w:r>
      <w:r w:rsidR="001D3147">
        <w:rPr>
          <w:rFonts w:ascii="Times New Roman" w:eastAsia="Times New Roman" w:hAnsi="Times New Roman" w:cs="Times New Roman"/>
        </w:rPr>
        <w:t>offered</w:t>
      </w:r>
      <w:r w:rsidR="002705C3" w:rsidRPr="00A96836">
        <w:rPr>
          <w:rFonts w:ascii="Times New Roman" w:eastAsia="Times New Roman" w:hAnsi="Times New Roman" w:cs="Times New Roman"/>
        </w:rPr>
        <w:t xml:space="preserve"> at KCMC</w:t>
      </w:r>
      <w:r w:rsidR="00D43599" w:rsidRPr="00A96836">
        <w:rPr>
          <w:rFonts w:ascii="Times New Roman" w:eastAsia="Times New Roman" w:hAnsi="Times New Roman" w:cs="Times New Roman"/>
        </w:rPr>
        <w:t>.</w:t>
      </w:r>
      <w:r w:rsidRPr="00A96836">
        <w:rPr>
          <w:rFonts w:ascii="Times New Roman" w:eastAsia="Times New Roman" w:hAnsi="Times New Roman" w:cs="Times New Roman"/>
        </w:rPr>
        <w:t xml:space="preserve"> </w:t>
      </w:r>
      <w:r w:rsidR="00D43599" w:rsidRPr="00A96836">
        <w:rPr>
          <w:rFonts w:ascii="Times New Roman" w:eastAsia="Times New Roman" w:hAnsi="Times New Roman" w:cs="Times New Roman"/>
        </w:rPr>
        <w:t>Glaucoma   constitutes about 10% of total patients managed in t</w:t>
      </w:r>
      <w:r w:rsidRPr="00A96836">
        <w:rPr>
          <w:rFonts w:ascii="Times New Roman" w:eastAsia="Times New Roman" w:hAnsi="Times New Roman" w:cs="Times New Roman"/>
        </w:rPr>
        <w:t xml:space="preserve">he </w:t>
      </w:r>
      <w:r w:rsidR="00FD69D9">
        <w:rPr>
          <w:rFonts w:ascii="Times New Roman" w:eastAsia="Times New Roman" w:hAnsi="Times New Roman" w:cs="Times New Roman"/>
        </w:rPr>
        <w:t xml:space="preserve">Ophthalmology </w:t>
      </w:r>
      <w:r w:rsidRPr="00A96836">
        <w:rPr>
          <w:rFonts w:ascii="Times New Roman" w:eastAsia="Times New Roman" w:hAnsi="Times New Roman" w:cs="Times New Roman"/>
        </w:rPr>
        <w:t>Department</w:t>
      </w:r>
      <w:r w:rsidR="00D43599" w:rsidRPr="00A96836">
        <w:rPr>
          <w:rFonts w:ascii="Times New Roman" w:eastAsia="Times New Roman" w:hAnsi="Times New Roman" w:cs="Times New Roman"/>
        </w:rPr>
        <w:t xml:space="preserve"> annually. </w:t>
      </w:r>
    </w:p>
    <w:p w14:paraId="0E8A2D27" w14:textId="4C639F5F" w:rsidR="00B26408" w:rsidRPr="00A96836" w:rsidRDefault="002705C3" w:rsidP="00A96836">
      <w:pPr>
        <w:spacing w:before="100" w:beforeAutospacing="1"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Study population and Eligibility criteria</w:t>
      </w:r>
      <w:r w:rsidR="00B26408" w:rsidRPr="00A96836">
        <w:rPr>
          <w:rFonts w:ascii="Times New Roman" w:eastAsia="Times New Roman" w:hAnsi="Times New Roman" w:cs="Times New Roman"/>
        </w:rPr>
        <w:br/>
        <w:t>The study enrolled adult patients aged 18 years and above with refractory glaucoma treated with transscleral cyclophotocoagulation (TSCPC) during the study period.</w:t>
      </w:r>
      <w:r w:rsidR="00AC269B" w:rsidRPr="00A96836">
        <w:rPr>
          <w:rFonts w:ascii="Times New Roman" w:eastAsia="Times New Roman" w:hAnsi="Times New Roman" w:cs="Times New Roman"/>
        </w:rPr>
        <w:t xml:space="preserve"> </w:t>
      </w:r>
      <w:r w:rsidR="006872ED" w:rsidRPr="00A96836">
        <w:rPr>
          <w:rFonts w:ascii="Times New Roman" w:eastAsia="Times New Roman" w:hAnsi="Times New Roman" w:cs="Times New Roman"/>
        </w:rPr>
        <w:t xml:space="preserve">Eligible patients had an intraocular pressure (IOP) ≥30 mmHg despite maximal medical </w:t>
      </w:r>
      <w:r w:rsidR="004E4F08" w:rsidRPr="00A96836">
        <w:rPr>
          <w:rFonts w:ascii="Times New Roman" w:eastAsia="Times New Roman" w:hAnsi="Times New Roman" w:cs="Times New Roman"/>
        </w:rPr>
        <w:t>therapy. Timolol</w:t>
      </w:r>
      <w:r w:rsidR="007D6339" w:rsidRPr="00A96836">
        <w:rPr>
          <w:rFonts w:ascii="Times New Roman" w:eastAsia="Times New Roman" w:hAnsi="Times New Roman" w:cs="Times New Roman"/>
        </w:rPr>
        <w:t xml:space="preserve"> and Latanoprost are most frequently available and</w:t>
      </w:r>
      <w:r w:rsidR="001B1D0D" w:rsidRPr="00A96836">
        <w:rPr>
          <w:rFonts w:ascii="Times New Roman" w:eastAsia="Times New Roman" w:hAnsi="Times New Roman" w:cs="Times New Roman"/>
        </w:rPr>
        <w:t xml:space="preserve"> affordable drugs for glaucoma at KCMC. </w:t>
      </w:r>
      <w:r w:rsidR="006872ED" w:rsidRPr="00A96836">
        <w:rPr>
          <w:rFonts w:ascii="Times New Roman" w:eastAsia="Times New Roman" w:hAnsi="Times New Roman" w:cs="Times New Roman"/>
        </w:rPr>
        <w:br/>
      </w:r>
      <w:r w:rsidR="00AC269B" w:rsidRPr="00A96836">
        <w:rPr>
          <w:rFonts w:ascii="Times New Roman" w:eastAsia="Times New Roman" w:hAnsi="Times New Roman" w:cs="Times New Roman"/>
        </w:rPr>
        <w:t xml:space="preserve">Patients with prior </w:t>
      </w:r>
      <w:proofErr w:type="spellStart"/>
      <w:r w:rsidR="00AC269B" w:rsidRPr="00A96836">
        <w:rPr>
          <w:rFonts w:ascii="Times New Roman" w:eastAsia="Times New Roman" w:hAnsi="Times New Roman" w:cs="Times New Roman"/>
        </w:rPr>
        <w:t>cyclodestructive</w:t>
      </w:r>
      <w:proofErr w:type="spellEnd"/>
      <w:r w:rsidR="00AC269B" w:rsidRPr="00A96836">
        <w:rPr>
          <w:rFonts w:ascii="Times New Roman" w:eastAsia="Times New Roman" w:hAnsi="Times New Roman" w:cs="Times New Roman"/>
        </w:rPr>
        <w:t xml:space="preserve"> procedures, active ocular inflammation or recent intraocular surgery in the treatment eye were excluded. </w:t>
      </w:r>
    </w:p>
    <w:p w14:paraId="7C8B39FE" w14:textId="634CD80A" w:rsidR="00C024DD" w:rsidRPr="00A96836" w:rsidRDefault="00B26408" w:rsidP="00A96836">
      <w:pPr>
        <w:spacing w:before="100" w:beforeAutospacing="1"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 xml:space="preserve">Sample Size </w:t>
      </w:r>
      <w:r w:rsidR="00B128EA" w:rsidRPr="00A96836">
        <w:rPr>
          <w:rFonts w:ascii="Times New Roman" w:eastAsia="Times New Roman" w:hAnsi="Times New Roman" w:cs="Times New Roman"/>
          <w:b/>
          <w:bCs/>
        </w:rPr>
        <w:t>determination</w:t>
      </w:r>
      <w:r w:rsidRPr="00A96836">
        <w:rPr>
          <w:rFonts w:ascii="Times New Roman" w:eastAsia="Times New Roman" w:hAnsi="Times New Roman" w:cs="Times New Roman"/>
        </w:rPr>
        <w:br/>
      </w:r>
      <w:r w:rsidR="00C024DD" w:rsidRPr="00A96836">
        <w:rPr>
          <w:rFonts w:ascii="Times New Roman" w:eastAsia="Times New Roman" w:hAnsi="Times New Roman" w:cs="Times New Roman"/>
        </w:rPr>
        <w:t>Between August 2023 and June 2024</w:t>
      </w:r>
      <w:r w:rsidR="00D06CA2" w:rsidRPr="00A96836">
        <w:rPr>
          <w:rFonts w:ascii="Times New Roman" w:eastAsia="Times New Roman" w:hAnsi="Times New Roman" w:cs="Times New Roman"/>
        </w:rPr>
        <w:t xml:space="preserve">, </w:t>
      </w:r>
      <w:r w:rsidR="00C024DD" w:rsidRPr="00A96836">
        <w:rPr>
          <w:rFonts w:ascii="Times New Roman" w:eastAsia="Times New Roman" w:hAnsi="Times New Roman" w:cs="Times New Roman"/>
        </w:rPr>
        <w:t xml:space="preserve">a total of </w:t>
      </w:r>
      <w:r w:rsidR="00B128EA" w:rsidRPr="00A96836">
        <w:rPr>
          <w:rFonts w:ascii="Times New Roman" w:eastAsia="Times New Roman" w:hAnsi="Times New Roman" w:cs="Times New Roman"/>
        </w:rPr>
        <w:t xml:space="preserve">114 </w:t>
      </w:r>
      <w:r w:rsidR="00C024DD" w:rsidRPr="00A96836">
        <w:rPr>
          <w:rFonts w:ascii="Times New Roman" w:eastAsia="Times New Roman" w:hAnsi="Times New Roman" w:cs="Times New Roman"/>
        </w:rPr>
        <w:t xml:space="preserve">patients </w:t>
      </w:r>
      <w:r w:rsidR="001D3147">
        <w:rPr>
          <w:rFonts w:ascii="Times New Roman" w:eastAsia="Times New Roman" w:hAnsi="Times New Roman" w:cs="Times New Roman"/>
        </w:rPr>
        <w:t>were treated with</w:t>
      </w:r>
      <w:r w:rsidR="00C024DD" w:rsidRPr="00A96836">
        <w:rPr>
          <w:rFonts w:ascii="Times New Roman" w:eastAsia="Times New Roman" w:hAnsi="Times New Roman" w:cs="Times New Roman"/>
        </w:rPr>
        <w:t xml:space="preserve"> (TS-CPC)</w:t>
      </w:r>
      <w:r w:rsidR="001D3147">
        <w:rPr>
          <w:rFonts w:ascii="Times New Roman" w:eastAsia="Times New Roman" w:hAnsi="Times New Roman" w:cs="Times New Roman"/>
        </w:rPr>
        <w:t>.</w:t>
      </w:r>
      <w:r w:rsidR="00B128EA" w:rsidRPr="00A96836">
        <w:rPr>
          <w:rFonts w:ascii="Times New Roman" w:eastAsia="Times New Roman" w:hAnsi="Times New Roman" w:cs="Times New Roman"/>
        </w:rPr>
        <w:t xml:space="preserve"> Of these patients</w:t>
      </w:r>
      <w:r w:rsidR="001D3147">
        <w:rPr>
          <w:rFonts w:ascii="Times New Roman" w:eastAsia="Times New Roman" w:hAnsi="Times New Roman" w:cs="Times New Roman"/>
        </w:rPr>
        <w:t>,</w:t>
      </w:r>
      <w:r w:rsidR="00B128EA" w:rsidRPr="00A96836">
        <w:rPr>
          <w:rFonts w:ascii="Times New Roman" w:eastAsia="Times New Roman" w:hAnsi="Times New Roman" w:cs="Times New Roman"/>
        </w:rPr>
        <w:t xml:space="preserve"> 74 met the inclusion criteria and enrolled in the study. </w:t>
      </w:r>
      <w:r w:rsidR="00B128EA" w:rsidRPr="00A96836">
        <w:rPr>
          <w:rFonts w:ascii="Times New Roman" w:eastAsia="Times New Roman" w:hAnsi="Times New Roman" w:cs="Times New Roman"/>
          <w:b/>
          <w:bCs/>
        </w:rPr>
        <w:t xml:space="preserve">Figure 1 </w:t>
      </w:r>
      <w:r w:rsidR="00B128EA" w:rsidRPr="00A96836">
        <w:rPr>
          <w:rFonts w:ascii="Times New Roman" w:eastAsia="Times New Roman" w:hAnsi="Times New Roman" w:cs="Times New Roman"/>
        </w:rPr>
        <w:t>summarizes the enrollment of the study participants</w:t>
      </w:r>
      <w:r w:rsidR="001D3147">
        <w:rPr>
          <w:rFonts w:ascii="Times New Roman" w:eastAsia="Times New Roman" w:hAnsi="Times New Roman" w:cs="Times New Roman"/>
        </w:rPr>
        <w:t>.</w:t>
      </w:r>
    </w:p>
    <w:p w14:paraId="7C3236C1" w14:textId="721FF6E5" w:rsidR="00D06CA2" w:rsidRPr="00A96836" w:rsidRDefault="00D06CA2" w:rsidP="00A96836">
      <w:pPr>
        <w:spacing w:before="100" w:beforeAutospacing="1" w:after="100" w:afterAutospacing="1" w:line="360" w:lineRule="auto"/>
        <w:jc w:val="center"/>
        <w:rPr>
          <w:rFonts w:ascii="Times New Roman" w:eastAsia="Times New Roman" w:hAnsi="Times New Roman" w:cs="Times New Roman"/>
          <w:color w:val="FF0000"/>
        </w:rPr>
      </w:pPr>
      <w:r w:rsidRPr="00A96836">
        <w:rPr>
          <w:rFonts w:ascii="Times New Roman" w:hAnsi="Times New Roman" w:cs="Times New Roman"/>
          <w:noProof/>
        </w:rPr>
        <w:lastRenderedPageBreak/>
        <w:drawing>
          <wp:inline distT="0" distB="0" distL="0" distR="0" wp14:anchorId="38003E29" wp14:editId="30D6D1DF">
            <wp:extent cx="4589780" cy="2257163"/>
            <wp:effectExtent l="0" t="0" r="127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4643770" cy="2283714"/>
                    </a:xfrm>
                    <a:prstGeom prst="rect">
                      <a:avLst/>
                    </a:prstGeom>
                  </pic:spPr>
                </pic:pic>
              </a:graphicData>
            </a:graphic>
          </wp:inline>
        </w:drawing>
      </w:r>
    </w:p>
    <w:p w14:paraId="37177C5D" w14:textId="1608E960" w:rsidR="00A96836" w:rsidRDefault="00D06CA2" w:rsidP="00A96836">
      <w:pPr>
        <w:spacing w:before="100" w:beforeAutospacing="1" w:after="100" w:afterAutospacing="1" w:line="360" w:lineRule="auto"/>
        <w:jc w:val="both"/>
        <w:rPr>
          <w:rFonts w:ascii="Times New Roman" w:eastAsia="Times New Roman" w:hAnsi="Times New Roman" w:cs="Times New Roman"/>
          <w:color w:val="FF0000"/>
        </w:rPr>
      </w:pPr>
      <w:r w:rsidRPr="00A96836">
        <w:rPr>
          <w:rFonts w:ascii="Times New Roman" w:eastAsia="Times New Roman" w:hAnsi="Times New Roman" w:cs="Times New Roman"/>
          <w:b/>
          <w:bCs/>
        </w:rPr>
        <w:t>Figure 1:</w:t>
      </w:r>
      <w:r w:rsidRPr="00A96836">
        <w:rPr>
          <w:rFonts w:ascii="Times New Roman" w:eastAsia="Times New Roman" w:hAnsi="Times New Roman" w:cs="Times New Roman"/>
        </w:rPr>
        <w:t xml:space="preserve"> Flow chart showing selection of participant enrolled in the study</w:t>
      </w:r>
      <w:r w:rsidR="001D3147">
        <w:rPr>
          <w:rFonts w:ascii="Times New Roman" w:eastAsia="Times New Roman" w:hAnsi="Times New Roman" w:cs="Times New Roman"/>
        </w:rPr>
        <w:t>.</w:t>
      </w:r>
    </w:p>
    <w:p w14:paraId="01C1155E" w14:textId="5D87A024" w:rsidR="00657F26" w:rsidRPr="00A96836" w:rsidRDefault="00657F26" w:rsidP="00A96836">
      <w:pPr>
        <w:spacing w:before="100" w:beforeAutospacing="1" w:line="360" w:lineRule="auto"/>
        <w:jc w:val="both"/>
        <w:rPr>
          <w:rFonts w:ascii="Times New Roman" w:eastAsia="Times New Roman" w:hAnsi="Times New Roman" w:cs="Times New Roman"/>
          <w:color w:val="FF0000"/>
        </w:rPr>
      </w:pPr>
      <w:r w:rsidRPr="00A96836">
        <w:rPr>
          <w:rFonts w:ascii="Times New Roman" w:eastAsia="Times New Roman" w:hAnsi="Times New Roman" w:cs="Times New Roman"/>
          <w:b/>
          <w:bCs/>
        </w:rPr>
        <w:t>Study variables</w:t>
      </w:r>
    </w:p>
    <w:p w14:paraId="79BEBF43" w14:textId="13B456C7" w:rsidR="00657F26" w:rsidRPr="00A96836" w:rsidRDefault="00657F26" w:rsidP="00A96836">
      <w:pPr>
        <w:spacing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The outcome variable for this study was success which was define</w:t>
      </w:r>
      <w:r w:rsidR="00A46E47" w:rsidRPr="00A96836">
        <w:rPr>
          <w:rFonts w:ascii="Times New Roman" w:eastAsia="Times New Roman" w:hAnsi="Times New Roman" w:cs="Times New Roman"/>
        </w:rPr>
        <w:t>d</w:t>
      </w:r>
      <w:r w:rsidRPr="00A96836">
        <w:rPr>
          <w:rFonts w:ascii="Times New Roman" w:eastAsia="Times New Roman" w:hAnsi="Times New Roman" w:cs="Times New Roman"/>
        </w:rPr>
        <w:t xml:space="preserve"> as IOP ≤ 21mmHg or 20% </w:t>
      </w:r>
      <w:r w:rsidR="009D2A76">
        <w:rPr>
          <w:rFonts w:ascii="Times New Roman" w:eastAsia="Times New Roman" w:hAnsi="Times New Roman" w:cs="Times New Roman"/>
        </w:rPr>
        <w:t xml:space="preserve">reduction </w:t>
      </w:r>
      <w:r w:rsidRPr="00A96836">
        <w:rPr>
          <w:rFonts w:ascii="Times New Roman" w:eastAsia="Times New Roman" w:hAnsi="Times New Roman" w:cs="Times New Roman"/>
        </w:rPr>
        <w:t xml:space="preserve">from the initial IOP (“Success” </w:t>
      </w:r>
      <w:r w:rsidR="00720860" w:rsidRPr="00A96836">
        <w:rPr>
          <w:rFonts w:ascii="Times New Roman" w:eastAsia="Times New Roman" w:hAnsi="Times New Roman" w:cs="Times New Roman"/>
        </w:rPr>
        <w:t>“Failure</w:t>
      </w:r>
      <w:r w:rsidRPr="00A96836">
        <w:rPr>
          <w:rFonts w:ascii="Times New Roman" w:eastAsia="Times New Roman" w:hAnsi="Times New Roman" w:cs="Times New Roman"/>
        </w:rPr>
        <w:t>”)</w:t>
      </w:r>
    </w:p>
    <w:p w14:paraId="5A99388A" w14:textId="111C9203" w:rsidR="00657F26" w:rsidRDefault="00657F26" w:rsidP="00A96836">
      <w:pPr>
        <w:spacing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 xml:space="preserve">The Independent variables Included, </w:t>
      </w:r>
      <w:r w:rsidR="007702DE" w:rsidRPr="00A96836">
        <w:rPr>
          <w:rFonts w:ascii="Times New Roman" w:eastAsia="Times New Roman" w:hAnsi="Times New Roman" w:cs="Times New Roman"/>
        </w:rPr>
        <w:t>Participant’s</w:t>
      </w:r>
      <w:r w:rsidRPr="00A96836">
        <w:rPr>
          <w:rFonts w:ascii="Times New Roman" w:eastAsia="Times New Roman" w:hAnsi="Times New Roman" w:cs="Times New Roman"/>
        </w:rPr>
        <w:t xml:space="preserve"> age in years (</w:t>
      </w:r>
      <w:r w:rsidR="00720860" w:rsidRPr="00A96836">
        <w:rPr>
          <w:rFonts w:ascii="Times New Roman" w:eastAsia="Times New Roman" w:hAnsi="Times New Roman" w:cs="Times New Roman"/>
        </w:rPr>
        <w:t>“</w:t>
      </w:r>
      <w:r w:rsidRPr="00A96836">
        <w:rPr>
          <w:rFonts w:ascii="Times New Roman" w:eastAsia="Times New Roman" w:hAnsi="Times New Roman" w:cs="Times New Roman"/>
        </w:rPr>
        <w:t xml:space="preserve">≤60” </w:t>
      </w:r>
      <w:r w:rsidR="00A46E47" w:rsidRPr="00A96836">
        <w:rPr>
          <w:rFonts w:ascii="Times New Roman" w:eastAsia="Times New Roman" w:hAnsi="Times New Roman" w:cs="Times New Roman"/>
        </w:rPr>
        <w:t>“</w:t>
      </w:r>
      <w:r w:rsidRPr="00A96836">
        <w:rPr>
          <w:rFonts w:ascii="Times New Roman" w:eastAsia="Times New Roman" w:hAnsi="Times New Roman" w:cs="Times New Roman"/>
        </w:rPr>
        <w:t xml:space="preserve">&gt;60”), sex of the participant (“Male” </w:t>
      </w:r>
      <w:r w:rsidR="00720860" w:rsidRPr="00A96836">
        <w:rPr>
          <w:rFonts w:ascii="Times New Roman" w:eastAsia="Times New Roman" w:hAnsi="Times New Roman" w:cs="Times New Roman"/>
        </w:rPr>
        <w:t>“</w:t>
      </w:r>
      <w:r w:rsidRPr="00A96836">
        <w:rPr>
          <w:rFonts w:ascii="Times New Roman" w:eastAsia="Times New Roman" w:hAnsi="Times New Roman" w:cs="Times New Roman"/>
        </w:rPr>
        <w:t>Female”)</w:t>
      </w:r>
      <w:r w:rsidR="00720860" w:rsidRPr="00A96836">
        <w:rPr>
          <w:rFonts w:ascii="Times New Roman" w:eastAsia="Times New Roman" w:hAnsi="Times New Roman" w:cs="Times New Roman"/>
        </w:rPr>
        <w:t>, initial IOP in mmHg (</w:t>
      </w:r>
      <w:r w:rsidR="00A96836" w:rsidRPr="00A96836">
        <w:rPr>
          <w:rFonts w:ascii="Times New Roman" w:eastAsia="Times New Roman" w:hAnsi="Times New Roman" w:cs="Times New Roman"/>
        </w:rPr>
        <w:t>Median</w:t>
      </w:r>
      <w:r w:rsidR="001D3147">
        <w:rPr>
          <w:rFonts w:ascii="Times New Roman" w:eastAsia="Times New Roman" w:hAnsi="Times New Roman" w:cs="Times New Roman"/>
        </w:rPr>
        <w:t xml:space="preserve"> (</w:t>
      </w:r>
      <w:r w:rsidR="00A96836" w:rsidRPr="00A96836">
        <w:rPr>
          <w:rFonts w:ascii="Times New Roman" w:eastAsia="Times New Roman" w:hAnsi="Times New Roman" w:cs="Times New Roman"/>
        </w:rPr>
        <w:t>IQR)</w:t>
      </w:r>
      <w:r w:rsidR="007702DE" w:rsidRPr="00A96836">
        <w:rPr>
          <w:rFonts w:ascii="Times New Roman" w:eastAsia="Times New Roman" w:hAnsi="Times New Roman" w:cs="Times New Roman"/>
        </w:rPr>
        <w:t>),</w:t>
      </w:r>
      <w:r w:rsidR="007702DE">
        <w:rPr>
          <w:rFonts w:ascii="Times New Roman" w:eastAsia="Times New Roman" w:hAnsi="Times New Roman" w:cs="Times New Roman"/>
        </w:rPr>
        <w:t xml:space="preserve"> Vertical</w:t>
      </w:r>
      <w:r w:rsidR="001D3147">
        <w:rPr>
          <w:rFonts w:ascii="Times New Roman" w:eastAsia="Times New Roman" w:hAnsi="Times New Roman" w:cs="Times New Roman"/>
        </w:rPr>
        <w:t xml:space="preserve"> </w:t>
      </w:r>
      <w:r w:rsidR="00720860" w:rsidRPr="00A96836">
        <w:rPr>
          <w:rFonts w:ascii="Times New Roman" w:eastAsia="Times New Roman" w:hAnsi="Times New Roman" w:cs="Times New Roman"/>
        </w:rPr>
        <w:t>CDR (</w:t>
      </w:r>
      <w:r w:rsidR="007702DE" w:rsidRPr="00A96836">
        <w:rPr>
          <w:rFonts w:ascii="Times New Roman" w:eastAsia="Times New Roman" w:hAnsi="Times New Roman" w:cs="Times New Roman"/>
        </w:rPr>
        <w:t>Median (</w:t>
      </w:r>
      <w:r w:rsidR="00A96836" w:rsidRPr="00A96836">
        <w:rPr>
          <w:rFonts w:ascii="Times New Roman" w:eastAsia="Times New Roman" w:hAnsi="Times New Roman" w:cs="Times New Roman"/>
        </w:rPr>
        <w:t>IQR)</w:t>
      </w:r>
      <w:r w:rsidR="007702DE" w:rsidRPr="00A96836">
        <w:rPr>
          <w:rFonts w:ascii="Times New Roman" w:eastAsia="Times New Roman" w:hAnsi="Times New Roman" w:cs="Times New Roman"/>
        </w:rPr>
        <w:t>),</w:t>
      </w:r>
      <w:r w:rsidR="007702DE">
        <w:rPr>
          <w:rFonts w:ascii="Times New Roman" w:eastAsia="Times New Roman" w:hAnsi="Times New Roman" w:cs="Times New Roman"/>
        </w:rPr>
        <w:t xml:space="preserve"> </w:t>
      </w:r>
      <w:r w:rsidR="007702DE" w:rsidRPr="00A96836">
        <w:rPr>
          <w:rFonts w:ascii="Times New Roman" w:eastAsia="Times New Roman" w:hAnsi="Times New Roman" w:cs="Times New Roman"/>
        </w:rPr>
        <w:t>Disc</w:t>
      </w:r>
      <w:r w:rsidR="00720860" w:rsidRPr="00A96836">
        <w:rPr>
          <w:rFonts w:ascii="Times New Roman" w:eastAsia="Times New Roman" w:hAnsi="Times New Roman" w:cs="Times New Roman"/>
        </w:rPr>
        <w:t xml:space="preserve"> notching (“Yes” “No”), </w:t>
      </w:r>
      <w:r w:rsidR="001D3147">
        <w:rPr>
          <w:rFonts w:ascii="Times New Roman" w:eastAsia="Times New Roman" w:hAnsi="Times New Roman" w:cs="Times New Roman"/>
        </w:rPr>
        <w:t>O</w:t>
      </w:r>
      <w:r w:rsidR="00720860" w:rsidRPr="00A96836">
        <w:rPr>
          <w:rFonts w:ascii="Times New Roman" w:eastAsia="Times New Roman" w:hAnsi="Times New Roman" w:cs="Times New Roman"/>
        </w:rPr>
        <w:t>ptic disc hemorrhage (“Yes” “No”), Type of glaucoma (“Primary glaucoma” “Secondary</w:t>
      </w:r>
      <w:r w:rsidR="00A96836" w:rsidRPr="00A96836">
        <w:rPr>
          <w:rFonts w:ascii="Times New Roman" w:eastAsia="Times New Roman" w:hAnsi="Times New Roman" w:cs="Times New Roman"/>
        </w:rPr>
        <w:t xml:space="preserve"> glaucoma</w:t>
      </w:r>
      <w:r w:rsidR="00720860" w:rsidRPr="00A96836">
        <w:rPr>
          <w:rFonts w:ascii="Times New Roman" w:eastAsia="Times New Roman" w:hAnsi="Times New Roman" w:cs="Times New Roman"/>
        </w:rPr>
        <w:t>”) and Associated comorbidities (“Systemic diseases” “Ocular diseases”</w:t>
      </w:r>
      <w:r w:rsidR="00A96836" w:rsidRPr="00A96836">
        <w:rPr>
          <w:rFonts w:ascii="Times New Roman" w:eastAsia="Times New Roman" w:hAnsi="Times New Roman" w:cs="Times New Roman"/>
        </w:rPr>
        <w:t>)</w:t>
      </w:r>
    </w:p>
    <w:p w14:paraId="30DD174C" w14:textId="77777777" w:rsidR="00F55EB8" w:rsidRDefault="00B51BA8" w:rsidP="00F55EB8">
      <w:pPr>
        <w:spacing w:after="100" w:afterAutospacing="1" w:line="360" w:lineRule="auto"/>
        <w:jc w:val="both"/>
        <w:rPr>
          <w:rFonts w:ascii="Times New Roman" w:eastAsia="Times New Roman" w:hAnsi="Times New Roman" w:cs="Times New Roman"/>
          <w:b/>
          <w:bCs/>
        </w:rPr>
      </w:pPr>
      <w:r w:rsidRPr="00B51BA8">
        <w:rPr>
          <w:rFonts w:ascii="Times New Roman" w:eastAsia="Times New Roman" w:hAnsi="Times New Roman" w:cs="Times New Roman"/>
          <w:b/>
          <w:bCs/>
        </w:rPr>
        <w:t>Operational definition:</w:t>
      </w:r>
    </w:p>
    <w:p w14:paraId="131C5603" w14:textId="2CD39E38" w:rsidR="00B51BA8" w:rsidRPr="00F55EB8" w:rsidRDefault="00B51BA8" w:rsidP="00F55EB8">
      <w:pPr>
        <w:spacing w:after="100" w:afterAutospacing="1" w:line="360" w:lineRule="auto"/>
        <w:jc w:val="both"/>
        <w:rPr>
          <w:rFonts w:ascii="Times New Roman" w:eastAsia="Times New Roman" w:hAnsi="Times New Roman" w:cs="Times New Roman"/>
          <w:b/>
          <w:bCs/>
        </w:rPr>
      </w:pPr>
      <w:r>
        <w:rPr>
          <w:rFonts w:ascii="Times New Roman" w:eastAsia="Times New Roman" w:hAnsi="Times New Roman" w:cs="Times New Roman"/>
          <w:b/>
        </w:rPr>
        <w:t>Limited Cyclophotocoagulation</w:t>
      </w:r>
      <w:r>
        <w:rPr>
          <w:rFonts w:ascii="Times New Roman" w:eastAsia="Times New Roman" w:hAnsi="Times New Roman" w:cs="Times New Roman"/>
        </w:rPr>
        <w:t>; Trans-scleral diode laser at</w:t>
      </w:r>
      <w:r w:rsidR="00B66BFB">
        <w:rPr>
          <w:rFonts w:ascii="Times New Roman" w:eastAsia="Times New Roman" w:hAnsi="Times New Roman" w:cs="Times New Roman"/>
        </w:rPr>
        <w:t xml:space="preserve"> inferior</w:t>
      </w:r>
      <w:r>
        <w:rPr>
          <w:rFonts w:ascii="Times New Roman" w:eastAsia="Times New Roman" w:hAnsi="Times New Roman" w:cs="Times New Roman"/>
        </w:rPr>
        <w:t xml:space="preserve"> 180° </w:t>
      </w:r>
      <w:r w:rsidR="00B66BFB" w:rsidRPr="00B66BFB">
        <w:rPr>
          <w:rFonts w:ascii="Times New Roman" w:eastAsia="Times New Roman" w:hAnsi="Times New Roman" w:cs="Times New Roman"/>
        </w:rPr>
        <w:t>sparing the 3 and 9 o’clock positions, with up to 10 burns per quadrant. Each burn lasted 2 seconds at 2000 mW, totaling 120 J per session.</w:t>
      </w:r>
    </w:p>
    <w:p w14:paraId="25629207" w14:textId="6E55DE26" w:rsidR="00B51BA8" w:rsidRPr="005114EE" w:rsidRDefault="00B51BA8" w:rsidP="00B66BFB">
      <w:pPr>
        <w:spacing w:line="360" w:lineRule="auto"/>
        <w:rPr>
          <w:rFonts w:ascii="Times New Roman" w:eastAsia="Times New Roman" w:hAnsi="Times New Roman" w:cs="Times New Roman"/>
        </w:rPr>
      </w:pPr>
      <w:r w:rsidRPr="005114EE">
        <w:rPr>
          <w:rFonts w:ascii="Times New Roman" w:eastAsia="Times New Roman" w:hAnsi="Times New Roman" w:cs="Times New Roman"/>
          <w:b/>
          <w:bCs/>
        </w:rPr>
        <w:t xml:space="preserve">Refractory Glaucoma: </w:t>
      </w:r>
      <w:r w:rsidR="005114EE" w:rsidRPr="005114EE">
        <w:rPr>
          <w:rFonts w:ascii="Times New Roman" w:eastAsia="Times New Roman" w:hAnsi="Times New Roman" w:cs="Times New Roman"/>
        </w:rPr>
        <w:t>In this study, refractory glaucoma was defined as intraocular pressure ≥</w:t>
      </w:r>
      <w:r w:rsidR="005114EE">
        <w:rPr>
          <w:rFonts w:ascii="Times New Roman" w:eastAsia="Times New Roman" w:hAnsi="Times New Roman" w:cs="Times New Roman"/>
        </w:rPr>
        <w:t>30</w:t>
      </w:r>
      <w:r w:rsidR="005114EE" w:rsidRPr="005114EE">
        <w:rPr>
          <w:rFonts w:ascii="Times New Roman" w:eastAsia="Times New Roman" w:hAnsi="Times New Roman" w:cs="Times New Roman"/>
        </w:rPr>
        <w:t xml:space="preserve"> mmHg despite maximal tolerated medical therapy, </w:t>
      </w:r>
      <w:r w:rsidR="005114EE">
        <w:rPr>
          <w:rFonts w:ascii="Times New Roman" w:eastAsia="Times New Roman" w:hAnsi="Times New Roman" w:cs="Times New Roman"/>
        </w:rPr>
        <w:t>p</w:t>
      </w:r>
      <w:r w:rsidR="005114EE" w:rsidRPr="005114EE">
        <w:rPr>
          <w:rFonts w:ascii="Times New Roman" w:eastAsia="Times New Roman" w:hAnsi="Times New Roman" w:cs="Times New Roman"/>
        </w:rPr>
        <w:t>revious filtering or drainage surgeries (</w:t>
      </w:r>
      <w:r w:rsidR="00B66BFB" w:rsidRPr="005114EE">
        <w:rPr>
          <w:rFonts w:ascii="Times New Roman" w:eastAsia="Times New Roman" w:hAnsi="Times New Roman" w:cs="Times New Roman"/>
        </w:rPr>
        <w:t>e.g., trabeculectomy</w:t>
      </w:r>
      <w:r w:rsidR="005114EE" w:rsidRPr="005114EE">
        <w:rPr>
          <w:rFonts w:ascii="Times New Roman" w:eastAsia="Times New Roman" w:hAnsi="Times New Roman" w:cs="Times New Roman"/>
        </w:rPr>
        <w:t>, tube shunt)</w:t>
      </w:r>
      <w:r w:rsidR="005114EE">
        <w:rPr>
          <w:rFonts w:ascii="Times New Roman" w:eastAsia="Times New Roman" w:hAnsi="Times New Roman" w:cs="Times New Roman"/>
        </w:rPr>
        <w:t xml:space="preserve"> but</w:t>
      </w:r>
      <w:r w:rsidR="005114EE" w:rsidRPr="005114EE">
        <w:t xml:space="preserve"> </w:t>
      </w:r>
      <w:r w:rsidR="005114EE">
        <w:rPr>
          <w:rFonts w:ascii="Times New Roman" w:eastAsia="Times New Roman" w:hAnsi="Times New Roman" w:cs="Times New Roman"/>
        </w:rPr>
        <w:t>u</w:t>
      </w:r>
      <w:r w:rsidR="005114EE" w:rsidRPr="005114EE">
        <w:rPr>
          <w:rFonts w:ascii="Times New Roman" w:eastAsia="Times New Roman" w:hAnsi="Times New Roman" w:cs="Times New Roman"/>
        </w:rPr>
        <w:t>nsuitab</w:t>
      </w:r>
      <w:r w:rsidR="00B66BFB">
        <w:rPr>
          <w:rFonts w:ascii="Times New Roman" w:eastAsia="Times New Roman" w:hAnsi="Times New Roman" w:cs="Times New Roman"/>
        </w:rPr>
        <w:t>le</w:t>
      </w:r>
      <w:r w:rsidR="005114EE" w:rsidRPr="005114EE">
        <w:rPr>
          <w:rFonts w:ascii="Times New Roman" w:eastAsia="Times New Roman" w:hAnsi="Times New Roman" w:cs="Times New Roman"/>
        </w:rPr>
        <w:t xml:space="preserve"> for further conventional surgery</w:t>
      </w:r>
      <w:r w:rsidR="00B66BFB">
        <w:rPr>
          <w:rFonts w:ascii="Times New Roman" w:eastAsia="Times New Roman" w:hAnsi="Times New Roman" w:cs="Times New Roman"/>
        </w:rPr>
        <w:t>.</w:t>
      </w:r>
    </w:p>
    <w:p w14:paraId="7D717EFD" w14:textId="77777777" w:rsidR="00F26309" w:rsidRDefault="00F26309" w:rsidP="00A96836">
      <w:pPr>
        <w:spacing w:after="100" w:afterAutospacing="1" w:line="360" w:lineRule="auto"/>
        <w:jc w:val="both"/>
        <w:rPr>
          <w:rFonts w:ascii="Times New Roman" w:eastAsia="Times New Roman" w:hAnsi="Times New Roman" w:cs="Times New Roman"/>
        </w:rPr>
      </w:pPr>
    </w:p>
    <w:p w14:paraId="3F781175" w14:textId="77777777" w:rsidR="00F26309" w:rsidRDefault="00F26309" w:rsidP="00F26309">
      <w:pPr>
        <w:pStyle w:val="Heading3"/>
      </w:pPr>
      <w:r>
        <w:lastRenderedPageBreak/>
        <w:t>Data collection tools</w:t>
      </w:r>
    </w:p>
    <w:p w14:paraId="7C428F44" w14:textId="77777777" w:rsidR="00F26309" w:rsidRDefault="00F26309" w:rsidP="00F26309">
      <w:pPr>
        <w:spacing w:line="360" w:lineRule="auto"/>
        <w:jc w:val="both"/>
        <w:rPr>
          <w:rFonts w:ascii="Times New Roman" w:eastAsia="Times New Roman" w:hAnsi="Times New Roman" w:cs="Times New Roman"/>
        </w:rPr>
      </w:pPr>
      <w:r>
        <w:rPr>
          <w:rFonts w:ascii="Times New Roman" w:eastAsia="Times New Roman" w:hAnsi="Times New Roman" w:cs="Times New Roman"/>
        </w:rPr>
        <w:t>A data extraction sheet was used to collect data where demographic and clinical characteristics, pre and post procedure findings were filled. Visual acuity was measured using a Snellen chart</w:t>
      </w:r>
    </w:p>
    <w:p w14:paraId="207F14C6" w14:textId="77777777" w:rsidR="00F26309" w:rsidRDefault="00F26309" w:rsidP="00F26309">
      <w:pPr>
        <w:spacing w:line="360" w:lineRule="auto"/>
        <w:jc w:val="both"/>
        <w:rPr>
          <w:rFonts w:ascii="Times New Roman" w:eastAsia="Times New Roman" w:hAnsi="Times New Roman" w:cs="Times New Roman"/>
        </w:rPr>
      </w:pPr>
      <w:r>
        <w:rPr>
          <w:rFonts w:ascii="Times New Roman" w:eastAsia="Times New Roman" w:hAnsi="Times New Roman" w:cs="Times New Roman"/>
        </w:rPr>
        <w:t>A slit lamp with calibrated Goldman applanation Tonometer was used to examine the anterior segment and standardized measurement of the IOP.  Indirect fundoscopy using non-contact VOLK 90D lens was done to assess the Optic nerve head. Visual Field Test (VFT) was done using</w:t>
      </w:r>
      <w:r>
        <w:rPr>
          <w:rFonts w:ascii="Times New Roman" w:eastAsia="Times New Roman" w:hAnsi="Times New Roman" w:cs="Times New Roman"/>
          <w:i/>
        </w:rPr>
        <w:t xml:space="preserve"> Carl</w:t>
      </w:r>
      <w:r>
        <w:rPr>
          <w:rFonts w:ascii="Times New Roman" w:eastAsia="Times New Roman" w:hAnsi="Times New Roman" w:cs="Times New Roman"/>
        </w:rPr>
        <w:t xml:space="preserve"> </w:t>
      </w:r>
      <w:r>
        <w:rPr>
          <w:rFonts w:ascii="Times New Roman" w:eastAsia="Times New Roman" w:hAnsi="Times New Roman" w:cs="Times New Roman"/>
          <w:i/>
        </w:rPr>
        <w:t>Zeiss</w:t>
      </w:r>
      <w:r>
        <w:rPr>
          <w:rFonts w:ascii="Times New Roman" w:eastAsia="Times New Roman" w:hAnsi="Times New Roman" w:cs="Times New Roman"/>
        </w:rPr>
        <w:t xml:space="preserve"> Automated Visual Field Analyzer (HUMPHREY FIELD ANALYZER-Model </w:t>
      </w:r>
      <w:r>
        <w:rPr>
          <w:rFonts w:ascii="Times New Roman" w:eastAsia="Times New Roman" w:hAnsi="Times New Roman" w:cs="Times New Roman"/>
          <w:i/>
        </w:rPr>
        <w:t>740i</w:t>
      </w:r>
      <w:r>
        <w:rPr>
          <w:rFonts w:ascii="Times New Roman" w:eastAsia="Times New Roman" w:hAnsi="Times New Roman" w:cs="Times New Roman"/>
        </w:rPr>
        <w:t>) while transscleral cyclophotocoagulation (TS-CPC) was done using G-probe of the Iris medical diode, (</w:t>
      </w:r>
      <w:proofErr w:type="spellStart"/>
      <w:r>
        <w:rPr>
          <w:rFonts w:ascii="Times New Roman" w:eastAsia="Times New Roman" w:hAnsi="Times New Roman" w:cs="Times New Roman"/>
        </w:rPr>
        <w:t>OcuLihgt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SLx</w:t>
      </w:r>
      <w:proofErr w:type="spellEnd"/>
      <w:r>
        <w:rPr>
          <w:rFonts w:ascii="Times New Roman" w:eastAsia="Times New Roman" w:hAnsi="Times New Roman" w:cs="Times New Roman"/>
        </w:rPr>
        <w:t>) 810nm Laser (IRIS Medical Instruments, Inc 340 Pioneer Way, California, and USA). Optical Coherence Tomography (PRIMIUS200 Carl Zeiss OCT machine) was used to monitor complications raised following the procedure</w:t>
      </w:r>
    </w:p>
    <w:p w14:paraId="5B2F4507" w14:textId="77777777" w:rsidR="00F26309" w:rsidRPr="00A96836" w:rsidRDefault="00F26309" w:rsidP="00A96836">
      <w:pPr>
        <w:spacing w:after="100" w:afterAutospacing="1" w:line="360" w:lineRule="auto"/>
        <w:jc w:val="both"/>
        <w:rPr>
          <w:rFonts w:ascii="Times New Roman" w:eastAsia="Times New Roman" w:hAnsi="Times New Roman" w:cs="Times New Roman"/>
        </w:rPr>
      </w:pPr>
    </w:p>
    <w:p w14:paraId="25E9E616" w14:textId="0871C4F9" w:rsidR="00D06CA2" w:rsidRPr="00A96836" w:rsidRDefault="00B26408" w:rsidP="00A96836">
      <w:pPr>
        <w:spacing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Data Collection Procedures</w:t>
      </w:r>
      <w:r w:rsidRPr="00A96836">
        <w:rPr>
          <w:rFonts w:ascii="Times New Roman" w:eastAsia="Times New Roman" w:hAnsi="Times New Roman" w:cs="Times New Roman"/>
        </w:rPr>
        <w:br/>
      </w:r>
      <w:r w:rsidR="00D06CA2" w:rsidRPr="00A96836">
        <w:rPr>
          <w:rFonts w:ascii="Times New Roman" w:eastAsia="Times New Roman" w:hAnsi="Times New Roman" w:cs="Times New Roman"/>
        </w:rPr>
        <w:t>After obtaining informed consent from patients who met the inclusion criteria,</w:t>
      </w:r>
      <w:r w:rsidR="0095778B" w:rsidRPr="00A96836">
        <w:rPr>
          <w:rFonts w:ascii="Times New Roman" w:eastAsia="Times New Roman" w:hAnsi="Times New Roman" w:cs="Times New Roman"/>
        </w:rPr>
        <w:t xml:space="preserve"> </w:t>
      </w:r>
      <w:r w:rsidR="00D06CA2" w:rsidRPr="00A96836">
        <w:rPr>
          <w:rFonts w:ascii="Times New Roman" w:eastAsia="Times New Roman" w:hAnsi="Times New Roman" w:cs="Times New Roman"/>
        </w:rPr>
        <w:t>d</w:t>
      </w:r>
      <w:r w:rsidR="0095778B" w:rsidRPr="00A96836">
        <w:rPr>
          <w:rFonts w:ascii="Times New Roman" w:eastAsia="Times New Roman" w:hAnsi="Times New Roman" w:cs="Times New Roman"/>
        </w:rPr>
        <w:t>emographic and clinical characteristic</w:t>
      </w:r>
      <w:r w:rsidR="009D2A76">
        <w:rPr>
          <w:rFonts w:ascii="Times New Roman" w:eastAsia="Times New Roman" w:hAnsi="Times New Roman" w:cs="Times New Roman"/>
        </w:rPr>
        <w:t>s</w:t>
      </w:r>
      <w:r w:rsidR="0095778B" w:rsidRPr="00A96836">
        <w:rPr>
          <w:rFonts w:ascii="Times New Roman" w:eastAsia="Times New Roman" w:hAnsi="Times New Roman" w:cs="Times New Roman"/>
        </w:rPr>
        <w:t xml:space="preserve"> </w:t>
      </w:r>
      <w:r w:rsidRPr="00A96836">
        <w:rPr>
          <w:rFonts w:ascii="Times New Roman" w:eastAsia="Times New Roman" w:hAnsi="Times New Roman" w:cs="Times New Roman"/>
        </w:rPr>
        <w:t xml:space="preserve">were </w:t>
      </w:r>
      <w:r w:rsidR="0095778B" w:rsidRPr="00A96836">
        <w:rPr>
          <w:rFonts w:ascii="Times New Roman" w:eastAsia="Times New Roman" w:hAnsi="Times New Roman" w:cs="Times New Roman"/>
        </w:rPr>
        <w:t>recorded</w:t>
      </w:r>
      <w:r w:rsidR="00D06CA2" w:rsidRPr="00A96836">
        <w:rPr>
          <w:rFonts w:ascii="Times New Roman" w:eastAsia="Times New Roman" w:hAnsi="Times New Roman" w:cs="Times New Roman"/>
        </w:rPr>
        <w:t xml:space="preserve">. </w:t>
      </w:r>
      <w:r w:rsidRPr="00A96836">
        <w:rPr>
          <w:rFonts w:ascii="Times New Roman" w:eastAsia="Times New Roman" w:hAnsi="Times New Roman" w:cs="Times New Roman"/>
        </w:rPr>
        <w:t>Visual acuity was assessed using the Snellen</w:t>
      </w:r>
      <w:r w:rsidR="003063BA" w:rsidRPr="00A96836">
        <w:rPr>
          <w:rFonts w:ascii="Times New Roman" w:eastAsia="Times New Roman" w:hAnsi="Times New Roman" w:cs="Times New Roman"/>
        </w:rPr>
        <w:t>’s</w:t>
      </w:r>
      <w:r w:rsidRPr="00A96836">
        <w:rPr>
          <w:rFonts w:ascii="Times New Roman" w:eastAsia="Times New Roman" w:hAnsi="Times New Roman" w:cs="Times New Roman"/>
        </w:rPr>
        <w:t xml:space="preserve"> chart</w:t>
      </w:r>
      <w:r w:rsidR="0095778B" w:rsidRPr="00A96836">
        <w:rPr>
          <w:rFonts w:ascii="Times New Roman" w:eastAsia="Times New Roman" w:hAnsi="Times New Roman" w:cs="Times New Roman"/>
        </w:rPr>
        <w:t xml:space="preserve"> or </w:t>
      </w:r>
      <w:r w:rsidR="003063BA" w:rsidRPr="00A96836">
        <w:rPr>
          <w:rFonts w:ascii="Times New Roman" w:eastAsia="Times New Roman" w:hAnsi="Times New Roman" w:cs="Times New Roman"/>
        </w:rPr>
        <w:t>the tumbling E chart basing on the level of literacy of the participant</w:t>
      </w:r>
      <w:r w:rsidR="00F04889" w:rsidRPr="00A96836">
        <w:rPr>
          <w:rFonts w:ascii="Times New Roman" w:eastAsia="Times New Roman" w:hAnsi="Times New Roman" w:cs="Times New Roman"/>
        </w:rPr>
        <w:t>. Slit lamp examination of the anterior segment,</w:t>
      </w:r>
      <w:r w:rsidRPr="00A96836">
        <w:rPr>
          <w:rFonts w:ascii="Times New Roman" w:eastAsia="Times New Roman" w:hAnsi="Times New Roman" w:cs="Times New Roman"/>
        </w:rPr>
        <w:t xml:space="preserve"> </w:t>
      </w:r>
      <w:r w:rsidR="00F04889" w:rsidRPr="00A96836">
        <w:rPr>
          <w:rFonts w:ascii="Times New Roman" w:eastAsia="Times New Roman" w:hAnsi="Times New Roman" w:cs="Times New Roman"/>
        </w:rPr>
        <w:t>Goldman</w:t>
      </w:r>
      <w:r w:rsidRPr="00A96836">
        <w:rPr>
          <w:rFonts w:ascii="Times New Roman" w:eastAsia="Times New Roman" w:hAnsi="Times New Roman" w:cs="Times New Roman"/>
        </w:rPr>
        <w:t xml:space="preserve"> applanation tonometry, a</w:t>
      </w:r>
      <w:r w:rsidR="00F04889" w:rsidRPr="00A96836">
        <w:rPr>
          <w:rFonts w:ascii="Times New Roman" w:eastAsia="Times New Roman" w:hAnsi="Times New Roman" w:cs="Times New Roman"/>
        </w:rPr>
        <w:t>nd</w:t>
      </w:r>
      <w:r w:rsidRPr="00A96836">
        <w:rPr>
          <w:rFonts w:ascii="Times New Roman" w:eastAsia="Times New Roman" w:hAnsi="Times New Roman" w:cs="Times New Roman"/>
        </w:rPr>
        <w:t xml:space="preserve"> Optic </w:t>
      </w:r>
      <w:r w:rsidR="00F04889" w:rsidRPr="00A96836">
        <w:rPr>
          <w:rFonts w:ascii="Times New Roman" w:eastAsia="Times New Roman" w:hAnsi="Times New Roman" w:cs="Times New Roman"/>
        </w:rPr>
        <w:t xml:space="preserve">disc </w:t>
      </w:r>
      <w:r w:rsidRPr="00A96836">
        <w:rPr>
          <w:rFonts w:ascii="Times New Roman" w:eastAsia="Times New Roman" w:hAnsi="Times New Roman" w:cs="Times New Roman"/>
        </w:rPr>
        <w:t>assessment w</w:t>
      </w:r>
      <w:r w:rsidR="00F04889" w:rsidRPr="00A96836">
        <w:rPr>
          <w:rFonts w:ascii="Times New Roman" w:eastAsia="Times New Roman" w:hAnsi="Times New Roman" w:cs="Times New Roman"/>
        </w:rPr>
        <w:t xml:space="preserve">ere </w:t>
      </w:r>
      <w:r w:rsidRPr="00A96836">
        <w:rPr>
          <w:rFonts w:ascii="Times New Roman" w:eastAsia="Times New Roman" w:hAnsi="Times New Roman" w:cs="Times New Roman"/>
        </w:rPr>
        <w:t>performed</w:t>
      </w:r>
      <w:r w:rsidR="00F04889" w:rsidRPr="00A96836">
        <w:rPr>
          <w:rFonts w:ascii="Times New Roman" w:eastAsia="Times New Roman" w:hAnsi="Times New Roman" w:cs="Times New Roman"/>
        </w:rPr>
        <w:t>.</w:t>
      </w:r>
      <w:r w:rsidRPr="00A96836">
        <w:rPr>
          <w:rFonts w:ascii="Times New Roman" w:eastAsia="Times New Roman" w:hAnsi="Times New Roman" w:cs="Times New Roman"/>
        </w:rPr>
        <w:t xml:space="preserve"> </w:t>
      </w:r>
    </w:p>
    <w:p w14:paraId="5364DFB1" w14:textId="3DFC4C80" w:rsidR="00B26408" w:rsidRPr="00A96836" w:rsidRDefault="00B26408" w:rsidP="00A96836">
      <w:pPr>
        <w:spacing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For patients with functional vision, the procedure was performed under general anesthesia</w:t>
      </w:r>
      <w:r w:rsidR="00293E28" w:rsidRPr="00A96836">
        <w:rPr>
          <w:rFonts w:ascii="Times New Roman" w:eastAsia="Times New Roman" w:hAnsi="Times New Roman" w:cs="Times New Roman"/>
        </w:rPr>
        <w:t>, and for patients with poor vision</w:t>
      </w:r>
      <w:r w:rsidR="007E30EC" w:rsidRPr="00A96836">
        <w:rPr>
          <w:rFonts w:ascii="Times New Roman" w:eastAsia="Times New Roman" w:hAnsi="Times New Roman" w:cs="Times New Roman"/>
        </w:rPr>
        <w:t xml:space="preserve"> a</w:t>
      </w:r>
      <w:r w:rsidRPr="00A96836">
        <w:rPr>
          <w:rFonts w:ascii="Times New Roman" w:eastAsia="Times New Roman" w:hAnsi="Times New Roman" w:cs="Times New Roman"/>
        </w:rPr>
        <w:t xml:space="preserve"> retrobulbar or peribulbar </w:t>
      </w:r>
      <w:r w:rsidR="007E30EC" w:rsidRPr="00A96836">
        <w:rPr>
          <w:rFonts w:ascii="Times New Roman" w:eastAsia="Times New Roman" w:hAnsi="Times New Roman" w:cs="Times New Roman"/>
        </w:rPr>
        <w:t>anesthesia of 3mls (lignocaine 4%, adrenaline 1%, and hyaluronidase 1500IU) was used.</w:t>
      </w:r>
      <w:r w:rsidR="00B51A44" w:rsidRPr="00A96836">
        <w:rPr>
          <w:rFonts w:ascii="Times New Roman" w:eastAsia="Times New Roman" w:hAnsi="Times New Roman" w:cs="Times New Roman"/>
        </w:rPr>
        <w:t xml:space="preserve"> TSCPC was performed using </w:t>
      </w:r>
      <w:bookmarkStart w:id="2" w:name="_Hlk199944064"/>
      <w:r w:rsidR="00B51A44" w:rsidRPr="00A96836">
        <w:rPr>
          <w:rFonts w:ascii="Times New Roman" w:eastAsia="Times New Roman" w:hAnsi="Times New Roman" w:cs="Times New Roman"/>
        </w:rPr>
        <w:t>G-probe of the Iris medical diode, (</w:t>
      </w:r>
      <w:proofErr w:type="spellStart"/>
      <w:r w:rsidR="00B51A44" w:rsidRPr="00A96836">
        <w:rPr>
          <w:rFonts w:ascii="Times New Roman" w:eastAsia="Times New Roman" w:hAnsi="Times New Roman" w:cs="Times New Roman"/>
        </w:rPr>
        <w:t>OcuLihgt</w:t>
      </w:r>
      <w:proofErr w:type="spellEnd"/>
      <w:r w:rsidR="00B51A44" w:rsidRPr="00A96836">
        <w:rPr>
          <w:rFonts w:ascii="Times New Roman" w:eastAsia="Times New Roman" w:hAnsi="Times New Roman" w:cs="Times New Roman"/>
        </w:rPr>
        <w:t xml:space="preserve"> </w:t>
      </w:r>
      <w:proofErr w:type="spellStart"/>
      <w:r w:rsidR="00B51A44" w:rsidRPr="00A96836">
        <w:rPr>
          <w:rFonts w:ascii="Times New Roman" w:eastAsia="Times New Roman" w:hAnsi="Times New Roman" w:cs="Times New Roman"/>
        </w:rPr>
        <w:t>SLx</w:t>
      </w:r>
      <w:proofErr w:type="spellEnd"/>
      <w:r w:rsidR="00B51A44" w:rsidRPr="00A96836">
        <w:rPr>
          <w:rFonts w:ascii="Times New Roman" w:eastAsia="Times New Roman" w:hAnsi="Times New Roman" w:cs="Times New Roman"/>
        </w:rPr>
        <w:t>) 810nm Laser (IRIS Medical Instruments, Inc 340 Pioneer Way, California, and USA).</w:t>
      </w:r>
      <w:bookmarkEnd w:id="2"/>
      <w:r w:rsidR="007E30EC" w:rsidRPr="00A96836">
        <w:rPr>
          <w:rFonts w:ascii="Times New Roman" w:eastAsia="Times New Roman" w:hAnsi="Times New Roman" w:cs="Times New Roman"/>
        </w:rPr>
        <w:t xml:space="preserve"> </w:t>
      </w:r>
      <w:r w:rsidRPr="00A96836">
        <w:rPr>
          <w:rFonts w:ascii="Times New Roman" w:eastAsia="Times New Roman" w:hAnsi="Times New Roman" w:cs="Times New Roman"/>
        </w:rPr>
        <w:t xml:space="preserve">Laser was applied over the inferior 180°, </w:t>
      </w:r>
      <w:bookmarkStart w:id="3" w:name="_Hlk203040784"/>
      <w:r w:rsidRPr="00A96836">
        <w:rPr>
          <w:rFonts w:ascii="Times New Roman" w:eastAsia="Times New Roman" w:hAnsi="Times New Roman" w:cs="Times New Roman"/>
        </w:rPr>
        <w:t>sparing the 3 and 9 o’clock positions, with up to 10 burns per quadrant. Each burn lasted 2 seconds at 2000 mW, totaling 120 J per session.</w:t>
      </w:r>
    </w:p>
    <w:bookmarkEnd w:id="3"/>
    <w:p w14:paraId="27939168" w14:textId="0934A4D8" w:rsidR="007702DE" w:rsidRDefault="00B26408" w:rsidP="00A96836">
      <w:pPr>
        <w:spacing w:before="100" w:beforeAutospacing="1"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Postoperatively, patients received topical dexamethasone</w:t>
      </w:r>
      <w:r w:rsidR="007702DE">
        <w:rPr>
          <w:rFonts w:ascii="Times New Roman" w:eastAsia="Times New Roman" w:hAnsi="Times New Roman" w:cs="Times New Roman"/>
        </w:rPr>
        <w:t xml:space="preserve"> and </w:t>
      </w:r>
      <w:r w:rsidRPr="00A96836">
        <w:rPr>
          <w:rFonts w:ascii="Times New Roman" w:eastAsia="Times New Roman" w:hAnsi="Times New Roman" w:cs="Times New Roman"/>
        </w:rPr>
        <w:t>chloramphenicol combination</w:t>
      </w:r>
      <w:r w:rsidR="007E30EC" w:rsidRPr="00A96836">
        <w:rPr>
          <w:rFonts w:ascii="Times New Roman" w:eastAsia="Times New Roman" w:hAnsi="Times New Roman" w:cs="Times New Roman"/>
        </w:rPr>
        <w:t xml:space="preserve"> for 2 </w:t>
      </w:r>
      <w:r w:rsidR="00B51A44" w:rsidRPr="00A96836">
        <w:rPr>
          <w:rFonts w:ascii="Times New Roman" w:eastAsia="Times New Roman" w:hAnsi="Times New Roman" w:cs="Times New Roman"/>
        </w:rPr>
        <w:t>weeks, oral</w:t>
      </w:r>
      <w:r w:rsidRPr="00A96836">
        <w:rPr>
          <w:rFonts w:ascii="Times New Roman" w:eastAsia="Times New Roman" w:hAnsi="Times New Roman" w:cs="Times New Roman"/>
        </w:rPr>
        <w:t xml:space="preserve"> acetazolamide</w:t>
      </w:r>
      <w:r w:rsidR="00B51A44" w:rsidRPr="00A96836">
        <w:rPr>
          <w:rFonts w:ascii="Times New Roman" w:eastAsia="Times New Roman" w:hAnsi="Times New Roman" w:cs="Times New Roman"/>
        </w:rPr>
        <w:t xml:space="preserve"> and </w:t>
      </w:r>
      <w:r w:rsidR="00C8148F" w:rsidRPr="00A96836">
        <w:rPr>
          <w:rFonts w:ascii="Times New Roman" w:eastAsia="Times New Roman" w:hAnsi="Times New Roman" w:cs="Times New Roman"/>
        </w:rPr>
        <w:t>Ibuprofen</w:t>
      </w:r>
      <w:r w:rsidRPr="00A96836">
        <w:rPr>
          <w:rFonts w:ascii="Times New Roman" w:eastAsia="Times New Roman" w:hAnsi="Times New Roman" w:cs="Times New Roman"/>
        </w:rPr>
        <w:t xml:space="preserve"> for three days. IOP and anterior segment assessments were conducted on day one, then at two weeks, six weeks, and three months</w:t>
      </w:r>
      <w:r w:rsidR="007E30EC" w:rsidRPr="00A96836">
        <w:rPr>
          <w:rFonts w:ascii="Times New Roman" w:eastAsia="Times New Roman" w:hAnsi="Times New Roman" w:cs="Times New Roman"/>
        </w:rPr>
        <w:t xml:space="preserve"> by an independent examiner</w:t>
      </w:r>
      <w:r w:rsidRPr="00A96836">
        <w:rPr>
          <w:rFonts w:ascii="Times New Roman" w:eastAsia="Times New Roman" w:hAnsi="Times New Roman" w:cs="Times New Roman"/>
        </w:rPr>
        <w:t>. OCT was performed at the final follow</w:t>
      </w:r>
      <w:r w:rsidR="007702DE">
        <w:rPr>
          <w:rFonts w:ascii="Times New Roman" w:eastAsia="Times New Roman" w:hAnsi="Times New Roman" w:cs="Times New Roman"/>
        </w:rPr>
        <w:t xml:space="preserve"> </w:t>
      </w:r>
      <w:r w:rsidRPr="00A96836">
        <w:rPr>
          <w:rFonts w:ascii="Times New Roman" w:eastAsia="Times New Roman" w:hAnsi="Times New Roman" w:cs="Times New Roman"/>
        </w:rPr>
        <w:t>up to detect macular edema. If IOP</w:t>
      </w:r>
      <w:r w:rsidR="007702DE">
        <w:rPr>
          <w:rFonts w:ascii="Times New Roman" w:eastAsia="Times New Roman" w:hAnsi="Times New Roman" w:cs="Times New Roman"/>
        </w:rPr>
        <w:t xml:space="preserve"> was</w:t>
      </w:r>
      <w:r w:rsidRPr="00A96836">
        <w:rPr>
          <w:rFonts w:ascii="Times New Roman" w:eastAsia="Times New Roman" w:hAnsi="Times New Roman" w:cs="Times New Roman"/>
        </w:rPr>
        <w:t xml:space="preserve"> </w:t>
      </w:r>
      <w:r w:rsidR="00C8148F" w:rsidRPr="00A96836">
        <w:rPr>
          <w:rFonts w:ascii="Times New Roman" w:eastAsia="Times New Roman" w:hAnsi="Times New Roman" w:cs="Times New Roman"/>
        </w:rPr>
        <w:t xml:space="preserve">not significantly reduced </w:t>
      </w:r>
      <w:r w:rsidRPr="00A96836">
        <w:rPr>
          <w:rFonts w:ascii="Times New Roman" w:eastAsia="Times New Roman" w:hAnsi="Times New Roman" w:cs="Times New Roman"/>
        </w:rPr>
        <w:t>at two weeks, timolol 0.5% was added</w:t>
      </w:r>
      <w:r w:rsidR="00C8148F" w:rsidRPr="00A96836">
        <w:rPr>
          <w:rFonts w:ascii="Times New Roman" w:eastAsia="Times New Roman" w:hAnsi="Times New Roman" w:cs="Times New Roman"/>
        </w:rPr>
        <w:t xml:space="preserve"> and for patients</w:t>
      </w:r>
      <w:r w:rsidRPr="00A96836">
        <w:rPr>
          <w:rFonts w:ascii="Times New Roman" w:eastAsia="Times New Roman" w:hAnsi="Times New Roman" w:cs="Times New Roman"/>
        </w:rPr>
        <w:t xml:space="preserve"> </w:t>
      </w:r>
      <w:r w:rsidRPr="00A96836">
        <w:rPr>
          <w:rFonts w:ascii="Times New Roman" w:eastAsia="Times New Roman" w:hAnsi="Times New Roman" w:cs="Times New Roman"/>
        </w:rPr>
        <w:lastRenderedPageBreak/>
        <w:t>requiring further intervention</w:t>
      </w:r>
      <w:r w:rsidR="00C8148F" w:rsidRPr="00A96836">
        <w:rPr>
          <w:rFonts w:ascii="Times New Roman" w:eastAsia="Times New Roman" w:hAnsi="Times New Roman" w:cs="Times New Roman"/>
        </w:rPr>
        <w:t>,</w:t>
      </w:r>
      <w:r w:rsidRPr="00A96836">
        <w:rPr>
          <w:rFonts w:ascii="Times New Roman" w:eastAsia="Times New Roman" w:hAnsi="Times New Roman" w:cs="Times New Roman"/>
        </w:rPr>
        <w:t xml:space="preserve"> a second CPC session </w:t>
      </w:r>
      <w:r w:rsidR="00C8148F" w:rsidRPr="00A96836">
        <w:rPr>
          <w:rFonts w:ascii="Times New Roman" w:eastAsia="Times New Roman" w:hAnsi="Times New Roman" w:cs="Times New Roman"/>
        </w:rPr>
        <w:t xml:space="preserve">was performed at six weeks </w:t>
      </w:r>
      <w:r w:rsidRPr="00A96836">
        <w:rPr>
          <w:rFonts w:ascii="Times New Roman" w:eastAsia="Times New Roman" w:hAnsi="Times New Roman" w:cs="Times New Roman"/>
        </w:rPr>
        <w:t>targeting the superior 180°, using the same settings.</w:t>
      </w:r>
      <w:r w:rsidR="00C8148F" w:rsidRPr="00A96836">
        <w:rPr>
          <w:rFonts w:ascii="Times New Roman" w:eastAsia="Times New Roman" w:hAnsi="Times New Roman" w:cs="Times New Roman"/>
        </w:rPr>
        <w:t xml:space="preserve"> Treatment success was defined as IOP</w:t>
      </w:r>
      <w:r w:rsidR="004E4F08" w:rsidRPr="00A96836">
        <w:rPr>
          <w:rFonts w:ascii="Times New Roman" w:eastAsia="Times New Roman" w:hAnsi="Times New Roman" w:cs="Times New Roman"/>
        </w:rPr>
        <w:t xml:space="preserve"> ≤ 21mmHg and reduction by 20% or more from the baseline with or without medications at 3months follow up. </w:t>
      </w:r>
    </w:p>
    <w:p w14:paraId="20E085E8" w14:textId="603422A8" w:rsidR="00A46E47" w:rsidRPr="00A96836" w:rsidRDefault="00B26408" w:rsidP="00A96836">
      <w:pPr>
        <w:spacing w:before="100" w:beforeAutospacing="1" w:after="100" w:afterAutospacing="1" w:line="360" w:lineRule="auto"/>
        <w:rPr>
          <w:rFonts w:ascii="Times New Roman" w:eastAsia="Times New Roman" w:hAnsi="Times New Roman" w:cs="Times New Roman"/>
        </w:rPr>
      </w:pPr>
      <w:r w:rsidRPr="00A96836">
        <w:rPr>
          <w:rFonts w:ascii="Times New Roman" w:eastAsia="Times New Roman" w:hAnsi="Times New Roman" w:cs="Times New Roman"/>
          <w:b/>
          <w:bCs/>
        </w:rPr>
        <w:t>Data Management and Analysis</w:t>
      </w:r>
      <w:r w:rsidRPr="00A96836">
        <w:rPr>
          <w:rFonts w:ascii="Times New Roman" w:eastAsia="Times New Roman" w:hAnsi="Times New Roman" w:cs="Times New Roman"/>
        </w:rPr>
        <w:br/>
        <w:t>Data w</w:t>
      </w:r>
      <w:r w:rsidR="00A46E47" w:rsidRPr="00A96836">
        <w:rPr>
          <w:rFonts w:ascii="Times New Roman" w:eastAsia="Times New Roman" w:hAnsi="Times New Roman" w:cs="Times New Roman"/>
        </w:rPr>
        <w:t xml:space="preserve">as analyzed using </w:t>
      </w:r>
      <w:r w:rsidRPr="00A96836">
        <w:rPr>
          <w:rFonts w:ascii="Times New Roman" w:eastAsia="Times New Roman" w:hAnsi="Times New Roman" w:cs="Times New Roman"/>
        </w:rPr>
        <w:t>STATA version 17</w:t>
      </w:r>
      <w:r w:rsidR="00A46E47" w:rsidRPr="00A96836">
        <w:rPr>
          <w:rFonts w:ascii="Times New Roman" w:eastAsia="Times New Roman" w:hAnsi="Times New Roman" w:cs="Times New Roman"/>
        </w:rPr>
        <w:t>(Stata Corp LLC, college Station, Texas, USA)</w:t>
      </w:r>
      <w:r w:rsidRPr="00A96836">
        <w:rPr>
          <w:rFonts w:ascii="Times New Roman" w:eastAsia="Times New Roman" w:hAnsi="Times New Roman" w:cs="Times New Roman"/>
        </w:rPr>
        <w:t xml:space="preserve">. </w:t>
      </w:r>
      <w:r w:rsidR="00A46E47" w:rsidRPr="00A96836">
        <w:rPr>
          <w:rFonts w:ascii="Times New Roman" w:eastAsia="Times New Roman" w:hAnsi="Times New Roman" w:cs="Times New Roman"/>
        </w:rPr>
        <w:t>N</w:t>
      </w:r>
      <w:r w:rsidRPr="00A96836">
        <w:rPr>
          <w:rFonts w:ascii="Times New Roman" w:eastAsia="Times New Roman" w:hAnsi="Times New Roman" w:cs="Times New Roman"/>
        </w:rPr>
        <w:t>umerical variables</w:t>
      </w:r>
      <w:r w:rsidR="00A46E47" w:rsidRPr="00A96836">
        <w:rPr>
          <w:rFonts w:ascii="Times New Roman" w:eastAsia="Times New Roman" w:hAnsi="Times New Roman" w:cs="Times New Roman"/>
        </w:rPr>
        <w:t xml:space="preserve"> were summarized using medians with interquartile ranges (IQR), </w:t>
      </w:r>
      <w:r w:rsidR="00A47738">
        <w:rPr>
          <w:rFonts w:ascii="Times New Roman" w:eastAsia="Times New Roman" w:hAnsi="Times New Roman" w:cs="Times New Roman"/>
        </w:rPr>
        <w:t xml:space="preserve">while </w:t>
      </w:r>
      <w:r w:rsidRPr="00A96836">
        <w:rPr>
          <w:rFonts w:ascii="Times New Roman" w:eastAsia="Times New Roman" w:hAnsi="Times New Roman" w:cs="Times New Roman"/>
        </w:rPr>
        <w:t xml:space="preserve">frequencies with percentages </w:t>
      </w:r>
      <w:r w:rsidR="00A46E47" w:rsidRPr="00A96836">
        <w:rPr>
          <w:rFonts w:ascii="Times New Roman" w:eastAsia="Times New Roman" w:hAnsi="Times New Roman" w:cs="Times New Roman"/>
        </w:rPr>
        <w:t xml:space="preserve">were used to summarize </w:t>
      </w:r>
      <w:r w:rsidRPr="00A96836">
        <w:rPr>
          <w:rFonts w:ascii="Times New Roman" w:eastAsia="Times New Roman" w:hAnsi="Times New Roman" w:cs="Times New Roman"/>
        </w:rPr>
        <w:t xml:space="preserve">categorical variables. </w:t>
      </w:r>
    </w:p>
    <w:p w14:paraId="27532CC6" w14:textId="35CD5A9E" w:rsidR="00FA6E44" w:rsidRPr="00A96836" w:rsidRDefault="00FA6E44" w:rsidP="00A96836">
      <w:pPr>
        <w:spacing w:before="100" w:beforeAutospacing="1"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 xml:space="preserve">A non-parametric test, </w:t>
      </w:r>
      <w:r w:rsidR="00B26408" w:rsidRPr="00A96836">
        <w:rPr>
          <w:rFonts w:ascii="Times New Roman" w:eastAsia="Times New Roman" w:hAnsi="Times New Roman" w:cs="Times New Roman"/>
        </w:rPr>
        <w:t>Wilcoxon signed-rank test was used to compare changes in IOP</w:t>
      </w:r>
      <w:r w:rsidRPr="00A96836">
        <w:rPr>
          <w:rFonts w:ascii="Times New Roman" w:eastAsia="Times New Roman" w:hAnsi="Times New Roman" w:cs="Times New Roman"/>
        </w:rPr>
        <w:t xml:space="preserve"> from the initial, </w:t>
      </w:r>
      <w:r w:rsidR="00B26408" w:rsidRPr="00A96836">
        <w:rPr>
          <w:rFonts w:ascii="Times New Roman" w:eastAsia="Times New Roman" w:hAnsi="Times New Roman" w:cs="Times New Roman"/>
        </w:rPr>
        <w:t>over time</w:t>
      </w:r>
      <w:r w:rsidRPr="00A96836">
        <w:rPr>
          <w:rFonts w:ascii="Times New Roman" w:eastAsia="Times New Roman" w:hAnsi="Times New Roman" w:cs="Times New Roman"/>
        </w:rPr>
        <w:t>. Significant change was determined at p-value of &lt;0.05.</w:t>
      </w:r>
      <w:r w:rsidR="00B26408" w:rsidRPr="00A96836">
        <w:rPr>
          <w:rFonts w:ascii="Times New Roman" w:eastAsia="Times New Roman" w:hAnsi="Times New Roman" w:cs="Times New Roman"/>
        </w:rPr>
        <w:t xml:space="preserve"> </w:t>
      </w:r>
    </w:p>
    <w:p w14:paraId="2C0BD305" w14:textId="3CCF1CE3" w:rsidR="00A96836" w:rsidRPr="00A96836" w:rsidRDefault="00B26408" w:rsidP="00A96836">
      <w:pPr>
        <w:spacing w:before="100" w:beforeAutospacing="1" w:after="100" w:after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rPr>
        <w:t xml:space="preserve">Cox regression was performed to </w:t>
      </w:r>
      <w:r w:rsidR="00FA6E44" w:rsidRPr="00A96836">
        <w:rPr>
          <w:rFonts w:ascii="Times New Roman" w:eastAsia="Times New Roman" w:hAnsi="Times New Roman" w:cs="Times New Roman"/>
        </w:rPr>
        <w:t xml:space="preserve">assess </w:t>
      </w:r>
      <w:r w:rsidRPr="00A96836">
        <w:rPr>
          <w:rFonts w:ascii="Times New Roman" w:eastAsia="Times New Roman" w:hAnsi="Times New Roman" w:cs="Times New Roman"/>
        </w:rPr>
        <w:t>factors associated with treatment success</w:t>
      </w:r>
      <w:r w:rsidR="00A47738">
        <w:rPr>
          <w:rFonts w:ascii="Times New Roman" w:eastAsia="Times New Roman" w:hAnsi="Times New Roman" w:cs="Times New Roman"/>
        </w:rPr>
        <w:t xml:space="preserve"> while stepwise regression was used for variable selection in adjusted analysis</w:t>
      </w:r>
      <w:r w:rsidRPr="00A96836">
        <w:rPr>
          <w:rFonts w:ascii="Times New Roman" w:eastAsia="Times New Roman" w:hAnsi="Times New Roman" w:cs="Times New Roman"/>
        </w:rPr>
        <w:t>. Variables with a p-value &lt;0.05 were considered statistically significant</w:t>
      </w:r>
      <w:r w:rsidR="00FA6E44" w:rsidRPr="00A96836">
        <w:rPr>
          <w:rFonts w:ascii="Times New Roman" w:eastAsia="Times New Roman" w:hAnsi="Times New Roman" w:cs="Times New Roman"/>
        </w:rPr>
        <w:t xml:space="preserve"> associated with treatment success in both, </w:t>
      </w:r>
      <w:r w:rsidRPr="00A96836">
        <w:rPr>
          <w:rFonts w:ascii="Times New Roman" w:eastAsia="Times New Roman" w:hAnsi="Times New Roman" w:cs="Times New Roman"/>
        </w:rPr>
        <w:t>cru</w:t>
      </w:r>
      <w:r w:rsidR="00FA6E44" w:rsidRPr="00A96836">
        <w:rPr>
          <w:rFonts w:ascii="Times New Roman" w:eastAsia="Times New Roman" w:hAnsi="Times New Roman" w:cs="Times New Roman"/>
        </w:rPr>
        <w:t>de</w:t>
      </w:r>
      <w:r w:rsidRPr="00A96836">
        <w:rPr>
          <w:rFonts w:ascii="Times New Roman" w:eastAsia="Times New Roman" w:hAnsi="Times New Roman" w:cs="Times New Roman"/>
        </w:rPr>
        <w:t xml:space="preserve"> and adjusted </w:t>
      </w:r>
      <w:r w:rsidR="00FA6E44" w:rsidRPr="00A96836">
        <w:rPr>
          <w:rFonts w:ascii="Times New Roman" w:eastAsia="Times New Roman" w:hAnsi="Times New Roman" w:cs="Times New Roman"/>
        </w:rPr>
        <w:t>analysis</w:t>
      </w:r>
      <w:r w:rsidRPr="00A96836">
        <w:rPr>
          <w:rFonts w:ascii="Times New Roman" w:eastAsia="Times New Roman" w:hAnsi="Times New Roman" w:cs="Times New Roman"/>
        </w:rPr>
        <w:t>.</w:t>
      </w:r>
      <w:bookmarkStart w:id="4" w:name="_Toc199960633"/>
    </w:p>
    <w:p w14:paraId="11690213" w14:textId="6B11AE3B" w:rsidR="00F85DC8" w:rsidRPr="00A96836" w:rsidRDefault="000C2B1D" w:rsidP="00A96836">
      <w:pPr>
        <w:spacing w:before="100" w:beforeAutospacing="1" w:line="360" w:lineRule="auto"/>
        <w:jc w:val="both"/>
        <w:rPr>
          <w:rFonts w:ascii="Times New Roman" w:eastAsia="Times New Roman" w:hAnsi="Times New Roman" w:cs="Times New Roman"/>
        </w:rPr>
      </w:pPr>
      <w:r w:rsidRPr="00A96836">
        <w:rPr>
          <w:rFonts w:ascii="Times New Roman" w:eastAsia="Times New Roman" w:hAnsi="Times New Roman" w:cs="Times New Roman"/>
          <w:b/>
          <w:color w:val="000000"/>
        </w:rPr>
        <w:t>RESULTS</w:t>
      </w:r>
      <w:bookmarkEnd w:id="4"/>
    </w:p>
    <w:p w14:paraId="223A16F4" w14:textId="1E789B1B" w:rsidR="0064616D" w:rsidRPr="00A96836" w:rsidRDefault="009A6BE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Of the 74 enrolled participants</w:t>
      </w:r>
      <w:r w:rsidR="00FA6E44" w:rsidRPr="00A96836">
        <w:rPr>
          <w:rFonts w:ascii="Times New Roman" w:eastAsia="Times New Roman" w:hAnsi="Times New Roman" w:cs="Times New Roman"/>
        </w:rPr>
        <w:t xml:space="preserve"> the median age was 64 years (IQR 55-70 years) with 45(60.8%) aging &gt;60 years and </w:t>
      </w:r>
      <w:r w:rsidR="000C2B1D" w:rsidRPr="00A96836">
        <w:rPr>
          <w:rFonts w:ascii="Times New Roman" w:eastAsia="Times New Roman" w:hAnsi="Times New Roman" w:cs="Times New Roman"/>
        </w:rPr>
        <w:t xml:space="preserve">39(52.7%) </w:t>
      </w:r>
      <w:r w:rsidR="00EF79DD">
        <w:rPr>
          <w:rFonts w:ascii="Times New Roman" w:eastAsia="Times New Roman" w:hAnsi="Times New Roman" w:cs="Times New Roman"/>
        </w:rPr>
        <w:t xml:space="preserve">were </w:t>
      </w:r>
      <w:r w:rsidR="000C2B1D" w:rsidRPr="00A96836">
        <w:rPr>
          <w:rFonts w:ascii="Times New Roman" w:eastAsia="Times New Roman" w:hAnsi="Times New Roman" w:cs="Times New Roman"/>
        </w:rPr>
        <w:t>male</w:t>
      </w:r>
      <w:r w:rsidR="00EF79DD">
        <w:rPr>
          <w:rFonts w:ascii="Times New Roman" w:eastAsia="Times New Roman" w:hAnsi="Times New Roman" w:cs="Times New Roman"/>
        </w:rPr>
        <w:t>s</w:t>
      </w:r>
      <w:r w:rsidR="00FA6E44" w:rsidRPr="00A96836">
        <w:rPr>
          <w:rFonts w:ascii="Times New Roman" w:eastAsia="Times New Roman" w:hAnsi="Times New Roman" w:cs="Times New Roman"/>
        </w:rPr>
        <w:t>.</w:t>
      </w:r>
    </w:p>
    <w:p w14:paraId="6FA0695F" w14:textId="6037FD75" w:rsidR="00A96836" w:rsidRDefault="00FA6E44" w:rsidP="00A96836">
      <w:pPr>
        <w:spacing w:line="360" w:lineRule="auto"/>
        <w:jc w:val="both"/>
        <w:rPr>
          <w:rFonts w:ascii="Times New Roman" w:eastAsia="Times New Roman" w:hAnsi="Times New Roman" w:cs="Times New Roman"/>
        </w:rPr>
      </w:pPr>
      <w:bookmarkStart w:id="5" w:name="_k91on0axf0a2" w:colFirst="0" w:colLast="0"/>
      <w:bookmarkEnd w:id="5"/>
      <w:r w:rsidRPr="00A96836">
        <w:rPr>
          <w:rFonts w:ascii="Times New Roman" w:eastAsia="Times New Roman" w:hAnsi="Times New Roman" w:cs="Times New Roman"/>
        </w:rPr>
        <w:t>The m</w:t>
      </w:r>
      <w:r w:rsidR="000C2B1D" w:rsidRPr="00A96836">
        <w:rPr>
          <w:rFonts w:ascii="Times New Roman" w:eastAsia="Times New Roman" w:hAnsi="Times New Roman" w:cs="Times New Roman"/>
        </w:rPr>
        <w:t>edian IOP before T</w:t>
      </w:r>
      <w:r w:rsidR="00EF79DD">
        <w:rPr>
          <w:rFonts w:ascii="Times New Roman" w:eastAsia="Times New Roman" w:hAnsi="Times New Roman" w:cs="Times New Roman"/>
        </w:rPr>
        <w:t xml:space="preserve">SCPC </w:t>
      </w:r>
      <w:r w:rsidR="000C2B1D" w:rsidRPr="00A96836">
        <w:rPr>
          <w:rFonts w:ascii="Times New Roman" w:eastAsia="Times New Roman" w:hAnsi="Times New Roman" w:cs="Times New Roman"/>
        </w:rPr>
        <w:t>was 46.5</w:t>
      </w:r>
      <w:r w:rsidRPr="00A96836">
        <w:rPr>
          <w:rFonts w:ascii="Times New Roman" w:eastAsia="Times New Roman" w:hAnsi="Times New Roman" w:cs="Times New Roman"/>
        </w:rPr>
        <w:t xml:space="preserve">mmHg </w:t>
      </w:r>
      <w:r w:rsidR="000C2B1D" w:rsidRPr="00A96836">
        <w:rPr>
          <w:rFonts w:ascii="Times New Roman" w:eastAsia="Times New Roman" w:hAnsi="Times New Roman" w:cs="Times New Roman"/>
        </w:rPr>
        <w:t>(IQR 39-56</w:t>
      </w:r>
      <w:r w:rsidRPr="00A96836">
        <w:rPr>
          <w:rFonts w:ascii="Times New Roman" w:eastAsia="Times New Roman" w:hAnsi="Times New Roman" w:cs="Times New Roman"/>
        </w:rPr>
        <w:t>mmHg</w:t>
      </w:r>
      <w:r w:rsidR="000C2B1D" w:rsidRPr="00A96836">
        <w:rPr>
          <w:rFonts w:ascii="Times New Roman" w:eastAsia="Times New Roman" w:hAnsi="Times New Roman" w:cs="Times New Roman"/>
        </w:rPr>
        <w:t>)</w:t>
      </w:r>
      <w:r w:rsidR="00076014" w:rsidRPr="00A96836">
        <w:rPr>
          <w:rFonts w:ascii="Times New Roman" w:eastAsia="Times New Roman" w:hAnsi="Times New Roman" w:cs="Times New Roman"/>
        </w:rPr>
        <w:t xml:space="preserve"> while median </w:t>
      </w:r>
      <w:r w:rsidR="00791AA3">
        <w:rPr>
          <w:rFonts w:ascii="Times New Roman" w:eastAsia="Times New Roman" w:hAnsi="Times New Roman" w:cs="Times New Roman"/>
        </w:rPr>
        <w:t xml:space="preserve">cup to disc </w:t>
      </w:r>
      <w:r w:rsidR="00133BCE">
        <w:rPr>
          <w:rFonts w:ascii="Times New Roman" w:eastAsia="Times New Roman" w:hAnsi="Times New Roman" w:cs="Times New Roman"/>
        </w:rPr>
        <w:t>ratio (</w:t>
      </w:r>
      <w:r w:rsidR="00076014" w:rsidRPr="00A96836">
        <w:rPr>
          <w:rFonts w:ascii="Times New Roman" w:eastAsia="Times New Roman" w:hAnsi="Times New Roman" w:cs="Times New Roman"/>
        </w:rPr>
        <w:t>CDR</w:t>
      </w:r>
      <w:r w:rsidR="00791AA3">
        <w:rPr>
          <w:rFonts w:ascii="Times New Roman" w:eastAsia="Times New Roman" w:hAnsi="Times New Roman" w:cs="Times New Roman"/>
        </w:rPr>
        <w:t>)</w:t>
      </w:r>
      <w:r w:rsidR="00076014" w:rsidRPr="00A96836">
        <w:rPr>
          <w:rFonts w:ascii="Times New Roman" w:eastAsia="Times New Roman" w:hAnsi="Times New Roman" w:cs="Times New Roman"/>
        </w:rPr>
        <w:t xml:space="preserve">was </w:t>
      </w:r>
      <w:r w:rsidR="00EF79DD">
        <w:rPr>
          <w:rFonts w:ascii="Times New Roman" w:eastAsia="Times New Roman" w:hAnsi="Times New Roman" w:cs="Times New Roman"/>
        </w:rPr>
        <w:t>0.</w:t>
      </w:r>
      <w:r w:rsidR="00076014" w:rsidRPr="00A96836">
        <w:rPr>
          <w:rFonts w:ascii="Times New Roman" w:eastAsia="Times New Roman" w:hAnsi="Times New Roman" w:cs="Times New Roman"/>
          <w:iCs/>
        </w:rPr>
        <w:t>9</w:t>
      </w:r>
      <w:r w:rsidR="00EF79DD" w:rsidRPr="00A96836">
        <w:rPr>
          <w:rFonts w:ascii="Times New Roman" w:eastAsia="Times New Roman" w:hAnsi="Times New Roman" w:cs="Times New Roman"/>
          <w:iCs/>
        </w:rPr>
        <w:t>(</w:t>
      </w:r>
      <w:r w:rsidR="00EF79DD">
        <w:rPr>
          <w:rFonts w:ascii="Times New Roman" w:eastAsia="Times New Roman" w:hAnsi="Times New Roman" w:cs="Times New Roman"/>
          <w:iCs/>
        </w:rPr>
        <w:t>0.8-</w:t>
      </w:r>
      <w:r w:rsidR="00076014" w:rsidRPr="00A96836">
        <w:rPr>
          <w:rFonts w:ascii="Times New Roman" w:eastAsia="Times New Roman" w:hAnsi="Times New Roman" w:cs="Times New Roman"/>
          <w:iCs/>
        </w:rPr>
        <w:t>1)</w:t>
      </w:r>
      <w:r w:rsidR="000C2B1D" w:rsidRPr="00A96836">
        <w:rPr>
          <w:rFonts w:ascii="Times New Roman" w:eastAsia="Times New Roman" w:hAnsi="Times New Roman" w:cs="Times New Roman"/>
        </w:rPr>
        <w:t xml:space="preserve">. </w:t>
      </w:r>
      <w:r w:rsidRPr="00A96836">
        <w:rPr>
          <w:rFonts w:ascii="Times New Roman" w:eastAsia="Times New Roman" w:hAnsi="Times New Roman" w:cs="Times New Roman"/>
        </w:rPr>
        <w:t>Of these part</w:t>
      </w:r>
      <w:r w:rsidR="00587109" w:rsidRPr="00A96836">
        <w:rPr>
          <w:rFonts w:ascii="Times New Roman" w:eastAsia="Times New Roman" w:hAnsi="Times New Roman" w:cs="Times New Roman"/>
        </w:rPr>
        <w:t>i</w:t>
      </w:r>
      <w:r w:rsidRPr="00A96836">
        <w:rPr>
          <w:rFonts w:ascii="Times New Roman" w:eastAsia="Times New Roman" w:hAnsi="Times New Roman" w:cs="Times New Roman"/>
        </w:rPr>
        <w:t>cipants,</w:t>
      </w:r>
      <w:r w:rsidR="00587109" w:rsidRPr="00A96836">
        <w:rPr>
          <w:rFonts w:ascii="Times New Roman" w:eastAsia="Times New Roman" w:hAnsi="Times New Roman" w:cs="Times New Roman"/>
        </w:rPr>
        <w:t xml:space="preserve"> 4(5.4%) had normal VA while majority 63(85%) were blind</w:t>
      </w:r>
      <w:r w:rsidR="00A96836" w:rsidRPr="00A96836">
        <w:rPr>
          <w:rFonts w:ascii="Times New Roman" w:eastAsia="Times New Roman" w:hAnsi="Times New Roman" w:cs="Times New Roman"/>
        </w:rPr>
        <w:t xml:space="preserve"> </w:t>
      </w:r>
      <w:r w:rsidR="00791AA3">
        <w:rPr>
          <w:rFonts w:ascii="Times New Roman" w:eastAsia="Times New Roman" w:hAnsi="Times New Roman" w:cs="Times New Roman"/>
        </w:rPr>
        <w:t xml:space="preserve">according to WHO classification </w:t>
      </w:r>
      <w:r w:rsidR="00A96836" w:rsidRPr="00A96836">
        <w:rPr>
          <w:rFonts w:ascii="Times New Roman" w:eastAsia="Times New Roman" w:hAnsi="Times New Roman" w:cs="Times New Roman"/>
        </w:rPr>
        <w:t>and 41(55.4%) had</w:t>
      </w:r>
      <w:r w:rsidR="00EF79DD">
        <w:rPr>
          <w:rFonts w:ascii="Times New Roman" w:eastAsia="Times New Roman" w:hAnsi="Times New Roman" w:cs="Times New Roman"/>
        </w:rPr>
        <w:t xml:space="preserve"> </w:t>
      </w:r>
      <w:r w:rsidR="00A96836" w:rsidRPr="00A96836">
        <w:rPr>
          <w:rFonts w:ascii="Times New Roman" w:eastAsia="Times New Roman" w:hAnsi="Times New Roman" w:cs="Times New Roman"/>
          <w:color w:val="000000"/>
        </w:rPr>
        <w:t xml:space="preserve">Cup </w:t>
      </w:r>
      <w:r w:rsidR="001D1398">
        <w:rPr>
          <w:rFonts w:ascii="Times New Roman" w:eastAsia="Times New Roman" w:hAnsi="Times New Roman" w:cs="Times New Roman"/>
          <w:color w:val="000000"/>
        </w:rPr>
        <w:t>d</w:t>
      </w:r>
      <w:r w:rsidR="00A96836" w:rsidRPr="00A96836">
        <w:rPr>
          <w:rFonts w:ascii="Times New Roman" w:eastAsia="Times New Roman" w:hAnsi="Times New Roman" w:cs="Times New Roman"/>
          <w:color w:val="000000"/>
        </w:rPr>
        <w:t>isc Notching</w:t>
      </w:r>
      <w:r w:rsidR="00587109" w:rsidRPr="00A96836">
        <w:rPr>
          <w:rFonts w:ascii="Times New Roman" w:eastAsia="Times New Roman" w:hAnsi="Times New Roman" w:cs="Times New Roman"/>
        </w:rPr>
        <w:t>.</w:t>
      </w:r>
      <w:r w:rsidR="00EC1D68" w:rsidRPr="00A96836">
        <w:rPr>
          <w:rFonts w:ascii="Times New Roman" w:eastAsia="Times New Roman" w:hAnsi="Times New Roman" w:cs="Times New Roman"/>
        </w:rPr>
        <w:t xml:space="preserve"> There were</w:t>
      </w:r>
      <w:r w:rsidR="000C2B1D" w:rsidRPr="00A96836">
        <w:rPr>
          <w:rFonts w:ascii="Times New Roman" w:eastAsia="Times New Roman" w:hAnsi="Times New Roman" w:cs="Times New Roman"/>
        </w:rPr>
        <w:t xml:space="preserve"> </w:t>
      </w:r>
      <w:r w:rsidR="00EC1D68" w:rsidRPr="00A96836">
        <w:rPr>
          <w:rFonts w:ascii="Times New Roman" w:eastAsia="Times New Roman" w:hAnsi="Times New Roman" w:cs="Times New Roman"/>
        </w:rPr>
        <w:t>40</w:t>
      </w:r>
      <w:r w:rsidR="000C2B1D" w:rsidRPr="00A96836">
        <w:rPr>
          <w:rFonts w:ascii="Times New Roman" w:eastAsia="Times New Roman" w:hAnsi="Times New Roman" w:cs="Times New Roman"/>
        </w:rPr>
        <w:t xml:space="preserve">(54.1%) </w:t>
      </w:r>
      <w:r w:rsidR="00EC1D68" w:rsidRPr="00A96836">
        <w:rPr>
          <w:rFonts w:ascii="Times New Roman" w:eastAsia="Times New Roman" w:hAnsi="Times New Roman" w:cs="Times New Roman"/>
        </w:rPr>
        <w:t>who had</w:t>
      </w:r>
      <w:r w:rsidR="00C7342A">
        <w:rPr>
          <w:rFonts w:ascii="Times New Roman" w:eastAsia="Times New Roman" w:hAnsi="Times New Roman" w:cs="Times New Roman"/>
        </w:rPr>
        <w:t xml:space="preserve"> </w:t>
      </w:r>
      <w:r w:rsidR="000C2B1D" w:rsidRPr="00A96836">
        <w:rPr>
          <w:rFonts w:ascii="Times New Roman" w:eastAsia="Times New Roman" w:hAnsi="Times New Roman" w:cs="Times New Roman"/>
        </w:rPr>
        <w:t>primary open angle glaucoma</w:t>
      </w:r>
      <w:r w:rsidR="00EC1D68" w:rsidRPr="00A96836">
        <w:rPr>
          <w:rFonts w:ascii="Times New Roman" w:eastAsia="Times New Roman" w:hAnsi="Times New Roman" w:cs="Times New Roman"/>
        </w:rPr>
        <w:t xml:space="preserve">, while </w:t>
      </w:r>
      <w:r w:rsidR="004577E5" w:rsidRPr="00A96836">
        <w:rPr>
          <w:rFonts w:ascii="Times New Roman" w:eastAsia="Times New Roman" w:hAnsi="Times New Roman" w:cs="Times New Roman"/>
        </w:rPr>
        <w:t xml:space="preserve">8 (10.8%) </w:t>
      </w:r>
      <w:r w:rsidR="00EC1D68" w:rsidRPr="00A96836">
        <w:rPr>
          <w:rFonts w:ascii="Times New Roman" w:eastAsia="Times New Roman" w:hAnsi="Times New Roman" w:cs="Times New Roman"/>
        </w:rPr>
        <w:t xml:space="preserve">had Optic disc </w:t>
      </w:r>
      <w:r w:rsidR="00133BCE">
        <w:rPr>
          <w:rFonts w:ascii="Times New Roman" w:eastAsia="Times New Roman" w:hAnsi="Times New Roman" w:cs="Times New Roman"/>
        </w:rPr>
        <w:t>h</w:t>
      </w:r>
      <w:r w:rsidR="004577E5" w:rsidRPr="00A96836">
        <w:rPr>
          <w:rFonts w:ascii="Times New Roman" w:eastAsia="Times New Roman" w:hAnsi="Times New Roman" w:cs="Times New Roman"/>
        </w:rPr>
        <w:t xml:space="preserve">emorrhage and more than </w:t>
      </w:r>
      <w:r w:rsidR="00EF79DD">
        <w:rPr>
          <w:rFonts w:ascii="Times New Roman" w:eastAsia="Times New Roman" w:hAnsi="Times New Roman" w:cs="Times New Roman"/>
        </w:rPr>
        <w:t>h</w:t>
      </w:r>
      <w:r w:rsidR="004577E5" w:rsidRPr="00A96836">
        <w:rPr>
          <w:rFonts w:ascii="Times New Roman" w:eastAsia="Times New Roman" w:hAnsi="Times New Roman" w:cs="Times New Roman"/>
        </w:rPr>
        <w:t xml:space="preserve">alf of the participants 45 (60.8%) had </w:t>
      </w:r>
      <w:r w:rsidR="00EF79DD">
        <w:rPr>
          <w:rFonts w:ascii="Times New Roman" w:eastAsia="Times New Roman" w:hAnsi="Times New Roman" w:cs="Times New Roman"/>
        </w:rPr>
        <w:t xml:space="preserve">associated </w:t>
      </w:r>
      <w:r w:rsidR="004577E5" w:rsidRPr="00A96836">
        <w:rPr>
          <w:rFonts w:ascii="Times New Roman" w:eastAsia="Times New Roman" w:hAnsi="Times New Roman" w:cs="Times New Roman"/>
        </w:rPr>
        <w:t>systemic diseases</w:t>
      </w:r>
      <w:bookmarkStart w:id="6" w:name="_nw7jhrroi7gm" w:colFirst="0" w:colLast="0"/>
      <w:bookmarkStart w:id="7" w:name="_Toc199960639"/>
      <w:bookmarkEnd w:id="6"/>
      <w:r w:rsidR="00EF79DD">
        <w:rPr>
          <w:rFonts w:ascii="Times New Roman" w:eastAsia="Times New Roman" w:hAnsi="Times New Roman" w:cs="Times New Roman"/>
        </w:rPr>
        <w:t>.</w:t>
      </w:r>
    </w:p>
    <w:p w14:paraId="46DAFE34" w14:textId="77777777" w:rsidR="00A96836" w:rsidRDefault="00A96836" w:rsidP="00A96836">
      <w:pPr>
        <w:spacing w:line="360" w:lineRule="auto"/>
        <w:jc w:val="both"/>
        <w:rPr>
          <w:rFonts w:ascii="Times New Roman" w:eastAsia="Times New Roman" w:hAnsi="Times New Roman" w:cs="Times New Roman"/>
        </w:rPr>
      </w:pPr>
    </w:p>
    <w:p w14:paraId="34A3D822"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0DA1AB7A"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32CB968F"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60C546AD"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090ED682"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764812F5" w14:textId="77777777" w:rsidR="007F06EC" w:rsidRDefault="007F06EC" w:rsidP="00A96836">
      <w:pPr>
        <w:pStyle w:val="Heading2"/>
        <w:spacing w:line="360" w:lineRule="auto"/>
        <w:jc w:val="both"/>
        <w:rPr>
          <w:rFonts w:ascii="Times New Roman" w:eastAsia="Times New Roman" w:hAnsi="Times New Roman" w:cs="Times New Roman"/>
          <w:b/>
          <w:color w:val="000000"/>
          <w:sz w:val="24"/>
          <w:szCs w:val="24"/>
        </w:rPr>
      </w:pPr>
    </w:p>
    <w:p w14:paraId="3333DC59" w14:textId="2D26B9EC" w:rsidR="0064616D" w:rsidRPr="00A96836" w:rsidRDefault="000C2B1D" w:rsidP="00A96836">
      <w:pPr>
        <w:pStyle w:val="Heading2"/>
        <w:spacing w:line="360" w:lineRule="auto"/>
        <w:jc w:val="both"/>
        <w:rPr>
          <w:rFonts w:ascii="Times New Roman" w:eastAsia="Times New Roman" w:hAnsi="Times New Roman" w:cs="Times New Roman"/>
          <w:b/>
          <w:color w:val="000000"/>
          <w:sz w:val="24"/>
          <w:szCs w:val="24"/>
        </w:rPr>
      </w:pPr>
      <w:r w:rsidRPr="00A96836">
        <w:rPr>
          <w:rFonts w:ascii="Times New Roman" w:eastAsia="Times New Roman" w:hAnsi="Times New Roman" w:cs="Times New Roman"/>
          <w:b/>
          <w:color w:val="000000"/>
          <w:sz w:val="24"/>
          <w:szCs w:val="24"/>
        </w:rPr>
        <w:t xml:space="preserve">Table </w:t>
      </w:r>
      <w:r w:rsidR="002C0636" w:rsidRPr="00A96836">
        <w:rPr>
          <w:rFonts w:ascii="Times New Roman" w:eastAsia="Times New Roman" w:hAnsi="Times New Roman" w:cs="Times New Roman"/>
          <w:b/>
          <w:color w:val="000000"/>
          <w:sz w:val="24"/>
          <w:szCs w:val="24"/>
        </w:rPr>
        <w:t>1</w:t>
      </w:r>
      <w:r w:rsidRPr="00A96836">
        <w:rPr>
          <w:rFonts w:ascii="Times New Roman" w:eastAsia="Times New Roman" w:hAnsi="Times New Roman" w:cs="Times New Roman"/>
          <w:b/>
          <w:color w:val="000000"/>
          <w:sz w:val="24"/>
          <w:szCs w:val="24"/>
        </w:rPr>
        <w:t xml:space="preserve">: </w:t>
      </w:r>
      <w:r w:rsidR="004577E5" w:rsidRPr="00A96836">
        <w:rPr>
          <w:rFonts w:ascii="Times New Roman" w:eastAsia="Times New Roman" w:hAnsi="Times New Roman" w:cs="Times New Roman"/>
          <w:b/>
          <w:color w:val="000000"/>
          <w:sz w:val="24"/>
          <w:szCs w:val="24"/>
        </w:rPr>
        <w:t xml:space="preserve">Participant’s social demographic and clinical characteristics </w:t>
      </w:r>
      <w:r w:rsidRPr="00A96836">
        <w:rPr>
          <w:rFonts w:ascii="Times New Roman" w:eastAsia="Times New Roman" w:hAnsi="Times New Roman" w:cs="Times New Roman"/>
          <w:b/>
          <w:color w:val="000000"/>
          <w:sz w:val="24"/>
          <w:szCs w:val="24"/>
        </w:rPr>
        <w:t>(N=74)</w:t>
      </w:r>
      <w:bookmarkEnd w:id="7"/>
    </w:p>
    <w:tbl>
      <w:tblPr>
        <w:tblStyle w:val="a0"/>
        <w:tblW w:w="7433" w:type="dxa"/>
        <w:tblInd w:w="108" w:type="dxa"/>
        <w:tblLayout w:type="fixed"/>
        <w:tblLook w:val="0400" w:firstRow="0" w:lastRow="0" w:firstColumn="0" w:lastColumn="0" w:noHBand="0" w:noVBand="1"/>
      </w:tblPr>
      <w:tblGrid>
        <w:gridCol w:w="4640"/>
        <w:gridCol w:w="1390"/>
        <w:gridCol w:w="1403"/>
      </w:tblGrid>
      <w:tr w:rsidR="0064616D" w:rsidRPr="00A96836" w14:paraId="26CE3719" w14:textId="77777777" w:rsidTr="00294BD7">
        <w:trPr>
          <w:trHeight w:val="345"/>
        </w:trPr>
        <w:tc>
          <w:tcPr>
            <w:tcW w:w="4640" w:type="dxa"/>
            <w:tcBorders>
              <w:top w:val="single" w:sz="12" w:space="0" w:color="000000"/>
              <w:left w:val="nil"/>
              <w:bottom w:val="single" w:sz="12" w:space="0" w:color="000000"/>
              <w:right w:val="nil"/>
            </w:tcBorders>
            <w:shd w:val="clear" w:color="auto" w:fill="auto"/>
            <w:vAlign w:val="center"/>
          </w:tcPr>
          <w:p w14:paraId="679915BA" w14:textId="77777777" w:rsidR="0064616D" w:rsidRPr="00A96836" w:rsidRDefault="000C2B1D"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Characteristics</w:t>
            </w:r>
          </w:p>
        </w:tc>
        <w:tc>
          <w:tcPr>
            <w:tcW w:w="1390" w:type="dxa"/>
            <w:tcBorders>
              <w:top w:val="single" w:sz="12" w:space="0" w:color="000000"/>
              <w:left w:val="nil"/>
              <w:bottom w:val="single" w:sz="12" w:space="0" w:color="000000"/>
              <w:right w:val="nil"/>
            </w:tcBorders>
            <w:shd w:val="clear" w:color="auto" w:fill="auto"/>
            <w:vAlign w:val="center"/>
          </w:tcPr>
          <w:p w14:paraId="76E360C6" w14:textId="77777777" w:rsidR="0064616D" w:rsidRPr="00A96836" w:rsidRDefault="000C2B1D"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Frequency</w:t>
            </w:r>
          </w:p>
        </w:tc>
        <w:tc>
          <w:tcPr>
            <w:tcW w:w="1403" w:type="dxa"/>
            <w:tcBorders>
              <w:top w:val="single" w:sz="12" w:space="0" w:color="000000"/>
              <w:left w:val="nil"/>
              <w:bottom w:val="single" w:sz="12" w:space="0" w:color="000000"/>
              <w:right w:val="nil"/>
            </w:tcBorders>
            <w:shd w:val="clear" w:color="auto" w:fill="auto"/>
            <w:vAlign w:val="center"/>
          </w:tcPr>
          <w:p w14:paraId="0C0494D4" w14:textId="1E6F4195" w:rsidR="0064616D" w:rsidRPr="00A96836" w:rsidRDefault="000C2B1D"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Percentage</w:t>
            </w:r>
          </w:p>
        </w:tc>
      </w:tr>
      <w:tr w:rsidR="005434AB" w:rsidRPr="00A96836" w14:paraId="50D738C1" w14:textId="77777777" w:rsidTr="00294BD7">
        <w:trPr>
          <w:trHeight w:val="330"/>
        </w:trPr>
        <w:tc>
          <w:tcPr>
            <w:tcW w:w="4640" w:type="dxa"/>
            <w:tcBorders>
              <w:top w:val="nil"/>
              <w:left w:val="nil"/>
              <w:bottom w:val="nil"/>
              <w:right w:val="nil"/>
            </w:tcBorders>
            <w:shd w:val="clear" w:color="auto" w:fill="auto"/>
            <w:vAlign w:val="center"/>
          </w:tcPr>
          <w:p w14:paraId="705BA2CA" w14:textId="376C340E" w:rsidR="005434AB" w:rsidRPr="00A96836" w:rsidRDefault="005434AB"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Patients Age</w:t>
            </w:r>
          </w:p>
        </w:tc>
        <w:tc>
          <w:tcPr>
            <w:tcW w:w="1390" w:type="dxa"/>
            <w:tcBorders>
              <w:top w:val="nil"/>
              <w:left w:val="nil"/>
              <w:bottom w:val="nil"/>
              <w:right w:val="nil"/>
            </w:tcBorders>
            <w:shd w:val="clear" w:color="auto" w:fill="auto"/>
            <w:vAlign w:val="center"/>
          </w:tcPr>
          <w:p w14:paraId="068108D0" w14:textId="77777777" w:rsidR="005434AB" w:rsidRPr="00A96836" w:rsidRDefault="005434AB"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1F3BB68E" w14:textId="77777777" w:rsidR="005434AB" w:rsidRPr="00A96836" w:rsidRDefault="005434AB" w:rsidP="00A96836">
            <w:pPr>
              <w:spacing w:line="360" w:lineRule="auto"/>
              <w:jc w:val="both"/>
              <w:rPr>
                <w:rFonts w:ascii="Times New Roman" w:eastAsia="Times New Roman" w:hAnsi="Times New Roman" w:cs="Times New Roman"/>
              </w:rPr>
            </w:pPr>
          </w:p>
        </w:tc>
      </w:tr>
      <w:tr w:rsidR="005434AB" w:rsidRPr="00A96836" w14:paraId="48C911D8" w14:textId="77777777" w:rsidTr="00294BD7">
        <w:trPr>
          <w:trHeight w:val="330"/>
        </w:trPr>
        <w:tc>
          <w:tcPr>
            <w:tcW w:w="4640" w:type="dxa"/>
            <w:tcBorders>
              <w:top w:val="nil"/>
              <w:left w:val="nil"/>
              <w:bottom w:val="nil"/>
              <w:right w:val="nil"/>
            </w:tcBorders>
            <w:shd w:val="clear" w:color="auto" w:fill="auto"/>
            <w:vAlign w:val="center"/>
          </w:tcPr>
          <w:p w14:paraId="6BA935C7" w14:textId="4D15BC53"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≤60</w:t>
            </w:r>
          </w:p>
        </w:tc>
        <w:tc>
          <w:tcPr>
            <w:tcW w:w="1390" w:type="dxa"/>
            <w:tcBorders>
              <w:top w:val="nil"/>
              <w:left w:val="nil"/>
              <w:bottom w:val="nil"/>
              <w:right w:val="nil"/>
            </w:tcBorders>
            <w:shd w:val="clear" w:color="auto" w:fill="auto"/>
            <w:vAlign w:val="center"/>
          </w:tcPr>
          <w:p w14:paraId="55810230" w14:textId="55E6A1AE"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29</w:t>
            </w:r>
          </w:p>
        </w:tc>
        <w:tc>
          <w:tcPr>
            <w:tcW w:w="1403" w:type="dxa"/>
            <w:tcBorders>
              <w:top w:val="nil"/>
              <w:left w:val="nil"/>
              <w:bottom w:val="nil"/>
              <w:right w:val="nil"/>
            </w:tcBorders>
            <w:shd w:val="clear" w:color="auto" w:fill="auto"/>
            <w:vAlign w:val="center"/>
          </w:tcPr>
          <w:p w14:paraId="513DBEAF" w14:textId="0BD56EC6"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39.2</w:t>
            </w:r>
          </w:p>
        </w:tc>
      </w:tr>
      <w:tr w:rsidR="005434AB" w:rsidRPr="00A96836" w14:paraId="2A86BC0B" w14:textId="77777777" w:rsidTr="00294BD7">
        <w:trPr>
          <w:trHeight w:val="330"/>
        </w:trPr>
        <w:tc>
          <w:tcPr>
            <w:tcW w:w="4640" w:type="dxa"/>
            <w:tcBorders>
              <w:top w:val="nil"/>
              <w:left w:val="nil"/>
              <w:bottom w:val="nil"/>
              <w:right w:val="nil"/>
            </w:tcBorders>
            <w:shd w:val="clear" w:color="auto" w:fill="auto"/>
            <w:vAlign w:val="center"/>
          </w:tcPr>
          <w:p w14:paraId="64BE763D" w14:textId="16075E40"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&gt;60</w:t>
            </w:r>
          </w:p>
        </w:tc>
        <w:tc>
          <w:tcPr>
            <w:tcW w:w="1390" w:type="dxa"/>
            <w:tcBorders>
              <w:top w:val="nil"/>
              <w:left w:val="nil"/>
              <w:bottom w:val="nil"/>
              <w:right w:val="nil"/>
            </w:tcBorders>
            <w:shd w:val="clear" w:color="auto" w:fill="auto"/>
            <w:vAlign w:val="center"/>
          </w:tcPr>
          <w:p w14:paraId="79CAFC24" w14:textId="33B77932"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45</w:t>
            </w:r>
          </w:p>
        </w:tc>
        <w:tc>
          <w:tcPr>
            <w:tcW w:w="1403" w:type="dxa"/>
            <w:tcBorders>
              <w:top w:val="nil"/>
              <w:left w:val="nil"/>
              <w:bottom w:val="nil"/>
              <w:right w:val="nil"/>
            </w:tcBorders>
            <w:shd w:val="clear" w:color="auto" w:fill="auto"/>
            <w:vAlign w:val="center"/>
          </w:tcPr>
          <w:p w14:paraId="7B37E630" w14:textId="20B132A1"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60.8</w:t>
            </w:r>
          </w:p>
        </w:tc>
      </w:tr>
      <w:tr w:rsidR="005434AB" w:rsidRPr="00A96836" w14:paraId="7B15AE13" w14:textId="77777777" w:rsidTr="00294BD7">
        <w:trPr>
          <w:trHeight w:val="330"/>
        </w:trPr>
        <w:tc>
          <w:tcPr>
            <w:tcW w:w="4640" w:type="dxa"/>
            <w:tcBorders>
              <w:top w:val="nil"/>
              <w:left w:val="nil"/>
              <w:bottom w:val="nil"/>
              <w:right w:val="nil"/>
            </w:tcBorders>
            <w:shd w:val="clear" w:color="auto" w:fill="auto"/>
            <w:vAlign w:val="center"/>
          </w:tcPr>
          <w:p w14:paraId="0DE8CE89" w14:textId="48F01E8F" w:rsidR="005434AB" w:rsidRPr="00A96836" w:rsidRDefault="005434AB" w:rsidP="00A96836">
            <w:pPr>
              <w:spacing w:line="360" w:lineRule="auto"/>
              <w:ind w:firstLine="480"/>
              <w:jc w:val="both"/>
              <w:rPr>
                <w:rFonts w:ascii="Times New Roman" w:eastAsia="Times New Roman" w:hAnsi="Times New Roman" w:cs="Times New Roman"/>
                <w:i/>
                <w:iCs/>
              </w:rPr>
            </w:pPr>
            <w:r w:rsidRPr="00A96836">
              <w:rPr>
                <w:rFonts w:ascii="Times New Roman" w:eastAsia="Gungsuh" w:hAnsi="Times New Roman" w:cs="Times New Roman"/>
                <w:i/>
                <w:iCs/>
              </w:rPr>
              <w:t>Median (IQR)</w:t>
            </w:r>
          </w:p>
        </w:tc>
        <w:tc>
          <w:tcPr>
            <w:tcW w:w="1390" w:type="dxa"/>
            <w:tcBorders>
              <w:top w:val="nil"/>
              <w:left w:val="nil"/>
              <w:bottom w:val="nil"/>
              <w:right w:val="nil"/>
            </w:tcBorders>
            <w:shd w:val="clear" w:color="auto" w:fill="auto"/>
            <w:vAlign w:val="center"/>
          </w:tcPr>
          <w:p w14:paraId="37481DC2" w14:textId="3ED12625"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i/>
              </w:rPr>
              <w:t>64(55-70)</w:t>
            </w:r>
          </w:p>
        </w:tc>
        <w:tc>
          <w:tcPr>
            <w:tcW w:w="1403" w:type="dxa"/>
            <w:tcBorders>
              <w:top w:val="nil"/>
              <w:left w:val="nil"/>
              <w:bottom w:val="nil"/>
              <w:right w:val="nil"/>
            </w:tcBorders>
            <w:shd w:val="clear" w:color="auto" w:fill="auto"/>
            <w:vAlign w:val="center"/>
          </w:tcPr>
          <w:p w14:paraId="64AA79F6" w14:textId="77777777" w:rsidR="005434AB" w:rsidRPr="00A96836" w:rsidRDefault="005434AB" w:rsidP="00A96836">
            <w:pPr>
              <w:spacing w:line="360" w:lineRule="auto"/>
              <w:jc w:val="both"/>
              <w:rPr>
                <w:rFonts w:ascii="Times New Roman" w:eastAsia="Times New Roman" w:hAnsi="Times New Roman" w:cs="Times New Roman"/>
              </w:rPr>
            </w:pPr>
          </w:p>
        </w:tc>
      </w:tr>
      <w:tr w:rsidR="005434AB" w:rsidRPr="00A96836" w14:paraId="026AAB16" w14:textId="77777777" w:rsidTr="00294BD7">
        <w:trPr>
          <w:trHeight w:val="330"/>
        </w:trPr>
        <w:tc>
          <w:tcPr>
            <w:tcW w:w="4640" w:type="dxa"/>
            <w:tcBorders>
              <w:top w:val="nil"/>
              <w:left w:val="nil"/>
              <w:bottom w:val="nil"/>
              <w:right w:val="nil"/>
            </w:tcBorders>
            <w:shd w:val="clear" w:color="auto" w:fill="auto"/>
            <w:vAlign w:val="center"/>
          </w:tcPr>
          <w:p w14:paraId="09C41BB2" w14:textId="78B13D3E" w:rsidR="005434AB" w:rsidRPr="00A96836" w:rsidRDefault="005434AB"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Patient Gender</w:t>
            </w:r>
          </w:p>
        </w:tc>
        <w:tc>
          <w:tcPr>
            <w:tcW w:w="1390" w:type="dxa"/>
            <w:tcBorders>
              <w:top w:val="nil"/>
              <w:left w:val="nil"/>
              <w:bottom w:val="nil"/>
              <w:right w:val="nil"/>
            </w:tcBorders>
            <w:shd w:val="clear" w:color="auto" w:fill="auto"/>
            <w:vAlign w:val="center"/>
          </w:tcPr>
          <w:p w14:paraId="43673AD4" w14:textId="77777777" w:rsidR="005434AB" w:rsidRPr="00A96836" w:rsidRDefault="005434AB"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6A48B593" w14:textId="77777777" w:rsidR="005434AB" w:rsidRPr="00A96836" w:rsidRDefault="005434AB" w:rsidP="00A96836">
            <w:pPr>
              <w:spacing w:line="360" w:lineRule="auto"/>
              <w:jc w:val="both"/>
              <w:rPr>
                <w:rFonts w:ascii="Times New Roman" w:eastAsia="Times New Roman" w:hAnsi="Times New Roman" w:cs="Times New Roman"/>
              </w:rPr>
            </w:pPr>
          </w:p>
        </w:tc>
      </w:tr>
      <w:tr w:rsidR="005434AB" w:rsidRPr="00A96836" w14:paraId="48FF7327" w14:textId="77777777" w:rsidTr="00294BD7">
        <w:trPr>
          <w:trHeight w:val="330"/>
        </w:trPr>
        <w:tc>
          <w:tcPr>
            <w:tcW w:w="4640" w:type="dxa"/>
            <w:tcBorders>
              <w:top w:val="nil"/>
              <w:left w:val="nil"/>
              <w:bottom w:val="nil"/>
              <w:right w:val="nil"/>
            </w:tcBorders>
            <w:shd w:val="clear" w:color="auto" w:fill="auto"/>
            <w:vAlign w:val="center"/>
          </w:tcPr>
          <w:p w14:paraId="513226EF" w14:textId="428771A1"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Male</w:t>
            </w:r>
          </w:p>
        </w:tc>
        <w:tc>
          <w:tcPr>
            <w:tcW w:w="1390" w:type="dxa"/>
            <w:tcBorders>
              <w:top w:val="nil"/>
              <w:left w:val="nil"/>
              <w:bottom w:val="nil"/>
              <w:right w:val="nil"/>
            </w:tcBorders>
            <w:shd w:val="clear" w:color="auto" w:fill="auto"/>
            <w:vAlign w:val="center"/>
          </w:tcPr>
          <w:p w14:paraId="0C0C84A8" w14:textId="611EFBF0"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39</w:t>
            </w:r>
          </w:p>
        </w:tc>
        <w:tc>
          <w:tcPr>
            <w:tcW w:w="1403" w:type="dxa"/>
            <w:tcBorders>
              <w:top w:val="nil"/>
              <w:left w:val="nil"/>
              <w:bottom w:val="nil"/>
              <w:right w:val="nil"/>
            </w:tcBorders>
            <w:shd w:val="clear" w:color="auto" w:fill="auto"/>
            <w:vAlign w:val="center"/>
          </w:tcPr>
          <w:p w14:paraId="5749E5BD" w14:textId="7CB406D7"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52.7</w:t>
            </w:r>
          </w:p>
        </w:tc>
      </w:tr>
      <w:tr w:rsidR="005434AB" w:rsidRPr="00A96836" w14:paraId="630145E9" w14:textId="77777777" w:rsidTr="00294BD7">
        <w:trPr>
          <w:trHeight w:val="330"/>
        </w:trPr>
        <w:tc>
          <w:tcPr>
            <w:tcW w:w="4640" w:type="dxa"/>
            <w:tcBorders>
              <w:top w:val="nil"/>
              <w:left w:val="nil"/>
              <w:bottom w:val="nil"/>
              <w:right w:val="nil"/>
            </w:tcBorders>
            <w:shd w:val="clear" w:color="auto" w:fill="auto"/>
            <w:vAlign w:val="center"/>
          </w:tcPr>
          <w:p w14:paraId="0AF183CD" w14:textId="21777273" w:rsidR="005434AB" w:rsidRPr="00A96836" w:rsidRDefault="005434AB"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Female</w:t>
            </w:r>
          </w:p>
        </w:tc>
        <w:tc>
          <w:tcPr>
            <w:tcW w:w="1390" w:type="dxa"/>
            <w:tcBorders>
              <w:top w:val="nil"/>
              <w:left w:val="nil"/>
              <w:bottom w:val="nil"/>
              <w:right w:val="nil"/>
            </w:tcBorders>
            <w:shd w:val="clear" w:color="auto" w:fill="auto"/>
            <w:vAlign w:val="center"/>
          </w:tcPr>
          <w:p w14:paraId="6E5A00C6" w14:textId="7E6E617E" w:rsidR="005434AB" w:rsidRPr="00A96836" w:rsidRDefault="005434AB"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rPr>
              <w:t>35</w:t>
            </w:r>
          </w:p>
        </w:tc>
        <w:tc>
          <w:tcPr>
            <w:tcW w:w="1403" w:type="dxa"/>
            <w:tcBorders>
              <w:top w:val="nil"/>
              <w:left w:val="nil"/>
              <w:bottom w:val="nil"/>
              <w:right w:val="nil"/>
            </w:tcBorders>
            <w:shd w:val="clear" w:color="auto" w:fill="auto"/>
            <w:vAlign w:val="center"/>
          </w:tcPr>
          <w:p w14:paraId="0DDC99B4" w14:textId="6B9F160F" w:rsidR="005434AB" w:rsidRPr="00A96836" w:rsidRDefault="005434AB"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47.3</w:t>
            </w:r>
          </w:p>
        </w:tc>
      </w:tr>
      <w:tr w:rsidR="003B0AE8" w:rsidRPr="00A96836" w14:paraId="08CB894F" w14:textId="77777777" w:rsidTr="00294BD7">
        <w:trPr>
          <w:trHeight w:val="330"/>
        </w:trPr>
        <w:tc>
          <w:tcPr>
            <w:tcW w:w="4640" w:type="dxa"/>
            <w:tcBorders>
              <w:top w:val="nil"/>
              <w:left w:val="nil"/>
              <w:bottom w:val="nil"/>
              <w:right w:val="nil"/>
            </w:tcBorders>
            <w:shd w:val="clear" w:color="auto" w:fill="auto"/>
            <w:vAlign w:val="center"/>
          </w:tcPr>
          <w:p w14:paraId="180B3E10" w14:textId="7019F52B" w:rsidR="003B0AE8" w:rsidRPr="00A96836" w:rsidRDefault="003B0AE8"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b/>
                <w:bCs/>
              </w:rPr>
              <w:t>Initial IOP</w:t>
            </w:r>
          </w:p>
        </w:tc>
        <w:tc>
          <w:tcPr>
            <w:tcW w:w="1390" w:type="dxa"/>
            <w:tcBorders>
              <w:top w:val="nil"/>
              <w:left w:val="nil"/>
              <w:bottom w:val="nil"/>
              <w:right w:val="nil"/>
            </w:tcBorders>
            <w:shd w:val="clear" w:color="auto" w:fill="auto"/>
            <w:vAlign w:val="center"/>
          </w:tcPr>
          <w:p w14:paraId="02589A46"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1C231439"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5F6E9A85" w14:textId="77777777" w:rsidTr="00294BD7">
        <w:trPr>
          <w:trHeight w:val="330"/>
        </w:trPr>
        <w:tc>
          <w:tcPr>
            <w:tcW w:w="4640" w:type="dxa"/>
            <w:tcBorders>
              <w:top w:val="nil"/>
              <w:left w:val="nil"/>
              <w:bottom w:val="nil"/>
              <w:right w:val="nil"/>
            </w:tcBorders>
            <w:shd w:val="clear" w:color="auto" w:fill="auto"/>
            <w:vAlign w:val="center"/>
          </w:tcPr>
          <w:p w14:paraId="035F4178" w14:textId="2EDF6351" w:rsidR="003B0AE8" w:rsidRPr="00A96836" w:rsidRDefault="003B0AE8" w:rsidP="00A96836">
            <w:pPr>
              <w:spacing w:line="360" w:lineRule="auto"/>
              <w:ind w:firstLine="480"/>
              <w:jc w:val="both"/>
              <w:rPr>
                <w:rFonts w:ascii="Times New Roman" w:eastAsia="Times New Roman" w:hAnsi="Times New Roman" w:cs="Times New Roman"/>
                <w:b/>
                <w:bCs/>
                <w:i/>
                <w:iCs/>
              </w:rPr>
            </w:pPr>
            <w:r w:rsidRPr="00A96836">
              <w:rPr>
                <w:rFonts w:ascii="Times New Roman" w:eastAsia="Gungsuh" w:hAnsi="Times New Roman" w:cs="Times New Roman"/>
                <w:i/>
                <w:iCs/>
              </w:rPr>
              <w:t>Median (IQR)</w:t>
            </w:r>
          </w:p>
        </w:tc>
        <w:tc>
          <w:tcPr>
            <w:tcW w:w="1390" w:type="dxa"/>
            <w:tcBorders>
              <w:top w:val="nil"/>
              <w:left w:val="nil"/>
              <w:bottom w:val="nil"/>
              <w:right w:val="nil"/>
            </w:tcBorders>
            <w:shd w:val="clear" w:color="auto" w:fill="auto"/>
            <w:vAlign w:val="center"/>
          </w:tcPr>
          <w:p w14:paraId="785F3AAF" w14:textId="4AF1D518" w:rsidR="003B0AE8" w:rsidRPr="00A96836" w:rsidRDefault="003B0AE8"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i/>
              </w:rPr>
              <w:t>46.5(39-56)</w:t>
            </w:r>
          </w:p>
        </w:tc>
        <w:tc>
          <w:tcPr>
            <w:tcW w:w="1403" w:type="dxa"/>
            <w:tcBorders>
              <w:top w:val="nil"/>
              <w:left w:val="nil"/>
              <w:bottom w:val="nil"/>
              <w:right w:val="nil"/>
            </w:tcBorders>
            <w:shd w:val="clear" w:color="auto" w:fill="auto"/>
            <w:vAlign w:val="center"/>
          </w:tcPr>
          <w:p w14:paraId="785B3E36"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13200A5A" w14:textId="77777777" w:rsidTr="00294BD7">
        <w:trPr>
          <w:trHeight w:val="330"/>
        </w:trPr>
        <w:tc>
          <w:tcPr>
            <w:tcW w:w="4640" w:type="dxa"/>
            <w:tcBorders>
              <w:top w:val="nil"/>
              <w:left w:val="nil"/>
              <w:bottom w:val="nil"/>
              <w:right w:val="nil"/>
            </w:tcBorders>
            <w:shd w:val="clear" w:color="auto" w:fill="auto"/>
            <w:vAlign w:val="center"/>
          </w:tcPr>
          <w:p w14:paraId="5F99EF83" w14:textId="0C8F54E5" w:rsidR="003B0AE8" w:rsidRPr="00A96836" w:rsidRDefault="003B0AE8" w:rsidP="00A96836">
            <w:pPr>
              <w:spacing w:line="360" w:lineRule="auto"/>
              <w:jc w:val="both"/>
              <w:rPr>
                <w:rFonts w:ascii="Times New Roman" w:eastAsia="Times New Roman" w:hAnsi="Times New Roman" w:cs="Times New Roman"/>
                <w:b/>
                <w:bCs/>
              </w:rPr>
            </w:pPr>
            <w:r w:rsidRPr="00A96836">
              <w:rPr>
                <w:rFonts w:ascii="Times New Roman" w:eastAsia="Times New Roman" w:hAnsi="Times New Roman" w:cs="Times New Roman"/>
              </w:rPr>
              <w:t xml:space="preserve"> </w:t>
            </w:r>
            <w:r w:rsidRPr="00A96836">
              <w:rPr>
                <w:rFonts w:ascii="Times New Roman" w:eastAsia="Times New Roman" w:hAnsi="Times New Roman" w:cs="Times New Roman"/>
                <w:b/>
                <w:bCs/>
              </w:rPr>
              <w:t>Vertical CDR</w:t>
            </w:r>
          </w:p>
        </w:tc>
        <w:tc>
          <w:tcPr>
            <w:tcW w:w="1390" w:type="dxa"/>
            <w:tcBorders>
              <w:top w:val="nil"/>
              <w:left w:val="nil"/>
              <w:bottom w:val="nil"/>
              <w:right w:val="nil"/>
            </w:tcBorders>
            <w:shd w:val="clear" w:color="auto" w:fill="auto"/>
            <w:vAlign w:val="center"/>
          </w:tcPr>
          <w:p w14:paraId="2F866A74"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52AEB344"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2720CAC2" w14:textId="77777777" w:rsidTr="00294BD7">
        <w:trPr>
          <w:trHeight w:val="330"/>
        </w:trPr>
        <w:tc>
          <w:tcPr>
            <w:tcW w:w="4640" w:type="dxa"/>
            <w:tcBorders>
              <w:top w:val="nil"/>
              <w:left w:val="nil"/>
              <w:bottom w:val="nil"/>
              <w:right w:val="nil"/>
            </w:tcBorders>
            <w:shd w:val="clear" w:color="auto" w:fill="auto"/>
            <w:vAlign w:val="center"/>
          </w:tcPr>
          <w:p w14:paraId="4F39DF95" w14:textId="71B88990" w:rsidR="003B0AE8" w:rsidRPr="00A96836" w:rsidRDefault="003B0AE8" w:rsidP="00A96836">
            <w:pPr>
              <w:spacing w:line="360" w:lineRule="auto"/>
              <w:ind w:firstLine="480"/>
              <w:jc w:val="both"/>
              <w:rPr>
                <w:rFonts w:ascii="Times New Roman" w:eastAsia="Times New Roman" w:hAnsi="Times New Roman" w:cs="Times New Roman"/>
                <w:b/>
                <w:bCs/>
              </w:rPr>
            </w:pPr>
            <w:r w:rsidRPr="00A96836">
              <w:rPr>
                <w:rFonts w:ascii="Times New Roman" w:eastAsia="Gungsuh" w:hAnsi="Times New Roman" w:cs="Times New Roman"/>
                <w:i/>
                <w:iCs/>
              </w:rPr>
              <w:t>Median (IQR)</w:t>
            </w:r>
          </w:p>
        </w:tc>
        <w:tc>
          <w:tcPr>
            <w:tcW w:w="1390" w:type="dxa"/>
            <w:tcBorders>
              <w:top w:val="nil"/>
              <w:left w:val="nil"/>
              <w:bottom w:val="nil"/>
              <w:right w:val="nil"/>
            </w:tcBorders>
            <w:shd w:val="clear" w:color="auto" w:fill="auto"/>
            <w:vAlign w:val="center"/>
          </w:tcPr>
          <w:p w14:paraId="7A433C81" w14:textId="4F82583E" w:rsidR="003B0AE8" w:rsidRPr="00A96836" w:rsidRDefault="003B0AE8" w:rsidP="00A96836">
            <w:pPr>
              <w:spacing w:line="360" w:lineRule="auto"/>
              <w:jc w:val="both"/>
              <w:rPr>
                <w:rFonts w:ascii="Times New Roman" w:eastAsia="Times New Roman" w:hAnsi="Times New Roman" w:cs="Times New Roman"/>
                <w:b/>
              </w:rPr>
            </w:pPr>
            <w:r w:rsidRPr="00A96836">
              <w:rPr>
                <w:rFonts w:ascii="Times New Roman" w:eastAsia="Times New Roman" w:hAnsi="Times New Roman" w:cs="Times New Roman"/>
                <w:i/>
              </w:rPr>
              <w:t>9(8-10)</w:t>
            </w:r>
          </w:p>
        </w:tc>
        <w:tc>
          <w:tcPr>
            <w:tcW w:w="1403" w:type="dxa"/>
            <w:tcBorders>
              <w:top w:val="nil"/>
              <w:left w:val="nil"/>
              <w:bottom w:val="nil"/>
              <w:right w:val="nil"/>
            </w:tcBorders>
            <w:shd w:val="clear" w:color="auto" w:fill="auto"/>
            <w:vAlign w:val="center"/>
          </w:tcPr>
          <w:p w14:paraId="007517DB"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5688D4DD" w14:textId="77777777" w:rsidTr="00294BD7">
        <w:trPr>
          <w:trHeight w:val="330"/>
        </w:trPr>
        <w:tc>
          <w:tcPr>
            <w:tcW w:w="4640" w:type="dxa"/>
            <w:tcBorders>
              <w:top w:val="nil"/>
              <w:left w:val="nil"/>
              <w:bottom w:val="nil"/>
              <w:right w:val="nil"/>
            </w:tcBorders>
            <w:shd w:val="clear" w:color="auto" w:fill="auto"/>
            <w:vAlign w:val="center"/>
          </w:tcPr>
          <w:p w14:paraId="42E3EC56" w14:textId="3E58CF0C"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Participant’s VA</w:t>
            </w:r>
          </w:p>
        </w:tc>
        <w:tc>
          <w:tcPr>
            <w:tcW w:w="1390" w:type="dxa"/>
            <w:tcBorders>
              <w:top w:val="nil"/>
              <w:left w:val="nil"/>
              <w:bottom w:val="nil"/>
              <w:right w:val="nil"/>
            </w:tcBorders>
            <w:shd w:val="clear" w:color="auto" w:fill="auto"/>
            <w:vAlign w:val="center"/>
          </w:tcPr>
          <w:p w14:paraId="3CEE8046"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24BBDFE3"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2D2EFA47" w14:textId="77777777" w:rsidTr="00294BD7">
        <w:trPr>
          <w:trHeight w:val="330"/>
        </w:trPr>
        <w:tc>
          <w:tcPr>
            <w:tcW w:w="4640" w:type="dxa"/>
            <w:tcBorders>
              <w:top w:val="nil"/>
              <w:left w:val="nil"/>
              <w:bottom w:val="nil"/>
              <w:right w:val="nil"/>
            </w:tcBorders>
            <w:shd w:val="clear" w:color="auto" w:fill="auto"/>
            <w:vAlign w:val="center"/>
          </w:tcPr>
          <w:p w14:paraId="5A5B1479" w14:textId="720B111C"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Normal vision</w:t>
            </w:r>
          </w:p>
        </w:tc>
        <w:tc>
          <w:tcPr>
            <w:tcW w:w="1390" w:type="dxa"/>
            <w:tcBorders>
              <w:top w:val="nil"/>
              <w:left w:val="nil"/>
              <w:bottom w:val="nil"/>
              <w:right w:val="nil"/>
            </w:tcBorders>
            <w:shd w:val="clear" w:color="auto" w:fill="auto"/>
            <w:vAlign w:val="center"/>
          </w:tcPr>
          <w:p w14:paraId="732D5F43" w14:textId="3B57A24E"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4</w:t>
            </w:r>
          </w:p>
        </w:tc>
        <w:tc>
          <w:tcPr>
            <w:tcW w:w="1403" w:type="dxa"/>
            <w:tcBorders>
              <w:top w:val="nil"/>
              <w:left w:val="nil"/>
              <w:bottom w:val="nil"/>
              <w:right w:val="nil"/>
            </w:tcBorders>
            <w:shd w:val="clear" w:color="auto" w:fill="auto"/>
            <w:vAlign w:val="center"/>
          </w:tcPr>
          <w:p w14:paraId="2EAC9077" w14:textId="2C8312BE"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5.4</w:t>
            </w:r>
          </w:p>
        </w:tc>
      </w:tr>
      <w:tr w:rsidR="003B0AE8" w:rsidRPr="00A96836" w14:paraId="5F5FD2A6" w14:textId="77777777" w:rsidTr="00294BD7">
        <w:trPr>
          <w:trHeight w:val="330"/>
        </w:trPr>
        <w:tc>
          <w:tcPr>
            <w:tcW w:w="4640" w:type="dxa"/>
            <w:tcBorders>
              <w:top w:val="nil"/>
              <w:left w:val="nil"/>
              <w:bottom w:val="nil"/>
              <w:right w:val="nil"/>
            </w:tcBorders>
            <w:shd w:val="clear" w:color="auto" w:fill="auto"/>
            <w:vAlign w:val="center"/>
          </w:tcPr>
          <w:p w14:paraId="7E442F7C" w14:textId="4AFA1471"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Mild VI</w:t>
            </w:r>
          </w:p>
        </w:tc>
        <w:tc>
          <w:tcPr>
            <w:tcW w:w="1390" w:type="dxa"/>
            <w:tcBorders>
              <w:top w:val="nil"/>
              <w:left w:val="nil"/>
              <w:bottom w:val="nil"/>
              <w:right w:val="nil"/>
            </w:tcBorders>
            <w:shd w:val="clear" w:color="auto" w:fill="auto"/>
            <w:vAlign w:val="center"/>
          </w:tcPr>
          <w:p w14:paraId="18DEA302" w14:textId="3B72E076"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1</w:t>
            </w:r>
          </w:p>
        </w:tc>
        <w:tc>
          <w:tcPr>
            <w:tcW w:w="1403" w:type="dxa"/>
            <w:tcBorders>
              <w:top w:val="nil"/>
              <w:left w:val="nil"/>
              <w:bottom w:val="nil"/>
              <w:right w:val="nil"/>
            </w:tcBorders>
            <w:shd w:val="clear" w:color="auto" w:fill="auto"/>
            <w:vAlign w:val="center"/>
          </w:tcPr>
          <w:p w14:paraId="30203A0D" w14:textId="3C33313E"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1.3</w:t>
            </w:r>
          </w:p>
        </w:tc>
      </w:tr>
      <w:tr w:rsidR="003B0AE8" w:rsidRPr="00A96836" w14:paraId="0C44EE56" w14:textId="77777777" w:rsidTr="00294BD7">
        <w:trPr>
          <w:trHeight w:val="330"/>
        </w:trPr>
        <w:tc>
          <w:tcPr>
            <w:tcW w:w="4640" w:type="dxa"/>
            <w:tcBorders>
              <w:top w:val="nil"/>
              <w:left w:val="nil"/>
              <w:bottom w:val="nil"/>
              <w:right w:val="nil"/>
            </w:tcBorders>
            <w:shd w:val="clear" w:color="auto" w:fill="auto"/>
            <w:vAlign w:val="center"/>
          </w:tcPr>
          <w:p w14:paraId="7A21008B" w14:textId="4E1EE78A"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Moderate VI</w:t>
            </w:r>
          </w:p>
        </w:tc>
        <w:tc>
          <w:tcPr>
            <w:tcW w:w="1390" w:type="dxa"/>
            <w:tcBorders>
              <w:top w:val="nil"/>
              <w:left w:val="nil"/>
              <w:bottom w:val="nil"/>
              <w:right w:val="nil"/>
            </w:tcBorders>
            <w:shd w:val="clear" w:color="auto" w:fill="auto"/>
            <w:vAlign w:val="center"/>
          </w:tcPr>
          <w:p w14:paraId="5F1ED752" w14:textId="603FEBD5"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3</w:t>
            </w:r>
          </w:p>
        </w:tc>
        <w:tc>
          <w:tcPr>
            <w:tcW w:w="1403" w:type="dxa"/>
            <w:tcBorders>
              <w:top w:val="nil"/>
              <w:left w:val="nil"/>
              <w:bottom w:val="nil"/>
              <w:right w:val="nil"/>
            </w:tcBorders>
            <w:shd w:val="clear" w:color="auto" w:fill="auto"/>
            <w:vAlign w:val="center"/>
          </w:tcPr>
          <w:p w14:paraId="3D374453" w14:textId="79CCBB6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4.1</w:t>
            </w:r>
          </w:p>
        </w:tc>
      </w:tr>
      <w:tr w:rsidR="003B0AE8" w:rsidRPr="00A96836" w14:paraId="0C4908F3" w14:textId="77777777" w:rsidTr="00294BD7">
        <w:trPr>
          <w:trHeight w:val="330"/>
        </w:trPr>
        <w:tc>
          <w:tcPr>
            <w:tcW w:w="4640" w:type="dxa"/>
            <w:tcBorders>
              <w:top w:val="nil"/>
              <w:left w:val="nil"/>
              <w:bottom w:val="nil"/>
              <w:right w:val="nil"/>
            </w:tcBorders>
            <w:shd w:val="clear" w:color="auto" w:fill="auto"/>
            <w:vAlign w:val="center"/>
          </w:tcPr>
          <w:p w14:paraId="4B7805F9" w14:textId="4407500F"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Severe VI</w:t>
            </w:r>
          </w:p>
        </w:tc>
        <w:tc>
          <w:tcPr>
            <w:tcW w:w="1390" w:type="dxa"/>
            <w:tcBorders>
              <w:top w:val="nil"/>
              <w:left w:val="nil"/>
              <w:bottom w:val="nil"/>
              <w:right w:val="nil"/>
            </w:tcBorders>
            <w:shd w:val="clear" w:color="auto" w:fill="auto"/>
            <w:vAlign w:val="center"/>
          </w:tcPr>
          <w:p w14:paraId="568A0C27" w14:textId="256446C8"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3</w:t>
            </w:r>
          </w:p>
        </w:tc>
        <w:tc>
          <w:tcPr>
            <w:tcW w:w="1403" w:type="dxa"/>
            <w:tcBorders>
              <w:top w:val="nil"/>
              <w:left w:val="nil"/>
              <w:bottom w:val="nil"/>
              <w:right w:val="nil"/>
            </w:tcBorders>
            <w:shd w:val="clear" w:color="auto" w:fill="auto"/>
            <w:vAlign w:val="center"/>
          </w:tcPr>
          <w:p w14:paraId="09012730" w14:textId="5AD7D71C"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4.1</w:t>
            </w:r>
          </w:p>
        </w:tc>
      </w:tr>
      <w:tr w:rsidR="003B0AE8" w:rsidRPr="00A96836" w14:paraId="0733356D" w14:textId="77777777" w:rsidTr="00294BD7">
        <w:trPr>
          <w:trHeight w:val="330"/>
        </w:trPr>
        <w:tc>
          <w:tcPr>
            <w:tcW w:w="4640" w:type="dxa"/>
            <w:tcBorders>
              <w:top w:val="nil"/>
              <w:left w:val="nil"/>
              <w:bottom w:val="nil"/>
              <w:right w:val="nil"/>
            </w:tcBorders>
            <w:shd w:val="clear" w:color="auto" w:fill="auto"/>
            <w:vAlign w:val="center"/>
          </w:tcPr>
          <w:p w14:paraId="68E901B4" w14:textId="1E920494" w:rsidR="003B0AE8" w:rsidRPr="00A96836" w:rsidRDefault="003B0AE8" w:rsidP="00A96836">
            <w:pPr>
              <w:spacing w:line="360" w:lineRule="auto"/>
              <w:ind w:firstLine="480"/>
              <w:jc w:val="both"/>
              <w:rPr>
                <w:rFonts w:ascii="Times New Roman" w:eastAsia="Gungsuh" w:hAnsi="Times New Roman" w:cs="Times New Roman"/>
              </w:rPr>
            </w:pPr>
            <w:r w:rsidRPr="00A96836">
              <w:rPr>
                <w:rFonts w:ascii="Times New Roman" w:eastAsia="Gungsuh" w:hAnsi="Times New Roman" w:cs="Times New Roman"/>
              </w:rPr>
              <w:t>Blind</w:t>
            </w:r>
          </w:p>
        </w:tc>
        <w:tc>
          <w:tcPr>
            <w:tcW w:w="1390" w:type="dxa"/>
            <w:tcBorders>
              <w:top w:val="nil"/>
              <w:left w:val="nil"/>
              <w:bottom w:val="nil"/>
              <w:right w:val="nil"/>
            </w:tcBorders>
            <w:shd w:val="clear" w:color="auto" w:fill="auto"/>
            <w:vAlign w:val="center"/>
          </w:tcPr>
          <w:p w14:paraId="4DF355C5" w14:textId="7120C6DE" w:rsidR="003B0AE8" w:rsidRPr="00A96836" w:rsidRDefault="003B0AE8" w:rsidP="00A96836">
            <w:pPr>
              <w:spacing w:line="360" w:lineRule="auto"/>
              <w:jc w:val="both"/>
              <w:rPr>
                <w:rFonts w:ascii="Times New Roman" w:eastAsia="Times New Roman" w:hAnsi="Times New Roman" w:cs="Times New Roman"/>
                <w:bCs/>
              </w:rPr>
            </w:pPr>
            <w:r w:rsidRPr="00A96836">
              <w:rPr>
                <w:rFonts w:ascii="Times New Roman" w:eastAsia="Times New Roman" w:hAnsi="Times New Roman" w:cs="Times New Roman"/>
                <w:bCs/>
              </w:rPr>
              <w:t>63</w:t>
            </w:r>
          </w:p>
        </w:tc>
        <w:tc>
          <w:tcPr>
            <w:tcW w:w="1403" w:type="dxa"/>
            <w:tcBorders>
              <w:top w:val="nil"/>
              <w:left w:val="nil"/>
              <w:bottom w:val="nil"/>
              <w:right w:val="nil"/>
            </w:tcBorders>
            <w:shd w:val="clear" w:color="auto" w:fill="auto"/>
            <w:vAlign w:val="center"/>
          </w:tcPr>
          <w:p w14:paraId="0B2E3851" w14:textId="353A8908"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85.1</w:t>
            </w:r>
          </w:p>
        </w:tc>
      </w:tr>
      <w:tr w:rsidR="003B0AE8" w:rsidRPr="00A96836" w14:paraId="3D023B7D" w14:textId="77777777" w:rsidTr="00294BD7">
        <w:trPr>
          <w:trHeight w:val="315"/>
        </w:trPr>
        <w:tc>
          <w:tcPr>
            <w:tcW w:w="4640" w:type="dxa"/>
            <w:tcBorders>
              <w:top w:val="nil"/>
              <w:left w:val="nil"/>
              <w:bottom w:val="nil"/>
              <w:right w:val="nil"/>
            </w:tcBorders>
            <w:shd w:val="clear" w:color="auto" w:fill="auto"/>
            <w:vAlign w:val="center"/>
          </w:tcPr>
          <w:p w14:paraId="44B6D88C" w14:textId="4448E7B4" w:rsidR="003B0AE8" w:rsidRPr="00A96836" w:rsidRDefault="003B0AE8" w:rsidP="00A96836">
            <w:pPr>
              <w:spacing w:line="360" w:lineRule="auto"/>
              <w:jc w:val="both"/>
              <w:rPr>
                <w:rFonts w:ascii="Times New Roman" w:eastAsia="Times New Roman" w:hAnsi="Times New Roman" w:cs="Times New Roman"/>
                <w:i/>
              </w:rPr>
            </w:pPr>
            <w:r w:rsidRPr="00A96836">
              <w:rPr>
                <w:rFonts w:ascii="Times New Roman" w:eastAsia="Times New Roman" w:hAnsi="Times New Roman" w:cs="Times New Roman"/>
                <w:b/>
                <w:bCs/>
                <w:color w:val="000000"/>
              </w:rPr>
              <w:t xml:space="preserve"> Cup Disc Notching</w:t>
            </w:r>
          </w:p>
        </w:tc>
        <w:tc>
          <w:tcPr>
            <w:tcW w:w="1390" w:type="dxa"/>
            <w:tcBorders>
              <w:top w:val="nil"/>
              <w:left w:val="nil"/>
              <w:bottom w:val="nil"/>
              <w:right w:val="nil"/>
            </w:tcBorders>
            <w:shd w:val="clear" w:color="auto" w:fill="auto"/>
            <w:vAlign w:val="center"/>
          </w:tcPr>
          <w:p w14:paraId="359E5DC8" w14:textId="77777777" w:rsidR="003B0AE8" w:rsidRPr="00A96836" w:rsidRDefault="003B0AE8" w:rsidP="00A96836">
            <w:pPr>
              <w:spacing w:line="360" w:lineRule="auto"/>
              <w:jc w:val="both"/>
              <w:rPr>
                <w:rFonts w:ascii="Times New Roman" w:eastAsia="Times New Roman" w:hAnsi="Times New Roman" w:cs="Times New Roman"/>
                <w:i/>
              </w:rPr>
            </w:pPr>
          </w:p>
        </w:tc>
        <w:tc>
          <w:tcPr>
            <w:tcW w:w="1403" w:type="dxa"/>
            <w:tcBorders>
              <w:top w:val="nil"/>
              <w:left w:val="nil"/>
              <w:bottom w:val="nil"/>
              <w:right w:val="nil"/>
            </w:tcBorders>
            <w:shd w:val="clear" w:color="auto" w:fill="auto"/>
            <w:vAlign w:val="center"/>
          </w:tcPr>
          <w:p w14:paraId="1780A337"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221418F2" w14:textId="77777777" w:rsidTr="00294BD7">
        <w:trPr>
          <w:trHeight w:val="315"/>
        </w:trPr>
        <w:tc>
          <w:tcPr>
            <w:tcW w:w="4640" w:type="dxa"/>
            <w:tcBorders>
              <w:top w:val="nil"/>
              <w:left w:val="nil"/>
              <w:bottom w:val="nil"/>
              <w:right w:val="nil"/>
            </w:tcBorders>
            <w:shd w:val="clear" w:color="auto" w:fill="auto"/>
            <w:vAlign w:val="center"/>
          </w:tcPr>
          <w:p w14:paraId="19B10154" w14:textId="190115F3" w:rsidR="003B0AE8" w:rsidRPr="00A96836" w:rsidRDefault="003B0AE8" w:rsidP="00A96836">
            <w:pPr>
              <w:spacing w:line="360" w:lineRule="auto"/>
              <w:ind w:firstLine="480"/>
              <w:jc w:val="both"/>
              <w:rPr>
                <w:rFonts w:ascii="Times New Roman" w:eastAsia="Times New Roman" w:hAnsi="Times New Roman" w:cs="Times New Roman"/>
                <w:i/>
              </w:rPr>
            </w:pPr>
            <w:r w:rsidRPr="00A96836">
              <w:rPr>
                <w:rFonts w:ascii="Times New Roman" w:eastAsia="Times New Roman" w:hAnsi="Times New Roman" w:cs="Times New Roman"/>
                <w:color w:val="000000"/>
              </w:rPr>
              <w:t>Yes</w:t>
            </w:r>
          </w:p>
        </w:tc>
        <w:tc>
          <w:tcPr>
            <w:tcW w:w="1390" w:type="dxa"/>
            <w:tcBorders>
              <w:top w:val="nil"/>
              <w:left w:val="nil"/>
              <w:bottom w:val="nil"/>
              <w:right w:val="nil"/>
            </w:tcBorders>
            <w:shd w:val="clear" w:color="auto" w:fill="auto"/>
            <w:vAlign w:val="center"/>
          </w:tcPr>
          <w:p w14:paraId="368CC1F7" w14:textId="59B3D2D5" w:rsidR="003B0AE8" w:rsidRPr="00A96836" w:rsidRDefault="003B0AE8" w:rsidP="00A96836">
            <w:pPr>
              <w:spacing w:line="360" w:lineRule="auto"/>
              <w:jc w:val="both"/>
              <w:rPr>
                <w:rFonts w:ascii="Times New Roman" w:eastAsia="Times New Roman" w:hAnsi="Times New Roman" w:cs="Times New Roman"/>
                <w:i/>
              </w:rPr>
            </w:pPr>
            <w:r w:rsidRPr="00A96836">
              <w:rPr>
                <w:rFonts w:ascii="Times New Roman" w:eastAsia="Times New Roman" w:hAnsi="Times New Roman" w:cs="Times New Roman"/>
                <w:color w:val="000000"/>
              </w:rPr>
              <w:t>41</w:t>
            </w:r>
          </w:p>
        </w:tc>
        <w:tc>
          <w:tcPr>
            <w:tcW w:w="1403" w:type="dxa"/>
            <w:tcBorders>
              <w:top w:val="nil"/>
              <w:left w:val="nil"/>
              <w:bottom w:val="nil"/>
              <w:right w:val="nil"/>
            </w:tcBorders>
            <w:shd w:val="clear" w:color="auto" w:fill="auto"/>
            <w:vAlign w:val="center"/>
          </w:tcPr>
          <w:p w14:paraId="50FA0163" w14:textId="62AC2120"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color w:val="000000"/>
              </w:rPr>
              <w:t>55.4</w:t>
            </w:r>
          </w:p>
        </w:tc>
      </w:tr>
      <w:tr w:rsidR="003B0AE8" w:rsidRPr="00A96836" w14:paraId="0664CE88" w14:textId="77777777" w:rsidTr="00294BD7">
        <w:trPr>
          <w:trHeight w:val="315"/>
        </w:trPr>
        <w:tc>
          <w:tcPr>
            <w:tcW w:w="4640" w:type="dxa"/>
            <w:tcBorders>
              <w:top w:val="nil"/>
              <w:left w:val="nil"/>
              <w:bottom w:val="nil"/>
              <w:right w:val="nil"/>
            </w:tcBorders>
            <w:shd w:val="clear" w:color="auto" w:fill="auto"/>
            <w:vAlign w:val="center"/>
          </w:tcPr>
          <w:p w14:paraId="780DB78E" w14:textId="007FAA1C" w:rsidR="003B0AE8" w:rsidRPr="00A96836" w:rsidRDefault="003B0AE8" w:rsidP="00A96836">
            <w:pPr>
              <w:spacing w:line="360" w:lineRule="auto"/>
              <w:ind w:firstLine="480"/>
              <w:jc w:val="both"/>
              <w:rPr>
                <w:rFonts w:ascii="Times New Roman" w:eastAsia="Times New Roman" w:hAnsi="Times New Roman" w:cs="Times New Roman"/>
                <w:i/>
              </w:rPr>
            </w:pPr>
            <w:r w:rsidRPr="00A96836">
              <w:rPr>
                <w:rFonts w:ascii="Times New Roman" w:eastAsia="Times New Roman" w:hAnsi="Times New Roman" w:cs="Times New Roman"/>
                <w:color w:val="000000"/>
              </w:rPr>
              <w:t>No</w:t>
            </w:r>
          </w:p>
        </w:tc>
        <w:tc>
          <w:tcPr>
            <w:tcW w:w="1390" w:type="dxa"/>
            <w:tcBorders>
              <w:top w:val="nil"/>
              <w:left w:val="nil"/>
              <w:bottom w:val="nil"/>
              <w:right w:val="nil"/>
            </w:tcBorders>
            <w:shd w:val="clear" w:color="auto" w:fill="auto"/>
            <w:vAlign w:val="center"/>
          </w:tcPr>
          <w:p w14:paraId="4147B2E7" w14:textId="3CADB3B6" w:rsidR="003B0AE8" w:rsidRPr="00A96836" w:rsidRDefault="003B0AE8" w:rsidP="00A96836">
            <w:pPr>
              <w:spacing w:line="360" w:lineRule="auto"/>
              <w:jc w:val="both"/>
              <w:rPr>
                <w:rFonts w:ascii="Times New Roman" w:eastAsia="Times New Roman" w:hAnsi="Times New Roman" w:cs="Times New Roman"/>
                <w:i/>
              </w:rPr>
            </w:pPr>
            <w:r w:rsidRPr="00A96836">
              <w:rPr>
                <w:rFonts w:ascii="Times New Roman" w:eastAsia="Times New Roman" w:hAnsi="Times New Roman" w:cs="Times New Roman"/>
                <w:color w:val="000000"/>
              </w:rPr>
              <w:t>33</w:t>
            </w:r>
          </w:p>
        </w:tc>
        <w:tc>
          <w:tcPr>
            <w:tcW w:w="1403" w:type="dxa"/>
            <w:tcBorders>
              <w:top w:val="nil"/>
              <w:left w:val="nil"/>
              <w:bottom w:val="nil"/>
              <w:right w:val="nil"/>
            </w:tcBorders>
            <w:shd w:val="clear" w:color="auto" w:fill="auto"/>
            <w:vAlign w:val="center"/>
          </w:tcPr>
          <w:p w14:paraId="76A72C8B" w14:textId="6ED4282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color w:val="000000"/>
              </w:rPr>
              <w:t>44.6</w:t>
            </w:r>
          </w:p>
        </w:tc>
      </w:tr>
      <w:tr w:rsidR="003B0AE8" w:rsidRPr="00A96836" w14:paraId="7EB27AE2" w14:textId="77777777" w:rsidTr="00294BD7">
        <w:trPr>
          <w:trHeight w:val="315"/>
        </w:trPr>
        <w:tc>
          <w:tcPr>
            <w:tcW w:w="4640" w:type="dxa"/>
            <w:tcBorders>
              <w:top w:val="nil"/>
              <w:left w:val="nil"/>
              <w:bottom w:val="nil"/>
              <w:right w:val="nil"/>
            </w:tcBorders>
            <w:shd w:val="clear" w:color="auto" w:fill="auto"/>
            <w:vAlign w:val="center"/>
          </w:tcPr>
          <w:p w14:paraId="2C2E253D"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Type of glaucoma</w:t>
            </w:r>
          </w:p>
        </w:tc>
        <w:tc>
          <w:tcPr>
            <w:tcW w:w="1390" w:type="dxa"/>
            <w:tcBorders>
              <w:top w:val="nil"/>
              <w:left w:val="nil"/>
              <w:bottom w:val="nil"/>
              <w:right w:val="nil"/>
            </w:tcBorders>
            <w:shd w:val="clear" w:color="auto" w:fill="auto"/>
            <w:vAlign w:val="center"/>
          </w:tcPr>
          <w:p w14:paraId="01576616"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10F41411"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05BE46D4" w14:textId="77777777" w:rsidTr="00294BD7">
        <w:trPr>
          <w:trHeight w:val="315"/>
        </w:trPr>
        <w:tc>
          <w:tcPr>
            <w:tcW w:w="4640" w:type="dxa"/>
            <w:tcBorders>
              <w:top w:val="nil"/>
              <w:left w:val="nil"/>
              <w:bottom w:val="nil"/>
              <w:right w:val="nil"/>
            </w:tcBorders>
            <w:shd w:val="clear" w:color="auto" w:fill="auto"/>
            <w:vAlign w:val="center"/>
          </w:tcPr>
          <w:p w14:paraId="06B79EF3"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Primary open angle</w:t>
            </w:r>
          </w:p>
        </w:tc>
        <w:tc>
          <w:tcPr>
            <w:tcW w:w="1390" w:type="dxa"/>
            <w:tcBorders>
              <w:top w:val="nil"/>
              <w:left w:val="nil"/>
              <w:bottom w:val="nil"/>
              <w:right w:val="nil"/>
            </w:tcBorders>
            <w:shd w:val="clear" w:color="auto" w:fill="auto"/>
            <w:vAlign w:val="center"/>
          </w:tcPr>
          <w:p w14:paraId="4D599549"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40</w:t>
            </w:r>
          </w:p>
        </w:tc>
        <w:tc>
          <w:tcPr>
            <w:tcW w:w="1403" w:type="dxa"/>
            <w:tcBorders>
              <w:top w:val="nil"/>
              <w:left w:val="nil"/>
              <w:bottom w:val="nil"/>
              <w:right w:val="nil"/>
            </w:tcBorders>
            <w:shd w:val="clear" w:color="auto" w:fill="auto"/>
            <w:vAlign w:val="center"/>
          </w:tcPr>
          <w:p w14:paraId="00C0F687"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54.1</w:t>
            </w:r>
          </w:p>
        </w:tc>
      </w:tr>
      <w:tr w:rsidR="003B0AE8" w:rsidRPr="00A96836" w14:paraId="4D3237AA" w14:textId="77777777" w:rsidTr="00294BD7">
        <w:trPr>
          <w:trHeight w:val="315"/>
        </w:trPr>
        <w:tc>
          <w:tcPr>
            <w:tcW w:w="4640" w:type="dxa"/>
            <w:tcBorders>
              <w:top w:val="nil"/>
              <w:left w:val="nil"/>
              <w:bottom w:val="nil"/>
              <w:right w:val="nil"/>
            </w:tcBorders>
            <w:shd w:val="clear" w:color="auto" w:fill="auto"/>
            <w:vAlign w:val="center"/>
          </w:tcPr>
          <w:p w14:paraId="6FAFE5D1" w14:textId="72C80FE9"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Secondary glaucoma</w:t>
            </w:r>
          </w:p>
        </w:tc>
        <w:tc>
          <w:tcPr>
            <w:tcW w:w="1390" w:type="dxa"/>
            <w:tcBorders>
              <w:top w:val="nil"/>
              <w:left w:val="nil"/>
              <w:bottom w:val="nil"/>
              <w:right w:val="nil"/>
            </w:tcBorders>
            <w:shd w:val="clear" w:color="auto" w:fill="auto"/>
            <w:vAlign w:val="center"/>
          </w:tcPr>
          <w:p w14:paraId="4A106E1B" w14:textId="07F1AD7B"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34</w:t>
            </w:r>
          </w:p>
        </w:tc>
        <w:tc>
          <w:tcPr>
            <w:tcW w:w="1403" w:type="dxa"/>
            <w:tcBorders>
              <w:top w:val="nil"/>
              <w:left w:val="nil"/>
              <w:bottom w:val="nil"/>
              <w:right w:val="nil"/>
            </w:tcBorders>
            <w:shd w:val="clear" w:color="auto" w:fill="auto"/>
            <w:vAlign w:val="center"/>
          </w:tcPr>
          <w:p w14:paraId="735CE10A" w14:textId="656CBFB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45.9</w:t>
            </w:r>
          </w:p>
        </w:tc>
      </w:tr>
      <w:tr w:rsidR="003B0AE8" w:rsidRPr="00A96836" w14:paraId="2FD0A75B" w14:textId="77777777" w:rsidTr="00294BD7">
        <w:trPr>
          <w:trHeight w:val="315"/>
        </w:trPr>
        <w:tc>
          <w:tcPr>
            <w:tcW w:w="4640" w:type="dxa"/>
            <w:tcBorders>
              <w:top w:val="nil"/>
              <w:left w:val="nil"/>
              <w:bottom w:val="nil"/>
              <w:right w:val="nil"/>
            </w:tcBorders>
            <w:shd w:val="clear" w:color="auto" w:fill="auto"/>
            <w:vAlign w:val="center"/>
          </w:tcPr>
          <w:p w14:paraId="1A8E587D"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lastRenderedPageBreak/>
              <w:t>Optic Disc Hemorrhage</w:t>
            </w:r>
          </w:p>
        </w:tc>
        <w:tc>
          <w:tcPr>
            <w:tcW w:w="1390" w:type="dxa"/>
            <w:tcBorders>
              <w:top w:val="nil"/>
              <w:left w:val="nil"/>
              <w:bottom w:val="nil"/>
              <w:right w:val="nil"/>
            </w:tcBorders>
            <w:shd w:val="clear" w:color="auto" w:fill="auto"/>
            <w:vAlign w:val="center"/>
          </w:tcPr>
          <w:p w14:paraId="61E5842E"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3D0CD192"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7378C08B" w14:textId="77777777" w:rsidTr="00294BD7">
        <w:trPr>
          <w:trHeight w:val="315"/>
        </w:trPr>
        <w:tc>
          <w:tcPr>
            <w:tcW w:w="4640" w:type="dxa"/>
            <w:tcBorders>
              <w:top w:val="nil"/>
              <w:left w:val="nil"/>
              <w:bottom w:val="nil"/>
              <w:right w:val="nil"/>
            </w:tcBorders>
            <w:shd w:val="clear" w:color="auto" w:fill="auto"/>
            <w:vAlign w:val="center"/>
          </w:tcPr>
          <w:p w14:paraId="72B11550"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Yes</w:t>
            </w:r>
          </w:p>
        </w:tc>
        <w:tc>
          <w:tcPr>
            <w:tcW w:w="1390" w:type="dxa"/>
            <w:tcBorders>
              <w:top w:val="nil"/>
              <w:left w:val="nil"/>
              <w:bottom w:val="nil"/>
              <w:right w:val="nil"/>
            </w:tcBorders>
            <w:shd w:val="clear" w:color="auto" w:fill="auto"/>
            <w:vAlign w:val="center"/>
          </w:tcPr>
          <w:p w14:paraId="0E8B944D"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8</w:t>
            </w:r>
          </w:p>
        </w:tc>
        <w:tc>
          <w:tcPr>
            <w:tcW w:w="1403" w:type="dxa"/>
            <w:tcBorders>
              <w:top w:val="nil"/>
              <w:left w:val="nil"/>
              <w:bottom w:val="nil"/>
              <w:right w:val="nil"/>
            </w:tcBorders>
            <w:shd w:val="clear" w:color="auto" w:fill="auto"/>
            <w:vAlign w:val="center"/>
          </w:tcPr>
          <w:p w14:paraId="1BC519BA"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10.8</w:t>
            </w:r>
          </w:p>
        </w:tc>
      </w:tr>
      <w:tr w:rsidR="003B0AE8" w:rsidRPr="00A96836" w14:paraId="7EAEB7EA" w14:textId="77777777" w:rsidTr="00294BD7">
        <w:trPr>
          <w:trHeight w:val="315"/>
        </w:trPr>
        <w:tc>
          <w:tcPr>
            <w:tcW w:w="4640" w:type="dxa"/>
            <w:tcBorders>
              <w:top w:val="nil"/>
              <w:left w:val="nil"/>
              <w:bottom w:val="nil"/>
              <w:right w:val="nil"/>
            </w:tcBorders>
            <w:shd w:val="clear" w:color="auto" w:fill="auto"/>
            <w:vAlign w:val="center"/>
          </w:tcPr>
          <w:p w14:paraId="7A7F9BBD"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No</w:t>
            </w:r>
          </w:p>
        </w:tc>
        <w:tc>
          <w:tcPr>
            <w:tcW w:w="1390" w:type="dxa"/>
            <w:tcBorders>
              <w:top w:val="nil"/>
              <w:left w:val="nil"/>
              <w:bottom w:val="nil"/>
              <w:right w:val="nil"/>
            </w:tcBorders>
            <w:shd w:val="clear" w:color="auto" w:fill="auto"/>
            <w:vAlign w:val="center"/>
          </w:tcPr>
          <w:p w14:paraId="0C869C9F"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66</w:t>
            </w:r>
          </w:p>
        </w:tc>
        <w:tc>
          <w:tcPr>
            <w:tcW w:w="1403" w:type="dxa"/>
            <w:tcBorders>
              <w:top w:val="nil"/>
              <w:left w:val="nil"/>
              <w:bottom w:val="nil"/>
              <w:right w:val="nil"/>
            </w:tcBorders>
            <w:shd w:val="clear" w:color="auto" w:fill="auto"/>
            <w:vAlign w:val="center"/>
          </w:tcPr>
          <w:p w14:paraId="23333616"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89.2</w:t>
            </w:r>
          </w:p>
        </w:tc>
      </w:tr>
      <w:tr w:rsidR="003B0AE8" w:rsidRPr="00A96836" w14:paraId="0B4D88D1" w14:textId="77777777" w:rsidTr="00294BD7">
        <w:trPr>
          <w:trHeight w:val="315"/>
        </w:trPr>
        <w:tc>
          <w:tcPr>
            <w:tcW w:w="4640" w:type="dxa"/>
            <w:tcBorders>
              <w:top w:val="nil"/>
              <w:left w:val="nil"/>
              <w:bottom w:val="nil"/>
              <w:right w:val="nil"/>
            </w:tcBorders>
            <w:shd w:val="clear" w:color="auto" w:fill="auto"/>
            <w:vAlign w:val="center"/>
          </w:tcPr>
          <w:p w14:paraId="0FD2889E"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Associated comorbidities disease</w:t>
            </w:r>
          </w:p>
        </w:tc>
        <w:tc>
          <w:tcPr>
            <w:tcW w:w="1390" w:type="dxa"/>
            <w:tcBorders>
              <w:top w:val="nil"/>
              <w:left w:val="nil"/>
              <w:bottom w:val="nil"/>
              <w:right w:val="nil"/>
            </w:tcBorders>
            <w:shd w:val="clear" w:color="auto" w:fill="auto"/>
            <w:vAlign w:val="center"/>
          </w:tcPr>
          <w:p w14:paraId="1ACFCB93" w14:textId="77777777" w:rsidR="003B0AE8" w:rsidRPr="00A96836" w:rsidRDefault="003B0AE8" w:rsidP="00A96836">
            <w:pPr>
              <w:spacing w:line="360" w:lineRule="auto"/>
              <w:jc w:val="both"/>
              <w:rPr>
                <w:rFonts w:ascii="Times New Roman" w:eastAsia="Times New Roman" w:hAnsi="Times New Roman" w:cs="Times New Roman"/>
                <w:b/>
              </w:rPr>
            </w:pPr>
          </w:p>
        </w:tc>
        <w:tc>
          <w:tcPr>
            <w:tcW w:w="1403" w:type="dxa"/>
            <w:tcBorders>
              <w:top w:val="nil"/>
              <w:left w:val="nil"/>
              <w:bottom w:val="nil"/>
              <w:right w:val="nil"/>
            </w:tcBorders>
            <w:shd w:val="clear" w:color="auto" w:fill="auto"/>
            <w:vAlign w:val="center"/>
          </w:tcPr>
          <w:p w14:paraId="30C18664" w14:textId="77777777" w:rsidR="003B0AE8" w:rsidRPr="00A96836" w:rsidRDefault="003B0AE8" w:rsidP="00A96836">
            <w:pPr>
              <w:spacing w:line="360" w:lineRule="auto"/>
              <w:jc w:val="both"/>
              <w:rPr>
                <w:rFonts w:ascii="Times New Roman" w:eastAsia="Times New Roman" w:hAnsi="Times New Roman" w:cs="Times New Roman"/>
              </w:rPr>
            </w:pPr>
          </w:p>
        </w:tc>
      </w:tr>
      <w:tr w:rsidR="003B0AE8" w:rsidRPr="00A96836" w14:paraId="489EABAE" w14:textId="77777777" w:rsidTr="00294BD7">
        <w:trPr>
          <w:trHeight w:val="315"/>
        </w:trPr>
        <w:tc>
          <w:tcPr>
            <w:tcW w:w="4640" w:type="dxa"/>
            <w:tcBorders>
              <w:top w:val="nil"/>
              <w:left w:val="nil"/>
              <w:bottom w:val="nil"/>
              <w:right w:val="nil"/>
            </w:tcBorders>
            <w:shd w:val="clear" w:color="auto" w:fill="auto"/>
            <w:vAlign w:val="center"/>
          </w:tcPr>
          <w:p w14:paraId="38866F47"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 xml:space="preserve">Systemic Disease </w:t>
            </w:r>
          </w:p>
        </w:tc>
        <w:tc>
          <w:tcPr>
            <w:tcW w:w="1390" w:type="dxa"/>
            <w:tcBorders>
              <w:top w:val="nil"/>
              <w:left w:val="nil"/>
              <w:bottom w:val="nil"/>
              <w:right w:val="nil"/>
            </w:tcBorders>
            <w:shd w:val="clear" w:color="auto" w:fill="auto"/>
            <w:vAlign w:val="center"/>
          </w:tcPr>
          <w:p w14:paraId="1867B6DC"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45</w:t>
            </w:r>
          </w:p>
        </w:tc>
        <w:tc>
          <w:tcPr>
            <w:tcW w:w="1403" w:type="dxa"/>
            <w:tcBorders>
              <w:top w:val="nil"/>
              <w:left w:val="nil"/>
              <w:bottom w:val="nil"/>
              <w:right w:val="nil"/>
            </w:tcBorders>
            <w:shd w:val="clear" w:color="auto" w:fill="auto"/>
            <w:vAlign w:val="center"/>
          </w:tcPr>
          <w:p w14:paraId="5DDED503"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60.8</w:t>
            </w:r>
          </w:p>
        </w:tc>
      </w:tr>
      <w:tr w:rsidR="003B0AE8" w:rsidRPr="00A96836" w14:paraId="7FC1D314" w14:textId="77777777" w:rsidTr="00294BD7">
        <w:trPr>
          <w:trHeight w:val="315"/>
        </w:trPr>
        <w:tc>
          <w:tcPr>
            <w:tcW w:w="4640" w:type="dxa"/>
            <w:tcBorders>
              <w:top w:val="nil"/>
              <w:left w:val="nil"/>
              <w:bottom w:val="single" w:sz="18" w:space="0" w:color="auto"/>
              <w:right w:val="nil"/>
            </w:tcBorders>
            <w:shd w:val="clear" w:color="auto" w:fill="auto"/>
            <w:vAlign w:val="center"/>
          </w:tcPr>
          <w:p w14:paraId="0A2D1904" w14:textId="77777777" w:rsidR="003B0AE8" w:rsidRPr="00A96836" w:rsidRDefault="003B0AE8" w:rsidP="00A96836">
            <w:pPr>
              <w:spacing w:line="360" w:lineRule="auto"/>
              <w:ind w:firstLine="480"/>
              <w:jc w:val="both"/>
              <w:rPr>
                <w:rFonts w:ascii="Times New Roman" w:eastAsia="Times New Roman" w:hAnsi="Times New Roman" w:cs="Times New Roman"/>
              </w:rPr>
            </w:pPr>
            <w:r w:rsidRPr="00A96836">
              <w:rPr>
                <w:rFonts w:ascii="Times New Roman" w:eastAsia="Times New Roman" w:hAnsi="Times New Roman" w:cs="Times New Roman"/>
              </w:rPr>
              <w:t>Ocular Disease</w:t>
            </w:r>
          </w:p>
        </w:tc>
        <w:tc>
          <w:tcPr>
            <w:tcW w:w="1390" w:type="dxa"/>
            <w:tcBorders>
              <w:top w:val="nil"/>
              <w:left w:val="nil"/>
              <w:bottom w:val="single" w:sz="18" w:space="0" w:color="auto"/>
              <w:right w:val="nil"/>
            </w:tcBorders>
            <w:shd w:val="clear" w:color="auto" w:fill="auto"/>
            <w:vAlign w:val="center"/>
          </w:tcPr>
          <w:p w14:paraId="7F256A05"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29</w:t>
            </w:r>
          </w:p>
        </w:tc>
        <w:tc>
          <w:tcPr>
            <w:tcW w:w="1403" w:type="dxa"/>
            <w:tcBorders>
              <w:top w:val="nil"/>
              <w:left w:val="nil"/>
              <w:bottom w:val="single" w:sz="18" w:space="0" w:color="auto"/>
              <w:right w:val="nil"/>
            </w:tcBorders>
            <w:shd w:val="clear" w:color="auto" w:fill="auto"/>
            <w:vAlign w:val="center"/>
          </w:tcPr>
          <w:p w14:paraId="59612B2A" w14:textId="77777777" w:rsidR="003B0AE8" w:rsidRPr="00A96836" w:rsidRDefault="003B0AE8"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rPr>
              <w:t>39.2</w:t>
            </w:r>
          </w:p>
        </w:tc>
      </w:tr>
    </w:tbl>
    <w:p w14:paraId="58B6E293" w14:textId="77777777" w:rsidR="00564899" w:rsidRPr="00A96836" w:rsidRDefault="00564899" w:rsidP="00A96836">
      <w:pPr>
        <w:pStyle w:val="Heading3"/>
        <w:jc w:val="both"/>
      </w:pPr>
      <w:bookmarkStart w:id="8" w:name="_Toc199960641"/>
    </w:p>
    <w:p w14:paraId="5E70A889" w14:textId="39438A55" w:rsidR="007F06EC" w:rsidRDefault="00791AA3" w:rsidP="00A96836">
      <w:pPr>
        <w:spacing w:line="360" w:lineRule="auto"/>
        <w:rPr>
          <w:rFonts w:ascii="Times New Roman" w:hAnsi="Times New Roman" w:cs="Times New Roman"/>
          <w:b/>
          <w:bCs/>
        </w:rPr>
      </w:pPr>
      <w:r>
        <w:rPr>
          <w:rFonts w:ascii="Times New Roman" w:hAnsi="Times New Roman" w:cs="Times New Roman"/>
          <w:b/>
          <w:bCs/>
        </w:rPr>
        <w:t xml:space="preserve">VI=Visual </w:t>
      </w:r>
      <w:r w:rsidR="00133BCE">
        <w:rPr>
          <w:rFonts w:ascii="Times New Roman" w:hAnsi="Times New Roman" w:cs="Times New Roman"/>
          <w:b/>
          <w:bCs/>
        </w:rPr>
        <w:t>Impairment</w:t>
      </w:r>
      <w:r w:rsidR="00267F14">
        <w:rPr>
          <w:rFonts w:ascii="Times New Roman" w:hAnsi="Times New Roman" w:cs="Times New Roman"/>
          <w:b/>
          <w:bCs/>
        </w:rPr>
        <w:t>.</w:t>
      </w:r>
    </w:p>
    <w:p w14:paraId="618D85A3" w14:textId="77777777" w:rsidR="005F4F70" w:rsidRDefault="005F4F70" w:rsidP="00A96836">
      <w:pPr>
        <w:spacing w:line="360" w:lineRule="auto"/>
        <w:rPr>
          <w:rFonts w:ascii="Times New Roman" w:hAnsi="Times New Roman" w:cs="Times New Roman"/>
          <w:b/>
          <w:bCs/>
        </w:rPr>
      </w:pPr>
    </w:p>
    <w:p w14:paraId="535A4A3E" w14:textId="77777777" w:rsidR="005F4F70" w:rsidRDefault="005F4F70" w:rsidP="00A96836">
      <w:pPr>
        <w:spacing w:line="360" w:lineRule="auto"/>
        <w:rPr>
          <w:rFonts w:ascii="Times New Roman" w:hAnsi="Times New Roman" w:cs="Times New Roman"/>
          <w:b/>
          <w:bCs/>
        </w:rPr>
      </w:pPr>
    </w:p>
    <w:p w14:paraId="2CA3AD94" w14:textId="0D4CB8CD" w:rsidR="0064616D" w:rsidRPr="00A96836" w:rsidRDefault="00767540" w:rsidP="00A96836">
      <w:pPr>
        <w:spacing w:line="360" w:lineRule="auto"/>
        <w:rPr>
          <w:rFonts w:ascii="Times New Roman" w:hAnsi="Times New Roman" w:cs="Times New Roman"/>
          <w:b/>
          <w:bCs/>
        </w:rPr>
      </w:pPr>
      <w:r w:rsidRPr="00A96836">
        <w:rPr>
          <w:rFonts w:ascii="Times New Roman" w:hAnsi="Times New Roman" w:cs="Times New Roman"/>
          <w:b/>
          <w:bCs/>
        </w:rPr>
        <w:t>Incidence rate of CPC success and c</w:t>
      </w:r>
      <w:r w:rsidR="000C2B1D" w:rsidRPr="00A96836">
        <w:rPr>
          <w:rFonts w:ascii="Times New Roman" w:hAnsi="Times New Roman" w:cs="Times New Roman"/>
          <w:b/>
          <w:bCs/>
        </w:rPr>
        <w:t xml:space="preserve">hange </w:t>
      </w:r>
      <w:r w:rsidRPr="00A96836">
        <w:rPr>
          <w:rFonts w:ascii="Times New Roman" w:hAnsi="Times New Roman" w:cs="Times New Roman"/>
          <w:b/>
          <w:bCs/>
        </w:rPr>
        <w:t>of</w:t>
      </w:r>
      <w:r w:rsidR="000C2B1D" w:rsidRPr="00A96836">
        <w:rPr>
          <w:rFonts w:ascii="Times New Roman" w:hAnsi="Times New Roman" w:cs="Times New Roman"/>
          <w:b/>
          <w:bCs/>
        </w:rPr>
        <w:t xml:space="preserve"> </w:t>
      </w:r>
      <w:r w:rsidR="00450D40" w:rsidRPr="00A96836">
        <w:rPr>
          <w:rFonts w:ascii="Times New Roman" w:hAnsi="Times New Roman" w:cs="Times New Roman"/>
          <w:b/>
          <w:bCs/>
        </w:rPr>
        <w:t>IOP following</w:t>
      </w:r>
      <w:r w:rsidR="000C2B1D" w:rsidRPr="00A96836">
        <w:rPr>
          <w:rFonts w:ascii="Times New Roman" w:hAnsi="Times New Roman" w:cs="Times New Roman"/>
          <w:b/>
          <w:bCs/>
        </w:rPr>
        <w:t xml:space="preserve"> limited</w:t>
      </w:r>
      <w:r w:rsidRPr="00A96836">
        <w:rPr>
          <w:rFonts w:ascii="Times New Roman" w:hAnsi="Times New Roman" w:cs="Times New Roman"/>
          <w:b/>
          <w:bCs/>
        </w:rPr>
        <w:t xml:space="preserve"> </w:t>
      </w:r>
      <w:r w:rsidR="00450D40" w:rsidRPr="00A96836">
        <w:rPr>
          <w:rFonts w:ascii="Times New Roman" w:hAnsi="Times New Roman" w:cs="Times New Roman"/>
          <w:b/>
          <w:bCs/>
        </w:rPr>
        <w:t>CPC in</w:t>
      </w:r>
      <w:r w:rsidR="000C2B1D" w:rsidRPr="00A96836">
        <w:rPr>
          <w:rFonts w:ascii="Times New Roman" w:hAnsi="Times New Roman" w:cs="Times New Roman"/>
          <w:b/>
          <w:bCs/>
        </w:rPr>
        <w:t xml:space="preserve"> refractory glaucoma patients treated at KCMC hospital Ophthalmology Department (N=74)</w:t>
      </w:r>
      <w:bookmarkEnd w:id="8"/>
    </w:p>
    <w:p w14:paraId="75B58E31" w14:textId="61331A15" w:rsidR="00767540" w:rsidRPr="00A96836" w:rsidRDefault="00767540" w:rsidP="00A96836">
      <w:pPr>
        <w:spacing w:after="240" w:line="360" w:lineRule="auto"/>
        <w:jc w:val="both"/>
        <w:rPr>
          <w:rFonts w:ascii="Times New Roman" w:eastAsia="Times New Roman" w:hAnsi="Times New Roman" w:cs="Times New Roman"/>
          <w:b/>
          <w:bCs/>
        </w:rPr>
      </w:pPr>
      <w:r w:rsidRPr="00A96836">
        <w:rPr>
          <w:rFonts w:ascii="Times New Roman" w:eastAsia="Times New Roman" w:hAnsi="Times New Roman" w:cs="Times New Roman"/>
        </w:rPr>
        <w:t xml:space="preserve">The overall incidence rate of CPC success was </w:t>
      </w:r>
      <w:r w:rsidR="00BB4824">
        <w:rPr>
          <w:rFonts w:ascii="Times New Roman" w:eastAsia="Times New Roman" w:hAnsi="Times New Roman" w:cs="Times New Roman"/>
        </w:rPr>
        <w:t xml:space="preserve">15.54 </w:t>
      </w:r>
      <w:r w:rsidR="00BB4824" w:rsidRPr="00BB4824">
        <w:rPr>
          <w:rFonts w:ascii="Times New Roman" w:eastAsia="Times New Roman" w:hAnsi="Times New Roman" w:cs="Times New Roman"/>
        </w:rPr>
        <w:t>per 100 person-months</w:t>
      </w:r>
      <w:r w:rsidR="00BB4824">
        <w:rPr>
          <w:rFonts w:ascii="Times New Roman" w:eastAsia="Times New Roman" w:hAnsi="Times New Roman" w:cs="Times New Roman"/>
        </w:rPr>
        <w:t xml:space="preserve"> (95%CI: 11.21-21.54) </w:t>
      </w:r>
      <w:r w:rsidRPr="00A96836">
        <w:rPr>
          <w:rFonts w:ascii="Times New Roman" w:eastAsia="Times New Roman" w:hAnsi="Times New Roman" w:cs="Times New Roman"/>
        </w:rPr>
        <w:t xml:space="preserve">with </w:t>
      </w:r>
      <w:r w:rsidR="00BB4824">
        <w:rPr>
          <w:rFonts w:ascii="Times New Roman" w:eastAsia="Times New Roman" w:hAnsi="Times New Roman" w:cs="Times New Roman"/>
        </w:rPr>
        <w:t>36 events occurring during the follow</w:t>
      </w:r>
      <w:r w:rsidR="000C67BC">
        <w:rPr>
          <w:rFonts w:ascii="Times New Roman" w:eastAsia="Times New Roman" w:hAnsi="Times New Roman" w:cs="Times New Roman"/>
        </w:rPr>
        <w:t xml:space="preserve"> </w:t>
      </w:r>
      <w:r w:rsidR="00BB4824">
        <w:rPr>
          <w:rFonts w:ascii="Times New Roman" w:eastAsia="Times New Roman" w:hAnsi="Times New Roman" w:cs="Times New Roman"/>
        </w:rPr>
        <w:t xml:space="preserve">up. The </w:t>
      </w:r>
      <w:r w:rsidRPr="00A96836">
        <w:rPr>
          <w:rFonts w:ascii="Times New Roman" w:eastAsia="Times New Roman" w:hAnsi="Times New Roman" w:cs="Times New Roman"/>
        </w:rPr>
        <w:t>median follow</w:t>
      </w:r>
      <w:r w:rsidR="000C67BC">
        <w:rPr>
          <w:rFonts w:ascii="Times New Roman" w:eastAsia="Times New Roman" w:hAnsi="Times New Roman" w:cs="Times New Roman"/>
        </w:rPr>
        <w:t xml:space="preserve">- </w:t>
      </w:r>
      <w:r w:rsidRPr="00A96836">
        <w:rPr>
          <w:rFonts w:ascii="Times New Roman" w:eastAsia="Times New Roman" w:hAnsi="Times New Roman" w:cs="Times New Roman"/>
        </w:rPr>
        <w:t xml:space="preserve">up time </w:t>
      </w:r>
      <w:r w:rsidR="00372F16">
        <w:rPr>
          <w:rFonts w:ascii="Times New Roman" w:eastAsia="Times New Roman" w:hAnsi="Times New Roman" w:cs="Times New Roman"/>
        </w:rPr>
        <w:t>was</w:t>
      </w:r>
      <w:r w:rsidRPr="00A96836">
        <w:rPr>
          <w:rFonts w:ascii="Times New Roman" w:eastAsia="Times New Roman" w:hAnsi="Times New Roman" w:cs="Times New Roman"/>
        </w:rPr>
        <w:t xml:space="preserve"> 3.29 months (IQR=3.09-3.52). </w:t>
      </w:r>
    </w:p>
    <w:p w14:paraId="1CD9BF58" w14:textId="77777777" w:rsidR="00776C5C" w:rsidRDefault="00372F16" w:rsidP="00A96836">
      <w:pPr>
        <w:spacing w:after="240" w:line="360" w:lineRule="auto"/>
        <w:rPr>
          <w:rFonts w:ascii="Times New Roman" w:eastAsia="Times New Roman" w:hAnsi="Times New Roman" w:cs="Times New Roman"/>
          <w:b/>
          <w:bCs/>
        </w:rPr>
      </w:pPr>
      <w:r>
        <w:rPr>
          <w:rFonts w:ascii="Times New Roman" w:eastAsia="Times New Roman" w:hAnsi="Times New Roman" w:cs="Times New Roman"/>
          <w:b/>
          <w:bCs/>
        </w:rPr>
        <w:t>Figure 2</w:t>
      </w:r>
      <w:r w:rsidR="00952951">
        <w:rPr>
          <w:rFonts w:ascii="Times New Roman" w:eastAsia="Times New Roman" w:hAnsi="Times New Roman" w:cs="Times New Roman"/>
          <w:b/>
          <w:bCs/>
        </w:rPr>
        <w:t xml:space="preserve"> </w:t>
      </w:r>
      <w:r w:rsidR="00952951" w:rsidRPr="00776C5C">
        <w:rPr>
          <w:rFonts w:ascii="Times New Roman" w:eastAsia="Times New Roman" w:hAnsi="Times New Roman" w:cs="Times New Roman"/>
        </w:rPr>
        <w:t xml:space="preserve">is a Nelson-Aalen curve estimator showing how individuals achieve success over time. The cumulative hazard of achieving CPC success </w:t>
      </w:r>
      <w:r w:rsidR="00776C5C" w:rsidRPr="00776C5C">
        <w:rPr>
          <w:rFonts w:ascii="Times New Roman" w:eastAsia="Times New Roman" w:hAnsi="Times New Roman" w:cs="Times New Roman"/>
        </w:rPr>
        <w:t xml:space="preserve">increases steadily approximately around 2.9 months and accelerates sharply after 3 months. </w:t>
      </w:r>
    </w:p>
    <w:p w14:paraId="495C3ADD" w14:textId="05931848" w:rsidR="0064616D" w:rsidRDefault="000C2B1D" w:rsidP="00776C5C">
      <w:pPr>
        <w:spacing w:after="240" w:line="360" w:lineRule="auto"/>
        <w:rPr>
          <w:rFonts w:ascii="Times New Roman" w:eastAsia="Times New Roman" w:hAnsi="Times New Roman" w:cs="Times New Roman"/>
        </w:rPr>
      </w:pPr>
      <w:r w:rsidRPr="00A96836">
        <w:rPr>
          <w:rFonts w:ascii="Times New Roman" w:eastAsia="Times New Roman" w:hAnsi="Times New Roman" w:cs="Times New Roman"/>
          <w:b/>
          <w:bCs/>
        </w:rPr>
        <w:t xml:space="preserve">Figure </w:t>
      </w:r>
      <w:r w:rsidR="00337B78" w:rsidRPr="00A96836">
        <w:rPr>
          <w:rFonts w:ascii="Times New Roman" w:eastAsia="Times New Roman" w:hAnsi="Times New Roman" w:cs="Times New Roman"/>
          <w:b/>
          <w:bCs/>
        </w:rPr>
        <w:t>3</w:t>
      </w:r>
      <w:r w:rsidRPr="00A96836">
        <w:rPr>
          <w:rFonts w:ascii="Times New Roman" w:eastAsia="Times New Roman" w:hAnsi="Times New Roman" w:cs="Times New Roman"/>
        </w:rPr>
        <w:t xml:space="preserve"> shows the median change in intraocular pressure (IOP) before and after </w:t>
      </w:r>
      <w:r w:rsidR="000C67BC">
        <w:rPr>
          <w:rFonts w:ascii="Times New Roman" w:eastAsia="Times New Roman" w:hAnsi="Times New Roman" w:cs="Times New Roman"/>
        </w:rPr>
        <w:t>CPC</w:t>
      </w:r>
      <w:r w:rsidRPr="00A96836">
        <w:rPr>
          <w:rFonts w:ascii="Times New Roman" w:eastAsia="Times New Roman" w:hAnsi="Times New Roman" w:cs="Times New Roman"/>
        </w:rPr>
        <w:t xml:space="preserve">. There was a significant median IOP decrease (P-value&lt;0.05) from the initial IOP during the follow up time. The IOP varied with time in individual eyes, going both up and down from </w:t>
      </w:r>
      <w:r w:rsidR="000F6CF1">
        <w:rPr>
          <w:rFonts w:ascii="Times New Roman" w:eastAsia="Times New Roman" w:hAnsi="Times New Roman" w:cs="Times New Roman"/>
        </w:rPr>
        <w:t>one</w:t>
      </w:r>
      <w:r w:rsidRPr="00A96836">
        <w:rPr>
          <w:rFonts w:ascii="Times New Roman" w:eastAsia="Times New Roman" w:hAnsi="Times New Roman" w:cs="Times New Roman"/>
        </w:rPr>
        <w:t xml:space="preserve"> visit to another. </w:t>
      </w:r>
    </w:p>
    <w:p w14:paraId="09865FFE" w14:textId="1757EC98" w:rsidR="00776C5C" w:rsidRDefault="00776C5C" w:rsidP="00776C5C">
      <w:pPr>
        <w:spacing w:after="240" w:line="360" w:lineRule="auto"/>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231C44A3" wp14:editId="26C65098">
            <wp:extent cx="5029200" cy="3657600"/>
            <wp:effectExtent l="0" t="0" r="0" b="0"/>
            <wp:docPr id="1413599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99121" name="Picture 1413599121"/>
                    <pic:cNvPicPr/>
                  </pic:nvPicPr>
                  <pic:blipFill>
                    <a:blip r:embed="rId10">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48FF3CE7" w14:textId="16858819" w:rsidR="00776C5C" w:rsidRPr="00776C5C" w:rsidRDefault="00776C5C" w:rsidP="00776C5C">
      <w:pPr>
        <w:spacing w:after="240" w:line="360" w:lineRule="auto"/>
        <w:rPr>
          <w:rFonts w:ascii="Times New Roman" w:eastAsia="Times New Roman" w:hAnsi="Times New Roman" w:cs="Times New Roman"/>
        </w:rPr>
      </w:pPr>
      <w:r w:rsidRPr="00776C5C">
        <w:rPr>
          <w:rFonts w:ascii="Times New Roman" w:eastAsia="Times New Roman" w:hAnsi="Times New Roman" w:cs="Times New Roman"/>
          <w:b/>
          <w:bCs/>
        </w:rPr>
        <w:t xml:space="preserve">Figure </w:t>
      </w:r>
      <w:r w:rsidR="00E158AD">
        <w:rPr>
          <w:rFonts w:ascii="Times New Roman" w:eastAsia="Times New Roman" w:hAnsi="Times New Roman" w:cs="Times New Roman"/>
          <w:b/>
          <w:bCs/>
        </w:rPr>
        <w:t>2</w:t>
      </w:r>
      <w:r>
        <w:rPr>
          <w:rFonts w:ascii="Times New Roman" w:eastAsia="Times New Roman" w:hAnsi="Times New Roman" w:cs="Times New Roman"/>
          <w:b/>
          <w:bCs/>
        </w:rPr>
        <w:t>:</w:t>
      </w:r>
      <w:r>
        <w:rPr>
          <w:rFonts w:ascii="Times New Roman" w:eastAsia="Times New Roman" w:hAnsi="Times New Roman" w:cs="Times New Roman"/>
        </w:rPr>
        <w:t xml:space="preserve"> </w:t>
      </w:r>
      <w:r w:rsidRPr="00776C5C">
        <w:rPr>
          <w:rFonts w:ascii="Times New Roman" w:hAnsi="Times New Roman" w:cs="Times New Roman"/>
          <w:b/>
          <w:bCs/>
        </w:rPr>
        <w:t>Nelson A</w:t>
      </w:r>
      <w:r w:rsidR="005C64ED">
        <w:rPr>
          <w:rFonts w:ascii="Times New Roman" w:hAnsi="Times New Roman" w:cs="Times New Roman"/>
          <w:b/>
          <w:bCs/>
        </w:rPr>
        <w:t>a</w:t>
      </w:r>
      <w:r w:rsidRPr="00776C5C">
        <w:rPr>
          <w:rFonts w:ascii="Times New Roman" w:hAnsi="Times New Roman" w:cs="Times New Roman"/>
          <w:b/>
          <w:bCs/>
        </w:rPr>
        <w:t>l</w:t>
      </w:r>
      <w:r w:rsidR="005C64ED">
        <w:rPr>
          <w:rFonts w:ascii="Times New Roman" w:hAnsi="Times New Roman" w:cs="Times New Roman"/>
          <w:b/>
          <w:bCs/>
        </w:rPr>
        <w:t>e</w:t>
      </w:r>
      <w:r w:rsidRPr="00776C5C">
        <w:rPr>
          <w:rFonts w:ascii="Times New Roman" w:hAnsi="Times New Roman" w:cs="Times New Roman"/>
          <w:b/>
          <w:bCs/>
        </w:rPr>
        <w:t>n estimator curve in contest of participant achieving success overtime</w:t>
      </w:r>
      <w:r w:rsidR="005C64ED">
        <w:rPr>
          <w:rFonts w:ascii="Times New Roman" w:hAnsi="Times New Roman" w:cs="Times New Roman"/>
          <w:b/>
          <w:bCs/>
        </w:rPr>
        <w:t>.</w:t>
      </w:r>
      <w:r>
        <w:rPr>
          <w:rFonts w:ascii="Times New Roman" w:hAnsi="Times New Roman" w:cs="Times New Roman"/>
          <w:b/>
          <w:bCs/>
        </w:rPr>
        <w:t xml:space="preserve"> </w:t>
      </w:r>
    </w:p>
    <w:p w14:paraId="7C355CBF" w14:textId="77777777" w:rsidR="00767540" w:rsidRPr="00A96836" w:rsidRDefault="00767540" w:rsidP="00776C5C">
      <w:pPr>
        <w:spacing w:line="360" w:lineRule="auto"/>
        <w:jc w:val="center"/>
        <w:rPr>
          <w:rFonts w:ascii="Times New Roman" w:eastAsia="Times New Roman" w:hAnsi="Times New Roman" w:cs="Times New Roman"/>
          <w:b/>
          <w:color w:val="000000"/>
        </w:rPr>
      </w:pPr>
      <w:r w:rsidRPr="00A96836">
        <w:rPr>
          <w:rFonts w:ascii="Times New Roman" w:hAnsi="Times New Roman" w:cs="Times New Roman"/>
          <w:noProof/>
        </w:rPr>
        <mc:AlternateContent>
          <mc:Choice Requires="cx1">
            <w:drawing>
              <wp:inline distT="0" distB="0" distL="0" distR="0" wp14:anchorId="7EE2368B" wp14:editId="47536DAE">
                <wp:extent cx="4572000" cy="2743200"/>
                <wp:effectExtent l="0" t="0" r="0" b="0"/>
                <wp:docPr id="1" name="Chart 1">
                  <a:extLst xmlns:a="http://schemas.openxmlformats.org/drawingml/2006/main">
                    <a:ext uri="{FF2B5EF4-FFF2-40B4-BE49-F238E27FC236}">
                      <a16:creationId xmlns:a16="http://schemas.microsoft.com/office/drawing/2014/main" id="{304A3EF1-BEB3-64D9-E69A-DCA06ADF099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drawing>
              <wp:inline distT="0" distB="0" distL="0" distR="0" wp14:anchorId="7EE2368B" wp14:editId="47536DAE">
                <wp:extent cx="4572000" cy="2743200"/>
                <wp:effectExtent l="0" t="0" r="0" b="0"/>
                <wp:docPr id="1" name="Chart 1">
                  <a:extLst xmlns:a="http://schemas.openxmlformats.org/drawingml/2006/main">
                    <a:ext uri="{FF2B5EF4-FFF2-40B4-BE49-F238E27FC236}">
                      <a16:creationId xmlns:a16="http://schemas.microsoft.com/office/drawing/2014/main" id="{304A3EF1-BEB3-64D9-E69A-DCA06ADF099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304A3EF1-BEB3-64D9-E69A-DCA06ADF0992}"/>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4572000" cy="2743200"/>
                        </a:xfrm>
                        <a:prstGeom prst="rect">
                          <a:avLst/>
                        </a:prstGeom>
                      </pic:spPr>
                    </pic:pic>
                  </a:graphicData>
                </a:graphic>
              </wp:inline>
            </w:drawing>
          </mc:Fallback>
        </mc:AlternateContent>
      </w:r>
    </w:p>
    <w:p w14:paraId="24647DE4" w14:textId="41701663" w:rsidR="00767540" w:rsidRPr="00A96836" w:rsidRDefault="00767540" w:rsidP="00A96836">
      <w:pPr>
        <w:spacing w:line="360" w:lineRule="auto"/>
        <w:jc w:val="both"/>
        <w:rPr>
          <w:rFonts w:ascii="Times New Roman" w:eastAsia="Times New Roman" w:hAnsi="Times New Roman" w:cs="Times New Roman"/>
          <w:b/>
          <w:color w:val="000000"/>
        </w:rPr>
      </w:pPr>
      <w:r w:rsidRPr="00A96836">
        <w:rPr>
          <w:rFonts w:ascii="Times New Roman" w:eastAsia="Times New Roman" w:hAnsi="Times New Roman" w:cs="Times New Roman"/>
          <w:b/>
          <w:color w:val="000000"/>
        </w:rPr>
        <w:t>Figure 3: Illustration of IOP change from initial to 3</w:t>
      </w:r>
      <w:r w:rsidR="000C67BC">
        <w:rPr>
          <w:rFonts w:ascii="Times New Roman" w:eastAsia="Times New Roman" w:hAnsi="Times New Roman" w:cs="Times New Roman"/>
          <w:b/>
          <w:color w:val="000000"/>
        </w:rPr>
        <w:t xml:space="preserve"> </w:t>
      </w:r>
      <w:r w:rsidRPr="00A96836">
        <w:rPr>
          <w:rFonts w:ascii="Times New Roman" w:eastAsia="Times New Roman" w:hAnsi="Times New Roman" w:cs="Times New Roman"/>
          <w:b/>
          <w:color w:val="000000"/>
        </w:rPr>
        <w:t>months follow-up time (N-74)</w:t>
      </w:r>
    </w:p>
    <w:p w14:paraId="593E5EA8" w14:textId="428C37FE" w:rsidR="00EB7BFB" w:rsidRPr="00A96836" w:rsidRDefault="00EB7BFB" w:rsidP="00A96836">
      <w:pPr>
        <w:spacing w:before="240" w:line="360" w:lineRule="auto"/>
        <w:jc w:val="both"/>
        <w:rPr>
          <w:rFonts w:ascii="Times New Roman" w:hAnsi="Times New Roman" w:cs="Times New Roman"/>
          <w:b/>
          <w:bCs/>
        </w:rPr>
      </w:pPr>
      <w:r w:rsidRPr="00A96836">
        <w:rPr>
          <w:rFonts w:ascii="Times New Roman" w:hAnsi="Times New Roman" w:cs="Times New Roman"/>
          <w:b/>
          <w:bCs/>
        </w:rPr>
        <w:t>Complications following limited</w:t>
      </w:r>
      <w:r w:rsidR="000C67BC">
        <w:rPr>
          <w:rFonts w:ascii="Times New Roman" w:hAnsi="Times New Roman" w:cs="Times New Roman"/>
          <w:b/>
          <w:bCs/>
        </w:rPr>
        <w:t xml:space="preserve"> CPC</w:t>
      </w:r>
      <w:r w:rsidRPr="00A96836">
        <w:rPr>
          <w:rFonts w:ascii="Times New Roman" w:hAnsi="Times New Roman" w:cs="Times New Roman"/>
          <w:b/>
          <w:bCs/>
        </w:rPr>
        <w:t xml:space="preserve"> in refractory glaucoma patients treated at KCMC Ophthalmology Department.</w:t>
      </w:r>
    </w:p>
    <w:p w14:paraId="01350186" w14:textId="714F23A4" w:rsidR="00A96836" w:rsidRPr="00A96836" w:rsidRDefault="00611F6E" w:rsidP="00A96836">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During follow up,</w:t>
      </w:r>
      <w:r w:rsidR="00EB7BFB" w:rsidRPr="00A96836">
        <w:rPr>
          <w:rFonts w:ascii="Times New Roman" w:eastAsia="Times New Roman" w:hAnsi="Times New Roman" w:cs="Times New Roman"/>
        </w:rPr>
        <w:t xml:space="preserve"> </w:t>
      </w:r>
      <w:r w:rsidR="005C64ED">
        <w:rPr>
          <w:rFonts w:ascii="Times New Roman" w:eastAsia="Times New Roman" w:hAnsi="Times New Roman" w:cs="Times New Roman"/>
        </w:rPr>
        <w:t>p</w:t>
      </w:r>
      <w:r w:rsidR="00EB7BFB" w:rsidRPr="00A96836">
        <w:rPr>
          <w:rFonts w:ascii="Times New Roman" w:eastAsia="Times New Roman" w:hAnsi="Times New Roman" w:cs="Times New Roman"/>
        </w:rPr>
        <w:t>ost CPC uveitis was the most observed complication in 8 (10.8%) patients</w:t>
      </w:r>
      <w:r>
        <w:rPr>
          <w:rFonts w:ascii="Times New Roman" w:eastAsia="Times New Roman" w:hAnsi="Times New Roman" w:cs="Times New Roman"/>
        </w:rPr>
        <w:t>, followed by</w:t>
      </w:r>
      <w:r w:rsidR="00EB7BFB" w:rsidRPr="00A96836">
        <w:rPr>
          <w:rFonts w:ascii="Times New Roman" w:eastAsia="Times New Roman" w:hAnsi="Times New Roman" w:cs="Times New Roman"/>
        </w:rPr>
        <w:t xml:space="preserve"> </w:t>
      </w:r>
      <w:r>
        <w:rPr>
          <w:rFonts w:ascii="Times New Roman" w:eastAsia="Times New Roman" w:hAnsi="Times New Roman" w:cs="Times New Roman"/>
        </w:rPr>
        <w:t>c</w:t>
      </w:r>
      <w:r w:rsidR="00EB7BFB" w:rsidRPr="00A96836">
        <w:rPr>
          <w:rFonts w:ascii="Times New Roman" w:eastAsia="Times New Roman" w:hAnsi="Times New Roman" w:cs="Times New Roman"/>
        </w:rPr>
        <w:t xml:space="preserve">ystoid macular edema observed in 6(8.1%) and only 2(2.7%) experienced IOP of less than 6mmHg. </w:t>
      </w:r>
    </w:p>
    <w:p w14:paraId="02DD897A" w14:textId="77777777" w:rsidR="00B75E47" w:rsidRPr="00A96836" w:rsidRDefault="00B75E47" w:rsidP="00A96836">
      <w:pPr>
        <w:pStyle w:val="Heading2"/>
        <w:spacing w:line="360" w:lineRule="auto"/>
        <w:jc w:val="both"/>
        <w:rPr>
          <w:rFonts w:ascii="Times New Roman" w:eastAsia="Times New Roman" w:hAnsi="Times New Roman" w:cs="Times New Roman"/>
          <w:b/>
          <w:color w:val="000000"/>
          <w:sz w:val="24"/>
          <w:szCs w:val="24"/>
        </w:rPr>
      </w:pPr>
      <w:bookmarkStart w:id="9" w:name="_Toc199960649"/>
    </w:p>
    <w:p w14:paraId="3A34F2CC" w14:textId="73D30E6E" w:rsidR="0064616D" w:rsidRPr="008515C4" w:rsidRDefault="000C2B1D" w:rsidP="008515C4">
      <w:pPr>
        <w:spacing w:line="360" w:lineRule="auto"/>
        <w:jc w:val="both"/>
        <w:rPr>
          <w:rFonts w:ascii="Times New Roman" w:hAnsi="Times New Roman" w:cs="Times New Roman"/>
          <w:b/>
          <w:bCs/>
        </w:rPr>
      </w:pPr>
      <w:r w:rsidRPr="008515C4">
        <w:rPr>
          <w:rFonts w:ascii="Times New Roman" w:hAnsi="Times New Roman" w:cs="Times New Roman"/>
          <w:b/>
          <w:bCs/>
        </w:rPr>
        <w:t>Factors associated with the change in intraocular pressure (IOP) following limited Cyclophotocoagulation (CPC)</w:t>
      </w:r>
      <w:bookmarkEnd w:id="9"/>
    </w:p>
    <w:p w14:paraId="01D6007A" w14:textId="2E2CE754" w:rsidR="00282765" w:rsidRDefault="000C2B1D" w:rsidP="00A96836">
      <w:pPr>
        <w:spacing w:line="360" w:lineRule="auto"/>
        <w:jc w:val="both"/>
        <w:rPr>
          <w:rFonts w:ascii="Times New Roman" w:eastAsia="Times New Roman" w:hAnsi="Times New Roman" w:cs="Times New Roman"/>
        </w:rPr>
      </w:pPr>
      <w:r w:rsidRPr="00A96836">
        <w:rPr>
          <w:rFonts w:ascii="Times New Roman" w:eastAsia="Times New Roman" w:hAnsi="Times New Roman" w:cs="Times New Roman"/>
          <w:b/>
          <w:bCs/>
        </w:rPr>
        <w:t xml:space="preserve">Table </w:t>
      </w:r>
      <w:r w:rsidR="00E158AD">
        <w:rPr>
          <w:rFonts w:ascii="Times New Roman" w:eastAsia="Times New Roman" w:hAnsi="Times New Roman" w:cs="Times New Roman"/>
          <w:b/>
          <w:bCs/>
        </w:rPr>
        <w:t>2</w:t>
      </w:r>
      <w:r w:rsidRPr="00A96836">
        <w:rPr>
          <w:rFonts w:ascii="Times New Roman" w:eastAsia="Times New Roman" w:hAnsi="Times New Roman" w:cs="Times New Roman"/>
          <w:color w:val="EE0000"/>
        </w:rPr>
        <w:t xml:space="preserve"> </w:t>
      </w:r>
      <w:r w:rsidRPr="00D63ED2">
        <w:rPr>
          <w:rFonts w:ascii="Times New Roman" w:eastAsia="Times New Roman" w:hAnsi="Times New Roman" w:cs="Times New Roman"/>
        </w:rPr>
        <w:t>summarizes factors associated with CPC success</w:t>
      </w:r>
      <w:r w:rsidR="00D63ED2">
        <w:rPr>
          <w:rFonts w:ascii="Times New Roman" w:eastAsia="Times New Roman" w:hAnsi="Times New Roman" w:cs="Times New Roman"/>
        </w:rPr>
        <w:t xml:space="preserve"> in b</w:t>
      </w:r>
      <w:r w:rsidR="00DF6853">
        <w:rPr>
          <w:rFonts w:ascii="Times New Roman" w:eastAsia="Times New Roman" w:hAnsi="Times New Roman" w:cs="Times New Roman"/>
        </w:rPr>
        <w:t>o</w:t>
      </w:r>
      <w:r w:rsidR="00D63ED2">
        <w:rPr>
          <w:rFonts w:ascii="Times New Roman" w:eastAsia="Times New Roman" w:hAnsi="Times New Roman" w:cs="Times New Roman"/>
        </w:rPr>
        <w:t xml:space="preserve">th crude and adjusted </w:t>
      </w:r>
      <w:r w:rsidR="00DF6853">
        <w:rPr>
          <w:rFonts w:ascii="Times New Roman" w:eastAsia="Times New Roman" w:hAnsi="Times New Roman" w:cs="Times New Roman"/>
        </w:rPr>
        <w:t>analysis</w:t>
      </w:r>
      <w:r w:rsidRPr="00D63ED2">
        <w:rPr>
          <w:rFonts w:ascii="Times New Roman" w:eastAsia="Times New Roman" w:hAnsi="Times New Roman" w:cs="Times New Roman"/>
        </w:rPr>
        <w:t>.</w:t>
      </w:r>
      <w:r w:rsidRPr="00A96836">
        <w:rPr>
          <w:rFonts w:ascii="Times New Roman" w:eastAsia="Times New Roman" w:hAnsi="Times New Roman" w:cs="Times New Roman"/>
          <w:color w:val="EE0000"/>
        </w:rPr>
        <w:t xml:space="preserve"> </w:t>
      </w:r>
      <w:r w:rsidRPr="00282765">
        <w:rPr>
          <w:rFonts w:ascii="Times New Roman" w:eastAsia="Times New Roman" w:hAnsi="Times New Roman" w:cs="Times New Roman"/>
        </w:rPr>
        <w:t>In crude analysis pre-operative IOP, cup disk notching and associated commodities were factors that significantly associated with CPC success</w:t>
      </w:r>
      <w:r w:rsidR="00282765">
        <w:rPr>
          <w:rFonts w:ascii="Times New Roman" w:eastAsia="Times New Roman" w:hAnsi="Times New Roman" w:cs="Times New Roman"/>
        </w:rPr>
        <w:t>.</w:t>
      </w:r>
    </w:p>
    <w:p w14:paraId="072FE6E6" w14:textId="77777777" w:rsidR="00FF6266" w:rsidRDefault="00282765" w:rsidP="00FF6266">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Stepwise regression</w:t>
      </w:r>
      <w:r w:rsidR="00FD4810">
        <w:rPr>
          <w:rFonts w:ascii="Times New Roman" w:eastAsia="Times New Roman" w:hAnsi="Times New Roman" w:cs="Times New Roman"/>
        </w:rPr>
        <w:t xml:space="preserve"> retained </w:t>
      </w:r>
      <w:r w:rsidR="00FD4810" w:rsidRPr="00282765">
        <w:rPr>
          <w:rFonts w:ascii="Times New Roman" w:eastAsia="Times New Roman" w:hAnsi="Times New Roman" w:cs="Times New Roman"/>
        </w:rPr>
        <w:t>pre-operative IOP, cup disk notching and associated commodities</w:t>
      </w:r>
      <w:r w:rsidR="003E465F">
        <w:rPr>
          <w:rFonts w:ascii="Times New Roman" w:eastAsia="Times New Roman" w:hAnsi="Times New Roman" w:cs="Times New Roman"/>
        </w:rPr>
        <w:t>,</w:t>
      </w:r>
      <w:r w:rsidR="00FD4810">
        <w:rPr>
          <w:rFonts w:ascii="Times New Roman" w:eastAsia="Times New Roman" w:hAnsi="Times New Roman" w:cs="Times New Roman"/>
        </w:rPr>
        <w:t xml:space="preserve"> wh</w:t>
      </w:r>
      <w:r w:rsidR="003E465F">
        <w:rPr>
          <w:rFonts w:ascii="Times New Roman" w:eastAsia="Times New Roman" w:hAnsi="Times New Roman" w:cs="Times New Roman"/>
        </w:rPr>
        <w:t>ereas</w:t>
      </w:r>
      <w:r w:rsidR="00FD4810">
        <w:rPr>
          <w:rFonts w:ascii="Times New Roman" w:eastAsia="Times New Roman" w:hAnsi="Times New Roman" w:cs="Times New Roman"/>
        </w:rPr>
        <w:t xml:space="preserve"> age and sex </w:t>
      </w:r>
      <w:r w:rsidR="003E465F">
        <w:rPr>
          <w:rFonts w:ascii="Times New Roman" w:eastAsia="Times New Roman" w:hAnsi="Times New Roman" w:cs="Times New Roman"/>
        </w:rPr>
        <w:t>were retained prior as potential confounders.</w:t>
      </w:r>
      <w:r w:rsidR="00F863A4">
        <w:rPr>
          <w:rFonts w:ascii="Times New Roman" w:eastAsia="Times New Roman" w:hAnsi="Times New Roman" w:cs="Times New Roman"/>
        </w:rPr>
        <w:t xml:space="preserve"> Hence, the final model was adjusted for Age, sex, </w:t>
      </w:r>
      <w:r w:rsidR="00F863A4" w:rsidRPr="00282765">
        <w:rPr>
          <w:rFonts w:ascii="Times New Roman" w:eastAsia="Times New Roman" w:hAnsi="Times New Roman" w:cs="Times New Roman"/>
        </w:rPr>
        <w:t>pre-operative IOP, cup disk notching and associated commodities</w:t>
      </w:r>
      <w:r w:rsidR="00F863A4">
        <w:rPr>
          <w:rFonts w:ascii="Times New Roman" w:eastAsia="Times New Roman" w:hAnsi="Times New Roman" w:cs="Times New Roman"/>
        </w:rPr>
        <w:t xml:space="preserve">. Variables that remained significant associated with CPC success in adjusted analysis were </w:t>
      </w:r>
      <w:r w:rsidR="00F863A4" w:rsidRPr="00282765">
        <w:rPr>
          <w:rFonts w:ascii="Times New Roman" w:eastAsia="Times New Roman" w:hAnsi="Times New Roman" w:cs="Times New Roman"/>
        </w:rPr>
        <w:t>pre-operative IOP, cup disk notching and associated commodities</w:t>
      </w:r>
      <w:r w:rsidR="00F863A4">
        <w:rPr>
          <w:rFonts w:ascii="Times New Roman" w:eastAsia="Times New Roman" w:hAnsi="Times New Roman" w:cs="Times New Roman"/>
        </w:rPr>
        <w:t xml:space="preserve">. </w:t>
      </w:r>
    </w:p>
    <w:p w14:paraId="5F1BE942" w14:textId="65A8FEF7" w:rsidR="00C70300" w:rsidRDefault="00FF6266" w:rsidP="00C70300">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P</w:t>
      </w:r>
      <w:r w:rsidR="00F863A4">
        <w:rPr>
          <w:rFonts w:ascii="Times New Roman" w:eastAsia="Times New Roman" w:hAnsi="Times New Roman" w:cs="Times New Roman"/>
        </w:rPr>
        <w:t xml:space="preserve">articipants </w:t>
      </w:r>
      <w:r>
        <w:rPr>
          <w:rFonts w:ascii="Times New Roman" w:eastAsia="Times New Roman" w:hAnsi="Times New Roman" w:cs="Times New Roman"/>
        </w:rPr>
        <w:t>we</w:t>
      </w:r>
      <w:r w:rsidR="00F863A4">
        <w:rPr>
          <w:rFonts w:ascii="Times New Roman" w:eastAsia="Times New Roman" w:hAnsi="Times New Roman" w:cs="Times New Roman"/>
        </w:rPr>
        <w:t xml:space="preserve">re 7% </w:t>
      </w:r>
      <w:r>
        <w:rPr>
          <w:rFonts w:ascii="Times New Roman" w:eastAsia="Times New Roman" w:hAnsi="Times New Roman" w:cs="Times New Roman"/>
        </w:rPr>
        <w:t xml:space="preserve">significant </w:t>
      </w:r>
      <w:r w:rsidR="00F863A4">
        <w:rPr>
          <w:rFonts w:ascii="Times New Roman" w:eastAsia="Times New Roman" w:hAnsi="Times New Roman" w:cs="Times New Roman"/>
        </w:rPr>
        <w:t xml:space="preserve">less likely to have CPC success </w:t>
      </w:r>
      <w:r w:rsidR="008E3351">
        <w:rPr>
          <w:rFonts w:ascii="Times New Roman" w:eastAsia="Times New Roman" w:hAnsi="Times New Roman" w:cs="Times New Roman"/>
        </w:rPr>
        <w:t>[</w:t>
      </w:r>
      <w:r w:rsidR="00F863A4" w:rsidRPr="008E3351">
        <w:rPr>
          <w:rFonts w:ascii="Times New Roman" w:eastAsia="Times New Roman" w:hAnsi="Times New Roman" w:cs="Times New Roman"/>
        </w:rPr>
        <w:t>AHR=0.</w:t>
      </w:r>
      <w:r w:rsidR="008E3351" w:rsidRPr="008E3351">
        <w:rPr>
          <w:rFonts w:ascii="Times New Roman" w:eastAsia="Times New Roman" w:hAnsi="Times New Roman" w:cs="Times New Roman"/>
        </w:rPr>
        <w:t>93</w:t>
      </w:r>
      <w:r w:rsidR="00F863A4" w:rsidRPr="008E3351">
        <w:rPr>
          <w:rFonts w:ascii="Times New Roman" w:eastAsia="Times New Roman" w:hAnsi="Times New Roman" w:cs="Times New Roman"/>
        </w:rPr>
        <w:t>; 95%CI (</w:t>
      </w:r>
      <w:r w:rsidR="008E3351">
        <w:rPr>
          <w:rFonts w:ascii="Times New Roman" w:eastAsia="Times New Roman" w:hAnsi="Times New Roman" w:cs="Times New Roman"/>
        </w:rPr>
        <w:t>0.89-0.97</w:t>
      </w:r>
      <w:r w:rsidR="00F863A4" w:rsidRPr="008E3351">
        <w:rPr>
          <w:rFonts w:ascii="Times New Roman" w:eastAsia="Times New Roman" w:hAnsi="Times New Roman" w:cs="Times New Roman"/>
        </w:rPr>
        <w:t>)</w:t>
      </w:r>
      <w:r w:rsidR="008E3351">
        <w:rPr>
          <w:rFonts w:ascii="Times New Roman" w:eastAsia="Times New Roman" w:hAnsi="Times New Roman" w:cs="Times New Roman"/>
        </w:rPr>
        <w:t>]</w:t>
      </w:r>
      <w:r>
        <w:rPr>
          <w:rFonts w:ascii="Times New Roman" w:eastAsia="Times New Roman" w:hAnsi="Times New Roman" w:cs="Times New Roman"/>
        </w:rPr>
        <w:t xml:space="preserve"> after every 1 mmHg increase in IOP</w:t>
      </w:r>
      <w:r w:rsidR="008E3351">
        <w:rPr>
          <w:rFonts w:ascii="Times New Roman" w:eastAsia="Times New Roman" w:hAnsi="Times New Roman" w:cs="Times New Roman"/>
        </w:rPr>
        <w:t>.</w:t>
      </w:r>
      <w:r>
        <w:rPr>
          <w:rFonts w:ascii="Times New Roman" w:eastAsia="Times New Roman" w:hAnsi="Times New Roman" w:cs="Times New Roman"/>
        </w:rPr>
        <w:t xml:space="preserve"> </w:t>
      </w:r>
      <w:r w:rsidRPr="00FF6266">
        <w:rPr>
          <w:rFonts w:ascii="Times New Roman" w:eastAsia="Times New Roman" w:hAnsi="Times New Roman" w:cs="Times New Roman"/>
        </w:rPr>
        <w:t>I</w:t>
      </w:r>
      <w:r w:rsidR="000C2B1D" w:rsidRPr="00FF6266">
        <w:rPr>
          <w:rFonts w:ascii="Times New Roman" w:eastAsia="Times New Roman" w:hAnsi="Times New Roman" w:cs="Times New Roman"/>
        </w:rPr>
        <w:t>ndividual</w:t>
      </w:r>
      <w:r>
        <w:rPr>
          <w:rFonts w:ascii="Times New Roman" w:eastAsia="Times New Roman" w:hAnsi="Times New Roman" w:cs="Times New Roman"/>
        </w:rPr>
        <w:t>s</w:t>
      </w:r>
      <w:r w:rsidR="000C2B1D" w:rsidRPr="00FF6266">
        <w:rPr>
          <w:rFonts w:ascii="Times New Roman" w:eastAsia="Times New Roman" w:hAnsi="Times New Roman" w:cs="Times New Roman"/>
        </w:rPr>
        <w:t xml:space="preserve"> with cup disk notching </w:t>
      </w:r>
      <w:r w:rsidRPr="00FF6266">
        <w:rPr>
          <w:rFonts w:ascii="Times New Roman" w:eastAsia="Times New Roman" w:hAnsi="Times New Roman" w:cs="Times New Roman"/>
        </w:rPr>
        <w:t>were approximately 2.4 times</w:t>
      </w:r>
      <w:r w:rsidR="000C2B1D" w:rsidRPr="00FF6266">
        <w:rPr>
          <w:rFonts w:ascii="Times New Roman" w:eastAsia="Times New Roman" w:hAnsi="Times New Roman" w:cs="Times New Roman"/>
        </w:rPr>
        <w:t xml:space="preserve"> significant </w:t>
      </w:r>
      <w:r w:rsidRPr="00FF6266">
        <w:rPr>
          <w:rFonts w:ascii="Times New Roman" w:eastAsia="Times New Roman" w:hAnsi="Times New Roman" w:cs="Times New Roman"/>
        </w:rPr>
        <w:t xml:space="preserve">more likely </w:t>
      </w:r>
      <w:r w:rsidR="000C2B1D" w:rsidRPr="00FF6266">
        <w:rPr>
          <w:rFonts w:ascii="Times New Roman" w:eastAsia="Times New Roman" w:hAnsi="Times New Roman" w:cs="Times New Roman"/>
        </w:rPr>
        <w:t xml:space="preserve">of having CPC success compared to those with </w:t>
      </w:r>
      <w:r w:rsidR="005C64ED">
        <w:rPr>
          <w:rFonts w:ascii="Times New Roman" w:eastAsia="Times New Roman" w:hAnsi="Times New Roman" w:cs="Times New Roman"/>
        </w:rPr>
        <w:t xml:space="preserve">no </w:t>
      </w:r>
      <w:r w:rsidR="000C2B1D" w:rsidRPr="00FF6266">
        <w:rPr>
          <w:rFonts w:ascii="Times New Roman" w:eastAsia="Times New Roman" w:hAnsi="Times New Roman" w:cs="Times New Roman"/>
        </w:rPr>
        <w:t xml:space="preserve">cup disk notching </w:t>
      </w:r>
      <w:r w:rsidRPr="00FF6266">
        <w:rPr>
          <w:rFonts w:ascii="Times New Roman" w:eastAsia="Times New Roman" w:hAnsi="Times New Roman" w:cs="Times New Roman"/>
        </w:rPr>
        <w:t>[</w:t>
      </w:r>
      <w:r w:rsidR="000C2B1D" w:rsidRPr="00FF6266">
        <w:rPr>
          <w:rFonts w:ascii="Times New Roman" w:eastAsia="Times New Roman" w:hAnsi="Times New Roman" w:cs="Times New Roman"/>
        </w:rPr>
        <w:t>AHR=</w:t>
      </w:r>
      <w:r w:rsidRPr="00FF6266">
        <w:rPr>
          <w:rFonts w:ascii="Times New Roman" w:eastAsia="Times New Roman" w:hAnsi="Times New Roman" w:cs="Times New Roman"/>
        </w:rPr>
        <w:t>2.39</w:t>
      </w:r>
      <w:r w:rsidR="000C2B1D" w:rsidRPr="00FF6266">
        <w:rPr>
          <w:rFonts w:ascii="Times New Roman" w:eastAsia="Times New Roman" w:hAnsi="Times New Roman" w:cs="Times New Roman"/>
        </w:rPr>
        <w:t xml:space="preserve">; 95%CI </w:t>
      </w:r>
      <w:r w:rsidRPr="00FF6266">
        <w:rPr>
          <w:rFonts w:ascii="Times New Roman" w:eastAsia="Times New Roman" w:hAnsi="Times New Roman" w:cs="Times New Roman"/>
        </w:rPr>
        <w:t>(1.10-5.19)]</w:t>
      </w:r>
      <w:r w:rsidR="000C2B1D" w:rsidRPr="00FF6266">
        <w:rPr>
          <w:rFonts w:ascii="Times New Roman" w:eastAsia="Times New Roman" w:hAnsi="Times New Roman" w:cs="Times New Roman"/>
        </w:rPr>
        <w:t xml:space="preserve">, while compared to systemic diseases, </w:t>
      </w:r>
      <w:r>
        <w:rPr>
          <w:rFonts w:ascii="Times New Roman" w:eastAsia="Times New Roman" w:hAnsi="Times New Roman" w:cs="Times New Roman"/>
        </w:rPr>
        <w:t>Participants</w:t>
      </w:r>
      <w:r w:rsidR="000C2B1D" w:rsidRPr="00FF6266">
        <w:rPr>
          <w:rFonts w:ascii="Times New Roman" w:eastAsia="Times New Roman" w:hAnsi="Times New Roman" w:cs="Times New Roman"/>
        </w:rPr>
        <w:t xml:space="preserve"> with ocular disease </w:t>
      </w:r>
      <w:r w:rsidRPr="00FF6266">
        <w:rPr>
          <w:rFonts w:ascii="Times New Roman" w:eastAsia="Times New Roman" w:hAnsi="Times New Roman" w:cs="Times New Roman"/>
        </w:rPr>
        <w:t>were 66</w:t>
      </w:r>
      <w:r w:rsidR="000C2B1D" w:rsidRPr="00FF6266">
        <w:rPr>
          <w:rFonts w:ascii="Times New Roman" w:eastAsia="Times New Roman" w:hAnsi="Times New Roman" w:cs="Times New Roman"/>
        </w:rPr>
        <w:t>% significant less like</w:t>
      </w:r>
      <w:r w:rsidRPr="00FF6266">
        <w:rPr>
          <w:rFonts w:ascii="Times New Roman" w:eastAsia="Times New Roman" w:hAnsi="Times New Roman" w:cs="Times New Roman"/>
        </w:rPr>
        <w:t xml:space="preserve">ly </w:t>
      </w:r>
      <w:r w:rsidR="000C2B1D" w:rsidRPr="00FF6266">
        <w:rPr>
          <w:rFonts w:ascii="Times New Roman" w:eastAsia="Times New Roman" w:hAnsi="Times New Roman" w:cs="Times New Roman"/>
        </w:rPr>
        <w:t xml:space="preserve">of having CPC success </w:t>
      </w:r>
      <w:r w:rsidRPr="00FF6266">
        <w:rPr>
          <w:rFonts w:ascii="Times New Roman" w:eastAsia="Times New Roman" w:hAnsi="Times New Roman" w:cs="Times New Roman"/>
        </w:rPr>
        <w:t>[</w:t>
      </w:r>
      <w:r w:rsidR="000C2B1D" w:rsidRPr="00FF6266">
        <w:rPr>
          <w:rFonts w:ascii="Times New Roman" w:eastAsia="Times New Roman" w:hAnsi="Times New Roman" w:cs="Times New Roman"/>
        </w:rPr>
        <w:t>AHR=0.</w:t>
      </w:r>
      <w:r w:rsidRPr="00FF6266">
        <w:rPr>
          <w:rFonts w:ascii="Times New Roman" w:eastAsia="Times New Roman" w:hAnsi="Times New Roman" w:cs="Times New Roman"/>
        </w:rPr>
        <w:t>34</w:t>
      </w:r>
      <w:r w:rsidR="000C2B1D" w:rsidRPr="00FF6266">
        <w:rPr>
          <w:rFonts w:ascii="Times New Roman" w:eastAsia="Times New Roman" w:hAnsi="Times New Roman" w:cs="Times New Roman"/>
        </w:rPr>
        <w:t xml:space="preserve">; 95%CI </w:t>
      </w:r>
      <w:r w:rsidRPr="00A96836">
        <w:rPr>
          <w:rFonts w:ascii="Times New Roman" w:eastAsia="Times New Roman" w:hAnsi="Times New Roman" w:cs="Times New Roman"/>
        </w:rPr>
        <w:t>(0.15-0.79)</w:t>
      </w:r>
      <w:r>
        <w:rPr>
          <w:rFonts w:ascii="Times New Roman" w:eastAsia="Times New Roman" w:hAnsi="Times New Roman" w:cs="Times New Roman"/>
        </w:rPr>
        <w:t xml:space="preserve">] </w:t>
      </w:r>
      <w:bookmarkStart w:id="10" w:name="_alzwzz1r7dzb" w:colFirst="0" w:colLast="0"/>
      <w:bookmarkStart w:id="11" w:name="_Toc199960650"/>
      <w:bookmarkEnd w:id="10"/>
    </w:p>
    <w:p w14:paraId="32B65261" w14:textId="77D9255A" w:rsidR="0064616D" w:rsidRPr="00C70300" w:rsidRDefault="000C2B1D" w:rsidP="00C70300">
      <w:pPr>
        <w:spacing w:before="240" w:line="360" w:lineRule="auto"/>
        <w:jc w:val="both"/>
        <w:rPr>
          <w:rFonts w:ascii="Times New Roman" w:eastAsia="Times New Roman" w:hAnsi="Times New Roman" w:cs="Times New Roman"/>
        </w:rPr>
      </w:pPr>
      <w:r w:rsidRPr="00A96836">
        <w:rPr>
          <w:rFonts w:ascii="Times New Roman" w:eastAsia="Times New Roman" w:hAnsi="Times New Roman" w:cs="Times New Roman"/>
          <w:b/>
          <w:color w:val="000000"/>
        </w:rPr>
        <w:t xml:space="preserve">Table </w:t>
      </w:r>
      <w:r w:rsidR="00E158AD">
        <w:rPr>
          <w:rFonts w:ascii="Times New Roman" w:eastAsia="Times New Roman" w:hAnsi="Times New Roman" w:cs="Times New Roman"/>
          <w:b/>
          <w:color w:val="000000"/>
        </w:rPr>
        <w:t>2</w:t>
      </w:r>
      <w:r w:rsidRPr="00A96836">
        <w:rPr>
          <w:rFonts w:ascii="Times New Roman" w:eastAsia="Times New Roman" w:hAnsi="Times New Roman" w:cs="Times New Roman"/>
          <w:b/>
          <w:color w:val="000000"/>
        </w:rPr>
        <w:t>: Factors associated with CPC success</w:t>
      </w:r>
      <w:bookmarkEnd w:id="11"/>
    </w:p>
    <w:tbl>
      <w:tblPr>
        <w:tblStyle w:val="a3"/>
        <w:tblW w:w="9720" w:type="dxa"/>
        <w:tblInd w:w="18" w:type="dxa"/>
        <w:tblLayout w:type="fixed"/>
        <w:tblLook w:val="0400" w:firstRow="0" w:lastRow="0" w:firstColumn="0" w:lastColumn="0" w:noHBand="0" w:noVBand="1"/>
      </w:tblPr>
      <w:tblGrid>
        <w:gridCol w:w="3577"/>
        <w:gridCol w:w="1890"/>
        <w:gridCol w:w="1170"/>
        <w:gridCol w:w="1890"/>
        <w:gridCol w:w="1193"/>
      </w:tblGrid>
      <w:tr w:rsidR="0064616D" w:rsidRPr="00A96836" w14:paraId="7E79D4C6" w14:textId="77777777" w:rsidTr="00C70300">
        <w:trPr>
          <w:trHeight w:val="315"/>
        </w:trPr>
        <w:tc>
          <w:tcPr>
            <w:tcW w:w="3577" w:type="dxa"/>
            <w:tcBorders>
              <w:top w:val="single" w:sz="12" w:space="0" w:color="auto"/>
              <w:bottom w:val="single" w:sz="12" w:space="0" w:color="auto"/>
            </w:tcBorders>
            <w:shd w:val="clear" w:color="auto" w:fill="auto"/>
            <w:vAlign w:val="bottom"/>
          </w:tcPr>
          <w:p w14:paraId="17833014" w14:textId="77777777" w:rsidR="0064616D" w:rsidRPr="00A96836" w:rsidRDefault="000C2B1D"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Variable</w:t>
            </w:r>
          </w:p>
        </w:tc>
        <w:tc>
          <w:tcPr>
            <w:tcW w:w="1890" w:type="dxa"/>
            <w:tcBorders>
              <w:top w:val="single" w:sz="12" w:space="0" w:color="auto"/>
              <w:bottom w:val="single" w:sz="12" w:space="0" w:color="auto"/>
            </w:tcBorders>
            <w:shd w:val="clear" w:color="auto" w:fill="auto"/>
            <w:vAlign w:val="bottom"/>
          </w:tcPr>
          <w:p w14:paraId="1ED824C4" w14:textId="69CBFA10" w:rsidR="0064616D" w:rsidRPr="00A96836" w:rsidRDefault="007D7AA3"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CHR (</w:t>
            </w:r>
            <w:r w:rsidR="000C2B1D" w:rsidRPr="00A96836">
              <w:rPr>
                <w:rFonts w:ascii="Times New Roman" w:eastAsia="Times New Roman" w:hAnsi="Times New Roman" w:cs="Times New Roman"/>
                <w:b/>
                <w:bCs/>
              </w:rPr>
              <w:t>95%CI)</w:t>
            </w:r>
          </w:p>
        </w:tc>
        <w:tc>
          <w:tcPr>
            <w:tcW w:w="1170" w:type="dxa"/>
            <w:tcBorders>
              <w:top w:val="single" w:sz="12" w:space="0" w:color="auto"/>
              <w:bottom w:val="single" w:sz="12" w:space="0" w:color="auto"/>
            </w:tcBorders>
            <w:shd w:val="clear" w:color="auto" w:fill="auto"/>
            <w:vAlign w:val="bottom"/>
          </w:tcPr>
          <w:p w14:paraId="65074134" w14:textId="77777777" w:rsidR="0064616D" w:rsidRPr="00A96836" w:rsidRDefault="000C2B1D"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P-value</w:t>
            </w:r>
          </w:p>
        </w:tc>
        <w:tc>
          <w:tcPr>
            <w:tcW w:w="1890" w:type="dxa"/>
            <w:tcBorders>
              <w:top w:val="single" w:sz="12" w:space="0" w:color="auto"/>
              <w:bottom w:val="single" w:sz="12" w:space="0" w:color="auto"/>
            </w:tcBorders>
            <w:shd w:val="clear" w:color="auto" w:fill="auto"/>
            <w:vAlign w:val="bottom"/>
          </w:tcPr>
          <w:p w14:paraId="625D451A" w14:textId="402FE147" w:rsidR="0064616D" w:rsidRPr="00A96836" w:rsidRDefault="007D7AA3"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AHR (</w:t>
            </w:r>
            <w:r w:rsidR="000C2B1D" w:rsidRPr="00A96836">
              <w:rPr>
                <w:rFonts w:ascii="Times New Roman" w:eastAsia="Times New Roman" w:hAnsi="Times New Roman" w:cs="Times New Roman"/>
                <w:b/>
                <w:bCs/>
              </w:rPr>
              <w:t>95%CI)</w:t>
            </w:r>
          </w:p>
        </w:tc>
        <w:tc>
          <w:tcPr>
            <w:tcW w:w="1193" w:type="dxa"/>
            <w:tcBorders>
              <w:top w:val="single" w:sz="12" w:space="0" w:color="auto"/>
              <w:bottom w:val="single" w:sz="12" w:space="0" w:color="auto"/>
            </w:tcBorders>
            <w:shd w:val="clear" w:color="auto" w:fill="auto"/>
            <w:vAlign w:val="bottom"/>
          </w:tcPr>
          <w:p w14:paraId="2F30CECA" w14:textId="77777777" w:rsidR="0064616D" w:rsidRPr="00A96836" w:rsidRDefault="000C2B1D" w:rsidP="003E465F">
            <w:pPr>
              <w:spacing w:line="360" w:lineRule="auto"/>
              <w:jc w:val="center"/>
              <w:rPr>
                <w:rFonts w:ascii="Times New Roman" w:eastAsia="Times New Roman" w:hAnsi="Times New Roman" w:cs="Times New Roman"/>
                <w:b/>
                <w:bCs/>
              </w:rPr>
            </w:pPr>
            <w:r w:rsidRPr="00A96836">
              <w:rPr>
                <w:rFonts w:ascii="Times New Roman" w:eastAsia="Times New Roman" w:hAnsi="Times New Roman" w:cs="Times New Roman"/>
                <w:b/>
                <w:bCs/>
              </w:rPr>
              <w:t>P-value</w:t>
            </w:r>
          </w:p>
        </w:tc>
      </w:tr>
      <w:tr w:rsidR="0064616D" w:rsidRPr="00A96836" w14:paraId="6D00A948" w14:textId="77777777" w:rsidTr="00C70300">
        <w:trPr>
          <w:trHeight w:val="315"/>
        </w:trPr>
        <w:tc>
          <w:tcPr>
            <w:tcW w:w="3577" w:type="dxa"/>
            <w:tcBorders>
              <w:top w:val="single" w:sz="12" w:space="0" w:color="auto"/>
            </w:tcBorders>
            <w:shd w:val="clear" w:color="auto" w:fill="auto"/>
            <w:vAlign w:val="center"/>
          </w:tcPr>
          <w:p w14:paraId="3B0F110C" w14:textId="77777777" w:rsidR="0064616D" w:rsidRPr="00A96836" w:rsidRDefault="000C2B1D"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Patients Age</w:t>
            </w:r>
          </w:p>
        </w:tc>
        <w:tc>
          <w:tcPr>
            <w:tcW w:w="1890" w:type="dxa"/>
            <w:tcBorders>
              <w:top w:val="single" w:sz="12" w:space="0" w:color="auto"/>
            </w:tcBorders>
            <w:shd w:val="clear" w:color="auto" w:fill="auto"/>
            <w:vAlign w:val="bottom"/>
          </w:tcPr>
          <w:p w14:paraId="4C0DC5C9" w14:textId="77777777" w:rsidR="0064616D" w:rsidRPr="00A96836" w:rsidRDefault="0064616D" w:rsidP="003E465F">
            <w:pPr>
              <w:spacing w:line="360" w:lineRule="auto"/>
              <w:jc w:val="center"/>
              <w:rPr>
                <w:rFonts w:ascii="Times New Roman" w:eastAsia="Times New Roman" w:hAnsi="Times New Roman" w:cs="Times New Roman"/>
              </w:rPr>
            </w:pPr>
          </w:p>
        </w:tc>
        <w:tc>
          <w:tcPr>
            <w:tcW w:w="1170" w:type="dxa"/>
            <w:tcBorders>
              <w:top w:val="single" w:sz="12" w:space="0" w:color="auto"/>
            </w:tcBorders>
            <w:shd w:val="clear" w:color="auto" w:fill="auto"/>
            <w:vAlign w:val="bottom"/>
          </w:tcPr>
          <w:p w14:paraId="47699459" w14:textId="77777777" w:rsidR="0064616D" w:rsidRPr="00A96836" w:rsidRDefault="0064616D" w:rsidP="003E465F">
            <w:pPr>
              <w:spacing w:line="360" w:lineRule="auto"/>
              <w:jc w:val="center"/>
              <w:rPr>
                <w:rFonts w:ascii="Times New Roman" w:eastAsia="Times New Roman" w:hAnsi="Times New Roman" w:cs="Times New Roman"/>
              </w:rPr>
            </w:pPr>
          </w:p>
        </w:tc>
        <w:tc>
          <w:tcPr>
            <w:tcW w:w="1890" w:type="dxa"/>
            <w:tcBorders>
              <w:top w:val="single" w:sz="12" w:space="0" w:color="auto"/>
            </w:tcBorders>
            <w:shd w:val="clear" w:color="auto" w:fill="auto"/>
            <w:vAlign w:val="bottom"/>
          </w:tcPr>
          <w:p w14:paraId="386CFC7D" w14:textId="2A7AAF75" w:rsidR="0064616D" w:rsidRPr="00A96836" w:rsidRDefault="0064616D" w:rsidP="003E465F">
            <w:pPr>
              <w:spacing w:line="360" w:lineRule="auto"/>
              <w:jc w:val="center"/>
              <w:rPr>
                <w:rFonts w:ascii="Times New Roman" w:eastAsia="Times New Roman" w:hAnsi="Times New Roman" w:cs="Times New Roman"/>
              </w:rPr>
            </w:pPr>
          </w:p>
        </w:tc>
        <w:tc>
          <w:tcPr>
            <w:tcW w:w="1193" w:type="dxa"/>
            <w:tcBorders>
              <w:top w:val="single" w:sz="12" w:space="0" w:color="auto"/>
            </w:tcBorders>
            <w:shd w:val="clear" w:color="auto" w:fill="auto"/>
            <w:vAlign w:val="bottom"/>
          </w:tcPr>
          <w:p w14:paraId="481F1F4D" w14:textId="3FA9EB61"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26C9EF07" w14:textId="77777777" w:rsidTr="00C70300">
        <w:trPr>
          <w:trHeight w:val="315"/>
        </w:trPr>
        <w:tc>
          <w:tcPr>
            <w:tcW w:w="3577" w:type="dxa"/>
            <w:shd w:val="clear" w:color="auto" w:fill="auto"/>
            <w:vAlign w:val="center"/>
          </w:tcPr>
          <w:p w14:paraId="4D6B26F7"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≤60</w:t>
            </w:r>
          </w:p>
        </w:tc>
        <w:tc>
          <w:tcPr>
            <w:tcW w:w="1890" w:type="dxa"/>
            <w:shd w:val="clear" w:color="auto" w:fill="auto"/>
            <w:vAlign w:val="bottom"/>
          </w:tcPr>
          <w:p w14:paraId="22C2BCA8"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23CC343A" w14:textId="77777777" w:rsidR="0064616D" w:rsidRPr="00A96836" w:rsidRDefault="0064616D"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6BFC5B93" w14:textId="74B7B3D7"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93" w:type="dxa"/>
            <w:shd w:val="clear" w:color="auto" w:fill="auto"/>
            <w:vAlign w:val="bottom"/>
          </w:tcPr>
          <w:p w14:paraId="4B5213AF" w14:textId="467B2382"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0DC2851F" w14:textId="77777777" w:rsidTr="00C70300">
        <w:trPr>
          <w:trHeight w:val="315"/>
        </w:trPr>
        <w:tc>
          <w:tcPr>
            <w:tcW w:w="3577" w:type="dxa"/>
            <w:shd w:val="clear" w:color="auto" w:fill="auto"/>
            <w:vAlign w:val="center"/>
          </w:tcPr>
          <w:p w14:paraId="2BE399D7"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&gt;60</w:t>
            </w:r>
          </w:p>
        </w:tc>
        <w:tc>
          <w:tcPr>
            <w:tcW w:w="1890" w:type="dxa"/>
            <w:shd w:val="clear" w:color="auto" w:fill="auto"/>
            <w:vAlign w:val="bottom"/>
          </w:tcPr>
          <w:p w14:paraId="55918CB8"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1.30(0.65-2.62)</w:t>
            </w:r>
          </w:p>
        </w:tc>
        <w:tc>
          <w:tcPr>
            <w:tcW w:w="1170" w:type="dxa"/>
            <w:shd w:val="clear" w:color="auto" w:fill="auto"/>
            <w:vAlign w:val="bottom"/>
          </w:tcPr>
          <w:p w14:paraId="4BD050D9"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0.459</w:t>
            </w:r>
          </w:p>
        </w:tc>
        <w:tc>
          <w:tcPr>
            <w:tcW w:w="1890" w:type="dxa"/>
            <w:shd w:val="clear" w:color="auto" w:fill="auto"/>
            <w:vAlign w:val="bottom"/>
          </w:tcPr>
          <w:p w14:paraId="11BA8527" w14:textId="3D14817B"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1.40(0.65-2.98)</w:t>
            </w:r>
          </w:p>
        </w:tc>
        <w:tc>
          <w:tcPr>
            <w:tcW w:w="1193" w:type="dxa"/>
            <w:shd w:val="clear" w:color="auto" w:fill="auto"/>
            <w:vAlign w:val="bottom"/>
          </w:tcPr>
          <w:p w14:paraId="3B92E75C" w14:textId="44CD85E0"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0.388</w:t>
            </w:r>
          </w:p>
        </w:tc>
      </w:tr>
      <w:tr w:rsidR="0064616D" w:rsidRPr="00A96836" w14:paraId="3FA6D9E4" w14:textId="77777777" w:rsidTr="00C70300">
        <w:trPr>
          <w:trHeight w:val="315"/>
        </w:trPr>
        <w:tc>
          <w:tcPr>
            <w:tcW w:w="3577" w:type="dxa"/>
            <w:shd w:val="clear" w:color="auto" w:fill="auto"/>
            <w:vAlign w:val="center"/>
          </w:tcPr>
          <w:p w14:paraId="7A79C1C9" w14:textId="77777777" w:rsidR="0064616D" w:rsidRPr="00A96836" w:rsidRDefault="000C2B1D"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Patient Gender</w:t>
            </w:r>
          </w:p>
        </w:tc>
        <w:tc>
          <w:tcPr>
            <w:tcW w:w="1890" w:type="dxa"/>
            <w:shd w:val="clear" w:color="auto" w:fill="auto"/>
            <w:vAlign w:val="bottom"/>
          </w:tcPr>
          <w:p w14:paraId="2C0C3FD2" w14:textId="7D0E1B59" w:rsidR="0064616D" w:rsidRPr="00A96836" w:rsidRDefault="0064616D"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6CF9223E" w14:textId="213C1F78" w:rsidR="0064616D" w:rsidRPr="00A96836" w:rsidRDefault="0064616D"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2CA3A540" w14:textId="1A8FF512" w:rsidR="0064616D" w:rsidRPr="00A96836" w:rsidRDefault="0064616D" w:rsidP="003E465F">
            <w:pPr>
              <w:spacing w:line="360" w:lineRule="auto"/>
              <w:jc w:val="center"/>
              <w:rPr>
                <w:rFonts w:ascii="Times New Roman" w:eastAsia="Times New Roman" w:hAnsi="Times New Roman" w:cs="Times New Roman"/>
              </w:rPr>
            </w:pPr>
          </w:p>
        </w:tc>
        <w:tc>
          <w:tcPr>
            <w:tcW w:w="1193" w:type="dxa"/>
            <w:shd w:val="clear" w:color="auto" w:fill="auto"/>
            <w:vAlign w:val="bottom"/>
          </w:tcPr>
          <w:p w14:paraId="1D07647D" w14:textId="1FB9690A"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22B86822" w14:textId="77777777" w:rsidTr="00C70300">
        <w:trPr>
          <w:trHeight w:val="315"/>
        </w:trPr>
        <w:tc>
          <w:tcPr>
            <w:tcW w:w="3577" w:type="dxa"/>
            <w:shd w:val="clear" w:color="auto" w:fill="auto"/>
            <w:vAlign w:val="center"/>
          </w:tcPr>
          <w:p w14:paraId="7F01C86E"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Male</w:t>
            </w:r>
          </w:p>
        </w:tc>
        <w:tc>
          <w:tcPr>
            <w:tcW w:w="1890" w:type="dxa"/>
            <w:shd w:val="clear" w:color="auto" w:fill="auto"/>
            <w:vAlign w:val="bottom"/>
          </w:tcPr>
          <w:p w14:paraId="0273248B" w14:textId="26FF72A3"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164D9049" w14:textId="30DD8E10" w:rsidR="0064616D" w:rsidRPr="00A96836" w:rsidRDefault="0064616D"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38A5054F" w14:textId="3E9FD427"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93" w:type="dxa"/>
            <w:shd w:val="clear" w:color="auto" w:fill="auto"/>
            <w:vAlign w:val="bottom"/>
          </w:tcPr>
          <w:p w14:paraId="2DC96870" w14:textId="149ABBEE" w:rsidR="0064616D" w:rsidRPr="00A96836" w:rsidRDefault="0064616D" w:rsidP="003E465F">
            <w:pPr>
              <w:spacing w:line="360" w:lineRule="auto"/>
              <w:jc w:val="center"/>
              <w:rPr>
                <w:rFonts w:ascii="Times New Roman" w:eastAsia="Times New Roman" w:hAnsi="Times New Roman" w:cs="Times New Roman"/>
              </w:rPr>
            </w:pPr>
          </w:p>
        </w:tc>
      </w:tr>
      <w:tr w:rsidR="0064616D" w:rsidRPr="00A96836" w14:paraId="6FEE1A7C" w14:textId="77777777" w:rsidTr="00C70300">
        <w:trPr>
          <w:trHeight w:val="315"/>
        </w:trPr>
        <w:tc>
          <w:tcPr>
            <w:tcW w:w="3577" w:type="dxa"/>
            <w:shd w:val="clear" w:color="auto" w:fill="auto"/>
            <w:vAlign w:val="center"/>
          </w:tcPr>
          <w:p w14:paraId="177F92DB" w14:textId="77777777" w:rsidR="0064616D" w:rsidRPr="00A96836" w:rsidRDefault="000C2B1D"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Female</w:t>
            </w:r>
          </w:p>
        </w:tc>
        <w:tc>
          <w:tcPr>
            <w:tcW w:w="1890" w:type="dxa"/>
            <w:shd w:val="clear" w:color="auto" w:fill="auto"/>
            <w:vAlign w:val="bottom"/>
          </w:tcPr>
          <w:p w14:paraId="14319F5F"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1.58(0.81-3.08)</w:t>
            </w:r>
          </w:p>
        </w:tc>
        <w:tc>
          <w:tcPr>
            <w:tcW w:w="1170" w:type="dxa"/>
            <w:shd w:val="clear" w:color="auto" w:fill="auto"/>
            <w:vAlign w:val="bottom"/>
          </w:tcPr>
          <w:p w14:paraId="4EBBC1BF" w14:textId="77777777" w:rsidR="0064616D" w:rsidRPr="00A96836" w:rsidRDefault="000C2B1D"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0.181</w:t>
            </w:r>
          </w:p>
        </w:tc>
        <w:tc>
          <w:tcPr>
            <w:tcW w:w="1890" w:type="dxa"/>
            <w:shd w:val="clear" w:color="auto" w:fill="auto"/>
            <w:vAlign w:val="bottom"/>
          </w:tcPr>
          <w:p w14:paraId="1404AC1C" w14:textId="0F28522F"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2.11(0.99-4.47)</w:t>
            </w:r>
          </w:p>
        </w:tc>
        <w:tc>
          <w:tcPr>
            <w:tcW w:w="1193" w:type="dxa"/>
            <w:shd w:val="clear" w:color="auto" w:fill="auto"/>
            <w:vAlign w:val="bottom"/>
          </w:tcPr>
          <w:p w14:paraId="124B5AFB" w14:textId="1F2B8AC4" w:rsidR="0064616D"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0.051</w:t>
            </w:r>
          </w:p>
        </w:tc>
      </w:tr>
      <w:tr w:rsidR="003E465F" w:rsidRPr="00A96836" w14:paraId="1B25E7B4" w14:textId="77777777" w:rsidTr="00C70300">
        <w:trPr>
          <w:trHeight w:val="315"/>
        </w:trPr>
        <w:tc>
          <w:tcPr>
            <w:tcW w:w="3577" w:type="dxa"/>
            <w:shd w:val="clear" w:color="auto" w:fill="auto"/>
            <w:vAlign w:val="center"/>
          </w:tcPr>
          <w:p w14:paraId="4E486741" w14:textId="6EC5C0FA" w:rsidR="003E465F" w:rsidRPr="00A96836" w:rsidRDefault="00B624BC" w:rsidP="00C70300">
            <w:pPr>
              <w:spacing w:line="360" w:lineRule="auto"/>
              <w:rPr>
                <w:rFonts w:ascii="Times New Roman" w:eastAsia="Times New Roman" w:hAnsi="Times New Roman" w:cs="Times New Roman"/>
                <w:b/>
                <w:bCs/>
              </w:rPr>
            </w:pPr>
            <w:r>
              <w:rPr>
                <w:rFonts w:ascii="Times New Roman" w:eastAsia="Times New Roman" w:hAnsi="Times New Roman" w:cs="Times New Roman"/>
                <w:b/>
                <w:bCs/>
              </w:rPr>
              <w:t>Initial IOP</w:t>
            </w:r>
          </w:p>
        </w:tc>
        <w:tc>
          <w:tcPr>
            <w:tcW w:w="1890" w:type="dxa"/>
            <w:shd w:val="clear" w:color="auto" w:fill="auto"/>
            <w:vAlign w:val="bottom"/>
          </w:tcPr>
          <w:p w14:paraId="4AAE0E4A" w14:textId="709E81DE" w:rsidR="003E465F" w:rsidRPr="00A96836"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0.94(0.91-0.98)</w:t>
            </w:r>
          </w:p>
        </w:tc>
        <w:tc>
          <w:tcPr>
            <w:tcW w:w="1170" w:type="dxa"/>
            <w:shd w:val="clear" w:color="auto" w:fill="auto"/>
            <w:vAlign w:val="bottom"/>
          </w:tcPr>
          <w:p w14:paraId="12671962" w14:textId="6A50D4B2" w:rsidR="003E465F" w:rsidRPr="00A96836"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0.003</w:t>
            </w:r>
          </w:p>
        </w:tc>
        <w:tc>
          <w:tcPr>
            <w:tcW w:w="1890" w:type="dxa"/>
            <w:shd w:val="clear" w:color="auto" w:fill="auto"/>
          </w:tcPr>
          <w:p w14:paraId="184578AE" w14:textId="55E3F042" w:rsidR="003E465F" w:rsidRPr="00523645"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0.93(0.89-0.97)</w:t>
            </w:r>
          </w:p>
        </w:tc>
        <w:tc>
          <w:tcPr>
            <w:tcW w:w="1193" w:type="dxa"/>
            <w:shd w:val="clear" w:color="auto" w:fill="auto"/>
          </w:tcPr>
          <w:p w14:paraId="3C3367E7" w14:textId="7432D65C" w:rsidR="003E465F" w:rsidRPr="00523645" w:rsidRDefault="00B624BC" w:rsidP="003E465F">
            <w:pPr>
              <w:spacing w:line="360" w:lineRule="auto"/>
              <w:jc w:val="center"/>
              <w:rPr>
                <w:rFonts w:ascii="Times New Roman" w:eastAsia="Times New Roman" w:hAnsi="Times New Roman" w:cs="Times New Roman"/>
              </w:rPr>
            </w:pPr>
            <w:r>
              <w:rPr>
                <w:rFonts w:ascii="Times New Roman" w:eastAsia="Times New Roman" w:hAnsi="Times New Roman" w:cs="Times New Roman"/>
              </w:rPr>
              <w:t>0.001</w:t>
            </w:r>
          </w:p>
        </w:tc>
      </w:tr>
      <w:tr w:rsidR="003E465F" w:rsidRPr="00A96836" w14:paraId="4CAC0BFE" w14:textId="77777777" w:rsidTr="00C70300">
        <w:trPr>
          <w:trHeight w:val="315"/>
        </w:trPr>
        <w:tc>
          <w:tcPr>
            <w:tcW w:w="3577" w:type="dxa"/>
            <w:shd w:val="clear" w:color="auto" w:fill="auto"/>
            <w:vAlign w:val="center"/>
          </w:tcPr>
          <w:p w14:paraId="7C8A0F53"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 xml:space="preserve"> Vertical CDR</w:t>
            </w:r>
          </w:p>
        </w:tc>
        <w:tc>
          <w:tcPr>
            <w:tcW w:w="1890" w:type="dxa"/>
            <w:shd w:val="clear" w:color="auto" w:fill="auto"/>
            <w:vAlign w:val="bottom"/>
          </w:tcPr>
          <w:p w14:paraId="577AD0FF"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0.94(0.77-1.16)</w:t>
            </w:r>
          </w:p>
        </w:tc>
        <w:tc>
          <w:tcPr>
            <w:tcW w:w="1170" w:type="dxa"/>
            <w:shd w:val="clear" w:color="auto" w:fill="auto"/>
            <w:vAlign w:val="bottom"/>
          </w:tcPr>
          <w:p w14:paraId="1DB0AB91"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0.573</w:t>
            </w:r>
          </w:p>
        </w:tc>
        <w:tc>
          <w:tcPr>
            <w:tcW w:w="1890" w:type="dxa"/>
            <w:shd w:val="clear" w:color="auto" w:fill="auto"/>
          </w:tcPr>
          <w:p w14:paraId="1DB2A6DB" w14:textId="41C81731"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69B7D67B" w14:textId="67F3AAB1"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45A05654" w14:textId="77777777" w:rsidTr="00C70300">
        <w:trPr>
          <w:trHeight w:val="315"/>
        </w:trPr>
        <w:tc>
          <w:tcPr>
            <w:tcW w:w="3577" w:type="dxa"/>
            <w:shd w:val="clear" w:color="auto" w:fill="auto"/>
            <w:vAlign w:val="bottom"/>
          </w:tcPr>
          <w:p w14:paraId="3CE75763" w14:textId="5F7AE962"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color w:val="000000"/>
              </w:rPr>
              <w:lastRenderedPageBreak/>
              <w:t>Fundoscopy Cup Disc Notching</w:t>
            </w:r>
          </w:p>
        </w:tc>
        <w:tc>
          <w:tcPr>
            <w:tcW w:w="1890" w:type="dxa"/>
            <w:shd w:val="clear" w:color="auto" w:fill="auto"/>
            <w:vAlign w:val="bottom"/>
          </w:tcPr>
          <w:p w14:paraId="12103A3F" w14:textId="77777777"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13974F18" w14:textId="77777777"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2EC1F4C8" w14:textId="77777777" w:rsidR="003E465F" w:rsidRPr="00523645" w:rsidRDefault="003E465F" w:rsidP="003E465F">
            <w:pPr>
              <w:spacing w:line="360" w:lineRule="auto"/>
              <w:jc w:val="center"/>
              <w:rPr>
                <w:rFonts w:ascii="Times New Roman" w:eastAsia="Times New Roman" w:hAnsi="Times New Roman" w:cs="Times New Roman"/>
              </w:rPr>
            </w:pPr>
          </w:p>
        </w:tc>
        <w:tc>
          <w:tcPr>
            <w:tcW w:w="1193" w:type="dxa"/>
            <w:shd w:val="clear" w:color="auto" w:fill="auto"/>
            <w:vAlign w:val="bottom"/>
          </w:tcPr>
          <w:p w14:paraId="61D864CF" w14:textId="77777777" w:rsidR="003E465F" w:rsidRPr="00523645" w:rsidRDefault="003E465F" w:rsidP="003E465F">
            <w:pPr>
              <w:spacing w:line="360" w:lineRule="auto"/>
              <w:jc w:val="center"/>
              <w:rPr>
                <w:rFonts w:ascii="Times New Roman" w:eastAsia="Times New Roman" w:hAnsi="Times New Roman" w:cs="Times New Roman"/>
              </w:rPr>
            </w:pPr>
          </w:p>
        </w:tc>
      </w:tr>
      <w:tr w:rsidR="003E465F" w:rsidRPr="00A96836" w14:paraId="7F98F6CE" w14:textId="77777777" w:rsidTr="00C70300">
        <w:trPr>
          <w:trHeight w:val="315"/>
        </w:trPr>
        <w:tc>
          <w:tcPr>
            <w:tcW w:w="3577" w:type="dxa"/>
            <w:shd w:val="clear" w:color="auto" w:fill="auto"/>
            <w:vAlign w:val="bottom"/>
          </w:tcPr>
          <w:p w14:paraId="331CBB65" w14:textId="09584A8B" w:rsidR="003E465F" w:rsidRPr="003E465F"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Yes</w:t>
            </w:r>
          </w:p>
        </w:tc>
        <w:tc>
          <w:tcPr>
            <w:tcW w:w="1890" w:type="dxa"/>
            <w:shd w:val="clear" w:color="auto" w:fill="auto"/>
            <w:vAlign w:val="bottom"/>
          </w:tcPr>
          <w:p w14:paraId="704DD43A" w14:textId="1B30663A"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2.19(1.07-4.50)</w:t>
            </w:r>
          </w:p>
        </w:tc>
        <w:tc>
          <w:tcPr>
            <w:tcW w:w="1170" w:type="dxa"/>
            <w:shd w:val="clear" w:color="auto" w:fill="auto"/>
            <w:vAlign w:val="bottom"/>
          </w:tcPr>
          <w:p w14:paraId="74D39A4C" w14:textId="2ACE8D99"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0.032</w:t>
            </w:r>
          </w:p>
        </w:tc>
        <w:tc>
          <w:tcPr>
            <w:tcW w:w="1890" w:type="dxa"/>
            <w:shd w:val="clear" w:color="auto" w:fill="auto"/>
            <w:vAlign w:val="bottom"/>
          </w:tcPr>
          <w:p w14:paraId="74D33EBB" w14:textId="511AE7D8" w:rsidR="003E465F" w:rsidRPr="00523645"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2.39(1.10-5.19)</w:t>
            </w:r>
          </w:p>
        </w:tc>
        <w:tc>
          <w:tcPr>
            <w:tcW w:w="1193" w:type="dxa"/>
            <w:shd w:val="clear" w:color="auto" w:fill="auto"/>
            <w:vAlign w:val="bottom"/>
          </w:tcPr>
          <w:p w14:paraId="671A8624" w14:textId="103D2B54" w:rsidR="003E465F" w:rsidRPr="00523645"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0.028</w:t>
            </w:r>
          </w:p>
        </w:tc>
      </w:tr>
      <w:tr w:rsidR="003E465F" w:rsidRPr="00A96836" w14:paraId="404CDE52" w14:textId="77777777" w:rsidTr="00C70300">
        <w:trPr>
          <w:trHeight w:val="315"/>
        </w:trPr>
        <w:tc>
          <w:tcPr>
            <w:tcW w:w="3577" w:type="dxa"/>
            <w:shd w:val="clear" w:color="auto" w:fill="auto"/>
            <w:vAlign w:val="bottom"/>
          </w:tcPr>
          <w:p w14:paraId="2A4133F9" w14:textId="15B3F189" w:rsidR="003E465F" w:rsidRPr="003E465F"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No</w:t>
            </w:r>
          </w:p>
        </w:tc>
        <w:tc>
          <w:tcPr>
            <w:tcW w:w="1890" w:type="dxa"/>
            <w:shd w:val="clear" w:color="auto" w:fill="auto"/>
            <w:vAlign w:val="bottom"/>
          </w:tcPr>
          <w:p w14:paraId="2273AA1B" w14:textId="3345DB34"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Ref</w:t>
            </w:r>
          </w:p>
        </w:tc>
        <w:tc>
          <w:tcPr>
            <w:tcW w:w="1170" w:type="dxa"/>
            <w:shd w:val="clear" w:color="auto" w:fill="auto"/>
            <w:vAlign w:val="bottom"/>
          </w:tcPr>
          <w:p w14:paraId="4A518EB2" w14:textId="77777777"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35DC280B" w14:textId="19F729D7" w:rsidR="003E465F" w:rsidRPr="00523645"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color w:val="000000"/>
              </w:rPr>
              <w:t>Ref</w:t>
            </w:r>
          </w:p>
        </w:tc>
        <w:tc>
          <w:tcPr>
            <w:tcW w:w="1193" w:type="dxa"/>
            <w:shd w:val="clear" w:color="auto" w:fill="auto"/>
            <w:vAlign w:val="bottom"/>
          </w:tcPr>
          <w:p w14:paraId="59F8FE9E" w14:textId="77777777" w:rsidR="003E465F" w:rsidRPr="00523645" w:rsidRDefault="003E465F" w:rsidP="003E465F">
            <w:pPr>
              <w:spacing w:line="360" w:lineRule="auto"/>
              <w:jc w:val="center"/>
              <w:rPr>
                <w:rFonts w:ascii="Times New Roman" w:eastAsia="Times New Roman" w:hAnsi="Times New Roman" w:cs="Times New Roman"/>
              </w:rPr>
            </w:pPr>
          </w:p>
        </w:tc>
      </w:tr>
      <w:tr w:rsidR="003E465F" w:rsidRPr="00A96836" w14:paraId="4AE5C4D6" w14:textId="77777777" w:rsidTr="00C70300">
        <w:trPr>
          <w:trHeight w:val="315"/>
        </w:trPr>
        <w:tc>
          <w:tcPr>
            <w:tcW w:w="3577" w:type="dxa"/>
            <w:shd w:val="clear" w:color="auto" w:fill="auto"/>
            <w:vAlign w:val="center"/>
          </w:tcPr>
          <w:p w14:paraId="7377B568"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Optic Disc Hemorrhage</w:t>
            </w:r>
          </w:p>
        </w:tc>
        <w:tc>
          <w:tcPr>
            <w:tcW w:w="1890" w:type="dxa"/>
            <w:shd w:val="clear" w:color="auto" w:fill="auto"/>
            <w:vAlign w:val="bottom"/>
          </w:tcPr>
          <w:p w14:paraId="527747FF" w14:textId="3B9719A9"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4511ED29" w14:textId="2EC02A7C"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5BC40A78" w14:textId="77779106"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0AD28FDD" w14:textId="2B5E1AA3"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4B1E0FD9" w14:textId="77777777" w:rsidTr="00C70300">
        <w:trPr>
          <w:trHeight w:val="315"/>
        </w:trPr>
        <w:tc>
          <w:tcPr>
            <w:tcW w:w="3577" w:type="dxa"/>
            <w:shd w:val="clear" w:color="auto" w:fill="auto"/>
            <w:vAlign w:val="center"/>
          </w:tcPr>
          <w:p w14:paraId="6BBD1E61"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Yes</w:t>
            </w:r>
          </w:p>
        </w:tc>
        <w:tc>
          <w:tcPr>
            <w:tcW w:w="1890" w:type="dxa"/>
            <w:shd w:val="clear" w:color="auto" w:fill="auto"/>
            <w:vAlign w:val="bottom"/>
          </w:tcPr>
          <w:p w14:paraId="51436ADF"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2267BBC3" w14:textId="1D2A9278"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009AFE03" w14:textId="41C3E224"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550F6838" w14:textId="6A0798F9"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5BC5A372" w14:textId="77777777" w:rsidTr="00C70300">
        <w:trPr>
          <w:trHeight w:val="315"/>
        </w:trPr>
        <w:tc>
          <w:tcPr>
            <w:tcW w:w="3577" w:type="dxa"/>
            <w:shd w:val="clear" w:color="auto" w:fill="auto"/>
            <w:vAlign w:val="center"/>
          </w:tcPr>
          <w:p w14:paraId="5B52E587"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No</w:t>
            </w:r>
          </w:p>
        </w:tc>
        <w:tc>
          <w:tcPr>
            <w:tcW w:w="1890" w:type="dxa"/>
            <w:shd w:val="clear" w:color="auto" w:fill="auto"/>
            <w:vAlign w:val="bottom"/>
          </w:tcPr>
          <w:p w14:paraId="163C42E3"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0.78(0.27-2.23)</w:t>
            </w:r>
          </w:p>
        </w:tc>
        <w:tc>
          <w:tcPr>
            <w:tcW w:w="1170" w:type="dxa"/>
            <w:shd w:val="clear" w:color="auto" w:fill="auto"/>
            <w:vAlign w:val="bottom"/>
          </w:tcPr>
          <w:p w14:paraId="20DEC5F3"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0.643</w:t>
            </w:r>
          </w:p>
        </w:tc>
        <w:tc>
          <w:tcPr>
            <w:tcW w:w="1890" w:type="dxa"/>
            <w:shd w:val="clear" w:color="auto" w:fill="auto"/>
          </w:tcPr>
          <w:p w14:paraId="1D5CB9B2" w14:textId="04BF2024"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094CA0E8" w14:textId="371CB156"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1DDB924A" w14:textId="77777777" w:rsidTr="00C70300">
        <w:trPr>
          <w:trHeight w:val="315"/>
        </w:trPr>
        <w:tc>
          <w:tcPr>
            <w:tcW w:w="3577" w:type="dxa"/>
            <w:shd w:val="clear" w:color="auto" w:fill="auto"/>
            <w:vAlign w:val="center"/>
          </w:tcPr>
          <w:p w14:paraId="481C2AF9"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Type of glaucoma</w:t>
            </w:r>
          </w:p>
        </w:tc>
        <w:tc>
          <w:tcPr>
            <w:tcW w:w="1890" w:type="dxa"/>
            <w:shd w:val="clear" w:color="auto" w:fill="auto"/>
            <w:vAlign w:val="bottom"/>
          </w:tcPr>
          <w:p w14:paraId="7BA97522" w14:textId="0541BAA6"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2EFFA206" w14:textId="45A2167F"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1FF77FA5" w14:textId="5650C19C"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74E8B102" w14:textId="45FC9836"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50648D88" w14:textId="77777777" w:rsidTr="00C70300">
        <w:trPr>
          <w:trHeight w:val="315"/>
        </w:trPr>
        <w:tc>
          <w:tcPr>
            <w:tcW w:w="3577" w:type="dxa"/>
            <w:shd w:val="clear" w:color="auto" w:fill="auto"/>
            <w:vAlign w:val="center"/>
          </w:tcPr>
          <w:p w14:paraId="0B87DE67"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Primary glaucoma</w:t>
            </w:r>
          </w:p>
        </w:tc>
        <w:tc>
          <w:tcPr>
            <w:tcW w:w="1890" w:type="dxa"/>
            <w:shd w:val="clear" w:color="auto" w:fill="auto"/>
            <w:vAlign w:val="bottom"/>
          </w:tcPr>
          <w:p w14:paraId="766BCDC3"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20C1A276" w14:textId="7645D5B5"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3F823CA5" w14:textId="73205722"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025D4D21" w14:textId="06681C7F"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27113F22" w14:textId="77777777" w:rsidTr="00C70300">
        <w:trPr>
          <w:trHeight w:val="315"/>
        </w:trPr>
        <w:tc>
          <w:tcPr>
            <w:tcW w:w="3577" w:type="dxa"/>
            <w:shd w:val="clear" w:color="auto" w:fill="auto"/>
            <w:vAlign w:val="center"/>
          </w:tcPr>
          <w:p w14:paraId="3C966A22" w14:textId="77777777" w:rsidR="003E465F" w:rsidRPr="00A96836" w:rsidRDefault="003E465F"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Secondary glaucoma</w:t>
            </w:r>
          </w:p>
        </w:tc>
        <w:tc>
          <w:tcPr>
            <w:tcW w:w="1890" w:type="dxa"/>
            <w:shd w:val="clear" w:color="auto" w:fill="auto"/>
            <w:vAlign w:val="bottom"/>
          </w:tcPr>
          <w:p w14:paraId="71726F05"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0.48(0.23-1.01)</w:t>
            </w:r>
          </w:p>
        </w:tc>
        <w:tc>
          <w:tcPr>
            <w:tcW w:w="1170" w:type="dxa"/>
            <w:shd w:val="clear" w:color="auto" w:fill="auto"/>
            <w:vAlign w:val="bottom"/>
          </w:tcPr>
          <w:p w14:paraId="4E19F665" w14:textId="77777777" w:rsidR="003E465F" w:rsidRPr="00A96836" w:rsidRDefault="003E465F"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0.052</w:t>
            </w:r>
          </w:p>
        </w:tc>
        <w:tc>
          <w:tcPr>
            <w:tcW w:w="1890" w:type="dxa"/>
            <w:shd w:val="clear" w:color="auto" w:fill="auto"/>
          </w:tcPr>
          <w:p w14:paraId="550E69F7" w14:textId="3ABBAEE9"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25040A70" w14:textId="6319F58C"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3E465F" w:rsidRPr="00A96836" w14:paraId="6708CF73" w14:textId="77777777" w:rsidTr="00C70300">
        <w:trPr>
          <w:trHeight w:val="315"/>
        </w:trPr>
        <w:tc>
          <w:tcPr>
            <w:tcW w:w="3577" w:type="dxa"/>
            <w:shd w:val="clear" w:color="auto" w:fill="auto"/>
            <w:vAlign w:val="center"/>
          </w:tcPr>
          <w:p w14:paraId="01E63DBF" w14:textId="77777777" w:rsidR="003E465F" w:rsidRPr="00A96836" w:rsidRDefault="003E465F" w:rsidP="00C70300">
            <w:pPr>
              <w:spacing w:line="360" w:lineRule="auto"/>
              <w:rPr>
                <w:rFonts w:ascii="Times New Roman" w:eastAsia="Times New Roman" w:hAnsi="Times New Roman" w:cs="Times New Roman"/>
                <w:b/>
                <w:bCs/>
              </w:rPr>
            </w:pPr>
            <w:r w:rsidRPr="00A96836">
              <w:rPr>
                <w:rFonts w:ascii="Times New Roman" w:eastAsia="Times New Roman" w:hAnsi="Times New Roman" w:cs="Times New Roman"/>
                <w:b/>
                <w:bCs/>
              </w:rPr>
              <w:t>Associated Comorbidities disease</w:t>
            </w:r>
          </w:p>
        </w:tc>
        <w:tc>
          <w:tcPr>
            <w:tcW w:w="1890" w:type="dxa"/>
            <w:shd w:val="clear" w:color="auto" w:fill="auto"/>
            <w:vAlign w:val="bottom"/>
          </w:tcPr>
          <w:p w14:paraId="78DB7BA2" w14:textId="70247D35" w:rsidR="003E465F" w:rsidRPr="00A96836" w:rsidRDefault="003E465F" w:rsidP="003E465F">
            <w:pPr>
              <w:spacing w:line="360" w:lineRule="auto"/>
              <w:jc w:val="center"/>
              <w:rPr>
                <w:rFonts w:ascii="Times New Roman" w:eastAsia="Times New Roman" w:hAnsi="Times New Roman" w:cs="Times New Roman"/>
              </w:rPr>
            </w:pPr>
          </w:p>
        </w:tc>
        <w:tc>
          <w:tcPr>
            <w:tcW w:w="1170" w:type="dxa"/>
            <w:shd w:val="clear" w:color="auto" w:fill="auto"/>
            <w:vAlign w:val="bottom"/>
          </w:tcPr>
          <w:p w14:paraId="1722FF5A" w14:textId="42E44F38" w:rsidR="003E465F" w:rsidRPr="00A96836" w:rsidRDefault="003E465F" w:rsidP="003E465F">
            <w:pPr>
              <w:spacing w:line="360" w:lineRule="auto"/>
              <w:jc w:val="center"/>
              <w:rPr>
                <w:rFonts w:ascii="Times New Roman" w:eastAsia="Times New Roman" w:hAnsi="Times New Roman" w:cs="Times New Roman"/>
              </w:rPr>
            </w:pPr>
          </w:p>
        </w:tc>
        <w:tc>
          <w:tcPr>
            <w:tcW w:w="1890" w:type="dxa"/>
            <w:shd w:val="clear" w:color="auto" w:fill="auto"/>
          </w:tcPr>
          <w:p w14:paraId="34AACFBA" w14:textId="0EAB9805"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c>
          <w:tcPr>
            <w:tcW w:w="1193" w:type="dxa"/>
            <w:shd w:val="clear" w:color="auto" w:fill="auto"/>
          </w:tcPr>
          <w:p w14:paraId="17EFD69C" w14:textId="43763FCF" w:rsidR="003E465F" w:rsidRPr="00A96836" w:rsidRDefault="003E465F" w:rsidP="003E465F">
            <w:pPr>
              <w:spacing w:line="360" w:lineRule="auto"/>
              <w:jc w:val="center"/>
              <w:rPr>
                <w:rFonts w:ascii="Times New Roman" w:eastAsia="Times New Roman" w:hAnsi="Times New Roman" w:cs="Times New Roman"/>
              </w:rPr>
            </w:pPr>
            <w:r w:rsidRPr="00523645">
              <w:rPr>
                <w:rFonts w:ascii="Times New Roman" w:eastAsia="Times New Roman" w:hAnsi="Times New Roman" w:cs="Times New Roman"/>
              </w:rPr>
              <w:t>-</w:t>
            </w:r>
          </w:p>
        </w:tc>
      </w:tr>
      <w:tr w:rsidR="00661B1E" w:rsidRPr="00A96836" w14:paraId="0D416866" w14:textId="77777777" w:rsidTr="00C70300">
        <w:trPr>
          <w:trHeight w:val="315"/>
        </w:trPr>
        <w:tc>
          <w:tcPr>
            <w:tcW w:w="3577" w:type="dxa"/>
            <w:shd w:val="clear" w:color="auto" w:fill="auto"/>
            <w:vAlign w:val="center"/>
          </w:tcPr>
          <w:p w14:paraId="580B5222" w14:textId="77777777" w:rsidR="00661B1E" w:rsidRPr="00A96836" w:rsidRDefault="00661B1E"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Systemic Disease (HTN/DM/ETC)</w:t>
            </w:r>
          </w:p>
        </w:tc>
        <w:tc>
          <w:tcPr>
            <w:tcW w:w="1890" w:type="dxa"/>
            <w:shd w:val="clear" w:color="auto" w:fill="auto"/>
            <w:vAlign w:val="bottom"/>
          </w:tcPr>
          <w:p w14:paraId="455AB6A5"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70" w:type="dxa"/>
            <w:shd w:val="clear" w:color="auto" w:fill="auto"/>
            <w:vAlign w:val="bottom"/>
          </w:tcPr>
          <w:p w14:paraId="441DBF0B" w14:textId="4BBFDFA6" w:rsidR="00661B1E" w:rsidRPr="00A96836" w:rsidRDefault="00661B1E" w:rsidP="003E465F">
            <w:pPr>
              <w:spacing w:line="360" w:lineRule="auto"/>
              <w:jc w:val="center"/>
              <w:rPr>
                <w:rFonts w:ascii="Times New Roman" w:eastAsia="Times New Roman" w:hAnsi="Times New Roman" w:cs="Times New Roman"/>
              </w:rPr>
            </w:pPr>
          </w:p>
        </w:tc>
        <w:tc>
          <w:tcPr>
            <w:tcW w:w="1890" w:type="dxa"/>
            <w:shd w:val="clear" w:color="auto" w:fill="auto"/>
            <w:vAlign w:val="bottom"/>
          </w:tcPr>
          <w:p w14:paraId="4436E070"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Ref</w:t>
            </w:r>
          </w:p>
        </w:tc>
        <w:tc>
          <w:tcPr>
            <w:tcW w:w="1193" w:type="dxa"/>
            <w:shd w:val="clear" w:color="auto" w:fill="auto"/>
            <w:vAlign w:val="bottom"/>
          </w:tcPr>
          <w:p w14:paraId="084D018E" w14:textId="1AF3C803" w:rsidR="00661B1E" w:rsidRPr="00A96836" w:rsidRDefault="00661B1E" w:rsidP="003E465F">
            <w:pPr>
              <w:spacing w:line="360" w:lineRule="auto"/>
              <w:jc w:val="center"/>
              <w:rPr>
                <w:rFonts w:ascii="Times New Roman" w:eastAsia="Times New Roman" w:hAnsi="Times New Roman" w:cs="Times New Roman"/>
              </w:rPr>
            </w:pPr>
          </w:p>
        </w:tc>
      </w:tr>
      <w:tr w:rsidR="00661B1E" w:rsidRPr="00A96836" w14:paraId="5EBD437A" w14:textId="77777777" w:rsidTr="00C70300">
        <w:trPr>
          <w:trHeight w:val="315"/>
        </w:trPr>
        <w:tc>
          <w:tcPr>
            <w:tcW w:w="3577" w:type="dxa"/>
            <w:tcBorders>
              <w:bottom w:val="single" w:sz="12" w:space="0" w:color="auto"/>
            </w:tcBorders>
            <w:shd w:val="clear" w:color="auto" w:fill="auto"/>
            <w:vAlign w:val="center"/>
          </w:tcPr>
          <w:p w14:paraId="214ED34B" w14:textId="77777777" w:rsidR="00661B1E" w:rsidRPr="00A96836" w:rsidRDefault="00661B1E" w:rsidP="00C70300">
            <w:pPr>
              <w:spacing w:line="360" w:lineRule="auto"/>
              <w:ind w:firstLine="480"/>
              <w:rPr>
                <w:rFonts w:ascii="Times New Roman" w:eastAsia="Times New Roman" w:hAnsi="Times New Roman" w:cs="Times New Roman"/>
              </w:rPr>
            </w:pPr>
            <w:r w:rsidRPr="00A96836">
              <w:rPr>
                <w:rFonts w:ascii="Times New Roman" w:eastAsia="Times New Roman" w:hAnsi="Times New Roman" w:cs="Times New Roman"/>
              </w:rPr>
              <w:t>Ocular Disease</w:t>
            </w:r>
          </w:p>
        </w:tc>
        <w:tc>
          <w:tcPr>
            <w:tcW w:w="1890" w:type="dxa"/>
            <w:tcBorders>
              <w:bottom w:val="single" w:sz="12" w:space="0" w:color="auto"/>
            </w:tcBorders>
            <w:shd w:val="clear" w:color="auto" w:fill="auto"/>
            <w:vAlign w:val="bottom"/>
          </w:tcPr>
          <w:p w14:paraId="680CAD99"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0.39(0.18-0.83)</w:t>
            </w:r>
          </w:p>
        </w:tc>
        <w:tc>
          <w:tcPr>
            <w:tcW w:w="1170" w:type="dxa"/>
            <w:tcBorders>
              <w:bottom w:val="single" w:sz="12" w:space="0" w:color="auto"/>
            </w:tcBorders>
            <w:shd w:val="clear" w:color="auto" w:fill="auto"/>
            <w:vAlign w:val="bottom"/>
          </w:tcPr>
          <w:p w14:paraId="496CC01E" w14:textId="77777777"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0.015</w:t>
            </w:r>
          </w:p>
        </w:tc>
        <w:tc>
          <w:tcPr>
            <w:tcW w:w="1890" w:type="dxa"/>
            <w:tcBorders>
              <w:bottom w:val="single" w:sz="12" w:space="0" w:color="auto"/>
            </w:tcBorders>
            <w:shd w:val="clear" w:color="auto" w:fill="auto"/>
            <w:vAlign w:val="bottom"/>
          </w:tcPr>
          <w:p w14:paraId="6C130A33" w14:textId="6DA8AFF3"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w:t>
            </w:r>
            <w:r w:rsidR="00F670DC" w:rsidRPr="00A96836">
              <w:rPr>
                <w:rFonts w:ascii="Times New Roman" w:eastAsia="Times New Roman" w:hAnsi="Times New Roman" w:cs="Times New Roman"/>
              </w:rPr>
              <w:t>34</w:t>
            </w:r>
            <w:r w:rsidRPr="00A96836">
              <w:rPr>
                <w:rFonts w:ascii="Times New Roman" w:eastAsia="Times New Roman" w:hAnsi="Times New Roman" w:cs="Times New Roman"/>
              </w:rPr>
              <w:t>(0.1</w:t>
            </w:r>
            <w:r w:rsidR="00F670DC" w:rsidRPr="00A96836">
              <w:rPr>
                <w:rFonts w:ascii="Times New Roman" w:eastAsia="Times New Roman" w:hAnsi="Times New Roman" w:cs="Times New Roman"/>
              </w:rPr>
              <w:t>5</w:t>
            </w:r>
            <w:r w:rsidRPr="00A96836">
              <w:rPr>
                <w:rFonts w:ascii="Times New Roman" w:eastAsia="Times New Roman" w:hAnsi="Times New Roman" w:cs="Times New Roman"/>
              </w:rPr>
              <w:t>-0.</w:t>
            </w:r>
            <w:r w:rsidR="00F670DC" w:rsidRPr="00A96836">
              <w:rPr>
                <w:rFonts w:ascii="Times New Roman" w:eastAsia="Times New Roman" w:hAnsi="Times New Roman" w:cs="Times New Roman"/>
              </w:rPr>
              <w:t>79</w:t>
            </w:r>
            <w:r w:rsidRPr="00A96836">
              <w:rPr>
                <w:rFonts w:ascii="Times New Roman" w:eastAsia="Times New Roman" w:hAnsi="Times New Roman" w:cs="Times New Roman"/>
              </w:rPr>
              <w:t>)</w:t>
            </w:r>
          </w:p>
        </w:tc>
        <w:tc>
          <w:tcPr>
            <w:tcW w:w="1193" w:type="dxa"/>
            <w:tcBorders>
              <w:bottom w:val="single" w:sz="12" w:space="0" w:color="auto"/>
            </w:tcBorders>
            <w:shd w:val="clear" w:color="auto" w:fill="auto"/>
            <w:vAlign w:val="bottom"/>
          </w:tcPr>
          <w:p w14:paraId="317B356C" w14:textId="026B0C5A" w:rsidR="00661B1E" w:rsidRPr="00A96836" w:rsidRDefault="00661B1E" w:rsidP="003E465F">
            <w:pPr>
              <w:spacing w:line="360" w:lineRule="auto"/>
              <w:jc w:val="center"/>
              <w:rPr>
                <w:rFonts w:ascii="Times New Roman" w:eastAsia="Times New Roman" w:hAnsi="Times New Roman" w:cs="Times New Roman"/>
              </w:rPr>
            </w:pPr>
            <w:r w:rsidRPr="00A96836">
              <w:rPr>
                <w:rFonts w:ascii="Times New Roman" w:eastAsia="Times New Roman" w:hAnsi="Times New Roman" w:cs="Times New Roman"/>
              </w:rPr>
              <w:t>0.0</w:t>
            </w:r>
            <w:r w:rsidR="00F670DC" w:rsidRPr="00A96836">
              <w:rPr>
                <w:rFonts w:ascii="Times New Roman" w:eastAsia="Times New Roman" w:hAnsi="Times New Roman" w:cs="Times New Roman"/>
              </w:rPr>
              <w:t>1</w:t>
            </w:r>
            <w:r w:rsidRPr="00A96836">
              <w:rPr>
                <w:rFonts w:ascii="Times New Roman" w:eastAsia="Times New Roman" w:hAnsi="Times New Roman" w:cs="Times New Roman"/>
              </w:rPr>
              <w:t>2</w:t>
            </w:r>
          </w:p>
        </w:tc>
      </w:tr>
    </w:tbl>
    <w:p w14:paraId="1DD297F5" w14:textId="77777777" w:rsidR="0064616D" w:rsidRPr="00A96836" w:rsidRDefault="0064616D" w:rsidP="00A96836">
      <w:pPr>
        <w:pStyle w:val="Heading2"/>
        <w:spacing w:line="360" w:lineRule="auto"/>
        <w:jc w:val="both"/>
        <w:rPr>
          <w:rFonts w:ascii="Times New Roman" w:eastAsia="Times New Roman" w:hAnsi="Times New Roman" w:cs="Times New Roman"/>
          <w:b/>
          <w:color w:val="000000"/>
          <w:sz w:val="24"/>
          <w:szCs w:val="24"/>
        </w:rPr>
      </w:pPr>
    </w:p>
    <w:p w14:paraId="331C566A" w14:textId="63AA96F2" w:rsidR="0064616D" w:rsidRPr="00A96836" w:rsidRDefault="0064616D" w:rsidP="00A96836">
      <w:pPr>
        <w:spacing w:line="360" w:lineRule="auto"/>
        <w:jc w:val="both"/>
        <w:rPr>
          <w:rFonts w:ascii="Times New Roman" w:eastAsia="Times New Roman" w:hAnsi="Times New Roman" w:cs="Times New Roman"/>
        </w:rPr>
      </w:pPr>
    </w:p>
    <w:p w14:paraId="226DA14D" w14:textId="04223D61" w:rsidR="00C2013C" w:rsidRPr="00A96836" w:rsidRDefault="00C2013C" w:rsidP="00A96836">
      <w:pPr>
        <w:spacing w:line="360" w:lineRule="auto"/>
        <w:jc w:val="both"/>
        <w:rPr>
          <w:rFonts w:ascii="Times New Roman" w:eastAsia="Times New Roman" w:hAnsi="Times New Roman" w:cs="Times New Roman"/>
        </w:rPr>
      </w:pPr>
    </w:p>
    <w:p w14:paraId="30995F92" w14:textId="06F439C3" w:rsidR="00C2013C" w:rsidRPr="00A96836" w:rsidRDefault="00C2013C" w:rsidP="00A96836">
      <w:pPr>
        <w:spacing w:line="360" w:lineRule="auto"/>
        <w:jc w:val="both"/>
        <w:rPr>
          <w:rFonts w:ascii="Times New Roman" w:eastAsia="Times New Roman" w:hAnsi="Times New Roman" w:cs="Times New Roman"/>
        </w:rPr>
      </w:pPr>
    </w:p>
    <w:p w14:paraId="002FA4C7" w14:textId="232C08A0" w:rsidR="00685ECA" w:rsidRDefault="00685ECA" w:rsidP="00685ECA">
      <w:pPr>
        <w:pStyle w:val="Heading2"/>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6CB06803" w14:textId="6676D6A3" w:rsidR="00CB7DCE" w:rsidRDefault="00685ECA" w:rsidP="007379A2">
      <w:pPr>
        <w:spacing w:line="360" w:lineRule="auto"/>
        <w:jc w:val="both"/>
        <w:rPr>
          <w:rFonts w:ascii="Times New Roman" w:hAnsi="Times New Roman" w:cs="Times New Roman"/>
        </w:rPr>
      </w:pPr>
      <w:r>
        <w:rPr>
          <w:rFonts w:ascii="Times New Roman" w:hAnsi="Times New Roman" w:cs="Times New Roman"/>
        </w:rPr>
        <w:t xml:space="preserve">This study </w:t>
      </w:r>
      <w:r w:rsidR="002E18A6">
        <w:rPr>
          <w:rFonts w:ascii="Times New Roman" w:hAnsi="Times New Roman" w:cs="Times New Roman"/>
        </w:rPr>
        <w:t xml:space="preserve">evaluated the efficacy of limited TSCPC in lowering IOP among adult patients with refractory glaucoma treated at KCMC </w:t>
      </w:r>
      <w:r w:rsidR="005F4F70">
        <w:rPr>
          <w:rFonts w:ascii="Times New Roman" w:hAnsi="Times New Roman" w:cs="Times New Roman"/>
        </w:rPr>
        <w:t>Ophthalmology</w:t>
      </w:r>
      <w:r w:rsidR="002E18A6">
        <w:rPr>
          <w:rFonts w:ascii="Times New Roman" w:hAnsi="Times New Roman" w:cs="Times New Roman"/>
        </w:rPr>
        <w:t xml:space="preserve"> department.</w:t>
      </w:r>
      <w:r w:rsidR="0019119D">
        <w:rPr>
          <w:rFonts w:ascii="Times New Roman" w:hAnsi="Times New Roman" w:cs="Times New Roman"/>
        </w:rPr>
        <w:t xml:space="preserve"> </w:t>
      </w:r>
      <w:r w:rsidR="00CB7DCE">
        <w:rPr>
          <w:rFonts w:ascii="Times New Roman" w:hAnsi="Times New Roman" w:cs="Times New Roman"/>
        </w:rPr>
        <w:t>Although traditionally it is reserved for advanced disease or palliative care, CPC is increasingly being reconsidered for broader use due to improvement in technique and understanding of its safety profile.</w:t>
      </w:r>
    </w:p>
    <w:p w14:paraId="4675E72E" w14:textId="37025261" w:rsidR="00CB7DCE" w:rsidRDefault="00CB7DCE" w:rsidP="007379A2">
      <w:pPr>
        <w:spacing w:line="276" w:lineRule="auto"/>
        <w:jc w:val="both"/>
        <w:rPr>
          <w:rFonts w:ascii="Times New Roman" w:hAnsi="Times New Roman" w:cs="Times New Roman"/>
        </w:rPr>
      </w:pPr>
    </w:p>
    <w:p w14:paraId="51355E29" w14:textId="3C6B4E3C" w:rsidR="003668E3" w:rsidRDefault="00CB7DCE" w:rsidP="007379A2">
      <w:pPr>
        <w:spacing w:line="360" w:lineRule="auto"/>
        <w:jc w:val="both"/>
        <w:rPr>
          <w:rFonts w:ascii="Times New Roman" w:eastAsia="Times New Roman" w:hAnsi="Times New Roman" w:cs="Times New Roman"/>
        </w:rPr>
      </w:pPr>
      <w:r>
        <w:rPr>
          <w:rFonts w:ascii="Times New Roman" w:hAnsi="Times New Roman" w:cs="Times New Roman"/>
        </w:rPr>
        <w:t xml:space="preserve">Our findings </w:t>
      </w:r>
      <w:r w:rsidR="00AA784F">
        <w:rPr>
          <w:rFonts w:ascii="Times New Roman" w:hAnsi="Times New Roman" w:cs="Times New Roman"/>
        </w:rPr>
        <w:t>demonstrate</w:t>
      </w:r>
      <w:r w:rsidR="00CC2295">
        <w:rPr>
          <w:rFonts w:ascii="Times New Roman" w:hAnsi="Times New Roman" w:cs="Times New Roman"/>
        </w:rPr>
        <w:t xml:space="preserve"> </w:t>
      </w:r>
      <w:r>
        <w:rPr>
          <w:rFonts w:ascii="Times New Roman" w:hAnsi="Times New Roman" w:cs="Times New Roman"/>
        </w:rPr>
        <w:t>that limited CPC significantly reduces IOP in patients with refractory glaucoma</w:t>
      </w:r>
      <w:r w:rsidR="00AA784F">
        <w:rPr>
          <w:rFonts w:ascii="Times New Roman" w:hAnsi="Times New Roman" w:cs="Times New Roman"/>
        </w:rPr>
        <w:t xml:space="preserve">. A single treatment session led to an average IOP reduction of 46.2% from the baseline at 3 months, with nearly </w:t>
      </w:r>
      <w:r w:rsidR="00CC2295">
        <w:rPr>
          <w:rFonts w:ascii="Times New Roman" w:hAnsi="Times New Roman" w:cs="Times New Roman"/>
        </w:rPr>
        <w:t>half (48.6%) of patients achieving the target IOP of ≤ 21mmHg. These results align with widely reported success</w:t>
      </w:r>
      <w:r w:rsidR="00ED4316">
        <w:rPr>
          <w:rFonts w:ascii="Times New Roman" w:hAnsi="Times New Roman" w:cs="Times New Roman"/>
        </w:rPr>
        <w:t xml:space="preserve"> rates</w:t>
      </w:r>
      <w:r w:rsidR="00CC2295">
        <w:rPr>
          <w:rFonts w:ascii="Times New Roman" w:hAnsi="Times New Roman" w:cs="Times New Roman"/>
        </w:rPr>
        <w:t xml:space="preserve"> in global studies</w:t>
      </w:r>
      <w:r w:rsidR="00ED4316">
        <w:rPr>
          <w:rFonts w:ascii="Times New Roman" w:hAnsi="Times New Roman" w:cs="Times New Roman"/>
        </w:rPr>
        <w:t xml:space="preserve"> ranging between 40% and 60%, such as those</w:t>
      </w:r>
      <w:bookmarkStart w:id="12" w:name="_1od278rozjpd" w:colFirst="0" w:colLast="0"/>
      <w:bookmarkEnd w:id="12"/>
      <w:r w:rsidR="00ED4316">
        <w:rPr>
          <w:rFonts w:ascii="Times New Roman" w:hAnsi="Times New Roman" w:cs="Times New Roman"/>
        </w:rPr>
        <w:t xml:space="preserve"> </w:t>
      </w:r>
      <w:r w:rsidR="00DA67D2" w:rsidRPr="00A96836">
        <w:rPr>
          <w:rFonts w:ascii="Times New Roman" w:eastAsia="Times New Roman" w:hAnsi="Times New Roman" w:cs="Times New Roman"/>
        </w:rPr>
        <w:t>by</w:t>
      </w:r>
      <w:r w:rsidR="00FE79E3"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FE79E3"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FE79E3" w:rsidRPr="00A96836">
        <w:rPr>
          <w:rFonts w:ascii="Times New Roman" w:eastAsia="Times New Roman" w:hAnsi="Times New Roman" w:cs="Times New Roman"/>
        </w:rPr>
        <w:fldChar w:fldCharType="end"/>
      </w:r>
      <w:r w:rsidR="00BF46C7">
        <w:rPr>
          <w:rFonts w:ascii="Times New Roman" w:eastAsia="Times New Roman" w:hAnsi="Times New Roman" w:cs="Times New Roman"/>
        </w:rPr>
        <w:t xml:space="preserve"> and</w:t>
      </w:r>
      <w:r w:rsidR="00DA67D2" w:rsidRPr="00A96836">
        <w:rPr>
          <w:rFonts w:ascii="Times New Roman" w:eastAsia="Times New Roman" w:hAnsi="Times New Roman" w:cs="Times New Roman"/>
        </w:rPr>
        <w:t xml:space="preserve"> </w:t>
      </w:r>
      <w:r w:rsidR="00FE79E3"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FE79E3"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FE79E3" w:rsidRPr="00A96836">
        <w:rPr>
          <w:rFonts w:ascii="Times New Roman" w:eastAsia="Times New Roman" w:hAnsi="Times New Roman" w:cs="Times New Roman"/>
        </w:rPr>
        <w:fldChar w:fldCharType="end"/>
      </w:r>
      <w:r w:rsidR="00BF46C7">
        <w:rPr>
          <w:rFonts w:ascii="Times New Roman" w:eastAsia="Times New Roman" w:hAnsi="Times New Roman" w:cs="Times New Roman"/>
        </w:rPr>
        <w:t xml:space="preserve"> who reported success rates of approximately 50%</w:t>
      </w:r>
      <w:r w:rsidR="00DA67D2" w:rsidRPr="00A96836">
        <w:rPr>
          <w:rFonts w:ascii="Times New Roman" w:eastAsia="Times New Roman" w:hAnsi="Times New Roman" w:cs="Times New Roman"/>
        </w:rPr>
        <w:t xml:space="preserve"> </w:t>
      </w:r>
      <w:r w:rsidR="00BF46C7">
        <w:rPr>
          <w:rFonts w:ascii="Times New Roman" w:eastAsia="Times New Roman" w:hAnsi="Times New Roman" w:cs="Times New Roman"/>
        </w:rPr>
        <w:t xml:space="preserve">. Similarly, </w:t>
      </w:r>
      <w:r w:rsidR="00FE79E3"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{"citationItems":[{"id":"ITEM-1","itemData":{"DOI":"10.20471/acc.2021.60.02.01","ISSN":"13339451","PMID":"34744265","abstract":"Treating advanced glaucoma often requires numerous therapeutic modalities in order to achieve the desired intraocular pressure (IOP) reduction. The purpose of this study was to evaluate the IOP lowering efficacy of both cyclocryotherapy (CCT) and transscleral diode laser cyclophotocoagulation (TS-DCPC) in the management of refractory primary open-angle glaucoma. This prospective, randomized, controlled clinical trial included 40 patients (40 eyes) with refractory glaucoma treated at the Eye Department, Clinical Center of Vojvodina, Novi Sad, Serbia, between January 2016 and June 2019. Twenty patients underwent CCT (group 1), while another twenty patients were treated with TS-DCPC (group 2). Each patient underwent complete eye examination on the treatment day, as well as follow-up eye examinations 7 days and 1, 6 and 12 months after the intervention, when IOP and number of anti-glaucoma drugs used were recorded. The median baseline IOP was 36.50 mm Hg (IQR, 28.75-42.00) in group 1 and 27.00 mm Hg (IQR, 22.00-35.00) in group 2. Follow-up measurements of IOP in group 1 showed the following results: 16.50 mm Hg (IQR, 7.75-20.00) (60% decrease from the baseline value), 12.00 mm Hg (IQR, 9.25-18.00) (67% decrease from the baseline value), 9.00 mm Hg (IQR, 2.00-13.75) (73% decrease from the baseline value), and 9.50 (IQR, 2.50-12.00) (75% decrease from the baseline value) after 7 days, 1, 6 and 12 months, respectively. Follow-up measurements of IOP in group 2 showed the following results: 16.00 mm Hg (IQR, 10.00-17.00) (48% decrease from the baseline value), 14.00 mm Hg (IQR, 10.00-16.00) (56% decrease from the baseline value), 14.00 mm Hg (IQR, 12.25-16.50) (43% decrease from the baseline value) and 14.00 mm Hg (IQR, 11.25-15.75) (53% decrease from the baseline value) after 7 days, 1, 6 and 12 months, respectively. The mean number of antiglaucoma drugs used decreased from 4 to 0.65±0.81 and 2.25±1.07 in groups 1 and 2, respectively. In conclusion, study results confirmed the CCT and TS-DCPC to have a rapid and statistically significant ocular hypotensive effect in eyes with refractory glaucoma at one-year follow-up.","author":[{"dropping-particle":"","family":"Miljković","given":"Aleksandar","non-dropping-particle":"","parse-names":false,"suffix":""},{"dropping-particle":"","family":"Babić","given":"Nikola","non-dropping-particle":"","parse-names":false,"suffix":""},{"dropping-particle":"","family":"Čanadanović","given":"Vladimir","non-dropping-particle":"","parse-names":false,"suffix":""},{"dropping-particle":"","family":"Davidović","given":"Sofija","non-dropping-particle":"","parse-names":false,"suffix":""},{"dropping-particle":"","family":"Ljikar","given":"Jelena","non-dropping-particle":"","parse-names":false,"suffix":""},{"dropping-particle":"","family":"Vasin","given":"Marija","non-dropping-particle":"","parse-names":false,"suffix":""}],"container-title":"Acta Clinica Croatica","id":"ITEM-1","issue":"2","issued":{"date-parts":[["2021"]]},"page":"171-177","title":"Efficacy of cyclocryotherapy and transscleral diode laser cyclophotocoagulation in the management of refractory glaucoma","type":"article-journal","volume":"60"},"uris":["http://www.mendeley.com/documents/?uuid=eed3a8a2-f19b-419e-8177-67df69e9dc14"]}],"mendeley":{"formattedCitation":"(12)","plainTextFormattedCitation":"(12)","previouslyFormattedCitation":"(12)"},"properties":{"noteIndex":0},"schema":"https://github.com/citation-style-language/schema/raw/master/csl-citation.json"}</w:instrText>
      </w:r>
      <w:r w:rsidR="00FE79E3"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(12)</w:t>
      </w:r>
      <w:r w:rsidR="00FE79E3" w:rsidRPr="00A96836">
        <w:rPr>
          <w:rFonts w:ascii="Times New Roman" w:eastAsia="Times New Roman" w:hAnsi="Times New Roman" w:cs="Times New Roman"/>
        </w:rPr>
        <w:fldChar w:fldCharType="end"/>
      </w:r>
      <w:r w:rsidR="00BF46C7">
        <w:rPr>
          <w:rFonts w:ascii="Times New Roman" w:eastAsia="Times New Roman" w:hAnsi="Times New Roman" w:cs="Times New Roman"/>
        </w:rPr>
        <w:t xml:space="preserve"> in Serbia reported a 45% success rate at 6months, increasing to 55% at 12</w:t>
      </w:r>
      <w:r w:rsidR="007379A2">
        <w:rPr>
          <w:rFonts w:ascii="Times New Roman" w:eastAsia="Times New Roman" w:hAnsi="Times New Roman" w:cs="Times New Roman"/>
        </w:rPr>
        <w:t xml:space="preserve"> months, while </w:t>
      </w:r>
      <w:r w:rsidR="00F27A8B" w:rsidRPr="00D44AAC">
        <w:rPr>
          <w:rFonts w:ascii="Times New Roman" w:hAnsi="Times New Roman" w:cs="Times New Roman"/>
        </w:rPr>
        <w:fldChar w:fldCharType="begin" w:fldLock="1"/>
      </w:r>
      <w:r w:rsidR="00DB630F">
        <w:rPr>
          <w:rFonts w:ascii="Times New Roman" w:hAnsi="Times New Roman" w:cs="Times New Roman"/>
        </w:rPr>
        <w:instrText>ADDIN CSL_CITATION {"citationItems":[{"id":"ITEM-1","itemData":{"DOI":"10.4274/tjo.18559","ISSN":"21498709","PMID":"30605936","abstract":"Objectives: To evaluate the efficacy and safety of transscleral cyclophotocoagulation (TS-CPC) limited to 180° of ciliary body ablation in patients with various forms of refractory glaucoma. Materials and Methods: Thirty eyes with refractory glaucoma treated with 180° TS-CPC were retrospectively analyzed for intraocular pressure (IOP) reduction and success rates. Patients’ age, gender, type of glaucoma, number of diode laser treatment sessions, postoperative complications, number of hypotensive medications required to control IOP, and best corrected visual acuity (BCVA) were evaluated. The criteria for success were defined as postoperative IOP &lt;21 mmHg or &gt;20% decrease in IOP with or without additional medical treatment. Results: The mean age of all patients was 51.3±26.9 years (range,1-84 years). The mean postoperative IOP level (23.9±8.5 mmHg) was significantly lower than preoperative IOP (39.2±8.9 mmHg) (p&lt;0.001). The success rate was 66.6% after the first laser treatment and reached 86.7% following repeat laser treatments over an average follow-up period of 22.2±19.9 months. The need for topical hypotensive medications decreased from 2.8±1.0 preoperatively to 2.4±1.3 following TS-CPC (p=0.048). Two patients (6.6%) had a one-line decrease in their BCVA following TS-CPC. Transient hypotony and hyphema developed in 4 patients (13.3%). Total laser energy delivered did not correlate with either preoperative (rho=0.10; p=0.594) or postoperative IOP (rho=0.21; p=0.260). Conclusion: TS-CPC limited to 180° of ciliary body ablation is associated with a reasonable success rate and low incidence of adverse effects in patients with refractory glaucoma.","author":[{"dropping-particle":"","family":"Aygün","given":"Figen Bezci","non-dropping-particle":"","parse-names":false,"suffix":""},{"dropping-particle":"","family":"Mocan","given":"Mehmet Cem","non-dropping-particle":"","parse-names":false,"suffix":""},{"dropping-particle":"","family":"Kocabeyoğlu","given":"Sibel","non-dropping-particle":"","parse-names":false,"suffix":""},{"dropping-particle":"","family":"İrkeç","given":"Murat","non-dropping-particle":"","parse-names":false,"suffix":""}],"container-title":"Turkish Journal of Ophthalmology","id":"ITEM-1","issue":"6","issued":{"date-parts":[["2018"]]},"page":"299-303","title":"Efficacy of 180° cyclodiode transscleral photocoagulation for refractory glaucoma","type":"article-journal","volume":"48"},"uris":["http://www.mendeley.com/documents/?uuid=5ee10bf5-6961-4d23-b10e-e4469ec304c0"]}],"mendeley":{"formattedCitation":"(13)","plainTextFormattedCitation":"(13)","previouslyFormattedCitation":"(13)"},"properties":{"noteIndex":0},"schema":"https://github.com/citation-style-language/schema/raw/master/csl-citation.json"}</w:instrText>
      </w:r>
      <w:r w:rsidR="00F27A8B" w:rsidRPr="00D44AAC">
        <w:rPr>
          <w:rFonts w:ascii="Times New Roman" w:hAnsi="Times New Roman" w:cs="Times New Roman"/>
        </w:rPr>
        <w:fldChar w:fldCharType="separate"/>
      </w:r>
      <w:r w:rsidR="006F2937" w:rsidRPr="006F2937">
        <w:rPr>
          <w:rFonts w:ascii="Times New Roman" w:hAnsi="Times New Roman" w:cs="Times New Roman"/>
          <w:noProof/>
        </w:rPr>
        <w:t>(13)</w:t>
      </w:r>
      <w:r w:rsidR="00F27A8B" w:rsidRPr="00D44AAC">
        <w:rPr>
          <w:rFonts w:ascii="Times New Roman" w:hAnsi="Times New Roman" w:cs="Times New Roman"/>
        </w:rPr>
        <w:fldChar w:fldCharType="end"/>
      </w:r>
      <w:r w:rsidR="007379A2">
        <w:rPr>
          <w:rFonts w:ascii="Times New Roman" w:hAnsi="Times New Roman" w:cs="Times New Roman"/>
        </w:rPr>
        <w:t xml:space="preserve"> in Turkey also reported a comparable cumulative </w:t>
      </w:r>
      <w:r w:rsidR="007379A2">
        <w:rPr>
          <w:rFonts w:ascii="Times New Roman" w:hAnsi="Times New Roman" w:cs="Times New Roman"/>
        </w:rPr>
        <w:lastRenderedPageBreak/>
        <w:t xml:space="preserve">success rate of 46.6% at one year post treatment. </w:t>
      </w:r>
      <w:r w:rsidR="007379A2" w:rsidRPr="007379A2">
        <w:rPr>
          <w:rFonts w:ascii="Times New Roman" w:eastAsia="Times New Roman" w:hAnsi="Times New Roman" w:cs="Times New Roman"/>
        </w:rPr>
        <w:t>These consistent results across diverse populations support CPC’s general effectiveness.</w:t>
      </w:r>
    </w:p>
    <w:p w14:paraId="334DF815" w14:textId="5132FC31" w:rsidR="00DE4A53" w:rsidRDefault="00DE4A53" w:rsidP="007379A2">
      <w:pPr>
        <w:spacing w:line="360" w:lineRule="auto"/>
        <w:jc w:val="both"/>
        <w:rPr>
          <w:rFonts w:ascii="Times New Roman" w:eastAsia="Times New Roman" w:hAnsi="Times New Roman" w:cs="Times New Roman"/>
        </w:rPr>
      </w:pPr>
    </w:p>
    <w:p w14:paraId="076A293C" w14:textId="07930062" w:rsidR="003668E3" w:rsidRPr="000618D6" w:rsidRDefault="00DE4A53" w:rsidP="00DE4A53">
      <w:pPr>
        <w:spacing w:line="36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Comparable findings have also been reported in Sub Saharan Africa. In Malawi,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{"citationItems":[{"id":"ITEM-1","itemData":{"DOI":"10.1007/s00417-013-2441-1","ISSN":"0721832X","PMID":"23963489","abstract":"Purpose: To investigate if low-dose 810 nm transscleral cyclophotocoagulation (TSCPC) can be used as single treatment in Malawian glaucoma patients. Methods: Forty-seven eyes of 28 patients with primary open-angle and pseudoexfoliation glaucoma were treated with TSCPC using 12 spots with 900 mW, 2,000 ms (1.8 J per spot); six spots in the upper half, six in the lower by sparing the 3 and 9 o'clock positions ±20. Intraocular pressure (IOP) and uncorrected visual acuity (UVA) were measured by an independent examiner preoperatively, on the first postoperative day, after 2 weeks, and after 3 months. Results: Twenty-four (86 %) and 18 (64 %) of 28 patients (31 of 47 eyes; 66 %) completed follow-up at 2 weeks and at 3 months respectively. After a single treatment session, IOP decreased by at least 25 % in 88 % (21 of 24) after 2 weeks, and in 50 % (nine of 18) of patients after 3 months. Mean IOP was 38.5 mmHg before TSCPC, 23.5 mmHg (p &lt; 0.001) after 1 day, 24.5 mmHg (p &lt; 0.001) after 2 weeks, and 35.6 mmHg (p = 0.37) after 3 months. In three patients, however, IOP increased after 3 months to levels significantly higher than before TSCPC. Conclusion: Low-dose TSCPC caused a significant IOP lowering for up to 2 weeks (15 mmHg less from baseline) in most patients. After 3 months, this effect was stable in 50 % of patients; in the other half, IOP nearly returned back to baseline. © 2013 Springer-Verlag Berlin Heidelberg.","author":[{"dropping-particle":"","family":"Schulze Schwering","given":"Markus","non-dropping-particle":"","parse-names":false,"suffix":""},{"dropping-particle":"","family":"Kayange","given":"Petros","non-dropping-particle":"","parse-names":false,"suffix":""},{"dropping-particle":"","family":"Klauss","given":"Volker","non-dropping-particle":"","parse-names":false,"suffix":""},{"dropping-particle":"","family":"Kalua","given":"Khumbo","non-dropping-particle":"","parse-names":false,"suffix":""},{"dropping-particle":"","family":"Spitzer","given":"Martin S.","non-dropping-particle":"","parse-names":false,"suffix":""}],"container-title":"Graefe's Archive for Clinical and Experimental Ophthalmology","id":"ITEM-1","issue":"10","issued":{"date-parts":[["2013"]]},"page":"2389-2393","title":"Low-dose transscleral diode laser cyclophotocoagulation (TSCPC) as a potential single treatment for primary open-angle glaucoma (POAG) in Malawi?","type":"article-journal","volume":"251"},"uris":["http://www.mendeley.com/documents/?uuid=41a18f84-b261-44b7-b8da-1c8717996fc2"]}],"mendeley":{"formattedCitation":"(14)","plainTextFormattedCitation":"(14)","previouslyFormattedCitation":"(14)"},"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(14)</w:t>
      </w:r>
      <w:r w:rsidR="00130694" w:rsidRPr="00A96836">
        <w:rPr>
          <w:rFonts w:ascii="Times New Roman" w:eastAsia="Times New Roman" w:hAnsi="Times New Roman" w:cs="Times New Roman"/>
        </w:rPr>
        <w:fldChar w:fldCharType="end"/>
      </w:r>
      <w:r>
        <w:rPr>
          <w:rFonts w:ascii="Times New Roman" w:eastAsia="Times New Roman" w:hAnsi="Times New Roman" w:cs="Times New Roman"/>
        </w:rPr>
        <w:t xml:space="preserve"> observed a 50% success rate at 3months post CPC and 50% of participants required retreatment</w:t>
      </w:r>
      <w:r w:rsidR="003668E3" w:rsidRPr="00A96836">
        <w:rPr>
          <w:rFonts w:ascii="Times New Roman" w:eastAsia="Times New Roman" w:hAnsi="Times New Roman" w:cs="Times New Roman"/>
        </w:rPr>
        <w:t xml:space="preserve">. </w:t>
      </w:r>
      <w:r w:rsidR="000618D6">
        <w:rPr>
          <w:rFonts w:ascii="Times New Roman" w:eastAsia="Times New Roman" w:hAnsi="Times New Roman" w:cs="Times New Roman"/>
        </w:rPr>
        <w:t>In South Africa,</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{"citationItems":[{"id":"ITEM-1","itemData":{"author":[{"dropping-particle":"","family":"Thomas","given":"Jason Peter","non-dropping-particle":"","parse-names":false,"suffix":""}],"id":"ITEM-1","issue":"April","issued":{"date-parts":[["2022"]]},"title":"The Efficacy and Safety of Diode Laser Cycloablation in the Treatment of Refractory Glaucoma in a South African Population","type":"article-journal"},"uris":["http://www.mendeley.com/documents/?uuid=2499368a-b5f6-4170-9728-4fcc3c744ed4"]}],"mendeley":{"formattedCitation":"(15)","plainTextFormattedCitation":"(15)","previouslyFormattedCitation":"(15)"},"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(15)</w:t>
      </w:r>
      <w:r w:rsidR="00130694" w:rsidRPr="00A96836">
        <w:rPr>
          <w:rFonts w:ascii="Times New Roman" w:eastAsia="Times New Roman" w:hAnsi="Times New Roman" w:cs="Times New Roman"/>
        </w:rPr>
        <w:fldChar w:fldCharType="end"/>
      </w:r>
      <w:r w:rsidR="00130694" w:rsidRPr="00A96836">
        <w:rPr>
          <w:rFonts w:ascii="Times New Roman" w:eastAsia="Times New Roman" w:hAnsi="Times New Roman" w:cs="Times New Roman"/>
        </w:rPr>
        <w:t xml:space="preserve"> </w:t>
      </w:r>
      <w:r w:rsidR="000618D6">
        <w:rPr>
          <w:rFonts w:ascii="Times New Roman" w:eastAsia="Times New Roman" w:hAnsi="Times New Roman" w:cs="Times New Roman"/>
        </w:rPr>
        <w:t>documented success rates ranging from 40% to 60% highlighting the role of  treatment parameters such as laser power and the extent of ciliary body coverage.</w:t>
      </w:r>
      <w:r w:rsidR="002B2210">
        <w:rPr>
          <w:rFonts w:ascii="Times New Roman" w:eastAsia="Times New Roman" w:hAnsi="Times New Roman" w:cs="Times New Roman"/>
        </w:rPr>
        <w:t xml:space="preserve"> Similarly</w:t>
      </w:r>
      <w:r w:rsidR="002B2210">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10.1038/eye.2012.269","ISSN":"14765454","author":[{"dropping-particle":"","family":"Mavrakanas","given":"N.","non-dropping-particle":"","parse-names":false,"suffix":""},{"dropping-particle":"","family":"Dhalla","given":"K.","non-dropping-particle":"","parse-names":false,"suffix":""},{"dropping-particle":"","family":"Kapesa","given":"I.","non-dropping-particle":"","parse-names":false,"suffix":""},{"dropping-particle":"","family":"Alibhai","given":"A.","non-dropping-particle":"","parse-names":false,"suffix":""},{"dropping-particle":"","family":"Murdoch","given":"I.","non-dropping-particle":"","parse-names":false,"suffix":""}],"container-title":"Eye (Basingstoke)","id":"ITEM-1","issue":"3","issued":{"date-parts":[["2013"]]},"page":"453-454","publisher":"Nature Publishing Group","title":"Diode laser transscleral cyclophotocoagulation for the treatment of glaucoma in East Africa","type":"article-journal","volume":"27"},"uris":["http://www.mendeley.com/documents/?uuid=4376618a-1a52-41b6-b0b9-c79859d711c6"]}],"mendeley":{"formattedCitation":"(16)","plainTextFormattedCitation":"(16)","previouslyFormattedCitation":"(16)"},"properties":{"noteIndex":0},"schema":"https://github.com/citation-style-language/schema/raw/master/csl-citation.json"}</w:instrText>
      </w:r>
      <w:r w:rsidR="002B2210">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(16)</w:t>
      </w:r>
      <w:r w:rsidR="002B2210">
        <w:rPr>
          <w:rFonts w:ascii="Times New Roman" w:eastAsia="Times New Roman" w:hAnsi="Times New Roman" w:cs="Times New Roman"/>
        </w:rPr>
        <w:fldChar w:fldCharType="end"/>
      </w:r>
      <w:r w:rsidR="002B2210">
        <w:rPr>
          <w:rFonts w:ascii="Times New Roman" w:eastAsia="Times New Roman" w:hAnsi="Times New Roman" w:cs="Times New Roman"/>
        </w:rPr>
        <w:t xml:space="preserve"> in retrospective study conducted in Tanzania, reported success rates between 43% and 53% following TSCPC. </w:t>
      </w:r>
    </w:p>
    <w:p w14:paraId="33A338EE" w14:textId="5914FC61" w:rsidR="00243CD6" w:rsidRDefault="00AD4A85"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Some studies have reported higher success rates, for example,</w:t>
      </w:r>
      <w:r w:rsidR="003668E3" w:rsidRPr="00A96836">
        <w:rPr>
          <w:rFonts w:ascii="Times New Roman" w:eastAsia="Times New Roman" w:hAnsi="Times New Roman" w:cs="Times New Roman"/>
        </w:rPr>
        <w:t xml:space="preserve">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{"citationItems":[{"id":"ITEM-1","itemData":{"DOI":"10.1111/ceo.13328","ISSN":"14429071","PMID":"29808573","abstract":"Importance: To investigate the safety, effectiveness and follow-up rates after transscleral diode laser cyclophotocoagulation as primary treatment for seeing eyes with primary open angle glaucoma in Bauchi, Nigeria. Background: There is a high prevalence of primary open angle glaucoma in Africa where adherence to medical treatment and acceptance of surgery are poor. Design: Prospective case series. Participants: New glaucoma patients where surgical intervention was recommended. Methods: A diode 810 nm laser G-probe was used under retrobulbar anaesthesia to deliver approximately 20 shots for 2000 ms, titrating the power. If both eyes were treated the first was the study eye. Repeat treatment offered if the intraocular pressure (IOP) was &gt;21 mmHg on two consecutive visits. Main Outcome Measures: IOP &lt; 22 mmHg, change in ≥2 lines of Snellen visual acuity (VA), and complications. Results: 201 out of 204 eyes with complete data analysed. Mean age 52 years, 17 (8.3%) eyes were re-treated. Mean pre-treatment IOP was 39 (SD 11) mmHg. 106 (53%) attended at 12 months when the mean IOP was 19 (7–45) mmHg; 77 (73%) had IOP &lt; 22 mmHg. VAs were better in 13 (12.3%) and worse in 23 (21.7%) eyes. Postoperative complications included mild uveitis (5.5%), corneal oedema (2.5%), severe uveitis (0.5%) and transient hypotony (2.0%). No hypotony at 12 months. Conclusions and Relevance: Transscleral diode laser cyclophotocoagulation controlled IOP in almost three quarters of eyes at 12 months with short-term preservation of vision and minimal complications. Poor follow-up in this setting highlights the need for an effective, safe and acceptable treatment where regular follow-up is less critical.","author":[{"dropping-particle":"","family":"Abdull","given":"Mohammed M.","non-dropping-particle":"","parse-names":false,"suffix":""},{"dropping-particle":"","family":"Broadway","given":"David C.","non-dropping-particle":"","parse-names":false,"suffix":""},{"dropping-particle":"","family":"Evans","given":"Jennifer","non-dropping-particle":"","parse-names":false,"suffix":""},{"dropping-particle":"","family":"Kyari","given":"Fatima","non-dropping-particle":"","parse-names":false,"suffix":""},{"dropping-particle":"","family":"Muazu","given":"Fatima","non-dropping-particle":"","parse-names":false,"suffix":""},{"dropping-particle":"","family":"Gilbert","given":"Clare","non-dropping-particle":"","parse-names":false,"suffix":""}],"container-title":"Clinical and Experimental Ophthalmology","id":"ITEM-1","issue":"9","issued":{"date-parts":[["2018"]]},"page":"1041-1047","title":"Safety and effectiveness of primary transscleral diode laser cyclophotoablation for glaucoma in Nigeria","type":"article-journal","volume":"46"},"uris":["http://www.mendeley.com/documents/?uuid=5a405e76-4b11-4549-859b-ff72fd6c906a"]}],"mendeley":{"formattedCitation":"(17)","plainTextFormattedCitation":"(17)","previouslyFormattedCitation":"(17)"},"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(17)</w:t>
      </w:r>
      <w:r w:rsidR="00130694" w:rsidRPr="00A96836">
        <w:rPr>
          <w:rFonts w:ascii="Times New Roman" w:eastAsia="Times New Roman" w:hAnsi="Times New Roman" w:cs="Times New Roman"/>
        </w:rPr>
        <w:fldChar w:fldCharType="end"/>
      </w:r>
      <w:r w:rsidR="003668E3" w:rsidRPr="00A96836">
        <w:rPr>
          <w:rFonts w:ascii="Times New Roman" w:eastAsia="Times New Roman" w:hAnsi="Times New Roman" w:cs="Times New Roman"/>
        </w:rPr>
        <w:t xml:space="preserve"> </w:t>
      </w:r>
      <w:r>
        <w:rPr>
          <w:rFonts w:ascii="Times New Roman" w:eastAsia="Times New Roman" w:hAnsi="Times New Roman" w:cs="Times New Roman"/>
        </w:rPr>
        <w:t xml:space="preserve">in Nigeria observed </w:t>
      </w:r>
      <w:r w:rsidR="00D3419A">
        <w:rPr>
          <w:rFonts w:ascii="Times New Roman" w:eastAsia="Times New Roman" w:hAnsi="Times New Roman" w:cs="Times New Roman"/>
        </w:rPr>
        <w:t xml:space="preserve">a 73% success rate after 12 months of follow up. In another prospective study,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{"citationItems":[{"id":"ITEM-1","itemData":{"DOI":"10.1111/ceo.12360","ISSN":"14429071","PMID":"24811050","abstract":"Background: The aim of this study was to compare the efficacy and safety of micropulse and continuous wave diode transscleral cyclophotocoagulation in refractory glaucoma. Design: Randomized, comparative, exploratory study in a tertiary hospital setting. Participants: Patients with refractory, end-stage glaucoma. Methods: Forty-eight patients were randomized to either treatment. The intraocular pressure, visual acuity, number of medicines and repeat treatment were monitored for 18 months. Complications that include visual acuity decline, prolonged anterior chamber inflammation, phthisis bulbi, scleral thinning and ocular pain were noted. Main Outcome Measure: Intraocular pressure between 6 and 21mmHg and at least a 30% reduction with or without anti-glaucoma medications after 18 months. Results: A successful primary outcome was achieved in 75% of patients who underwent micropulse cyclophotocoagulation and 29% of patients who received continuous wave cyclophotocoagulation after 12 months (P&lt;0.01). At 18 months, successful outcome was 52% and 30% (P=0.13), respectively. The mean intraocular pressure was reduced by 45% in both groups (P=0.70) from a baseline of 36.5mmHg and 35.0mmHg (P=0.50) after 17.5±1.6 months (range 16-19) follow up. No significant difference in retreatment rates or number of intraocular pressure lowering medications was noted. The ocular complication rate was higher in continuous wave treated eyes (P=0.01). Conclusion: Diode transscleral cyclophotocoagulation in both micropulse and continuous modes was effective in lowering intraocular pressure. The micropulse mode provided a more consistent and predictable effect in lowering intraocular pressure with minimal ocular complications.","author":[{"dropping-particle":"","family":"Aquino","given":"Maria Cecilia D.","non-dropping-particle":"","parse-names":false,"suffix":""},{"dropping-particle":"","family":"Barton","given":"Keith","non-dropping-particle":"","parse-names":false,"suffix":""},{"dropping-particle":"","family":"Tan","given":"Anna Marie W.T.","non-dropping-particle":"","parse-names":false,"suffix":""},{"dropping-particle":"","family":"Sng","given":"Chelvin","non-dropping-particle":"","parse-names":false,"suffix":""},{"dropping-particle":"","family":"Li","given":"Xiang","non-dropping-particle":"","parse-names":false,"suffix":""},{"dropping-particle":"","family":"Loon","given":"Seng Chee","non-dropping-particle":"","parse-names":false,"suffix":""},{"dropping-particle":"","family":"Chew","given":"Paul T.K.","non-dropping-particle":"","parse-names":false,"suffix":""}],"container-title":"Clinical and Experimental Ophthalmology","id":"ITEM-1","issue":"1","issued":{"date-parts":[["2015"]]},"page":"40-46","title":"Micropulse versus continuous wave transscleral diode cyclophotocoagulation in refractory glaucoma: A randomized exploratory study","type":"article-journal","volume":"43"},"uris":["http://www.mendeley.com/documents/?uuid=de1cdf18-8117-4654-bb68-c7223cb3781a"]}],"mendeley":{"formattedCitation":"(18)","plainTextFormattedCitation":"(18)","previouslyFormattedCitation":"(18)"},"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(18)</w:t>
      </w:r>
      <w:r w:rsidR="00130694" w:rsidRPr="00A96836">
        <w:rPr>
          <w:rFonts w:ascii="Times New Roman" w:eastAsia="Times New Roman" w:hAnsi="Times New Roman" w:cs="Times New Roman"/>
        </w:rPr>
        <w:fldChar w:fldCharType="end"/>
      </w:r>
      <w:r w:rsidR="00D3419A">
        <w:rPr>
          <w:rFonts w:ascii="Times New Roman" w:eastAsia="Times New Roman" w:hAnsi="Times New Roman" w:cs="Times New Roman"/>
        </w:rPr>
        <w:t xml:space="preserve"> evaluated CW-TSCPC in patients with different types of glaucoma and reported success rates between 55% and 65%</w:t>
      </w:r>
      <w:r w:rsidR="003668E3" w:rsidRPr="00A96836">
        <w:rPr>
          <w:rFonts w:ascii="Times New Roman" w:eastAsia="Times New Roman" w:hAnsi="Times New Roman" w:cs="Times New Roman"/>
        </w:rPr>
        <w:t xml:space="preserve">. </w:t>
      </w:r>
      <w:r w:rsidR="00130694"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{"citationItems":[{"id":"ITEM-1","itemData":{"DOI":"10.1097/IJG.0000000000001057","ISBN":"0000000000","ISSN":"1536481X","PMID":"30113509","abstract":"Background/Aims: The main aim of this study was to evaluate the safety and efficacy of diode laser transscleral cyclophotocoagulation (TSCPC) in eyes with good visual acuity. Patients and Methods: A retrospective chart review identified patients who underwent TSCPC for uncontrolled intraocular pressure (IOP) from 2014 to 2016. Enrollment criteria included pretreatment best-corrected visual acuity (BCVA) of 20 of 40 or better, and a minimum of 6 months of postoperative follow-up. Results: Thirty-three eyes of 33 patients(mean age, 72.1±16.0 y) were enrolled (mean follow-up 12.6±6.1 mo). The mean (SD) IOP was reduced 48.3% from 27.1 mm Hg (7.8) at baseline to 13.1 mm Hg (4.2) at last follow-up. Reduction of ≥1 glaucoma medications was achieved in 17 eyes (51.5%) at last follow-up. The cumulative probability of complete success (BCVA loss &lt;2 Snelling lines, 20% reduction IOP, no reoperation for glaucoma, no IOP&lt;5 mm Hg) was 78.8% and 50% at months 6 and 12, respectively. The cumulative probability of qualified success (BCVA≥2 lines with ≥20% reduction IOP, no reoperation for glaucoma, no IOP&lt;5 mm Hg) was 90.1% and 81.3% at month 6 and 1 year, respectively. Significant vision loss, defined as BCVA≥2 lines, occurred in 33% of patients. The most common complications were postoperative iritic (56.3%) and cystoid macular edema (12.5%). Conclusions: TSCPC demonstrates a strong reduction in IOP and glaucoma medication use. However, with significant vision loss in 33% of patients, future prospective studies with a comparison group receiving traditional glaucoma surgery are needed to determine comparative safety and efficacy.","author":[{"dropping-particle":"","family":"Shah","given":"Parth","non-dropping-particle":"","parse-names":false,"suffix":""},{"dropping-particle":"","family":"Bhakta","given":"Amitabha","non-dropping-particle":"","parse-names":false,"suffix":""},{"dropping-particle":"","family":"Vanner","given":"Elizabeth A.","non-dropping-particle":"","parse-names":false,"suffix":""},{"dropping-particle":"","family":"Kishor","given":"Krishna S.","non-dropping-particle":"","parse-names":false,"suffix":""},{"dropping-particle":"","family":"Greenfield","given":"David S.","non-dropping-particle":"","parse-names":false,"suffix":""},{"dropping-particle":"","family":"Maharaj","given":"Arindel S.R.","non-dropping-particle":"","parse-names":false,"suffix":""}],"container-title":"Journal of Glaucoma","id":"ITEM-1","issue":"10","issued":{"date-parts":[["2018"]]},"page":"874-879","title":"Safety and efficacy of diode laser transscleral cyclophotocoagulation in eyes with good visual acuity","type":"article-journal","volume":"27"},"uris":["http://www.mendeley.com/documents/?uuid=cedc6abd-de18-43be-8987-c85f5014f93f"]}],"mendeley":{"formattedCitation":"(19)","plainTextFormattedCitation":"(19)","previouslyFormattedCitation":"(19)"},"properties":{"noteIndex":0},"schema":"https://github.com/citation-style-language/schema/raw/master/csl-citation.json"}</w:instrText>
      </w:r>
      <w:r w:rsidR="00130694"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(19)</w:t>
      </w:r>
      <w:r w:rsidR="00130694" w:rsidRPr="00A96836">
        <w:rPr>
          <w:rFonts w:ascii="Times New Roman" w:eastAsia="Times New Roman" w:hAnsi="Times New Roman" w:cs="Times New Roman"/>
        </w:rPr>
        <w:fldChar w:fldCharType="end"/>
      </w:r>
      <w:r w:rsidR="003668E3" w:rsidRPr="00A96836">
        <w:rPr>
          <w:rFonts w:ascii="Times New Roman" w:eastAsia="Times New Roman" w:hAnsi="Times New Roman" w:cs="Times New Roman"/>
        </w:rPr>
        <w:t xml:space="preserve"> </w:t>
      </w:r>
      <w:r w:rsidR="00D3419A">
        <w:rPr>
          <w:rFonts w:ascii="Times New Roman" w:eastAsia="Times New Roman" w:hAnsi="Times New Roman" w:cs="Times New Roman"/>
        </w:rPr>
        <w:t>similarly reported a 65% success rate. These higher outcomes may be attributed to the use of individualized treatment protocols, optimized laser energy settings, careful patient selection and intraoperative adjustments tailored to patient specific ocular characteristics</w:t>
      </w:r>
      <w:r w:rsidR="003668E3" w:rsidRPr="00A96836">
        <w:rPr>
          <w:rFonts w:ascii="Times New Roman" w:eastAsia="Times New Roman" w:hAnsi="Times New Roman" w:cs="Times New Roman"/>
        </w:rPr>
        <w:t>.</w:t>
      </w:r>
    </w:p>
    <w:p w14:paraId="14E41B5A" w14:textId="4B2EED33" w:rsidR="009E304F" w:rsidRPr="00A96836" w:rsidRDefault="00EA5DD2"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In exploring predictors of treatment success, our study found that pre operative IOP and the presence of ocular comorbidities significantly influenced CPC outcomes. Patients presenting with lower baseline IOP were more likely to achieve </w:t>
      </w:r>
      <w:r w:rsidR="00E344A3">
        <w:rPr>
          <w:rFonts w:ascii="Times New Roman" w:eastAsia="Times New Roman" w:hAnsi="Times New Roman" w:cs="Times New Roman"/>
        </w:rPr>
        <w:t xml:space="preserve">successful pressure reduction, a finding supported by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705920" w:rsidRPr="00A96836">
        <w:rPr>
          <w:rFonts w:ascii="Times New Roman" w:eastAsia="Times New Roman" w:hAnsi="Times New Roman" w:cs="Times New Roman"/>
        </w:rPr>
        <w:fldChar w:fldCharType="end"/>
      </w:r>
      <w:r w:rsidR="00705920" w:rsidRPr="00A96836">
        <w:rPr>
          <w:rFonts w:ascii="Times New Roman" w:eastAsia="Times New Roman" w:hAnsi="Times New Roman" w:cs="Times New Roman"/>
        </w:rPr>
        <w:t xml:space="preserve"> </w:t>
      </w:r>
      <w:r w:rsidR="00DA67D2" w:rsidRPr="00A96836">
        <w:rPr>
          <w:rFonts w:ascii="Times New Roman" w:eastAsia="Times New Roman" w:hAnsi="Times New Roman" w:cs="Times New Roman"/>
        </w:rPr>
        <w:t xml:space="preserve">and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{"citationItems":[{"id":"ITEM-1","itemData":{"DOI":"10.1007/s10792-021-01697-1","ISBN":"0123456789","ISSN":"15732630","PMID":"33550537","abstract":"Purpose: To evaluate the efficacy and safety of micro-pulse trans-scleral diode laser cyclophotocoagulation (MP-TSCPC) in Indian eyes with refractory glaucoma. Methods: A prospective interventional short-term study was carried out with relatively small sample size of 55 eyes with refractory glaucoma. All eyes had visual acuity (VA) and intraocular pressure (IOP) measurements at baseline, 1 week (1w), 1 month (1 m) and 3 months (3 m). A single surgeon treated all eyes with recommended MP-TSCPC treatment settings. Surgical success was defined as achieving an IOP between 8–21 mmHg or achieving &gt; 20% IOP reduction. Results: The age of participants was 56.98 ± 15.74 years. Our study had more number of males. VA (in logMAR) at baseline was 1.38 ± 0.99. VA was 1.43 ± 0.93 at 1w, 1.47 ± 0.94 at 1 m and 1.47 ± 0.96 at 3 m (p &gt; 0.05 for all). IOP (in mmHg) at baseline was 30.38 ± 10.70. IOP was 15.72 ± 6.85 at 1w, 16.98 ± 8.72 at 1 m and 17.60 ± 8.40 at 3 m (p &lt; 0.001 for all). At 3 m, 49 (89.1%) eyes had surgical success. Surgical success was lesser in primary open angle glaucoma (p = 0.03). IOP at baseline showed significant correlation with percentage reduction in IOP at each review (p &lt; 0.05). Use of glaucoma medication reduced from 2.94 ± 0.98 to 2.01 ± 1.16 at 3 m (p &lt; 0.001). At 3 m, hypotony was noted in 4 (7.3%) eyes and reduction in visual acuity was seen in 15 (27.3%) eyes. Conclusion: Initial experience in Indian eyes has shown that MP-TSCPC is safe and effective for refractory glaucoma. Patients can expect significant IOP lowering along with reduction in number of topical medications required for control of IOP.","author":[{"dropping-particle":"","family":"Ariga","given":"Murali","non-dropping-particle":"","parse-names":false,"suffix":""},{"dropping-particle":"","family":"Nivean","given":"","non-dropping-particle":"","parse-names":false,"suffix":""},{"dropping-particle":"","family":"Nivean","given":"Pratheeba Devi","non-dropping-particle":"","parse-names":false,"suffix":""},{"dropping-particle":"","family":"Madanagopalan","given":"V. G.","non-dropping-particle":"","parse-names":false,"suffix":""},{"dropping-particle":"","family":"Mohan","given":"Sujatha","non-dropping-particle":"","parse-names":false,"suffix":""}],"container-title":"International Ophthalmology","id":"ITEM-1","issue":"8","issued":{"date-parts":[["2021"]]},"page":"2639-2645","publisher":"Springer Netherlands","title":"Micropulse trans-scleral diode laser cyclophotocoagulation in refractory glaucoma: an initial experience in Indian eyes","type":"article-journal","volume":"41"},"uris":["http://www.mendeley.com/documents/?uuid=2e5c744e-2375-453a-b414-c90b250d86f1"]}],"mendeley":{"formattedCitation":"(20)","plainTextFormattedCitation":"(20)","previouslyFormattedCitation":"(20)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(20)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E344A3">
        <w:rPr>
          <w:rFonts w:ascii="Times New Roman" w:eastAsia="Times New Roman" w:hAnsi="Times New Roman" w:cs="Times New Roman"/>
        </w:rPr>
        <w:t>who similarly highlighted the predictive value of baseline IOP.</w:t>
      </w:r>
      <w:r w:rsidR="009E304F">
        <w:rPr>
          <w:rFonts w:ascii="Times New Roman" w:eastAsia="Times New Roman" w:hAnsi="Times New Roman" w:cs="Times New Roman"/>
        </w:rPr>
        <w:t xml:space="preserve"> The inverse correlation between higher baseline IOP and treatment success may reflect more advanced disease or reduced responsiveness of the ciliary body to laser ablation. </w:t>
      </w:r>
    </w:p>
    <w:p w14:paraId="20E90E71" w14:textId="352E165B" w:rsidR="00DA67D2" w:rsidRPr="00A96836" w:rsidRDefault="00D2710D"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The presence of ocular comorbidities significantly reduced the likelihood of achieving IOP control by 67%. Conditions like corneal opacity, uveitis</w:t>
      </w:r>
      <w:r w:rsidR="00E47047">
        <w:rPr>
          <w:rFonts w:ascii="Times New Roman" w:eastAsia="Times New Roman" w:hAnsi="Times New Roman" w:cs="Times New Roman"/>
        </w:rPr>
        <w:t>, exfoliation syndrome</w:t>
      </w:r>
      <w:r>
        <w:rPr>
          <w:rFonts w:ascii="Times New Roman" w:eastAsia="Times New Roman" w:hAnsi="Times New Roman" w:cs="Times New Roman"/>
        </w:rPr>
        <w:t xml:space="preserve"> and trauma related changes can interfere with laser delivery or alter ocular anatomy, making treatment less effective.</w:t>
      </w:r>
      <w:r w:rsidR="00E47047">
        <w:rPr>
          <w:rFonts w:ascii="Times New Roman" w:eastAsia="Times New Roman" w:hAnsi="Times New Roman" w:cs="Times New Roman"/>
        </w:rPr>
        <w:t xml:space="preserve"> Corneal edema, commonly observed in patients with advanced disease, can obscure visualization during CPC, scatter or absorb laser energy and hinder precise application of treatment</w:t>
      </w:r>
      <w:r w:rsidR="004C3191">
        <w:rPr>
          <w:rFonts w:ascii="Times New Roman" w:eastAsia="Times New Roman" w:hAnsi="Times New Roman" w:cs="Times New Roman"/>
        </w:rPr>
        <w:t xml:space="preserve"> leading to suboptimal ablation and diminished pressure reduction.</w:t>
      </w:r>
      <w:r>
        <w:rPr>
          <w:rFonts w:ascii="Times New Roman" w:eastAsia="Times New Roman" w:hAnsi="Times New Roman" w:cs="Times New Roman"/>
        </w:rPr>
        <w:t xml:space="preserve"> Our finding</w:t>
      </w:r>
      <w:r w:rsidR="00E47047">
        <w:rPr>
          <w:rFonts w:ascii="Times New Roman" w:eastAsia="Times New Roman" w:hAnsi="Times New Roman" w:cs="Times New Roman"/>
        </w:rPr>
        <w:t xml:space="preserve">s align with other studies </w:t>
      </w:r>
      <w:r w:rsidR="004C3191">
        <w:rPr>
          <w:rFonts w:ascii="Times New Roman" w:eastAsia="Times New Roman" w:hAnsi="Times New Roman" w:cs="Times New Roman"/>
        </w:rPr>
        <w:t>like those by</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and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{"citationItems":[{"id":"ITEM-1","itemData":{"DOI":"10.1007/s10792-021-01697-1","ISBN":"0123456789","ISSN":"15732630","PMID":"33550537","abstract":"Purpose: To evaluate the efficacy and safety of micro-pulse trans-scleral diode laser cyclophotocoagulation (MP-TSCPC) in Indian eyes with refractory glaucoma. Methods: A prospective interventional short-term study was carried out with relatively small sample size of 55 eyes with refractory glaucoma. All eyes had visual acuity (VA) and intraocular pressure (IOP) measurements at baseline, 1 week (1w), 1 month (1 m) and 3 months (3 m). A single surgeon treated all eyes with recommended MP-TSCPC treatment settings. Surgical success was defined as achieving an IOP between 8–21 mmHg or achieving &gt; 20% IOP reduction. Results: The age of participants was 56.98 ± 15.74 years. Our study had more number of males. VA (in logMAR) at baseline was 1.38 ± 0.99. VA was 1.43 ± 0.93 at 1w, 1.47 ± 0.94 at 1 m and 1.47 ± 0.96 at 3 m (p &gt; 0.05 for all). IOP (in mmHg) at baseline was 30.38 ± 10.70. IOP was 15.72 ± 6.85 at 1w, 16.98 ± 8.72 at 1 m and 17.60 ± 8.40 at 3 m (p &lt; 0.001 for all). At 3 m, 49 (89.1%) eyes had surgical success. Surgical success was lesser in primary open angle glaucoma (p = 0.03). IOP at baseline showed significant correlation with percentage reduction in IOP at each review (p &lt; 0.05). Use of glaucoma medication reduced from 2.94 ± 0.98 to 2.01 ± 1.16 at 3 m (p &lt; 0.001). At 3 m, hypotony was noted in 4 (7.3%) eyes and reduction in visual acuity was seen in 15 (27.3%) eyes. Conclusion: Initial experience in Indian eyes has shown that MP-TSCPC is safe and effective for refractory glaucoma. Patients can expect significant IOP lowering along with reduction in number of topical medications required for control of IOP.","author":[{"dropping-particle":"","family":"Ariga","given":"Murali","non-dropping-particle":"","parse-names":false,"suffix":""},{"dropping-particle":"","family":"Nivean","given":"","non-dropping-particle":"","parse-names":false,"suffix":""},{"dropping-particle":"","family":"Nivean","given":"Pratheeba Devi","non-dropping-particle":"","parse-names":false,"suffix":""},{"dropping-particle":"","family":"Madanagopalan","given":"V. G.","non-dropping-particle":"","parse-names":false,"suffix":""},{"dropping-particle":"","family":"Mohan","given":"Sujatha","non-dropping-particle":"","parse-names":false,"suffix":""}],"container-title":"International Ophthalmology","id":"ITEM-1","issue":"8","issued":{"date-parts":[["2021"]]},"page":"2639-2645","publisher":"Springer Netherlands","title":"Micropulse trans-scleral diode laser cyclophotocoagulation in refractory glaucoma: an initial experience in Indian eyes","type":"article-journal","volume":"41"},"uris":["http://www.mendeley.com/documents/?uuid=2e5c744e-2375-453a-b414-c90b250d86f1"]}],"mendeley":{"formattedCitation":"(20)","plainTextFormattedCitation":"(20)","previouslyFormattedCitation":"(20)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(20)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4C3191">
        <w:rPr>
          <w:rFonts w:ascii="Times New Roman" w:eastAsia="Times New Roman" w:hAnsi="Times New Roman" w:cs="Times New Roman"/>
        </w:rPr>
        <w:t xml:space="preserve">which linked conditions like exfoliation syndrome and prior </w:t>
      </w:r>
      <w:proofErr w:type="spellStart"/>
      <w:r w:rsidR="004C3191">
        <w:rPr>
          <w:rFonts w:ascii="Times New Roman" w:eastAsia="Times New Roman" w:hAnsi="Times New Roman" w:cs="Times New Roman"/>
        </w:rPr>
        <w:t>cyclodestruction</w:t>
      </w:r>
      <w:proofErr w:type="spellEnd"/>
      <w:r w:rsidR="004C3191">
        <w:rPr>
          <w:rFonts w:ascii="Times New Roman" w:eastAsia="Times New Roman" w:hAnsi="Times New Roman" w:cs="Times New Roman"/>
        </w:rPr>
        <w:t xml:space="preserve"> with poor outcomes.</w:t>
      </w:r>
      <w:r w:rsidR="00DA67D2" w:rsidRPr="00A96836">
        <w:rPr>
          <w:rFonts w:ascii="Times New Roman" w:eastAsia="Times New Roman" w:hAnsi="Times New Roman" w:cs="Times New Roman"/>
        </w:rPr>
        <w:t xml:space="preserve"> </w:t>
      </w:r>
      <w:r w:rsidR="001456A5">
        <w:rPr>
          <w:rFonts w:ascii="Times New Roman" w:eastAsia="Times New Roman" w:hAnsi="Times New Roman" w:cs="Times New Roman"/>
        </w:rPr>
        <w:t>On  the contrary,</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and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{"citationItems":[{"id":"ITEM-1","itemData":{"DOI":"10.1111/ceo.13328","ISSN":"14429071","PMID":"29808573","abstract":"Importance: To investigate the safety, effectiveness and follow-up rates after transscleral diode laser cyclophotocoagulation as primary treatment for seeing eyes with primary open angle glaucoma in Bauchi, Nigeria. Background: There is a high prevalence of primary open angle glaucoma in Africa where adherence to medical treatment and acceptance of surgery are poor. Design: Prospective case series. Participants: New glaucoma patients where surgical intervention was recommended. Methods: A diode 810 nm laser G-probe was used under retrobulbar anaesthesia to deliver approximately 20 shots for 2000 ms, titrating the power. If both eyes were treated the first was the study eye. Repeat treatment offered if the intraocular pressure (IOP) was &gt;21 mmHg on two consecutive visits. Main Outcome Measures: IOP &lt; 22 mmHg, change in ≥2 lines of Snellen visual acuity (VA), and complications. Results: 201 out of 204 eyes with complete data analysed. Mean age 52 years, 17 (8.3%) eyes were re-treated. Mean pre-treatment IOP was 39 (SD 11) mmHg. 106 (53%) attended at 12 months when the mean IOP was 19 (7–45) mmHg; 77 (73%) had IOP &lt; 22 mmHg. VAs were better in 13 (12.3%) and worse in 23 (21.7%) eyes. Postoperative complications included mild uveitis (5.5%), corneal oedema (2.5%), severe uveitis (0.5%) and transient hypotony (2.0%). No hypotony at 12 months. Conclusions and Relevance: Transscleral diode laser cyclophotocoagulation controlled IOP in almost three quarters of eyes at 12 months with short-term preservation of vision and minimal complications. Poor follow-up in this setting highlights the need for an effective, safe and acceptable treatment where regular follow-up is less critical.","author":[{"dropping-particle":"","family":"Abdull","given":"Mohammed M.","non-dropping-particle":"","parse-names":false,"suffix":""},{"dropping-particle":"","family":"Broadway","given":"David C.","non-dropping-particle":"","parse-names":false,"suffix":""},{"dropping-particle":"","family":"Evans","given":"Jennifer","non-dropping-particle":"","parse-names":false,"suffix":""},{"dropping-particle":"","family":"Kyari","given":"Fatima","non-dropping-particle":"","parse-names":false,"suffix":""},{"dropping-particle":"","family":"Muazu","given":"Fatima","non-dropping-particle":"","parse-names":false,"suffix":""},{"dropping-particle":"","family":"Gilbert","given":"Clare","non-dropping-particle":"","parse-names":false,"suffix":""}],"container-title":"Clinical and Experimental Ophthalmology","id":"ITEM-1","issue":"9","issued":{"date-parts":[["2018"]]},"page":"1041-1047","title":"Safety and effectiveness of primary transscleral diode laser cyclophotoablation for glaucoma in Nigeria","type":"article-journal","volume":"46"},"uris":["http://www.mendeley.com/documents/?uuid=5a405e76-4b11-4549-859b-ff72fd6c906a"]}],"mendeley":{"formattedCitation":"(17)","plainTextFormattedCitation":"(17)","previouslyFormattedCitation":"(17)"},"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(17)</w:t>
      </w:r>
      <w:r w:rsidR="00705920"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1456A5">
        <w:rPr>
          <w:rFonts w:ascii="Times New Roman" w:eastAsia="Times New Roman" w:hAnsi="Times New Roman" w:cs="Times New Roman"/>
        </w:rPr>
        <w:t xml:space="preserve">reported no </w:t>
      </w:r>
      <w:r w:rsidR="001456A5">
        <w:rPr>
          <w:rFonts w:ascii="Times New Roman" w:eastAsia="Times New Roman" w:hAnsi="Times New Roman" w:cs="Times New Roman"/>
        </w:rPr>
        <w:lastRenderedPageBreak/>
        <w:t xml:space="preserve">significant association </w:t>
      </w:r>
      <w:r w:rsidR="00AF3A54">
        <w:rPr>
          <w:rFonts w:ascii="Times New Roman" w:eastAsia="Times New Roman" w:hAnsi="Times New Roman" w:cs="Times New Roman"/>
        </w:rPr>
        <w:t>of</w:t>
      </w:r>
      <w:r w:rsidR="001456A5">
        <w:rPr>
          <w:rFonts w:ascii="Times New Roman" w:eastAsia="Times New Roman" w:hAnsi="Times New Roman" w:cs="Times New Roman"/>
        </w:rPr>
        <w:t xml:space="preserve"> </w:t>
      </w:r>
      <w:r w:rsidR="00AF3A54">
        <w:rPr>
          <w:rFonts w:ascii="Times New Roman" w:eastAsia="Times New Roman" w:hAnsi="Times New Roman" w:cs="Times New Roman"/>
        </w:rPr>
        <w:t>patient specific characteristics like age, sex and comorbidities with the treatment success, highlighting the diversity of outcomes across different populations.</w:t>
      </w:r>
    </w:p>
    <w:p w14:paraId="27DBDA65" w14:textId="672C17A7" w:rsidR="00DA67D2" w:rsidRPr="00A96836" w:rsidRDefault="006B2FFF"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Moreover, the optic disc notching was found to correlate with better outcomes compared to fully cupped </w:t>
      </w:r>
      <w:r w:rsidR="00360BB6">
        <w:rPr>
          <w:rFonts w:ascii="Times New Roman" w:eastAsia="Times New Roman" w:hAnsi="Times New Roman" w:cs="Times New Roman"/>
        </w:rPr>
        <w:t>optic nerve disc. This might be explained by the fact that notching typically indicates localized damage, whereas full cupping suggests more advanced and diffuse nerve fiber loss. Patients with notching may thus retain some functional nerve tissue capable of responding to IOP lowering therapy. However this result contrast with</w:t>
      </w:r>
      <w:r w:rsidR="00DA67D2" w:rsidRPr="00A96836">
        <w:rPr>
          <w:rFonts w:ascii="Times New Roman" w:eastAsia="Times New Roman" w:hAnsi="Times New Roman" w:cs="Times New Roman"/>
        </w:rPr>
        <w:t xml:space="preserve"> </w:t>
      </w:r>
      <w:r w:rsidR="00705920"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705920"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705920" w:rsidRPr="00A96836">
        <w:rPr>
          <w:rFonts w:ascii="Times New Roman" w:eastAsia="Times New Roman" w:hAnsi="Times New Roman" w:cs="Times New Roman"/>
        </w:rPr>
        <w:fldChar w:fldCharType="end"/>
      </w:r>
      <w:r w:rsidR="00360BB6">
        <w:rPr>
          <w:rFonts w:ascii="Times New Roman" w:eastAsia="Times New Roman" w:hAnsi="Times New Roman" w:cs="Times New Roman"/>
        </w:rPr>
        <w:t xml:space="preserve"> who associated notching with poorer outcomes, reflecting the complexity and variability in glaucomatous progression and treatment r</w:t>
      </w:r>
      <w:r w:rsidR="00CF33AE">
        <w:rPr>
          <w:rFonts w:ascii="Times New Roman" w:eastAsia="Times New Roman" w:hAnsi="Times New Roman" w:cs="Times New Roman"/>
        </w:rPr>
        <w:t>esponse.</w:t>
      </w:r>
      <w:r w:rsidR="00705920" w:rsidRPr="00A96836">
        <w:rPr>
          <w:rFonts w:ascii="Times New Roman" w:eastAsia="Times New Roman" w:hAnsi="Times New Roman" w:cs="Times New Roman"/>
        </w:rPr>
        <w:t xml:space="preserve"> </w:t>
      </w:r>
    </w:p>
    <w:p w14:paraId="2CCE3649" w14:textId="332CDC39" w:rsidR="00982F90" w:rsidRDefault="00EA1445"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Complications were generally mild and manageable. The most common observed complication was post CPC uveitis</w:t>
      </w:r>
      <w:r w:rsidR="003D34AD">
        <w:rPr>
          <w:rFonts w:ascii="Times New Roman" w:eastAsia="Times New Roman" w:hAnsi="Times New Roman" w:cs="Times New Roman"/>
        </w:rPr>
        <w:t>, seen in 10.8% of the patients</w:t>
      </w:r>
      <w:r>
        <w:rPr>
          <w:rFonts w:ascii="Times New Roman" w:eastAsia="Times New Roman" w:hAnsi="Times New Roman" w:cs="Times New Roman"/>
        </w:rPr>
        <w:t xml:space="preserve"> </w:t>
      </w:r>
      <w:r w:rsidR="003D34AD">
        <w:rPr>
          <w:rFonts w:ascii="Times New Roman" w:eastAsia="Times New Roman" w:hAnsi="Times New Roman" w:cs="Times New Roman"/>
        </w:rPr>
        <w:t>and resolved with topical corticosteroids</w:t>
      </w:r>
      <w:r w:rsidR="00DA67D2" w:rsidRPr="00A96836">
        <w:rPr>
          <w:rFonts w:ascii="Times New Roman" w:eastAsia="Times New Roman" w:hAnsi="Times New Roman" w:cs="Times New Roman"/>
        </w:rPr>
        <w:t xml:space="preserve">. </w:t>
      </w:r>
      <w:r w:rsidR="003D34AD">
        <w:rPr>
          <w:rFonts w:ascii="Times New Roman" w:eastAsia="Times New Roman" w:hAnsi="Times New Roman" w:cs="Times New Roman"/>
        </w:rPr>
        <w:t>This aligns with findings from</w:t>
      </w:r>
      <w:r w:rsidR="00DA67D2" w:rsidRPr="00A96836">
        <w:rPr>
          <w:rFonts w:ascii="Times New Roman" w:eastAsia="Times New Roman" w:hAnsi="Times New Roman" w:cs="Times New Roman"/>
        </w:rPr>
        <w:t xml:space="preserve">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{"citationItems":[{"id":"ITEM-1","itemData":{"author":[{"dropping-particle":"","family":"Thomas","given":"Jason Peter","non-dropping-particle":"","parse-names":false,"suffix":""}],"id":"ITEM-1","issue":"April","issued":{"date-parts":[["2022"]]},"title":"The Efficacy and Safety of Diode Laser Cycloablation in the Treatment of Refractory Glaucoma in a South African Population","type":"article-journal"},"uris":["http://www.mendeley.com/documents/?uuid=2499368a-b5f6-4170-9728-4fcc3c744ed4"]}],"mendeley":{"formattedCitation":"(15)","plainTextFormattedCitation":"(15)","previouslyFormattedCitation":"(15)"},"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(15)</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{"citationItems":[{"id":"ITEM-1","itemData":{"DOI":"10.1007/s10792-021-01697-1","ISBN":"0123456789","ISSN":"15732630","PMID":"33550537","abstract":"Purpose: To evaluate the efficacy and safety of micro-pulse trans-scleral diode laser cyclophotocoagulation (MP-TSCPC) in Indian eyes with refractory glaucoma. Methods: A prospective interventional short-term study was carried out with relatively small sample size of 55 eyes with refractory glaucoma. All eyes had visual acuity (VA) and intraocular pressure (IOP) measurements at baseline, 1 week (1w), 1 month (1 m) and 3 months (3 m). A single surgeon treated all eyes with recommended MP-TSCPC treatment settings. Surgical success was defined as achieving an IOP between 8–21 mmHg or achieving &gt; 20% IOP reduction. Results: The age of participants was 56.98 ± 15.74 years. Our study had more number of males. VA (in logMAR) at baseline was 1.38 ± 0.99. VA was 1.43 ± 0.93 at 1w, 1.47 ± 0.94 at 1 m and 1.47 ± 0.96 at 3 m (p &gt; 0.05 for all). IOP (in mmHg) at baseline was 30.38 ± 10.70. IOP was 15.72 ± 6.85 at 1w, 16.98 ± 8.72 at 1 m and 17.60 ± 8.40 at 3 m (p &lt; 0.001 for all). At 3 m, 49 (89.1%) eyes had surgical success. Surgical success was lesser in primary open angle glaucoma (p = 0.03). IOP at baseline showed significant correlation with percentage reduction in IOP at each review (p &lt; 0.05). Use of glaucoma medication reduced from 2.94 ± 0.98 to 2.01 ± 1.16 at 3 m (p &lt; 0.001). At 3 m, hypotony was noted in 4 (7.3%) eyes and reduction in visual acuity was seen in 15 (27.3%) eyes. Conclusion: Initial experience in Indian eyes has shown that MP-TSCPC is safe and effective for refractory glaucoma. Patients can expect significant IOP lowering along with reduction in number of topical medications required for control of IOP.","author":[{"dropping-particle":"","family":"Ariga","given":"Murali","non-dropping-particle":"","parse-names":false,"suffix":""},{"dropping-particle":"","family":"Nivean","given":"","non-dropping-particle":"","parse-names":false,"suffix":""},{"dropping-particle":"","family":"Nivean","given":"Pratheeba Devi","non-dropping-particle":"","parse-names":false,"suffix":""},{"dropping-particle":"","family":"Madanagopalan","given":"V. G.","non-dropping-particle":"","parse-names":false,"suffix":""},{"dropping-particle":"","family":"Mohan","given":"Sujatha","non-dropping-particle":"","parse-names":false,"suffix":""}],"container-title":"International Ophthalmology","id":"ITEM-1","issue":"8","issued":{"date-parts":[["2021"]]},"page":"2639-2645","publisher":"Springer Netherlands","title":"Micropulse trans-scleral diode laser cyclophotocoagulation in refractory glaucoma: an initial experience in Indian eyes","type":"article-journal","volume":"41"},"uris":["http://www.mendeley.com/documents/?uuid=2e5c744e-2375-453a-b414-c90b250d86f1"]}],"mendeley":{"formattedCitation":"(20)","plainTextFormattedCitation":"(20)","previouslyFormattedCitation":"(20)"},"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(20)</w:t>
      </w:r>
      <w:r w:rsidR="00450B9A" w:rsidRPr="00A96836">
        <w:rPr>
          <w:rFonts w:ascii="Times New Roman" w:eastAsia="Times New Roman" w:hAnsi="Times New Roman" w:cs="Times New Roman"/>
        </w:rPr>
        <w:fldChar w:fldCharType="end"/>
      </w:r>
      <w:r w:rsidR="00450B9A" w:rsidRPr="00A96836">
        <w:rPr>
          <w:rFonts w:ascii="Times New Roman" w:eastAsia="Times New Roman" w:hAnsi="Times New Roman" w:cs="Times New Roman"/>
        </w:rPr>
        <w:t xml:space="preserve"> </w:t>
      </w:r>
      <w:r w:rsidR="00DA67D2" w:rsidRPr="00A96836">
        <w:rPr>
          <w:rFonts w:ascii="Times New Roman" w:eastAsia="Times New Roman" w:hAnsi="Times New Roman" w:cs="Times New Roman"/>
        </w:rPr>
        <w:t xml:space="preserve"> </w:t>
      </w:r>
      <w:r w:rsidR="003D34AD">
        <w:rPr>
          <w:rFonts w:ascii="Times New Roman" w:eastAsia="Times New Roman" w:hAnsi="Times New Roman" w:cs="Times New Roman"/>
        </w:rPr>
        <w:t xml:space="preserve">and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{"citationItems":[{"id":"ITEM-1","itemData":{"DOI":"10.1177/1120672119877586","ISSN":"17246016","PMID":"31544505","abstract":"Purpose: To assess the efficacy and safety of a standardized micropulse transscleral diode laser cyclophotocoagulation procedure in refractory glaucoma. Methods: Retrospective, interventional study in a series of 37 consecutive patients with refractory glaucoma, cyclodestructive procedure-naive, who underwent micropulse transscleral diode laser cyclophotocoagulation from December 2016 to October 2017. A successful laser treatment was defined as (1) intraocular pressure between 6 and 18 mm Hg; (2) 20% of baseline intraocular pressure reduction; (3) no additional glaucoma medications; (4) no decrease in vision due to complications or change in intraocular pressure; and (5) no need for additional glaucoma surgery except micropulse transscleral diode laser cyclophotocoagulation retreatment. Results: Mean age was 60.2 years. Mean follow-up was 9.7 ± 3.9 months. The mean preoperative intraocular pressure (28.7 mm Hg) significantly decreased to 21.0 mm Hg at 1 month, 18.5 mm Hg at 3 months, 18.4 mm Hg at 6 months, and 18.5 mm Hg at 12 months (p &lt; 0.01 at all time points). The mean number of preoperative glaucoma medications (4.7) decreased to 4.0 at 1 month (p = 0.14), 4.5 at 3 months (p &lt; 0.05), 3.9 at 6 months (p &lt; 0.05), and 3.6 at 12 months (p &lt; 0.05). At 1 year, the success rate was 35% with a mean intraocular pressure lowering of 36%. One patient had hypotony and a loss of best-corrected visual acuity. Mild transient postoperative inflammation was observed in 8% of the cases. Conclusion: Using a standardized procedure, micropulse transscleral diode laser cyclophotocoagulation allows a mild intraocular pressure decrease with a low rate of complications and thus achieves a relatively good profit risk benefit, mostly for moderately hypertensive refractory glaucoma.","author":[{"dropping-particle":"","family":"Souissi","given":"Soufiane","non-dropping-particle":"","parse-names":false,"suffix":""},{"dropping-particle":"","family":"Baudouin","given":"Christophe","non-dropping-particle":"","parse-names":false,"suffix":""},{"dropping-particle":"","family":"Labbé","given":"Antoine","non-dropping-particle":"","parse-names":false,"suffix":""},{"dropping-particle":"","family":"Hamard","given":"Pascale","non-dropping-particle":"","parse-names":false,"suffix":""}],"container-title":"European Journal of Ophthalmology","id":"ITEM-1","issue":"1","issued":{"date-parts":[["2021"]]},"page":"112-119","title":"Micropulse transscleral cyclophotocoagulation using a standard protocol in patients with refractory glaucoma naive of cyclodestruction","type":"article-journal","volume":"31"},"uris":["http://www.mendeley.com/documents/?uuid=c909ad77-ab1f-4285-84a3-03992f234326"]}],"mendeley":{"formattedCitation":"(11)","plainTextFormattedCitation":"(11)","previouslyFormattedCitation":"(11)"},"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(11)</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3D34AD">
        <w:rPr>
          <w:rFonts w:ascii="Times New Roman" w:eastAsia="Times New Roman" w:hAnsi="Times New Roman" w:cs="Times New Roman"/>
        </w:rPr>
        <w:t xml:space="preserve">all of whom reported transient inflammatory  responses following CPC. </w:t>
      </w:r>
    </w:p>
    <w:p w14:paraId="03A3E9E4" w14:textId="4253FD4F" w:rsidR="00DA67D2" w:rsidRPr="00A96836" w:rsidRDefault="003D34AD"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Cystoid macular edema (CME), particularly in patients with diabetic retinopathy or prior retinal treatment </w:t>
      </w:r>
      <w:r w:rsidR="00553AEA">
        <w:rPr>
          <w:rFonts w:ascii="Times New Roman" w:eastAsia="Times New Roman" w:hAnsi="Times New Roman" w:cs="Times New Roman"/>
        </w:rPr>
        <w:t>was the second most prevalent</w:t>
      </w:r>
      <w:r w:rsidR="00025155">
        <w:rPr>
          <w:rFonts w:ascii="Times New Roman" w:eastAsia="Times New Roman" w:hAnsi="Times New Roman" w:cs="Times New Roman"/>
        </w:rPr>
        <w:t>,</w:t>
      </w:r>
      <w:r w:rsidR="00553AEA">
        <w:rPr>
          <w:rFonts w:ascii="Times New Roman" w:eastAsia="Times New Roman" w:hAnsi="Times New Roman" w:cs="Times New Roman"/>
        </w:rPr>
        <w:t xml:space="preserve"> affecting 8.1% of the patients. A few patients required intravitreal steroids, and two experienced persistent </w:t>
      </w:r>
      <w:r w:rsidR="00025155">
        <w:rPr>
          <w:rFonts w:ascii="Times New Roman" w:eastAsia="Times New Roman" w:hAnsi="Times New Roman" w:cs="Times New Roman"/>
        </w:rPr>
        <w:t>edemas</w:t>
      </w:r>
      <w:r w:rsidR="00553AEA">
        <w:rPr>
          <w:rFonts w:ascii="Times New Roman" w:eastAsia="Times New Roman" w:hAnsi="Times New Roman" w:cs="Times New Roman"/>
        </w:rPr>
        <w:t xml:space="preserve"> with subsequent vision loss. </w:t>
      </w:r>
      <w:r w:rsidR="00982F90">
        <w:rPr>
          <w:rFonts w:ascii="Times New Roman" w:eastAsia="Times New Roman" w:hAnsi="Times New Roman" w:cs="Times New Roman"/>
        </w:rPr>
        <w:t xml:space="preserve">These findings necessitate the importance of pre operative screening and risk </w:t>
      </w:r>
      <w:r w:rsidR="005F6672">
        <w:rPr>
          <w:rFonts w:ascii="Times New Roman" w:eastAsia="Times New Roman" w:hAnsi="Times New Roman" w:cs="Times New Roman"/>
        </w:rPr>
        <w:t>assessment particularly in patients with known macular vulnerabilities.</w:t>
      </w:r>
      <w:r w:rsidR="00982F90">
        <w:rPr>
          <w:rFonts w:ascii="Times New Roman" w:eastAsia="Times New Roman" w:hAnsi="Times New Roman" w:cs="Times New Roman"/>
        </w:rPr>
        <w:t xml:space="preserve"> </w:t>
      </w:r>
    </w:p>
    <w:p w14:paraId="42FBE597" w14:textId="77777777" w:rsidR="005D71B4" w:rsidRDefault="005F6672" w:rsidP="00A96836">
      <w:pPr>
        <w:spacing w:before="100" w:beforeAutospacing="1" w:after="100" w:afterAutospacing="1" w:line="360" w:lineRule="auto"/>
        <w:jc w:val="both"/>
      </w:pPr>
      <w:r>
        <w:rPr>
          <w:rFonts w:ascii="Times New Roman" w:eastAsia="Times New Roman" w:hAnsi="Times New Roman" w:cs="Times New Roman"/>
        </w:rPr>
        <w:t xml:space="preserve">Hypotony occurred in 2.7% of patients but was transient with no cases of phthisis bulbi at three months. Continued follow up is warranted to monitor for long term sequelae. These complications align with those reported by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{"citationItems":[{"id":"ITEM-1","itemData":{"DOI":"10.1097/IJG.0000000000001008","ISBN":"0000000000","ISSN":"1536481X","PMID":"29916995","abstract":"Purpose: To compare outcomes of transscleral diode cyclophotocoagulation with the treatment parameters used. Patients and Methods: This was a retrospective chart review of a random, 50% sample of diode procedures using the G-probe over 10 years for uncontrolled glaucoma. The main outcome measure was intraocular pressure (IOP) reduction by 20% and final IOP≤21 mm Hg. Results: In 236 eyes (persons) treated by 5 glaucoma specialists, most eyes had severe glaucoma, with 75% having &lt;20/200 acuity. Median follow-up was 2.7 years. In eyes receiving only 1 treatment, IOP success criterion was met in 72% (129/180). Success was significantly related to power per delivery and median total joules per treatment (successes=135 J, failures=98 J; P=0.0009), but not to number of deliveries, nor to extent of circumference treated. Greater success was associated with 3 or 4 second duration per delivery, power level based on audible cues, and firm pressure on the sclera. Using a standard 2000 mW, 2 seconds, 20 deliveries in each eye had the lowest success (49%). Of those with no preoperative pain, 40 persons (57%) had no postoperative pain, whereas 20 reported pain of 1-3/10 (29%). Phthisis occurred in 7 eyes (3%), 5 of which had severe secondary eye disease. Nine eyes had no light perception preoperatively, whereas 50 eyes were no light perception at last follow-up, many after additional surgeries for other conditions. Conclusions: Diode cyclophotocoagulation achieved reasonable IOP lowering, often without severe postoperative pain or complication. Greater success was achieved when audible effects were used to tailor the power settings to individual responses. Diode treatments with no intraoperative effect adjustment or using standardized protocols may not achieve optimal success.","author":[{"dropping-particle":"","family":"Quigley","given":"Harry A.","non-dropping-particle":"","parse-names":false,"suffix":""}],"container-title":"Journal of Glaucoma","id":"ITEM-1","issue":"8","issued":{"date-parts":[["2018"]]},"page":"674-681","title":"Improved Outcomes for Transscleral Cyclophotocoagulation Through Optimized Treatment Parameters","type":"article-journal","volume":"27"},"uris":["http://www.mendeley.com/documents/?uuid=9e49c1c1-eb36-41fc-be77-c837cced8563"]}],"mendeley":{"formattedCitation":"(10)","plainTextFormattedCitation":"(10)","previouslyFormattedCitation":"(10)"},"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(10)</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{"citationItems":[{"id":"ITEM-1","itemData":{"DOI":"10.1111/ceo.13328","ISSN":"14429071","PMID":"29808573","abstract":"Importance: To investigate the safety, effectiveness and follow-up rates after transscleral diode laser cyclophotocoagulation as primary treatment for seeing eyes with primary open angle glaucoma in Bauchi, Nigeria. Background: There is a high prevalence of primary open angle glaucoma in Africa where adherence to medical treatment and acceptance of surgery are poor. Design: Prospective case series. Participants: New glaucoma patients where surgical intervention was recommended. Methods: A diode 810 nm laser G-probe was used under retrobulbar anaesthesia to deliver approximately 20 shots for 2000 ms, titrating the power. If both eyes were treated the first was the study eye. Repeat treatment offered if the intraocular pressure (IOP) was &gt;21 mmHg on two consecutive visits. Main Outcome Measures: IOP &lt; 22 mmHg, change in ≥2 lines of Snellen visual acuity (VA), and complications. Results: 201 out of 204 eyes with complete data analysed. Mean age 52 years, 17 (8.3%) eyes were re-treated. Mean pre-treatment IOP was 39 (SD 11) mmHg. 106 (53%) attended at 12 months when the mean IOP was 19 (7–45) mmHg; 77 (73%) had IOP &lt; 22 mmHg. VAs were better in 13 (12.3%) and worse in 23 (21.7%) eyes. Postoperative complications included mild uveitis (5.5%), corneal oedema (2.5%), severe uveitis (0.5%) and transient hypotony (2.0%). No hypotony at 12 months. Conclusions and Relevance: Transscleral diode laser cyclophotocoagulation controlled IOP in almost three quarters of eyes at 12 months with short-term preservation of vision and minimal complications. Poor follow-up in this setting highlights the need for an effective, safe and acceptable treatment where regular follow-up is less critical.","author":[{"dropping-particle":"","family":"Abdull","given":"Mohammed M.","non-dropping-particle":"","parse-names":false,"suffix":""},{"dropping-particle":"","family":"Broadway","given":"David C.","non-dropping-particle":"","parse-names":false,"suffix":""},{"dropping-particle":"","family":"Evans","given":"Jennifer","non-dropping-particle":"","parse-names":false,"suffix":""},{"dropping-particle":"","family":"Kyari","given":"Fatima","non-dropping-particle":"","parse-names":false,"suffix":""},{"dropping-particle":"","family":"Muazu","given":"Fatima","non-dropping-particle":"","parse-names":false,"suffix":""},{"dropping-particle":"","family":"Gilbert","given":"Clare","non-dropping-particle":"","parse-names":false,"suffix":""}],"container-title":"Clinical and Experimental Ophthalmology","id":"ITEM-1","issue":"9","issued":{"date-parts":[["2018"]]},"page":"1041-1047","title":"Safety and effectiveness of primary transscleral diode laser cyclophotoablation for glaucoma in Nigeria","type":"article-journal","volume":"46"},"uris":["http://www.mendeley.com/documents/?uuid=5a405e76-4b11-4549-859b-ff72fd6c906a"]}],"mendeley":{"formattedCitation":"(17)","plainTextFormattedCitation":"(17)","previouslyFormattedCitation":"(17)"},"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(17)</w:t>
      </w:r>
      <w:r w:rsidR="00450B9A" w:rsidRPr="00A96836">
        <w:rPr>
          <w:rFonts w:ascii="Times New Roman" w:eastAsia="Times New Roman" w:hAnsi="Times New Roman" w:cs="Times New Roman"/>
        </w:rPr>
        <w:fldChar w:fldCharType="end"/>
      </w:r>
      <w:r w:rsidR="00450B9A" w:rsidRPr="00A96836">
        <w:rPr>
          <w:rFonts w:ascii="Times New Roman" w:eastAsia="Times New Roman" w:hAnsi="Times New Roman" w:cs="Times New Roman"/>
        </w:rPr>
        <w:t xml:space="preserve"> </w:t>
      </w:r>
      <w:r w:rsidR="00DA67D2" w:rsidRPr="00A96836">
        <w:rPr>
          <w:rFonts w:ascii="Times New Roman" w:eastAsia="Times New Roman" w:hAnsi="Times New Roman" w:cs="Times New Roman"/>
        </w:rPr>
        <w:t xml:space="preserve">and </w:t>
      </w:r>
      <w:r w:rsidR="00450B9A" w:rsidRPr="00A96836">
        <w:rPr>
          <w:rFonts w:ascii="Times New Roman" w:eastAsia="Times New Roman" w:hAnsi="Times New Roman" w:cs="Times New Roman"/>
        </w:rPr>
        <w:fldChar w:fldCharType="begin" w:fldLock="1"/>
      </w:r>
      <w:r w:rsidR="00DB630F">
        <w:rPr>
          <w:rFonts w:ascii="Times New Roman" w:eastAsia="Times New Roman" w:hAnsi="Times New Roman" w:cs="Times New Roman"/>
        </w:rPr>
        <w:instrText>ADDIN CSL_CITATION {"citationItems":[{"id":"ITEM-1","itemData":{"author":[{"dropping-particle":"","family":"Thomas","given":"Jason Peter","non-dropping-particle":"","parse-names":false,"suffix":""}],"id":"ITEM-1","issue":"April","issued":{"date-parts":[["2022"]]},"title":"The Efficacy and Safety of Diode Laser Cycloablation in the Treatment of Refractory Glaucoma in a South African Population","type":"article-journal"},"uris":["http://www.mendeley.com/documents/?uuid=2499368a-b5f6-4170-9728-4fcc3c744ed4"]}],"mendeley":{"formattedCitation":"(15)","plainTextFormattedCitation":"(15)","previouslyFormattedCitation":"(15)"},"properties":{"noteIndex":0},"schema":"https://github.com/citation-style-language/schema/raw/master/csl-citation.json"}</w:instrText>
      </w:r>
      <w:r w:rsidR="00450B9A" w:rsidRPr="00A96836">
        <w:rPr>
          <w:rFonts w:ascii="Times New Roman" w:eastAsia="Times New Roman" w:hAnsi="Times New Roman" w:cs="Times New Roman"/>
        </w:rPr>
        <w:fldChar w:fldCharType="separate"/>
      </w:r>
      <w:r w:rsidR="006F2937" w:rsidRPr="006F2937">
        <w:rPr>
          <w:rFonts w:ascii="Times New Roman" w:eastAsia="Times New Roman" w:hAnsi="Times New Roman" w:cs="Times New Roman"/>
          <w:noProof/>
        </w:rPr>
        <w:t>(15)</w:t>
      </w:r>
      <w:r w:rsidR="00450B9A" w:rsidRPr="00A96836">
        <w:rPr>
          <w:rFonts w:ascii="Times New Roman" w:eastAsia="Times New Roman" w:hAnsi="Times New Roman" w:cs="Times New Roman"/>
        </w:rPr>
        <w:fldChar w:fldCharType="end"/>
      </w:r>
      <w:r w:rsidR="00DA67D2" w:rsidRPr="00A96836">
        <w:rPr>
          <w:rFonts w:ascii="Times New Roman" w:eastAsia="Times New Roman" w:hAnsi="Times New Roman" w:cs="Times New Roman"/>
        </w:rPr>
        <w:t xml:space="preserve">, </w:t>
      </w:r>
      <w:r>
        <w:rPr>
          <w:rFonts w:ascii="Times New Roman" w:eastAsia="Times New Roman" w:hAnsi="Times New Roman" w:cs="Times New Roman"/>
        </w:rPr>
        <w:t xml:space="preserve">who noted transient hypotony as  a potential but relatively uncommon </w:t>
      </w:r>
      <w:r w:rsidR="00DA209B">
        <w:rPr>
          <w:rFonts w:ascii="Times New Roman" w:eastAsia="Times New Roman" w:hAnsi="Times New Roman" w:cs="Times New Roman"/>
        </w:rPr>
        <w:t>consequence of CPC.</w:t>
      </w:r>
      <w:r w:rsidR="005D71B4" w:rsidRPr="005D71B4">
        <w:t xml:space="preserve"> </w:t>
      </w:r>
    </w:p>
    <w:p w14:paraId="425088B3" w14:textId="506BB413" w:rsidR="00DA67D2" w:rsidRDefault="00CE672C"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In this study, vision of participants remained unchanged after CPC. Thus, </w:t>
      </w:r>
      <w:r w:rsidRPr="005D71B4">
        <w:rPr>
          <w:rFonts w:ascii="Times New Roman" w:eastAsia="Times New Roman" w:hAnsi="Times New Roman" w:cs="Times New Roman"/>
        </w:rPr>
        <w:t>by</w:t>
      </w:r>
      <w:r w:rsidR="005D71B4" w:rsidRPr="005D71B4">
        <w:rPr>
          <w:rFonts w:ascii="Times New Roman" w:eastAsia="Times New Roman" w:hAnsi="Times New Roman" w:cs="Times New Roman"/>
        </w:rPr>
        <w:t xml:space="preserve"> selectively ablating ciliary body tissue and decreasing aqueous humor production, CPC lowers IOP, thereby reducing the risk of further optic nerve damage and preserving residual vision. Additionally, in eyes with end</w:t>
      </w:r>
      <w:r>
        <w:rPr>
          <w:rFonts w:ascii="Times New Roman" w:eastAsia="Times New Roman" w:hAnsi="Times New Roman" w:cs="Times New Roman"/>
        </w:rPr>
        <w:t>-</w:t>
      </w:r>
      <w:r w:rsidR="005D71B4" w:rsidRPr="005D71B4">
        <w:rPr>
          <w:rFonts w:ascii="Times New Roman" w:eastAsia="Times New Roman" w:hAnsi="Times New Roman" w:cs="Times New Roman"/>
        </w:rPr>
        <w:t>stage disease, CPC significantly reduces pain associated with high IOP, improving patient comfort and quality of life.</w:t>
      </w:r>
    </w:p>
    <w:p w14:paraId="09F07C59" w14:textId="77777777" w:rsidR="005D71B4" w:rsidRPr="00A96836" w:rsidRDefault="005D71B4" w:rsidP="00A96836">
      <w:pPr>
        <w:spacing w:before="100" w:beforeAutospacing="1" w:after="100" w:afterAutospacing="1" w:line="360" w:lineRule="auto"/>
        <w:jc w:val="both"/>
        <w:rPr>
          <w:rFonts w:ascii="Times New Roman" w:eastAsia="Times New Roman" w:hAnsi="Times New Roman" w:cs="Times New Roman"/>
        </w:rPr>
      </w:pPr>
    </w:p>
    <w:p w14:paraId="58D103C4" w14:textId="77777777" w:rsidR="005D71B4" w:rsidRDefault="005D71B4" w:rsidP="00A96836">
      <w:pPr>
        <w:spacing w:before="100" w:beforeAutospacing="1" w:after="100" w:afterAutospacing="1" w:line="360" w:lineRule="auto"/>
        <w:jc w:val="both"/>
        <w:rPr>
          <w:rFonts w:ascii="Times New Roman" w:eastAsia="Times New Roman" w:hAnsi="Times New Roman" w:cs="Times New Roman"/>
        </w:rPr>
      </w:pPr>
    </w:p>
    <w:p w14:paraId="4AB8E276" w14:textId="21F8974C" w:rsidR="00FE03EC" w:rsidRPr="00A96836" w:rsidRDefault="00DA209B" w:rsidP="00A96836">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 xml:space="preserve">This study </w:t>
      </w:r>
      <w:r w:rsidR="00912107">
        <w:rPr>
          <w:rFonts w:ascii="Times New Roman" w:eastAsia="Times New Roman" w:hAnsi="Times New Roman" w:cs="Times New Roman"/>
        </w:rPr>
        <w:t>findings reinforce the efficacy of limited CPC in reducing IOP among patients with refractory glaucoma, while also highlighting the role of baseline characteristics and comorbidities in determining outcomes. The treatment success rates, complications and predictive factors observed in this Tanzanian cohort are broadly consistent with those documented in other geographic and clinical settings, adding to the growing body of evidence supporting CPC as a practical option in glaucoma management. However, careful patient selection, standardized technique and vigilant post procedure monitoring remain essential to maximize</w:t>
      </w:r>
      <w:r w:rsidR="002B2210">
        <w:rPr>
          <w:rFonts w:ascii="Times New Roman" w:eastAsia="Times New Roman" w:hAnsi="Times New Roman" w:cs="Times New Roman"/>
        </w:rPr>
        <w:t xml:space="preserve"> efficacy and minimize risks.</w:t>
      </w:r>
      <w:r w:rsidR="00DA67D2" w:rsidRPr="00A96836">
        <w:rPr>
          <w:rFonts w:ascii="Times New Roman" w:eastAsia="Times New Roman" w:hAnsi="Times New Roman" w:cs="Times New Roman"/>
        </w:rPr>
        <w:t xml:space="preserve"> </w:t>
      </w:r>
      <w:bookmarkStart w:id="13" w:name="_Toc199960657"/>
    </w:p>
    <w:p w14:paraId="73E20AE8" w14:textId="6CAC922F" w:rsidR="00FE03EC" w:rsidRPr="00A96836" w:rsidRDefault="00FE03EC" w:rsidP="00A96836">
      <w:pPr>
        <w:pStyle w:val="Heading2"/>
        <w:spacing w:line="360" w:lineRule="auto"/>
        <w:jc w:val="both"/>
        <w:rPr>
          <w:rFonts w:ascii="Times New Roman" w:eastAsia="Times New Roman" w:hAnsi="Times New Roman" w:cs="Times New Roman"/>
          <w:b/>
          <w:color w:val="000000"/>
          <w:sz w:val="24"/>
          <w:szCs w:val="24"/>
        </w:rPr>
      </w:pPr>
      <w:r w:rsidRPr="00A96836">
        <w:rPr>
          <w:rFonts w:ascii="Times New Roman" w:eastAsia="Times New Roman" w:hAnsi="Times New Roman" w:cs="Times New Roman"/>
          <w:b/>
          <w:color w:val="000000"/>
          <w:sz w:val="24"/>
          <w:szCs w:val="24"/>
        </w:rPr>
        <w:t>Conclusion</w:t>
      </w:r>
    </w:p>
    <w:p w14:paraId="44F82C1C" w14:textId="21CAAEDD" w:rsidR="00FE03EC" w:rsidRPr="00A96836" w:rsidRDefault="00FF4F6F" w:rsidP="00FF4F6F">
      <w:pPr>
        <w:pStyle w:val="NormalWeb"/>
        <w:spacing w:line="360" w:lineRule="auto"/>
      </w:pPr>
      <w:r>
        <w:t xml:space="preserve">This study demonstrates that limited TSCPC applied to </w:t>
      </w:r>
      <w:r w:rsidR="00FE03EC" w:rsidRPr="00A96836">
        <w:t xml:space="preserve">180° </w:t>
      </w:r>
      <w:r>
        <w:t>of the ciliary body, offers a moderate but clinically meaningful reduction of IOP among patients with refractory glaucoma. The procedure was generally safe with a low incidence of significant complications, the most common being transient uveitis.</w:t>
      </w:r>
    </w:p>
    <w:p w14:paraId="6EF4A0F2" w14:textId="4EE80ECC" w:rsidR="007F06EC" w:rsidRPr="00CE672C" w:rsidRDefault="00E73919" w:rsidP="00A96836">
      <w:pPr>
        <w:pStyle w:val="NormalWeb"/>
        <w:spacing w:line="360" w:lineRule="auto"/>
        <w:jc w:val="both"/>
      </w:pPr>
      <w:r>
        <w:t>A success rate of 48.6% was observed, with efficacy closely linked to baseline IOP and the presence of optic disc notching.</w:t>
      </w:r>
      <w:r w:rsidR="00B007FB">
        <w:t xml:space="preserve"> Conversely, patients with ocular comorbidities or advanced optic disc cupping showed reduced treatment success. </w:t>
      </w:r>
      <w:r w:rsidR="00FE03EC" w:rsidRPr="00A96836">
        <w:t xml:space="preserve"> </w:t>
      </w:r>
    </w:p>
    <w:p w14:paraId="097231C4" w14:textId="5CA632B8" w:rsidR="004B4309" w:rsidRPr="00A96836" w:rsidRDefault="004B4309" w:rsidP="00A96836">
      <w:pPr>
        <w:pStyle w:val="NormalWeb"/>
        <w:spacing w:line="360" w:lineRule="auto"/>
        <w:jc w:val="both"/>
        <w:rPr>
          <w:b/>
          <w:bCs/>
        </w:rPr>
      </w:pPr>
      <w:r w:rsidRPr="00A96836">
        <w:rPr>
          <w:b/>
          <w:bCs/>
        </w:rPr>
        <w:t>Recommendations</w:t>
      </w:r>
    </w:p>
    <w:bookmarkEnd w:id="13"/>
    <w:p w14:paraId="121B08D8" w14:textId="4E0C6948" w:rsidR="0064616D" w:rsidRPr="00A96836" w:rsidRDefault="00BF193F" w:rsidP="00A96836">
      <w:pPr>
        <w:spacing w:line="360" w:lineRule="auto"/>
        <w:jc w:val="both"/>
        <w:rPr>
          <w:rFonts w:ascii="Times New Roman" w:hAnsi="Times New Roman" w:cs="Times New Roman"/>
        </w:rPr>
      </w:pPr>
      <w:r>
        <w:rPr>
          <w:rFonts w:ascii="Times New Roman" w:hAnsi="Times New Roman" w:cs="Times New Roman"/>
        </w:rPr>
        <w:t xml:space="preserve"> Based on the findings of this study, limited TSCPC can be considered as a viable treatment option for patients with refractory glaucoma, particularly when conventional therapies have failed</w:t>
      </w:r>
      <w:r w:rsidR="004B4309" w:rsidRPr="00A96836">
        <w:rPr>
          <w:rFonts w:ascii="Times New Roman" w:hAnsi="Times New Roman" w:cs="Times New Roman"/>
        </w:rPr>
        <w:t>.</w:t>
      </w:r>
      <w:r w:rsidR="00D208FD">
        <w:rPr>
          <w:rFonts w:ascii="Times New Roman" w:hAnsi="Times New Roman" w:cs="Times New Roman"/>
        </w:rPr>
        <w:t xml:space="preserve"> Performing TSCPC over</w:t>
      </w:r>
      <w:r w:rsidR="004B4309" w:rsidRPr="00A96836">
        <w:rPr>
          <w:rFonts w:ascii="Times New Roman" w:hAnsi="Times New Roman" w:cs="Times New Roman"/>
        </w:rPr>
        <w:t xml:space="preserve"> 180°</w:t>
      </w:r>
      <w:r w:rsidR="00D208FD">
        <w:rPr>
          <w:rFonts w:ascii="Times New Roman" w:hAnsi="Times New Roman" w:cs="Times New Roman"/>
        </w:rPr>
        <w:t xml:space="preserve"> is recommended as a safer alternative to more extensive treatment especially in patients at higher risk for complications. </w:t>
      </w:r>
      <w:r w:rsidR="00090E26">
        <w:rPr>
          <w:rFonts w:ascii="Times New Roman" w:hAnsi="Times New Roman" w:cs="Times New Roman"/>
        </w:rPr>
        <w:t xml:space="preserve"> Future research should focus on optimizing laser parameters such as energy settings, pulse duration and number of burns to improve efficacy while reducing adverse effects. Long term follow-up studies are also essential to evaluate sustained IOP control, retreatment rates and late onset complications. </w:t>
      </w:r>
      <w:r w:rsidR="004B4309" w:rsidRPr="00A96836">
        <w:rPr>
          <w:rFonts w:ascii="Times New Roman" w:hAnsi="Times New Roman" w:cs="Times New Roman"/>
        </w:rPr>
        <w:t xml:space="preserve"> </w:t>
      </w:r>
    </w:p>
    <w:p w14:paraId="3328338E" w14:textId="284EA548" w:rsidR="00672DCF" w:rsidRPr="00A96836" w:rsidRDefault="00672DCF" w:rsidP="00A96836">
      <w:pPr>
        <w:spacing w:line="360" w:lineRule="auto"/>
        <w:jc w:val="both"/>
        <w:rPr>
          <w:rFonts w:ascii="Times New Roman" w:hAnsi="Times New Roman" w:cs="Times New Roman"/>
        </w:rPr>
      </w:pPr>
    </w:p>
    <w:p w14:paraId="2772D5A5" w14:textId="7D0404FB" w:rsidR="00CE672C" w:rsidRPr="00A81A85" w:rsidRDefault="00A81A85" w:rsidP="00DD0443">
      <w:pPr>
        <w:spacing w:line="360" w:lineRule="auto"/>
        <w:jc w:val="both"/>
        <w:rPr>
          <w:rFonts w:ascii="Times New Roman" w:hAnsi="Times New Roman" w:cs="Times New Roman"/>
          <w:b/>
        </w:rPr>
      </w:pPr>
      <w:r w:rsidRPr="00A81A85">
        <w:rPr>
          <w:rFonts w:ascii="Times New Roman" w:hAnsi="Times New Roman" w:cs="Times New Roman"/>
          <w:b/>
        </w:rPr>
        <w:t xml:space="preserve">Ethical Approval: </w:t>
      </w:r>
    </w:p>
    <w:p w14:paraId="1E3FFEBB" w14:textId="1FA44CD2" w:rsidR="00A81A85" w:rsidRDefault="00A81A85" w:rsidP="00DD0443">
      <w:pPr>
        <w:spacing w:line="360" w:lineRule="auto"/>
        <w:jc w:val="both"/>
        <w:rPr>
          <w:rFonts w:ascii="Times New Roman" w:hAnsi="Times New Roman" w:cs="Times New Roman"/>
        </w:rPr>
      </w:pPr>
      <w:r w:rsidRPr="00A81A85">
        <w:rPr>
          <w:rFonts w:ascii="Times New Roman" w:hAnsi="Times New Roman" w:cs="Times New Roman"/>
        </w:rPr>
        <w:lastRenderedPageBreak/>
        <w:t>Ethical approval (No.PG 88/2023) was obtained from the College Research Ethics Review Committee of Kilimanjaro Christian Medical University College, Moshi, Tanzania. The study adhered to the tenets of the Declaration of Helsinki.</w:t>
      </w:r>
    </w:p>
    <w:p w14:paraId="7D23C9C9" w14:textId="77777777" w:rsidR="00A81A85" w:rsidRDefault="00A81A85" w:rsidP="00DD0443">
      <w:pPr>
        <w:spacing w:line="360" w:lineRule="auto"/>
        <w:jc w:val="both"/>
        <w:rPr>
          <w:rFonts w:ascii="Times New Roman" w:hAnsi="Times New Roman" w:cs="Times New Roman"/>
        </w:rPr>
      </w:pPr>
    </w:p>
    <w:p w14:paraId="00E4EB4F" w14:textId="77777777" w:rsidR="00A81A85" w:rsidRPr="00A81A85" w:rsidRDefault="00A81A85" w:rsidP="00A81A85">
      <w:pPr>
        <w:spacing w:line="360" w:lineRule="auto"/>
        <w:jc w:val="both"/>
        <w:rPr>
          <w:rFonts w:ascii="Times New Roman" w:hAnsi="Times New Roman" w:cs="Times New Roman"/>
          <w:b/>
        </w:rPr>
      </w:pPr>
      <w:r w:rsidRPr="00A81A85">
        <w:rPr>
          <w:rFonts w:ascii="Times New Roman" w:hAnsi="Times New Roman" w:cs="Times New Roman"/>
          <w:b/>
        </w:rPr>
        <w:t xml:space="preserve">Consent </w:t>
      </w:r>
    </w:p>
    <w:p w14:paraId="3FADA7E0" w14:textId="6923DB63" w:rsidR="00A81A85" w:rsidRDefault="00A81A85" w:rsidP="00A81A85">
      <w:pPr>
        <w:spacing w:line="360" w:lineRule="auto"/>
        <w:jc w:val="both"/>
        <w:rPr>
          <w:rFonts w:ascii="Times New Roman" w:hAnsi="Times New Roman" w:cs="Times New Roman"/>
        </w:rPr>
      </w:pPr>
      <w:r w:rsidRPr="00A81A85">
        <w:rPr>
          <w:rFonts w:ascii="Times New Roman" w:hAnsi="Times New Roman" w:cs="Times New Roman"/>
        </w:rPr>
        <w:t>As per international standards or university standards, patient(s) written consent has been collected and preserved by the author(s).</w:t>
      </w:r>
    </w:p>
    <w:p w14:paraId="319295C1" w14:textId="5F87CB01" w:rsidR="00BF7CB5" w:rsidRDefault="00BF7CB5" w:rsidP="00A96836">
      <w:pPr>
        <w:spacing w:line="360" w:lineRule="auto"/>
        <w:jc w:val="both"/>
        <w:rPr>
          <w:rFonts w:ascii="Times New Roman" w:hAnsi="Times New Roman" w:cs="Times New Roman"/>
        </w:rPr>
      </w:pPr>
    </w:p>
    <w:p w14:paraId="3184E2FA" w14:textId="77777777" w:rsidR="006A6B03" w:rsidRPr="00A81A85" w:rsidRDefault="006A6B03" w:rsidP="006A6B03">
      <w:pPr>
        <w:spacing w:after="200" w:line="276" w:lineRule="auto"/>
        <w:rPr>
          <w:rFonts w:cs="Times New Roman"/>
          <w:b/>
          <w:kern w:val="2"/>
          <w:sz w:val="22"/>
          <w:szCs w:val="22"/>
          <w:highlight w:val="yellow"/>
        </w:rPr>
      </w:pPr>
      <w:bookmarkStart w:id="14" w:name="_Hlk197682619"/>
      <w:bookmarkStart w:id="15" w:name="_Hlk180402183"/>
      <w:bookmarkStart w:id="16" w:name="_Hlk183680988"/>
      <w:r w:rsidRPr="00A81A85">
        <w:rPr>
          <w:rFonts w:cs="Times New Roman"/>
          <w:b/>
          <w:kern w:val="2"/>
          <w:sz w:val="22"/>
          <w:szCs w:val="22"/>
          <w:highlight w:val="yellow"/>
        </w:rPr>
        <w:t>Disclaimer (Artificial intelligence)</w:t>
      </w:r>
    </w:p>
    <w:p w14:paraId="520462DE" w14:textId="77777777" w:rsidR="006A6B03" w:rsidRPr="006A6B03" w:rsidRDefault="006A6B03" w:rsidP="006A6B03">
      <w:pPr>
        <w:spacing w:after="200" w:line="276" w:lineRule="auto"/>
        <w:rPr>
          <w:rFonts w:cs="Times New Roman"/>
          <w:kern w:val="2"/>
          <w:sz w:val="22"/>
          <w:szCs w:val="22"/>
          <w:highlight w:val="yellow"/>
        </w:rPr>
      </w:pPr>
      <w:r w:rsidRPr="006A6B03">
        <w:rPr>
          <w:rFonts w:cs="Times New Roman"/>
          <w:kern w:val="2"/>
          <w:sz w:val="22"/>
          <w:szCs w:val="22"/>
          <w:highlight w:val="yellow"/>
        </w:rPr>
        <w:t xml:space="preserve">Option 1: </w:t>
      </w:r>
    </w:p>
    <w:p w14:paraId="0D51B485" w14:textId="77777777" w:rsidR="006A6B03" w:rsidRPr="006A6B03" w:rsidRDefault="006A6B03" w:rsidP="006A6B03">
      <w:pPr>
        <w:spacing w:after="200" w:line="276" w:lineRule="auto"/>
        <w:rPr>
          <w:rFonts w:cs="Times New Roman"/>
          <w:kern w:val="2"/>
          <w:sz w:val="22"/>
          <w:szCs w:val="22"/>
          <w:highlight w:val="yellow"/>
        </w:rPr>
      </w:pPr>
      <w:r w:rsidRPr="006A6B03">
        <w:rPr>
          <w:rFonts w:cs="Times New Roman"/>
          <w:kern w:val="2"/>
          <w:sz w:val="22"/>
          <w:szCs w:val="22"/>
          <w:highlight w:val="yellow"/>
        </w:rPr>
        <w:t>Author(s) hereby declare that NO generative AI technologies such as Large Language Models (</w:t>
      </w:r>
      <w:proofErr w:type="spellStart"/>
      <w:r w:rsidRPr="006A6B03">
        <w:rPr>
          <w:rFonts w:cs="Times New Roman"/>
          <w:kern w:val="2"/>
          <w:sz w:val="22"/>
          <w:szCs w:val="22"/>
          <w:highlight w:val="yellow"/>
        </w:rPr>
        <w:t>ChatGPT</w:t>
      </w:r>
      <w:proofErr w:type="spellEnd"/>
      <w:r w:rsidRPr="006A6B03">
        <w:rPr>
          <w:rFonts w:cs="Times New Roman"/>
          <w:kern w:val="2"/>
          <w:sz w:val="22"/>
          <w:szCs w:val="22"/>
          <w:highlight w:val="yellow"/>
        </w:rPr>
        <w:t xml:space="preserve">, COPILOT, etc.) and text-to-image generators have been used during the writing or editing of this manuscript. </w:t>
      </w:r>
    </w:p>
    <w:bookmarkEnd w:id="14"/>
    <w:bookmarkEnd w:id="15"/>
    <w:bookmarkEnd w:id="16"/>
    <w:p w14:paraId="5DAC3CE6" w14:textId="77777777" w:rsidR="00425C0A" w:rsidRDefault="00425C0A" w:rsidP="00A96836">
      <w:pPr>
        <w:spacing w:line="360" w:lineRule="auto"/>
        <w:jc w:val="both"/>
        <w:rPr>
          <w:rFonts w:ascii="Times New Roman" w:hAnsi="Times New Roman" w:cs="Times New Roman"/>
        </w:rPr>
      </w:pPr>
    </w:p>
    <w:p w14:paraId="4D25491E" w14:textId="153F605C" w:rsidR="00672DCF" w:rsidRDefault="00DB630F" w:rsidP="00A96836">
      <w:pPr>
        <w:spacing w:line="360" w:lineRule="auto"/>
        <w:jc w:val="both"/>
        <w:rPr>
          <w:rFonts w:ascii="Times New Roman" w:hAnsi="Times New Roman" w:cs="Times New Roman"/>
        </w:rPr>
      </w:pPr>
      <w:r>
        <w:rPr>
          <w:rFonts w:ascii="Times New Roman" w:hAnsi="Times New Roman" w:cs="Times New Roman"/>
        </w:rPr>
        <w:t>REFERENCES</w:t>
      </w:r>
    </w:p>
    <w:p w14:paraId="6CF66701" w14:textId="54135FEE"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DB630F">
        <w:rPr>
          <w:rFonts w:ascii="Times New Roman" w:hAnsi="Times New Roman" w:cs="Times New Roman"/>
          <w:noProof/>
        </w:rPr>
        <w:t>1.</w:t>
      </w:r>
      <w:r w:rsidRPr="00DB630F">
        <w:rPr>
          <w:rFonts w:ascii="Times New Roman" w:hAnsi="Times New Roman" w:cs="Times New Roman"/>
          <w:noProof/>
        </w:rPr>
        <w:tab/>
        <w:t>Wagner I V., Stewart MW, Dorairaj SK. Updates on the Diagnosis and Management of Glaucoma. Mayo Clin Proc Innov Qual Outcomes [Internet]. 2022;6(6):618–35. Available from: https://doi.org/10.1016/j.mayocpiqo.2022.09.007</w:t>
      </w:r>
    </w:p>
    <w:p w14:paraId="43DA856D"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2.</w:t>
      </w:r>
      <w:r w:rsidRPr="00DB630F">
        <w:rPr>
          <w:rFonts w:ascii="Times New Roman" w:hAnsi="Times New Roman" w:cs="Times New Roman"/>
          <w:noProof/>
        </w:rPr>
        <w:tab/>
        <w:t>Adebayo A, Laroche D. Unfulfilled Needs in the Detection, Diagnosis, Monitoring, Treatment, and Understanding of Glaucoma in Blacks Globally. J Racial Ethn Heal Disparities [Internet]. 2023;(0123456789):1–6. Available from: https://doi.org/10.1007/s40615-023-01679-2</w:t>
      </w:r>
    </w:p>
    <w:p w14:paraId="313D8E60"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3.</w:t>
      </w:r>
      <w:r w:rsidRPr="00DB630F">
        <w:rPr>
          <w:rFonts w:ascii="Times New Roman" w:hAnsi="Times New Roman" w:cs="Times New Roman"/>
          <w:noProof/>
        </w:rPr>
        <w:tab/>
        <w:t>Zhang N, Wang J, Li Y, Jiang B. Prevalence of primary open angle glaucoma in the last 20 years: a meta-analysis and systematic review. Sci Rep [Internet]. 2021;11(1):1–12. Available from: https://doi.org/10.1038/s41598-021-92971-w</w:t>
      </w:r>
    </w:p>
    <w:p w14:paraId="218BC24F"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4.</w:t>
      </w:r>
      <w:r w:rsidRPr="00DB630F">
        <w:rPr>
          <w:rFonts w:ascii="Times New Roman" w:hAnsi="Times New Roman" w:cs="Times New Roman"/>
          <w:noProof/>
        </w:rPr>
        <w:tab/>
        <w:t xml:space="preserve">Kyari F, Abdull MM, Bastawrous A, Gilbert CE, Faal H. Epidemiology of glaucoma in Sub-Saharan Africa: Prevalence, incidence and risk factors. Middle East Afr J Ophthalmol. 2013;20(2):111–25. </w:t>
      </w:r>
    </w:p>
    <w:p w14:paraId="09AA047A"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5.</w:t>
      </w:r>
      <w:r w:rsidRPr="00DB630F">
        <w:rPr>
          <w:rFonts w:ascii="Times New Roman" w:hAnsi="Times New Roman" w:cs="Times New Roman"/>
          <w:noProof/>
        </w:rPr>
        <w:tab/>
        <w:t xml:space="preserve">Smith AF, Negretti G, Mascaro A, Bokre D, Baker H, Dhalla K, et al. Glaucoma Control Strategies in Sub-Saharan Africa: A Review of the Clinical and Health Economic Evidence. Ophthalmic Epidemiol. 2018;25(5–6):419–35. </w:t>
      </w:r>
    </w:p>
    <w:p w14:paraId="5A7A8380"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6.</w:t>
      </w:r>
      <w:r w:rsidRPr="00DB630F">
        <w:rPr>
          <w:rFonts w:ascii="Times New Roman" w:hAnsi="Times New Roman" w:cs="Times New Roman"/>
          <w:noProof/>
        </w:rPr>
        <w:tab/>
        <w:t xml:space="preserve">Allison K, Patel D, Alabi O. Epidemiology of Glaucoma: The Past, Present, and </w:t>
      </w:r>
      <w:r w:rsidRPr="00DB630F">
        <w:rPr>
          <w:rFonts w:ascii="Times New Roman" w:hAnsi="Times New Roman" w:cs="Times New Roman"/>
          <w:noProof/>
        </w:rPr>
        <w:lastRenderedPageBreak/>
        <w:t xml:space="preserve">Predictions for the Future. Cureus. 2020;12(11). </w:t>
      </w:r>
    </w:p>
    <w:p w14:paraId="2913B4C5"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7.</w:t>
      </w:r>
      <w:r w:rsidRPr="00DB630F">
        <w:rPr>
          <w:rFonts w:ascii="Times New Roman" w:hAnsi="Times New Roman" w:cs="Times New Roman"/>
          <w:noProof/>
        </w:rPr>
        <w:tab/>
        <w:t>Ting NS, Li Yim JFT, Ng JY. Different strategies and cost-effectiveness in the treatment of primary open angle glaucoma. Clin Outcomes Res [Internet]. 2014;6:523–30. Available from: https://doi.org/10.2147/CEOR.S30697</w:t>
      </w:r>
    </w:p>
    <w:p w14:paraId="740AB94A"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8.</w:t>
      </w:r>
      <w:r w:rsidRPr="00DB630F">
        <w:rPr>
          <w:rFonts w:ascii="Times New Roman" w:hAnsi="Times New Roman" w:cs="Times New Roman"/>
          <w:noProof/>
        </w:rPr>
        <w:tab/>
        <w:t xml:space="preserve">Boboev SA. STAGES OF ETIOLOGY , PATHOGENESIS , DIAGNOSIS , TREATMENT OF REFRACTER GLUCOMAS. 2022;(May):166–72. </w:t>
      </w:r>
    </w:p>
    <w:p w14:paraId="5A732FE9"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9.</w:t>
      </w:r>
      <w:r w:rsidRPr="00DB630F">
        <w:rPr>
          <w:rFonts w:ascii="Times New Roman" w:hAnsi="Times New Roman" w:cs="Times New Roman"/>
          <w:noProof/>
        </w:rPr>
        <w:tab/>
        <w:t xml:space="preserve">Jammal AA, Costa DC, Vasconcellos JPC, Costa VP. Prospective evaluation of micropulse transscleral diode cyclophotocoagulation in refractory glaucoma: 1 year results. Arq Bras Oftalmol. 2019;82(5):381–8. </w:t>
      </w:r>
    </w:p>
    <w:p w14:paraId="1001EA5E"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10.</w:t>
      </w:r>
      <w:r w:rsidRPr="00DB630F">
        <w:rPr>
          <w:rFonts w:ascii="Times New Roman" w:hAnsi="Times New Roman" w:cs="Times New Roman"/>
          <w:noProof/>
        </w:rPr>
        <w:tab/>
        <w:t xml:space="preserve">Quigley HA. Improved Outcomes for Transscleral Cyclophotocoagulation Through Optimized Treatment Parameters. J Glaucoma. 2018;27(8):674–81. </w:t>
      </w:r>
    </w:p>
    <w:p w14:paraId="3488E121"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11.</w:t>
      </w:r>
      <w:r w:rsidRPr="00DB630F">
        <w:rPr>
          <w:rFonts w:ascii="Times New Roman" w:hAnsi="Times New Roman" w:cs="Times New Roman"/>
          <w:noProof/>
        </w:rPr>
        <w:tab/>
        <w:t xml:space="preserve">Souissi S, Baudouin C, Labbé A, Hamard P. Micropulse transscleral cyclophotocoagulation using a standard protocol in patients with refractory glaucoma naive of cyclodestruction. Eur J Ophthalmol. 2021;31(1):112–9. </w:t>
      </w:r>
    </w:p>
    <w:p w14:paraId="023185AF"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12.</w:t>
      </w:r>
      <w:r w:rsidRPr="00DB630F">
        <w:rPr>
          <w:rFonts w:ascii="Times New Roman" w:hAnsi="Times New Roman" w:cs="Times New Roman"/>
          <w:noProof/>
        </w:rPr>
        <w:tab/>
        <w:t xml:space="preserve">Miljković A, Babić N, Čanadanović V, Davidović S, Ljikar J, Vasin M. Efficacy of cyclocryotherapy and transscleral diode laser cyclophotocoagulation in the management of refractory glaucoma. Acta Clin Croat. 2021;60(2):171–7. </w:t>
      </w:r>
    </w:p>
    <w:p w14:paraId="40E2441F"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13.</w:t>
      </w:r>
      <w:r w:rsidRPr="00DB630F">
        <w:rPr>
          <w:rFonts w:ascii="Times New Roman" w:hAnsi="Times New Roman" w:cs="Times New Roman"/>
          <w:noProof/>
        </w:rPr>
        <w:tab/>
        <w:t xml:space="preserve">Aygün FB, Mocan MC, Kocabeyoğlu S, İrkeç M. Efficacy of 180° cyclodiode transscleral photocoagulation for refractory glaucoma. Turkish J Ophthalmol. 2018;48(6):299–303. </w:t>
      </w:r>
    </w:p>
    <w:p w14:paraId="435C1FEC"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14.</w:t>
      </w:r>
      <w:r w:rsidRPr="00DB630F">
        <w:rPr>
          <w:rFonts w:ascii="Times New Roman" w:hAnsi="Times New Roman" w:cs="Times New Roman"/>
          <w:noProof/>
        </w:rPr>
        <w:tab/>
        <w:t xml:space="preserve">Schulze Schwering M, Kayange P, Klauss V, Kalua K, Spitzer MS. Low-dose transscleral diode laser cyclophotocoagulation (TSCPC) as a potential single treatment for primary open-angle glaucoma (POAG) in Malawi? Graefe’s Arch Clin Exp Ophthalmol. 2013;251(10):2389–93. </w:t>
      </w:r>
    </w:p>
    <w:p w14:paraId="4041763A"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15.</w:t>
      </w:r>
      <w:r w:rsidRPr="00DB630F">
        <w:rPr>
          <w:rFonts w:ascii="Times New Roman" w:hAnsi="Times New Roman" w:cs="Times New Roman"/>
          <w:noProof/>
        </w:rPr>
        <w:tab/>
        <w:t xml:space="preserve">Thomas JP. The Efficacy and Safety of Diode Laser Cycloablation in the Treatment of Refractory Glaucoma in a South African Population. 2022;(April). </w:t>
      </w:r>
    </w:p>
    <w:p w14:paraId="2A617294"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16.</w:t>
      </w:r>
      <w:r w:rsidRPr="00DB630F">
        <w:rPr>
          <w:rFonts w:ascii="Times New Roman" w:hAnsi="Times New Roman" w:cs="Times New Roman"/>
          <w:noProof/>
        </w:rPr>
        <w:tab/>
        <w:t xml:space="preserve">Mavrakanas N, Dhalla K, Kapesa I, Alibhai A, Murdoch I. Diode laser transscleral cyclophotocoagulation for the treatment of glaucoma in East Africa. Eye. 2013;27(3):453–4. </w:t>
      </w:r>
    </w:p>
    <w:p w14:paraId="777553A1"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17.</w:t>
      </w:r>
      <w:r w:rsidRPr="00DB630F">
        <w:rPr>
          <w:rFonts w:ascii="Times New Roman" w:hAnsi="Times New Roman" w:cs="Times New Roman"/>
          <w:noProof/>
        </w:rPr>
        <w:tab/>
        <w:t xml:space="preserve">Abdull MM, Broadway DC, Evans J, Kyari F, Muazu F, Gilbert C. Safety and effectiveness of primary transscleral diode laser cyclophotoablation for glaucoma in Nigeria. Clin Exp Ophthalmol. 2018;46(9):1041–7. </w:t>
      </w:r>
    </w:p>
    <w:p w14:paraId="6B164CB5"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lastRenderedPageBreak/>
        <w:t>18.</w:t>
      </w:r>
      <w:r w:rsidRPr="00DB630F">
        <w:rPr>
          <w:rFonts w:ascii="Times New Roman" w:hAnsi="Times New Roman" w:cs="Times New Roman"/>
          <w:noProof/>
        </w:rPr>
        <w:tab/>
        <w:t xml:space="preserve">Aquino MCD, Barton K, Tan AMWT, Sng C, Li X, Loon SC, et al. Micropulse versus continuous wave transscleral diode cyclophotocoagulation in refractory glaucoma: A randomized exploratory study. Clin Exp Ophthalmol. 2015;43(1):40–6. </w:t>
      </w:r>
    </w:p>
    <w:p w14:paraId="5189BA75"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19.</w:t>
      </w:r>
      <w:r w:rsidRPr="00DB630F">
        <w:rPr>
          <w:rFonts w:ascii="Times New Roman" w:hAnsi="Times New Roman" w:cs="Times New Roman"/>
          <w:noProof/>
        </w:rPr>
        <w:tab/>
        <w:t xml:space="preserve">Shah P, Bhakta A, Vanner EA, Kishor KS, Greenfield DS, Maharaj ASR. Safety and efficacy of diode laser transscleral cyclophotocoagulation in eyes with good visual acuity. J Glaucoma. 2018;27(10):874–9. </w:t>
      </w:r>
    </w:p>
    <w:p w14:paraId="2BC2FA57" w14:textId="77777777" w:rsidR="00DB630F" w:rsidRPr="00DB630F" w:rsidRDefault="00DB630F" w:rsidP="00DB630F">
      <w:pPr>
        <w:widowControl w:val="0"/>
        <w:autoSpaceDE w:val="0"/>
        <w:autoSpaceDN w:val="0"/>
        <w:adjustRightInd w:val="0"/>
        <w:spacing w:line="360" w:lineRule="auto"/>
        <w:ind w:left="640" w:hanging="640"/>
        <w:rPr>
          <w:rFonts w:ascii="Times New Roman" w:hAnsi="Times New Roman" w:cs="Times New Roman"/>
          <w:noProof/>
        </w:rPr>
      </w:pPr>
      <w:r w:rsidRPr="00DB630F">
        <w:rPr>
          <w:rFonts w:ascii="Times New Roman" w:hAnsi="Times New Roman" w:cs="Times New Roman"/>
          <w:noProof/>
        </w:rPr>
        <w:t>20.</w:t>
      </w:r>
      <w:r w:rsidRPr="00DB630F">
        <w:rPr>
          <w:rFonts w:ascii="Times New Roman" w:hAnsi="Times New Roman" w:cs="Times New Roman"/>
          <w:noProof/>
        </w:rPr>
        <w:tab/>
        <w:t>Ariga M, Nivean, Nivean PD, Madanagopalan VG, Mohan S. Micropulse trans-scleral diode laser cyclophotocoagulation in refractory glaucoma: an initial experience in Indian eyes. Int Ophthalmol [Internet]. 2021;41(8):2639–45. Available from: https://doi.org/10.1007/s10792-021-01697-1</w:t>
      </w:r>
    </w:p>
    <w:p w14:paraId="7BF092E9" w14:textId="0C41D19E" w:rsidR="00DB630F" w:rsidRPr="00A96836" w:rsidRDefault="00DB630F" w:rsidP="00A96836">
      <w:pPr>
        <w:spacing w:line="360" w:lineRule="auto"/>
        <w:jc w:val="both"/>
        <w:rPr>
          <w:rFonts w:ascii="Times New Roman" w:hAnsi="Times New Roman" w:cs="Times New Roman"/>
        </w:rPr>
      </w:pPr>
      <w:r>
        <w:rPr>
          <w:rFonts w:ascii="Times New Roman" w:hAnsi="Times New Roman" w:cs="Times New Roman"/>
        </w:rPr>
        <w:fldChar w:fldCharType="end"/>
      </w:r>
    </w:p>
    <w:p w14:paraId="0AFA2DAA" w14:textId="77B34CEB" w:rsidR="00672DCF" w:rsidRPr="00A96836" w:rsidRDefault="00672DCF" w:rsidP="00A96836">
      <w:pPr>
        <w:spacing w:line="360" w:lineRule="auto"/>
        <w:jc w:val="both"/>
        <w:rPr>
          <w:rFonts w:ascii="Times New Roman" w:eastAsia="Times New Roman" w:hAnsi="Times New Roman" w:cs="Times New Roman"/>
        </w:rPr>
      </w:pPr>
    </w:p>
    <w:sectPr w:rsidR="00672DCF" w:rsidRPr="00A96836" w:rsidSect="00A96836">
      <w:headerReference w:type="even" r:id="rId18"/>
      <w:headerReference w:type="default" r:id="rId19"/>
      <w:footerReference w:type="even" r:id="rId20"/>
      <w:footerReference w:type="default" r:id="rId21"/>
      <w:headerReference w:type="first" r:id="rId22"/>
      <w:footerReference w:type="first" r:id="rId23"/>
      <w:pgSz w:w="11900" w:h="16840"/>
      <w:pgMar w:top="1350" w:right="1440" w:bottom="1440" w:left="1440" w:header="706" w:footer="2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F559" w14:textId="77777777" w:rsidR="007C74B7" w:rsidRDefault="007C74B7">
      <w:r>
        <w:separator/>
      </w:r>
    </w:p>
  </w:endnote>
  <w:endnote w:type="continuationSeparator" w:id="0">
    <w:p w14:paraId="745E8B8C" w14:textId="77777777" w:rsidR="007C74B7" w:rsidRDefault="007C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783D" w14:textId="77777777" w:rsidR="00425C0A" w:rsidRDefault="0042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98DC" w14:textId="07CE01A3" w:rsidR="0064616D" w:rsidRDefault="000C2B1D">
    <w:pPr>
      <w:pBdr>
        <w:top w:val="nil"/>
        <w:left w:val="nil"/>
        <w:bottom w:val="nil"/>
        <w:right w:val="nil"/>
        <w:between w:val="nil"/>
      </w:pBdr>
      <w:tabs>
        <w:tab w:val="center" w:pos="4680"/>
        <w:tab w:val="right" w:pos="9360"/>
        <w:tab w:val="center" w:pos="4510"/>
        <w:tab w:val="left" w:pos="5040"/>
        <w:tab w:val="left" w:pos="5760"/>
        <w:tab w:val="left" w:pos="6480"/>
      </w:tabs>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0399E86C" w14:textId="77777777" w:rsidR="0064616D" w:rsidRDefault="0064616D">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1CA2" w14:textId="77777777" w:rsidR="0064616D" w:rsidRDefault="000C2B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33E15A2E" w14:textId="77777777" w:rsidR="0064616D" w:rsidRDefault="0064616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388BF" w14:textId="77777777" w:rsidR="007C74B7" w:rsidRDefault="007C74B7">
      <w:r>
        <w:separator/>
      </w:r>
    </w:p>
  </w:footnote>
  <w:footnote w:type="continuationSeparator" w:id="0">
    <w:p w14:paraId="19C2A34B" w14:textId="77777777" w:rsidR="007C74B7" w:rsidRDefault="007C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B952" w14:textId="7F2FBA65" w:rsidR="00425C0A" w:rsidRDefault="007C74B7">
    <w:pPr>
      <w:pStyle w:val="Header"/>
    </w:pPr>
    <w:r>
      <w:rPr>
        <w:noProof/>
      </w:rPr>
      <w:pict w14:anchorId="046A5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52172"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3291" w14:textId="7BF0B114" w:rsidR="0064616D" w:rsidRDefault="007C74B7">
    <w:pPr>
      <w:pBdr>
        <w:top w:val="nil"/>
        <w:left w:val="nil"/>
        <w:bottom w:val="nil"/>
        <w:right w:val="nil"/>
        <w:between w:val="nil"/>
      </w:pBdr>
      <w:tabs>
        <w:tab w:val="center" w:pos="4680"/>
        <w:tab w:val="right" w:pos="9360"/>
      </w:tabs>
      <w:rPr>
        <w:color w:val="000000"/>
      </w:rPr>
    </w:pPr>
    <w:r>
      <w:rPr>
        <w:noProof/>
      </w:rPr>
      <w:pict w14:anchorId="3ADAE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52173"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9D0BA2B" w14:textId="77777777" w:rsidR="0064616D" w:rsidRDefault="0064616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AD17" w14:textId="12FEDB42" w:rsidR="00425C0A" w:rsidRDefault="007C74B7">
    <w:pPr>
      <w:pStyle w:val="Header"/>
    </w:pPr>
    <w:r>
      <w:rPr>
        <w:noProof/>
      </w:rPr>
      <w:pict w14:anchorId="7D49C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652171"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465"/>
    <w:multiLevelType w:val="multilevel"/>
    <w:tmpl w:val="7548AB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41A2C"/>
    <w:multiLevelType w:val="multilevel"/>
    <w:tmpl w:val="7F5A0B0C"/>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A464B5B"/>
    <w:multiLevelType w:val="multilevel"/>
    <w:tmpl w:val="42CCFFFC"/>
    <w:lvl w:ilvl="0">
      <w:start w:val="1"/>
      <w:numFmt w:val="lowerRoman"/>
      <w:lvlText w:val="%1."/>
      <w:lvlJc w:val="righ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 w15:restartNumberingAfterBreak="0">
    <w:nsid w:val="1A2530B8"/>
    <w:multiLevelType w:val="multilevel"/>
    <w:tmpl w:val="84FAE1A0"/>
    <w:lvl w:ilvl="0">
      <w:start w:val="1"/>
      <w:numFmt w:val="lowerRoman"/>
      <w:lvlText w:val="%1."/>
      <w:lvlJc w:val="righ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09583C"/>
    <w:multiLevelType w:val="multilevel"/>
    <w:tmpl w:val="90CE94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46CCF"/>
    <w:multiLevelType w:val="multilevel"/>
    <w:tmpl w:val="1CA418A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305051"/>
    <w:multiLevelType w:val="multilevel"/>
    <w:tmpl w:val="F2EE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7397C"/>
    <w:multiLevelType w:val="multilevel"/>
    <w:tmpl w:val="2334C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7"/>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6D"/>
    <w:rsid w:val="00013502"/>
    <w:rsid w:val="00014286"/>
    <w:rsid w:val="00025155"/>
    <w:rsid w:val="0003146A"/>
    <w:rsid w:val="000408C7"/>
    <w:rsid w:val="000415FE"/>
    <w:rsid w:val="00055796"/>
    <w:rsid w:val="0006087A"/>
    <w:rsid w:val="000618D6"/>
    <w:rsid w:val="00063F01"/>
    <w:rsid w:val="00067C25"/>
    <w:rsid w:val="00070390"/>
    <w:rsid w:val="00073CCD"/>
    <w:rsid w:val="00076014"/>
    <w:rsid w:val="00082B9F"/>
    <w:rsid w:val="00090E26"/>
    <w:rsid w:val="000B092B"/>
    <w:rsid w:val="000B3F53"/>
    <w:rsid w:val="000C2B1D"/>
    <w:rsid w:val="000C2C4E"/>
    <w:rsid w:val="000C5133"/>
    <w:rsid w:val="000C67BC"/>
    <w:rsid w:val="000F19F7"/>
    <w:rsid w:val="000F6CF1"/>
    <w:rsid w:val="001022B3"/>
    <w:rsid w:val="0011343D"/>
    <w:rsid w:val="0012128A"/>
    <w:rsid w:val="00124D3C"/>
    <w:rsid w:val="00130694"/>
    <w:rsid w:val="00133BCE"/>
    <w:rsid w:val="0013474D"/>
    <w:rsid w:val="001347CA"/>
    <w:rsid w:val="00142A97"/>
    <w:rsid w:val="001456A5"/>
    <w:rsid w:val="00151790"/>
    <w:rsid w:val="0019119D"/>
    <w:rsid w:val="001A7A8E"/>
    <w:rsid w:val="001A7C6A"/>
    <w:rsid w:val="001B1D0D"/>
    <w:rsid w:val="001D1398"/>
    <w:rsid w:val="001D3147"/>
    <w:rsid w:val="00217F84"/>
    <w:rsid w:val="00243CD6"/>
    <w:rsid w:val="00245ACC"/>
    <w:rsid w:val="0024769B"/>
    <w:rsid w:val="00254813"/>
    <w:rsid w:val="00255D0F"/>
    <w:rsid w:val="00255EA1"/>
    <w:rsid w:val="00261776"/>
    <w:rsid w:val="00267F14"/>
    <w:rsid w:val="002705C3"/>
    <w:rsid w:val="00280A5E"/>
    <w:rsid w:val="00282765"/>
    <w:rsid w:val="00293E28"/>
    <w:rsid w:val="00294BD7"/>
    <w:rsid w:val="0029618F"/>
    <w:rsid w:val="002A47FD"/>
    <w:rsid w:val="002B2210"/>
    <w:rsid w:val="002B619A"/>
    <w:rsid w:val="002C0636"/>
    <w:rsid w:val="002C1BD4"/>
    <w:rsid w:val="002C4EE8"/>
    <w:rsid w:val="002E18A6"/>
    <w:rsid w:val="002E33FF"/>
    <w:rsid w:val="003063BA"/>
    <w:rsid w:val="003173B3"/>
    <w:rsid w:val="00336E61"/>
    <w:rsid w:val="00337B78"/>
    <w:rsid w:val="0036089C"/>
    <w:rsid w:val="00360BB6"/>
    <w:rsid w:val="003668E3"/>
    <w:rsid w:val="00372F16"/>
    <w:rsid w:val="003A2916"/>
    <w:rsid w:val="003A6DA5"/>
    <w:rsid w:val="003B0AE8"/>
    <w:rsid w:val="003D34AD"/>
    <w:rsid w:val="003E465F"/>
    <w:rsid w:val="003E6D0D"/>
    <w:rsid w:val="00410F22"/>
    <w:rsid w:val="004151E2"/>
    <w:rsid w:val="00425C0A"/>
    <w:rsid w:val="004374D6"/>
    <w:rsid w:val="00450B9A"/>
    <w:rsid w:val="00450D40"/>
    <w:rsid w:val="00451A16"/>
    <w:rsid w:val="004577E5"/>
    <w:rsid w:val="004747BC"/>
    <w:rsid w:val="00494349"/>
    <w:rsid w:val="004A7A1C"/>
    <w:rsid w:val="004B14CD"/>
    <w:rsid w:val="004B4309"/>
    <w:rsid w:val="004C0C1D"/>
    <w:rsid w:val="004C3191"/>
    <w:rsid w:val="004D6D9E"/>
    <w:rsid w:val="004E1097"/>
    <w:rsid w:val="004E4F08"/>
    <w:rsid w:val="004E7DDE"/>
    <w:rsid w:val="004F1688"/>
    <w:rsid w:val="004F1A28"/>
    <w:rsid w:val="005114EE"/>
    <w:rsid w:val="0051248A"/>
    <w:rsid w:val="005230D8"/>
    <w:rsid w:val="005275D1"/>
    <w:rsid w:val="005434AB"/>
    <w:rsid w:val="00553AEA"/>
    <w:rsid w:val="00555D1A"/>
    <w:rsid w:val="005640D0"/>
    <w:rsid w:val="00564899"/>
    <w:rsid w:val="00587109"/>
    <w:rsid w:val="005C64ED"/>
    <w:rsid w:val="005D71B4"/>
    <w:rsid w:val="005E194D"/>
    <w:rsid w:val="005F4F70"/>
    <w:rsid w:val="005F6242"/>
    <w:rsid w:val="005F6672"/>
    <w:rsid w:val="00606F69"/>
    <w:rsid w:val="00611F6E"/>
    <w:rsid w:val="00623AD0"/>
    <w:rsid w:val="0064616D"/>
    <w:rsid w:val="00652D41"/>
    <w:rsid w:val="00652F85"/>
    <w:rsid w:val="00655927"/>
    <w:rsid w:val="00657F26"/>
    <w:rsid w:val="00661B1E"/>
    <w:rsid w:val="00665CD2"/>
    <w:rsid w:val="00672DCF"/>
    <w:rsid w:val="0067572F"/>
    <w:rsid w:val="00685ECA"/>
    <w:rsid w:val="006872ED"/>
    <w:rsid w:val="00690B99"/>
    <w:rsid w:val="00696FD3"/>
    <w:rsid w:val="006A6B03"/>
    <w:rsid w:val="006B0980"/>
    <w:rsid w:val="006B2FFF"/>
    <w:rsid w:val="006B3176"/>
    <w:rsid w:val="006B5DC9"/>
    <w:rsid w:val="006F14C7"/>
    <w:rsid w:val="006F2937"/>
    <w:rsid w:val="00705920"/>
    <w:rsid w:val="00720860"/>
    <w:rsid w:val="00723BAF"/>
    <w:rsid w:val="00732592"/>
    <w:rsid w:val="00736C56"/>
    <w:rsid w:val="007379A2"/>
    <w:rsid w:val="00742F96"/>
    <w:rsid w:val="00747D0F"/>
    <w:rsid w:val="00753181"/>
    <w:rsid w:val="0076371D"/>
    <w:rsid w:val="00767540"/>
    <w:rsid w:val="007702DE"/>
    <w:rsid w:val="007703B5"/>
    <w:rsid w:val="00776C5C"/>
    <w:rsid w:val="00786AAB"/>
    <w:rsid w:val="00791AA3"/>
    <w:rsid w:val="00797BF8"/>
    <w:rsid w:val="007A7D4A"/>
    <w:rsid w:val="007B4261"/>
    <w:rsid w:val="007B77B1"/>
    <w:rsid w:val="007C74B7"/>
    <w:rsid w:val="007D45B8"/>
    <w:rsid w:val="007D4FD8"/>
    <w:rsid w:val="007D6339"/>
    <w:rsid w:val="007D7AA3"/>
    <w:rsid w:val="007E30EC"/>
    <w:rsid w:val="007E5CA6"/>
    <w:rsid w:val="007F06EC"/>
    <w:rsid w:val="007F1996"/>
    <w:rsid w:val="0080599F"/>
    <w:rsid w:val="00807045"/>
    <w:rsid w:val="00813550"/>
    <w:rsid w:val="00815874"/>
    <w:rsid w:val="008175B6"/>
    <w:rsid w:val="008235F5"/>
    <w:rsid w:val="00845BE9"/>
    <w:rsid w:val="008515C4"/>
    <w:rsid w:val="0086122B"/>
    <w:rsid w:val="00862473"/>
    <w:rsid w:val="0087693D"/>
    <w:rsid w:val="0089694C"/>
    <w:rsid w:val="008A3030"/>
    <w:rsid w:val="008A7C0D"/>
    <w:rsid w:val="008C3A6A"/>
    <w:rsid w:val="008D09A2"/>
    <w:rsid w:val="008D7D8D"/>
    <w:rsid w:val="008E3351"/>
    <w:rsid w:val="008E7C34"/>
    <w:rsid w:val="00911B44"/>
    <w:rsid w:val="00912107"/>
    <w:rsid w:val="00913F25"/>
    <w:rsid w:val="00914DB2"/>
    <w:rsid w:val="0091607A"/>
    <w:rsid w:val="009375FD"/>
    <w:rsid w:val="00941624"/>
    <w:rsid w:val="00950F11"/>
    <w:rsid w:val="00952951"/>
    <w:rsid w:val="0095778B"/>
    <w:rsid w:val="00982F90"/>
    <w:rsid w:val="00984EBE"/>
    <w:rsid w:val="00991A60"/>
    <w:rsid w:val="00993B51"/>
    <w:rsid w:val="009A6BEB"/>
    <w:rsid w:val="009A6F70"/>
    <w:rsid w:val="009B6F69"/>
    <w:rsid w:val="009D2A76"/>
    <w:rsid w:val="009E304F"/>
    <w:rsid w:val="00A01000"/>
    <w:rsid w:val="00A06020"/>
    <w:rsid w:val="00A1559C"/>
    <w:rsid w:val="00A25D30"/>
    <w:rsid w:val="00A31120"/>
    <w:rsid w:val="00A352C3"/>
    <w:rsid w:val="00A43CD9"/>
    <w:rsid w:val="00A43D19"/>
    <w:rsid w:val="00A46E47"/>
    <w:rsid w:val="00A47738"/>
    <w:rsid w:val="00A57229"/>
    <w:rsid w:val="00A63954"/>
    <w:rsid w:val="00A7272A"/>
    <w:rsid w:val="00A72ABA"/>
    <w:rsid w:val="00A72F2E"/>
    <w:rsid w:val="00A81A85"/>
    <w:rsid w:val="00A931B4"/>
    <w:rsid w:val="00A96836"/>
    <w:rsid w:val="00A97527"/>
    <w:rsid w:val="00AA784F"/>
    <w:rsid w:val="00AC269B"/>
    <w:rsid w:val="00AC2A2F"/>
    <w:rsid w:val="00AC2ECE"/>
    <w:rsid w:val="00AD4A85"/>
    <w:rsid w:val="00AF0FD3"/>
    <w:rsid w:val="00AF3A54"/>
    <w:rsid w:val="00AF6CC9"/>
    <w:rsid w:val="00AF6F86"/>
    <w:rsid w:val="00B007FB"/>
    <w:rsid w:val="00B111D4"/>
    <w:rsid w:val="00B128EA"/>
    <w:rsid w:val="00B159C3"/>
    <w:rsid w:val="00B253F7"/>
    <w:rsid w:val="00B26408"/>
    <w:rsid w:val="00B27237"/>
    <w:rsid w:val="00B30724"/>
    <w:rsid w:val="00B51A44"/>
    <w:rsid w:val="00B51BA8"/>
    <w:rsid w:val="00B624BC"/>
    <w:rsid w:val="00B6450B"/>
    <w:rsid w:val="00B66BFB"/>
    <w:rsid w:val="00B7005D"/>
    <w:rsid w:val="00B753DA"/>
    <w:rsid w:val="00B75E47"/>
    <w:rsid w:val="00B84548"/>
    <w:rsid w:val="00B84DD6"/>
    <w:rsid w:val="00BB4824"/>
    <w:rsid w:val="00BC53E1"/>
    <w:rsid w:val="00BF193F"/>
    <w:rsid w:val="00BF46C7"/>
    <w:rsid w:val="00BF7CB5"/>
    <w:rsid w:val="00BF7E1F"/>
    <w:rsid w:val="00C024DD"/>
    <w:rsid w:val="00C10FB8"/>
    <w:rsid w:val="00C2013C"/>
    <w:rsid w:val="00C241FA"/>
    <w:rsid w:val="00C32013"/>
    <w:rsid w:val="00C3277B"/>
    <w:rsid w:val="00C366F0"/>
    <w:rsid w:val="00C67817"/>
    <w:rsid w:val="00C70300"/>
    <w:rsid w:val="00C7342A"/>
    <w:rsid w:val="00C7737A"/>
    <w:rsid w:val="00C8148F"/>
    <w:rsid w:val="00C9273B"/>
    <w:rsid w:val="00CA3EFF"/>
    <w:rsid w:val="00CB7BAD"/>
    <w:rsid w:val="00CB7DCE"/>
    <w:rsid w:val="00CC1A86"/>
    <w:rsid w:val="00CC2295"/>
    <w:rsid w:val="00CE2D65"/>
    <w:rsid w:val="00CE672C"/>
    <w:rsid w:val="00CF33AE"/>
    <w:rsid w:val="00CF3C3A"/>
    <w:rsid w:val="00CF6ABD"/>
    <w:rsid w:val="00D06CA2"/>
    <w:rsid w:val="00D208FD"/>
    <w:rsid w:val="00D2710D"/>
    <w:rsid w:val="00D3419A"/>
    <w:rsid w:val="00D43599"/>
    <w:rsid w:val="00D44AAC"/>
    <w:rsid w:val="00D50F6F"/>
    <w:rsid w:val="00D55AFB"/>
    <w:rsid w:val="00D63ED2"/>
    <w:rsid w:val="00D66B1C"/>
    <w:rsid w:val="00D66CC6"/>
    <w:rsid w:val="00D771EA"/>
    <w:rsid w:val="00D81A60"/>
    <w:rsid w:val="00DA109C"/>
    <w:rsid w:val="00DA209B"/>
    <w:rsid w:val="00DA67D2"/>
    <w:rsid w:val="00DB630F"/>
    <w:rsid w:val="00DC7290"/>
    <w:rsid w:val="00DC799F"/>
    <w:rsid w:val="00DD0443"/>
    <w:rsid w:val="00DD6ABA"/>
    <w:rsid w:val="00DE4A53"/>
    <w:rsid w:val="00DF6853"/>
    <w:rsid w:val="00E158AD"/>
    <w:rsid w:val="00E1753D"/>
    <w:rsid w:val="00E344A3"/>
    <w:rsid w:val="00E412BD"/>
    <w:rsid w:val="00E47047"/>
    <w:rsid w:val="00E555B8"/>
    <w:rsid w:val="00E650D3"/>
    <w:rsid w:val="00E73919"/>
    <w:rsid w:val="00E95A6F"/>
    <w:rsid w:val="00EA1445"/>
    <w:rsid w:val="00EA5DD2"/>
    <w:rsid w:val="00EB70A0"/>
    <w:rsid w:val="00EB7BFB"/>
    <w:rsid w:val="00EC037E"/>
    <w:rsid w:val="00EC118F"/>
    <w:rsid w:val="00EC1D68"/>
    <w:rsid w:val="00ED4316"/>
    <w:rsid w:val="00ED6759"/>
    <w:rsid w:val="00EE42B4"/>
    <w:rsid w:val="00EE5012"/>
    <w:rsid w:val="00EF2538"/>
    <w:rsid w:val="00EF79DD"/>
    <w:rsid w:val="00F04889"/>
    <w:rsid w:val="00F077EA"/>
    <w:rsid w:val="00F20C1C"/>
    <w:rsid w:val="00F26309"/>
    <w:rsid w:val="00F27A8B"/>
    <w:rsid w:val="00F55EB8"/>
    <w:rsid w:val="00F61253"/>
    <w:rsid w:val="00F670DC"/>
    <w:rsid w:val="00F756DB"/>
    <w:rsid w:val="00F85DC8"/>
    <w:rsid w:val="00F863A4"/>
    <w:rsid w:val="00F956F0"/>
    <w:rsid w:val="00FA5C49"/>
    <w:rsid w:val="00FA6CF4"/>
    <w:rsid w:val="00FA6E44"/>
    <w:rsid w:val="00FC74BD"/>
    <w:rsid w:val="00FD4810"/>
    <w:rsid w:val="00FD69D9"/>
    <w:rsid w:val="00FE03EC"/>
    <w:rsid w:val="00FE79E3"/>
    <w:rsid w:val="00FF0592"/>
    <w:rsid w:val="00FF3236"/>
    <w:rsid w:val="00FF4F6F"/>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D6909F"/>
  <w15:docId w15:val="{AED023C7-31A6-4F71-8362-547EBD43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line="360" w:lineRule="auto"/>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paragraph" w:styleId="NormalWeb">
    <w:name w:val="Normal (Web)"/>
    <w:basedOn w:val="Normal"/>
    <w:uiPriority w:val="99"/>
    <w:unhideWhenUsed/>
    <w:rsid w:val="008175B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5B8"/>
    <w:pPr>
      <w:tabs>
        <w:tab w:val="center" w:pos="4680"/>
        <w:tab w:val="right" w:pos="9360"/>
      </w:tabs>
    </w:pPr>
  </w:style>
  <w:style w:type="character" w:customStyle="1" w:styleId="HeaderChar">
    <w:name w:val="Header Char"/>
    <w:basedOn w:val="DefaultParagraphFont"/>
    <w:link w:val="Header"/>
    <w:uiPriority w:val="99"/>
    <w:rsid w:val="00E555B8"/>
  </w:style>
  <w:style w:type="paragraph" w:styleId="Footer">
    <w:name w:val="footer"/>
    <w:basedOn w:val="Normal"/>
    <w:link w:val="FooterChar"/>
    <w:uiPriority w:val="99"/>
    <w:unhideWhenUsed/>
    <w:rsid w:val="00E555B8"/>
    <w:pPr>
      <w:tabs>
        <w:tab w:val="center" w:pos="4680"/>
        <w:tab w:val="right" w:pos="9360"/>
      </w:tabs>
    </w:pPr>
  </w:style>
  <w:style w:type="character" w:customStyle="1" w:styleId="FooterChar">
    <w:name w:val="Footer Char"/>
    <w:basedOn w:val="DefaultParagraphFont"/>
    <w:link w:val="Footer"/>
    <w:uiPriority w:val="99"/>
    <w:rsid w:val="00E555B8"/>
  </w:style>
  <w:style w:type="paragraph" w:styleId="TOC1">
    <w:name w:val="toc 1"/>
    <w:basedOn w:val="Normal"/>
    <w:next w:val="Normal"/>
    <w:autoRedefine/>
    <w:uiPriority w:val="39"/>
    <w:unhideWhenUsed/>
    <w:rsid w:val="00F756DB"/>
    <w:pPr>
      <w:spacing w:after="100"/>
    </w:pPr>
  </w:style>
  <w:style w:type="paragraph" w:styleId="TOC2">
    <w:name w:val="toc 2"/>
    <w:basedOn w:val="Normal"/>
    <w:next w:val="Normal"/>
    <w:autoRedefine/>
    <w:uiPriority w:val="39"/>
    <w:unhideWhenUsed/>
    <w:rsid w:val="00F756DB"/>
    <w:pPr>
      <w:spacing w:after="100"/>
      <w:ind w:left="240"/>
    </w:pPr>
  </w:style>
  <w:style w:type="paragraph" w:styleId="TOC3">
    <w:name w:val="toc 3"/>
    <w:basedOn w:val="Normal"/>
    <w:next w:val="Normal"/>
    <w:autoRedefine/>
    <w:uiPriority w:val="39"/>
    <w:unhideWhenUsed/>
    <w:rsid w:val="00F756DB"/>
    <w:pPr>
      <w:spacing w:after="100"/>
      <w:ind w:left="480"/>
    </w:pPr>
  </w:style>
  <w:style w:type="character" w:styleId="Hyperlink">
    <w:name w:val="Hyperlink"/>
    <w:basedOn w:val="DefaultParagraphFont"/>
    <w:uiPriority w:val="99"/>
    <w:unhideWhenUsed/>
    <w:rsid w:val="00F756DB"/>
    <w:rPr>
      <w:color w:val="0000FF" w:themeColor="hyperlink"/>
      <w:u w:val="single"/>
    </w:rPr>
  </w:style>
  <w:style w:type="paragraph" w:styleId="TOCHeading">
    <w:name w:val="TOC Heading"/>
    <w:basedOn w:val="Heading1"/>
    <w:next w:val="Normal"/>
    <w:uiPriority w:val="39"/>
    <w:unhideWhenUsed/>
    <w:qFormat/>
    <w:rsid w:val="00F756DB"/>
    <w:pPr>
      <w:spacing w:line="259" w:lineRule="auto"/>
      <w:outlineLvl w:val="9"/>
    </w:pPr>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732592"/>
    <w:rPr>
      <w:b/>
      <w:bCs/>
    </w:rPr>
  </w:style>
  <w:style w:type="character" w:styleId="UnresolvedMention">
    <w:name w:val="Unresolved Mention"/>
    <w:basedOn w:val="DefaultParagraphFont"/>
    <w:uiPriority w:val="99"/>
    <w:semiHidden/>
    <w:unhideWhenUsed/>
    <w:rsid w:val="0045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7465">
      <w:bodyDiv w:val="1"/>
      <w:marLeft w:val="0"/>
      <w:marRight w:val="0"/>
      <w:marTop w:val="0"/>
      <w:marBottom w:val="0"/>
      <w:divBdr>
        <w:top w:val="none" w:sz="0" w:space="0" w:color="auto"/>
        <w:left w:val="none" w:sz="0" w:space="0" w:color="auto"/>
        <w:bottom w:val="none" w:sz="0" w:space="0" w:color="auto"/>
        <w:right w:val="none" w:sz="0" w:space="0" w:color="auto"/>
      </w:divBdr>
    </w:div>
    <w:div w:id="94400341">
      <w:bodyDiv w:val="1"/>
      <w:marLeft w:val="0"/>
      <w:marRight w:val="0"/>
      <w:marTop w:val="0"/>
      <w:marBottom w:val="0"/>
      <w:divBdr>
        <w:top w:val="none" w:sz="0" w:space="0" w:color="auto"/>
        <w:left w:val="none" w:sz="0" w:space="0" w:color="auto"/>
        <w:bottom w:val="none" w:sz="0" w:space="0" w:color="auto"/>
        <w:right w:val="none" w:sz="0" w:space="0" w:color="auto"/>
      </w:divBdr>
    </w:div>
    <w:div w:id="161775133">
      <w:bodyDiv w:val="1"/>
      <w:marLeft w:val="0"/>
      <w:marRight w:val="0"/>
      <w:marTop w:val="0"/>
      <w:marBottom w:val="0"/>
      <w:divBdr>
        <w:top w:val="none" w:sz="0" w:space="0" w:color="auto"/>
        <w:left w:val="none" w:sz="0" w:space="0" w:color="auto"/>
        <w:bottom w:val="none" w:sz="0" w:space="0" w:color="auto"/>
        <w:right w:val="none" w:sz="0" w:space="0" w:color="auto"/>
      </w:divBdr>
    </w:div>
    <w:div w:id="231500422">
      <w:bodyDiv w:val="1"/>
      <w:marLeft w:val="0"/>
      <w:marRight w:val="0"/>
      <w:marTop w:val="0"/>
      <w:marBottom w:val="0"/>
      <w:divBdr>
        <w:top w:val="none" w:sz="0" w:space="0" w:color="auto"/>
        <w:left w:val="none" w:sz="0" w:space="0" w:color="auto"/>
        <w:bottom w:val="none" w:sz="0" w:space="0" w:color="auto"/>
        <w:right w:val="none" w:sz="0" w:space="0" w:color="auto"/>
      </w:divBdr>
    </w:div>
    <w:div w:id="500051267">
      <w:bodyDiv w:val="1"/>
      <w:marLeft w:val="0"/>
      <w:marRight w:val="0"/>
      <w:marTop w:val="0"/>
      <w:marBottom w:val="0"/>
      <w:divBdr>
        <w:top w:val="none" w:sz="0" w:space="0" w:color="auto"/>
        <w:left w:val="none" w:sz="0" w:space="0" w:color="auto"/>
        <w:bottom w:val="none" w:sz="0" w:space="0" w:color="auto"/>
        <w:right w:val="none" w:sz="0" w:space="0" w:color="auto"/>
      </w:divBdr>
    </w:div>
    <w:div w:id="656691112">
      <w:bodyDiv w:val="1"/>
      <w:marLeft w:val="0"/>
      <w:marRight w:val="0"/>
      <w:marTop w:val="0"/>
      <w:marBottom w:val="0"/>
      <w:divBdr>
        <w:top w:val="none" w:sz="0" w:space="0" w:color="auto"/>
        <w:left w:val="none" w:sz="0" w:space="0" w:color="auto"/>
        <w:bottom w:val="none" w:sz="0" w:space="0" w:color="auto"/>
        <w:right w:val="none" w:sz="0" w:space="0" w:color="auto"/>
      </w:divBdr>
    </w:div>
    <w:div w:id="695161759">
      <w:bodyDiv w:val="1"/>
      <w:marLeft w:val="0"/>
      <w:marRight w:val="0"/>
      <w:marTop w:val="0"/>
      <w:marBottom w:val="0"/>
      <w:divBdr>
        <w:top w:val="none" w:sz="0" w:space="0" w:color="auto"/>
        <w:left w:val="none" w:sz="0" w:space="0" w:color="auto"/>
        <w:bottom w:val="none" w:sz="0" w:space="0" w:color="auto"/>
        <w:right w:val="none" w:sz="0" w:space="0" w:color="auto"/>
      </w:divBdr>
    </w:div>
    <w:div w:id="773092011">
      <w:bodyDiv w:val="1"/>
      <w:marLeft w:val="0"/>
      <w:marRight w:val="0"/>
      <w:marTop w:val="0"/>
      <w:marBottom w:val="0"/>
      <w:divBdr>
        <w:top w:val="none" w:sz="0" w:space="0" w:color="auto"/>
        <w:left w:val="none" w:sz="0" w:space="0" w:color="auto"/>
        <w:bottom w:val="none" w:sz="0" w:space="0" w:color="auto"/>
        <w:right w:val="none" w:sz="0" w:space="0" w:color="auto"/>
      </w:divBdr>
      <w:divsChild>
        <w:div w:id="980695926">
          <w:marLeft w:val="446"/>
          <w:marRight w:val="0"/>
          <w:marTop w:val="0"/>
          <w:marBottom w:val="0"/>
          <w:divBdr>
            <w:top w:val="none" w:sz="0" w:space="0" w:color="auto"/>
            <w:left w:val="none" w:sz="0" w:space="0" w:color="auto"/>
            <w:bottom w:val="none" w:sz="0" w:space="0" w:color="auto"/>
            <w:right w:val="none" w:sz="0" w:space="0" w:color="auto"/>
          </w:divBdr>
        </w:div>
      </w:divsChild>
    </w:div>
    <w:div w:id="933167141">
      <w:bodyDiv w:val="1"/>
      <w:marLeft w:val="0"/>
      <w:marRight w:val="0"/>
      <w:marTop w:val="0"/>
      <w:marBottom w:val="0"/>
      <w:divBdr>
        <w:top w:val="none" w:sz="0" w:space="0" w:color="auto"/>
        <w:left w:val="none" w:sz="0" w:space="0" w:color="auto"/>
        <w:bottom w:val="none" w:sz="0" w:space="0" w:color="auto"/>
        <w:right w:val="none" w:sz="0" w:space="0" w:color="auto"/>
      </w:divBdr>
    </w:div>
    <w:div w:id="1055352352">
      <w:bodyDiv w:val="1"/>
      <w:marLeft w:val="0"/>
      <w:marRight w:val="0"/>
      <w:marTop w:val="0"/>
      <w:marBottom w:val="0"/>
      <w:divBdr>
        <w:top w:val="none" w:sz="0" w:space="0" w:color="auto"/>
        <w:left w:val="none" w:sz="0" w:space="0" w:color="auto"/>
        <w:bottom w:val="none" w:sz="0" w:space="0" w:color="auto"/>
        <w:right w:val="none" w:sz="0" w:space="0" w:color="auto"/>
      </w:divBdr>
    </w:div>
    <w:div w:id="1142964930">
      <w:bodyDiv w:val="1"/>
      <w:marLeft w:val="0"/>
      <w:marRight w:val="0"/>
      <w:marTop w:val="0"/>
      <w:marBottom w:val="0"/>
      <w:divBdr>
        <w:top w:val="none" w:sz="0" w:space="0" w:color="auto"/>
        <w:left w:val="none" w:sz="0" w:space="0" w:color="auto"/>
        <w:bottom w:val="none" w:sz="0" w:space="0" w:color="auto"/>
        <w:right w:val="none" w:sz="0" w:space="0" w:color="auto"/>
      </w:divBdr>
    </w:div>
    <w:div w:id="1275478240">
      <w:bodyDiv w:val="1"/>
      <w:marLeft w:val="0"/>
      <w:marRight w:val="0"/>
      <w:marTop w:val="0"/>
      <w:marBottom w:val="0"/>
      <w:divBdr>
        <w:top w:val="none" w:sz="0" w:space="0" w:color="auto"/>
        <w:left w:val="none" w:sz="0" w:space="0" w:color="auto"/>
        <w:bottom w:val="none" w:sz="0" w:space="0" w:color="auto"/>
        <w:right w:val="none" w:sz="0" w:space="0" w:color="auto"/>
      </w:divBdr>
    </w:div>
    <w:div w:id="1365013771">
      <w:bodyDiv w:val="1"/>
      <w:marLeft w:val="0"/>
      <w:marRight w:val="0"/>
      <w:marTop w:val="0"/>
      <w:marBottom w:val="0"/>
      <w:divBdr>
        <w:top w:val="none" w:sz="0" w:space="0" w:color="auto"/>
        <w:left w:val="none" w:sz="0" w:space="0" w:color="auto"/>
        <w:bottom w:val="none" w:sz="0" w:space="0" w:color="auto"/>
        <w:right w:val="none" w:sz="0" w:space="0" w:color="auto"/>
      </w:divBdr>
    </w:div>
    <w:div w:id="1497842030">
      <w:bodyDiv w:val="1"/>
      <w:marLeft w:val="0"/>
      <w:marRight w:val="0"/>
      <w:marTop w:val="0"/>
      <w:marBottom w:val="0"/>
      <w:divBdr>
        <w:top w:val="none" w:sz="0" w:space="0" w:color="auto"/>
        <w:left w:val="none" w:sz="0" w:space="0" w:color="auto"/>
        <w:bottom w:val="none" w:sz="0" w:space="0" w:color="auto"/>
        <w:right w:val="none" w:sz="0" w:space="0" w:color="auto"/>
      </w:divBdr>
    </w:div>
    <w:div w:id="1638535130">
      <w:bodyDiv w:val="1"/>
      <w:marLeft w:val="0"/>
      <w:marRight w:val="0"/>
      <w:marTop w:val="0"/>
      <w:marBottom w:val="0"/>
      <w:divBdr>
        <w:top w:val="none" w:sz="0" w:space="0" w:color="auto"/>
        <w:left w:val="none" w:sz="0" w:space="0" w:color="auto"/>
        <w:bottom w:val="none" w:sz="0" w:space="0" w:color="auto"/>
        <w:right w:val="none" w:sz="0" w:space="0" w:color="auto"/>
      </w:divBdr>
    </w:div>
    <w:div w:id="1672368882">
      <w:bodyDiv w:val="1"/>
      <w:marLeft w:val="0"/>
      <w:marRight w:val="0"/>
      <w:marTop w:val="0"/>
      <w:marBottom w:val="0"/>
      <w:divBdr>
        <w:top w:val="none" w:sz="0" w:space="0" w:color="auto"/>
        <w:left w:val="none" w:sz="0" w:space="0" w:color="auto"/>
        <w:bottom w:val="none" w:sz="0" w:space="0" w:color="auto"/>
        <w:right w:val="none" w:sz="0" w:space="0" w:color="auto"/>
      </w:divBdr>
    </w:div>
    <w:div w:id="211891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22" Type="http://schemas.openxmlformats.org/officeDocument/2006/relationships/header" Target="header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Krwego\Research%20Stuff\Research%20deals\Dr%20Kyara\Figure-Kyara.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Sheet1!$B$2:$B$26</cx:f>
        <cx:lvl ptCount="25">
          <cx:pt idx="0">Initial IOP</cx:pt>
          <cx:pt idx="1">Initial IOP</cx:pt>
          <cx:pt idx="2">Initial IOP</cx:pt>
          <cx:pt idx="3">Initial IOP</cx:pt>
          <cx:pt idx="4">Initial IOP</cx:pt>
          <cx:pt idx="5">IOP day one</cx:pt>
          <cx:pt idx="6">IOP day one</cx:pt>
          <cx:pt idx="7">IOP day one</cx:pt>
          <cx:pt idx="8">IOP day one</cx:pt>
          <cx:pt idx="9">IOP day one</cx:pt>
          <cx:pt idx="10">IOP 2 weeks</cx:pt>
          <cx:pt idx="11">IOP 2 weeks</cx:pt>
          <cx:pt idx="12">IOP 2 weeks</cx:pt>
          <cx:pt idx="13">IOP 2 weeks</cx:pt>
          <cx:pt idx="14">IOP 2 weeks</cx:pt>
          <cx:pt idx="15">IOP 6 weeks</cx:pt>
          <cx:pt idx="16">IOP 6 weeks</cx:pt>
          <cx:pt idx="17">IOP 6 weeks</cx:pt>
          <cx:pt idx="18">IOP 6 weeks</cx:pt>
          <cx:pt idx="19">IOP 6 weeks</cx:pt>
          <cx:pt idx="20">IOP 3 month</cx:pt>
          <cx:pt idx="21">IOP 3 month</cx:pt>
          <cx:pt idx="22">IOP 3 month</cx:pt>
          <cx:pt idx="23">IOP 3 month</cx:pt>
          <cx:pt idx="24">IOP 3 month</cx:pt>
        </cx:lvl>
      </cx:strDim>
      <cx:numDim type="val">
        <cx:f>Sheet1!$C$2:$C$26</cx:f>
        <cx:lvl ptCount="25" formatCode="General">
          <cx:pt idx="0">30</cx:pt>
          <cx:pt idx="1">39</cx:pt>
          <cx:pt idx="2">46.5</cx:pt>
          <cx:pt idx="3">56</cx:pt>
          <cx:pt idx="4">94</cx:pt>
          <cx:pt idx="5">6</cx:pt>
          <cx:pt idx="6">22</cx:pt>
          <cx:pt idx="7">29</cx:pt>
          <cx:pt idx="8">38</cx:pt>
          <cx:pt idx="9">56</cx:pt>
          <cx:pt idx="10">8</cx:pt>
          <cx:pt idx="11">23</cx:pt>
          <cx:pt idx="12">31</cx:pt>
          <cx:pt idx="13">38</cx:pt>
          <cx:pt idx="14">63</cx:pt>
          <cx:pt idx="15">5</cx:pt>
          <cx:pt idx="16">18</cx:pt>
          <cx:pt idx="17">25</cx:pt>
          <cx:pt idx="18">39</cx:pt>
          <cx:pt idx="19">60</cx:pt>
          <cx:pt idx="20">5</cx:pt>
          <cx:pt idx="21">18</cx:pt>
          <cx:pt idx="22">25</cx:pt>
          <cx:pt idx="23">38</cx:pt>
          <cx:pt idx="24">64</cx:pt>
        </cx:lvl>
      </cx:numDim>
    </cx:data>
  </cx:chartData>
  <cx:chart>
    <cx:plotArea>
      <cx:plotAreaRegion>
        <cx:series layoutId="boxWhisker" uniqueId="{5D68CF38-0A6F-4BEC-BFED-B23EADD9A305}">
          <cx:spPr>
            <a:gradFill>
              <a:gsLst>
                <a:gs pos="0">
                  <a:schemeClr val="accent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x:spPr>
          <cx:dataLabels>
            <cx:txPr>
              <a:bodyPr spcFirstLastPara="1" vertOverflow="ellipsis" horzOverflow="overflow" wrap="square" lIns="0" tIns="0" rIns="0" bIns="0" anchor="ctr" anchorCtr="1"/>
              <a:lstStyle/>
              <a:p>
                <a:pPr algn="ctr" rtl="0">
                  <a:defRPr sz="1050">
                    <a:solidFill>
                      <a:sysClr val="windowText" lastClr="000000"/>
                    </a:solidFill>
                  </a:defRPr>
                </a:pPr>
                <a:endParaRPr lang="en-US" sz="1050" b="0" i="0" u="none" strike="noStrike" baseline="0">
                  <a:solidFill>
                    <a:sysClr val="windowText" lastClr="000000"/>
                  </a:solidFill>
                  <a:latin typeface="Calibri" panose="020F0502020204030204"/>
                </a:endParaRPr>
              </a:p>
            </cx:txPr>
            <cx:visibility seriesName="0" categoryName="0" value="1"/>
          </cx:dataLabels>
          <cx:dataId val="0"/>
          <cx:layoutPr>
            <cx:visibility meanLine="0" meanMarker="0" nonoutliers="0" outliers="1"/>
            <cx:statistics quartileMethod="inclusive"/>
          </cx:layoutPr>
        </cx:series>
      </cx:plotAreaRegion>
      <cx:axis id="0">
        <cx:catScaling gapWidth="1"/>
        <cx:tickLabels/>
        <cx:txPr>
          <a:bodyPr spcFirstLastPara="1" vertOverflow="ellipsis" horzOverflow="overflow" wrap="square" lIns="0" tIns="0" rIns="0" bIns="0" anchor="ctr" anchorCtr="1"/>
          <a:lstStyle/>
          <a:p>
            <a:pPr algn="ctr" rtl="0">
              <a:defRPr sz="1200" b="1">
                <a:solidFill>
                  <a:sysClr val="windowText" lastClr="000000"/>
                </a:solidFill>
              </a:defRPr>
            </a:pPr>
            <a:endParaRPr lang="en-US" sz="1200" b="1" i="0" u="none" strike="noStrike" baseline="0">
              <a:solidFill>
                <a:sysClr val="windowText" lastClr="000000"/>
              </a:solidFill>
              <a:latin typeface="Calibri" panose="020F0502020204030204"/>
            </a:endParaRPr>
          </a:p>
        </cx:txPr>
      </cx:axis>
      <cx:axis id="1">
        <cx:valScaling/>
        <cx:title>
          <cx:tx>
            <cx:txData>
              <cx:v>IOP in mmHg</cx:v>
            </cx:txData>
          </cx:tx>
          <cx:txPr>
            <a:bodyPr spcFirstLastPara="1" vertOverflow="ellipsis" horzOverflow="overflow" wrap="square" lIns="0" tIns="0" rIns="0" bIns="0" anchor="ctr" anchorCtr="1"/>
            <a:lstStyle/>
            <a:p>
              <a:pPr algn="ctr" rtl="0">
                <a:defRPr sz="1200"/>
              </a:pPr>
              <a:r>
                <a:rPr lang="en-US" sz="1200" b="1" i="0" u="none" strike="noStrike" baseline="0">
                  <a:solidFill>
                    <a:sysClr val="windowText" lastClr="000000"/>
                  </a:solidFill>
                  <a:latin typeface="Calibri" panose="020F0502020204030204"/>
                </a:rPr>
                <a:t>IOP in mmHg</a:t>
              </a:r>
            </a:p>
          </cx:txPr>
        </cx:title>
        <cx:majorGridlines/>
        <cx:tickLabels/>
        <cx:txPr>
          <a:bodyPr spcFirstLastPara="1" vertOverflow="ellipsis" horzOverflow="overflow" wrap="square" lIns="0" tIns="0" rIns="0" bIns="0" anchor="ctr" anchorCtr="1"/>
          <a:lstStyle/>
          <a:p>
            <a:pPr algn="ctr" rtl="0">
              <a:defRPr sz="1050" b="1">
                <a:solidFill>
                  <a:sysClr val="windowText" lastClr="000000"/>
                </a:solidFill>
              </a:defRPr>
            </a:pPr>
            <a:endParaRPr lang="en-US" sz="1050" b="1" i="0" u="none" strike="noStrike" baseline="0">
              <a:solidFill>
                <a:sysClr val="windowText" lastClr="000000"/>
              </a:solidFill>
              <a:latin typeface="Calibri" panose="020F0502020204030204"/>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0115-D12B-4F32-9E36-8799CC33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18</Pages>
  <Words>17230</Words>
  <Characters>98212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Kyara</dc:creator>
  <cp:lastModifiedBy>SDI 1183</cp:lastModifiedBy>
  <cp:revision>72</cp:revision>
  <dcterms:created xsi:type="dcterms:W3CDTF">2025-06-25T07:15:00Z</dcterms:created>
  <dcterms:modified xsi:type="dcterms:W3CDTF">2025-07-11T08:09:00Z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92b440eb-7e24-32c2-b503-321b3a4ff66a</vt:lpwstr>
  </property>
  <property fmtid="{D5CDD505-2E9C-101B-9397-08002B2CF9AE}" pid="24" name="Mendeley Citation Style_1">
    <vt:lpwstr>http://www.zotero.org/styles/vancouver</vt:lpwstr>
  </property>
  <property fmtid="{D5CDD505-2E9C-101B-9397-08002B2CF9AE}" pid="25" name="KSOProductBuildVer">
    <vt:lpwstr>1033-11.2.0.11537</vt:lpwstr>
  </property>
  <property fmtid="{D5CDD505-2E9C-101B-9397-08002B2CF9AE}" pid="26" name="ICV">
    <vt:lpwstr>9BC54B5241B84E3CB8D2158F373F7A0E</vt:lpwstr>
  </property>
</Properties>
</file>