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6B4D2" w14:textId="5DA6918F" w:rsidR="00754C9A" w:rsidRPr="00C71243" w:rsidRDefault="00C71243" w:rsidP="00441B6F">
      <w:pPr>
        <w:pStyle w:val="Title"/>
        <w:spacing w:after="0"/>
        <w:jc w:val="both"/>
        <w:rPr>
          <w:rFonts w:ascii="Arial" w:hAnsi="Arial" w:cs="Arial"/>
          <w:u w:val="single"/>
        </w:rPr>
      </w:pPr>
      <w:r w:rsidRPr="00C71243">
        <w:rPr>
          <w:rFonts w:ascii="Arial" w:hAnsi="Arial" w:cs="Arial"/>
          <w:u w:val="single"/>
        </w:rPr>
        <w:t>Original Research Article</w:t>
      </w:r>
    </w:p>
    <w:p w14:paraId="2885ECEE" w14:textId="591041C4" w:rsidR="00A258C3" w:rsidRPr="00790ADA" w:rsidRDefault="00D06C49" w:rsidP="00D06C49">
      <w:pPr>
        <w:pStyle w:val="Author"/>
        <w:spacing w:line="240" w:lineRule="auto"/>
        <w:rPr>
          <w:rFonts w:ascii="Arial" w:hAnsi="Arial" w:cs="Arial"/>
          <w:sz w:val="36"/>
        </w:rPr>
      </w:pPr>
      <w:r w:rsidRPr="00D06C49">
        <w:rPr>
          <w:rFonts w:ascii="Arial" w:hAnsi="Arial" w:cs="Arial"/>
          <w:bCs/>
          <w:iCs/>
          <w:kern w:val="28"/>
          <w:sz w:val="36"/>
          <w:highlight w:val="yellow"/>
        </w:rPr>
        <w:t>Evaluating Mulberry Clonal Genetic Resources through Chemical Characterization for Pulp and Paper Production</w:t>
      </w:r>
    </w:p>
    <w:p w14:paraId="6F01D054" w14:textId="77777777" w:rsidR="00790ADA" w:rsidRDefault="00790ADA" w:rsidP="00441B6F">
      <w:pPr>
        <w:pStyle w:val="Affiliation"/>
        <w:spacing w:after="0" w:line="240" w:lineRule="auto"/>
        <w:jc w:val="both"/>
        <w:rPr>
          <w:rFonts w:ascii="Arial" w:hAnsi="Arial" w:cs="Arial"/>
        </w:rPr>
      </w:pPr>
    </w:p>
    <w:p w14:paraId="33A22778" w14:textId="77777777" w:rsidR="002C57D2" w:rsidRPr="00FB3A86" w:rsidRDefault="002C57D2" w:rsidP="00441B6F">
      <w:pPr>
        <w:pStyle w:val="Affiliation"/>
        <w:spacing w:after="0" w:line="240" w:lineRule="auto"/>
        <w:jc w:val="both"/>
        <w:rPr>
          <w:rFonts w:ascii="Arial" w:hAnsi="Arial" w:cs="Arial"/>
        </w:rPr>
      </w:pPr>
    </w:p>
    <w:p w14:paraId="6ED0F14B" w14:textId="77777777" w:rsidR="00B01FCD" w:rsidRPr="00FB3A86" w:rsidRDefault="00344C0D" w:rsidP="00441B6F">
      <w:pPr>
        <w:pStyle w:val="Copyright"/>
        <w:spacing w:after="0" w:line="240" w:lineRule="auto"/>
        <w:jc w:val="both"/>
        <w:rPr>
          <w:rFonts w:ascii="Arial" w:hAnsi="Arial" w:cs="Arial"/>
        </w:rPr>
        <w:sectPr w:rsidR="00B01FCD" w:rsidRPr="00FB3A86" w:rsidSect="0090765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F59A30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0C5CE1E"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1F81491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C49B59" w14:textId="77777777" w:rsidTr="001E44FE">
        <w:tc>
          <w:tcPr>
            <w:tcW w:w="9576" w:type="dxa"/>
            <w:shd w:val="clear" w:color="auto" w:fill="F2F2F2"/>
          </w:tcPr>
          <w:p w14:paraId="3DDEACCF"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b/>
                <w:bCs/>
                <w:szCs w:val="22"/>
              </w:rPr>
              <w:t xml:space="preserve">Aims: </w:t>
            </w:r>
            <w:r w:rsidRPr="0042747E">
              <w:rPr>
                <w:rFonts w:ascii="Arial" w:eastAsia="Calibri" w:hAnsi="Arial" w:cs="Arial"/>
                <w:szCs w:val="22"/>
              </w:rPr>
              <w:br/>
              <w:t>The study aimed to evaluate the chemical characteristics of mulberry clonal genetic resources to assess their suitability as alternative raw materials for the pulp and paper industry in India, addressing the growing demand for wood-based feedstock.</w:t>
            </w:r>
          </w:p>
          <w:p w14:paraId="229861C9" w14:textId="77777777" w:rsidR="0042747E" w:rsidRPr="0042747E" w:rsidRDefault="0042747E" w:rsidP="0042747E">
            <w:pPr>
              <w:pStyle w:val="Body"/>
              <w:spacing w:after="0"/>
              <w:rPr>
                <w:rFonts w:ascii="Arial" w:eastAsia="Calibri" w:hAnsi="Arial" w:cs="Arial"/>
                <w:b/>
                <w:szCs w:val="22"/>
              </w:rPr>
            </w:pPr>
            <w:r w:rsidRPr="0042747E">
              <w:rPr>
                <w:rFonts w:ascii="Arial" w:eastAsia="Calibri" w:hAnsi="Arial" w:cs="Arial"/>
                <w:b/>
                <w:szCs w:val="22"/>
              </w:rPr>
              <w:t>Study Design:</w:t>
            </w:r>
          </w:p>
          <w:p w14:paraId="4AEC14AA" w14:textId="77777777" w:rsidR="0042747E" w:rsidRPr="0042747E" w:rsidRDefault="0042747E" w:rsidP="0042747E">
            <w:pPr>
              <w:pStyle w:val="Body"/>
              <w:spacing w:after="0"/>
              <w:rPr>
                <w:rFonts w:ascii="Arial" w:eastAsia="Calibri" w:hAnsi="Arial" w:cs="Arial"/>
                <w:b/>
                <w:szCs w:val="22"/>
              </w:rPr>
            </w:pPr>
            <w:r w:rsidRPr="0042747E">
              <w:rPr>
                <w:rFonts w:ascii="Arial" w:eastAsia="Calibri" w:hAnsi="Arial" w:cs="Arial"/>
                <w:szCs w:val="22"/>
              </w:rPr>
              <w:t>A Completely Randomized Design (CRD) was adopted for the experimental layout, with statistical analysis performed using SPSS (version 23).</w:t>
            </w:r>
          </w:p>
          <w:p w14:paraId="5DE1A3E2" w14:textId="77777777" w:rsidR="0042747E" w:rsidRPr="0042747E" w:rsidRDefault="0042747E" w:rsidP="0042747E">
            <w:pPr>
              <w:pStyle w:val="Body"/>
              <w:spacing w:after="0"/>
              <w:rPr>
                <w:rFonts w:ascii="Arial" w:eastAsia="Calibri" w:hAnsi="Arial" w:cs="Arial"/>
                <w:b/>
                <w:szCs w:val="22"/>
              </w:rPr>
            </w:pPr>
            <w:r w:rsidRPr="0042747E">
              <w:rPr>
                <w:rFonts w:ascii="Arial" w:eastAsia="Calibri" w:hAnsi="Arial" w:cs="Arial"/>
                <w:b/>
                <w:szCs w:val="22"/>
              </w:rPr>
              <w:t>Place and Duration of Study:</w:t>
            </w:r>
          </w:p>
          <w:p w14:paraId="3459050C"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szCs w:val="22"/>
              </w:rPr>
              <w:t>The research was conducted at the Department of Sericulture, Forest College and Research Institute, Mettupalayam, Tamil Nadu and the study was carried out during 2023–2024.</w:t>
            </w:r>
          </w:p>
          <w:p w14:paraId="56235F12" w14:textId="77777777" w:rsidR="0042747E" w:rsidRPr="0042747E" w:rsidRDefault="0042747E" w:rsidP="0042747E">
            <w:pPr>
              <w:pStyle w:val="Body"/>
              <w:spacing w:after="0"/>
              <w:rPr>
                <w:rFonts w:ascii="Arial" w:eastAsia="Calibri" w:hAnsi="Arial" w:cs="Arial"/>
                <w:b/>
                <w:bCs/>
                <w:szCs w:val="22"/>
              </w:rPr>
            </w:pPr>
            <w:r w:rsidRPr="0042747E">
              <w:rPr>
                <w:rFonts w:ascii="Arial" w:eastAsia="Calibri" w:hAnsi="Arial" w:cs="Arial"/>
                <w:b/>
                <w:bCs/>
                <w:szCs w:val="22"/>
              </w:rPr>
              <w:t xml:space="preserve">Methodology: </w:t>
            </w:r>
          </w:p>
          <w:p w14:paraId="26031AD8" w14:textId="77777777" w:rsidR="0042747E" w:rsidRPr="0042747E" w:rsidRDefault="0042747E" w:rsidP="0042747E">
            <w:pPr>
              <w:pStyle w:val="Body"/>
              <w:spacing w:after="0"/>
              <w:rPr>
                <w:rFonts w:ascii="Arial" w:eastAsia="Calibri" w:hAnsi="Arial" w:cs="Arial"/>
                <w:b/>
                <w:bCs/>
                <w:szCs w:val="22"/>
              </w:rPr>
            </w:pPr>
            <w:r w:rsidRPr="0042747E">
              <w:rPr>
                <w:rFonts w:ascii="Arial" w:eastAsia="Calibri" w:hAnsi="Arial" w:cs="Arial"/>
                <w:szCs w:val="22"/>
              </w:rPr>
              <w:t xml:space="preserve">Seventeen mulberry wood clones including </w:t>
            </w:r>
            <w:r w:rsidRPr="0042747E">
              <w:rPr>
                <w:rFonts w:ascii="Arial" w:eastAsia="Calibri" w:hAnsi="Arial" w:cs="Arial"/>
                <w:i/>
                <w:szCs w:val="22"/>
              </w:rPr>
              <w:t>Morus alba</w:t>
            </w:r>
            <w:r w:rsidRPr="0042747E">
              <w:rPr>
                <w:rFonts w:ascii="Arial" w:eastAsia="Calibri" w:hAnsi="Arial" w:cs="Arial"/>
                <w:szCs w:val="22"/>
              </w:rPr>
              <w:t xml:space="preserve">, </w:t>
            </w:r>
            <w:r w:rsidRPr="0042747E">
              <w:rPr>
                <w:rFonts w:ascii="Arial" w:eastAsia="Calibri" w:hAnsi="Arial" w:cs="Arial"/>
                <w:i/>
                <w:szCs w:val="22"/>
              </w:rPr>
              <w:t>Morus latifolia</w:t>
            </w:r>
            <w:r w:rsidRPr="0042747E">
              <w:rPr>
                <w:rFonts w:ascii="Arial" w:eastAsia="Calibri" w:hAnsi="Arial" w:cs="Arial"/>
                <w:szCs w:val="22"/>
              </w:rPr>
              <w:t xml:space="preserve">, and </w:t>
            </w:r>
            <w:r w:rsidRPr="0042747E">
              <w:rPr>
                <w:rFonts w:ascii="Arial" w:eastAsia="Calibri" w:hAnsi="Arial" w:cs="Arial"/>
                <w:i/>
                <w:szCs w:val="22"/>
              </w:rPr>
              <w:t>Morus laevigata</w:t>
            </w:r>
            <w:r w:rsidRPr="0042747E">
              <w:rPr>
                <w:rFonts w:ascii="Arial" w:eastAsia="Calibri" w:hAnsi="Arial" w:cs="Arial"/>
                <w:szCs w:val="22"/>
              </w:rPr>
              <w:t xml:space="preserve"> were analyzed for their chemical composition. Parameters such as ash content, alcohol-benzene extractives, acid-insoluble lignin, holocellulose, 1% NaOH solubility, and hot water solubility were assessed following standard procedures and protocols.</w:t>
            </w:r>
          </w:p>
          <w:p w14:paraId="60299A1F"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b/>
                <w:bCs/>
                <w:szCs w:val="22"/>
              </w:rPr>
              <w:t xml:space="preserve">Results: </w:t>
            </w:r>
            <w:r w:rsidRPr="0042747E">
              <w:rPr>
                <w:rFonts w:ascii="Arial" w:eastAsia="Calibri" w:hAnsi="Arial" w:cs="Arial"/>
                <w:szCs w:val="22"/>
              </w:rPr>
              <w:br/>
              <w:t>Significant variation (</w:t>
            </w:r>
            <w:r w:rsidRPr="0042747E">
              <w:rPr>
                <w:rFonts w:ascii="Arial" w:eastAsia="Calibri" w:hAnsi="Arial" w:cs="Arial"/>
                <w:i/>
                <w:szCs w:val="22"/>
              </w:rPr>
              <w:t>P</w:t>
            </w:r>
            <w:r w:rsidRPr="0042747E">
              <w:rPr>
                <w:rFonts w:ascii="Arial" w:eastAsia="Calibri" w:hAnsi="Arial" w:cs="Arial"/>
                <w:szCs w:val="22"/>
              </w:rPr>
              <w:t>&lt; 0.05) was observed among clones for all chemical traits. Ash content ranged from 0.69% to 2.46%, lignin from 23.48% to 28.41%, and holocellulose from 68.68% to 73.28%. Clones MI-0034, ME-0174, and MI-0145 recorded superior holocellulose content (≥72%), indicating high pulp yield potential. Solubility traits were within acceptable limits, further supporting their industrial suitability.</w:t>
            </w:r>
          </w:p>
          <w:p w14:paraId="370A864E"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b/>
                <w:bCs/>
                <w:szCs w:val="22"/>
              </w:rPr>
              <w:t xml:space="preserve">Conclusion: </w:t>
            </w:r>
            <w:r w:rsidRPr="0042747E">
              <w:rPr>
                <w:rFonts w:ascii="Arial" w:eastAsia="Calibri" w:hAnsi="Arial" w:cs="Arial"/>
                <w:szCs w:val="22"/>
              </w:rPr>
              <w:br/>
              <w:t>The findings validate the potential of specific mulberry clones as sustainable raw materials for paper production. These clones offer a promising solution to India's pulpwood shortage and can be strategically deployed in future afforestation and industrial applications.</w:t>
            </w:r>
          </w:p>
          <w:p w14:paraId="29CF3F85" w14:textId="77777777" w:rsidR="00505F06" w:rsidRPr="00BA1B01" w:rsidRDefault="00505F06" w:rsidP="00441B6F">
            <w:pPr>
              <w:pStyle w:val="Body"/>
              <w:spacing w:after="0"/>
              <w:rPr>
                <w:rFonts w:ascii="Arial" w:eastAsia="Calibri" w:hAnsi="Arial" w:cs="Arial"/>
                <w:szCs w:val="22"/>
              </w:rPr>
            </w:pPr>
          </w:p>
        </w:tc>
      </w:tr>
    </w:tbl>
    <w:p w14:paraId="27886A7E" w14:textId="77777777" w:rsidR="00636EB2" w:rsidRDefault="00636EB2" w:rsidP="00441B6F">
      <w:pPr>
        <w:pStyle w:val="Body"/>
        <w:spacing w:after="0"/>
        <w:rPr>
          <w:rFonts w:ascii="Arial" w:hAnsi="Arial" w:cs="Arial"/>
          <w:i/>
        </w:rPr>
      </w:pPr>
    </w:p>
    <w:p w14:paraId="376A305A" w14:textId="77777777" w:rsidR="00A24E7E" w:rsidRDefault="00A24E7E" w:rsidP="00441B6F">
      <w:pPr>
        <w:pStyle w:val="Body"/>
        <w:spacing w:after="0"/>
        <w:rPr>
          <w:rFonts w:ascii="Arial" w:hAnsi="Arial" w:cs="Arial"/>
          <w:i/>
        </w:rPr>
      </w:pPr>
      <w:r>
        <w:rPr>
          <w:rFonts w:ascii="Arial" w:hAnsi="Arial" w:cs="Arial"/>
          <w:i/>
        </w:rPr>
        <w:t xml:space="preserve">Keywords: </w:t>
      </w:r>
      <w:r w:rsidR="0042747E" w:rsidRPr="0042747E">
        <w:rPr>
          <w:rFonts w:ascii="Arial" w:hAnsi="Arial" w:cs="Arial"/>
          <w:i/>
        </w:rPr>
        <w:t>Mulberry clones, Pulp and paper industry, Holocellulose content, Lignin content, Raw material characterization, Alternative fiber source, Wood chemical composition, Sustainable paper production</w:t>
      </w:r>
    </w:p>
    <w:p w14:paraId="7FCDB898" w14:textId="77777777" w:rsidR="0024282C" w:rsidRDefault="0024282C" w:rsidP="00441B6F">
      <w:pPr>
        <w:pStyle w:val="Body"/>
        <w:spacing w:after="0"/>
        <w:rPr>
          <w:rFonts w:ascii="Arial" w:hAnsi="Arial" w:cs="Arial"/>
          <w:i/>
          <w:sz w:val="18"/>
        </w:rPr>
      </w:pPr>
    </w:p>
    <w:p w14:paraId="122F9F80" w14:textId="77777777" w:rsidR="00505F06" w:rsidRPr="00A24E7E" w:rsidRDefault="00505F06" w:rsidP="00441B6F">
      <w:pPr>
        <w:pStyle w:val="Body"/>
        <w:spacing w:after="0"/>
        <w:rPr>
          <w:rFonts w:ascii="Arial" w:hAnsi="Arial" w:cs="Arial"/>
          <w:i/>
        </w:rPr>
      </w:pPr>
    </w:p>
    <w:p w14:paraId="4806A3C7" w14:textId="77777777" w:rsidR="00790ADA" w:rsidRPr="00FB3A86" w:rsidRDefault="00902823" w:rsidP="00992548">
      <w:pPr>
        <w:pStyle w:val="AbstHead"/>
        <w:tabs>
          <w:tab w:val="left" w:pos="5325"/>
        </w:tabs>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992548">
        <w:rPr>
          <w:rFonts w:ascii="Arial" w:hAnsi="Arial" w:cs="Arial"/>
        </w:rPr>
        <w:tab/>
      </w:r>
    </w:p>
    <w:p w14:paraId="41C5DE90" w14:textId="77777777" w:rsidR="00F3327A" w:rsidRPr="00F3327A" w:rsidRDefault="00F3327A" w:rsidP="00992548">
      <w:pPr>
        <w:pStyle w:val="Body"/>
        <w:spacing w:before="240" w:after="0"/>
        <w:rPr>
          <w:rFonts w:ascii="Arial" w:hAnsi="Arial" w:cs="Arial"/>
        </w:rPr>
      </w:pPr>
      <w:r w:rsidRPr="00F3327A">
        <w:rPr>
          <w:rFonts w:ascii="Arial" w:hAnsi="Arial" w:cs="Arial"/>
        </w:rPr>
        <w:t xml:space="preserve">Wood is a naturally diverse and intricate material, with its chemical, physical, and structural characteristics playing a key role in determining its usefulness and market </w:t>
      </w:r>
      <w:r w:rsidRPr="0040261A">
        <w:rPr>
          <w:rFonts w:ascii="Arial" w:hAnsi="Arial" w:cs="Arial"/>
        </w:rPr>
        <w:t xml:space="preserve">value (Riki </w:t>
      </w:r>
      <w:r w:rsidRPr="0040261A">
        <w:rPr>
          <w:rFonts w:ascii="Arial" w:hAnsi="Arial" w:cs="Arial"/>
          <w:i/>
        </w:rPr>
        <w:t>et al.,</w:t>
      </w:r>
      <w:r w:rsidRPr="0040261A">
        <w:rPr>
          <w:rFonts w:ascii="Arial" w:hAnsi="Arial" w:cs="Arial"/>
        </w:rPr>
        <w:t xml:space="preserve"> 2019).</w:t>
      </w:r>
      <w:r w:rsidRPr="00F3327A">
        <w:rPr>
          <w:rFonts w:ascii="Arial" w:hAnsi="Arial" w:cs="Arial"/>
        </w:rPr>
        <w:t xml:space="preserve"> Understanding the chemical makeup of wood is essential for assessing its technical and commercial potential, selecting the right pulping process, and determining the strength and quality of the paper it can </w:t>
      </w:r>
      <w:r w:rsidRPr="009F1533">
        <w:rPr>
          <w:rFonts w:ascii="Arial" w:hAnsi="Arial" w:cs="Arial"/>
        </w:rPr>
        <w:t xml:space="preserve">produce (Abdul-Khalil </w:t>
      </w:r>
      <w:r w:rsidRPr="009F1533">
        <w:rPr>
          <w:rFonts w:ascii="Arial" w:hAnsi="Arial" w:cs="Arial"/>
          <w:i/>
        </w:rPr>
        <w:t>et al.,</w:t>
      </w:r>
      <w:r w:rsidRPr="009F1533">
        <w:rPr>
          <w:rFonts w:ascii="Arial" w:hAnsi="Arial" w:cs="Arial"/>
        </w:rPr>
        <w:t xml:space="preserve"> 2010).</w:t>
      </w:r>
      <w:r w:rsidRPr="00F3327A">
        <w:rPr>
          <w:rFonts w:ascii="Arial" w:hAnsi="Arial" w:cs="Arial"/>
        </w:rPr>
        <w:t xml:space="preserve"> The pulp and paper industry provides a greater contribution to the Indian growing economy. India is estimated to have about 850 to 900 pulp and paper mills, out of which nearly 550 are actively functioning </w:t>
      </w:r>
      <w:r w:rsidRPr="005470C3">
        <w:rPr>
          <w:rFonts w:ascii="Arial" w:hAnsi="Arial" w:cs="Arial"/>
        </w:rPr>
        <w:lastRenderedPageBreak/>
        <w:t>today (CPPRI, 2023-24). Alm</w:t>
      </w:r>
      <w:r w:rsidRPr="00F3327A">
        <w:rPr>
          <w:rFonts w:ascii="Arial" w:hAnsi="Arial" w:cs="Arial"/>
        </w:rPr>
        <w:t xml:space="preserve">ost 16 million tonnes of paper are produced annually by these paper mills in India. </w:t>
      </w:r>
    </w:p>
    <w:p w14:paraId="5EF808E9" w14:textId="79E72497" w:rsidR="00F3327A" w:rsidRPr="00F3327A" w:rsidRDefault="00F3327A" w:rsidP="00F3327A">
      <w:pPr>
        <w:pStyle w:val="Body"/>
        <w:spacing w:after="0"/>
        <w:rPr>
          <w:rFonts w:ascii="Arial" w:hAnsi="Arial" w:cs="Arial"/>
        </w:rPr>
      </w:pPr>
      <w:r w:rsidRPr="00F3327A">
        <w:rPr>
          <w:rFonts w:ascii="Arial" w:hAnsi="Arial" w:cs="Arial"/>
        </w:rPr>
        <w:t>The primary raw material used to make paper is pulp, which is produced by processing fibers that have been extracted from wood, used paper, agricultural leftovers, etc. By 2025, there will be a 12 million tonnes wood shortage due to the estimated 24 million tonnes demand for paper, of which 22 million tonnes would come from domestic manufacturing (</w:t>
      </w:r>
      <w:r w:rsidRPr="00673436">
        <w:rPr>
          <w:rFonts w:ascii="Arial" w:hAnsi="Arial" w:cs="Arial"/>
        </w:rPr>
        <w:t>Kulkarni, 2013</w:t>
      </w:r>
      <w:r w:rsidRPr="00F3327A">
        <w:rPr>
          <w:rFonts w:ascii="Arial" w:hAnsi="Arial" w:cs="Arial"/>
        </w:rPr>
        <w:t xml:space="preserve">). The nation's paper industry currently relies primarily on casuarina, eucalyptus and bamboo to supply its raw material needs. At present, paper mills are facing a shortage of raw materials due to the destruction of forest resources and prohibitions on expanding man-made forests. Thus, the paper industry is constantly seeking substitute materials that have a short rotation nature and high yield that can be utilized as a source of feedstock in pulp and paper </w:t>
      </w:r>
      <w:r w:rsidRPr="00673436">
        <w:rPr>
          <w:rFonts w:ascii="Arial" w:hAnsi="Arial" w:cs="Arial"/>
        </w:rPr>
        <w:t xml:space="preserve">production (Parthiban </w:t>
      </w:r>
      <w:r w:rsidRPr="00673436">
        <w:rPr>
          <w:rFonts w:ascii="Arial" w:hAnsi="Arial" w:cs="Arial"/>
          <w:i/>
        </w:rPr>
        <w:t>et al.,</w:t>
      </w:r>
      <w:r w:rsidR="00673436" w:rsidRPr="00673436">
        <w:rPr>
          <w:rFonts w:ascii="Arial" w:hAnsi="Arial" w:cs="Arial"/>
        </w:rPr>
        <w:t xml:space="preserve"> 2020</w:t>
      </w:r>
      <w:r w:rsidRPr="00673436">
        <w:rPr>
          <w:rFonts w:ascii="Arial" w:hAnsi="Arial" w:cs="Arial"/>
        </w:rPr>
        <w:t>).</w:t>
      </w:r>
      <w:r w:rsidRPr="00F3327A">
        <w:rPr>
          <w:rFonts w:ascii="Arial" w:hAnsi="Arial" w:cs="Arial"/>
        </w:rPr>
        <w:t xml:space="preserve"> Many different tree species are being encouraged for planting throughout India and among them, the potential of mulberry is clearly demonstrated </w:t>
      </w:r>
      <w:r w:rsidRPr="008E2BE3">
        <w:rPr>
          <w:rFonts w:ascii="Arial" w:hAnsi="Arial" w:cs="Arial"/>
        </w:rPr>
        <w:t xml:space="preserve">(Rahman and Jahan, 2014). </w:t>
      </w:r>
      <w:r w:rsidR="00344C0D" w:rsidRPr="00344C0D">
        <w:rPr>
          <w:rFonts w:ascii="Arial" w:hAnsi="Arial" w:cs="Arial"/>
        </w:rPr>
        <w:t>Mulberry is a long-living, perennial tree primarily grown for its vital role in sericulture, while also serving multiple other purposes, including fruit production and timber use</w:t>
      </w:r>
      <w:r w:rsidR="00344C0D">
        <w:rPr>
          <w:rFonts w:ascii="Arial" w:hAnsi="Arial" w:cs="Arial"/>
        </w:rPr>
        <w:t xml:space="preserve"> (</w:t>
      </w:r>
      <w:r w:rsidR="00344C0D" w:rsidRPr="00344C0D">
        <w:rPr>
          <w:rFonts w:ascii="Arial" w:hAnsi="Arial" w:cs="Arial"/>
          <w:highlight w:val="yellow"/>
        </w:rPr>
        <w:t>Tikader &amp; Vijayan, 2017</w:t>
      </w:r>
      <w:r w:rsidR="00344C0D">
        <w:rPr>
          <w:rFonts w:ascii="Arial" w:hAnsi="Arial" w:cs="Arial"/>
        </w:rPr>
        <w:t>)</w:t>
      </w:r>
      <w:r w:rsidR="00344C0D" w:rsidRPr="00344C0D">
        <w:rPr>
          <w:rFonts w:ascii="Arial" w:hAnsi="Arial" w:cs="Arial"/>
        </w:rPr>
        <w:t>.</w:t>
      </w:r>
      <w:r w:rsidR="00344C0D" w:rsidRPr="008E2BE3">
        <w:rPr>
          <w:rFonts w:ascii="Arial" w:hAnsi="Arial" w:cs="Arial"/>
        </w:rPr>
        <w:t xml:space="preserve"> The</w:t>
      </w:r>
      <w:r w:rsidRPr="008E2BE3">
        <w:rPr>
          <w:rFonts w:ascii="Arial" w:hAnsi="Arial" w:cs="Arial"/>
        </w:rPr>
        <w:t xml:space="preserve"> fast</w:t>
      </w:r>
      <w:r w:rsidRPr="00F3327A">
        <w:rPr>
          <w:rFonts w:ascii="Arial" w:hAnsi="Arial" w:cs="Arial"/>
        </w:rPr>
        <w:t xml:space="preserve"> growing, high yielding and short rotation nature of mulberry make it as a potential candidate to be utilize as a source of feedstock in pulp and paper production in the country like India where paper and paper made products are of great importance in </w:t>
      </w:r>
      <w:r w:rsidRPr="008E2BE3">
        <w:rPr>
          <w:rFonts w:ascii="Arial" w:hAnsi="Arial" w:cs="Arial"/>
        </w:rPr>
        <w:t>every sector. Walia (2013) further</w:t>
      </w:r>
      <w:r w:rsidRPr="00F3327A">
        <w:rPr>
          <w:rFonts w:ascii="Arial" w:hAnsi="Arial" w:cs="Arial"/>
        </w:rPr>
        <w:t xml:space="preserve"> highlighted the value of mulberry wood by demonstrating its suitability for paper production. Lignin and cellulose composition of raw material determines the strength of paper. Pentosan, lignin and cellulose contents in the mulberry tree are </w:t>
      </w:r>
      <w:r w:rsidRPr="008E2BE3">
        <w:rPr>
          <w:rFonts w:ascii="Arial" w:hAnsi="Arial" w:cs="Arial"/>
        </w:rPr>
        <w:t>moderate (Rahman and Jahan, 2014).</w:t>
      </w:r>
      <w:r w:rsidRPr="00F3327A">
        <w:rPr>
          <w:rFonts w:ascii="Arial" w:hAnsi="Arial" w:cs="Arial"/>
        </w:rPr>
        <w:t xml:space="preserve"> In China and Bangladesh, mulberry plants are utilized as a suitable source of pulping to fulfil the raw material requirements of the paper industry. The kraft process can be used to make mulberry plant pulp, which can then be combined with jute fibre pulp up to 50% to create kraft liner. Incorporating up to 50% mulberry pulp into jute pulp considerably enhances the mechanical properties of the resulting paper, as evidenced by the improvements in tensile strength, tear resistance and burst </w:t>
      </w:r>
      <w:r w:rsidRPr="008E2BE3">
        <w:rPr>
          <w:rFonts w:ascii="Arial" w:hAnsi="Arial" w:cs="Arial"/>
        </w:rPr>
        <w:t>indices (Rahman and Jahan, 2014). However</w:t>
      </w:r>
      <w:r w:rsidRPr="00F3327A">
        <w:rPr>
          <w:rFonts w:ascii="Arial" w:hAnsi="Arial" w:cs="Arial"/>
        </w:rPr>
        <w:t>, due to a lack of suitable varieties with better wood qualities, the pulp and paper industries in India have not used mulberry as a raw material resource. Apart from this, the chemical characterization of mulberry wood for pulp and paper production in India are dismally modest. Hence, the current study is conceived and carried out to characterise and profile the wood quality of mulberry clonal genetic resources that can be deployed as alternate candidate species for pulp and paper industries to fulfill the demand of escalating population.</w:t>
      </w:r>
    </w:p>
    <w:p w14:paraId="6C7AC13C" w14:textId="77777777" w:rsidR="00790ADA" w:rsidRPr="00FB3A86" w:rsidRDefault="00790ADA" w:rsidP="00441B6F">
      <w:pPr>
        <w:pStyle w:val="Body"/>
        <w:spacing w:after="0"/>
        <w:rPr>
          <w:rFonts w:ascii="Arial" w:hAnsi="Arial" w:cs="Arial"/>
        </w:rPr>
      </w:pPr>
    </w:p>
    <w:p w14:paraId="3C541EE5" w14:textId="77777777" w:rsidR="007F7B32" w:rsidRDefault="00902823" w:rsidP="00441B6F">
      <w:pPr>
        <w:pStyle w:val="AbstHead"/>
        <w:spacing w:after="0"/>
        <w:jc w:val="both"/>
        <w:rPr>
          <w:rFonts w:ascii="Arial" w:hAnsi="Arial" w:cs="Arial"/>
        </w:rPr>
      </w:pPr>
      <w:r>
        <w:rPr>
          <w:rFonts w:ascii="Arial" w:hAnsi="Arial" w:cs="Arial"/>
        </w:rPr>
        <w:t>2. material and method</w:t>
      </w:r>
      <w:r w:rsidR="00F3327A">
        <w:rPr>
          <w:rFonts w:ascii="Arial" w:hAnsi="Arial" w:cs="Arial"/>
        </w:rPr>
        <w:t>s</w:t>
      </w:r>
    </w:p>
    <w:p w14:paraId="02321A07" w14:textId="77777777" w:rsidR="00790ADA" w:rsidRPr="00FB3A86" w:rsidRDefault="00790ADA" w:rsidP="00441B6F">
      <w:pPr>
        <w:pStyle w:val="Body"/>
        <w:spacing w:after="0"/>
        <w:rPr>
          <w:rFonts w:ascii="Arial" w:hAnsi="Arial" w:cs="Arial"/>
        </w:rPr>
      </w:pPr>
    </w:p>
    <w:p w14:paraId="571D220F" w14:textId="77777777" w:rsidR="00AA74E0" w:rsidRDefault="00AA74E0" w:rsidP="00992548">
      <w:pPr>
        <w:pStyle w:val="Body"/>
        <w:rPr>
          <w:rFonts w:ascii="Arial" w:hAnsi="Arial" w:cs="Arial"/>
          <w:b/>
          <w:caps/>
          <w:sz w:val="22"/>
        </w:rPr>
      </w:pPr>
      <w:r w:rsidRPr="00C30A0F">
        <w:rPr>
          <w:rFonts w:ascii="Arial" w:hAnsi="Arial" w:cs="Arial"/>
          <w:b/>
          <w:caps/>
          <w:sz w:val="22"/>
        </w:rPr>
        <w:t>2.1</w:t>
      </w:r>
      <w:r w:rsidR="00992548" w:rsidRPr="00992548">
        <w:rPr>
          <w:rFonts w:ascii="Arial" w:hAnsi="Arial" w:cs="Arial"/>
          <w:b/>
          <w:caps/>
          <w:sz w:val="22"/>
        </w:rPr>
        <w:t>S</w:t>
      </w:r>
      <w:r w:rsidR="005F2DCC" w:rsidRPr="00992548">
        <w:rPr>
          <w:rFonts w:ascii="Arial" w:hAnsi="Arial" w:cs="Arial"/>
          <w:b/>
          <w:sz w:val="22"/>
        </w:rPr>
        <w:t>ample</w:t>
      </w:r>
      <w:r w:rsidR="00074E19">
        <w:rPr>
          <w:rFonts w:ascii="Arial" w:hAnsi="Arial" w:cs="Arial"/>
          <w:b/>
          <w:sz w:val="22"/>
        </w:rPr>
        <w:t xml:space="preserve"> </w:t>
      </w:r>
      <w:r w:rsidR="005F2DCC" w:rsidRPr="00992548">
        <w:rPr>
          <w:rFonts w:ascii="Arial" w:hAnsi="Arial" w:cs="Arial"/>
          <w:b/>
          <w:sz w:val="22"/>
        </w:rPr>
        <w:t>preparation</w:t>
      </w:r>
    </w:p>
    <w:p w14:paraId="13B0770A" w14:textId="69D4E371" w:rsidR="00992548" w:rsidRDefault="00992548" w:rsidP="00992548">
      <w:pPr>
        <w:pStyle w:val="Body"/>
        <w:rPr>
          <w:rFonts w:ascii="Arial" w:hAnsi="Arial" w:cs="Arial"/>
        </w:rPr>
      </w:pPr>
      <w:r w:rsidRPr="00992548">
        <w:rPr>
          <w:rFonts w:ascii="Arial" w:hAnsi="Arial" w:cs="Arial"/>
        </w:rPr>
        <w:t xml:space="preserve">A total of seventeen lignocellulosic wood samples, representing mulberry clonal genetic resources including- eight clones each of </w:t>
      </w:r>
      <w:r w:rsidRPr="00992548">
        <w:rPr>
          <w:rFonts w:ascii="Arial" w:hAnsi="Arial" w:cs="Arial"/>
          <w:i/>
          <w:iCs/>
        </w:rPr>
        <w:t>Morus alba</w:t>
      </w:r>
      <w:r w:rsidRPr="00992548">
        <w:rPr>
          <w:rFonts w:ascii="Arial" w:hAnsi="Arial" w:cs="Arial"/>
        </w:rPr>
        <w:t xml:space="preserve"> and </w:t>
      </w:r>
      <w:r w:rsidRPr="00992548">
        <w:rPr>
          <w:rFonts w:ascii="Arial" w:hAnsi="Arial" w:cs="Arial"/>
          <w:i/>
          <w:iCs/>
        </w:rPr>
        <w:t>Morus latifolia</w:t>
      </w:r>
      <w:r w:rsidRPr="00992548">
        <w:rPr>
          <w:rFonts w:ascii="Arial" w:hAnsi="Arial" w:cs="Arial"/>
        </w:rPr>
        <w:t xml:space="preserve">, along with one clone of </w:t>
      </w:r>
      <w:r w:rsidRPr="00992548">
        <w:rPr>
          <w:rFonts w:ascii="Arial" w:hAnsi="Arial" w:cs="Arial"/>
          <w:i/>
          <w:iCs/>
        </w:rPr>
        <w:t>Morus laevigata</w:t>
      </w:r>
      <w:r w:rsidRPr="00992548">
        <w:rPr>
          <w:rFonts w:ascii="Arial" w:hAnsi="Arial" w:cs="Arial"/>
        </w:rPr>
        <w:t xml:space="preserve"> were collected from the Central Sericultural Germplasm Resource Centre, Hosur (Table 1). These clones have been under cultivation since 2016 in the germplasm garden of the Department of Sericulture at the Forest College and Research Institute, Mettupalayam (11°19'37''N to 11°19'39''N latitude, 76°56'09''E longitude, at an elevation of 338 meters, receiving an average annual rainfall of 700–800 mm). The sampling included both native and exotic tree types. One healthy tree with a straight, undamaged bole was selected at random from each clone. From each tree, three discs measuring 5 cm in thickness were extracted, air-dried, ground into fine powder, and later used for analysi</w:t>
      </w:r>
      <w:r w:rsidR="00D06C49">
        <w:rPr>
          <w:rFonts w:ascii="Arial" w:hAnsi="Arial" w:cs="Arial"/>
        </w:rPr>
        <w:t xml:space="preserve">s of various </w:t>
      </w:r>
      <w:r w:rsidR="00D06C49" w:rsidRPr="00D06C49">
        <w:rPr>
          <w:rFonts w:ascii="Arial" w:hAnsi="Arial" w:cs="Arial"/>
          <w:highlight w:val="yellow"/>
        </w:rPr>
        <w:t>chemical characters</w:t>
      </w:r>
      <w:r w:rsidR="00BB760E">
        <w:rPr>
          <w:rFonts w:ascii="Arial" w:hAnsi="Arial" w:cs="Arial"/>
        </w:rPr>
        <w:t xml:space="preserve"> (Fig. 1 A-C)</w:t>
      </w:r>
      <w:r w:rsidRPr="00992548">
        <w:rPr>
          <w:rFonts w:ascii="Arial" w:hAnsi="Arial" w:cs="Arial"/>
        </w:rPr>
        <w:t>.</w:t>
      </w:r>
    </w:p>
    <w:p w14:paraId="73D38017" w14:textId="77777777" w:rsidR="00074E19" w:rsidRPr="00992548" w:rsidRDefault="00074E19" w:rsidP="00BB760E">
      <w:pPr>
        <w:pStyle w:val="Body"/>
        <w:ind w:hanging="270"/>
        <w:rPr>
          <w:rFonts w:ascii="Arial" w:hAnsi="Arial" w:cs="Arial"/>
        </w:rPr>
      </w:pPr>
      <w:r w:rsidRPr="00074E19">
        <w:rPr>
          <w:rFonts w:ascii="Arial" w:hAnsi="Arial" w:cs="Arial"/>
        </w:rPr>
        <w:lastRenderedPageBreak/>
        <w:t xml:space="preserve"> </w:t>
      </w:r>
      <w:r w:rsidR="007468B3">
        <w:rPr>
          <w:rFonts w:ascii="Arial" w:hAnsi="Arial" w:cs="Arial"/>
          <w:noProof/>
        </w:rPr>
        <w:t xml:space="preserve">   </w:t>
      </w:r>
      <w:r w:rsidR="004A4D5E">
        <w:rPr>
          <w:rFonts w:ascii="Arial" w:hAnsi="Arial" w:cs="Arial"/>
          <w:noProof/>
        </w:rPr>
        <w:drawing>
          <wp:inline distT="0" distB="0" distL="0" distR="0" wp14:anchorId="1CD0BB55" wp14:editId="0EAF79A8">
            <wp:extent cx="5267325" cy="1952454"/>
            <wp:effectExtent l="19050" t="19050" r="9525" b="9696"/>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267785" cy="1952625"/>
                    </a:xfrm>
                    <a:prstGeom prst="rect">
                      <a:avLst/>
                    </a:prstGeom>
                    <a:noFill/>
                    <a:ln w="6350">
                      <a:solidFill>
                        <a:schemeClr val="tx1"/>
                      </a:solidFill>
                      <a:miter lim="800000"/>
                      <a:headEnd/>
                      <a:tailEnd/>
                    </a:ln>
                  </pic:spPr>
                </pic:pic>
              </a:graphicData>
            </a:graphic>
          </wp:inline>
        </w:drawing>
      </w:r>
      <w:r w:rsidR="007468B3">
        <w:rPr>
          <w:rFonts w:ascii="Arial" w:hAnsi="Arial" w:cs="Arial"/>
          <w:noProof/>
        </w:rPr>
        <w:t xml:space="preserve"> </w:t>
      </w:r>
      <w:r w:rsidR="007468B3" w:rsidRPr="00BB760E">
        <w:rPr>
          <w:rFonts w:ascii="Arial" w:hAnsi="Arial" w:cs="Arial"/>
          <w:noProof/>
        </w:rPr>
        <w:t xml:space="preserve">  </w:t>
      </w:r>
      <w:r w:rsidR="004A4D5E" w:rsidRPr="00BB760E">
        <w:rPr>
          <w:rFonts w:ascii="Arial" w:hAnsi="Arial" w:cs="Arial"/>
          <w:b/>
          <w:noProof/>
        </w:rPr>
        <w:t>Fig. 1</w:t>
      </w:r>
      <w:r w:rsidR="00BB760E" w:rsidRPr="00BB760E">
        <w:rPr>
          <w:rFonts w:ascii="Arial" w:hAnsi="Arial" w:cs="Arial"/>
          <w:b/>
          <w:noProof/>
        </w:rPr>
        <w:t>.</w:t>
      </w:r>
      <w:r w:rsidR="004A4D5E" w:rsidRPr="00BB760E">
        <w:rPr>
          <w:rFonts w:ascii="Arial" w:hAnsi="Arial" w:cs="Arial"/>
          <w:b/>
          <w:noProof/>
        </w:rPr>
        <w:t xml:space="preserve"> </w:t>
      </w:r>
      <w:r w:rsidR="004A4D5E" w:rsidRPr="00BB760E">
        <w:rPr>
          <w:rFonts w:ascii="Arial" w:hAnsi="Arial" w:cs="Arial"/>
          <w:b/>
        </w:rPr>
        <w:t>Sequential Processing of Mulberry Plant Samples for Analysis — (A) Wood discs, (B) Air-dried and shredded wood chips, and (C) Final powdered material stored in labeled containers for further analysis</w:t>
      </w:r>
    </w:p>
    <w:p w14:paraId="13E5DACF" w14:textId="77777777" w:rsidR="00992548" w:rsidRDefault="00992548" w:rsidP="00992548">
      <w:pPr>
        <w:tabs>
          <w:tab w:val="left" w:pos="1080"/>
        </w:tabs>
        <w:jc w:val="both"/>
        <w:rPr>
          <w:rFonts w:ascii="Arial" w:hAnsi="Arial"/>
          <w:b/>
        </w:rPr>
      </w:pPr>
      <w:r>
        <w:rPr>
          <w:rFonts w:ascii="Arial" w:hAnsi="Arial"/>
          <w:b/>
        </w:rPr>
        <w:t>Table 1.</w:t>
      </w:r>
      <w:r w:rsidRPr="005B0D96">
        <w:rPr>
          <w:rFonts w:ascii="Arial" w:hAnsi="Arial"/>
          <w:b/>
        </w:rPr>
        <w:t>Details of mulberry clonal genetic resources</w:t>
      </w:r>
    </w:p>
    <w:tbl>
      <w:tblPr>
        <w:tblStyle w:val="TableGrid"/>
        <w:tblW w:w="838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733"/>
        <w:gridCol w:w="2070"/>
        <w:gridCol w:w="1906"/>
        <w:gridCol w:w="1874"/>
      </w:tblGrid>
      <w:tr w:rsidR="00992548" w:rsidRPr="00975DE4" w14:paraId="07A0875C" w14:textId="77777777" w:rsidTr="0093314D">
        <w:trPr>
          <w:trHeight w:val="602"/>
          <w:jc w:val="center"/>
        </w:trPr>
        <w:tc>
          <w:tcPr>
            <w:tcW w:w="805" w:type="dxa"/>
            <w:tcBorders>
              <w:top w:val="single" w:sz="4" w:space="0" w:color="auto"/>
              <w:bottom w:val="single" w:sz="4" w:space="0" w:color="auto"/>
            </w:tcBorders>
          </w:tcPr>
          <w:p w14:paraId="7407F2C4"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S. No</w:t>
            </w:r>
          </w:p>
        </w:tc>
        <w:tc>
          <w:tcPr>
            <w:tcW w:w="1733" w:type="dxa"/>
            <w:tcBorders>
              <w:top w:val="single" w:sz="4" w:space="0" w:color="auto"/>
              <w:bottom w:val="single" w:sz="4" w:space="0" w:color="auto"/>
            </w:tcBorders>
          </w:tcPr>
          <w:p w14:paraId="6FF9328D"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Scientific Name</w:t>
            </w:r>
          </w:p>
        </w:tc>
        <w:tc>
          <w:tcPr>
            <w:tcW w:w="2070" w:type="dxa"/>
            <w:tcBorders>
              <w:top w:val="single" w:sz="4" w:space="0" w:color="auto"/>
              <w:bottom w:val="single" w:sz="4" w:space="0" w:color="auto"/>
            </w:tcBorders>
          </w:tcPr>
          <w:p w14:paraId="4615340C"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Accession number</w:t>
            </w:r>
          </w:p>
        </w:tc>
        <w:tc>
          <w:tcPr>
            <w:tcW w:w="1906" w:type="dxa"/>
            <w:tcBorders>
              <w:top w:val="single" w:sz="4" w:space="0" w:color="auto"/>
              <w:bottom w:val="single" w:sz="4" w:space="0" w:color="auto"/>
            </w:tcBorders>
          </w:tcPr>
          <w:p w14:paraId="367A8EB2"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Variety name</w:t>
            </w:r>
          </w:p>
        </w:tc>
        <w:tc>
          <w:tcPr>
            <w:tcW w:w="1874" w:type="dxa"/>
            <w:tcBorders>
              <w:top w:val="single" w:sz="4" w:space="0" w:color="auto"/>
              <w:bottom w:val="single" w:sz="4" w:space="0" w:color="auto"/>
            </w:tcBorders>
          </w:tcPr>
          <w:p w14:paraId="16C11071"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Origin</w:t>
            </w:r>
          </w:p>
        </w:tc>
      </w:tr>
      <w:tr w:rsidR="00992548" w:rsidRPr="00975DE4" w14:paraId="0437925F" w14:textId="77777777" w:rsidTr="0093314D">
        <w:trPr>
          <w:trHeight w:val="402"/>
          <w:jc w:val="center"/>
        </w:trPr>
        <w:tc>
          <w:tcPr>
            <w:tcW w:w="805" w:type="dxa"/>
            <w:tcBorders>
              <w:top w:val="single" w:sz="4" w:space="0" w:color="auto"/>
            </w:tcBorders>
          </w:tcPr>
          <w:p w14:paraId="347592C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w:t>
            </w:r>
          </w:p>
        </w:tc>
        <w:tc>
          <w:tcPr>
            <w:tcW w:w="1733" w:type="dxa"/>
            <w:tcBorders>
              <w:top w:val="single" w:sz="4" w:space="0" w:color="auto"/>
            </w:tcBorders>
          </w:tcPr>
          <w:p w14:paraId="1D8C217A"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Borders>
              <w:top w:val="single" w:sz="4" w:space="0" w:color="auto"/>
            </w:tcBorders>
          </w:tcPr>
          <w:p w14:paraId="23ED089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MI- 0674</w:t>
            </w:r>
          </w:p>
        </w:tc>
        <w:tc>
          <w:tcPr>
            <w:tcW w:w="1906" w:type="dxa"/>
            <w:tcBorders>
              <w:top w:val="single" w:sz="4" w:space="0" w:color="auto"/>
            </w:tcBorders>
          </w:tcPr>
          <w:p w14:paraId="5770007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Khakad- 3</w:t>
            </w:r>
          </w:p>
        </w:tc>
        <w:tc>
          <w:tcPr>
            <w:tcW w:w="1874" w:type="dxa"/>
            <w:tcBorders>
              <w:top w:val="single" w:sz="4" w:space="0" w:color="auto"/>
            </w:tcBorders>
          </w:tcPr>
          <w:p w14:paraId="7ECFC7F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India</w:t>
            </w:r>
          </w:p>
        </w:tc>
      </w:tr>
      <w:tr w:rsidR="00992548" w:rsidRPr="00975DE4" w14:paraId="78E0BB80" w14:textId="77777777" w:rsidTr="0093314D">
        <w:trPr>
          <w:trHeight w:val="381"/>
          <w:jc w:val="center"/>
        </w:trPr>
        <w:tc>
          <w:tcPr>
            <w:tcW w:w="805" w:type="dxa"/>
          </w:tcPr>
          <w:p w14:paraId="62F7042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2</w:t>
            </w:r>
          </w:p>
        </w:tc>
        <w:tc>
          <w:tcPr>
            <w:tcW w:w="1733" w:type="dxa"/>
          </w:tcPr>
          <w:p w14:paraId="39681EF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6A79DEA5"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MI- 0665</w:t>
            </w:r>
          </w:p>
        </w:tc>
        <w:tc>
          <w:tcPr>
            <w:tcW w:w="1906" w:type="dxa"/>
          </w:tcPr>
          <w:p w14:paraId="605F611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Naudan- 1</w:t>
            </w:r>
          </w:p>
        </w:tc>
        <w:tc>
          <w:tcPr>
            <w:tcW w:w="1874" w:type="dxa"/>
          </w:tcPr>
          <w:p w14:paraId="461D9B6F"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West India</w:t>
            </w:r>
          </w:p>
        </w:tc>
      </w:tr>
      <w:tr w:rsidR="00992548" w:rsidRPr="00975DE4" w14:paraId="2E5AF670" w14:textId="77777777" w:rsidTr="0093314D">
        <w:trPr>
          <w:trHeight w:val="381"/>
          <w:jc w:val="center"/>
        </w:trPr>
        <w:tc>
          <w:tcPr>
            <w:tcW w:w="805" w:type="dxa"/>
          </w:tcPr>
          <w:p w14:paraId="608616F5"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3</w:t>
            </w:r>
          </w:p>
        </w:tc>
        <w:tc>
          <w:tcPr>
            <w:tcW w:w="1733" w:type="dxa"/>
          </w:tcPr>
          <w:p w14:paraId="132B9FC8"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0B9D68EB"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ME- 0174</w:t>
            </w:r>
          </w:p>
        </w:tc>
        <w:tc>
          <w:tcPr>
            <w:tcW w:w="1906" w:type="dxa"/>
          </w:tcPr>
          <w:p w14:paraId="30CEA7C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Xuan- 9</w:t>
            </w:r>
          </w:p>
        </w:tc>
        <w:tc>
          <w:tcPr>
            <w:tcW w:w="1874" w:type="dxa"/>
          </w:tcPr>
          <w:p w14:paraId="030693A6"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4D6DCD65" w14:textId="77777777" w:rsidTr="0093314D">
        <w:trPr>
          <w:trHeight w:val="381"/>
          <w:jc w:val="center"/>
        </w:trPr>
        <w:tc>
          <w:tcPr>
            <w:tcW w:w="805" w:type="dxa"/>
          </w:tcPr>
          <w:p w14:paraId="72ACE3D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4</w:t>
            </w:r>
          </w:p>
        </w:tc>
        <w:tc>
          <w:tcPr>
            <w:tcW w:w="1733" w:type="dxa"/>
          </w:tcPr>
          <w:p w14:paraId="6DAD353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28E0AE3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MI- 0145</w:t>
            </w:r>
          </w:p>
        </w:tc>
        <w:tc>
          <w:tcPr>
            <w:tcW w:w="1906" w:type="dxa"/>
          </w:tcPr>
          <w:p w14:paraId="4E8774D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UP- 8</w:t>
            </w:r>
          </w:p>
        </w:tc>
        <w:tc>
          <w:tcPr>
            <w:tcW w:w="1874" w:type="dxa"/>
          </w:tcPr>
          <w:p w14:paraId="3D99B97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111422C5" w14:textId="77777777" w:rsidTr="0093314D">
        <w:trPr>
          <w:trHeight w:val="381"/>
          <w:jc w:val="center"/>
        </w:trPr>
        <w:tc>
          <w:tcPr>
            <w:tcW w:w="805" w:type="dxa"/>
          </w:tcPr>
          <w:p w14:paraId="086D857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5</w:t>
            </w:r>
          </w:p>
        </w:tc>
        <w:tc>
          <w:tcPr>
            <w:tcW w:w="1733" w:type="dxa"/>
          </w:tcPr>
          <w:p w14:paraId="6CA6F88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5C99575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MI- 0211</w:t>
            </w:r>
          </w:p>
        </w:tc>
        <w:tc>
          <w:tcPr>
            <w:tcW w:w="1906" w:type="dxa"/>
          </w:tcPr>
          <w:p w14:paraId="01B9829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Rajasthan Local</w:t>
            </w:r>
          </w:p>
        </w:tc>
        <w:tc>
          <w:tcPr>
            <w:tcW w:w="1874" w:type="dxa"/>
          </w:tcPr>
          <w:p w14:paraId="44D3EC1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West India</w:t>
            </w:r>
          </w:p>
        </w:tc>
      </w:tr>
      <w:tr w:rsidR="00992548" w:rsidRPr="00975DE4" w14:paraId="2FF35876" w14:textId="77777777" w:rsidTr="0093314D">
        <w:trPr>
          <w:trHeight w:val="381"/>
          <w:jc w:val="center"/>
        </w:trPr>
        <w:tc>
          <w:tcPr>
            <w:tcW w:w="805" w:type="dxa"/>
          </w:tcPr>
          <w:p w14:paraId="4C869AD6"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6</w:t>
            </w:r>
          </w:p>
        </w:tc>
        <w:tc>
          <w:tcPr>
            <w:tcW w:w="1733" w:type="dxa"/>
          </w:tcPr>
          <w:p w14:paraId="62EED13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7EDD242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ME- 0006</w:t>
            </w:r>
          </w:p>
        </w:tc>
        <w:tc>
          <w:tcPr>
            <w:tcW w:w="1906" w:type="dxa"/>
          </w:tcPr>
          <w:p w14:paraId="04C047E8"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 multicaulis</w:t>
            </w:r>
          </w:p>
        </w:tc>
        <w:tc>
          <w:tcPr>
            <w:tcW w:w="1874" w:type="dxa"/>
          </w:tcPr>
          <w:p w14:paraId="5F93460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RSRS, Kodathi</w:t>
            </w:r>
          </w:p>
        </w:tc>
      </w:tr>
      <w:tr w:rsidR="00992548" w:rsidRPr="00975DE4" w14:paraId="6A9987B2" w14:textId="77777777" w:rsidTr="0093314D">
        <w:trPr>
          <w:trHeight w:val="381"/>
          <w:jc w:val="center"/>
        </w:trPr>
        <w:tc>
          <w:tcPr>
            <w:tcW w:w="805" w:type="dxa"/>
          </w:tcPr>
          <w:p w14:paraId="2595646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7</w:t>
            </w:r>
          </w:p>
        </w:tc>
        <w:tc>
          <w:tcPr>
            <w:tcW w:w="1733" w:type="dxa"/>
          </w:tcPr>
          <w:p w14:paraId="6F38E24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laevigata</w:t>
            </w:r>
          </w:p>
        </w:tc>
        <w:tc>
          <w:tcPr>
            <w:tcW w:w="2070" w:type="dxa"/>
          </w:tcPr>
          <w:p w14:paraId="744EE150"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MI- 0532</w:t>
            </w:r>
          </w:p>
        </w:tc>
        <w:tc>
          <w:tcPr>
            <w:tcW w:w="1906" w:type="dxa"/>
          </w:tcPr>
          <w:p w14:paraId="1126BA9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Querypit</w:t>
            </w:r>
          </w:p>
        </w:tc>
        <w:tc>
          <w:tcPr>
            <w:tcW w:w="1874" w:type="dxa"/>
          </w:tcPr>
          <w:p w14:paraId="15D013EF"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South India</w:t>
            </w:r>
          </w:p>
        </w:tc>
      </w:tr>
      <w:tr w:rsidR="00992548" w:rsidRPr="00975DE4" w14:paraId="0EB68D62" w14:textId="77777777" w:rsidTr="0093314D">
        <w:trPr>
          <w:trHeight w:val="381"/>
          <w:jc w:val="center"/>
        </w:trPr>
        <w:tc>
          <w:tcPr>
            <w:tcW w:w="805" w:type="dxa"/>
          </w:tcPr>
          <w:p w14:paraId="1EF7A9A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8</w:t>
            </w:r>
          </w:p>
        </w:tc>
        <w:tc>
          <w:tcPr>
            <w:tcW w:w="1733" w:type="dxa"/>
          </w:tcPr>
          <w:p w14:paraId="1E3369E5"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357238F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MI- 0828</w:t>
            </w:r>
          </w:p>
        </w:tc>
        <w:tc>
          <w:tcPr>
            <w:tcW w:w="1906" w:type="dxa"/>
          </w:tcPr>
          <w:p w14:paraId="79FFBC68"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Hosur- C8</w:t>
            </w:r>
          </w:p>
        </w:tc>
        <w:tc>
          <w:tcPr>
            <w:tcW w:w="1874" w:type="dxa"/>
          </w:tcPr>
          <w:p w14:paraId="62EBE4D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CSGRC, Hosur</w:t>
            </w:r>
          </w:p>
        </w:tc>
      </w:tr>
      <w:tr w:rsidR="00992548" w:rsidRPr="00975DE4" w14:paraId="3B6EE650" w14:textId="77777777" w:rsidTr="0093314D">
        <w:trPr>
          <w:trHeight w:val="381"/>
          <w:jc w:val="center"/>
        </w:trPr>
        <w:tc>
          <w:tcPr>
            <w:tcW w:w="805" w:type="dxa"/>
          </w:tcPr>
          <w:p w14:paraId="0C5A9F7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9</w:t>
            </w:r>
          </w:p>
        </w:tc>
        <w:tc>
          <w:tcPr>
            <w:tcW w:w="1733" w:type="dxa"/>
          </w:tcPr>
          <w:p w14:paraId="0BA3D71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278079A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MI- 0783</w:t>
            </w:r>
          </w:p>
        </w:tc>
        <w:tc>
          <w:tcPr>
            <w:tcW w:w="1906" w:type="dxa"/>
          </w:tcPr>
          <w:p w14:paraId="06C8011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w:t>
            </w:r>
          </w:p>
        </w:tc>
        <w:tc>
          <w:tcPr>
            <w:tcW w:w="1874" w:type="dxa"/>
          </w:tcPr>
          <w:p w14:paraId="41DFA2A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w:t>
            </w:r>
          </w:p>
        </w:tc>
      </w:tr>
      <w:tr w:rsidR="00992548" w:rsidRPr="00975DE4" w14:paraId="29422985" w14:textId="77777777" w:rsidTr="0093314D">
        <w:trPr>
          <w:trHeight w:val="381"/>
          <w:jc w:val="center"/>
        </w:trPr>
        <w:tc>
          <w:tcPr>
            <w:tcW w:w="805" w:type="dxa"/>
          </w:tcPr>
          <w:p w14:paraId="28864D27"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10</w:t>
            </w:r>
          </w:p>
        </w:tc>
        <w:tc>
          <w:tcPr>
            <w:tcW w:w="1733" w:type="dxa"/>
          </w:tcPr>
          <w:p w14:paraId="434A8C96"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1E0031E8"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ME-0168</w:t>
            </w:r>
          </w:p>
        </w:tc>
        <w:tc>
          <w:tcPr>
            <w:tcW w:w="1906" w:type="dxa"/>
          </w:tcPr>
          <w:p w14:paraId="08875BD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 multicaulis</w:t>
            </w:r>
          </w:p>
        </w:tc>
        <w:tc>
          <w:tcPr>
            <w:tcW w:w="1874" w:type="dxa"/>
          </w:tcPr>
          <w:p w14:paraId="4BDAF05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22572C2A" w14:textId="77777777" w:rsidTr="0093314D">
        <w:trPr>
          <w:trHeight w:val="381"/>
          <w:jc w:val="center"/>
        </w:trPr>
        <w:tc>
          <w:tcPr>
            <w:tcW w:w="805" w:type="dxa"/>
          </w:tcPr>
          <w:p w14:paraId="6A3FA1D7"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11</w:t>
            </w:r>
          </w:p>
        </w:tc>
        <w:tc>
          <w:tcPr>
            <w:tcW w:w="1733" w:type="dxa"/>
          </w:tcPr>
          <w:p w14:paraId="26309CBC"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31F993CB"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MI- 0300</w:t>
            </w:r>
          </w:p>
        </w:tc>
        <w:tc>
          <w:tcPr>
            <w:tcW w:w="1906" w:type="dxa"/>
          </w:tcPr>
          <w:p w14:paraId="4EA78EC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White Badana</w:t>
            </w:r>
          </w:p>
        </w:tc>
        <w:tc>
          <w:tcPr>
            <w:tcW w:w="1874" w:type="dxa"/>
          </w:tcPr>
          <w:p w14:paraId="0D1CBBA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SGF, Kollegal</w:t>
            </w:r>
          </w:p>
        </w:tc>
      </w:tr>
      <w:tr w:rsidR="00992548" w:rsidRPr="00975DE4" w14:paraId="28D59B60" w14:textId="77777777" w:rsidTr="0093314D">
        <w:trPr>
          <w:trHeight w:val="381"/>
          <w:jc w:val="center"/>
        </w:trPr>
        <w:tc>
          <w:tcPr>
            <w:tcW w:w="805" w:type="dxa"/>
          </w:tcPr>
          <w:p w14:paraId="054619D5"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12</w:t>
            </w:r>
          </w:p>
        </w:tc>
        <w:tc>
          <w:tcPr>
            <w:tcW w:w="1733" w:type="dxa"/>
          </w:tcPr>
          <w:p w14:paraId="6D59BA4C"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264CDF1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ME- 0169</w:t>
            </w:r>
          </w:p>
        </w:tc>
        <w:tc>
          <w:tcPr>
            <w:tcW w:w="1906" w:type="dxa"/>
          </w:tcPr>
          <w:p w14:paraId="6E18056B"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Georgia</w:t>
            </w:r>
          </w:p>
        </w:tc>
        <w:tc>
          <w:tcPr>
            <w:tcW w:w="1874" w:type="dxa"/>
          </w:tcPr>
          <w:p w14:paraId="2A94C85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5498577F" w14:textId="77777777" w:rsidTr="0093314D">
        <w:trPr>
          <w:trHeight w:val="381"/>
          <w:jc w:val="center"/>
        </w:trPr>
        <w:tc>
          <w:tcPr>
            <w:tcW w:w="805" w:type="dxa"/>
          </w:tcPr>
          <w:p w14:paraId="25B6847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13</w:t>
            </w:r>
          </w:p>
        </w:tc>
        <w:tc>
          <w:tcPr>
            <w:tcW w:w="1733" w:type="dxa"/>
          </w:tcPr>
          <w:p w14:paraId="6603E9B2"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3F293B2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MI- 0549</w:t>
            </w:r>
          </w:p>
        </w:tc>
        <w:tc>
          <w:tcPr>
            <w:tcW w:w="1906" w:type="dxa"/>
          </w:tcPr>
          <w:p w14:paraId="2BCF8A8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C- 1690</w:t>
            </w:r>
          </w:p>
        </w:tc>
        <w:tc>
          <w:tcPr>
            <w:tcW w:w="1874" w:type="dxa"/>
          </w:tcPr>
          <w:p w14:paraId="5401654F"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Berhampur</w:t>
            </w:r>
          </w:p>
        </w:tc>
      </w:tr>
      <w:tr w:rsidR="00992548" w:rsidRPr="00975DE4" w14:paraId="7ACFA67C" w14:textId="77777777" w:rsidTr="0093314D">
        <w:trPr>
          <w:trHeight w:val="381"/>
          <w:jc w:val="center"/>
        </w:trPr>
        <w:tc>
          <w:tcPr>
            <w:tcW w:w="805" w:type="dxa"/>
            <w:tcBorders>
              <w:bottom w:val="nil"/>
            </w:tcBorders>
          </w:tcPr>
          <w:p w14:paraId="73618E2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14</w:t>
            </w:r>
          </w:p>
        </w:tc>
        <w:tc>
          <w:tcPr>
            <w:tcW w:w="1733" w:type="dxa"/>
            <w:tcBorders>
              <w:bottom w:val="nil"/>
            </w:tcBorders>
          </w:tcPr>
          <w:p w14:paraId="009696E1"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Borders>
              <w:bottom w:val="nil"/>
            </w:tcBorders>
          </w:tcPr>
          <w:p w14:paraId="2C26F83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MI- 0632</w:t>
            </w:r>
          </w:p>
        </w:tc>
        <w:tc>
          <w:tcPr>
            <w:tcW w:w="1906" w:type="dxa"/>
            <w:tcBorders>
              <w:bottom w:val="nil"/>
            </w:tcBorders>
          </w:tcPr>
          <w:p w14:paraId="6E0C9AC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Chimera</w:t>
            </w:r>
          </w:p>
        </w:tc>
        <w:tc>
          <w:tcPr>
            <w:tcW w:w="1874" w:type="dxa"/>
            <w:tcBorders>
              <w:bottom w:val="nil"/>
            </w:tcBorders>
          </w:tcPr>
          <w:p w14:paraId="749B09B0"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Berhampur</w:t>
            </w:r>
          </w:p>
        </w:tc>
      </w:tr>
      <w:tr w:rsidR="00992548" w:rsidRPr="00975DE4" w14:paraId="527AE5C3" w14:textId="77777777" w:rsidTr="0093314D">
        <w:trPr>
          <w:trHeight w:val="381"/>
          <w:jc w:val="center"/>
        </w:trPr>
        <w:tc>
          <w:tcPr>
            <w:tcW w:w="805" w:type="dxa"/>
            <w:tcBorders>
              <w:top w:val="nil"/>
              <w:bottom w:val="nil"/>
            </w:tcBorders>
          </w:tcPr>
          <w:p w14:paraId="0B32E580"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lastRenderedPageBreak/>
              <w:t>15</w:t>
            </w:r>
          </w:p>
        </w:tc>
        <w:tc>
          <w:tcPr>
            <w:tcW w:w="1733" w:type="dxa"/>
            <w:tcBorders>
              <w:top w:val="nil"/>
              <w:bottom w:val="nil"/>
            </w:tcBorders>
          </w:tcPr>
          <w:p w14:paraId="3A9B1C1E"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Borders>
              <w:top w:val="nil"/>
              <w:bottom w:val="nil"/>
            </w:tcBorders>
          </w:tcPr>
          <w:p w14:paraId="6B9282B6"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MI- 0034</w:t>
            </w:r>
          </w:p>
        </w:tc>
        <w:tc>
          <w:tcPr>
            <w:tcW w:w="1906" w:type="dxa"/>
            <w:tcBorders>
              <w:top w:val="nil"/>
              <w:bottom w:val="nil"/>
            </w:tcBorders>
          </w:tcPr>
          <w:p w14:paraId="6EAD7BD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Sujanpur- 1</w:t>
            </w:r>
          </w:p>
        </w:tc>
        <w:tc>
          <w:tcPr>
            <w:tcW w:w="1874" w:type="dxa"/>
            <w:tcBorders>
              <w:top w:val="nil"/>
              <w:bottom w:val="nil"/>
            </w:tcBorders>
          </w:tcPr>
          <w:p w14:paraId="1074234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RSRS, Kodathi</w:t>
            </w:r>
          </w:p>
        </w:tc>
      </w:tr>
      <w:tr w:rsidR="00992548" w:rsidRPr="00975DE4" w14:paraId="084E395B" w14:textId="77777777" w:rsidTr="0093314D">
        <w:trPr>
          <w:trHeight w:val="402"/>
          <w:jc w:val="center"/>
        </w:trPr>
        <w:tc>
          <w:tcPr>
            <w:tcW w:w="805" w:type="dxa"/>
            <w:tcBorders>
              <w:top w:val="nil"/>
            </w:tcBorders>
          </w:tcPr>
          <w:p w14:paraId="4FCD4AC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16</w:t>
            </w:r>
          </w:p>
        </w:tc>
        <w:tc>
          <w:tcPr>
            <w:tcW w:w="1733" w:type="dxa"/>
            <w:tcBorders>
              <w:top w:val="nil"/>
            </w:tcBorders>
          </w:tcPr>
          <w:p w14:paraId="11BB4F9A"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Borders>
              <w:top w:val="nil"/>
            </w:tcBorders>
          </w:tcPr>
          <w:p w14:paraId="59E9721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MI- 0818</w:t>
            </w:r>
          </w:p>
        </w:tc>
        <w:tc>
          <w:tcPr>
            <w:tcW w:w="1906" w:type="dxa"/>
            <w:tcBorders>
              <w:top w:val="nil"/>
            </w:tcBorders>
          </w:tcPr>
          <w:p w14:paraId="6BCB414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Caranzaleempark</w:t>
            </w:r>
          </w:p>
        </w:tc>
        <w:tc>
          <w:tcPr>
            <w:tcW w:w="1874" w:type="dxa"/>
            <w:tcBorders>
              <w:top w:val="nil"/>
            </w:tcBorders>
          </w:tcPr>
          <w:p w14:paraId="6F937DC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South India</w:t>
            </w:r>
          </w:p>
        </w:tc>
      </w:tr>
      <w:tr w:rsidR="00992548" w:rsidRPr="00975DE4" w14:paraId="07B555DC" w14:textId="77777777" w:rsidTr="0093314D">
        <w:trPr>
          <w:trHeight w:val="360"/>
          <w:jc w:val="center"/>
        </w:trPr>
        <w:tc>
          <w:tcPr>
            <w:tcW w:w="805" w:type="dxa"/>
          </w:tcPr>
          <w:p w14:paraId="3BFB12B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17</w:t>
            </w:r>
          </w:p>
        </w:tc>
        <w:tc>
          <w:tcPr>
            <w:tcW w:w="1733" w:type="dxa"/>
          </w:tcPr>
          <w:p w14:paraId="2A0A4C0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681375F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MI- 0845</w:t>
            </w:r>
          </w:p>
        </w:tc>
        <w:tc>
          <w:tcPr>
            <w:tcW w:w="1906" w:type="dxa"/>
          </w:tcPr>
          <w:p w14:paraId="4DA090B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Rajapur- 2</w:t>
            </w:r>
          </w:p>
        </w:tc>
        <w:tc>
          <w:tcPr>
            <w:tcW w:w="1874" w:type="dxa"/>
          </w:tcPr>
          <w:p w14:paraId="23DD9BF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East India</w:t>
            </w:r>
          </w:p>
        </w:tc>
      </w:tr>
    </w:tbl>
    <w:p w14:paraId="52AB8774" w14:textId="77777777" w:rsidR="00992548" w:rsidRDefault="00992548" w:rsidP="00441B6F">
      <w:pPr>
        <w:pStyle w:val="Body"/>
        <w:spacing w:after="0"/>
        <w:rPr>
          <w:rFonts w:ascii="Arial" w:hAnsi="Arial" w:cs="Arial"/>
        </w:rPr>
      </w:pPr>
    </w:p>
    <w:p w14:paraId="19783F44" w14:textId="55D7E3AE" w:rsidR="00992548" w:rsidRDefault="00992548" w:rsidP="00992548">
      <w:pPr>
        <w:pStyle w:val="Body"/>
        <w:rPr>
          <w:rFonts w:ascii="Arial" w:hAnsi="Arial" w:cs="Arial"/>
          <w:b/>
          <w:sz w:val="22"/>
        </w:rPr>
      </w:pPr>
      <w:r>
        <w:rPr>
          <w:rFonts w:ascii="Arial" w:hAnsi="Arial" w:cs="Arial"/>
          <w:b/>
          <w:caps/>
          <w:sz w:val="22"/>
        </w:rPr>
        <w:t xml:space="preserve">2.2 </w:t>
      </w:r>
      <w:r w:rsidRPr="00992548">
        <w:rPr>
          <w:rFonts w:ascii="Arial" w:hAnsi="Arial" w:cs="Arial"/>
          <w:b/>
          <w:sz w:val="22"/>
        </w:rPr>
        <w:t>Methods for</w:t>
      </w:r>
      <w:r w:rsidR="00D06C49">
        <w:rPr>
          <w:rFonts w:ascii="Arial" w:hAnsi="Arial" w:cs="Arial"/>
          <w:b/>
          <w:sz w:val="22"/>
        </w:rPr>
        <w:t xml:space="preserve"> determining </w:t>
      </w:r>
      <w:r w:rsidR="00D06C49" w:rsidRPr="00D06C49">
        <w:rPr>
          <w:rFonts w:ascii="Arial" w:hAnsi="Arial" w:cs="Arial"/>
          <w:b/>
          <w:sz w:val="22"/>
          <w:highlight w:val="yellow"/>
        </w:rPr>
        <w:t>chemical characteristics</w:t>
      </w:r>
      <w:r w:rsidRPr="00992548">
        <w:rPr>
          <w:rFonts w:ascii="Arial" w:hAnsi="Arial" w:cs="Arial"/>
          <w:b/>
          <w:sz w:val="22"/>
        </w:rPr>
        <w:t xml:space="preserve"> of mulberry clonal genetic resources</w:t>
      </w:r>
    </w:p>
    <w:p w14:paraId="351FCA2D" w14:textId="77777777" w:rsidR="007B7693" w:rsidRDefault="007B7693" w:rsidP="007B769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2.1 </w:t>
      </w:r>
      <w:r w:rsidRPr="007B7693">
        <w:rPr>
          <w:rFonts w:ascii="Arial" w:hAnsi="Arial" w:cs="Arial"/>
          <w:b/>
          <w:bCs/>
          <w:u w:val="single"/>
        </w:rPr>
        <w:t>Ash content (%)</w:t>
      </w:r>
    </w:p>
    <w:p w14:paraId="1F9BFC36" w14:textId="77777777" w:rsidR="007B7693" w:rsidRDefault="007B7693" w:rsidP="00A51EE1">
      <w:pPr>
        <w:spacing w:before="100" w:beforeAutospacing="1" w:after="100" w:afterAutospacing="1"/>
        <w:ind w:right="18"/>
        <w:jc w:val="both"/>
        <w:rPr>
          <w:rFonts w:ascii="Arial" w:hAnsi="Arial" w:cs="Arial"/>
          <w:bCs/>
        </w:rPr>
      </w:pPr>
      <w:r w:rsidRPr="007B7693">
        <w:rPr>
          <w:rFonts w:ascii="Arial" w:hAnsi="Arial" w:cs="Arial"/>
          <w:bCs/>
        </w:rPr>
        <w:t xml:space="preserve">The ash content in the samples was measured following the ASTM D3174 standard </w:t>
      </w:r>
      <w:r w:rsidRPr="005470C3">
        <w:rPr>
          <w:rFonts w:ascii="Arial" w:hAnsi="Arial" w:cs="Arial"/>
          <w:bCs/>
        </w:rPr>
        <w:t>procedure (ASTM International, 2012; Kongprasert</w:t>
      </w:r>
      <w:r w:rsidR="00BB760E">
        <w:rPr>
          <w:rFonts w:ascii="Arial" w:hAnsi="Arial" w:cs="Arial"/>
          <w:bCs/>
        </w:rPr>
        <w:t xml:space="preserve"> </w:t>
      </w:r>
      <w:r w:rsidRPr="00D11CCE">
        <w:rPr>
          <w:rFonts w:ascii="Arial" w:hAnsi="Arial" w:cs="Arial"/>
          <w:bCs/>
          <w:i/>
        </w:rPr>
        <w:t>et al.,</w:t>
      </w:r>
      <w:r w:rsidRPr="00D11CCE">
        <w:rPr>
          <w:rFonts w:ascii="Arial" w:hAnsi="Arial" w:cs="Arial"/>
          <w:bCs/>
        </w:rPr>
        <w:t xml:space="preserve"> 2019</w:t>
      </w:r>
      <w:r w:rsidRPr="007B7693">
        <w:rPr>
          <w:rFonts w:ascii="Arial" w:hAnsi="Arial" w:cs="Arial"/>
          <w:bCs/>
        </w:rPr>
        <w:t>). About one gram of each powdered sample was placed in a crucible and gradually heated in a muffle furnace. The temperature was first increased from 450°C to 600°C over the span of an hour. It was then raised to 750°C and held steady for another two hours. After that, the crucibles were left in the furnace for an extra hour to ensure complete combustion</w:t>
      </w:r>
      <w:r w:rsidR="00BB760E">
        <w:rPr>
          <w:rFonts w:ascii="Arial" w:hAnsi="Arial" w:cs="Arial"/>
          <w:bCs/>
        </w:rPr>
        <w:t xml:space="preserve"> (Fig. 2A)</w:t>
      </w:r>
      <w:r w:rsidRPr="007B7693">
        <w:rPr>
          <w:rFonts w:ascii="Arial" w:hAnsi="Arial" w:cs="Arial"/>
          <w:bCs/>
        </w:rPr>
        <w:t>. The ash content percentage was then calculated using a defined formula.</w:t>
      </w:r>
    </w:p>
    <w:tbl>
      <w:tblPr>
        <w:tblpPr w:leftFromText="180" w:rightFromText="180" w:vertAnchor="text" w:horzAnchor="margin" w:tblpXSpec="center" w:tblpY="86"/>
        <w:tblW w:w="0" w:type="auto"/>
        <w:tblLook w:val="04A0" w:firstRow="1" w:lastRow="0" w:firstColumn="1" w:lastColumn="0" w:noHBand="0" w:noVBand="1"/>
      </w:tblPr>
      <w:tblGrid>
        <w:gridCol w:w="2660"/>
        <w:gridCol w:w="1168"/>
        <w:gridCol w:w="851"/>
      </w:tblGrid>
      <w:tr w:rsidR="007B7693" w:rsidRPr="007B7693" w14:paraId="414B96D9" w14:textId="77777777" w:rsidTr="007B7693">
        <w:trPr>
          <w:trHeight w:val="322"/>
        </w:trPr>
        <w:tc>
          <w:tcPr>
            <w:tcW w:w="2660" w:type="dxa"/>
            <w:vMerge w:val="restart"/>
            <w:vAlign w:val="center"/>
            <w:hideMark/>
          </w:tcPr>
          <w:p w14:paraId="3E27719E" w14:textId="77777777" w:rsidR="007B7693" w:rsidRPr="007B7693" w:rsidRDefault="00BB760E" w:rsidP="007B7693">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7B7693" w:rsidRPr="007B7693">
              <w:rPr>
                <w:rFonts w:ascii="Arial" w:eastAsia="Calibri" w:hAnsi="Arial" w:cs="Arial"/>
                <w:lang w:val="en-IN"/>
              </w:rPr>
              <w:t>Ash content (%) =</w:t>
            </w:r>
          </w:p>
        </w:tc>
        <w:tc>
          <w:tcPr>
            <w:tcW w:w="1168" w:type="dxa"/>
            <w:tcBorders>
              <w:bottom w:val="single" w:sz="4" w:space="0" w:color="auto"/>
            </w:tcBorders>
            <w:vAlign w:val="center"/>
            <w:hideMark/>
          </w:tcPr>
          <w:p w14:paraId="0A3E979D" w14:textId="77777777" w:rsidR="007B7693" w:rsidRPr="007B7693" w:rsidRDefault="007B7693" w:rsidP="007B7693">
            <w:pPr>
              <w:widowControl w:val="0"/>
              <w:tabs>
                <w:tab w:val="left" w:pos="709"/>
              </w:tabs>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 xml:space="preserve">3 </w:t>
            </w:r>
            <w:r w:rsidRPr="007B7693">
              <w:rPr>
                <w:rFonts w:ascii="Arial" w:eastAsia="Calibri" w:hAnsi="Arial" w:cs="Arial"/>
                <w:lang w:val="en-IN"/>
              </w:rPr>
              <w:t>- W</w:t>
            </w:r>
            <w:r w:rsidRPr="007B7693">
              <w:rPr>
                <w:rFonts w:ascii="Arial" w:eastAsia="Calibri" w:hAnsi="Arial" w:cs="Arial"/>
                <w:vertAlign w:val="subscript"/>
                <w:lang w:val="en-IN"/>
              </w:rPr>
              <w:t>1</w:t>
            </w:r>
          </w:p>
        </w:tc>
        <w:tc>
          <w:tcPr>
            <w:tcW w:w="851" w:type="dxa"/>
            <w:vMerge w:val="restart"/>
            <w:tcBorders>
              <w:left w:val="nil"/>
            </w:tcBorders>
            <w:vAlign w:val="center"/>
            <w:hideMark/>
          </w:tcPr>
          <w:p w14:paraId="1E4B1404" w14:textId="77777777" w:rsidR="007B7693" w:rsidRPr="007B7693" w:rsidRDefault="007B7693" w:rsidP="007B7693">
            <w:pPr>
              <w:widowControl w:val="0"/>
              <w:tabs>
                <w:tab w:val="left" w:pos="709"/>
              </w:tabs>
              <w:contextualSpacing/>
              <w:jc w:val="both"/>
              <w:rPr>
                <w:rFonts w:ascii="Arial" w:eastAsia="Calibri" w:hAnsi="Arial" w:cs="Arial"/>
                <w:lang w:val="en-IN"/>
              </w:rPr>
            </w:pPr>
            <w:r w:rsidRPr="007B7693">
              <w:rPr>
                <w:rFonts w:ascii="Arial" w:eastAsia="Calibri" w:hAnsi="Arial" w:cs="Arial"/>
                <w:lang w:val="en-IN"/>
              </w:rPr>
              <w:t xml:space="preserve"> × 100</w:t>
            </w:r>
          </w:p>
        </w:tc>
      </w:tr>
      <w:tr w:rsidR="007B7693" w:rsidRPr="007B7693" w14:paraId="46B7D927" w14:textId="77777777" w:rsidTr="007B7693">
        <w:trPr>
          <w:trHeight w:val="53"/>
        </w:trPr>
        <w:tc>
          <w:tcPr>
            <w:tcW w:w="2660" w:type="dxa"/>
            <w:vMerge/>
            <w:vAlign w:val="center"/>
            <w:hideMark/>
          </w:tcPr>
          <w:p w14:paraId="0BE6E1EB" w14:textId="77777777" w:rsidR="007B7693" w:rsidRPr="007B7693" w:rsidRDefault="007B7693" w:rsidP="007B7693">
            <w:pPr>
              <w:contextualSpacing/>
              <w:jc w:val="both"/>
              <w:rPr>
                <w:rFonts w:ascii="Arial" w:eastAsia="Calibri" w:hAnsi="Arial" w:cs="Arial"/>
                <w:lang w:val="en-IN"/>
              </w:rPr>
            </w:pPr>
          </w:p>
        </w:tc>
        <w:tc>
          <w:tcPr>
            <w:tcW w:w="1168" w:type="dxa"/>
            <w:tcBorders>
              <w:top w:val="single" w:sz="4" w:space="0" w:color="auto"/>
            </w:tcBorders>
            <w:vAlign w:val="center"/>
            <w:hideMark/>
          </w:tcPr>
          <w:p w14:paraId="3375BB1B" w14:textId="77777777" w:rsidR="007B7693" w:rsidRPr="007B7693" w:rsidRDefault="007B7693" w:rsidP="007B7693">
            <w:pPr>
              <w:widowControl w:val="0"/>
              <w:tabs>
                <w:tab w:val="left" w:pos="709"/>
              </w:tabs>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 xml:space="preserve">2 </w:t>
            </w:r>
            <w:r w:rsidRPr="007B7693">
              <w:rPr>
                <w:rFonts w:ascii="Arial" w:eastAsia="Calibri" w:hAnsi="Arial" w:cs="Arial"/>
                <w:lang w:val="en-IN"/>
              </w:rPr>
              <w:t>- W</w:t>
            </w:r>
            <w:r w:rsidRPr="007B7693">
              <w:rPr>
                <w:rFonts w:ascii="Arial" w:eastAsia="Calibri" w:hAnsi="Arial" w:cs="Arial"/>
                <w:vertAlign w:val="subscript"/>
                <w:lang w:val="en-IN"/>
              </w:rPr>
              <w:t>1</w:t>
            </w:r>
          </w:p>
        </w:tc>
        <w:tc>
          <w:tcPr>
            <w:tcW w:w="851" w:type="dxa"/>
            <w:vMerge/>
            <w:tcBorders>
              <w:left w:val="nil"/>
            </w:tcBorders>
            <w:vAlign w:val="center"/>
            <w:hideMark/>
          </w:tcPr>
          <w:p w14:paraId="4697C044" w14:textId="77777777" w:rsidR="007B7693" w:rsidRPr="007B7693" w:rsidRDefault="007B7693" w:rsidP="007B7693">
            <w:pPr>
              <w:contextualSpacing/>
              <w:jc w:val="both"/>
              <w:rPr>
                <w:rFonts w:ascii="Arial" w:eastAsia="Calibri" w:hAnsi="Arial" w:cs="Arial"/>
                <w:lang w:val="en-IN"/>
              </w:rPr>
            </w:pPr>
          </w:p>
        </w:tc>
      </w:tr>
    </w:tbl>
    <w:p w14:paraId="16128EF4" w14:textId="77777777" w:rsidR="007B7693" w:rsidRDefault="007B7693" w:rsidP="007B7693">
      <w:pPr>
        <w:spacing w:before="100" w:beforeAutospacing="1" w:after="100" w:afterAutospacing="1"/>
        <w:ind w:right="571"/>
        <w:jc w:val="both"/>
        <w:rPr>
          <w:rFonts w:ascii="Arial" w:hAnsi="Arial" w:cs="Arial"/>
          <w:bCs/>
        </w:rPr>
      </w:pPr>
    </w:p>
    <w:p w14:paraId="6102DBB0" w14:textId="77777777" w:rsidR="007B7693" w:rsidRPr="007B7693" w:rsidRDefault="007B7693" w:rsidP="007B7693">
      <w:pPr>
        <w:spacing w:before="100" w:beforeAutospacing="1" w:after="100" w:afterAutospacing="1"/>
        <w:ind w:right="571"/>
        <w:jc w:val="both"/>
        <w:rPr>
          <w:rFonts w:ascii="Arial" w:hAnsi="Arial" w:cs="Arial"/>
          <w:bCs/>
        </w:rPr>
      </w:pPr>
    </w:p>
    <w:p w14:paraId="45B2DFDB"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Where,</w:t>
      </w:r>
    </w:p>
    <w:p w14:paraId="7A42A421"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1</w:t>
      </w:r>
      <w:r w:rsidRPr="007B7693">
        <w:rPr>
          <w:rFonts w:ascii="Arial" w:eastAsia="Calibri" w:hAnsi="Arial" w:cs="Arial"/>
          <w:lang w:val="en-IN"/>
        </w:rPr>
        <w:t xml:space="preserve">= weight of empty crucible, (g) </w:t>
      </w:r>
    </w:p>
    <w:p w14:paraId="699F8271"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2</w:t>
      </w:r>
      <w:r w:rsidRPr="007B7693">
        <w:rPr>
          <w:rFonts w:ascii="Arial" w:eastAsia="Calibri" w:hAnsi="Arial" w:cs="Arial"/>
          <w:lang w:val="en-IN"/>
        </w:rPr>
        <w:t xml:space="preserve">= weight of empty crucible + original sample, (g) and </w:t>
      </w:r>
    </w:p>
    <w:p w14:paraId="275C1E04"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3</w:t>
      </w:r>
      <w:r w:rsidRPr="007B7693">
        <w:rPr>
          <w:rFonts w:ascii="Arial" w:eastAsia="Calibri" w:hAnsi="Arial" w:cs="Arial"/>
          <w:lang w:val="en-IN"/>
        </w:rPr>
        <w:t>= weight of empty crucible + ash, (g).</w:t>
      </w:r>
    </w:p>
    <w:p w14:paraId="13F847B0" w14:textId="77777777" w:rsidR="00975DE4" w:rsidRDefault="00975DE4" w:rsidP="00975DE4">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2.2 </w:t>
      </w:r>
      <w:r w:rsidRPr="00975DE4">
        <w:rPr>
          <w:rFonts w:ascii="Arial" w:hAnsi="Arial" w:cs="Arial"/>
          <w:b/>
          <w:bCs/>
          <w:u w:val="single"/>
        </w:rPr>
        <w:t>A-B (Alcohol- Benzene) extractive (%)</w:t>
      </w:r>
    </w:p>
    <w:p w14:paraId="36E2E24F" w14:textId="77777777" w:rsidR="00975DE4" w:rsidRPr="00975DE4" w:rsidRDefault="00975DE4" w:rsidP="00975DE4">
      <w:pPr>
        <w:jc w:val="both"/>
        <w:rPr>
          <w:rFonts w:ascii="Arial" w:eastAsia="Calibri" w:hAnsi="Arial" w:cs="Arial"/>
          <w:lang w:val="en-IN"/>
        </w:rPr>
      </w:pPr>
      <w:r w:rsidRPr="00975DE4">
        <w:rPr>
          <w:rFonts w:ascii="Arial" w:eastAsia="Calibri" w:hAnsi="Arial" w:cs="Arial"/>
          <w:lang w:val="en-IN"/>
        </w:rPr>
        <w:t xml:space="preserve">The alcohol-benzene extractive content was assessed using the TAPPI T204 method, as </w:t>
      </w:r>
      <w:r w:rsidRPr="005470C3">
        <w:rPr>
          <w:rFonts w:ascii="Arial" w:eastAsia="Calibri" w:hAnsi="Arial" w:cs="Arial"/>
          <w:lang w:val="en-IN"/>
        </w:rPr>
        <w:t>described by Buchanan (2007) and</w:t>
      </w:r>
      <w:r w:rsidR="00BB760E">
        <w:rPr>
          <w:rFonts w:ascii="Arial" w:eastAsia="Calibri" w:hAnsi="Arial" w:cs="Arial"/>
          <w:lang w:val="en-IN"/>
        </w:rPr>
        <w:t xml:space="preserve"> </w:t>
      </w:r>
      <w:r w:rsidRPr="006938A5">
        <w:rPr>
          <w:rFonts w:ascii="Arial" w:eastAsia="Calibri" w:hAnsi="Arial" w:cs="Arial"/>
          <w:lang w:val="en-IN"/>
        </w:rPr>
        <w:t>Malakani</w:t>
      </w:r>
      <w:r w:rsidRPr="006938A5">
        <w:rPr>
          <w:rFonts w:ascii="Arial" w:eastAsia="Calibri" w:hAnsi="Arial" w:cs="Arial"/>
          <w:i/>
          <w:lang w:val="en-IN"/>
        </w:rPr>
        <w:t xml:space="preserve"> et al.,</w:t>
      </w:r>
      <w:r w:rsidRPr="006938A5">
        <w:rPr>
          <w:rFonts w:ascii="Arial" w:eastAsia="Calibri" w:hAnsi="Arial" w:cs="Arial"/>
          <w:lang w:val="en-IN"/>
        </w:rPr>
        <w:t xml:space="preserve"> (2014). Around</w:t>
      </w:r>
      <w:r w:rsidRPr="00975DE4">
        <w:rPr>
          <w:rFonts w:ascii="Arial" w:eastAsia="Calibri" w:hAnsi="Arial" w:cs="Arial"/>
          <w:lang w:val="en-IN"/>
        </w:rPr>
        <w:t xml:space="preserve"> 7 grams of oven-dried wood powder was placed into a cotton-covered thimble flask and set up in a Soxhlet extractor. The extraction was carried out using 300 ml of an ethanol-benzene solution mixed in a 1:2 ratio, maintained at a temperature range of 70–85°C for six hours. After the process, the extract was collected in a pre-weighed petri dish (W</w:t>
      </w:r>
      <w:r w:rsidRPr="00975DE4">
        <w:rPr>
          <w:rFonts w:ascii="Arial" w:eastAsia="Calibri" w:hAnsi="Arial" w:cs="Arial"/>
          <w:vertAlign w:val="subscript"/>
          <w:lang w:val="en-IN"/>
        </w:rPr>
        <w:t>1</w:t>
      </w:r>
      <w:r w:rsidRPr="00975DE4">
        <w:rPr>
          <w:rFonts w:ascii="Arial" w:eastAsia="Calibri" w:hAnsi="Arial" w:cs="Arial"/>
          <w:lang w:val="en-IN"/>
        </w:rPr>
        <w:t>), dried at 100°C, and weighed again (W</w:t>
      </w:r>
      <w:r w:rsidRPr="00975DE4">
        <w:rPr>
          <w:rFonts w:ascii="Arial" w:eastAsia="Calibri" w:hAnsi="Arial" w:cs="Arial"/>
          <w:vertAlign w:val="subscript"/>
          <w:lang w:val="en-IN"/>
        </w:rPr>
        <w:t>2</w:t>
      </w:r>
      <w:r w:rsidRPr="00975DE4">
        <w:rPr>
          <w:rFonts w:ascii="Arial" w:eastAsia="Calibri" w:hAnsi="Arial" w:cs="Arial"/>
          <w:lang w:val="en-IN"/>
        </w:rPr>
        <w:t>)</w:t>
      </w:r>
      <w:r w:rsidR="00BB760E">
        <w:rPr>
          <w:rFonts w:ascii="Arial" w:eastAsia="Calibri" w:hAnsi="Arial" w:cs="Arial"/>
          <w:lang w:val="en-IN"/>
        </w:rPr>
        <w:t xml:space="preserve"> (Fig. 2B)</w:t>
      </w:r>
      <w:r w:rsidRPr="00975DE4">
        <w:rPr>
          <w:rFonts w:ascii="Arial" w:eastAsia="Calibri" w:hAnsi="Arial" w:cs="Arial"/>
          <w:lang w:val="en-IN"/>
        </w:rPr>
        <w:t>. The percentage of alcohol-benzene extractives was then calculated using a standard formula.</w:t>
      </w:r>
    </w:p>
    <w:tbl>
      <w:tblPr>
        <w:tblpPr w:leftFromText="180" w:rightFromText="180" w:vertAnchor="text" w:horzAnchor="margin" w:tblpXSpec="right" w:tblpY="158"/>
        <w:tblW w:w="0" w:type="auto"/>
        <w:tblLook w:val="04A0" w:firstRow="1" w:lastRow="0" w:firstColumn="1" w:lastColumn="0" w:noHBand="0" w:noVBand="1"/>
      </w:tblPr>
      <w:tblGrid>
        <w:gridCol w:w="2376"/>
        <w:gridCol w:w="3711"/>
        <w:gridCol w:w="1109"/>
      </w:tblGrid>
      <w:tr w:rsidR="00975DE4" w:rsidRPr="00975DE4" w14:paraId="01F4486E" w14:textId="77777777" w:rsidTr="00975DE4">
        <w:trPr>
          <w:trHeight w:val="322"/>
        </w:trPr>
        <w:tc>
          <w:tcPr>
            <w:tcW w:w="2376" w:type="dxa"/>
            <w:vMerge w:val="restart"/>
            <w:vAlign w:val="center"/>
            <w:hideMark/>
          </w:tcPr>
          <w:p w14:paraId="3910D375" w14:textId="77777777" w:rsidR="00975DE4" w:rsidRPr="00975DE4" w:rsidRDefault="00BB760E" w:rsidP="00975DE4">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975DE4" w:rsidRPr="00975DE4">
              <w:rPr>
                <w:rFonts w:ascii="Arial" w:eastAsia="Calibri" w:hAnsi="Arial" w:cs="Arial"/>
                <w:lang w:val="en-IN"/>
              </w:rPr>
              <w:t>AB Extractive (%) =</w:t>
            </w:r>
          </w:p>
        </w:tc>
        <w:tc>
          <w:tcPr>
            <w:tcW w:w="3711" w:type="dxa"/>
            <w:tcBorders>
              <w:bottom w:val="single" w:sz="4" w:space="0" w:color="auto"/>
            </w:tcBorders>
            <w:vAlign w:val="center"/>
            <w:hideMark/>
          </w:tcPr>
          <w:p w14:paraId="558CF26A" w14:textId="77777777" w:rsidR="00975DE4" w:rsidRPr="00975DE4" w:rsidRDefault="00975DE4" w:rsidP="00975DE4">
            <w:pPr>
              <w:widowControl w:val="0"/>
              <w:tabs>
                <w:tab w:val="left" w:pos="709"/>
              </w:tabs>
              <w:contextualSpacing/>
              <w:jc w:val="center"/>
              <w:rPr>
                <w:rFonts w:ascii="Arial" w:eastAsia="Calibri" w:hAnsi="Arial" w:cs="Arial"/>
                <w:lang w:val="en-IN"/>
              </w:rPr>
            </w:pPr>
            <w:r w:rsidRPr="00975DE4">
              <w:rPr>
                <w:rFonts w:ascii="Arial" w:eastAsia="Calibri" w:hAnsi="Arial" w:cs="Arial"/>
                <w:lang w:val="en-IN"/>
              </w:rPr>
              <w:t>W</w:t>
            </w:r>
            <w:r w:rsidRPr="00975DE4">
              <w:rPr>
                <w:rFonts w:ascii="Arial" w:eastAsia="Calibri" w:hAnsi="Arial" w:cs="Arial"/>
                <w:vertAlign w:val="subscript"/>
                <w:lang w:val="en-IN"/>
              </w:rPr>
              <w:t>2</w:t>
            </w:r>
            <w:r w:rsidRPr="00975DE4">
              <w:rPr>
                <w:rFonts w:ascii="Arial" w:eastAsia="Calibri" w:hAnsi="Arial" w:cs="Arial"/>
                <w:lang w:val="en-IN"/>
              </w:rPr>
              <w:t>- W</w:t>
            </w:r>
            <w:r w:rsidRPr="00975DE4">
              <w:rPr>
                <w:rFonts w:ascii="Arial" w:eastAsia="Calibri" w:hAnsi="Arial" w:cs="Arial"/>
                <w:vertAlign w:val="subscript"/>
                <w:lang w:val="en-IN"/>
              </w:rPr>
              <w:t>1</w:t>
            </w:r>
          </w:p>
        </w:tc>
        <w:tc>
          <w:tcPr>
            <w:tcW w:w="1109" w:type="dxa"/>
            <w:vMerge w:val="restart"/>
            <w:vAlign w:val="center"/>
            <w:hideMark/>
          </w:tcPr>
          <w:p w14:paraId="1B3CAE38" w14:textId="77777777" w:rsidR="00975DE4" w:rsidRPr="00975DE4" w:rsidRDefault="00975DE4" w:rsidP="00975DE4">
            <w:pPr>
              <w:widowControl w:val="0"/>
              <w:tabs>
                <w:tab w:val="left" w:pos="709"/>
              </w:tabs>
              <w:contextualSpacing/>
              <w:jc w:val="both"/>
              <w:rPr>
                <w:rFonts w:ascii="Arial" w:eastAsia="Calibri" w:hAnsi="Arial" w:cs="Arial"/>
                <w:lang w:val="en-IN"/>
              </w:rPr>
            </w:pPr>
            <w:r w:rsidRPr="00975DE4">
              <w:rPr>
                <w:rFonts w:ascii="Arial" w:eastAsia="Calibri" w:hAnsi="Arial" w:cs="Arial"/>
                <w:lang w:val="en-IN"/>
              </w:rPr>
              <w:t xml:space="preserve"> × 100</w:t>
            </w:r>
          </w:p>
        </w:tc>
      </w:tr>
      <w:tr w:rsidR="00975DE4" w:rsidRPr="00975DE4" w14:paraId="7D8D3ADE" w14:textId="77777777" w:rsidTr="00975DE4">
        <w:trPr>
          <w:trHeight w:val="53"/>
        </w:trPr>
        <w:tc>
          <w:tcPr>
            <w:tcW w:w="2376" w:type="dxa"/>
            <w:vMerge/>
            <w:vAlign w:val="center"/>
            <w:hideMark/>
          </w:tcPr>
          <w:p w14:paraId="138B4C47" w14:textId="77777777" w:rsidR="00975DE4" w:rsidRPr="00975DE4" w:rsidRDefault="00975DE4" w:rsidP="00975DE4">
            <w:pPr>
              <w:contextualSpacing/>
              <w:jc w:val="both"/>
              <w:rPr>
                <w:rFonts w:ascii="Arial" w:eastAsia="Calibri" w:hAnsi="Arial" w:cs="Arial"/>
                <w:lang w:val="en-IN"/>
              </w:rPr>
            </w:pPr>
          </w:p>
        </w:tc>
        <w:tc>
          <w:tcPr>
            <w:tcW w:w="3711" w:type="dxa"/>
            <w:tcBorders>
              <w:top w:val="single" w:sz="4" w:space="0" w:color="auto"/>
            </w:tcBorders>
            <w:vAlign w:val="center"/>
            <w:hideMark/>
          </w:tcPr>
          <w:p w14:paraId="61F9E8A1" w14:textId="77777777" w:rsidR="00975DE4" w:rsidRPr="00975DE4" w:rsidRDefault="00975DE4" w:rsidP="00975DE4">
            <w:pPr>
              <w:widowControl w:val="0"/>
              <w:tabs>
                <w:tab w:val="left" w:pos="709"/>
              </w:tabs>
              <w:contextualSpacing/>
              <w:jc w:val="center"/>
              <w:rPr>
                <w:rFonts w:ascii="Arial" w:eastAsia="Calibri" w:hAnsi="Arial" w:cs="Arial"/>
                <w:lang w:val="en-IN"/>
              </w:rPr>
            </w:pPr>
            <w:r w:rsidRPr="00975DE4">
              <w:rPr>
                <w:rFonts w:ascii="Arial" w:eastAsia="Calibri" w:hAnsi="Arial" w:cs="Arial"/>
                <w:lang w:val="en-IN"/>
              </w:rPr>
              <w:t>Oven dry weight of the sample</w:t>
            </w:r>
          </w:p>
        </w:tc>
        <w:tc>
          <w:tcPr>
            <w:tcW w:w="1109" w:type="dxa"/>
            <w:vMerge/>
            <w:vAlign w:val="center"/>
            <w:hideMark/>
          </w:tcPr>
          <w:p w14:paraId="4B5E591B" w14:textId="77777777" w:rsidR="00975DE4" w:rsidRPr="00975DE4" w:rsidRDefault="00975DE4" w:rsidP="00975DE4">
            <w:pPr>
              <w:contextualSpacing/>
              <w:jc w:val="both"/>
              <w:rPr>
                <w:rFonts w:ascii="Arial" w:eastAsia="Calibri" w:hAnsi="Arial" w:cs="Arial"/>
                <w:lang w:val="en-IN"/>
              </w:rPr>
            </w:pPr>
          </w:p>
        </w:tc>
      </w:tr>
    </w:tbl>
    <w:p w14:paraId="2E186397" w14:textId="77777777" w:rsidR="00975DE4" w:rsidRDefault="00975DE4" w:rsidP="00975DE4">
      <w:pPr>
        <w:spacing w:before="100" w:beforeAutospacing="1" w:after="100" w:afterAutospacing="1"/>
        <w:ind w:right="571"/>
        <w:jc w:val="both"/>
        <w:rPr>
          <w:rFonts w:ascii="Arial" w:hAnsi="Arial" w:cs="Arial"/>
          <w:b/>
          <w:bCs/>
          <w:u w:val="single"/>
        </w:rPr>
      </w:pPr>
    </w:p>
    <w:p w14:paraId="78B164F4" w14:textId="77777777" w:rsidR="00790ADA" w:rsidRDefault="00790ADA" w:rsidP="00441B6F">
      <w:pPr>
        <w:pStyle w:val="Body"/>
        <w:spacing w:after="0"/>
        <w:rPr>
          <w:rFonts w:ascii="Arial" w:hAnsi="Arial" w:cs="Arial"/>
          <w:b/>
          <w:sz w:val="22"/>
        </w:rPr>
      </w:pPr>
    </w:p>
    <w:p w14:paraId="487AE152" w14:textId="77777777" w:rsidR="007B7693" w:rsidRDefault="007B7693" w:rsidP="00441B6F">
      <w:pPr>
        <w:pStyle w:val="Body"/>
        <w:spacing w:after="0"/>
        <w:rPr>
          <w:rFonts w:ascii="Arial" w:hAnsi="Arial" w:cs="Arial"/>
        </w:rPr>
      </w:pPr>
    </w:p>
    <w:p w14:paraId="2D22EA38" w14:textId="77777777" w:rsidR="00975DE4" w:rsidRDefault="00975DE4" w:rsidP="00975DE4">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2.3 </w:t>
      </w:r>
      <w:r w:rsidRPr="00975DE4">
        <w:rPr>
          <w:rFonts w:ascii="Arial" w:hAnsi="Arial" w:cs="Arial"/>
          <w:b/>
          <w:bCs/>
          <w:u w:val="single"/>
        </w:rPr>
        <w:t>Acid insoluble lignin (%)</w:t>
      </w:r>
    </w:p>
    <w:p w14:paraId="2F80419C" w14:textId="77777777" w:rsidR="00975DE4" w:rsidRDefault="00975DE4" w:rsidP="00975DE4">
      <w:pPr>
        <w:pStyle w:val="Body"/>
        <w:spacing w:after="0"/>
        <w:rPr>
          <w:rFonts w:ascii="Arial" w:hAnsi="Arial" w:cs="Arial"/>
        </w:rPr>
      </w:pPr>
      <w:r w:rsidRPr="00975DE4">
        <w:rPr>
          <w:rFonts w:ascii="Arial" w:hAnsi="Arial" w:cs="Arial"/>
        </w:rPr>
        <w:t xml:space="preserve">The acid-insoluble lignin content was estimated </w:t>
      </w:r>
      <w:r w:rsidRPr="00335CF8">
        <w:rPr>
          <w:rFonts w:ascii="Arial" w:hAnsi="Arial" w:cs="Arial"/>
        </w:rPr>
        <w:t xml:space="preserve">following the </w:t>
      </w:r>
      <w:r w:rsidR="00335CF8">
        <w:rPr>
          <w:rFonts w:ascii="Arial" w:hAnsi="Arial" w:cs="Arial"/>
        </w:rPr>
        <w:t xml:space="preserve">TAPPI </w:t>
      </w:r>
      <w:r w:rsidRPr="00335CF8">
        <w:rPr>
          <w:rFonts w:ascii="Arial" w:hAnsi="Arial" w:cs="Arial"/>
        </w:rPr>
        <w:t>(2006) standard</w:t>
      </w:r>
      <w:r w:rsidRPr="00975DE4">
        <w:rPr>
          <w:rFonts w:ascii="Arial" w:hAnsi="Arial" w:cs="Arial"/>
        </w:rPr>
        <w:t xml:space="preserve"> procedure</w:t>
      </w:r>
      <w:r w:rsidR="00335CF8">
        <w:rPr>
          <w:rFonts w:ascii="Arial" w:hAnsi="Arial" w:cs="Arial"/>
        </w:rPr>
        <w:t xml:space="preserve"> (Anonymous, 2006)</w:t>
      </w:r>
      <w:r w:rsidRPr="00975DE4">
        <w:rPr>
          <w:rFonts w:ascii="Arial" w:hAnsi="Arial" w:cs="Arial"/>
        </w:rPr>
        <w:t>. About 1.00 ± 0.01 grams of the alcohol-benzene extracted sample was placed in a 100 ml beaker and moistened with 2 ml of 72% sulfuric acid (H</w:t>
      </w:r>
      <w:r w:rsidRPr="00975DE4">
        <w:rPr>
          <w:rFonts w:ascii="Cambria Math" w:hAnsi="Cambria Math" w:cs="Cambria Math"/>
        </w:rPr>
        <w:t>₂</w:t>
      </w:r>
      <w:r w:rsidRPr="00975DE4">
        <w:rPr>
          <w:rFonts w:ascii="Arial" w:hAnsi="Arial" w:cs="Arial"/>
        </w:rPr>
        <w:t>SO</w:t>
      </w:r>
      <w:r w:rsidRPr="00975DE4">
        <w:rPr>
          <w:rFonts w:ascii="Cambria Math" w:hAnsi="Cambria Math" w:cs="Cambria Math"/>
        </w:rPr>
        <w:t>₄</w:t>
      </w:r>
      <w:r w:rsidRPr="00975DE4">
        <w:rPr>
          <w:rFonts w:ascii="Arial" w:hAnsi="Arial" w:cs="Arial"/>
        </w:rPr>
        <w:t xml:space="preserve">). Then, 130 ml of the same acid was added to the beaker. This setup was kept in a water bath at 20°C for two hours, with occasional stirring to ensure thorough mixing. After </w:t>
      </w:r>
      <w:r w:rsidRPr="00975DE4">
        <w:rPr>
          <w:rFonts w:ascii="Arial" w:hAnsi="Arial" w:cs="Arial"/>
        </w:rPr>
        <w:lastRenderedPageBreak/>
        <w:t>digestion, the mixture was filtered through a pre-weighed G2 crucible (W</w:t>
      </w:r>
      <w:r w:rsidRPr="00975DE4">
        <w:rPr>
          <w:rFonts w:ascii="Arial" w:hAnsi="Arial" w:cs="Arial"/>
          <w:vertAlign w:val="subscript"/>
        </w:rPr>
        <w:t>1</w:t>
      </w:r>
      <w:r w:rsidRPr="00975DE4">
        <w:rPr>
          <w:rFonts w:ascii="Arial" w:hAnsi="Arial" w:cs="Arial"/>
        </w:rPr>
        <w:t>), thoroughly rinsed with hot water to remove any acid residue, and then the remaining solid was weighed again (W</w:t>
      </w:r>
      <w:r w:rsidRPr="00975DE4">
        <w:rPr>
          <w:rFonts w:ascii="Arial" w:hAnsi="Arial" w:cs="Arial"/>
          <w:vertAlign w:val="subscript"/>
        </w:rPr>
        <w:t>2</w:t>
      </w:r>
      <w:r w:rsidRPr="00975DE4">
        <w:rPr>
          <w:rFonts w:ascii="Arial" w:hAnsi="Arial" w:cs="Arial"/>
        </w:rPr>
        <w:t>)</w:t>
      </w:r>
      <w:r w:rsidR="00BB760E">
        <w:rPr>
          <w:rFonts w:ascii="Arial" w:hAnsi="Arial" w:cs="Arial"/>
        </w:rPr>
        <w:t xml:space="preserve"> (Fig. 2C)</w:t>
      </w:r>
      <w:r w:rsidRPr="00975DE4">
        <w:rPr>
          <w:rFonts w:ascii="Arial" w:hAnsi="Arial" w:cs="Arial"/>
        </w:rPr>
        <w:t xml:space="preserve">. The lignin content was calculated using a standard formula based on the weight </w:t>
      </w:r>
      <w:r w:rsidRPr="006938A5">
        <w:rPr>
          <w:rFonts w:ascii="Arial" w:hAnsi="Arial" w:cs="Arial"/>
        </w:rPr>
        <w:t>difference (</w:t>
      </w:r>
      <w:r w:rsidRPr="006938A5">
        <w:rPr>
          <w:rFonts w:ascii="Arial" w:hAnsi="Arial" w:cs="Arial"/>
          <w:lang w:val="en-IN"/>
        </w:rPr>
        <w:t xml:space="preserve">Malakani </w:t>
      </w:r>
      <w:r w:rsidRPr="006938A5">
        <w:rPr>
          <w:rFonts w:ascii="Arial" w:hAnsi="Arial" w:cs="Arial"/>
          <w:i/>
          <w:lang w:val="en-IN"/>
        </w:rPr>
        <w:t xml:space="preserve">et al., </w:t>
      </w:r>
      <w:r w:rsidRPr="006938A5">
        <w:rPr>
          <w:rFonts w:ascii="Arial" w:hAnsi="Arial" w:cs="Arial"/>
          <w:lang w:val="en-IN"/>
        </w:rPr>
        <w:t>2014)</w:t>
      </w:r>
      <w:r w:rsidRPr="006938A5">
        <w:rPr>
          <w:rFonts w:ascii="Arial" w:hAnsi="Arial" w:cs="Arial"/>
        </w:rPr>
        <w:t>.</w:t>
      </w:r>
    </w:p>
    <w:tbl>
      <w:tblPr>
        <w:tblpPr w:leftFromText="180" w:rightFromText="180" w:vertAnchor="text" w:horzAnchor="margin" w:tblpXSpec="center" w:tblpY="53"/>
        <w:tblW w:w="0" w:type="auto"/>
        <w:tblLook w:val="04A0" w:firstRow="1" w:lastRow="0" w:firstColumn="1" w:lastColumn="0" w:noHBand="0" w:noVBand="1"/>
      </w:tblPr>
      <w:tblGrid>
        <w:gridCol w:w="2870"/>
        <w:gridCol w:w="3711"/>
        <w:gridCol w:w="1109"/>
      </w:tblGrid>
      <w:tr w:rsidR="00D83F08" w:rsidRPr="00D83F08" w14:paraId="052B9A15" w14:textId="77777777" w:rsidTr="00D83F08">
        <w:trPr>
          <w:trHeight w:val="322"/>
        </w:trPr>
        <w:tc>
          <w:tcPr>
            <w:tcW w:w="2870" w:type="dxa"/>
            <w:vMerge w:val="restart"/>
            <w:vAlign w:val="center"/>
            <w:hideMark/>
          </w:tcPr>
          <w:p w14:paraId="6661BA49" w14:textId="77777777" w:rsidR="00D83F08" w:rsidRPr="00D83F08" w:rsidRDefault="00BB760E" w:rsidP="00D83F08">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D83F08" w:rsidRPr="00D83F08">
              <w:rPr>
                <w:rFonts w:ascii="Arial" w:eastAsia="Calibri" w:hAnsi="Arial" w:cs="Arial"/>
                <w:lang w:val="en-IN"/>
              </w:rPr>
              <w:t>Acid insoluble lignin (%) =</w:t>
            </w:r>
          </w:p>
        </w:tc>
        <w:tc>
          <w:tcPr>
            <w:tcW w:w="3711" w:type="dxa"/>
            <w:tcBorders>
              <w:bottom w:val="single" w:sz="4" w:space="0" w:color="auto"/>
            </w:tcBorders>
            <w:vAlign w:val="center"/>
            <w:hideMark/>
          </w:tcPr>
          <w:p w14:paraId="4E3480B3"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2</w:t>
            </w:r>
            <w:r w:rsidRPr="00D83F08">
              <w:rPr>
                <w:rFonts w:ascii="Arial" w:eastAsia="Calibri" w:hAnsi="Arial" w:cs="Arial"/>
                <w:lang w:val="en-IN"/>
              </w:rPr>
              <w:t>- W</w:t>
            </w:r>
            <w:r w:rsidRPr="00D83F08">
              <w:rPr>
                <w:rFonts w:ascii="Arial" w:eastAsia="Calibri" w:hAnsi="Arial" w:cs="Arial"/>
                <w:vertAlign w:val="subscript"/>
                <w:lang w:val="en-IN"/>
              </w:rPr>
              <w:t>1</w:t>
            </w:r>
          </w:p>
        </w:tc>
        <w:tc>
          <w:tcPr>
            <w:tcW w:w="1109" w:type="dxa"/>
            <w:vMerge w:val="restart"/>
            <w:tcBorders>
              <w:left w:val="nil"/>
            </w:tcBorders>
            <w:vAlign w:val="center"/>
            <w:hideMark/>
          </w:tcPr>
          <w:p w14:paraId="4F3A285F"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 100</w:t>
            </w:r>
          </w:p>
        </w:tc>
      </w:tr>
      <w:tr w:rsidR="00D83F08" w:rsidRPr="00D83F08" w14:paraId="5416D837" w14:textId="77777777" w:rsidTr="00D83F08">
        <w:trPr>
          <w:trHeight w:val="53"/>
        </w:trPr>
        <w:tc>
          <w:tcPr>
            <w:tcW w:w="2870" w:type="dxa"/>
            <w:vMerge/>
            <w:vAlign w:val="center"/>
            <w:hideMark/>
          </w:tcPr>
          <w:p w14:paraId="74C2DBBC" w14:textId="77777777" w:rsidR="00D83F08" w:rsidRPr="00D83F08" w:rsidRDefault="00D83F08" w:rsidP="00D83F08">
            <w:pPr>
              <w:contextualSpacing/>
              <w:jc w:val="both"/>
              <w:rPr>
                <w:rFonts w:ascii="Arial" w:eastAsia="Calibri" w:hAnsi="Arial" w:cs="Arial"/>
                <w:lang w:val="en-IN"/>
              </w:rPr>
            </w:pPr>
          </w:p>
        </w:tc>
        <w:tc>
          <w:tcPr>
            <w:tcW w:w="3711" w:type="dxa"/>
            <w:tcBorders>
              <w:top w:val="single" w:sz="4" w:space="0" w:color="auto"/>
            </w:tcBorders>
            <w:vAlign w:val="center"/>
            <w:hideMark/>
          </w:tcPr>
          <w:p w14:paraId="7274BFC4"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Oven dry weight of the sample</w:t>
            </w:r>
          </w:p>
        </w:tc>
        <w:tc>
          <w:tcPr>
            <w:tcW w:w="1109" w:type="dxa"/>
            <w:vMerge/>
            <w:tcBorders>
              <w:left w:val="nil"/>
            </w:tcBorders>
            <w:vAlign w:val="center"/>
            <w:hideMark/>
          </w:tcPr>
          <w:p w14:paraId="03EDC7CE" w14:textId="77777777" w:rsidR="00D83F08" w:rsidRPr="00D83F08" w:rsidRDefault="00D83F08" w:rsidP="00D83F08">
            <w:pPr>
              <w:contextualSpacing/>
              <w:jc w:val="both"/>
              <w:rPr>
                <w:rFonts w:ascii="Arial" w:eastAsia="Calibri" w:hAnsi="Arial" w:cs="Arial"/>
                <w:lang w:val="en-IN"/>
              </w:rPr>
            </w:pPr>
          </w:p>
        </w:tc>
      </w:tr>
    </w:tbl>
    <w:p w14:paraId="0B71A088" w14:textId="77777777" w:rsidR="00D83F08" w:rsidRDefault="00D83F08" w:rsidP="00D83F08">
      <w:pPr>
        <w:spacing w:before="100" w:beforeAutospacing="1" w:after="100" w:afterAutospacing="1"/>
        <w:ind w:right="571"/>
        <w:jc w:val="both"/>
        <w:rPr>
          <w:rFonts w:ascii="Arial" w:hAnsi="Arial" w:cs="Arial"/>
          <w:b/>
          <w:bCs/>
          <w:u w:val="single"/>
        </w:rPr>
      </w:pPr>
    </w:p>
    <w:p w14:paraId="21284020" w14:textId="77777777" w:rsidR="00D83F08" w:rsidRDefault="00D83F08" w:rsidP="00D83F08">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2.4 </w:t>
      </w:r>
      <w:r w:rsidRPr="00D83F08">
        <w:rPr>
          <w:rFonts w:ascii="Arial" w:hAnsi="Arial" w:cs="Arial"/>
          <w:b/>
          <w:bCs/>
          <w:u w:val="single"/>
        </w:rPr>
        <w:t>Hollocellulose (%)</w:t>
      </w:r>
    </w:p>
    <w:p w14:paraId="2030C060" w14:textId="77777777" w:rsidR="00D83F08" w:rsidRPr="00D83F08" w:rsidRDefault="00D83F08" w:rsidP="00D83F08">
      <w:pPr>
        <w:spacing w:after="160"/>
        <w:jc w:val="both"/>
        <w:rPr>
          <w:rFonts w:ascii="Arial" w:eastAsia="Calibri" w:hAnsi="Arial" w:cs="Arial"/>
        </w:rPr>
      </w:pPr>
      <w:r w:rsidRPr="00D83F08">
        <w:rPr>
          <w:rFonts w:ascii="Arial" w:eastAsia="Calibri" w:hAnsi="Arial" w:cs="Arial"/>
        </w:rPr>
        <w:t>To determine the holocellulose content, 5.00 ± 0.01 grams of the wood sample was placed into a 250 ml conical flask. The sample was first moistened with 10 ml of distilled water. Then, a solution containing 150 ml of distilled water, 1.5 grams of sodium chloride, and 0.5 ml of acetic acid was added. The flask was sealed using a small inverted flask to minimize evaporation and placed in a water bath maintained at 70°C for one hour. After the heating period, the liquid portion was carefully poured into a pre-weighed crucible (W</w:t>
      </w:r>
      <w:r w:rsidRPr="00D83F08">
        <w:rPr>
          <w:rFonts w:ascii="Arial" w:eastAsia="Calibri" w:hAnsi="Arial" w:cs="Arial"/>
          <w:vertAlign w:val="subscript"/>
        </w:rPr>
        <w:t>1</w:t>
      </w:r>
      <w:r w:rsidRPr="00D83F08">
        <w:rPr>
          <w:rFonts w:ascii="Arial" w:eastAsia="Calibri" w:hAnsi="Arial" w:cs="Arial"/>
        </w:rPr>
        <w:t>). The extraction process was repeated using the same solution to ensure thorough removal of non-cellulosic components. The crucible containing the residue was dried in an oven at 105°C overnight</w:t>
      </w:r>
      <w:r w:rsidR="002C7657">
        <w:rPr>
          <w:rFonts w:ascii="Arial" w:eastAsia="Calibri" w:hAnsi="Arial" w:cs="Arial"/>
        </w:rPr>
        <w:t xml:space="preserve"> (Fig. 2D)</w:t>
      </w:r>
      <w:r w:rsidRPr="00D83F08">
        <w:rPr>
          <w:rFonts w:ascii="Arial" w:eastAsia="Calibri" w:hAnsi="Arial" w:cs="Arial"/>
        </w:rPr>
        <w:t>. Once cooled, it was reweighed (W</w:t>
      </w:r>
      <w:r w:rsidRPr="00D83F08">
        <w:rPr>
          <w:rFonts w:ascii="Arial" w:eastAsia="Calibri" w:hAnsi="Arial" w:cs="Arial"/>
          <w:vertAlign w:val="subscript"/>
        </w:rPr>
        <w:t>2</w:t>
      </w:r>
      <w:r w:rsidRPr="00D83F08">
        <w:rPr>
          <w:rFonts w:ascii="Arial" w:eastAsia="Calibri" w:hAnsi="Arial" w:cs="Arial"/>
        </w:rPr>
        <w:t xml:space="preserve">) to determine the amount of holocellulose using a standard calculation. The percentage of holocellulose was calculated using the formula </w:t>
      </w:r>
      <w:r w:rsidRPr="006938A5">
        <w:rPr>
          <w:rFonts w:ascii="Arial" w:eastAsia="Calibri" w:hAnsi="Arial" w:cs="Arial"/>
        </w:rPr>
        <w:t xml:space="preserve">by </w:t>
      </w:r>
      <w:r w:rsidR="003914B2" w:rsidRPr="006938A5">
        <w:rPr>
          <w:rFonts w:ascii="Arial" w:eastAsia="Calibri" w:hAnsi="Arial" w:cs="Arial"/>
        </w:rPr>
        <w:fldChar w:fldCharType="begin"/>
      </w:r>
      <w:r w:rsidRPr="006938A5">
        <w:rPr>
          <w:rFonts w:ascii="Arial" w:eastAsia="Calibri" w:hAnsi="Arial" w:cs="Arial"/>
        </w:rPr>
        <w:instrText xml:space="preserve"> ADDIN EN.CITE &lt;EndNote&gt;&lt;Cite AuthorYear="1"&gt;&lt;Author&gt;Ona&lt;/Author&gt;&lt;Year&gt;1995&lt;/Year&gt;&lt;RecNum&gt;383&lt;/RecNum&gt;&lt;DisplayText&gt;Ona&lt;style face="italic"&gt; et al.&lt;/style&gt; (1995)&lt;/DisplayText&gt;&lt;record&gt;&lt;rec-number&gt;383&lt;/rec-number&gt;&lt;foreign-keys&gt;&lt;key app="EN" db-id="2aaefe2xje5dwyestdopwsp32fwavaxrv9zx" timestamp="1726315172"&gt;383&lt;/key&gt;&lt;key app="ENWeb" db-id=""&gt;0&lt;/key&gt;&lt;/foreign-keys&gt;&lt;ref-type name="Journal Article"&gt;17&lt;/ref-type&gt;&lt;contributors&gt;&lt;authors&gt;&lt;author&gt;Ona, T&lt;/author&gt;&lt;author&gt;Sonoda, T&lt;/author&gt;&lt;author&gt;Shibata, M&lt;/author&gt;&lt;author&gt;Fukazawa, K&lt;/author&gt;&lt;/authors&gt;&lt;/contributors&gt;&lt;titles&gt;&lt;title&gt;Small-scale method to determine the content of wood components from multiple eucalypt samples&lt;/title&gt;&lt;secondary-title&gt;Tappi journal&lt;/secondary-title&gt;&lt;/titles&gt;&lt;periodical&gt;&lt;full-title&gt;Tappi journal&lt;/full-title&gt;&lt;/periodical&gt;&lt;pages&gt;121-126&lt;/pages&gt;&lt;volume&gt;&lt;style face="bold" font="default" size="100%"&gt;78&lt;/style&gt;&lt;/volume&gt;&lt;number&gt;3&lt;/number&gt;&lt;dates&gt;&lt;year&gt;1995&lt;/year&gt;&lt;/dates&gt;&lt;isbn&gt;0734-1415&lt;/isbn&gt;&lt;urls&gt;&lt;/urls&gt;&lt;/record&gt;&lt;/Cite&gt;&lt;/EndNote&gt;</w:instrText>
      </w:r>
      <w:r w:rsidR="003914B2" w:rsidRPr="006938A5">
        <w:rPr>
          <w:rFonts w:ascii="Arial" w:eastAsia="Calibri" w:hAnsi="Arial" w:cs="Arial"/>
        </w:rPr>
        <w:fldChar w:fldCharType="separate"/>
      </w:r>
      <w:r w:rsidRPr="006938A5">
        <w:rPr>
          <w:rFonts w:ascii="Arial" w:eastAsia="Calibri" w:hAnsi="Arial" w:cs="Arial"/>
          <w:noProof/>
        </w:rPr>
        <w:t>Ona</w:t>
      </w:r>
      <w:r w:rsidRPr="006938A5">
        <w:rPr>
          <w:rFonts w:ascii="Arial" w:eastAsia="Calibri" w:hAnsi="Arial" w:cs="Arial"/>
          <w:i/>
          <w:noProof/>
        </w:rPr>
        <w:t xml:space="preserve"> et al.</w:t>
      </w:r>
      <w:r w:rsidRPr="006938A5">
        <w:rPr>
          <w:rFonts w:ascii="Arial" w:eastAsia="Calibri" w:hAnsi="Arial" w:cs="Arial"/>
          <w:noProof/>
        </w:rPr>
        <w:t xml:space="preserve"> (1995)</w:t>
      </w:r>
      <w:r w:rsidR="003914B2" w:rsidRPr="006938A5">
        <w:rPr>
          <w:rFonts w:ascii="Arial" w:eastAsia="Calibri" w:hAnsi="Arial" w:cs="Arial"/>
        </w:rPr>
        <w:fldChar w:fldCharType="end"/>
      </w:r>
      <w:r w:rsidRPr="006938A5">
        <w:rPr>
          <w:rFonts w:ascii="Arial" w:eastAsia="Calibri" w:hAnsi="Arial" w:cs="Arial"/>
        </w:rPr>
        <w:t>.</w:t>
      </w:r>
    </w:p>
    <w:tbl>
      <w:tblPr>
        <w:tblpPr w:leftFromText="180" w:rightFromText="180" w:vertAnchor="text" w:horzAnchor="margin" w:tblpXSpec="center" w:tblpY="53"/>
        <w:tblW w:w="0" w:type="auto"/>
        <w:tblLook w:val="04A0" w:firstRow="1" w:lastRow="0" w:firstColumn="1" w:lastColumn="0" w:noHBand="0" w:noVBand="1"/>
      </w:tblPr>
      <w:tblGrid>
        <w:gridCol w:w="2235"/>
        <w:gridCol w:w="4346"/>
        <w:gridCol w:w="1109"/>
      </w:tblGrid>
      <w:tr w:rsidR="00D83F08" w:rsidRPr="00D83F08" w14:paraId="55F21633" w14:textId="77777777" w:rsidTr="00D83F08">
        <w:trPr>
          <w:trHeight w:val="322"/>
        </w:trPr>
        <w:tc>
          <w:tcPr>
            <w:tcW w:w="2235" w:type="dxa"/>
            <w:vMerge w:val="restart"/>
            <w:vAlign w:val="center"/>
            <w:hideMark/>
          </w:tcPr>
          <w:p w14:paraId="0950F7EC" w14:textId="77777777" w:rsidR="00D83F08" w:rsidRPr="00D83F08" w:rsidRDefault="00BB760E" w:rsidP="00D83F08">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D83F08" w:rsidRPr="00D83F08">
              <w:rPr>
                <w:rFonts w:ascii="Arial" w:eastAsia="Calibri" w:hAnsi="Arial" w:cs="Arial"/>
                <w:lang w:val="en-IN"/>
              </w:rPr>
              <w:t>Holocellulose (%) =</w:t>
            </w:r>
          </w:p>
        </w:tc>
        <w:tc>
          <w:tcPr>
            <w:tcW w:w="4346" w:type="dxa"/>
            <w:tcBorders>
              <w:bottom w:val="single" w:sz="4" w:space="0" w:color="auto"/>
            </w:tcBorders>
            <w:vAlign w:val="center"/>
            <w:hideMark/>
          </w:tcPr>
          <w:p w14:paraId="0243D26F"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2</w:t>
            </w:r>
            <w:r w:rsidRPr="00D83F08">
              <w:rPr>
                <w:rFonts w:ascii="Arial" w:eastAsia="Calibri" w:hAnsi="Arial" w:cs="Arial"/>
                <w:lang w:val="en-IN"/>
              </w:rPr>
              <w:t>- W</w:t>
            </w:r>
            <w:r w:rsidRPr="00D83F08">
              <w:rPr>
                <w:rFonts w:ascii="Arial" w:eastAsia="Calibri" w:hAnsi="Arial" w:cs="Arial"/>
                <w:vertAlign w:val="subscript"/>
                <w:lang w:val="en-IN"/>
              </w:rPr>
              <w:t>1</w:t>
            </w:r>
          </w:p>
        </w:tc>
        <w:tc>
          <w:tcPr>
            <w:tcW w:w="1109" w:type="dxa"/>
            <w:vMerge w:val="restart"/>
            <w:tcBorders>
              <w:left w:val="nil"/>
            </w:tcBorders>
            <w:vAlign w:val="center"/>
            <w:hideMark/>
          </w:tcPr>
          <w:p w14:paraId="7EEC9A8D"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 100 </w:t>
            </w:r>
          </w:p>
        </w:tc>
      </w:tr>
      <w:tr w:rsidR="00D83F08" w:rsidRPr="00D83F08" w14:paraId="79F6A4CA" w14:textId="77777777" w:rsidTr="00D83F08">
        <w:trPr>
          <w:trHeight w:val="53"/>
        </w:trPr>
        <w:tc>
          <w:tcPr>
            <w:tcW w:w="2235" w:type="dxa"/>
            <w:vMerge/>
            <w:vAlign w:val="center"/>
            <w:hideMark/>
          </w:tcPr>
          <w:p w14:paraId="434A8090" w14:textId="77777777" w:rsidR="00D83F08" w:rsidRPr="00D83F08" w:rsidRDefault="00D83F08" w:rsidP="00D83F08">
            <w:pPr>
              <w:contextualSpacing/>
              <w:jc w:val="both"/>
              <w:rPr>
                <w:rFonts w:ascii="Arial" w:eastAsia="Calibri" w:hAnsi="Arial" w:cs="Arial"/>
                <w:lang w:val="en-IN"/>
              </w:rPr>
            </w:pPr>
          </w:p>
        </w:tc>
        <w:tc>
          <w:tcPr>
            <w:tcW w:w="4346" w:type="dxa"/>
            <w:tcBorders>
              <w:top w:val="single" w:sz="4" w:space="0" w:color="auto"/>
            </w:tcBorders>
            <w:vAlign w:val="center"/>
            <w:hideMark/>
          </w:tcPr>
          <w:p w14:paraId="1C32EC95"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Oven dry weight of the sample</w:t>
            </w:r>
          </w:p>
        </w:tc>
        <w:tc>
          <w:tcPr>
            <w:tcW w:w="1109" w:type="dxa"/>
            <w:vMerge/>
            <w:tcBorders>
              <w:left w:val="nil"/>
            </w:tcBorders>
            <w:vAlign w:val="center"/>
            <w:hideMark/>
          </w:tcPr>
          <w:p w14:paraId="68AAC28E" w14:textId="77777777" w:rsidR="00D83F08" w:rsidRPr="00D83F08" w:rsidRDefault="00D83F08" w:rsidP="00D83F08">
            <w:pPr>
              <w:contextualSpacing/>
              <w:jc w:val="both"/>
              <w:rPr>
                <w:rFonts w:ascii="Arial" w:eastAsia="Calibri" w:hAnsi="Arial" w:cs="Arial"/>
                <w:lang w:val="en-IN"/>
              </w:rPr>
            </w:pPr>
          </w:p>
        </w:tc>
      </w:tr>
    </w:tbl>
    <w:p w14:paraId="061CC61C" w14:textId="77777777" w:rsidR="00D83F08" w:rsidRDefault="00D83F08" w:rsidP="00D83F08">
      <w:pPr>
        <w:spacing w:before="100" w:beforeAutospacing="1" w:after="100" w:afterAutospacing="1"/>
        <w:ind w:right="571"/>
        <w:jc w:val="both"/>
        <w:rPr>
          <w:rFonts w:ascii="Arial" w:hAnsi="Arial" w:cs="Arial"/>
          <w:b/>
          <w:bCs/>
          <w:u w:val="single"/>
        </w:rPr>
      </w:pPr>
    </w:p>
    <w:p w14:paraId="18E8C2DE" w14:textId="77777777" w:rsidR="00D83F08" w:rsidRDefault="00D83F08" w:rsidP="00D83F08">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2.5 </w:t>
      </w:r>
      <w:r w:rsidRPr="00D83F08">
        <w:rPr>
          <w:rFonts w:ascii="Arial" w:hAnsi="Arial" w:cs="Arial"/>
          <w:b/>
          <w:bCs/>
          <w:u w:val="single"/>
        </w:rPr>
        <w:t>1% NaOH Solubility</w:t>
      </w:r>
      <w:r w:rsidR="006B138E">
        <w:rPr>
          <w:rFonts w:ascii="Arial" w:hAnsi="Arial" w:cs="Arial"/>
          <w:b/>
          <w:bCs/>
          <w:u w:val="single"/>
        </w:rPr>
        <w:t xml:space="preserve"> (%)</w:t>
      </w:r>
    </w:p>
    <w:p w14:paraId="348875F2" w14:textId="77777777" w:rsidR="00D83F08" w:rsidRPr="00D83F08" w:rsidRDefault="00D83F08" w:rsidP="00D83F08">
      <w:pPr>
        <w:spacing w:after="160"/>
        <w:jc w:val="both"/>
        <w:rPr>
          <w:rFonts w:ascii="Arial" w:eastAsia="Calibri" w:hAnsi="Arial" w:cs="Arial"/>
        </w:rPr>
      </w:pPr>
      <w:r w:rsidRPr="00D83F08">
        <w:rPr>
          <w:rFonts w:ascii="Arial" w:eastAsia="Calibri" w:hAnsi="Arial" w:cs="Arial"/>
        </w:rPr>
        <w:t xml:space="preserve">The 1% NaOH solubility of the samples was evaluated following the TAPPI T 212 om-02 </w:t>
      </w:r>
      <w:r w:rsidRPr="00335CF8">
        <w:rPr>
          <w:rFonts w:ascii="Arial" w:eastAsia="Calibri" w:hAnsi="Arial" w:cs="Arial"/>
        </w:rPr>
        <w:t>standard (</w:t>
      </w:r>
      <w:r w:rsidR="005470C3" w:rsidRPr="00335CF8">
        <w:rPr>
          <w:rFonts w:ascii="Arial" w:eastAsia="Calibri" w:hAnsi="Arial" w:cs="Arial"/>
        </w:rPr>
        <w:t>Anonymous</w:t>
      </w:r>
      <w:r w:rsidRPr="00335CF8">
        <w:rPr>
          <w:rFonts w:ascii="Arial" w:eastAsia="Calibri" w:hAnsi="Arial" w:cs="Arial"/>
        </w:rPr>
        <w:t>, 2002). About</w:t>
      </w:r>
      <w:r w:rsidRPr="00D83F08">
        <w:rPr>
          <w:rFonts w:ascii="Arial" w:eastAsia="Calibri" w:hAnsi="Arial" w:cs="Arial"/>
        </w:rPr>
        <w:t xml:space="preserve"> 2.00 ± 0.01 grams of finely ground wood powder was placed into a 200 ml beaker, and 100 ml of 1% sodium hydroxide (NaOH) solution was added. The mixture was stirred thoroughly with a glass rod and then placed in a water bath maintained at 97–100°C for one hour. During the heating period, the contents were stirred for about 5 seconds at 10, 15, and 25 minutes to ensure even reaction. After 60 minutes, the mixture was poured into a pre-weighed filtering crucible and rinsed with 100 ml of hot distilled water. Next, 25 ml of 10% acetic acid was added and allowed to sit for a minute before filtering. This acid treatment step was repeated with another 25 ml portion. Finally, the sample was washed repeatedly with hot distilled water until all traces of acid were removed. The crucible with the residue was then dried in an oven at 105 ± 3°C until a constant weight was achieved</w:t>
      </w:r>
      <w:r w:rsidR="002C7657">
        <w:rPr>
          <w:rFonts w:ascii="Arial" w:eastAsia="Calibri" w:hAnsi="Arial" w:cs="Arial"/>
        </w:rPr>
        <w:t xml:space="preserve"> (Fig. 2E)</w:t>
      </w:r>
      <w:r w:rsidRPr="00D83F08">
        <w:rPr>
          <w:rFonts w:ascii="Arial" w:eastAsia="Calibri" w:hAnsi="Arial" w:cs="Arial"/>
        </w:rPr>
        <w:t xml:space="preserve">. The one percent NaOH solubility was calculated using a specific </w:t>
      </w:r>
      <w:r w:rsidRPr="009B05FE">
        <w:rPr>
          <w:rFonts w:ascii="Arial" w:eastAsia="Calibri" w:hAnsi="Arial" w:cs="Arial"/>
        </w:rPr>
        <w:t>formula (Jani &amp; Rushdan, 2014).</w:t>
      </w:r>
    </w:p>
    <w:tbl>
      <w:tblPr>
        <w:tblpPr w:leftFromText="180" w:rightFromText="180" w:vertAnchor="text" w:horzAnchor="margin" w:tblpXSpec="center" w:tblpY="53"/>
        <w:tblW w:w="0" w:type="auto"/>
        <w:tblLook w:val="04A0" w:firstRow="1" w:lastRow="0" w:firstColumn="1" w:lastColumn="0" w:noHBand="0" w:noVBand="1"/>
      </w:tblPr>
      <w:tblGrid>
        <w:gridCol w:w="2856"/>
        <w:gridCol w:w="1254"/>
        <w:gridCol w:w="913"/>
      </w:tblGrid>
      <w:tr w:rsidR="00D83F08" w:rsidRPr="00D83F08" w14:paraId="0FAF42A5" w14:textId="77777777" w:rsidTr="008E2BE3">
        <w:trPr>
          <w:trHeight w:val="339"/>
        </w:trPr>
        <w:tc>
          <w:tcPr>
            <w:tcW w:w="2856" w:type="dxa"/>
            <w:vMerge w:val="restart"/>
            <w:vAlign w:val="center"/>
            <w:hideMark/>
          </w:tcPr>
          <w:p w14:paraId="7221A0B3"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1% NaOH solubility (%) = </w:t>
            </w:r>
          </w:p>
        </w:tc>
        <w:tc>
          <w:tcPr>
            <w:tcW w:w="1254" w:type="dxa"/>
            <w:tcBorders>
              <w:bottom w:val="single" w:sz="4" w:space="0" w:color="auto"/>
            </w:tcBorders>
            <w:vAlign w:val="center"/>
            <w:hideMark/>
          </w:tcPr>
          <w:p w14:paraId="0F1EE06D"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 xml:space="preserve">1 </w:t>
            </w:r>
            <w:r w:rsidRPr="00D83F08">
              <w:rPr>
                <w:rFonts w:ascii="Arial" w:eastAsia="Calibri" w:hAnsi="Arial" w:cs="Arial"/>
                <w:lang w:val="en-IN"/>
              </w:rPr>
              <w:t>– W</w:t>
            </w:r>
            <w:r w:rsidRPr="00D83F08">
              <w:rPr>
                <w:rFonts w:ascii="Arial" w:eastAsia="Calibri" w:hAnsi="Arial" w:cs="Arial"/>
                <w:vertAlign w:val="subscript"/>
                <w:lang w:val="en-IN"/>
              </w:rPr>
              <w:t>2</w:t>
            </w:r>
          </w:p>
        </w:tc>
        <w:tc>
          <w:tcPr>
            <w:tcW w:w="913" w:type="dxa"/>
            <w:vMerge w:val="restart"/>
            <w:tcBorders>
              <w:left w:val="nil"/>
            </w:tcBorders>
            <w:vAlign w:val="center"/>
            <w:hideMark/>
          </w:tcPr>
          <w:p w14:paraId="2E947091"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 100</w:t>
            </w:r>
          </w:p>
        </w:tc>
      </w:tr>
      <w:tr w:rsidR="00D83F08" w:rsidRPr="00D83F08" w14:paraId="7FC7524F" w14:textId="77777777" w:rsidTr="008E2BE3">
        <w:trPr>
          <w:trHeight w:val="55"/>
        </w:trPr>
        <w:tc>
          <w:tcPr>
            <w:tcW w:w="2856" w:type="dxa"/>
            <w:vMerge/>
            <w:vAlign w:val="center"/>
            <w:hideMark/>
          </w:tcPr>
          <w:p w14:paraId="519C70DB" w14:textId="77777777" w:rsidR="00D83F08" w:rsidRPr="00D83F08" w:rsidRDefault="00D83F08" w:rsidP="00D83F08">
            <w:pPr>
              <w:contextualSpacing/>
              <w:jc w:val="both"/>
              <w:rPr>
                <w:rFonts w:ascii="Arial" w:eastAsia="Calibri" w:hAnsi="Arial" w:cs="Arial"/>
                <w:lang w:val="en-IN"/>
              </w:rPr>
            </w:pPr>
          </w:p>
        </w:tc>
        <w:tc>
          <w:tcPr>
            <w:tcW w:w="1254" w:type="dxa"/>
            <w:tcBorders>
              <w:top w:val="single" w:sz="4" w:space="0" w:color="auto"/>
            </w:tcBorders>
            <w:vAlign w:val="center"/>
            <w:hideMark/>
          </w:tcPr>
          <w:p w14:paraId="79A2753F"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W</w:t>
            </w:r>
            <w:r w:rsidRPr="00D83F08">
              <w:rPr>
                <w:rFonts w:ascii="Arial" w:eastAsia="Calibri" w:hAnsi="Arial" w:cs="Arial"/>
                <w:vertAlign w:val="subscript"/>
                <w:lang w:val="en-IN"/>
              </w:rPr>
              <w:t>1</w:t>
            </w:r>
          </w:p>
        </w:tc>
        <w:tc>
          <w:tcPr>
            <w:tcW w:w="913" w:type="dxa"/>
            <w:vMerge/>
            <w:tcBorders>
              <w:left w:val="nil"/>
            </w:tcBorders>
            <w:vAlign w:val="center"/>
            <w:hideMark/>
          </w:tcPr>
          <w:p w14:paraId="6878DD1B" w14:textId="77777777" w:rsidR="00D83F08" w:rsidRPr="00D83F08" w:rsidRDefault="00D83F08" w:rsidP="00D83F08">
            <w:pPr>
              <w:contextualSpacing/>
              <w:jc w:val="both"/>
              <w:rPr>
                <w:rFonts w:ascii="Arial" w:eastAsia="Calibri" w:hAnsi="Arial" w:cs="Arial"/>
                <w:lang w:val="en-IN"/>
              </w:rPr>
            </w:pPr>
          </w:p>
        </w:tc>
      </w:tr>
    </w:tbl>
    <w:p w14:paraId="1CADAA6B" w14:textId="77777777" w:rsidR="00D83F08" w:rsidRDefault="00D83F08" w:rsidP="00D83F08">
      <w:pPr>
        <w:spacing w:before="100" w:beforeAutospacing="1" w:after="100" w:afterAutospacing="1"/>
        <w:ind w:right="571"/>
        <w:jc w:val="both"/>
        <w:rPr>
          <w:rFonts w:ascii="Arial" w:hAnsi="Arial" w:cs="Arial"/>
        </w:rPr>
      </w:pPr>
    </w:p>
    <w:p w14:paraId="4D6F9F51" w14:textId="77777777" w:rsidR="00D83F08" w:rsidRPr="00D83F08" w:rsidRDefault="00D83F08" w:rsidP="00D83F08">
      <w:pPr>
        <w:contextualSpacing/>
        <w:jc w:val="both"/>
        <w:rPr>
          <w:rFonts w:ascii="Arial" w:eastAsia="Calibri" w:hAnsi="Arial" w:cs="Arial"/>
          <w:lang w:val="en-IN"/>
        </w:rPr>
      </w:pPr>
      <w:r w:rsidRPr="00D83F08">
        <w:rPr>
          <w:rFonts w:ascii="Arial" w:eastAsia="Calibri" w:hAnsi="Arial" w:cs="Arial"/>
          <w:lang w:val="en-IN"/>
        </w:rPr>
        <w:t>Where,</w:t>
      </w:r>
    </w:p>
    <w:p w14:paraId="4E3FB51A" w14:textId="77777777" w:rsidR="00D83F08" w:rsidRPr="00D83F08" w:rsidRDefault="00D83F08" w:rsidP="00D83F08">
      <w:pPr>
        <w:contextualSpacing/>
        <w:jc w:val="both"/>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1</w:t>
      </w:r>
      <w:r w:rsidRPr="00D83F08">
        <w:rPr>
          <w:rFonts w:ascii="Arial" w:eastAsia="Calibri" w:hAnsi="Arial" w:cs="Arial"/>
          <w:lang w:val="en-IN"/>
        </w:rPr>
        <w:t xml:space="preserve">= </w:t>
      </w:r>
      <w:r w:rsidRPr="00D83F08">
        <w:rPr>
          <w:rFonts w:ascii="Arial" w:eastAsia="Calibri" w:hAnsi="Arial" w:cs="Arial"/>
        </w:rPr>
        <w:t>Oven-dried weight of test specimen before extraction</w:t>
      </w:r>
      <w:r w:rsidRPr="00D83F08">
        <w:rPr>
          <w:rFonts w:ascii="Arial" w:eastAsia="Calibri" w:hAnsi="Arial" w:cs="Arial"/>
          <w:lang w:val="en-IN"/>
        </w:rPr>
        <w:t xml:space="preserve">, (g) </w:t>
      </w:r>
    </w:p>
    <w:p w14:paraId="7D1375A4" w14:textId="77777777" w:rsidR="00D83F08" w:rsidRPr="00D83F08" w:rsidRDefault="00D83F08" w:rsidP="00D83F08">
      <w:pPr>
        <w:contextualSpacing/>
        <w:jc w:val="both"/>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2</w:t>
      </w:r>
      <w:r w:rsidRPr="00D83F08">
        <w:rPr>
          <w:rFonts w:ascii="Arial" w:eastAsia="Calibri" w:hAnsi="Arial" w:cs="Arial"/>
          <w:lang w:val="en-IN"/>
        </w:rPr>
        <w:t xml:space="preserve">= </w:t>
      </w:r>
      <w:r w:rsidRPr="00D83F08">
        <w:rPr>
          <w:rFonts w:ascii="Arial" w:eastAsia="Calibri" w:hAnsi="Arial" w:cs="Arial"/>
        </w:rPr>
        <w:t>Oven-dried weight of test specimen after extraction</w:t>
      </w:r>
      <w:r w:rsidRPr="00D83F08">
        <w:rPr>
          <w:rFonts w:ascii="Arial" w:eastAsia="Calibri" w:hAnsi="Arial" w:cs="Arial"/>
          <w:lang w:val="en-IN"/>
        </w:rPr>
        <w:t>, (g).</w:t>
      </w:r>
    </w:p>
    <w:p w14:paraId="6E95148E" w14:textId="77777777" w:rsidR="006B138E" w:rsidRDefault="006B138E" w:rsidP="006B138E">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2.6 Hot Water </w:t>
      </w:r>
      <w:r w:rsidRPr="00D83F08">
        <w:rPr>
          <w:rFonts w:ascii="Arial" w:hAnsi="Arial" w:cs="Arial"/>
          <w:b/>
          <w:bCs/>
          <w:u w:val="single"/>
        </w:rPr>
        <w:t>Solubility</w:t>
      </w:r>
      <w:r>
        <w:rPr>
          <w:rFonts w:ascii="Arial" w:hAnsi="Arial" w:cs="Arial"/>
          <w:b/>
          <w:bCs/>
          <w:u w:val="single"/>
        </w:rPr>
        <w:t xml:space="preserve"> (%)</w:t>
      </w:r>
    </w:p>
    <w:p w14:paraId="68426EB7" w14:textId="77777777" w:rsidR="006B138E" w:rsidRPr="006B138E" w:rsidRDefault="006B138E" w:rsidP="006B138E">
      <w:pPr>
        <w:contextualSpacing/>
        <w:jc w:val="both"/>
        <w:rPr>
          <w:rFonts w:ascii="Arial" w:eastAsia="Calibri" w:hAnsi="Arial" w:cs="Arial"/>
          <w:lang w:val="en-IN"/>
        </w:rPr>
      </w:pPr>
      <w:r w:rsidRPr="006B138E">
        <w:rPr>
          <w:rFonts w:ascii="Arial" w:eastAsia="Calibri" w:hAnsi="Arial" w:cs="Arial"/>
          <w:lang w:val="en-IN"/>
        </w:rPr>
        <w:lastRenderedPageBreak/>
        <w:t xml:space="preserve">To determine the hot water solubility, 10 ± 0.01grams of finely ground wood powder were </w:t>
      </w:r>
      <w:r w:rsidRPr="00335CF8">
        <w:rPr>
          <w:rFonts w:ascii="Arial" w:eastAsia="Calibri" w:hAnsi="Arial" w:cs="Arial"/>
          <w:lang w:val="en-IN"/>
        </w:rPr>
        <w:t xml:space="preserve">measured and placed into a flask, followed by the addition of 100 ml of hot distilled water, as outlined in </w:t>
      </w:r>
      <w:r w:rsidR="00335CF8" w:rsidRPr="00335CF8">
        <w:rPr>
          <w:rFonts w:ascii="Arial" w:eastAsia="Calibri" w:hAnsi="Arial" w:cs="Arial"/>
          <w:lang w:val="en-IN"/>
        </w:rPr>
        <w:t>TAAPI</w:t>
      </w:r>
      <w:r w:rsidR="005470C3" w:rsidRPr="00335CF8">
        <w:rPr>
          <w:rFonts w:ascii="Arial" w:eastAsia="Calibri" w:hAnsi="Arial" w:cs="Arial"/>
          <w:lang w:val="en-IN"/>
        </w:rPr>
        <w:t xml:space="preserve"> (1999</w:t>
      </w:r>
      <w:r w:rsidRPr="00335CF8">
        <w:rPr>
          <w:rFonts w:ascii="Arial" w:eastAsia="Calibri" w:hAnsi="Arial" w:cs="Arial"/>
          <w:lang w:val="en-IN"/>
        </w:rPr>
        <w:t>)</w:t>
      </w:r>
      <w:r w:rsidR="00335CF8" w:rsidRPr="00335CF8">
        <w:rPr>
          <w:rFonts w:ascii="Arial" w:eastAsia="Calibri" w:hAnsi="Arial" w:cs="Arial"/>
          <w:lang w:val="en-IN"/>
        </w:rPr>
        <w:t xml:space="preserve"> (Anonymous</w:t>
      </w:r>
      <w:r w:rsidR="00335CF8">
        <w:rPr>
          <w:rFonts w:ascii="Arial" w:eastAsia="Calibri" w:hAnsi="Arial" w:cs="Arial"/>
          <w:lang w:val="en-IN"/>
        </w:rPr>
        <w:t>, 1999)</w:t>
      </w:r>
      <w:r w:rsidRPr="006B138E">
        <w:rPr>
          <w:rFonts w:ascii="Arial" w:eastAsia="Calibri" w:hAnsi="Arial" w:cs="Arial"/>
          <w:lang w:val="en-IN"/>
        </w:rPr>
        <w:t>. The flask was then heated in a boiling water bath for three hours. After the extraction, the contents were carefully transferred to a pre-weighed filtering crucible, and the liquid was removed using suction. The residue was then rinsed thoroughly with 200 ml of hot distilled water</w:t>
      </w:r>
      <w:r w:rsidR="002C7657">
        <w:rPr>
          <w:rFonts w:ascii="Arial" w:eastAsia="Calibri" w:hAnsi="Arial" w:cs="Arial"/>
          <w:lang w:val="en-IN"/>
        </w:rPr>
        <w:t xml:space="preserve"> (Fig. 2F)</w:t>
      </w:r>
      <w:r w:rsidRPr="006B138E">
        <w:rPr>
          <w:rFonts w:ascii="Arial" w:eastAsia="Calibri" w:hAnsi="Arial" w:cs="Arial"/>
          <w:lang w:val="en-IN"/>
        </w:rPr>
        <w:t xml:space="preserve">. Finally, the amount of material dissolved in hot water was determined using a standard calculation </w:t>
      </w:r>
      <w:r w:rsidRPr="009B05FE">
        <w:rPr>
          <w:rFonts w:ascii="Arial" w:eastAsia="Calibri" w:hAnsi="Arial" w:cs="Arial"/>
          <w:lang w:val="en-IN"/>
        </w:rPr>
        <w:t>formula (</w:t>
      </w:r>
      <w:r w:rsidRPr="009B05FE">
        <w:rPr>
          <w:rFonts w:ascii="Arial" w:eastAsia="Calibri" w:hAnsi="Arial" w:cs="Arial"/>
        </w:rPr>
        <w:t>Jani &amp; Rushdan, 2014).</w:t>
      </w:r>
    </w:p>
    <w:tbl>
      <w:tblPr>
        <w:tblpPr w:leftFromText="180" w:rightFromText="180" w:vertAnchor="text" w:horzAnchor="margin" w:tblpXSpec="center" w:tblpY="53"/>
        <w:tblW w:w="0" w:type="auto"/>
        <w:tblLook w:val="04A0" w:firstRow="1" w:lastRow="0" w:firstColumn="1" w:lastColumn="0" w:noHBand="0" w:noVBand="1"/>
      </w:tblPr>
      <w:tblGrid>
        <w:gridCol w:w="2856"/>
        <w:gridCol w:w="1254"/>
        <w:gridCol w:w="913"/>
      </w:tblGrid>
      <w:tr w:rsidR="006B138E" w:rsidRPr="006B138E" w14:paraId="4AAC99B8" w14:textId="77777777" w:rsidTr="008E2BE3">
        <w:trPr>
          <w:trHeight w:val="339"/>
        </w:trPr>
        <w:tc>
          <w:tcPr>
            <w:tcW w:w="2856" w:type="dxa"/>
            <w:vMerge w:val="restart"/>
            <w:vAlign w:val="center"/>
            <w:hideMark/>
          </w:tcPr>
          <w:p w14:paraId="579E484F"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 xml:space="preserve">Hot water solubility = </w:t>
            </w:r>
          </w:p>
        </w:tc>
        <w:tc>
          <w:tcPr>
            <w:tcW w:w="1254" w:type="dxa"/>
            <w:tcBorders>
              <w:bottom w:val="single" w:sz="4" w:space="0" w:color="auto"/>
            </w:tcBorders>
            <w:vAlign w:val="center"/>
            <w:hideMark/>
          </w:tcPr>
          <w:p w14:paraId="6E48D2C4"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W</w:t>
            </w:r>
            <w:r w:rsidRPr="006B138E">
              <w:rPr>
                <w:rFonts w:ascii="Arial" w:eastAsia="Calibri" w:hAnsi="Arial" w:cs="Arial"/>
                <w:vertAlign w:val="subscript"/>
                <w:lang w:val="en-IN"/>
              </w:rPr>
              <w:t xml:space="preserve">1 </w:t>
            </w:r>
            <w:r w:rsidRPr="006B138E">
              <w:rPr>
                <w:rFonts w:ascii="Arial" w:eastAsia="Calibri" w:hAnsi="Arial" w:cs="Arial"/>
                <w:lang w:val="en-IN"/>
              </w:rPr>
              <w:t>– W</w:t>
            </w:r>
            <w:r w:rsidRPr="006B138E">
              <w:rPr>
                <w:rFonts w:ascii="Arial" w:eastAsia="Calibri" w:hAnsi="Arial" w:cs="Arial"/>
                <w:vertAlign w:val="subscript"/>
                <w:lang w:val="en-IN"/>
              </w:rPr>
              <w:t>2</w:t>
            </w:r>
          </w:p>
        </w:tc>
        <w:tc>
          <w:tcPr>
            <w:tcW w:w="913" w:type="dxa"/>
            <w:vMerge w:val="restart"/>
            <w:tcBorders>
              <w:left w:val="nil"/>
            </w:tcBorders>
            <w:vAlign w:val="center"/>
            <w:hideMark/>
          </w:tcPr>
          <w:p w14:paraId="7ACAA1C2"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 xml:space="preserve"> × 100</w:t>
            </w:r>
          </w:p>
        </w:tc>
      </w:tr>
      <w:tr w:rsidR="006B138E" w:rsidRPr="006B138E" w14:paraId="1D41A967" w14:textId="77777777" w:rsidTr="008E2BE3">
        <w:trPr>
          <w:trHeight w:val="55"/>
        </w:trPr>
        <w:tc>
          <w:tcPr>
            <w:tcW w:w="2856" w:type="dxa"/>
            <w:vMerge/>
            <w:vAlign w:val="center"/>
            <w:hideMark/>
          </w:tcPr>
          <w:p w14:paraId="5A9206A0" w14:textId="77777777" w:rsidR="006B138E" w:rsidRPr="006B138E" w:rsidRDefault="006B138E" w:rsidP="006B138E">
            <w:pPr>
              <w:contextualSpacing/>
              <w:jc w:val="both"/>
              <w:rPr>
                <w:rFonts w:ascii="Arial" w:eastAsia="Calibri" w:hAnsi="Arial" w:cs="Arial"/>
                <w:lang w:val="en-IN"/>
              </w:rPr>
            </w:pPr>
          </w:p>
        </w:tc>
        <w:tc>
          <w:tcPr>
            <w:tcW w:w="1254" w:type="dxa"/>
            <w:tcBorders>
              <w:top w:val="single" w:sz="4" w:space="0" w:color="auto"/>
            </w:tcBorders>
            <w:vAlign w:val="center"/>
            <w:hideMark/>
          </w:tcPr>
          <w:p w14:paraId="2F151FB6"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 xml:space="preserve">     W</w:t>
            </w:r>
            <w:r w:rsidRPr="006B138E">
              <w:rPr>
                <w:rFonts w:ascii="Arial" w:eastAsia="Calibri" w:hAnsi="Arial" w:cs="Arial"/>
                <w:vertAlign w:val="subscript"/>
                <w:lang w:val="en-IN"/>
              </w:rPr>
              <w:t>1</w:t>
            </w:r>
          </w:p>
        </w:tc>
        <w:tc>
          <w:tcPr>
            <w:tcW w:w="913" w:type="dxa"/>
            <w:vMerge/>
            <w:tcBorders>
              <w:left w:val="nil"/>
            </w:tcBorders>
            <w:vAlign w:val="center"/>
            <w:hideMark/>
          </w:tcPr>
          <w:p w14:paraId="586E5F0F" w14:textId="77777777" w:rsidR="006B138E" w:rsidRPr="006B138E" w:rsidRDefault="006B138E" w:rsidP="006B138E">
            <w:pPr>
              <w:contextualSpacing/>
              <w:jc w:val="both"/>
              <w:rPr>
                <w:rFonts w:ascii="Arial" w:eastAsia="Calibri" w:hAnsi="Arial" w:cs="Arial"/>
                <w:lang w:val="en-IN"/>
              </w:rPr>
            </w:pPr>
          </w:p>
        </w:tc>
      </w:tr>
    </w:tbl>
    <w:p w14:paraId="7B0C9DEB" w14:textId="77777777" w:rsidR="006B138E" w:rsidRDefault="006B138E" w:rsidP="006B138E">
      <w:pPr>
        <w:spacing w:before="100" w:beforeAutospacing="1" w:after="100" w:afterAutospacing="1"/>
        <w:ind w:right="571"/>
        <w:jc w:val="both"/>
        <w:rPr>
          <w:rFonts w:ascii="Arial" w:hAnsi="Arial" w:cs="Arial"/>
          <w:b/>
          <w:bCs/>
          <w:u w:val="single"/>
        </w:rPr>
      </w:pPr>
    </w:p>
    <w:p w14:paraId="2E1347D8" w14:textId="77777777" w:rsidR="00A51EE1" w:rsidRPr="00A51EE1" w:rsidRDefault="00A51EE1" w:rsidP="00A51EE1">
      <w:pPr>
        <w:contextualSpacing/>
        <w:jc w:val="both"/>
        <w:rPr>
          <w:rFonts w:ascii="Arial" w:eastAsia="Calibri" w:hAnsi="Arial" w:cs="Arial"/>
          <w:lang w:val="en-IN"/>
        </w:rPr>
      </w:pPr>
      <w:r w:rsidRPr="00A51EE1">
        <w:rPr>
          <w:rFonts w:ascii="Arial" w:eastAsia="Calibri" w:hAnsi="Arial" w:cs="Arial"/>
          <w:lang w:val="en-IN"/>
        </w:rPr>
        <w:t>Where,</w:t>
      </w:r>
    </w:p>
    <w:p w14:paraId="34B7EC88" w14:textId="77777777" w:rsidR="00A51EE1" w:rsidRPr="00A51EE1" w:rsidRDefault="00A51EE1" w:rsidP="00A51EE1">
      <w:pPr>
        <w:contextualSpacing/>
        <w:jc w:val="both"/>
        <w:rPr>
          <w:rFonts w:ascii="Arial" w:eastAsia="Calibri" w:hAnsi="Arial" w:cs="Arial"/>
          <w:lang w:val="en-IN"/>
        </w:rPr>
      </w:pPr>
      <w:r w:rsidRPr="00A51EE1">
        <w:rPr>
          <w:rFonts w:ascii="Arial" w:eastAsia="Calibri" w:hAnsi="Arial" w:cs="Arial"/>
          <w:lang w:val="en-IN"/>
        </w:rPr>
        <w:t>W</w:t>
      </w:r>
      <w:r w:rsidRPr="00A51EE1">
        <w:rPr>
          <w:rFonts w:ascii="Arial" w:eastAsia="Calibri" w:hAnsi="Arial" w:cs="Arial"/>
          <w:vertAlign w:val="subscript"/>
          <w:lang w:val="en-IN"/>
        </w:rPr>
        <w:t>1</w:t>
      </w:r>
      <w:r w:rsidRPr="00A51EE1">
        <w:rPr>
          <w:rFonts w:ascii="Arial" w:eastAsia="Calibri" w:hAnsi="Arial" w:cs="Arial"/>
          <w:lang w:val="en-IN"/>
        </w:rPr>
        <w:t xml:space="preserve">= </w:t>
      </w:r>
      <w:r w:rsidRPr="00A51EE1">
        <w:rPr>
          <w:rFonts w:ascii="Arial" w:eastAsia="Calibri" w:hAnsi="Arial" w:cs="Arial"/>
        </w:rPr>
        <w:t>Oven-dried weight of test specimen before extraction</w:t>
      </w:r>
      <w:r w:rsidRPr="00A51EE1">
        <w:rPr>
          <w:rFonts w:ascii="Arial" w:eastAsia="Calibri" w:hAnsi="Arial" w:cs="Arial"/>
          <w:lang w:val="en-IN"/>
        </w:rPr>
        <w:t xml:space="preserve">, (g) </w:t>
      </w:r>
    </w:p>
    <w:p w14:paraId="0EF9E6B0" w14:textId="77777777" w:rsidR="00A51EE1" w:rsidRDefault="00A51EE1" w:rsidP="00A51EE1">
      <w:pPr>
        <w:contextualSpacing/>
        <w:jc w:val="both"/>
        <w:rPr>
          <w:rFonts w:ascii="Arial" w:eastAsia="Calibri" w:hAnsi="Arial" w:cs="Arial"/>
          <w:lang w:val="en-IN"/>
        </w:rPr>
      </w:pPr>
      <w:r w:rsidRPr="00A51EE1">
        <w:rPr>
          <w:rFonts w:ascii="Arial" w:eastAsia="Calibri" w:hAnsi="Arial" w:cs="Arial"/>
          <w:lang w:val="en-IN"/>
        </w:rPr>
        <w:t>W</w:t>
      </w:r>
      <w:r w:rsidRPr="00A51EE1">
        <w:rPr>
          <w:rFonts w:ascii="Arial" w:eastAsia="Calibri" w:hAnsi="Arial" w:cs="Arial"/>
          <w:vertAlign w:val="subscript"/>
          <w:lang w:val="en-IN"/>
        </w:rPr>
        <w:t>2</w:t>
      </w:r>
      <w:r w:rsidRPr="00A51EE1">
        <w:rPr>
          <w:rFonts w:ascii="Arial" w:eastAsia="Calibri" w:hAnsi="Arial" w:cs="Arial"/>
          <w:lang w:val="en-IN"/>
        </w:rPr>
        <w:t xml:space="preserve">= </w:t>
      </w:r>
      <w:r w:rsidRPr="00A51EE1">
        <w:rPr>
          <w:rFonts w:ascii="Arial" w:eastAsia="Calibri" w:hAnsi="Arial" w:cs="Arial"/>
        </w:rPr>
        <w:t>Oven-dried weight of test specimen after extraction</w:t>
      </w:r>
      <w:r w:rsidRPr="00A51EE1">
        <w:rPr>
          <w:rFonts w:ascii="Arial" w:eastAsia="Calibri" w:hAnsi="Arial" w:cs="Arial"/>
          <w:lang w:val="en-IN"/>
        </w:rPr>
        <w:t>, (g).</w:t>
      </w:r>
    </w:p>
    <w:p w14:paraId="2413BA24" w14:textId="77777777" w:rsidR="002B4E33" w:rsidRDefault="002B4E33" w:rsidP="00A51EE1">
      <w:pPr>
        <w:contextualSpacing/>
        <w:jc w:val="both"/>
        <w:rPr>
          <w:rFonts w:ascii="Arial" w:eastAsia="Calibri" w:hAnsi="Arial" w:cs="Arial"/>
          <w:lang w:val="en-IN"/>
        </w:rPr>
      </w:pPr>
    </w:p>
    <w:p w14:paraId="23D8C681" w14:textId="77777777" w:rsidR="004A4D5E" w:rsidRDefault="002B4E33" w:rsidP="00A51EE1">
      <w:pPr>
        <w:contextualSpacing/>
        <w:jc w:val="both"/>
        <w:rPr>
          <w:rFonts w:ascii="Arial" w:eastAsia="Calibri" w:hAnsi="Arial" w:cs="Arial"/>
          <w:noProof/>
        </w:rPr>
      </w:pPr>
      <w:r>
        <w:rPr>
          <w:rFonts w:ascii="Arial" w:eastAsia="Calibri" w:hAnsi="Arial" w:cs="Arial"/>
          <w:noProof/>
        </w:rPr>
        <w:t xml:space="preserve">                           </w:t>
      </w:r>
      <w:r w:rsidR="004A4D5E">
        <w:rPr>
          <w:rFonts w:ascii="Arial" w:eastAsia="Calibri" w:hAnsi="Arial" w:cs="Arial"/>
          <w:noProof/>
        </w:rPr>
        <w:drawing>
          <wp:inline distT="0" distB="0" distL="0" distR="0" wp14:anchorId="7CDAEA55" wp14:editId="755CC9F1">
            <wp:extent cx="3324225" cy="3324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3325440" cy="3325440"/>
                    </a:xfrm>
                    <a:prstGeom prst="rect">
                      <a:avLst/>
                    </a:prstGeom>
                    <a:noFill/>
                    <a:ln w="9525">
                      <a:noFill/>
                      <a:miter lim="800000"/>
                      <a:headEnd/>
                      <a:tailEnd/>
                    </a:ln>
                  </pic:spPr>
                </pic:pic>
              </a:graphicData>
            </a:graphic>
          </wp:inline>
        </w:drawing>
      </w:r>
    </w:p>
    <w:p w14:paraId="4E440B05" w14:textId="77777777" w:rsidR="002B4E33" w:rsidRPr="00BB760E" w:rsidRDefault="002B4E33" w:rsidP="00A51EE1">
      <w:pPr>
        <w:contextualSpacing/>
        <w:jc w:val="both"/>
        <w:rPr>
          <w:rFonts w:ascii="Arial" w:eastAsia="Calibri" w:hAnsi="Arial" w:cs="Arial"/>
          <w:b/>
          <w:lang w:val="en-IN"/>
        </w:rPr>
      </w:pPr>
      <w:r w:rsidRPr="00BB760E">
        <w:rPr>
          <w:rFonts w:ascii="Arial" w:eastAsia="Calibri" w:hAnsi="Arial" w:cs="Arial"/>
          <w:b/>
          <w:noProof/>
        </w:rPr>
        <w:t>Fig. 2</w:t>
      </w:r>
      <w:r w:rsidR="00BB760E" w:rsidRPr="00BB760E">
        <w:rPr>
          <w:rFonts w:ascii="Arial" w:eastAsia="Calibri" w:hAnsi="Arial" w:cs="Arial"/>
          <w:b/>
          <w:noProof/>
        </w:rPr>
        <w:t>.</w:t>
      </w:r>
      <w:r w:rsidRPr="00BB760E">
        <w:rPr>
          <w:rFonts w:ascii="Arial" w:eastAsia="Calibri" w:hAnsi="Arial" w:cs="Arial"/>
          <w:b/>
          <w:noProof/>
        </w:rPr>
        <w:t xml:space="preserve"> Chemical analysis of mulberry wood samples: A) Ash content (%), B) AB Extractive (%), C) Acid insolube lignin (%), D) Hollocellulose (%), E) 1% NaOH solubility (%), F) Hot water solubility (%)</w:t>
      </w:r>
    </w:p>
    <w:p w14:paraId="23679596" w14:textId="77777777" w:rsidR="00A51EE1" w:rsidRDefault="00A51EE1" w:rsidP="00A51EE1">
      <w:pPr>
        <w:spacing w:before="100" w:beforeAutospacing="1" w:after="100" w:afterAutospacing="1"/>
        <w:ind w:right="571"/>
        <w:jc w:val="both"/>
        <w:rPr>
          <w:rFonts w:ascii="Arial" w:hAnsi="Arial" w:cs="Arial"/>
          <w:b/>
          <w:sz w:val="22"/>
          <w:szCs w:val="22"/>
        </w:rPr>
      </w:pPr>
      <w:r>
        <w:rPr>
          <w:rFonts w:ascii="Arial" w:hAnsi="Arial" w:cs="Arial"/>
          <w:b/>
          <w:sz w:val="22"/>
          <w:szCs w:val="22"/>
        </w:rPr>
        <w:t>2.3</w:t>
      </w:r>
      <w:r w:rsidRPr="00A51EE1">
        <w:rPr>
          <w:rFonts w:ascii="Arial" w:hAnsi="Arial" w:cs="Arial"/>
          <w:b/>
          <w:sz w:val="22"/>
          <w:szCs w:val="22"/>
        </w:rPr>
        <w:t xml:space="preserve"> Experimental design and Statistical Analysis</w:t>
      </w:r>
    </w:p>
    <w:p w14:paraId="57E25C01" w14:textId="77777777" w:rsidR="00D83F08" w:rsidRPr="00A51EE1" w:rsidRDefault="00A51EE1" w:rsidP="00A51EE1">
      <w:pPr>
        <w:contextualSpacing/>
        <w:jc w:val="both"/>
        <w:rPr>
          <w:rFonts w:ascii="Arial" w:eastAsia="Calibri" w:hAnsi="Arial" w:cs="Arial"/>
          <w:lang w:val="en-IN"/>
        </w:rPr>
      </w:pPr>
      <w:r w:rsidRPr="00A51EE1">
        <w:rPr>
          <w:rFonts w:ascii="Arial" w:eastAsia="Calibri" w:hAnsi="Arial" w:cs="Arial"/>
        </w:rPr>
        <w:t>The experimental data were analyzed using a Completely Randomized Design (CRD). Statistical analysis was performed with SPSS version 23. To determine the significance of differences among treatment means, analysis of variance (ANOVA) was carried out at a 5% probability level (</w:t>
      </w:r>
      <w:r w:rsidRPr="00A51EE1">
        <w:rPr>
          <w:rFonts w:ascii="Arial" w:eastAsia="Calibri" w:hAnsi="Arial" w:cs="Arial"/>
          <w:i/>
        </w:rPr>
        <w:t>P</w:t>
      </w:r>
      <w:r w:rsidRPr="00A51EE1">
        <w:rPr>
          <w:rFonts w:ascii="Arial" w:eastAsia="Calibri" w:hAnsi="Arial" w:cs="Arial"/>
        </w:rPr>
        <w:t>&lt; 0.05), followed by Duncan’s Multiple Range Test (DMRT) to categorize and compare the means.</w:t>
      </w:r>
    </w:p>
    <w:p w14:paraId="21F07B44" w14:textId="77777777" w:rsidR="00975DE4" w:rsidRPr="00FB3A86" w:rsidRDefault="00975DE4" w:rsidP="00A51EE1">
      <w:pPr>
        <w:pStyle w:val="Body"/>
        <w:spacing w:after="0"/>
        <w:ind w:firstLine="720"/>
        <w:rPr>
          <w:rFonts w:ascii="Arial" w:hAnsi="Arial" w:cs="Arial"/>
        </w:rPr>
      </w:pPr>
    </w:p>
    <w:p w14:paraId="21B59E92" w14:textId="77777777" w:rsidR="00A51EE1" w:rsidRDefault="00A51EE1" w:rsidP="00441B6F">
      <w:pPr>
        <w:pStyle w:val="Head1"/>
        <w:spacing w:after="0"/>
        <w:jc w:val="both"/>
        <w:rPr>
          <w:rFonts w:ascii="Arial" w:hAnsi="Arial" w:cs="Arial"/>
        </w:rPr>
      </w:pPr>
    </w:p>
    <w:p w14:paraId="4F9109BA" w14:textId="77777777" w:rsidR="00902823" w:rsidRDefault="00000F8F" w:rsidP="00EE2CED">
      <w:pPr>
        <w:pStyle w:val="Head1"/>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A2EF160" w14:textId="77777777" w:rsidR="00790ADA" w:rsidRPr="00FB3A86" w:rsidRDefault="00EE2CED" w:rsidP="00EE2CED">
      <w:pPr>
        <w:pStyle w:val="Head1"/>
        <w:jc w:val="both"/>
        <w:rPr>
          <w:rFonts w:ascii="Arial" w:hAnsi="Arial" w:cs="Arial"/>
        </w:rPr>
      </w:pPr>
      <w:r>
        <w:rPr>
          <w:rFonts w:ascii="Arial" w:hAnsi="Arial" w:cs="Arial"/>
        </w:rPr>
        <w:t xml:space="preserve">3.1 </w:t>
      </w:r>
      <w:r w:rsidRPr="00EE2CED">
        <w:rPr>
          <w:rFonts w:ascii="Arial" w:hAnsi="Arial" w:cs="Arial"/>
        </w:rPr>
        <w:t>A</w:t>
      </w:r>
      <w:r w:rsidR="00EA3378" w:rsidRPr="00EE2CED">
        <w:rPr>
          <w:rFonts w:ascii="Arial" w:hAnsi="Arial" w:cs="Arial"/>
          <w:caps w:val="0"/>
        </w:rPr>
        <w:t xml:space="preserve">sh content </w:t>
      </w:r>
      <w:r w:rsidRPr="00EE2CED">
        <w:rPr>
          <w:rFonts w:ascii="Arial" w:hAnsi="Arial" w:cs="Arial"/>
        </w:rPr>
        <w:t>(%)</w:t>
      </w:r>
    </w:p>
    <w:p w14:paraId="45EEAA52" w14:textId="77777777" w:rsidR="00EE2CED" w:rsidRDefault="00EE2CED" w:rsidP="00EE2CED">
      <w:pPr>
        <w:spacing w:after="160"/>
        <w:jc w:val="both"/>
        <w:rPr>
          <w:rFonts w:ascii="Arial" w:eastAsia="Calibri" w:hAnsi="Arial" w:cs="Arial"/>
        </w:rPr>
      </w:pPr>
      <w:r w:rsidRPr="00EE2CED">
        <w:rPr>
          <w:rFonts w:ascii="Arial" w:eastAsia="Calibri" w:hAnsi="Arial" w:cs="Arial"/>
        </w:rPr>
        <w:t>In evaluating the suitability of mulberry as a raw material for paper production, ash content is a critical factor due to its indication of inorganic compounds present in the material. Typically, hardwoods exhibit an ash content ranging from 1% to 2.5%, while softwoods have lower ash levels of 0.5</w:t>
      </w:r>
      <w:r w:rsidRPr="009B05FE">
        <w:rPr>
          <w:rFonts w:ascii="Arial" w:eastAsia="Calibri" w:hAnsi="Arial" w:cs="Arial"/>
        </w:rPr>
        <w:t xml:space="preserve">% to 1% (Sharma </w:t>
      </w:r>
      <w:r w:rsidRPr="009B05FE">
        <w:rPr>
          <w:rFonts w:ascii="Arial" w:eastAsia="Calibri" w:hAnsi="Arial" w:cs="Arial"/>
          <w:i/>
        </w:rPr>
        <w:t>et al.,</w:t>
      </w:r>
      <w:r w:rsidRPr="009B05FE">
        <w:rPr>
          <w:rFonts w:ascii="Arial" w:eastAsia="Calibri" w:hAnsi="Arial" w:cs="Arial"/>
        </w:rPr>
        <w:t xml:space="preserve"> 2020). Rahman and Jahan (2014) reported</w:t>
      </w:r>
      <w:r w:rsidRPr="00EE2CED">
        <w:rPr>
          <w:rFonts w:ascii="Arial" w:eastAsia="Calibri" w:hAnsi="Arial" w:cs="Arial"/>
        </w:rPr>
        <w:t xml:space="preserve"> an ash content of approximately 2% for mulberry plants, aligning with the findings of the current study, where ash content ranged from 0.69% (MI-0674) to 2.46% (MI-0632) (Table. 2). Among the 17 mulberry clones examined, four clones had ash content below 1%, twelve clones fell within the 1% to 2% range, and one clone exceeded 2%. High ash content is generally problematic for pulping processes as it impacts alkali consumption, complicates the recovery of cooking liquor and introduces challenges in material handling, pulp washing and </w:t>
      </w:r>
      <w:r w:rsidRPr="00A8744D">
        <w:rPr>
          <w:rFonts w:ascii="Arial" w:eastAsia="Calibri" w:hAnsi="Arial" w:cs="Arial"/>
        </w:rPr>
        <w:t xml:space="preserve">beating (Sharma </w:t>
      </w:r>
      <w:r w:rsidRPr="00A8744D">
        <w:rPr>
          <w:rFonts w:ascii="Arial" w:eastAsia="Calibri" w:hAnsi="Arial" w:cs="Arial"/>
          <w:i/>
        </w:rPr>
        <w:t>et al.,</w:t>
      </w:r>
      <w:r w:rsidRPr="00A8744D">
        <w:rPr>
          <w:rFonts w:ascii="Arial" w:eastAsia="Calibri" w:hAnsi="Arial" w:cs="Arial"/>
        </w:rPr>
        <w:t xml:space="preserve"> 2011). The</w:t>
      </w:r>
      <w:r w:rsidRPr="00EE2CED">
        <w:rPr>
          <w:rFonts w:ascii="Arial" w:eastAsia="Calibri" w:hAnsi="Arial" w:cs="Arial"/>
        </w:rPr>
        <w:t xml:space="preserve"> majority of clones in this study exhibited ash content within acceptable levels. However, while evaluating </w:t>
      </w:r>
      <w:r w:rsidRPr="00A8744D">
        <w:rPr>
          <w:rFonts w:ascii="Arial" w:eastAsia="Calibri" w:hAnsi="Arial" w:cs="Arial"/>
        </w:rPr>
        <w:t xml:space="preserve">the pulp and paper making properties of </w:t>
      </w:r>
      <w:r w:rsidRPr="00A8744D">
        <w:rPr>
          <w:rFonts w:ascii="Arial" w:eastAsia="Calibri" w:hAnsi="Arial" w:cs="Arial"/>
          <w:i/>
        </w:rPr>
        <w:t>Melia azedarach</w:t>
      </w:r>
      <w:r w:rsidRPr="00A8744D">
        <w:rPr>
          <w:rFonts w:ascii="Arial" w:eastAsia="Calibri" w:hAnsi="Arial" w:cs="Arial"/>
        </w:rPr>
        <w:t xml:space="preserve"> the ash content was recorded 3.67% (Megra </w:t>
      </w:r>
      <w:r w:rsidRPr="00A8744D">
        <w:rPr>
          <w:rFonts w:ascii="Arial" w:eastAsia="Calibri" w:hAnsi="Arial" w:cs="Arial"/>
          <w:i/>
        </w:rPr>
        <w:t>et al.,</w:t>
      </w:r>
      <w:r w:rsidRPr="00A8744D">
        <w:rPr>
          <w:rFonts w:ascii="Arial" w:eastAsia="Calibri" w:hAnsi="Arial" w:cs="Arial"/>
        </w:rPr>
        <w:t xml:space="preserve"> 2022). Which was comparatively higher than the current findings indicating that mulberry could be a promising</w:t>
      </w:r>
      <w:r w:rsidRPr="00EE2CED">
        <w:rPr>
          <w:rFonts w:ascii="Arial" w:eastAsia="Calibri" w:hAnsi="Arial" w:cs="Arial"/>
        </w:rPr>
        <w:t xml:space="preserve"> and viable raw material for paper production.</w:t>
      </w:r>
    </w:p>
    <w:p w14:paraId="7008D956" w14:textId="77777777" w:rsidR="00EE2CED" w:rsidRDefault="00EE2CED" w:rsidP="00EE2CED">
      <w:pPr>
        <w:pStyle w:val="Head1"/>
        <w:jc w:val="both"/>
        <w:rPr>
          <w:rFonts w:ascii="Arial" w:hAnsi="Arial" w:cs="Arial"/>
        </w:rPr>
      </w:pPr>
      <w:r>
        <w:rPr>
          <w:rFonts w:ascii="Arial" w:hAnsi="Arial" w:cs="Arial"/>
        </w:rPr>
        <w:t xml:space="preserve">3.2 </w:t>
      </w:r>
      <w:r w:rsidRPr="00EE2CED">
        <w:rPr>
          <w:rFonts w:ascii="Arial" w:hAnsi="Arial" w:cs="Arial"/>
        </w:rPr>
        <w:t>A-B (A</w:t>
      </w:r>
      <w:r w:rsidR="00EA3378" w:rsidRPr="00EE2CED">
        <w:rPr>
          <w:rFonts w:ascii="Arial" w:hAnsi="Arial" w:cs="Arial"/>
          <w:caps w:val="0"/>
        </w:rPr>
        <w:t>lcohol</w:t>
      </w:r>
      <w:r w:rsidRPr="00EE2CED">
        <w:rPr>
          <w:rFonts w:ascii="Arial" w:hAnsi="Arial" w:cs="Arial"/>
        </w:rPr>
        <w:t>- B</w:t>
      </w:r>
      <w:r w:rsidR="00EA3378" w:rsidRPr="00EE2CED">
        <w:rPr>
          <w:rFonts w:ascii="Arial" w:hAnsi="Arial" w:cs="Arial"/>
          <w:caps w:val="0"/>
        </w:rPr>
        <w:t>enzene</w:t>
      </w:r>
      <w:r w:rsidRPr="00EE2CED">
        <w:rPr>
          <w:rFonts w:ascii="Arial" w:hAnsi="Arial" w:cs="Arial"/>
        </w:rPr>
        <w:t xml:space="preserve">) </w:t>
      </w:r>
      <w:r w:rsidR="00EA3378">
        <w:rPr>
          <w:rFonts w:ascii="Arial" w:hAnsi="Arial" w:cs="Arial"/>
          <w:caps w:val="0"/>
        </w:rPr>
        <w:t>e</w:t>
      </w:r>
      <w:r w:rsidR="00EA3378" w:rsidRPr="00EE2CED">
        <w:rPr>
          <w:rFonts w:ascii="Arial" w:hAnsi="Arial" w:cs="Arial"/>
          <w:caps w:val="0"/>
        </w:rPr>
        <w:t xml:space="preserve">xtractive </w:t>
      </w:r>
      <w:r w:rsidRPr="00EE2CED">
        <w:rPr>
          <w:rFonts w:ascii="Arial" w:hAnsi="Arial" w:cs="Arial"/>
        </w:rPr>
        <w:t>(%)</w:t>
      </w:r>
    </w:p>
    <w:p w14:paraId="1E86B85F" w14:textId="77777777" w:rsidR="00EE2CED" w:rsidRPr="00EE2CED" w:rsidRDefault="00EE2CED" w:rsidP="00EE2CED">
      <w:pPr>
        <w:spacing w:after="160"/>
        <w:jc w:val="both"/>
        <w:rPr>
          <w:rFonts w:ascii="Arial" w:eastAsia="Calibri" w:hAnsi="Arial" w:cs="Arial"/>
        </w:rPr>
      </w:pPr>
      <w:r w:rsidRPr="00EE2CED">
        <w:rPr>
          <w:rFonts w:ascii="Arial" w:eastAsia="Calibri" w:hAnsi="Arial" w:cs="Arial"/>
        </w:rPr>
        <w:t xml:space="preserve">The low molecular weight, non-structural compounds found in wood are called extractives. The majority of them are easily soluble in cold water or neutral organic solvents. They consist of lipids, waxes, alkaloids, proteins, gum, resins, starches, glycosides and essential </w:t>
      </w:r>
      <w:r w:rsidRPr="00013EFB">
        <w:rPr>
          <w:rFonts w:ascii="Arial" w:eastAsia="Calibri" w:hAnsi="Arial" w:cs="Arial"/>
        </w:rPr>
        <w:t xml:space="preserve">oils. Chavan </w:t>
      </w:r>
      <w:r w:rsidRPr="00013EFB">
        <w:rPr>
          <w:rFonts w:ascii="Arial" w:eastAsia="Calibri" w:hAnsi="Arial" w:cs="Arial"/>
          <w:i/>
        </w:rPr>
        <w:t>et al.,</w:t>
      </w:r>
      <w:r w:rsidRPr="00013EFB">
        <w:rPr>
          <w:rFonts w:ascii="Arial" w:eastAsia="Calibri" w:hAnsi="Arial" w:cs="Arial"/>
        </w:rPr>
        <w:t xml:space="preserve"> (2015) noted</w:t>
      </w:r>
      <w:r w:rsidRPr="00EE2CED">
        <w:rPr>
          <w:rFonts w:ascii="Arial" w:eastAsia="Calibri" w:hAnsi="Arial" w:cs="Arial"/>
        </w:rPr>
        <w:t xml:space="preserve"> that all soluble materials classified as extractives are undesirable in pulp and paper production. The pulp yield, paper quality and drainage properties of the paper machine are impacted by the high extractive </w:t>
      </w:r>
      <w:r w:rsidRPr="00013EFB">
        <w:rPr>
          <w:rFonts w:ascii="Arial" w:eastAsia="Calibri" w:hAnsi="Arial" w:cs="Arial"/>
        </w:rPr>
        <w:t>content (Mangasha, 2019). Such substances extracted from alcohol-benzene can precipitate during pulping,</w:t>
      </w:r>
      <w:r w:rsidRPr="00EE2CED">
        <w:rPr>
          <w:rFonts w:ascii="Arial" w:eastAsia="Calibri" w:hAnsi="Arial" w:cs="Arial"/>
        </w:rPr>
        <w:t xml:space="preserve"> causing stains on the resulting paper sheets. The acetone extracts of the mulberry plant are approximately 2.5%, which is lower than those found in agricultural residues as reported by </w:t>
      </w:r>
      <w:r w:rsidRPr="0099317B">
        <w:rPr>
          <w:rFonts w:ascii="Arial" w:eastAsia="Calibri" w:hAnsi="Arial" w:cs="Arial"/>
        </w:rPr>
        <w:t xml:space="preserve">Jahan </w:t>
      </w:r>
      <w:r w:rsidRPr="0099317B">
        <w:rPr>
          <w:rFonts w:ascii="Arial" w:eastAsia="Calibri" w:hAnsi="Arial" w:cs="Arial"/>
          <w:i/>
        </w:rPr>
        <w:t>et al.,</w:t>
      </w:r>
      <w:r w:rsidRPr="0099317B">
        <w:rPr>
          <w:rFonts w:ascii="Arial" w:eastAsia="Calibri" w:hAnsi="Arial" w:cs="Arial"/>
        </w:rPr>
        <w:t xml:space="preserve"> (2004). In the</w:t>
      </w:r>
      <w:r w:rsidRPr="00EE2CED">
        <w:rPr>
          <w:rFonts w:ascii="Arial" w:eastAsia="Calibri" w:hAnsi="Arial" w:cs="Arial"/>
        </w:rPr>
        <w:t xml:space="preserve"> current study, the alcohol-benzene extractives ranged from 2.05% (MI-0300) to 3.79% (MI-0845) (Table. 2), aligning with the values reported </w:t>
      </w:r>
      <w:r w:rsidRPr="0099317B">
        <w:rPr>
          <w:rFonts w:ascii="Arial" w:eastAsia="Calibri" w:hAnsi="Arial" w:cs="Arial"/>
        </w:rPr>
        <w:t>by Walia (2013</w:t>
      </w:r>
      <w:r w:rsidR="002C7657" w:rsidRPr="0099317B">
        <w:rPr>
          <w:rFonts w:ascii="Arial" w:eastAsia="Calibri" w:hAnsi="Arial" w:cs="Arial"/>
        </w:rPr>
        <w:t>) and</w:t>
      </w:r>
      <w:r w:rsidRPr="0099317B">
        <w:rPr>
          <w:rFonts w:ascii="Arial" w:eastAsia="Calibri" w:hAnsi="Arial" w:cs="Arial"/>
        </w:rPr>
        <w:t xml:space="preserve"> </w:t>
      </w:r>
      <w:r w:rsidR="0099317B" w:rsidRPr="0099317B">
        <w:rPr>
          <w:rFonts w:ascii="Arial" w:eastAsia="Calibri" w:hAnsi="Arial" w:cs="Arial"/>
        </w:rPr>
        <w:t xml:space="preserve">Dutt </w:t>
      </w:r>
      <w:r w:rsidR="00AA79C7" w:rsidRPr="00AA79C7">
        <w:rPr>
          <w:rFonts w:ascii="Arial" w:eastAsia="Calibri" w:hAnsi="Arial" w:cs="Arial"/>
        </w:rPr>
        <w:t xml:space="preserve">and </w:t>
      </w:r>
      <w:r w:rsidR="002C7657" w:rsidRPr="00AA79C7">
        <w:rPr>
          <w:rFonts w:ascii="Arial" w:eastAsia="Calibri" w:hAnsi="Arial" w:cs="Arial"/>
        </w:rPr>
        <w:t>Tyagi</w:t>
      </w:r>
      <w:r w:rsidR="002C7657" w:rsidRPr="0099317B">
        <w:rPr>
          <w:rFonts w:ascii="Arial" w:eastAsia="Calibri" w:hAnsi="Arial" w:cs="Arial"/>
        </w:rPr>
        <w:t xml:space="preserve"> (</w:t>
      </w:r>
      <w:r w:rsidRPr="0099317B">
        <w:rPr>
          <w:rFonts w:ascii="Arial" w:eastAsia="Calibri" w:hAnsi="Arial" w:cs="Arial"/>
        </w:rPr>
        <w:t>2011) for m</w:t>
      </w:r>
      <w:r w:rsidRPr="00EE2CED">
        <w:rPr>
          <w:rFonts w:ascii="Arial" w:eastAsia="Calibri" w:hAnsi="Arial" w:cs="Arial"/>
        </w:rPr>
        <w:t xml:space="preserve">ulberry (2.60%) and Eucalyptus species (2.50% - 8.43%) </w:t>
      </w:r>
      <w:r w:rsidRPr="009F7358">
        <w:rPr>
          <w:rFonts w:ascii="Arial" w:eastAsia="Calibri" w:hAnsi="Arial" w:cs="Arial"/>
        </w:rPr>
        <w:t>respectively. Vennila and Parthiban (2021) reported</w:t>
      </w:r>
      <w:r w:rsidRPr="00EE2CED">
        <w:rPr>
          <w:rFonts w:ascii="Arial" w:eastAsia="Calibri" w:hAnsi="Arial" w:cs="Arial"/>
        </w:rPr>
        <w:t xml:space="preserve"> the similar range of extractive content when analysed 13 tree species for pulp and paper production which also provide a strong support for the results of the current study.</w:t>
      </w:r>
    </w:p>
    <w:p w14:paraId="315BDF5E" w14:textId="26C321D8" w:rsidR="00EE2CED" w:rsidRPr="00EE2CED" w:rsidRDefault="00D06C49" w:rsidP="00EE2CED">
      <w:pPr>
        <w:spacing w:after="160"/>
        <w:jc w:val="both"/>
        <w:rPr>
          <w:rFonts w:ascii="Arial" w:eastAsia="Calibri" w:hAnsi="Arial" w:cs="Arial"/>
          <w:b/>
          <w:lang w:val="en-IN"/>
        </w:rPr>
      </w:pPr>
      <w:r>
        <w:rPr>
          <w:rFonts w:ascii="Arial" w:eastAsia="Calibri" w:hAnsi="Arial" w:cs="Arial"/>
          <w:b/>
        </w:rPr>
        <w:t>Table 2</w:t>
      </w:r>
      <w:r w:rsidRPr="00D06C49">
        <w:rPr>
          <w:rFonts w:ascii="Arial" w:eastAsia="Calibri" w:hAnsi="Arial" w:cs="Arial"/>
          <w:b/>
          <w:highlight w:val="yellow"/>
        </w:rPr>
        <w:t>. Chemical characteristics</w:t>
      </w:r>
      <w:r w:rsidR="00EE2CED" w:rsidRPr="00EE2CED">
        <w:rPr>
          <w:rFonts w:ascii="Arial" w:eastAsia="Calibri" w:hAnsi="Arial" w:cs="Arial"/>
          <w:b/>
        </w:rPr>
        <w:t xml:space="preserve"> of mulberry clonal genetic resources</w:t>
      </w:r>
    </w:p>
    <w:tbl>
      <w:tblPr>
        <w:tblStyle w:val="TableGrid1"/>
        <w:tblW w:w="102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473"/>
        <w:gridCol w:w="1561"/>
        <w:gridCol w:w="1521"/>
        <w:gridCol w:w="1652"/>
        <w:gridCol w:w="1530"/>
        <w:gridCol w:w="1410"/>
      </w:tblGrid>
      <w:tr w:rsidR="00EE2CED" w:rsidRPr="00EE2CED" w14:paraId="44AE1376" w14:textId="77777777" w:rsidTr="005F2DCC">
        <w:trPr>
          <w:trHeight w:val="435"/>
          <w:jc w:val="center"/>
        </w:trPr>
        <w:tc>
          <w:tcPr>
            <w:tcW w:w="1125" w:type="dxa"/>
            <w:tcBorders>
              <w:top w:val="single" w:sz="4" w:space="0" w:color="auto"/>
              <w:bottom w:val="single" w:sz="4" w:space="0" w:color="auto"/>
            </w:tcBorders>
            <w:noWrap/>
            <w:hideMark/>
          </w:tcPr>
          <w:p w14:paraId="2C94DE3C"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Clones</w:t>
            </w:r>
          </w:p>
        </w:tc>
        <w:tc>
          <w:tcPr>
            <w:tcW w:w="1473" w:type="dxa"/>
            <w:tcBorders>
              <w:top w:val="single" w:sz="4" w:space="0" w:color="auto"/>
              <w:bottom w:val="single" w:sz="4" w:space="0" w:color="auto"/>
            </w:tcBorders>
            <w:noWrap/>
            <w:hideMark/>
          </w:tcPr>
          <w:p w14:paraId="661E6967"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Ash content (%)</w:t>
            </w:r>
          </w:p>
        </w:tc>
        <w:tc>
          <w:tcPr>
            <w:tcW w:w="1561" w:type="dxa"/>
            <w:tcBorders>
              <w:top w:val="single" w:sz="4" w:space="0" w:color="auto"/>
              <w:bottom w:val="single" w:sz="4" w:space="0" w:color="auto"/>
            </w:tcBorders>
            <w:noWrap/>
            <w:hideMark/>
          </w:tcPr>
          <w:p w14:paraId="37BE8ACE"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AB extractive (%)</w:t>
            </w:r>
          </w:p>
        </w:tc>
        <w:tc>
          <w:tcPr>
            <w:tcW w:w="1521" w:type="dxa"/>
            <w:tcBorders>
              <w:top w:val="single" w:sz="4" w:space="0" w:color="auto"/>
              <w:bottom w:val="single" w:sz="4" w:space="0" w:color="auto"/>
            </w:tcBorders>
            <w:noWrap/>
            <w:hideMark/>
          </w:tcPr>
          <w:p w14:paraId="23DFDA61"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Acid insoluble lignin (%)</w:t>
            </w:r>
          </w:p>
        </w:tc>
        <w:tc>
          <w:tcPr>
            <w:tcW w:w="1652" w:type="dxa"/>
            <w:tcBorders>
              <w:top w:val="single" w:sz="4" w:space="0" w:color="auto"/>
              <w:bottom w:val="single" w:sz="4" w:space="0" w:color="auto"/>
            </w:tcBorders>
            <w:noWrap/>
            <w:hideMark/>
          </w:tcPr>
          <w:p w14:paraId="5DC97109"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Holocellulose (%)</w:t>
            </w:r>
          </w:p>
        </w:tc>
        <w:tc>
          <w:tcPr>
            <w:tcW w:w="1530" w:type="dxa"/>
            <w:tcBorders>
              <w:top w:val="single" w:sz="4" w:space="0" w:color="auto"/>
              <w:bottom w:val="single" w:sz="4" w:space="0" w:color="auto"/>
            </w:tcBorders>
            <w:noWrap/>
            <w:hideMark/>
          </w:tcPr>
          <w:p w14:paraId="14025025"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1% NaOH solubility (%)</w:t>
            </w:r>
          </w:p>
        </w:tc>
        <w:tc>
          <w:tcPr>
            <w:tcW w:w="1410" w:type="dxa"/>
            <w:tcBorders>
              <w:top w:val="single" w:sz="4" w:space="0" w:color="auto"/>
              <w:bottom w:val="single" w:sz="4" w:space="0" w:color="auto"/>
            </w:tcBorders>
            <w:noWrap/>
            <w:hideMark/>
          </w:tcPr>
          <w:p w14:paraId="37C9682B"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Hot water solubility (%)</w:t>
            </w:r>
          </w:p>
        </w:tc>
      </w:tr>
      <w:tr w:rsidR="00EE2CED" w:rsidRPr="00EE2CED" w14:paraId="6A86455C" w14:textId="77777777" w:rsidTr="005F2DCC">
        <w:trPr>
          <w:trHeight w:val="332"/>
          <w:jc w:val="center"/>
        </w:trPr>
        <w:tc>
          <w:tcPr>
            <w:tcW w:w="1125" w:type="dxa"/>
            <w:tcBorders>
              <w:top w:val="single" w:sz="4" w:space="0" w:color="auto"/>
            </w:tcBorders>
            <w:noWrap/>
            <w:hideMark/>
          </w:tcPr>
          <w:p w14:paraId="652D678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MI- 0674</w:t>
            </w:r>
          </w:p>
        </w:tc>
        <w:tc>
          <w:tcPr>
            <w:tcW w:w="1473" w:type="dxa"/>
            <w:tcBorders>
              <w:top w:val="single" w:sz="4" w:space="0" w:color="auto"/>
            </w:tcBorders>
            <w:noWrap/>
            <w:hideMark/>
          </w:tcPr>
          <w:p w14:paraId="19E9F28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0.69±0.08</w:t>
            </w:r>
            <w:r w:rsidRPr="00EE2CED">
              <w:rPr>
                <w:rFonts w:ascii="Arial" w:hAnsi="Arial" w:cs="Arial"/>
                <w:sz w:val="20"/>
                <w:szCs w:val="20"/>
                <w:vertAlign w:val="superscript"/>
              </w:rPr>
              <w:t>g</w:t>
            </w:r>
          </w:p>
        </w:tc>
        <w:tc>
          <w:tcPr>
            <w:tcW w:w="1561" w:type="dxa"/>
            <w:tcBorders>
              <w:top w:val="single" w:sz="4" w:space="0" w:color="auto"/>
            </w:tcBorders>
            <w:noWrap/>
            <w:hideMark/>
          </w:tcPr>
          <w:p w14:paraId="3F09CCE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3.37±0.06</w:t>
            </w:r>
            <w:r w:rsidRPr="00EE2CED">
              <w:rPr>
                <w:rFonts w:ascii="Arial" w:hAnsi="Arial" w:cs="Arial"/>
                <w:sz w:val="20"/>
                <w:szCs w:val="20"/>
                <w:vertAlign w:val="superscript"/>
              </w:rPr>
              <w:t>abc</w:t>
            </w:r>
          </w:p>
        </w:tc>
        <w:tc>
          <w:tcPr>
            <w:tcW w:w="1521" w:type="dxa"/>
            <w:tcBorders>
              <w:top w:val="single" w:sz="4" w:space="0" w:color="auto"/>
            </w:tcBorders>
            <w:noWrap/>
            <w:hideMark/>
          </w:tcPr>
          <w:p w14:paraId="7606AC0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26.71±0.47</w:t>
            </w:r>
            <w:r w:rsidRPr="00EE2CED">
              <w:rPr>
                <w:rFonts w:ascii="Arial" w:hAnsi="Arial" w:cs="Arial"/>
                <w:sz w:val="20"/>
                <w:szCs w:val="20"/>
                <w:vertAlign w:val="superscript"/>
              </w:rPr>
              <w:t>c</w:t>
            </w:r>
          </w:p>
        </w:tc>
        <w:tc>
          <w:tcPr>
            <w:tcW w:w="1652" w:type="dxa"/>
            <w:tcBorders>
              <w:top w:val="single" w:sz="4" w:space="0" w:color="auto"/>
            </w:tcBorders>
            <w:noWrap/>
            <w:hideMark/>
          </w:tcPr>
          <w:p w14:paraId="7902A13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70.01±0.46</w:t>
            </w:r>
            <w:r w:rsidRPr="00EE2CED">
              <w:rPr>
                <w:rFonts w:ascii="Arial" w:hAnsi="Arial" w:cs="Arial"/>
                <w:sz w:val="20"/>
                <w:szCs w:val="20"/>
                <w:vertAlign w:val="superscript"/>
              </w:rPr>
              <w:t>defg</w:t>
            </w:r>
          </w:p>
        </w:tc>
        <w:tc>
          <w:tcPr>
            <w:tcW w:w="1530" w:type="dxa"/>
            <w:tcBorders>
              <w:top w:val="single" w:sz="4" w:space="0" w:color="auto"/>
            </w:tcBorders>
            <w:noWrap/>
            <w:hideMark/>
          </w:tcPr>
          <w:p w14:paraId="74F0CEE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14.50±0.61</w:t>
            </w:r>
            <w:r w:rsidRPr="00EE2CED">
              <w:rPr>
                <w:rFonts w:ascii="Arial" w:hAnsi="Arial" w:cs="Arial"/>
                <w:sz w:val="20"/>
                <w:szCs w:val="20"/>
                <w:vertAlign w:val="superscript"/>
              </w:rPr>
              <w:t>i</w:t>
            </w:r>
          </w:p>
        </w:tc>
        <w:tc>
          <w:tcPr>
            <w:tcW w:w="1410" w:type="dxa"/>
            <w:tcBorders>
              <w:top w:val="single" w:sz="4" w:space="0" w:color="auto"/>
            </w:tcBorders>
            <w:noWrap/>
            <w:hideMark/>
          </w:tcPr>
          <w:p w14:paraId="553EEFE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4.42±0.10</w:t>
            </w:r>
            <w:r w:rsidRPr="00EE2CED">
              <w:rPr>
                <w:rFonts w:ascii="Arial" w:hAnsi="Arial" w:cs="Arial"/>
                <w:sz w:val="20"/>
                <w:szCs w:val="20"/>
                <w:vertAlign w:val="superscript"/>
              </w:rPr>
              <w:t>cde</w:t>
            </w:r>
          </w:p>
        </w:tc>
      </w:tr>
      <w:tr w:rsidR="00EE2CED" w:rsidRPr="00EE2CED" w14:paraId="5CE4D6FD" w14:textId="77777777" w:rsidTr="005F2DCC">
        <w:trPr>
          <w:trHeight w:val="278"/>
          <w:jc w:val="center"/>
        </w:trPr>
        <w:tc>
          <w:tcPr>
            <w:tcW w:w="1125" w:type="dxa"/>
            <w:noWrap/>
            <w:hideMark/>
          </w:tcPr>
          <w:p w14:paraId="3C1FCF7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MI- 0665</w:t>
            </w:r>
          </w:p>
        </w:tc>
        <w:tc>
          <w:tcPr>
            <w:tcW w:w="1473" w:type="dxa"/>
            <w:noWrap/>
            <w:hideMark/>
          </w:tcPr>
          <w:p w14:paraId="2B66B11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0.83±0.01</w:t>
            </w:r>
            <w:r w:rsidRPr="00EE2CED">
              <w:rPr>
                <w:rFonts w:ascii="Arial" w:hAnsi="Arial" w:cs="Arial"/>
                <w:sz w:val="20"/>
                <w:szCs w:val="20"/>
                <w:vertAlign w:val="superscript"/>
              </w:rPr>
              <w:t>fg</w:t>
            </w:r>
          </w:p>
        </w:tc>
        <w:tc>
          <w:tcPr>
            <w:tcW w:w="1561" w:type="dxa"/>
            <w:noWrap/>
            <w:hideMark/>
          </w:tcPr>
          <w:p w14:paraId="1DA3B2C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2.80±0.14</w:t>
            </w:r>
            <w:r w:rsidRPr="00EE2CED">
              <w:rPr>
                <w:rFonts w:ascii="Arial" w:hAnsi="Arial" w:cs="Arial"/>
                <w:sz w:val="20"/>
                <w:szCs w:val="20"/>
                <w:vertAlign w:val="superscript"/>
              </w:rPr>
              <w:t>cdef</w:t>
            </w:r>
          </w:p>
        </w:tc>
        <w:tc>
          <w:tcPr>
            <w:tcW w:w="1521" w:type="dxa"/>
            <w:noWrap/>
            <w:hideMark/>
          </w:tcPr>
          <w:p w14:paraId="2C0ED28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25.23±0.11</w:t>
            </w:r>
            <w:r w:rsidRPr="00EE2CED">
              <w:rPr>
                <w:rFonts w:ascii="Arial" w:hAnsi="Arial" w:cs="Arial"/>
                <w:sz w:val="20"/>
                <w:szCs w:val="20"/>
                <w:vertAlign w:val="superscript"/>
              </w:rPr>
              <w:t>fgh</w:t>
            </w:r>
          </w:p>
        </w:tc>
        <w:tc>
          <w:tcPr>
            <w:tcW w:w="1652" w:type="dxa"/>
            <w:noWrap/>
            <w:hideMark/>
          </w:tcPr>
          <w:p w14:paraId="4FAED15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70.40±0.13</w:t>
            </w:r>
            <w:r w:rsidRPr="00EE2CED">
              <w:rPr>
                <w:rFonts w:ascii="Arial" w:hAnsi="Arial" w:cs="Arial"/>
                <w:sz w:val="20"/>
                <w:szCs w:val="20"/>
                <w:vertAlign w:val="superscript"/>
              </w:rPr>
              <w:t>cde</w:t>
            </w:r>
          </w:p>
        </w:tc>
        <w:tc>
          <w:tcPr>
            <w:tcW w:w="1530" w:type="dxa"/>
            <w:noWrap/>
            <w:hideMark/>
          </w:tcPr>
          <w:p w14:paraId="00A1EA1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22.76±0.46</w:t>
            </w:r>
            <w:r w:rsidRPr="00EE2CED">
              <w:rPr>
                <w:rFonts w:ascii="Arial" w:hAnsi="Arial" w:cs="Arial"/>
                <w:sz w:val="20"/>
                <w:szCs w:val="20"/>
                <w:vertAlign w:val="superscript"/>
              </w:rPr>
              <w:t>a</w:t>
            </w:r>
          </w:p>
        </w:tc>
        <w:tc>
          <w:tcPr>
            <w:tcW w:w="1410" w:type="dxa"/>
            <w:noWrap/>
            <w:hideMark/>
          </w:tcPr>
          <w:p w14:paraId="5E9D8AD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4.27±0.04</w:t>
            </w:r>
            <w:r w:rsidRPr="00EE2CED">
              <w:rPr>
                <w:rFonts w:ascii="Arial" w:hAnsi="Arial" w:cs="Arial"/>
                <w:sz w:val="20"/>
                <w:szCs w:val="20"/>
                <w:vertAlign w:val="superscript"/>
              </w:rPr>
              <w:t>fgh</w:t>
            </w:r>
          </w:p>
        </w:tc>
      </w:tr>
      <w:tr w:rsidR="00EE2CED" w:rsidRPr="00EE2CED" w14:paraId="34854101" w14:textId="77777777" w:rsidTr="005F2DCC">
        <w:trPr>
          <w:trHeight w:val="332"/>
          <w:jc w:val="center"/>
        </w:trPr>
        <w:tc>
          <w:tcPr>
            <w:tcW w:w="1125" w:type="dxa"/>
            <w:noWrap/>
            <w:hideMark/>
          </w:tcPr>
          <w:p w14:paraId="52188EA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ME- 0174</w:t>
            </w:r>
          </w:p>
        </w:tc>
        <w:tc>
          <w:tcPr>
            <w:tcW w:w="1473" w:type="dxa"/>
            <w:noWrap/>
            <w:hideMark/>
          </w:tcPr>
          <w:p w14:paraId="1324DE2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1.08±0.02</w:t>
            </w:r>
            <w:r w:rsidRPr="00EE2CED">
              <w:rPr>
                <w:rFonts w:ascii="Arial" w:hAnsi="Arial" w:cs="Arial"/>
                <w:sz w:val="20"/>
                <w:szCs w:val="20"/>
                <w:vertAlign w:val="superscript"/>
              </w:rPr>
              <w:t>cdef</w:t>
            </w:r>
          </w:p>
        </w:tc>
        <w:tc>
          <w:tcPr>
            <w:tcW w:w="1561" w:type="dxa"/>
            <w:noWrap/>
            <w:hideMark/>
          </w:tcPr>
          <w:p w14:paraId="086C51D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2.69±0.15</w:t>
            </w:r>
            <w:r w:rsidRPr="00EE2CED">
              <w:rPr>
                <w:rFonts w:ascii="Arial" w:hAnsi="Arial" w:cs="Arial"/>
                <w:sz w:val="20"/>
                <w:szCs w:val="20"/>
                <w:vertAlign w:val="superscript"/>
              </w:rPr>
              <w:t>ef</w:t>
            </w:r>
          </w:p>
        </w:tc>
        <w:tc>
          <w:tcPr>
            <w:tcW w:w="1521" w:type="dxa"/>
            <w:noWrap/>
            <w:hideMark/>
          </w:tcPr>
          <w:p w14:paraId="3E8BA73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26.12±0.06</w:t>
            </w:r>
            <w:r w:rsidRPr="00EE2CED">
              <w:rPr>
                <w:rFonts w:ascii="Arial" w:hAnsi="Arial" w:cs="Arial"/>
                <w:sz w:val="20"/>
                <w:szCs w:val="20"/>
                <w:vertAlign w:val="superscript"/>
              </w:rPr>
              <w:t>d</w:t>
            </w:r>
          </w:p>
        </w:tc>
        <w:tc>
          <w:tcPr>
            <w:tcW w:w="1652" w:type="dxa"/>
            <w:noWrap/>
            <w:hideMark/>
          </w:tcPr>
          <w:p w14:paraId="0E9B2F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72.98±0.30</w:t>
            </w:r>
            <w:r w:rsidRPr="00EE2CED">
              <w:rPr>
                <w:rFonts w:ascii="Arial" w:hAnsi="Arial" w:cs="Arial"/>
                <w:sz w:val="20"/>
                <w:szCs w:val="20"/>
                <w:vertAlign w:val="superscript"/>
              </w:rPr>
              <w:t>a</w:t>
            </w:r>
          </w:p>
        </w:tc>
        <w:tc>
          <w:tcPr>
            <w:tcW w:w="1530" w:type="dxa"/>
            <w:noWrap/>
            <w:hideMark/>
          </w:tcPr>
          <w:p w14:paraId="728A07A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20.07±0.22</w:t>
            </w:r>
            <w:r w:rsidRPr="00EE2CED">
              <w:rPr>
                <w:rFonts w:ascii="Arial" w:hAnsi="Arial" w:cs="Arial"/>
                <w:sz w:val="20"/>
                <w:szCs w:val="20"/>
                <w:vertAlign w:val="superscript"/>
              </w:rPr>
              <w:t>ef</w:t>
            </w:r>
          </w:p>
        </w:tc>
        <w:tc>
          <w:tcPr>
            <w:tcW w:w="1410" w:type="dxa"/>
            <w:noWrap/>
            <w:hideMark/>
          </w:tcPr>
          <w:p w14:paraId="3454CE9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3.75±0.09</w:t>
            </w:r>
            <w:r w:rsidRPr="00EE2CED">
              <w:rPr>
                <w:rFonts w:ascii="Arial" w:hAnsi="Arial" w:cs="Arial"/>
                <w:sz w:val="20"/>
                <w:szCs w:val="20"/>
                <w:vertAlign w:val="superscript"/>
              </w:rPr>
              <w:t>k</w:t>
            </w:r>
          </w:p>
        </w:tc>
      </w:tr>
      <w:tr w:rsidR="00EE2CED" w:rsidRPr="00EE2CED" w14:paraId="25003FEC" w14:textId="77777777" w:rsidTr="005F2DCC">
        <w:trPr>
          <w:trHeight w:val="278"/>
          <w:jc w:val="center"/>
        </w:trPr>
        <w:tc>
          <w:tcPr>
            <w:tcW w:w="1125" w:type="dxa"/>
            <w:noWrap/>
            <w:hideMark/>
          </w:tcPr>
          <w:p w14:paraId="771BA34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MI- 0145</w:t>
            </w:r>
          </w:p>
        </w:tc>
        <w:tc>
          <w:tcPr>
            <w:tcW w:w="1473" w:type="dxa"/>
            <w:noWrap/>
            <w:hideMark/>
          </w:tcPr>
          <w:p w14:paraId="7A537B1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1.76±0.11</w:t>
            </w:r>
            <w:r w:rsidRPr="00EE2CED">
              <w:rPr>
                <w:rFonts w:ascii="Arial" w:hAnsi="Arial" w:cs="Arial"/>
                <w:sz w:val="20"/>
                <w:szCs w:val="20"/>
                <w:vertAlign w:val="superscript"/>
              </w:rPr>
              <w:t>b</w:t>
            </w:r>
          </w:p>
        </w:tc>
        <w:tc>
          <w:tcPr>
            <w:tcW w:w="1561" w:type="dxa"/>
            <w:noWrap/>
            <w:hideMark/>
          </w:tcPr>
          <w:p w14:paraId="6FA5DF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3.36±0.20</w:t>
            </w:r>
            <w:r w:rsidRPr="00EE2CED">
              <w:rPr>
                <w:rFonts w:ascii="Arial" w:hAnsi="Arial" w:cs="Arial"/>
                <w:sz w:val="20"/>
                <w:szCs w:val="20"/>
                <w:vertAlign w:val="superscript"/>
              </w:rPr>
              <w:t>abc</w:t>
            </w:r>
          </w:p>
        </w:tc>
        <w:tc>
          <w:tcPr>
            <w:tcW w:w="1521" w:type="dxa"/>
            <w:noWrap/>
            <w:hideMark/>
          </w:tcPr>
          <w:p w14:paraId="498C2DF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27.31±0.13</w:t>
            </w:r>
            <w:r w:rsidRPr="00EE2CED">
              <w:rPr>
                <w:rFonts w:ascii="Arial" w:hAnsi="Arial" w:cs="Arial"/>
                <w:sz w:val="20"/>
                <w:szCs w:val="20"/>
                <w:vertAlign w:val="superscript"/>
              </w:rPr>
              <w:t>b</w:t>
            </w:r>
          </w:p>
        </w:tc>
        <w:tc>
          <w:tcPr>
            <w:tcW w:w="1652" w:type="dxa"/>
            <w:noWrap/>
            <w:hideMark/>
          </w:tcPr>
          <w:p w14:paraId="21CD00E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72.17±0.20</w:t>
            </w:r>
            <w:r w:rsidRPr="00EE2CED">
              <w:rPr>
                <w:rFonts w:ascii="Arial" w:hAnsi="Arial" w:cs="Arial"/>
                <w:sz w:val="20"/>
                <w:szCs w:val="20"/>
                <w:vertAlign w:val="superscript"/>
              </w:rPr>
              <w:t>ab</w:t>
            </w:r>
          </w:p>
        </w:tc>
        <w:tc>
          <w:tcPr>
            <w:tcW w:w="1530" w:type="dxa"/>
            <w:noWrap/>
            <w:hideMark/>
          </w:tcPr>
          <w:p w14:paraId="50A7738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21.60±0.11</w:t>
            </w:r>
            <w:r w:rsidRPr="00EE2CED">
              <w:rPr>
                <w:rFonts w:ascii="Arial" w:hAnsi="Arial" w:cs="Arial"/>
                <w:sz w:val="20"/>
                <w:szCs w:val="20"/>
                <w:vertAlign w:val="superscript"/>
              </w:rPr>
              <w:t>bc</w:t>
            </w:r>
          </w:p>
        </w:tc>
        <w:tc>
          <w:tcPr>
            <w:tcW w:w="1410" w:type="dxa"/>
            <w:noWrap/>
            <w:hideMark/>
          </w:tcPr>
          <w:p w14:paraId="4308004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4.65±0.06</w:t>
            </w:r>
            <w:r w:rsidRPr="00EE2CED">
              <w:rPr>
                <w:rFonts w:ascii="Arial" w:hAnsi="Arial" w:cs="Arial"/>
                <w:sz w:val="20"/>
                <w:szCs w:val="20"/>
                <w:vertAlign w:val="superscript"/>
              </w:rPr>
              <w:t>ab</w:t>
            </w:r>
          </w:p>
        </w:tc>
      </w:tr>
      <w:tr w:rsidR="00EE2CED" w:rsidRPr="00EE2CED" w14:paraId="43457AF8" w14:textId="77777777" w:rsidTr="005F2DCC">
        <w:trPr>
          <w:trHeight w:val="332"/>
          <w:jc w:val="center"/>
        </w:trPr>
        <w:tc>
          <w:tcPr>
            <w:tcW w:w="1125" w:type="dxa"/>
            <w:noWrap/>
            <w:hideMark/>
          </w:tcPr>
          <w:p w14:paraId="15A1122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MI-0211</w:t>
            </w:r>
          </w:p>
        </w:tc>
        <w:tc>
          <w:tcPr>
            <w:tcW w:w="1473" w:type="dxa"/>
            <w:noWrap/>
            <w:hideMark/>
          </w:tcPr>
          <w:p w14:paraId="5F43598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1.26±0.11</w:t>
            </w:r>
            <w:r w:rsidRPr="00EE2CED">
              <w:rPr>
                <w:rFonts w:ascii="Arial" w:hAnsi="Arial" w:cs="Arial"/>
                <w:sz w:val="20"/>
                <w:szCs w:val="20"/>
                <w:vertAlign w:val="superscript"/>
              </w:rPr>
              <w:t>cd</w:t>
            </w:r>
          </w:p>
        </w:tc>
        <w:tc>
          <w:tcPr>
            <w:tcW w:w="1561" w:type="dxa"/>
            <w:noWrap/>
            <w:hideMark/>
          </w:tcPr>
          <w:p w14:paraId="35CF9D8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3.53±0.16</w:t>
            </w:r>
            <w:r w:rsidRPr="00EE2CED">
              <w:rPr>
                <w:rFonts w:ascii="Arial" w:hAnsi="Arial" w:cs="Arial"/>
                <w:sz w:val="20"/>
                <w:szCs w:val="20"/>
                <w:vertAlign w:val="superscript"/>
              </w:rPr>
              <w:t>ab</w:t>
            </w:r>
          </w:p>
        </w:tc>
        <w:tc>
          <w:tcPr>
            <w:tcW w:w="1521" w:type="dxa"/>
            <w:noWrap/>
            <w:hideMark/>
          </w:tcPr>
          <w:p w14:paraId="78DB81C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24.74±0.12</w:t>
            </w:r>
            <w:r w:rsidRPr="00EE2CED">
              <w:rPr>
                <w:rFonts w:ascii="Arial" w:hAnsi="Arial" w:cs="Arial"/>
                <w:sz w:val="20"/>
                <w:szCs w:val="20"/>
                <w:vertAlign w:val="superscript"/>
              </w:rPr>
              <w:t>h</w:t>
            </w:r>
          </w:p>
        </w:tc>
        <w:tc>
          <w:tcPr>
            <w:tcW w:w="1652" w:type="dxa"/>
            <w:noWrap/>
            <w:hideMark/>
          </w:tcPr>
          <w:p w14:paraId="180DEC6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68.99±0.20</w:t>
            </w:r>
            <w:r w:rsidRPr="00EE2CED">
              <w:rPr>
                <w:rFonts w:ascii="Arial" w:hAnsi="Arial" w:cs="Arial"/>
                <w:sz w:val="20"/>
                <w:szCs w:val="20"/>
                <w:vertAlign w:val="superscript"/>
              </w:rPr>
              <w:t>fgh</w:t>
            </w:r>
          </w:p>
        </w:tc>
        <w:tc>
          <w:tcPr>
            <w:tcW w:w="1530" w:type="dxa"/>
            <w:noWrap/>
            <w:hideMark/>
          </w:tcPr>
          <w:p w14:paraId="69323DA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22.65±0.17</w:t>
            </w:r>
            <w:r w:rsidRPr="00EE2CED">
              <w:rPr>
                <w:rFonts w:ascii="Arial" w:hAnsi="Arial" w:cs="Arial"/>
                <w:sz w:val="20"/>
                <w:szCs w:val="20"/>
                <w:vertAlign w:val="superscript"/>
              </w:rPr>
              <w:t>a</w:t>
            </w:r>
          </w:p>
        </w:tc>
        <w:tc>
          <w:tcPr>
            <w:tcW w:w="1410" w:type="dxa"/>
            <w:noWrap/>
            <w:hideMark/>
          </w:tcPr>
          <w:p w14:paraId="4773DF2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4.67±0.06</w:t>
            </w:r>
            <w:r w:rsidRPr="00EE2CED">
              <w:rPr>
                <w:rFonts w:ascii="Arial" w:hAnsi="Arial" w:cs="Arial"/>
                <w:sz w:val="20"/>
                <w:szCs w:val="20"/>
                <w:vertAlign w:val="superscript"/>
              </w:rPr>
              <w:t>a</w:t>
            </w:r>
          </w:p>
        </w:tc>
      </w:tr>
      <w:tr w:rsidR="00EE2CED" w:rsidRPr="00EE2CED" w14:paraId="4F67E0B2" w14:textId="77777777" w:rsidTr="005F2DCC">
        <w:trPr>
          <w:trHeight w:val="368"/>
          <w:jc w:val="center"/>
        </w:trPr>
        <w:tc>
          <w:tcPr>
            <w:tcW w:w="1125" w:type="dxa"/>
            <w:noWrap/>
            <w:hideMark/>
          </w:tcPr>
          <w:p w14:paraId="5B8B49B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ME- 0006</w:t>
            </w:r>
          </w:p>
        </w:tc>
        <w:tc>
          <w:tcPr>
            <w:tcW w:w="1473" w:type="dxa"/>
            <w:noWrap/>
            <w:hideMark/>
          </w:tcPr>
          <w:p w14:paraId="0997F89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1.01±0.03</w:t>
            </w:r>
            <w:r w:rsidRPr="00EE2CED">
              <w:rPr>
                <w:rFonts w:ascii="Arial" w:hAnsi="Arial" w:cs="Arial"/>
                <w:sz w:val="20"/>
                <w:szCs w:val="20"/>
                <w:vertAlign w:val="superscript"/>
              </w:rPr>
              <w:t>def</w:t>
            </w:r>
          </w:p>
        </w:tc>
        <w:tc>
          <w:tcPr>
            <w:tcW w:w="1561" w:type="dxa"/>
            <w:noWrap/>
            <w:hideMark/>
          </w:tcPr>
          <w:p w14:paraId="26280C5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3.07±0.07</w:t>
            </w:r>
            <w:r w:rsidRPr="00EE2CED">
              <w:rPr>
                <w:rFonts w:ascii="Arial" w:hAnsi="Arial" w:cs="Arial"/>
                <w:sz w:val="20"/>
                <w:szCs w:val="20"/>
                <w:vertAlign w:val="superscript"/>
              </w:rPr>
              <w:t>bcde</w:t>
            </w:r>
          </w:p>
        </w:tc>
        <w:tc>
          <w:tcPr>
            <w:tcW w:w="1521" w:type="dxa"/>
            <w:noWrap/>
            <w:hideMark/>
          </w:tcPr>
          <w:p w14:paraId="696E903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24.81±0.06</w:t>
            </w:r>
            <w:r w:rsidRPr="00EE2CED">
              <w:rPr>
                <w:rFonts w:ascii="Arial" w:hAnsi="Arial" w:cs="Arial"/>
                <w:sz w:val="20"/>
                <w:szCs w:val="20"/>
                <w:vertAlign w:val="superscript"/>
              </w:rPr>
              <w:t>gh</w:t>
            </w:r>
          </w:p>
        </w:tc>
        <w:tc>
          <w:tcPr>
            <w:tcW w:w="1652" w:type="dxa"/>
            <w:noWrap/>
            <w:hideMark/>
          </w:tcPr>
          <w:p w14:paraId="519F7EA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71.39±0.04</w:t>
            </w:r>
            <w:r w:rsidRPr="00EE2CED">
              <w:rPr>
                <w:rFonts w:ascii="Arial" w:hAnsi="Arial" w:cs="Arial"/>
                <w:sz w:val="20"/>
                <w:szCs w:val="20"/>
                <w:vertAlign w:val="superscript"/>
              </w:rPr>
              <w:t>bc</w:t>
            </w:r>
          </w:p>
        </w:tc>
        <w:tc>
          <w:tcPr>
            <w:tcW w:w="1530" w:type="dxa"/>
            <w:noWrap/>
            <w:hideMark/>
          </w:tcPr>
          <w:p w14:paraId="6ECB6D8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17.36±0.51</w:t>
            </w:r>
            <w:r w:rsidRPr="00EE2CED">
              <w:rPr>
                <w:rFonts w:ascii="Arial" w:hAnsi="Arial" w:cs="Arial"/>
                <w:sz w:val="20"/>
                <w:szCs w:val="20"/>
                <w:vertAlign w:val="superscript"/>
              </w:rPr>
              <w:t>g</w:t>
            </w:r>
          </w:p>
        </w:tc>
        <w:tc>
          <w:tcPr>
            <w:tcW w:w="1410" w:type="dxa"/>
            <w:noWrap/>
            <w:hideMark/>
          </w:tcPr>
          <w:p w14:paraId="0D35436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4.28±0.02</w:t>
            </w:r>
            <w:r w:rsidRPr="00EE2CED">
              <w:rPr>
                <w:rFonts w:ascii="Arial" w:hAnsi="Arial" w:cs="Arial"/>
                <w:sz w:val="20"/>
                <w:szCs w:val="20"/>
                <w:vertAlign w:val="superscript"/>
              </w:rPr>
              <w:t>fg</w:t>
            </w:r>
          </w:p>
        </w:tc>
      </w:tr>
      <w:tr w:rsidR="00EE2CED" w:rsidRPr="00EE2CED" w14:paraId="5A743810" w14:textId="77777777" w:rsidTr="005F2DCC">
        <w:trPr>
          <w:trHeight w:val="332"/>
          <w:jc w:val="center"/>
        </w:trPr>
        <w:tc>
          <w:tcPr>
            <w:tcW w:w="1125" w:type="dxa"/>
            <w:noWrap/>
            <w:hideMark/>
          </w:tcPr>
          <w:p w14:paraId="5F23E66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MI- 0532</w:t>
            </w:r>
          </w:p>
        </w:tc>
        <w:tc>
          <w:tcPr>
            <w:tcW w:w="1473" w:type="dxa"/>
            <w:noWrap/>
            <w:hideMark/>
          </w:tcPr>
          <w:p w14:paraId="7F4BD4A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0.98±0.01</w:t>
            </w:r>
            <w:r w:rsidRPr="00EE2CED">
              <w:rPr>
                <w:rFonts w:ascii="Arial" w:hAnsi="Arial" w:cs="Arial"/>
                <w:sz w:val="20"/>
                <w:szCs w:val="20"/>
                <w:vertAlign w:val="superscript"/>
              </w:rPr>
              <w:t>defg</w:t>
            </w:r>
          </w:p>
        </w:tc>
        <w:tc>
          <w:tcPr>
            <w:tcW w:w="1561" w:type="dxa"/>
            <w:noWrap/>
            <w:hideMark/>
          </w:tcPr>
          <w:p w14:paraId="1B2A5B4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2.34±0.03</w:t>
            </w:r>
            <w:r w:rsidRPr="00EE2CED">
              <w:rPr>
                <w:rFonts w:ascii="Arial" w:hAnsi="Arial" w:cs="Arial"/>
                <w:sz w:val="20"/>
                <w:szCs w:val="20"/>
                <w:vertAlign w:val="superscript"/>
              </w:rPr>
              <w:t>fg</w:t>
            </w:r>
          </w:p>
        </w:tc>
        <w:tc>
          <w:tcPr>
            <w:tcW w:w="1521" w:type="dxa"/>
            <w:noWrap/>
            <w:hideMark/>
          </w:tcPr>
          <w:p w14:paraId="42FC33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25.49±1.83</w:t>
            </w:r>
            <w:r w:rsidRPr="00EE2CED">
              <w:rPr>
                <w:rFonts w:ascii="Arial" w:hAnsi="Arial" w:cs="Arial"/>
                <w:sz w:val="20"/>
                <w:szCs w:val="20"/>
                <w:vertAlign w:val="superscript"/>
              </w:rPr>
              <w:t>ef</w:t>
            </w:r>
          </w:p>
        </w:tc>
        <w:tc>
          <w:tcPr>
            <w:tcW w:w="1652" w:type="dxa"/>
            <w:noWrap/>
            <w:hideMark/>
          </w:tcPr>
          <w:p w14:paraId="60608DA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68.68±0.25</w:t>
            </w:r>
            <w:r w:rsidRPr="00EE2CED">
              <w:rPr>
                <w:rFonts w:ascii="Arial" w:hAnsi="Arial" w:cs="Arial"/>
                <w:sz w:val="20"/>
                <w:szCs w:val="20"/>
                <w:vertAlign w:val="superscript"/>
              </w:rPr>
              <w:t>h</w:t>
            </w:r>
          </w:p>
        </w:tc>
        <w:tc>
          <w:tcPr>
            <w:tcW w:w="1530" w:type="dxa"/>
            <w:noWrap/>
            <w:hideMark/>
          </w:tcPr>
          <w:p w14:paraId="7326D38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20.15±0.42</w:t>
            </w:r>
            <w:r w:rsidRPr="00EE2CED">
              <w:rPr>
                <w:rFonts w:ascii="Arial" w:hAnsi="Arial" w:cs="Arial"/>
                <w:sz w:val="20"/>
                <w:szCs w:val="20"/>
                <w:vertAlign w:val="superscript"/>
              </w:rPr>
              <w:t>def</w:t>
            </w:r>
          </w:p>
        </w:tc>
        <w:tc>
          <w:tcPr>
            <w:tcW w:w="1410" w:type="dxa"/>
            <w:noWrap/>
            <w:hideMark/>
          </w:tcPr>
          <w:p w14:paraId="338D9AB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4.31±0.04</w:t>
            </w:r>
            <w:r w:rsidRPr="00EE2CED">
              <w:rPr>
                <w:rFonts w:ascii="Arial" w:hAnsi="Arial" w:cs="Arial"/>
                <w:sz w:val="20"/>
                <w:szCs w:val="20"/>
                <w:vertAlign w:val="superscript"/>
              </w:rPr>
              <w:t>efg</w:t>
            </w:r>
          </w:p>
        </w:tc>
      </w:tr>
      <w:tr w:rsidR="00EE2CED" w:rsidRPr="00EE2CED" w14:paraId="1F493F34" w14:textId="77777777" w:rsidTr="005F2DCC">
        <w:trPr>
          <w:trHeight w:val="368"/>
          <w:jc w:val="center"/>
        </w:trPr>
        <w:tc>
          <w:tcPr>
            <w:tcW w:w="1125" w:type="dxa"/>
            <w:noWrap/>
            <w:hideMark/>
          </w:tcPr>
          <w:p w14:paraId="3797ADC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lastRenderedPageBreak/>
              <w:t>MI- 0828</w:t>
            </w:r>
          </w:p>
        </w:tc>
        <w:tc>
          <w:tcPr>
            <w:tcW w:w="1473" w:type="dxa"/>
            <w:noWrap/>
            <w:hideMark/>
          </w:tcPr>
          <w:p w14:paraId="50F1AD3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1.17±0.09</w:t>
            </w:r>
            <w:r w:rsidRPr="00EE2CED">
              <w:rPr>
                <w:rFonts w:ascii="Arial" w:hAnsi="Arial" w:cs="Arial"/>
                <w:sz w:val="20"/>
                <w:szCs w:val="20"/>
                <w:vertAlign w:val="superscript"/>
              </w:rPr>
              <w:t>cde</w:t>
            </w:r>
          </w:p>
        </w:tc>
        <w:tc>
          <w:tcPr>
            <w:tcW w:w="1561" w:type="dxa"/>
            <w:noWrap/>
            <w:hideMark/>
          </w:tcPr>
          <w:p w14:paraId="628DEFB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2.71±0.09</w:t>
            </w:r>
            <w:r w:rsidRPr="00EE2CED">
              <w:rPr>
                <w:rFonts w:ascii="Arial" w:hAnsi="Arial" w:cs="Arial"/>
                <w:sz w:val="20"/>
                <w:szCs w:val="20"/>
                <w:vertAlign w:val="superscript"/>
              </w:rPr>
              <w:t>def</w:t>
            </w:r>
          </w:p>
        </w:tc>
        <w:tc>
          <w:tcPr>
            <w:tcW w:w="1521" w:type="dxa"/>
            <w:noWrap/>
            <w:hideMark/>
          </w:tcPr>
          <w:p w14:paraId="7A3315A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25.31±0.24</w:t>
            </w:r>
            <w:r w:rsidRPr="00EE2CED">
              <w:rPr>
                <w:rFonts w:ascii="Arial" w:hAnsi="Arial" w:cs="Arial"/>
                <w:sz w:val="20"/>
                <w:szCs w:val="20"/>
                <w:vertAlign w:val="superscript"/>
              </w:rPr>
              <w:t>fg</w:t>
            </w:r>
          </w:p>
        </w:tc>
        <w:tc>
          <w:tcPr>
            <w:tcW w:w="1652" w:type="dxa"/>
            <w:noWrap/>
            <w:hideMark/>
          </w:tcPr>
          <w:p w14:paraId="14D37CE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71.49±0.11</w:t>
            </w:r>
            <w:r w:rsidRPr="00EE2CED">
              <w:rPr>
                <w:rFonts w:ascii="Arial" w:hAnsi="Arial" w:cs="Arial"/>
                <w:sz w:val="20"/>
                <w:szCs w:val="20"/>
                <w:vertAlign w:val="superscript"/>
              </w:rPr>
              <w:t>bc</w:t>
            </w:r>
          </w:p>
        </w:tc>
        <w:tc>
          <w:tcPr>
            <w:tcW w:w="1530" w:type="dxa"/>
            <w:noWrap/>
            <w:hideMark/>
          </w:tcPr>
          <w:p w14:paraId="106B182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21.37±0.17</w:t>
            </w:r>
            <w:r w:rsidRPr="00EE2CED">
              <w:rPr>
                <w:rFonts w:ascii="Arial" w:hAnsi="Arial" w:cs="Arial"/>
                <w:sz w:val="20"/>
                <w:szCs w:val="20"/>
                <w:vertAlign w:val="superscript"/>
              </w:rPr>
              <w:t>c</w:t>
            </w:r>
          </w:p>
        </w:tc>
        <w:tc>
          <w:tcPr>
            <w:tcW w:w="1410" w:type="dxa"/>
            <w:noWrap/>
            <w:hideMark/>
          </w:tcPr>
          <w:p w14:paraId="778AB4D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4.20±0.01</w:t>
            </w:r>
            <w:r w:rsidRPr="00EE2CED">
              <w:rPr>
                <w:rFonts w:ascii="Arial" w:hAnsi="Arial" w:cs="Arial"/>
                <w:sz w:val="20"/>
                <w:szCs w:val="20"/>
                <w:vertAlign w:val="superscript"/>
              </w:rPr>
              <w:t>ghi</w:t>
            </w:r>
          </w:p>
        </w:tc>
      </w:tr>
      <w:tr w:rsidR="00EE2CED" w:rsidRPr="00EE2CED" w14:paraId="7705E382" w14:textId="77777777" w:rsidTr="005F2DCC">
        <w:trPr>
          <w:trHeight w:val="332"/>
          <w:jc w:val="center"/>
        </w:trPr>
        <w:tc>
          <w:tcPr>
            <w:tcW w:w="1125" w:type="dxa"/>
            <w:noWrap/>
            <w:hideMark/>
          </w:tcPr>
          <w:p w14:paraId="580A7B4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MI- 0783</w:t>
            </w:r>
          </w:p>
        </w:tc>
        <w:tc>
          <w:tcPr>
            <w:tcW w:w="1473" w:type="dxa"/>
            <w:noWrap/>
            <w:hideMark/>
          </w:tcPr>
          <w:p w14:paraId="2528B81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1.70±0.27</w:t>
            </w:r>
            <w:r w:rsidRPr="00EE2CED">
              <w:rPr>
                <w:rFonts w:ascii="Arial" w:hAnsi="Arial" w:cs="Arial"/>
                <w:sz w:val="20"/>
                <w:szCs w:val="20"/>
                <w:vertAlign w:val="superscript"/>
              </w:rPr>
              <w:t>b</w:t>
            </w:r>
          </w:p>
        </w:tc>
        <w:tc>
          <w:tcPr>
            <w:tcW w:w="1561" w:type="dxa"/>
            <w:noWrap/>
            <w:hideMark/>
          </w:tcPr>
          <w:p w14:paraId="262A83D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3.41±0.08</w:t>
            </w:r>
            <w:r w:rsidRPr="00EE2CED">
              <w:rPr>
                <w:rFonts w:ascii="Arial" w:hAnsi="Arial" w:cs="Arial"/>
                <w:sz w:val="20"/>
                <w:szCs w:val="20"/>
                <w:vertAlign w:val="superscript"/>
              </w:rPr>
              <w:t>ab</w:t>
            </w:r>
          </w:p>
        </w:tc>
        <w:tc>
          <w:tcPr>
            <w:tcW w:w="1521" w:type="dxa"/>
            <w:noWrap/>
            <w:hideMark/>
          </w:tcPr>
          <w:p w14:paraId="4810F89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25.14±0.32</w:t>
            </w:r>
            <w:r w:rsidRPr="00EE2CED">
              <w:rPr>
                <w:rFonts w:ascii="Arial" w:hAnsi="Arial" w:cs="Arial"/>
                <w:sz w:val="20"/>
                <w:szCs w:val="20"/>
                <w:vertAlign w:val="superscript"/>
              </w:rPr>
              <w:t>fgh</w:t>
            </w:r>
          </w:p>
        </w:tc>
        <w:tc>
          <w:tcPr>
            <w:tcW w:w="1652" w:type="dxa"/>
            <w:noWrap/>
            <w:hideMark/>
          </w:tcPr>
          <w:p w14:paraId="4E1DB41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69.61±0.96</w:t>
            </w:r>
            <w:r w:rsidRPr="00EE2CED">
              <w:rPr>
                <w:rFonts w:ascii="Arial" w:hAnsi="Arial" w:cs="Arial"/>
                <w:sz w:val="20"/>
                <w:szCs w:val="20"/>
                <w:vertAlign w:val="superscript"/>
              </w:rPr>
              <w:t>efgh</w:t>
            </w:r>
          </w:p>
        </w:tc>
        <w:tc>
          <w:tcPr>
            <w:tcW w:w="1530" w:type="dxa"/>
            <w:noWrap/>
            <w:hideMark/>
          </w:tcPr>
          <w:p w14:paraId="64938EA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21.31±0.38</w:t>
            </w:r>
            <w:r w:rsidRPr="00EE2CED">
              <w:rPr>
                <w:rFonts w:ascii="Arial" w:hAnsi="Arial" w:cs="Arial"/>
                <w:sz w:val="20"/>
                <w:szCs w:val="20"/>
                <w:vertAlign w:val="superscript"/>
              </w:rPr>
              <w:t>c</w:t>
            </w:r>
          </w:p>
        </w:tc>
        <w:tc>
          <w:tcPr>
            <w:tcW w:w="1410" w:type="dxa"/>
            <w:noWrap/>
            <w:hideMark/>
          </w:tcPr>
          <w:p w14:paraId="0BD49FD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4.54±0.04</w:t>
            </w:r>
            <w:r w:rsidRPr="00EE2CED">
              <w:rPr>
                <w:rFonts w:ascii="Arial" w:hAnsi="Arial" w:cs="Arial"/>
                <w:sz w:val="20"/>
                <w:szCs w:val="20"/>
                <w:vertAlign w:val="superscript"/>
              </w:rPr>
              <w:t>bc</w:t>
            </w:r>
          </w:p>
        </w:tc>
      </w:tr>
      <w:tr w:rsidR="00EE2CED" w:rsidRPr="00EE2CED" w14:paraId="2FE1DC84" w14:textId="77777777" w:rsidTr="005F2DCC">
        <w:trPr>
          <w:trHeight w:val="368"/>
          <w:jc w:val="center"/>
        </w:trPr>
        <w:tc>
          <w:tcPr>
            <w:tcW w:w="1125" w:type="dxa"/>
            <w:noWrap/>
            <w:hideMark/>
          </w:tcPr>
          <w:p w14:paraId="37F5E69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ME- 0168</w:t>
            </w:r>
          </w:p>
        </w:tc>
        <w:tc>
          <w:tcPr>
            <w:tcW w:w="1473" w:type="dxa"/>
            <w:noWrap/>
            <w:hideMark/>
          </w:tcPr>
          <w:p w14:paraId="6F9C0C2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1.03±0.15</w:t>
            </w:r>
            <w:r w:rsidRPr="00EE2CED">
              <w:rPr>
                <w:rFonts w:ascii="Arial" w:hAnsi="Arial" w:cs="Arial"/>
                <w:sz w:val="20"/>
                <w:szCs w:val="20"/>
                <w:vertAlign w:val="superscript"/>
              </w:rPr>
              <w:t>cdef</w:t>
            </w:r>
          </w:p>
        </w:tc>
        <w:tc>
          <w:tcPr>
            <w:tcW w:w="1561" w:type="dxa"/>
            <w:noWrap/>
            <w:hideMark/>
          </w:tcPr>
          <w:p w14:paraId="508AA06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3.49±0.05</w:t>
            </w:r>
            <w:r w:rsidRPr="00EE2CED">
              <w:rPr>
                <w:rFonts w:ascii="Arial" w:hAnsi="Arial" w:cs="Arial"/>
                <w:sz w:val="20"/>
                <w:szCs w:val="20"/>
                <w:vertAlign w:val="superscript"/>
              </w:rPr>
              <w:t>ab</w:t>
            </w:r>
          </w:p>
        </w:tc>
        <w:tc>
          <w:tcPr>
            <w:tcW w:w="1521" w:type="dxa"/>
            <w:noWrap/>
            <w:hideMark/>
          </w:tcPr>
          <w:p w14:paraId="7137D19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26.12±0.21</w:t>
            </w:r>
            <w:r w:rsidRPr="00EE2CED">
              <w:rPr>
                <w:rFonts w:ascii="Arial" w:hAnsi="Arial" w:cs="Arial"/>
                <w:sz w:val="20"/>
                <w:szCs w:val="20"/>
                <w:vertAlign w:val="superscript"/>
              </w:rPr>
              <w:t>d</w:t>
            </w:r>
          </w:p>
        </w:tc>
        <w:tc>
          <w:tcPr>
            <w:tcW w:w="1652" w:type="dxa"/>
            <w:noWrap/>
            <w:hideMark/>
          </w:tcPr>
          <w:p w14:paraId="0570E06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68.82±0.31</w:t>
            </w:r>
            <w:r w:rsidRPr="00EE2CED">
              <w:rPr>
                <w:rFonts w:ascii="Arial" w:hAnsi="Arial" w:cs="Arial"/>
                <w:sz w:val="20"/>
                <w:szCs w:val="20"/>
                <w:vertAlign w:val="superscript"/>
              </w:rPr>
              <w:t>gh</w:t>
            </w:r>
          </w:p>
        </w:tc>
        <w:tc>
          <w:tcPr>
            <w:tcW w:w="1530" w:type="dxa"/>
            <w:noWrap/>
            <w:hideMark/>
          </w:tcPr>
          <w:p w14:paraId="565DB92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21.11±0.27</w:t>
            </w:r>
            <w:r w:rsidRPr="00EE2CED">
              <w:rPr>
                <w:rFonts w:ascii="Arial" w:hAnsi="Arial" w:cs="Arial"/>
                <w:sz w:val="20"/>
                <w:szCs w:val="20"/>
                <w:vertAlign w:val="superscript"/>
              </w:rPr>
              <w:t>cd</w:t>
            </w:r>
          </w:p>
        </w:tc>
        <w:tc>
          <w:tcPr>
            <w:tcW w:w="1410" w:type="dxa"/>
            <w:noWrap/>
            <w:hideMark/>
          </w:tcPr>
          <w:p w14:paraId="64947F3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4.15±0.02</w:t>
            </w:r>
            <w:r w:rsidRPr="00EE2CED">
              <w:rPr>
                <w:rFonts w:ascii="Arial" w:hAnsi="Arial" w:cs="Arial"/>
                <w:sz w:val="20"/>
                <w:szCs w:val="20"/>
                <w:vertAlign w:val="superscript"/>
              </w:rPr>
              <w:t>hi</w:t>
            </w:r>
          </w:p>
        </w:tc>
      </w:tr>
      <w:tr w:rsidR="00EE2CED" w:rsidRPr="00EE2CED" w14:paraId="546D1235" w14:textId="77777777" w:rsidTr="005F2DCC">
        <w:trPr>
          <w:trHeight w:val="332"/>
          <w:jc w:val="center"/>
        </w:trPr>
        <w:tc>
          <w:tcPr>
            <w:tcW w:w="1125" w:type="dxa"/>
            <w:noWrap/>
            <w:hideMark/>
          </w:tcPr>
          <w:p w14:paraId="06D584E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MI- 0300</w:t>
            </w:r>
          </w:p>
        </w:tc>
        <w:tc>
          <w:tcPr>
            <w:tcW w:w="1473" w:type="dxa"/>
            <w:noWrap/>
            <w:hideMark/>
          </w:tcPr>
          <w:p w14:paraId="485765C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1.10±0.06</w:t>
            </w:r>
            <w:r w:rsidRPr="00EE2CED">
              <w:rPr>
                <w:rFonts w:ascii="Arial" w:hAnsi="Arial" w:cs="Arial"/>
                <w:sz w:val="20"/>
                <w:szCs w:val="20"/>
                <w:vertAlign w:val="superscript"/>
              </w:rPr>
              <w:t>cdef</w:t>
            </w:r>
          </w:p>
        </w:tc>
        <w:tc>
          <w:tcPr>
            <w:tcW w:w="1561" w:type="dxa"/>
            <w:noWrap/>
            <w:hideMark/>
          </w:tcPr>
          <w:p w14:paraId="5BE9874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2.05±0.36</w:t>
            </w:r>
            <w:r w:rsidRPr="00EE2CED">
              <w:rPr>
                <w:rFonts w:ascii="Arial" w:hAnsi="Arial" w:cs="Arial"/>
                <w:sz w:val="20"/>
                <w:szCs w:val="20"/>
                <w:vertAlign w:val="superscript"/>
              </w:rPr>
              <w:t>g</w:t>
            </w:r>
          </w:p>
        </w:tc>
        <w:tc>
          <w:tcPr>
            <w:tcW w:w="1521" w:type="dxa"/>
            <w:noWrap/>
            <w:hideMark/>
          </w:tcPr>
          <w:p w14:paraId="28F7507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25.51±0.11</w:t>
            </w:r>
            <w:r w:rsidRPr="00EE2CED">
              <w:rPr>
                <w:rFonts w:ascii="Arial" w:hAnsi="Arial" w:cs="Arial"/>
                <w:sz w:val="20"/>
                <w:szCs w:val="20"/>
                <w:vertAlign w:val="superscript"/>
              </w:rPr>
              <w:t>ef</w:t>
            </w:r>
          </w:p>
        </w:tc>
        <w:tc>
          <w:tcPr>
            <w:tcW w:w="1652" w:type="dxa"/>
            <w:noWrap/>
            <w:hideMark/>
          </w:tcPr>
          <w:p w14:paraId="32D5A18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70.26±0.37</w:t>
            </w:r>
            <w:r w:rsidRPr="00EE2CED">
              <w:rPr>
                <w:rFonts w:ascii="Arial" w:hAnsi="Arial" w:cs="Arial"/>
                <w:sz w:val="20"/>
                <w:szCs w:val="20"/>
                <w:vertAlign w:val="superscript"/>
              </w:rPr>
              <w:t>cdef</w:t>
            </w:r>
          </w:p>
        </w:tc>
        <w:tc>
          <w:tcPr>
            <w:tcW w:w="1530" w:type="dxa"/>
            <w:noWrap/>
            <w:hideMark/>
          </w:tcPr>
          <w:p w14:paraId="48A2341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22.37±0.16</w:t>
            </w:r>
            <w:r w:rsidRPr="00EE2CED">
              <w:rPr>
                <w:rFonts w:ascii="Arial" w:hAnsi="Arial" w:cs="Arial"/>
                <w:sz w:val="20"/>
                <w:szCs w:val="20"/>
                <w:vertAlign w:val="superscript"/>
              </w:rPr>
              <w:t>ab</w:t>
            </w:r>
          </w:p>
        </w:tc>
        <w:tc>
          <w:tcPr>
            <w:tcW w:w="1410" w:type="dxa"/>
            <w:noWrap/>
            <w:hideMark/>
          </w:tcPr>
          <w:p w14:paraId="11B47EB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4.33±0.02</w:t>
            </w:r>
            <w:r w:rsidRPr="00EE2CED">
              <w:rPr>
                <w:rFonts w:ascii="Arial" w:hAnsi="Arial" w:cs="Arial"/>
                <w:sz w:val="20"/>
                <w:szCs w:val="20"/>
                <w:vertAlign w:val="superscript"/>
              </w:rPr>
              <w:t>def</w:t>
            </w:r>
          </w:p>
        </w:tc>
      </w:tr>
      <w:tr w:rsidR="00EE2CED" w:rsidRPr="00EE2CED" w14:paraId="3BDFFDE5" w14:textId="77777777" w:rsidTr="005F2DCC">
        <w:trPr>
          <w:trHeight w:val="368"/>
          <w:jc w:val="center"/>
        </w:trPr>
        <w:tc>
          <w:tcPr>
            <w:tcW w:w="1125" w:type="dxa"/>
            <w:noWrap/>
            <w:hideMark/>
          </w:tcPr>
          <w:p w14:paraId="7760672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ME- 0169</w:t>
            </w:r>
          </w:p>
        </w:tc>
        <w:tc>
          <w:tcPr>
            <w:tcW w:w="1473" w:type="dxa"/>
            <w:noWrap/>
            <w:hideMark/>
          </w:tcPr>
          <w:p w14:paraId="48620C3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1.32±0.02</w:t>
            </w:r>
            <w:r w:rsidRPr="00EE2CED">
              <w:rPr>
                <w:rFonts w:ascii="Arial" w:hAnsi="Arial" w:cs="Arial"/>
                <w:sz w:val="20"/>
                <w:szCs w:val="20"/>
                <w:vertAlign w:val="superscript"/>
              </w:rPr>
              <w:t>c</w:t>
            </w:r>
          </w:p>
        </w:tc>
        <w:tc>
          <w:tcPr>
            <w:tcW w:w="1561" w:type="dxa"/>
            <w:noWrap/>
            <w:hideMark/>
          </w:tcPr>
          <w:p w14:paraId="747BC47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3.27±0.19</w:t>
            </w:r>
            <w:r w:rsidRPr="00EE2CED">
              <w:rPr>
                <w:rFonts w:ascii="Arial" w:hAnsi="Arial" w:cs="Arial"/>
                <w:sz w:val="20"/>
                <w:szCs w:val="20"/>
                <w:vertAlign w:val="superscript"/>
              </w:rPr>
              <w:t>abcd</w:t>
            </w:r>
          </w:p>
        </w:tc>
        <w:tc>
          <w:tcPr>
            <w:tcW w:w="1521" w:type="dxa"/>
            <w:noWrap/>
            <w:hideMark/>
          </w:tcPr>
          <w:p w14:paraId="4B2C05C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23.71±0.16</w:t>
            </w:r>
            <w:r w:rsidRPr="00EE2CED">
              <w:rPr>
                <w:rFonts w:ascii="Arial" w:hAnsi="Arial" w:cs="Arial"/>
                <w:sz w:val="20"/>
                <w:szCs w:val="20"/>
                <w:vertAlign w:val="superscript"/>
              </w:rPr>
              <w:t>i</w:t>
            </w:r>
          </w:p>
        </w:tc>
        <w:tc>
          <w:tcPr>
            <w:tcW w:w="1652" w:type="dxa"/>
            <w:noWrap/>
            <w:hideMark/>
          </w:tcPr>
          <w:p w14:paraId="72E7994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71.44±0.23</w:t>
            </w:r>
            <w:r w:rsidRPr="00EE2CED">
              <w:rPr>
                <w:rFonts w:ascii="Arial" w:hAnsi="Arial" w:cs="Arial"/>
                <w:sz w:val="20"/>
                <w:szCs w:val="20"/>
                <w:vertAlign w:val="superscript"/>
              </w:rPr>
              <w:t>bc</w:t>
            </w:r>
          </w:p>
        </w:tc>
        <w:tc>
          <w:tcPr>
            <w:tcW w:w="1530" w:type="dxa"/>
            <w:noWrap/>
            <w:hideMark/>
          </w:tcPr>
          <w:p w14:paraId="39EF689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16.65±0.23</w:t>
            </w:r>
            <w:r w:rsidRPr="00EE2CED">
              <w:rPr>
                <w:rFonts w:ascii="Arial" w:hAnsi="Arial" w:cs="Arial"/>
                <w:sz w:val="20"/>
                <w:szCs w:val="20"/>
                <w:vertAlign w:val="superscript"/>
              </w:rPr>
              <w:t>gh</w:t>
            </w:r>
          </w:p>
        </w:tc>
        <w:tc>
          <w:tcPr>
            <w:tcW w:w="1410" w:type="dxa"/>
            <w:noWrap/>
            <w:hideMark/>
          </w:tcPr>
          <w:p w14:paraId="308D681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4.24±0.02</w:t>
            </w:r>
            <w:r w:rsidRPr="00EE2CED">
              <w:rPr>
                <w:rFonts w:ascii="Arial" w:hAnsi="Arial" w:cs="Arial"/>
                <w:sz w:val="20"/>
                <w:szCs w:val="20"/>
                <w:vertAlign w:val="superscript"/>
              </w:rPr>
              <w:t>fgh</w:t>
            </w:r>
          </w:p>
        </w:tc>
      </w:tr>
      <w:tr w:rsidR="00EE2CED" w:rsidRPr="00EE2CED" w14:paraId="3C2F0BB4" w14:textId="77777777" w:rsidTr="005F2DCC">
        <w:trPr>
          <w:trHeight w:val="332"/>
          <w:jc w:val="center"/>
        </w:trPr>
        <w:tc>
          <w:tcPr>
            <w:tcW w:w="1125" w:type="dxa"/>
            <w:noWrap/>
            <w:hideMark/>
          </w:tcPr>
          <w:p w14:paraId="1B1C207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MI- 0549</w:t>
            </w:r>
          </w:p>
        </w:tc>
        <w:tc>
          <w:tcPr>
            <w:tcW w:w="1473" w:type="dxa"/>
            <w:noWrap/>
            <w:hideMark/>
          </w:tcPr>
          <w:p w14:paraId="2116731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1.14±0.04</w:t>
            </w:r>
            <w:r w:rsidRPr="00EE2CED">
              <w:rPr>
                <w:rFonts w:ascii="Arial" w:hAnsi="Arial" w:cs="Arial"/>
                <w:sz w:val="20"/>
                <w:szCs w:val="20"/>
                <w:vertAlign w:val="superscript"/>
              </w:rPr>
              <w:t>cde</w:t>
            </w:r>
          </w:p>
        </w:tc>
        <w:tc>
          <w:tcPr>
            <w:tcW w:w="1561" w:type="dxa"/>
            <w:noWrap/>
            <w:hideMark/>
          </w:tcPr>
          <w:p w14:paraId="754AD90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3.45±0.08</w:t>
            </w:r>
            <w:r w:rsidRPr="00EE2CED">
              <w:rPr>
                <w:rFonts w:ascii="Arial" w:hAnsi="Arial" w:cs="Arial"/>
                <w:sz w:val="20"/>
                <w:szCs w:val="20"/>
                <w:vertAlign w:val="superscript"/>
              </w:rPr>
              <w:t>ab</w:t>
            </w:r>
          </w:p>
        </w:tc>
        <w:tc>
          <w:tcPr>
            <w:tcW w:w="1521" w:type="dxa"/>
            <w:noWrap/>
            <w:hideMark/>
          </w:tcPr>
          <w:p w14:paraId="5373E16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25.55±0.19</w:t>
            </w:r>
            <w:r w:rsidRPr="00EE2CED">
              <w:rPr>
                <w:rFonts w:ascii="Arial" w:hAnsi="Arial" w:cs="Arial"/>
                <w:sz w:val="20"/>
                <w:szCs w:val="20"/>
                <w:vertAlign w:val="superscript"/>
              </w:rPr>
              <w:t>ef</w:t>
            </w:r>
          </w:p>
        </w:tc>
        <w:tc>
          <w:tcPr>
            <w:tcW w:w="1652" w:type="dxa"/>
            <w:noWrap/>
            <w:hideMark/>
          </w:tcPr>
          <w:p w14:paraId="1F9B88A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70.64±0.57</w:t>
            </w:r>
            <w:r w:rsidRPr="00EE2CED">
              <w:rPr>
                <w:rFonts w:ascii="Arial" w:hAnsi="Arial" w:cs="Arial"/>
                <w:sz w:val="20"/>
                <w:szCs w:val="20"/>
                <w:vertAlign w:val="superscript"/>
              </w:rPr>
              <w:t>cde</w:t>
            </w:r>
          </w:p>
        </w:tc>
        <w:tc>
          <w:tcPr>
            <w:tcW w:w="1530" w:type="dxa"/>
            <w:noWrap/>
            <w:hideMark/>
          </w:tcPr>
          <w:p w14:paraId="2CD5829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20.67±0.46</w:t>
            </w:r>
            <w:r w:rsidRPr="00EE2CED">
              <w:rPr>
                <w:rFonts w:ascii="Arial" w:hAnsi="Arial" w:cs="Arial"/>
                <w:sz w:val="20"/>
                <w:szCs w:val="20"/>
                <w:vertAlign w:val="superscript"/>
              </w:rPr>
              <w:t>cde</w:t>
            </w:r>
          </w:p>
        </w:tc>
        <w:tc>
          <w:tcPr>
            <w:tcW w:w="1410" w:type="dxa"/>
            <w:noWrap/>
            <w:hideMark/>
          </w:tcPr>
          <w:p w14:paraId="1600EA7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4.10±0.01</w:t>
            </w:r>
            <w:r w:rsidRPr="00EE2CED">
              <w:rPr>
                <w:rFonts w:ascii="Arial" w:hAnsi="Arial" w:cs="Arial"/>
                <w:sz w:val="20"/>
                <w:szCs w:val="20"/>
                <w:vertAlign w:val="superscript"/>
              </w:rPr>
              <w:t>i</w:t>
            </w:r>
          </w:p>
        </w:tc>
      </w:tr>
      <w:tr w:rsidR="00EE2CED" w:rsidRPr="00EE2CED" w14:paraId="4A9DBAC0" w14:textId="77777777" w:rsidTr="005F2DCC">
        <w:trPr>
          <w:trHeight w:val="368"/>
          <w:jc w:val="center"/>
        </w:trPr>
        <w:tc>
          <w:tcPr>
            <w:tcW w:w="1125" w:type="dxa"/>
            <w:noWrap/>
            <w:hideMark/>
          </w:tcPr>
          <w:p w14:paraId="73E0CEA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MI- 0632</w:t>
            </w:r>
          </w:p>
        </w:tc>
        <w:tc>
          <w:tcPr>
            <w:tcW w:w="1473" w:type="dxa"/>
            <w:noWrap/>
            <w:hideMark/>
          </w:tcPr>
          <w:p w14:paraId="1263F95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2.46±0.02</w:t>
            </w:r>
            <w:r w:rsidRPr="00EE2CED">
              <w:rPr>
                <w:rFonts w:ascii="Arial" w:hAnsi="Arial" w:cs="Arial"/>
                <w:sz w:val="20"/>
                <w:szCs w:val="20"/>
                <w:vertAlign w:val="superscript"/>
              </w:rPr>
              <w:t>a</w:t>
            </w:r>
          </w:p>
        </w:tc>
        <w:tc>
          <w:tcPr>
            <w:tcW w:w="1561" w:type="dxa"/>
            <w:noWrap/>
            <w:hideMark/>
          </w:tcPr>
          <w:p w14:paraId="2060519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2.79±0.39</w:t>
            </w:r>
            <w:r w:rsidRPr="00EE2CED">
              <w:rPr>
                <w:rFonts w:ascii="Arial" w:hAnsi="Arial" w:cs="Arial"/>
                <w:sz w:val="20"/>
                <w:szCs w:val="20"/>
                <w:vertAlign w:val="superscript"/>
              </w:rPr>
              <w:t>def</w:t>
            </w:r>
          </w:p>
        </w:tc>
        <w:tc>
          <w:tcPr>
            <w:tcW w:w="1521" w:type="dxa"/>
            <w:noWrap/>
            <w:hideMark/>
          </w:tcPr>
          <w:p w14:paraId="2A2724C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25.84±0.11</w:t>
            </w:r>
            <w:r w:rsidRPr="00EE2CED">
              <w:rPr>
                <w:rFonts w:ascii="Arial" w:hAnsi="Arial" w:cs="Arial"/>
                <w:sz w:val="20"/>
                <w:szCs w:val="20"/>
                <w:vertAlign w:val="superscript"/>
              </w:rPr>
              <w:t>de</w:t>
            </w:r>
          </w:p>
        </w:tc>
        <w:tc>
          <w:tcPr>
            <w:tcW w:w="1652" w:type="dxa"/>
            <w:noWrap/>
            <w:hideMark/>
          </w:tcPr>
          <w:p w14:paraId="3ABA1FF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71.30±0.62</w:t>
            </w:r>
            <w:r w:rsidRPr="00EE2CED">
              <w:rPr>
                <w:rFonts w:ascii="Arial" w:hAnsi="Arial" w:cs="Arial"/>
                <w:sz w:val="20"/>
                <w:szCs w:val="20"/>
                <w:vertAlign w:val="superscript"/>
              </w:rPr>
              <w:t>bcd</w:t>
            </w:r>
          </w:p>
        </w:tc>
        <w:tc>
          <w:tcPr>
            <w:tcW w:w="1530" w:type="dxa"/>
            <w:noWrap/>
            <w:hideMark/>
          </w:tcPr>
          <w:p w14:paraId="1167FE8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19.49±0.27</w:t>
            </w:r>
            <w:r w:rsidRPr="00EE2CED">
              <w:rPr>
                <w:rFonts w:ascii="Arial" w:hAnsi="Arial" w:cs="Arial"/>
                <w:sz w:val="20"/>
                <w:szCs w:val="20"/>
                <w:vertAlign w:val="superscript"/>
              </w:rPr>
              <w:t>f</w:t>
            </w:r>
          </w:p>
        </w:tc>
        <w:tc>
          <w:tcPr>
            <w:tcW w:w="1410" w:type="dxa"/>
            <w:noWrap/>
            <w:hideMark/>
          </w:tcPr>
          <w:p w14:paraId="5D9C275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4.35±0.02</w:t>
            </w:r>
            <w:r w:rsidRPr="00EE2CED">
              <w:rPr>
                <w:rFonts w:ascii="Arial" w:hAnsi="Arial" w:cs="Arial"/>
                <w:sz w:val="20"/>
                <w:szCs w:val="20"/>
                <w:vertAlign w:val="superscript"/>
              </w:rPr>
              <w:t>def</w:t>
            </w:r>
          </w:p>
        </w:tc>
      </w:tr>
      <w:tr w:rsidR="00EE2CED" w:rsidRPr="00EE2CED" w14:paraId="211B0919" w14:textId="77777777" w:rsidTr="005F2DCC">
        <w:trPr>
          <w:trHeight w:val="332"/>
          <w:jc w:val="center"/>
        </w:trPr>
        <w:tc>
          <w:tcPr>
            <w:tcW w:w="1125" w:type="dxa"/>
            <w:noWrap/>
            <w:hideMark/>
          </w:tcPr>
          <w:p w14:paraId="20122D8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MI- 0034</w:t>
            </w:r>
          </w:p>
        </w:tc>
        <w:tc>
          <w:tcPr>
            <w:tcW w:w="1473" w:type="dxa"/>
            <w:noWrap/>
            <w:hideMark/>
          </w:tcPr>
          <w:p w14:paraId="746A068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1.73±0.23</w:t>
            </w:r>
            <w:r w:rsidRPr="00EE2CED">
              <w:rPr>
                <w:rFonts w:ascii="Arial" w:hAnsi="Arial" w:cs="Arial"/>
                <w:sz w:val="20"/>
                <w:szCs w:val="20"/>
                <w:vertAlign w:val="superscript"/>
              </w:rPr>
              <w:t>b</w:t>
            </w:r>
          </w:p>
        </w:tc>
        <w:tc>
          <w:tcPr>
            <w:tcW w:w="1561" w:type="dxa"/>
            <w:noWrap/>
            <w:hideMark/>
          </w:tcPr>
          <w:p w14:paraId="2288A15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3.23±0.04</w:t>
            </w:r>
            <w:r w:rsidRPr="00EE2CED">
              <w:rPr>
                <w:rFonts w:ascii="Arial" w:hAnsi="Arial" w:cs="Arial"/>
                <w:sz w:val="20"/>
                <w:szCs w:val="20"/>
                <w:vertAlign w:val="superscript"/>
              </w:rPr>
              <w:t>abcde</w:t>
            </w:r>
          </w:p>
        </w:tc>
        <w:tc>
          <w:tcPr>
            <w:tcW w:w="1521" w:type="dxa"/>
            <w:noWrap/>
            <w:hideMark/>
          </w:tcPr>
          <w:p w14:paraId="6EA240A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23.48±0.19</w:t>
            </w:r>
            <w:r w:rsidRPr="00EE2CED">
              <w:rPr>
                <w:rFonts w:ascii="Arial" w:hAnsi="Arial" w:cs="Arial"/>
                <w:sz w:val="20"/>
                <w:szCs w:val="20"/>
                <w:vertAlign w:val="superscript"/>
              </w:rPr>
              <w:t>i</w:t>
            </w:r>
          </w:p>
        </w:tc>
        <w:tc>
          <w:tcPr>
            <w:tcW w:w="1652" w:type="dxa"/>
            <w:noWrap/>
            <w:hideMark/>
          </w:tcPr>
          <w:p w14:paraId="6197FD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73.28±0.19</w:t>
            </w:r>
            <w:r w:rsidRPr="00EE2CED">
              <w:rPr>
                <w:rFonts w:ascii="Arial" w:hAnsi="Arial" w:cs="Arial"/>
                <w:sz w:val="20"/>
                <w:szCs w:val="20"/>
                <w:vertAlign w:val="superscript"/>
              </w:rPr>
              <w:t>a</w:t>
            </w:r>
          </w:p>
        </w:tc>
        <w:tc>
          <w:tcPr>
            <w:tcW w:w="1530" w:type="dxa"/>
            <w:noWrap/>
            <w:hideMark/>
          </w:tcPr>
          <w:p w14:paraId="1EF50EE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16.76±0.43</w:t>
            </w:r>
            <w:r w:rsidRPr="00EE2CED">
              <w:rPr>
                <w:rFonts w:ascii="Arial" w:hAnsi="Arial" w:cs="Arial"/>
                <w:sz w:val="20"/>
                <w:szCs w:val="20"/>
                <w:vertAlign w:val="superscript"/>
              </w:rPr>
              <w:t>g</w:t>
            </w:r>
          </w:p>
        </w:tc>
        <w:tc>
          <w:tcPr>
            <w:tcW w:w="1410" w:type="dxa"/>
            <w:noWrap/>
            <w:hideMark/>
          </w:tcPr>
          <w:p w14:paraId="3A49179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4.67±0.05</w:t>
            </w:r>
            <w:r w:rsidRPr="00EE2CED">
              <w:rPr>
                <w:rFonts w:ascii="Arial" w:hAnsi="Arial" w:cs="Arial"/>
                <w:sz w:val="20"/>
                <w:szCs w:val="20"/>
                <w:vertAlign w:val="superscript"/>
              </w:rPr>
              <w:t>a</w:t>
            </w:r>
          </w:p>
        </w:tc>
      </w:tr>
      <w:tr w:rsidR="00EE2CED" w:rsidRPr="00EE2CED" w14:paraId="060B22AF" w14:textId="77777777" w:rsidTr="005F2DCC">
        <w:trPr>
          <w:trHeight w:val="368"/>
          <w:jc w:val="center"/>
        </w:trPr>
        <w:tc>
          <w:tcPr>
            <w:tcW w:w="1125" w:type="dxa"/>
            <w:noWrap/>
            <w:hideMark/>
          </w:tcPr>
          <w:p w14:paraId="2538C69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MI- 0818</w:t>
            </w:r>
          </w:p>
        </w:tc>
        <w:tc>
          <w:tcPr>
            <w:tcW w:w="1473" w:type="dxa"/>
            <w:noWrap/>
            <w:hideMark/>
          </w:tcPr>
          <w:p w14:paraId="0E2880A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1.15±0.04</w:t>
            </w:r>
            <w:r w:rsidRPr="00EE2CED">
              <w:rPr>
                <w:rFonts w:ascii="Arial" w:hAnsi="Arial" w:cs="Arial"/>
                <w:sz w:val="20"/>
                <w:szCs w:val="20"/>
                <w:vertAlign w:val="superscript"/>
              </w:rPr>
              <w:t>cde</w:t>
            </w:r>
          </w:p>
        </w:tc>
        <w:tc>
          <w:tcPr>
            <w:tcW w:w="1561" w:type="dxa"/>
            <w:noWrap/>
            <w:hideMark/>
          </w:tcPr>
          <w:p w14:paraId="42DB632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2.67±0.18</w:t>
            </w:r>
            <w:r w:rsidRPr="00EE2CED">
              <w:rPr>
                <w:rFonts w:ascii="Arial" w:hAnsi="Arial" w:cs="Arial"/>
                <w:sz w:val="20"/>
                <w:szCs w:val="20"/>
                <w:vertAlign w:val="superscript"/>
              </w:rPr>
              <w:t>ef</w:t>
            </w:r>
          </w:p>
        </w:tc>
        <w:tc>
          <w:tcPr>
            <w:tcW w:w="1521" w:type="dxa"/>
            <w:noWrap/>
            <w:hideMark/>
          </w:tcPr>
          <w:p w14:paraId="7578822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25.91±0.09</w:t>
            </w:r>
            <w:r w:rsidRPr="00EE2CED">
              <w:rPr>
                <w:rFonts w:ascii="Arial" w:hAnsi="Arial" w:cs="Arial"/>
                <w:sz w:val="20"/>
                <w:szCs w:val="20"/>
                <w:vertAlign w:val="superscript"/>
              </w:rPr>
              <w:t>de</w:t>
            </w:r>
          </w:p>
        </w:tc>
        <w:tc>
          <w:tcPr>
            <w:tcW w:w="1652" w:type="dxa"/>
            <w:noWrap/>
            <w:hideMark/>
          </w:tcPr>
          <w:p w14:paraId="2B25CC9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69.84±0.96</w:t>
            </w:r>
            <w:r w:rsidRPr="00EE2CED">
              <w:rPr>
                <w:rFonts w:ascii="Arial" w:hAnsi="Arial" w:cs="Arial"/>
                <w:sz w:val="20"/>
                <w:szCs w:val="20"/>
                <w:vertAlign w:val="superscript"/>
              </w:rPr>
              <w:t>efgh</w:t>
            </w:r>
          </w:p>
        </w:tc>
        <w:tc>
          <w:tcPr>
            <w:tcW w:w="1530" w:type="dxa"/>
            <w:noWrap/>
            <w:hideMark/>
          </w:tcPr>
          <w:p w14:paraId="6427709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21.54±0.17</w:t>
            </w:r>
            <w:r w:rsidRPr="00EE2CED">
              <w:rPr>
                <w:rFonts w:ascii="Arial" w:hAnsi="Arial" w:cs="Arial"/>
                <w:sz w:val="20"/>
                <w:szCs w:val="20"/>
                <w:vertAlign w:val="superscript"/>
              </w:rPr>
              <w:t>bc</w:t>
            </w:r>
          </w:p>
        </w:tc>
        <w:tc>
          <w:tcPr>
            <w:tcW w:w="1410" w:type="dxa"/>
            <w:noWrap/>
            <w:hideMark/>
          </w:tcPr>
          <w:p w14:paraId="5817044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3.95±0.00</w:t>
            </w:r>
            <w:r w:rsidRPr="00EE2CED">
              <w:rPr>
                <w:rFonts w:ascii="Arial" w:hAnsi="Arial" w:cs="Arial"/>
                <w:sz w:val="20"/>
                <w:szCs w:val="20"/>
                <w:vertAlign w:val="superscript"/>
              </w:rPr>
              <w:t>j</w:t>
            </w:r>
          </w:p>
        </w:tc>
      </w:tr>
      <w:tr w:rsidR="00EE2CED" w:rsidRPr="00EE2CED" w14:paraId="63780104" w14:textId="77777777" w:rsidTr="005F2DCC">
        <w:trPr>
          <w:trHeight w:val="242"/>
          <w:jc w:val="center"/>
        </w:trPr>
        <w:tc>
          <w:tcPr>
            <w:tcW w:w="1125" w:type="dxa"/>
            <w:noWrap/>
            <w:hideMark/>
          </w:tcPr>
          <w:p w14:paraId="743E4AB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MI- 0845</w:t>
            </w:r>
          </w:p>
        </w:tc>
        <w:tc>
          <w:tcPr>
            <w:tcW w:w="1473" w:type="dxa"/>
            <w:noWrap/>
            <w:hideMark/>
          </w:tcPr>
          <w:p w14:paraId="14C5690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0.87±0.04</w:t>
            </w:r>
            <w:r w:rsidRPr="00EE2CED">
              <w:rPr>
                <w:rFonts w:ascii="Arial" w:hAnsi="Arial" w:cs="Arial"/>
                <w:sz w:val="20"/>
                <w:szCs w:val="20"/>
                <w:vertAlign w:val="superscript"/>
              </w:rPr>
              <w:t>efg</w:t>
            </w:r>
          </w:p>
        </w:tc>
        <w:tc>
          <w:tcPr>
            <w:tcW w:w="1561" w:type="dxa"/>
            <w:noWrap/>
            <w:hideMark/>
          </w:tcPr>
          <w:p w14:paraId="745C33C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3.79±0.42</w:t>
            </w:r>
            <w:r w:rsidRPr="00EE2CED">
              <w:rPr>
                <w:rFonts w:ascii="Arial" w:hAnsi="Arial" w:cs="Arial"/>
                <w:sz w:val="20"/>
                <w:szCs w:val="20"/>
                <w:vertAlign w:val="superscript"/>
              </w:rPr>
              <w:t>a</w:t>
            </w:r>
          </w:p>
        </w:tc>
        <w:tc>
          <w:tcPr>
            <w:tcW w:w="1521" w:type="dxa"/>
            <w:noWrap/>
            <w:hideMark/>
          </w:tcPr>
          <w:p w14:paraId="103C00A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28.41±0.14</w:t>
            </w:r>
            <w:r w:rsidRPr="00EE2CED">
              <w:rPr>
                <w:rFonts w:ascii="Arial" w:hAnsi="Arial" w:cs="Arial"/>
                <w:sz w:val="20"/>
                <w:szCs w:val="20"/>
                <w:vertAlign w:val="superscript"/>
              </w:rPr>
              <w:t>a</w:t>
            </w:r>
          </w:p>
        </w:tc>
        <w:tc>
          <w:tcPr>
            <w:tcW w:w="1652" w:type="dxa"/>
            <w:noWrap/>
            <w:hideMark/>
          </w:tcPr>
          <w:p w14:paraId="68F22E6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70.84±0.32</w:t>
            </w:r>
            <w:r w:rsidRPr="00EE2CED">
              <w:rPr>
                <w:rFonts w:ascii="Arial" w:hAnsi="Arial" w:cs="Arial"/>
                <w:sz w:val="20"/>
                <w:szCs w:val="20"/>
                <w:vertAlign w:val="superscript"/>
              </w:rPr>
              <w:t>h</w:t>
            </w:r>
          </w:p>
        </w:tc>
        <w:tc>
          <w:tcPr>
            <w:tcW w:w="1530" w:type="dxa"/>
            <w:noWrap/>
            <w:hideMark/>
          </w:tcPr>
          <w:p w14:paraId="2DEC266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15.71±0.20</w:t>
            </w:r>
            <w:r w:rsidRPr="00EE2CED">
              <w:rPr>
                <w:rFonts w:ascii="Arial" w:hAnsi="Arial" w:cs="Arial"/>
                <w:sz w:val="20"/>
                <w:szCs w:val="20"/>
                <w:vertAlign w:val="superscript"/>
              </w:rPr>
              <w:t>h</w:t>
            </w:r>
          </w:p>
        </w:tc>
        <w:tc>
          <w:tcPr>
            <w:tcW w:w="1410" w:type="dxa"/>
            <w:noWrap/>
            <w:hideMark/>
          </w:tcPr>
          <w:p w14:paraId="5789FB3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4.44±0.01</w:t>
            </w:r>
            <w:r w:rsidRPr="00EE2CED">
              <w:rPr>
                <w:rFonts w:ascii="Arial" w:hAnsi="Arial" w:cs="Arial"/>
                <w:sz w:val="20"/>
                <w:szCs w:val="20"/>
                <w:vertAlign w:val="superscript"/>
              </w:rPr>
              <w:t>cd</w:t>
            </w:r>
          </w:p>
        </w:tc>
      </w:tr>
      <w:tr w:rsidR="00EE2CED" w:rsidRPr="00EE2CED" w14:paraId="2A94261A" w14:textId="77777777" w:rsidTr="005F2DCC">
        <w:trPr>
          <w:trHeight w:val="242"/>
          <w:jc w:val="center"/>
        </w:trPr>
        <w:tc>
          <w:tcPr>
            <w:tcW w:w="1125" w:type="dxa"/>
            <w:noWrap/>
            <w:hideMark/>
          </w:tcPr>
          <w:p w14:paraId="0DCBD69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Mean</w:t>
            </w:r>
          </w:p>
        </w:tc>
        <w:tc>
          <w:tcPr>
            <w:tcW w:w="1473" w:type="dxa"/>
            <w:noWrap/>
            <w:hideMark/>
          </w:tcPr>
          <w:p w14:paraId="5FF4140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1.25</w:t>
            </w:r>
          </w:p>
        </w:tc>
        <w:tc>
          <w:tcPr>
            <w:tcW w:w="1561" w:type="dxa"/>
            <w:noWrap/>
            <w:hideMark/>
          </w:tcPr>
          <w:p w14:paraId="31B2359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3.06</w:t>
            </w:r>
          </w:p>
        </w:tc>
        <w:tc>
          <w:tcPr>
            <w:tcW w:w="1521" w:type="dxa"/>
            <w:noWrap/>
            <w:hideMark/>
          </w:tcPr>
          <w:p w14:paraId="1CBE361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25.61</w:t>
            </w:r>
          </w:p>
        </w:tc>
        <w:tc>
          <w:tcPr>
            <w:tcW w:w="1652" w:type="dxa"/>
            <w:noWrap/>
            <w:hideMark/>
          </w:tcPr>
          <w:p w14:paraId="482E33E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70.71</w:t>
            </w:r>
          </w:p>
        </w:tc>
        <w:tc>
          <w:tcPr>
            <w:tcW w:w="1530" w:type="dxa"/>
            <w:noWrap/>
            <w:hideMark/>
          </w:tcPr>
          <w:p w14:paraId="2F8AD29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19.77</w:t>
            </w:r>
          </w:p>
        </w:tc>
        <w:tc>
          <w:tcPr>
            <w:tcW w:w="1410" w:type="dxa"/>
            <w:noWrap/>
            <w:hideMark/>
          </w:tcPr>
          <w:p w14:paraId="7BBD5C8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4.31</w:t>
            </w:r>
          </w:p>
        </w:tc>
      </w:tr>
      <w:tr w:rsidR="00EE2CED" w:rsidRPr="00EE2CED" w14:paraId="2E46D2C5" w14:textId="77777777" w:rsidTr="005F2DCC">
        <w:trPr>
          <w:trHeight w:val="377"/>
          <w:jc w:val="center"/>
        </w:trPr>
        <w:tc>
          <w:tcPr>
            <w:tcW w:w="1125" w:type="dxa"/>
            <w:noWrap/>
            <w:hideMark/>
          </w:tcPr>
          <w:p w14:paraId="1086729D"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value</w:t>
            </w:r>
          </w:p>
        </w:tc>
        <w:tc>
          <w:tcPr>
            <w:tcW w:w="1473" w:type="dxa"/>
            <w:noWrap/>
            <w:hideMark/>
          </w:tcPr>
          <w:p w14:paraId="10E7A93C"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P</w:t>
            </w:r>
            <w:r w:rsidRPr="00EE2CED">
              <w:rPr>
                <w:rFonts w:ascii="Arial" w:hAnsi="Arial" w:cs="Arial"/>
                <w:sz w:val="20"/>
                <w:szCs w:val="20"/>
              </w:rPr>
              <w:t>&lt; 0.05</w:t>
            </w:r>
          </w:p>
        </w:tc>
        <w:tc>
          <w:tcPr>
            <w:tcW w:w="1561" w:type="dxa"/>
            <w:noWrap/>
            <w:hideMark/>
          </w:tcPr>
          <w:p w14:paraId="22541F1E"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&lt; 0.05</w:t>
            </w:r>
          </w:p>
        </w:tc>
        <w:tc>
          <w:tcPr>
            <w:tcW w:w="1521" w:type="dxa"/>
            <w:noWrap/>
            <w:hideMark/>
          </w:tcPr>
          <w:p w14:paraId="103A7DD8"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&lt; 0.05</w:t>
            </w:r>
          </w:p>
        </w:tc>
        <w:tc>
          <w:tcPr>
            <w:tcW w:w="1652" w:type="dxa"/>
            <w:noWrap/>
            <w:hideMark/>
          </w:tcPr>
          <w:p w14:paraId="2EFA86EF"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P</w:t>
            </w:r>
            <w:r w:rsidRPr="00EE2CED">
              <w:rPr>
                <w:rFonts w:ascii="Arial" w:hAnsi="Arial" w:cs="Arial"/>
                <w:sz w:val="20"/>
                <w:szCs w:val="20"/>
              </w:rPr>
              <w:t>&lt; 0.05</w:t>
            </w:r>
          </w:p>
        </w:tc>
        <w:tc>
          <w:tcPr>
            <w:tcW w:w="1530" w:type="dxa"/>
            <w:noWrap/>
            <w:hideMark/>
          </w:tcPr>
          <w:p w14:paraId="5C1752E4"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&lt; 0.05</w:t>
            </w:r>
          </w:p>
        </w:tc>
        <w:tc>
          <w:tcPr>
            <w:tcW w:w="1410" w:type="dxa"/>
            <w:noWrap/>
            <w:hideMark/>
          </w:tcPr>
          <w:p w14:paraId="05D3ED64"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P</w:t>
            </w:r>
            <w:r w:rsidRPr="00EE2CED">
              <w:rPr>
                <w:rFonts w:ascii="Arial" w:hAnsi="Arial" w:cs="Arial"/>
                <w:sz w:val="20"/>
                <w:szCs w:val="20"/>
              </w:rPr>
              <w:t>&lt; 0.05</w:t>
            </w:r>
          </w:p>
        </w:tc>
      </w:tr>
    </w:tbl>
    <w:p w14:paraId="6E10A74E" w14:textId="77777777" w:rsidR="005F2DCC" w:rsidRPr="005F2DCC" w:rsidRDefault="005F2DCC" w:rsidP="005F2DCC">
      <w:pPr>
        <w:spacing w:before="240" w:after="160"/>
        <w:jc w:val="both"/>
        <w:rPr>
          <w:rFonts w:ascii="Arial" w:eastAsia="Calibri" w:hAnsi="Arial" w:cs="Arial"/>
          <w:vertAlign w:val="superscript"/>
        </w:rPr>
      </w:pPr>
      <w:r w:rsidRPr="005F2DCC">
        <w:rPr>
          <w:rFonts w:ascii="Arial" w:eastAsia="Calibri" w:hAnsi="Arial" w:cs="Arial"/>
          <w:vertAlign w:val="superscript"/>
        </w:rPr>
        <w:t xml:space="preserve">*Data expressed as Mean ± S.E. values within the same column with different superscript are significant at </w:t>
      </w:r>
      <w:r w:rsidRPr="005F2DCC">
        <w:rPr>
          <w:rFonts w:ascii="Arial" w:eastAsia="Calibri" w:hAnsi="Arial" w:cs="Arial"/>
          <w:i/>
          <w:vertAlign w:val="superscript"/>
        </w:rPr>
        <w:t>P</w:t>
      </w:r>
      <w:r w:rsidRPr="005F2DCC">
        <w:rPr>
          <w:rFonts w:ascii="Arial" w:eastAsia="Calibri" w:hAnsi="Arial" w:cs="Arial"/>
          <w:vertAlign w:val="superscript"/>
        </w:rPr>
        <w:t>&lt; 0.05 levels of probability.</w:t>
      </w:r>
    </w:p>
    <w:p w14:paraId="0FEF5014" w14:textId="77777777" w:rsidR="00EE2CED" w:rsidRPr="00EE2CED" w:rsidRDefault="005F2DCC" w:rsidP="00EE2CED">
      <w:pPr>
        <w:pStyle w:val="Head1"/>
        <w:jc w:val="both"/>
        <w:rPr>
          <w:rFonts w:ascii="Arial" w:eastAsia="Calibri" w:hAnsi="Arial" w:cs="Arial"/>
          <w:sz w:val="20"/>
        </w:rPr>
      </w:pPr>
      <w:r>
        <w:rPr>
          <w:rFonts w:ascii="Arial" w:hAnsi="Arial" w:cs="Arial"/>
        </w:rPr>
        <w:t xml:space="preserve">3.3 </w:t>
      </w:r>
      <w:r w:rsidR="00EA3378">
        <w:rPr>
          <w:rFonts w:ascii="Arial" w:hAnsi="Arial" w:cs="Arial"/>
          <w:caps w:val="0"/>
        </w:rPr>
        <w:t>A</w:t>
      </w:r>
      <w:r w:rsidR="00EA3378" w:rsidRPr="005F2DCC">
        <w:rPr>
          <w:rFonts w:ascii="Arial" w:hAnsi="Arial" w:cs="Arial"/>
          <w:caps w:val="0"/>
        </w:rPr>
        <w:t>cid insoluble lignin</w:t>
      </w:r>
      <w:r w:rsidRPr="005F2DCC">
        <w:rPr>
          <w:rFonts w:ascii="Arial" w:hAnsi="Arial" w:cs="Arial"/>
        </w:rPr>
        <w:t xml:space="preserve"> (%)</w:t>
      </w:r>
    </w:p>
    <w:p w14:paraId="6ADFC2BD" w14:textId="77777777" w:rsidR="00EA3378" w:rsidRPr="00EA3378" w:rsidRDefault="00EA3378" w:rsidP="00EA3378">
      <w:pPr>
        <w:spacing w:after="160"/>
        <w:jc w:val="both"/>
        <w:rPr>
          <w:rFonts w:ascii="Arial" w:eastAsia="Calibri" w:hAnsi="Arial" w:cs="Arial"/>
          <w:lang w:val="en-IN"/>
        </w:rPr>
      </w:pPr>
      <w:r w:rsidRPr="00EA3378">
        <w:rPr>
          <w:rFonts w:ascii="Arial" w:eastAsia="Calibri" w:hAnsi="Arial" w:cs="Arial"/>
        </w:rPr>
        <w:t xml:space="preserve">Another key property that plays a crucial role is lignin content. Lignin is a polyphenolic compound that is removed during cooking, aiding in the release of cellulose fibers. The primary goal of pulping and bleaching processes in the paper industry is to eliminate lignin. Typically, wood contains lignin in the range of 20% </w:t>
      </w:r>
      <w:r w:rsidRPr="00213A85">
        <w:rPr>
          <w:rFonts w:ascii="Arial" w:eastAsia="Calibri" w:hAnsi="Arial" w:cs="Arial"/>
        </w:rPr>
        <w:t xml:space="preserve">to 30% (Mithilasri </w:t>
      </w:r>
      <w:r w:rsidRPr="00213A85">
        <w:rPr>
          <w:rFonts w:ascii="Arial" w:eastAsia="Calibri" w:hAnsi="Arial" w:cs="Arial"/>
          <w:i/>
        </w:rPr>
        <w:t>et al.,</w:t>
      </w:r>
      <w:r w:rsidRPr="00213A85">
        <w:rPr>
          <w:rFonts w:ascii="Arial" w:eastAsia="Calibri" w:hAnsi="Arial" w:cs="Arial"/>
        </w:rPr>
        <w:t xml:space="preserve"> 2024). Lignin</w:t>
      </w:r>
      <w:r w:rsidRPr="00EA3378">
        <w:rPr>
          <w:rFonts w:ascii="Arial" w:eastAsia="Calibri" w:hAnsi="Arial" w:cs="Arial"/>
        </w:rPr>
        <w:t xml:space="preserve"> content is linked to hardness, bleachability and various other pulp </w:t>
      </w:r>
      <w:r w:rsidRPr="009F7358">
        <w:rPr>
          <w:rFonts w:ascii="Arial" w:eastAsia="Calibri" w:hAnsi="Arial" w:cs="Arial"/>
        </w:rPr>
        <w:t xml:space="preserve">properties </w:t>
      </w:r>
      <w:r w:rsidR="009F7358" w:rsidRPr="009F7358">
        <w:rPr>
          <w:rFonts w:ascii="Arial" w:eastAsia="Calibri" w:hAnsi="Arial" w:cs="Arial"/>
        </w:rPr>
        <w:t xml:space="preserve">(Dutt </w:t>
      </w:r>
      <w:r w:rsidR="00AA79C7" w:rsidRPr="00AA79C7">
        <w:rPr>
          <w:rFonts w:ascii="Arial" w:eastAsia="Calibri" w:hAnsi="Arial" w:cs="Arial"/>
        </w:rPr>
        <w:t xml:space="preserve">and Tyagi, </w:t>
      </w:r>
      <w:r w:rsidRPr="00AA79C7">
        <w:rPr>
          <w:rFonts w:ascii="Arial" w:eastAsia="Calibri" w:hAnsi="Arial" w:cs="Arial"/>
        </w:rPr>
        <w:t>2011</w:t>
      </w:r>
      <w:r w:rsidRPr="009F7358">
        <w:rPr>
          <w:rFonts w:ascii="Arial" w:eastAsia="Calibri" w:hAnsi="Arial" w:cs="Arial"/>
        </w:rPr>
        <w:t>). Different pulping and bleaching processes are carried out depending on the amount of ligni</w:t>
      </w:r>
      <w:r w:rsidRPr="00EA3378">
        <w:rPr>
          <w:rFonts w:ascii="Arial" w:eastAsia="Calibri" w:hAnsi="Arial" w:cs="Arial"/>
        </w:rPr>
        <w:t xml:space="preserve">n present in any raw material, necessitating the measurement of lignin concentration in raw </w:t>
      </w:r>
      <w:r w:rsidRPr="009F7358">
        <w:rPr>
          <w:rFonts w:ascii="Arial" w:eastAsia="Calibri" w:hAnsi="Arial" w:cs="Arial"/>
        </w:rPr>
        <w:t xml:space="preserve">materials (Sharma </w:t>
      </w:r>
      <w:r w:rsidRPr="009F7358">
        <w:rPr>
          <w:rFonts w:ascii="Arial" w:eastAsia="Calibri" w:hAnsi="Arial" w:cs="Arial"/>
          <w:i/>
        </w:rPr>
        <w:t>et al.,</w:t>
      </w:r>
      <w:r w:rsidRPr="009F7358">
        <w:rPr>
          <w:rFonts w:ascii="Arial" w:eastAsia="Calibri" w:hAnsi="Arial" w:cs="Arial"/>
        </w:rPr>
        <w:t xml:space="preserve"> 2020). In the present</w:t>
      </w:r>
      <w:r w:rsidRPr="00EA3378">
        <w:rPr>
          <w:rFonts w:ascii="Arial" w:eastAsia="Calibri" w:hAnsi="Arial" w:cs="Arial"/>
        </w:rPr>
        <w:t xml:space="preserve"> study, the clones were analysed for lignin content, which ranged from 23.48% in MI-0034 to 28.41% in MI-0845 (Table. 2). </w:t>
      </w:r>
      <w:r w:rsidRPr="009F7358">
        <w:rPr>
          <w:rFonts w:ascii="Arial" w:eastAsia="Calibri" w:hAnsi="Arial" w:cs="Arial"/>
        </w:rPr>
        <w:t>Rahman and Jahan (2014) reported</w:t>
      </w:r>
      <w:r w:rsidRPr="00EA3378">
        <w:rPr>
          <w:rFonts w:ascii="Arial" w:eastAsia="Calibri" w:hAnsi="Arial" w:cs="Arial"/>
        </w:rPr>
        <w:t xml:space="preserve"> 23% lignin in </w:t>
      </w:r>
      <w:r w:rsidRPr="00EA3378">
        <w:rPr>
          <w:rFonts w:ascii="Arial" w:eastAsia="Calibri" w:hAnsi="Arial" w:cs="Arial"/>
          <w:i/>
        </w:rPr>
        <w:t>Morus</w:t>
      </w:r>
      <w:r w:rsidRPr="00EA3378">
        <w:rPr>
          <w:rFonts w:ascii="Arial" w:eastAsia="Calibri" w:hAnsi="Arial" w:cs="Arial"/>
        </w:rPr>
        <w:t xml:space="preserve"> species, </w:t>
      </w:r>
      <w:r w:rsidRPr="009F7358">
        <w:rPr>
          <w:rFonts w:ascii="Arial" w:eastAsia="Calibri" w:hAnsi="Arial" w:cs="Arial"/>
        </w:rPr>
        <w:t>while Walia (2013) found</w:t>
      </w:r>
      <w:r w:rsidRPr="00EA3378">
        <w:rPr>
          <w:rFonts w:ascii="Arial" w:eastAsia="Calibri" w:hAnsi="Arial" w:cs="Arial"/>
        </w:rPr>
        <w:t xml:space="preserve"> 21.42% lignin in </w:t>
      </w:r>
      <w:r w:rsidRPr="00EA3378">
        <w:rPr>
          <w:rFonts w:ascii="Arial" w:eastAsia="Calibri" w:hAnsi="Arial" w:cs="Arial"/>
          <w:i/>
        </w:rPr>
        <w:t>Morus nigra</w:t>
      </w:r>
      <w:r w:rsidRPr="00EA3378">
        <w:rPr>
          <w:rFonts w:ascii="Arial" w:eastAsia="Calibri" w:hAnsi="Arial" w:cs="Arial"/>
        </w:rPr>
        <w:t xml:space="preserve"> which was aligning with the current results. The findings of the current study is further strongly supported by the result recorded </w:t>
      </w:r>
      <w:r w:rsidRPr="00213A85">
        <w:rPr>
          <w:rFonts w:ascii="Arial" w:eastAsia="Calibri" w:hAnsi="Arial" w:cs="Arial"/>
        </w:rPr>
        <w:t>by Vennila and Parthiban (2021)</w:t>
      </w:r>
      <w:r w:rsidRPr="006D342E">
        <w:rPr>
          <w:rFonts w:ascii="Arial" w:eastAsia="Calibri" w:hAnsi="Arial" w:cs="Arial"/>
        </w:rPr>
        <w:t xml:space="preserve">and Neiva </w:t>
      </w:r>
      <w:r w:rsidRPr="006D342E">
        <w:rPr>
          <w:rFonts w:ascii="Arial" w:eastAsia="Calibri" w:hAnsi="Arial" w:cs="Arial"/>
          <w:i/>
        </w:rPr>
        <w:t>et al.,</w:t>
      </w:r>
      <w:r w:rsidRPr="006D342E">
        <w:rPr>
          <w:rFonts w:ascii="Arial" w:eastAsia="Calibri" w:hAnsi="Arial" w:cs="Arial"/>
        </w:rPr>
        <w:t xml:space="preserve"> (2015), where</w:t>
      </w:r>
      <w:r w:rsidRPr="00EA3378">
        <w:rPr>
          <w:rFonts w:ascii="Arial" w:eastAsia="Calibri" w:hAnsi="Arial" w:cs="Arial"/>
        </w:rPr>
        <w:t xml:space="preserve"> similar range of lignin content was observed for different tree species amenable for pulp and paper production. The lignin content recorded in the present analysis was recorded comparatively lower than the lignin content of </w:t>
      </w:r>
      <w:r w:rsidRPr="00EA3378">
        <w:rPr>
          <w:rFonts w:ascii="Arial" w:eastAsia="Calibri" w:hAnsi="Arial" w:cs="Arial"/>
          <w:i/>
          <w:iCs/>
        </w:rPr>
        <w:t>Pinus densiflora</w:t>
      </w:r>
      <w:r w:rsidRPr="00EA3378">
        <w:rPr>
          <w:rFonts w:ascii="Arial" w:eastAsia="Calibri" w:hAnsi="Arial" w:cs="Arial"/>
          <w:iCs/>
        </w:rPr>
        <w:t xml:space="preserve"> (43.24%) and </w:t>
      </w:r>
      <w:r w:rsidRPr="00EA3378">
        <w:rPr>
          <w:rFonts w:ascii="Arial" w:eastAsia="Calibri" w:hAnsi="Arial" w:cs="Arial"/>
          <w:i/>
          <w:iCs/>
        </w:rPr>
        <w:t>Eucalyptus globulus</w:t>
      </w:r>
      <w:r w:rsidRPr="00EA3378">
        <w:rPr>
          <w:rFonts w:ascii="Arial" w:eastAsia="Calibri" w:hAnsi="Arial" w:cs="Arial"/>
          <w:iCs/>
        </w:rPr>
        <w:t xml:space="preserve"> (29.9</w:t>
      </w:r>
      <w:r w:rsidRPr="006D342E">
        <w:rPr>
          <w:rFonts w:ascii="Arial" w:eastAsia="Calibri" w:hAnsi="Arial" w:cs="Arial"/>
          <w:iCs/>
        </w:rPr>
        <w:t xml:space="preserve">%) (Lal </w:t>
      </w:r>
      <w:r w:rsidRPr="006D342E">
        <w:rPr>
          <w:rFonts w:ascii="Arial" w:eastAsia="Calibri" w:hAnsi="Arial" w:cs="Arial"/>
          <w:i/>
          <w:iCs/>
        </w:rPr>
        <w:t>et al.,</w:t>
      </w:r>
      <w:r w:rsidRPr="006D342E">
        <w:rPr>
          <w:rFonts w:ascii="Arial" w:eastAsia="Calibri" w:hAnsi="Arial" w:cs="Arial"/>
          <w:iCs/>
        </w:rPr>
        <w:t xml:space="preserve"> 2013). These</w:t>
      </w:r>
      <w:r w:rsidRPr="00EA3378">
        <w:rPr>
          <w:rFonts w:ascii="Arial" w:eastAsia="Calibri" w:hAnsi="Arial" w:cs="Arial"/>
          <w:iCs/>
        </w:rPr>
        <w:t xml:space="preserve"> findings highlighted the potentiality of mulberry clones for pulp and paper production and future scope of utilisation of mulberry in paper industry.</w:t>
      </w:r>
    </w:p>
    <w:p w14:paraId="253EC4B2" w14:textId="77777777" w:rsidR="00EA3378" w:rsidRDefault="00EA3378" w:rsidP="00EA3378">
      <w:pPr>
        <w:pStyle w:val="Head1"/>
        <w:jc w:val="both"/>
        <w:rPr>
          <w:rFonts w:ascii="Arial" w:hAnsi="Arial" w:cs="Arial"/>
          <w:caps w:val="0"/>
        </w:rPr>
      </w:pPr>
      <w:r>
        <w:rPr>
          <w:rFonts w:ascii="Arial" w:hAnsi="Arial" w:cs="Arial"/>
        </w:rPr>
        <w:t xml:space="preserve">3.4 </w:t>
      </w:r>
      <w:r w:rsidRPr="00EA3378">
        <w:rPr>
          <w:rFonts w:ascii="Arial" w:hAnsi="Arial" w:cs="Arial"/>
          <w:caps w:val="0"/>
        </w:rPr>
        <w:t>Hollocellulose (%)</w:t>
      </w:r>
    </w:p>
    <w:p w14:paraId="740CBA33" w14:textId="77777777" w:rsidR="00EA3378" w:rsidRPr="00EA3378" w:rsidRDefault="00EA3378" w:rsidP="00EA3378">
      <w:pPr>
        <w:spacing w:after="160"/>
        <w:ind w:firstLine="720"/>
        <w:contextualSpacing/>
        <w:jc w:val="both"/>
        <w:rPr>
          <w:rFonts w:ascii="Arial" w:eastAsia="Calibri" w:hAnsi="Arial" w:cs="Arial"/>
        </w:rPr>
      </w:pPr>
      <w:r w:rsidRPr="00EA3378">
        <w:rPr>
          <w:rFonts w:ascii="Arial" w:eastAsia="Calibri" w:hAnsi="Arial" w:cs="Arial"/>
        </w:rPr>
        <w:t xml:space="preserve">Holocellulose is a key and significant component of wood, consisting of both cellulose and hemicellulose. Typically, holocellulose makes up about 65% to 70% of a plant's dry weight. The amount of holocellulose in wood provides insight into its suitability for pulp and paper production. In the present study the clones were analysed for their holocellulose content, which ranged from 68.68% in clone MI-0532 to 73.28% in clone MI-0034 (Table. 2). Among these, 12 clones exhibited holocellulose content exceeding 70%, while 5 clones had holocellulose content above 65%. </w:t>
      </w:r>
      <w:r w:rsidRPr="00AA79C7">
        <w:rPr>
          <w:rFonts w:ascii="Arial" w:eastAsia="Calibri" w:hAnsi="Arial" w:cs="Arial"/>
        </w:rPr>
        <w:t xml:space="preserve">According to </w:t>
      </w:r>
      <w:r w:rsidR="003914B2" w:rsidRPr="00AA79C7">
        <w:rPr>
          <w:rFonts w:ascii="Arial" w:eastAsia="Calibri" w:hAnsi="Arial" w:cs="Arial"/>
        </w:rPr>
        <w:fldChar w:fldCharType="begin"/>
      </w:r>
      <w:r w:rsidRPr="00AA79C7">
        <w:rPr>
          <w:rFonts w:ascii="Arial" w:eastAsia="Calibri" w:hAnsi="Arial" w:cs="Arial"/>
        </w:rPr>
        <w:instrText xml:space="preserve"> ADDIN EN.CITE &lt;EndNote&gt;&lt;Cite AuthorYear="1"&gt;&lt;Author&gt;Hatta&lt;/Author&gt;&lt;Year&gt;2013&lt;/Year&gt;&lt;RecNum&gt;419&lt;/RecNum&gt;&lt;DisplayText&gt;Hatta (2013)&lt;/DisplayText&gt;&lt;record&gt;&lt;rec-number&gt;419&lt;/rec-number&gt;&lt;foreign-keys&gt;&lt;key app="EN" db-id="2aaefe2xje5dwyestdopwsp32fwavaxrv9zx" timestamp="1726315173"&gt;419&lt;/key&gt;&lt;key app="ENWeb" db-id=""&gt;0&lt;/key&gt;&lt;/foreign-keys&gt;&lt;ref-type name="Journal Article"&gt;17&lt;/ref-type&gt;&lt;contributors&gt;&lt;authors&gt;&lt;author&gt;Hatta, ZM&lt;/author&gt;&lt;/authors&gt;&lt;/contributors&gt;&lt;titles&gt;&lt;title&gt;Chemical composition and morphological of cocoa pod husk and cassava peels for pulp and paper production&lt;/title&gt;&lt;secondary-title&gt;Australian Journal of Basic and Applied Sciences&lt;/secondary-title&gt;&lt;/titles&gt;&lt;periodical&gt;&lt;full-title&gt;Australian Journal of Basic and Applied Sciences&lt;/full-title&gt;&lt;/periodical&gt;&lt;pages&gt;406-411&lt;/pages&gt;&lt;volume&gt;&lt;style face="bold" font="default" size="100%"&gt;7&lt;/style&gt;&lt;/volume&gt;&lt;number&gt;9&lt;/number&gt;&lt;dates&gt;&lt;year&gt;2013&lt;/year&gt;&lt;/dates&gt;&lt;isbn&gt;1991-8178&lt;/isbn&gt;&lt;urls&gt;&lt;/urls&gt;&lt;/record&gt;&lt;/Cite&gt;&lt;/EndNote&gt;</w:instrText>
      </w:r>
      <w:r w:rsidR="003914B2" w:rsidRPr="00AA79C7">
        <w:rPr>
          <w:rFonts w:ascii="Arial" w:eastAsia="Calibri" w:hAnsi="Arial" w:cs="Arial"/>
        </w:rPr>
        <w:fldChar w:fldCharType="separate"/>
      </w:r>
      <w:r w:rsidRPr="00AA79C7">
        <w:rPr>
          <w:rFonts w:ascii="Arial" w:eastAsia="Calibri" w:hAnsi="Arial" w:cs="Arial"/>
          <w:noProof/>
        </w:rPr>
        <w:t>Hatta (2013)</w:t>
      </w:r>
      <w:r w:rsidR="003914B2" w:rsidRPr="00AA79C7">
        <w:rPr>
          <w:rFonts w:ascii="Arial" w:eastAsia="Calibri" w:hAnsi="Arial" w:cs="Arial"/>
        </w:rPr>
        <w:fldChar w:fldCharType="end"/>
      </w:r>
      <w:r w:rsidRPr="00AA79C7">
        <w:rPr>
          <w:rFonts w:ascii="Arial" w:eastAsia="Calibri" w:hAnsi="Arial" w:cs="Arial"/>
        </w:rPr>
        <w:t>,</w:t>
      </w:r>
      <w:r w:rsidRPr="00EA3378">
        <w:rPr>
          <w:rFonts w:ascii="Arial" w:eastAsia="Calibri" w:hAnsi="Arial" w:cs="Arial"/>
        </w:rPr>
        <w:t xml:space="preserve"> a higher holocellulose concentration is a desirable characteristic for the pulp and paper production process since it represents the maximum pulp yield potential. Therefore, the current study indicates that all the clones are suitable for pulp and paper production. However, three </w:t>
      </w:r>
      <w:r w:rsidRPr="00EA3378">
        <w:rPr>
          <w:rFonts w:ascii="Arial" w:eastAsia="Calibri" w:hAnsi="Arial" w:cs="Arial"/>
        </w:rPr>
        <w:lastRenderedPageBreak/>
        <w:t xml:space="preserve">mulberry clones MI-0034 (73.28%), MI-0174 (72.98%) and MI-0145 (72.17%) stand out for their superior holocellulose content and are receiving particular attention. Comparable outcomes with a holocellulose content of above 70% were noted in </w:t>
      </w:r>
      <w:r w:rsidRPr="00EA3378">
        <w:rPr>
          <w:rFonts w:ascii="Arial" w:eastAsia="Calibri" w:hAnsi="Arial" w:cs="Arial"/>
          <w:i/>
        </w:rPr>
        <w:t xml:space="preserve">Morus </w:t>
      </w:r>
      <w:r w:rsidRPr="00EA3378">
        <w:rPr>
          <w:rFonts w:ascii="Arial" w:eastAsia="Calibri" w:hAnsi="Arial" w:cs="Arial"/>
        </w:rPr>
        <w:t xml:space="preserve">species at varying age </w:t>
      </w:r>
      <w:r w:rsidRPr="00AA79C7">
        <w:rPr>
          <w:rFonts w:ascii="Arial" w:eastAsia="Calibri" w:hAnsi="Arial" w:cs="Arial"/>
        </w:rPr>
        <w:t xml:space="preserve">grades </w:t>
      </w:r>
      <w:r w:rsidR="003914B2" w:rsidRPr="00AA79C7">
        <w:rPr>
          <w:rFonts w:ascii="Arial" w:eastAsia="Calibri" w:hAnsi="Arial" w:cs="Arial"/>
        </w:rPr>
        <w:fldChar w:fldCharType="begin"/>
      </w:r>
      <w:r w:rsidRPr="00AA79C7">
        <w:rPr>
          <w:rFonts w:ascii="Arial" w:eastAsia="Calibri" w:hAnsi="Arial" w:cs="Arial"/>
        </w:rPr>
        <w:instrText xml:space="preserve"> ADDIN EN.CITE &lt;EndNote&gt;&lt;Cite&gt;&lt;Author&gt;Rahman&lt;/Author&gt;&lt;Year&gt;2014&lt;/Year&gt;&lt;RecNum&gt;309&lt;/RecNum&gt;&lt;DisplayText&gt;(Rahman and Jahan, 2014)&lt;/DisplayText&gt;&lt;record&gt;&lt;rec-number&gt;309&lt;/rec-number&gt;&lt;foreign-keys&gt;&lt;key app="EN" db-id="2aaefe2xje5dwyestdopwsp32fwavaxrv9zx" timestamp="1726315172"&gt;309&lt;/key&gt;&lt;key app="ENWeb" db-id=""&gt;0&lt;/key&gt;&lt;/foreign-keys&gt;&lt;ref-type name="Journal Article"&gt;17&lt;/ref-type&gt;&lt;contributors&gt;&lt;authors&gt;&lt;author&gt;Rahman, MM&lt;/author&gt;&lt;author&gt;Jahan, MS&lt;/author&gt;&lt;/authors&gt;&lt;/contributors&gt;&lt;titles&gt;&lt;title&gt;Evaluation of mulberry plant as a pulping raw material&lt;/title&gt;&lt;secondary-title&gt;Biomass Conversion and Biorefinery&lt;/secondary-title&gt;&lt;/titles&gt;&lt;periodical&gt;&lt;full-title&gt;Biomass Conversion and Biorefinery&lt;/full-title&gt;&lt;/periodical&gt;&lt;pages&gt;53-58&lt;/pages&gt;&lt;volume&gt;&lt;style face="bold" font="default" size="100%"&gt;4&lt;/style&gt;&lt;/volume&gt;&lt;number&gt;1&lt;/number&gt;&lt;dates&gt;&lt;year&gt;2014&lt;/year&gt;&lt;/dates&gt;&lt;isbn&gt;2190-6815&lt;/isbn&gt;&lt;urls&gt;&lt;/urls&gt;&lt;/record&gt;&lt;/Cite&gt;&lt;/EndNote&gt;</w:instrText>
      </w:r>
      <w:r w:rsidR="003914B2" w:rsidRPr="00AA79C7">
        <w:rPr>
          <w:rFonts w:ascii="Arial" w:eastAsia="Calibri" w:hAnsi="Arial" w:cs="Arial"/>
        </w:rPr>
        <w:fldChar w:fldCharType="separate"/>
      </w:r>
      <w:r w:rsidRPr="00AA79C7">
        <w:rPr>
          <w:rFonts w:ascii="Arial" w:eastAsia="Calibri" w:hAnsi="Arial" w:cs="Arial"/>
          <w:noProof/>
        </w:rPr>
        <w:t>(Rahman and Jahan, 2014)</w:t>
      </w:r>
      <w:r w:rsidR="003914B2" w:rsidRPr="00AA79C7">
        <w:rPr>
          <w:rFonts w:ascii="Arial" w:eastAsia="Calibri" w:hAnsi="Arial" w:cs="Arial"/>
        </w:rPr>
        <w:fldChar w:fldCharType="end"/>
      </w:r>
      <w:r w:rsidRPr="00AA79C7">
        <w:rPr>
          <w:rFonts w:ascii="Arial" w:eastAsia="Calibri" w:hAnsi="Arial" w:cs="Arial"/>
        </w:rPr>
        <w:t>, corroborated</w:t>
      </w:r>
      <w:r w:rsidRPr="00EA3378">
        <w:rPr>
          <w:rFonts w:ascii="Arial" w:eastAsia="Calibri" w:hAnsi="Arial" w:cs="Arial"/>
        </w:rPr>
        <w:t xml:space="preserve"> the present findings. The results of the current study are further supported by the 69% holocellulose content found in </w:t>
      </w:r>
      <w:r w:rsidRPr="00EA3378">
        <w:rPr>
          <w:rFonts w:ascii="Arial" w:eastAsia="Calibri" w:hAnsi="Arial" w:cs="Arial"/>
          <w:i/>
        </w:rPr>
        <w:t>Morus nigra</w:t>
      </w:r>
      <w:r w:rsidR="003914B2" w:rsidRPr="00AA79C7">
        <w:rPr>
          <w:rFonts w:ascii="Arial" w:eastAsia="Calibri" w:hAnsi="Arial" w:cs="Arial"/>
        </w:rPr>
        <w:fldChar w:fldCharType="begin"/>
      </w:r>
      <w:r w:rsidRPr="00AA79C7">
        <w:rPr>
          <w:rFonts w:ascii="Arial" w:eastAsia="Calibri" w:hAnsi="Arial" w:cs="Arial"/>
        </w:rPr>
        <w:instrText xml:space="preserve"> ADDIN EN.CITE &lt;EndNote&gt;&lt;Cite&gt;&lt;Author&gt;Walia&lt;/Author&gt;&lt;Year&gt;2013&lt;/Year&gt;&lt;RecNum&gt;310&lt;/RecNum&gt;&lt;DisplayText&gt;(Walia, 2013)&lt;/DisplayText&gt;&lt;record&gt;&lt;rec-number&gt;310&lt;/rec-number&gt;&lt;foreign-keys&gt;&lt;key app="EN" db-id="2aaefe2xje5dwyestdopwsp32fwavaxrv9zx" timestamp="1726315171"&gt;310&lt;/key&gt;&lt;key app="ENWeb" db-id=""&gt;0&lt;/key&gt;&lt;/foreign-keys&gt;&lt;ref-type name="Journal Article"&gt;17&lt;/ref-type&gt;&lt;contributors&gt;&lt;authors&gt;&lt;author&gt;Walia, YK&lt;/author&gt;&lt;/authors&gt;&lt;/contributors&gt;&lt;titles&gt;&lt;title&gt;&lt;style face="normal" font="default" size="100%"&gt;Chemical and physical analysis of &lt;/style&gt;&lt;style face="italic" font="default" size="100%"&gt;Morus nigra&lt;/style&gt;&lt;style face="normal" font="default" size="100%"&gt; (Black mulberry) for its pulpability&lt;/style&gt;&lt;/title&gt;&lt;secondary-title&gt;Asian Journal of Advanced Basic Sciences&lt;/secondary-title&gt;&lt;/titles&gt;&lt;periodical&gt;&lt;full-title&gt;Asian Journal of Advanced Basic Sciences&lt;/full-title&gt;&lt;/periodical&gt;&lt;pages&gt;40-44&lt;/pages&gt;&lt;volume&gt;&lt;style face="bold" font="default" size="100%"&gt;1&lt;/style&gt;&lt;/volume&gt;&lt;number&gt;1&lt;/number&gt;&lt;dates&gt;&lt;year&gt;2013&lt;/year&gt;&lt;/dates&gt;&lt;urls&gt;&lt;/urls&gt;&lt;/record&gt;&lt;/Cite&gt;&lt;/EndNote&gt;</w:instrText>
      </w:r>
      <w:r w:rsidR="003914B2" w:rsidRPr="00AA79C7">
        <w:rPr>
          <w:rFonts w:ascii="Arial" w:eastAsia="Calibri" w:hAnsi="Arial" w:cs="Arial"/>
        </w:rPr>
        <w:fldChar w:fldCharType="separate"/>
      </w:r>
      <w:r w:rsidRPr="00AA79C7">
        <w:rPr>
          <w:rFonts w:ascii="Arial" w:eastAsia="Calibri" w:hAnsi="Arial" w:cs="Arial"/>
          <w:noProof/>
        </w:rPr>
        <w:t>(Walia, 2013)</w:t>
      </w:r>
      <w:r w:rsidR="003914B2" w:rsidRPr="00AA79C7">
        <w:rPr>
          <w:rFonts w:ascii="Arial" w:eastAsia="Calibri" w:hAnsi="Arial" w:cs="Arial"/>
        </w:rPr>
        <w:fldChar w:fldCharType="end"/>
      </w:r>
      <w:r w:rsidRPr="00AA79C7">
        <w:rPr>
          <w:rFonts w:ascii="Arial" w:eastAsia="Calibri" w:hAnsi="Arial" w:cs="Arial"/>
        </w:rPr>
        <w:t xml:space="preserve">. </w:t>
      </w:r>
      <w:r w:rsidRPr="00E8389C">
        <w:rPr>
          <w:rFonts w:ascii="Arial" w:eastAsia="Calibri" w:hAnsi="Arial" w:cs="Arial"/>
        </w:rPr>
        <w:t xml:space="preserve">According to </w:t>
      </w:r>
      <w:r w:rsidR="003914B2" w:rsidRPr="00E8389C">
        <w:rPr>
          <w:rFonts w:ascii="Arial" w:eastAsia="Calibri" w:hAnsi="Arial" w:cs="Arial"/>
        </w:rPr>
        <w:fldChar w:fldCharType="begin"/>
      </w:r>
      <w:r w:rsidRPr="00E8389C">
        <w:rPr>
          <w:rFonts w:ascii="Arial" w:eastAsia="Calibri" w:hAnsi="Arial" w:cs="Arial"/>
        </w:rPr>
        <w:instrText xml:space="preserve"> ADDIN EN.CITE &lt;EndNote&gt;&lt;Cite AuthorYear="1"&gt;&lt;Author&gt;Parthiban&lt;/Author&gt;&lt;Year&gt;2017&lt;/Year&gt;&lt;RecNum&gt;304&lt;/RecNum&gt;&lt;DisplayText&gt;Parthiban and Seenivasan (2017)&lt;/DisplayText&gt;&lt;record&gt;&lt;rec-number&gt;304&lt;/rec-number&gt;&lt;foreign-keys&gt;&lt;key app="EN" db-id="2aaefe2xje5dwyestdopwsp32fwavaxrv9zx" timestamp="1726315172"&gt;304&lt;/key&gt;&lt;key app="ENWeb" db-id=""&gt;0&lt;/key&gt;&lt;/foreign-keys&gt;&lt;ref-type name="Book"&gt;6&lt;/ref-type&gt;&lt;contributors&gt;&lt;authors&gt;&lt;author&gt;Parthiban, KT&lt;/author&gt;&lt;author&gt;Seenivasan, R&lt;/author&gt;&lt;/authors&gt;&lt;/contributors&gt;&lt;titles&gt;&lt;title&gt;Forestry technologies-a complete value chain approach&lt;/title&gt;&lt;/titles&gt;&lt;dates&gt;&lt;year&gt;2017&lt;/year&gt;&lt;/dates&gt;&lt;publisher&gt;Scientific Publishers&lt;/publisher&gt;&lt;isbn&gt;9387307433&lt;/isbn&gt;&lt;urls&gt;&lt;/urls&gt;&lt;/record&gt;&lt;/Cite&gt;&lt;/EndNote&gt;</w:instrText>
      </w:r>
      <w:r w:rsidR="003914B2" w:rsidRPr="00E8389C">
        <w:rPr>
          <w:rFonts w:ascii="Arial" w:eastAsia="Calibri" w:hAnsi="Arial" w:cs="Arial"/>
        </w:rPr>
        <w:fldChar w:fldCharType="separate"/>
      </w:r>
      <w:r w:rsidRPr="00E8389C">
        <w:rPr>
          <w:rFonts w:ascii="Arial" w:eastAsia="Calibri" w:hAnsi="Arial" w:cs="Arial"/>
          <w:noProof/>
        </w:rPr>
        <w:t>Parthiban and Seenivasan (2017)</w:t>
      </w:r>
      <w:r w:rsidR="003914B2" w:rsidRPr="00E8389C">
        <w:rPr>
          <w:rFonts w:ascii="Arial" w:eastAsia="Calibri" w:hAnsi="Arial" w:cs="Arial"/>
        </w:rPr>
        <w:fldChar w:fldCharType="end"/>
      </w:r>
      <w:r w:rsidRPr="00E8389C">
        <w:rPr>
          <w:rFonts w:ascii="Arial" w:eastAsia="Calibri" w:hAnsi="Arial" w:cs="Arial"/>
        </w:rPr>
        <w:t>,</w:t>
      </w:r>
      <w:r w:rsidRPr="00EA3378">
        <w:rPr>
          <w:rFonts w:ascii="Arial" w:eastAsia="Calibri" w:hAnsi="Arial" w:cs="Arial"/>
        </w:rPr>
        <w:t xml:space="preserve"> the pulp and paper industry generally required species with a holocellulose concentration of greater than </w:t>
      </w:r>
      <w:r w:rsidRPr="00E8389C">
        <w:rPr>
          <w:rFonts w:ascii="Arial" w:eastAsia="Calibri" w:hAnsi="Arial" w:cs="Arial"/>
        </w:rPr>
        <w:t xml:space="preserve">65%. Dutta </w:t>
      </w:r>
      <w:r w:rsidRPr="00E8389C">
        <w:rPr>
          <w:rFonts w:ascii="Arial" w:eastAsia="Calibri" w:hAnsi="Arial" w:cs="Arial"/>
          <w:i/>
        </w:rPr>
        <w:t>et</w:t>
      </w:r>
      <w:r w:rsidR="003F4A3A">
        <w:rPr>
          <w:rFonts w:ascii="Arial" w:eastAsia="Calibri" w:hAnsi="Arial" w:cs="Arial"/>
          <w:i/>
        </w:rPr>
        <w:t xml:space="preserve"> </w:t>
      </w:r>
      <w:r w:rsidRPr="00E8389C">
        <w:rPr>
          <w:rFonts w:ascii="Arial" w:eastAsia="Calibri" w:hAnsi="Arial" w:cs="Arial"/>
          <w:i/>
        </w:rPr>
        <w:t>al.,</w:t>
      </w:r>
      <w:r w:rsidRPr="00E8389C">
        <w:rPr>
          <w:rFonts w:ascii="Arial" w:eastAsia="Calibri" w:hAnsi="Arial" w:cs="Arial"/>
        </w:rPr>
        <w:t xml:space="preserve"> (2009) in their study on </w:t>
      </w:r>
      <w:r w:rsidRPr="00E8389C">
        <w:rPr>
          <w:rFonts w:ascii="Arial" w:eastAsia="Calibri" w:hAnsi="Arial" w:cs="Arial"/>
          <w:i/>
        </w:rPr>
        <w:t>Hibiscus cannabinus</w:t>
      </w:r>
      <w:r w:rsidRPr="00E8389C">
        <w:rPr>
          <w:rFonts w:ascii="Arial" w:eastAsia="Calibri" w:hAnsi="Arial" w:cs="Arial"/>
        </w:rPr>
        <w:t xml:space="preserve"> for pulp properties also recorded a similar</w:t>
      </w:r>
      <w:r w:rsidRPr="00EA3378">
        <w:rPr>
          <w:rFonts w:ascii="Arial" w:eastAsia="Calibri" w:hAnsi="Arial" w:cs="Arial"/>
        </w:rPr>
        <w:t xml:space="preserve"> trend on hollocellulose content of around 71.80% strongly supported the results of the current findings. In light of this, the mulberry clone that was examined for holocellulose in the present study showed that the majority of the clones are suitable for producing paper and provide mulberry as a viable alternative species for pulpwood. </w:t>
      </w:r>
    </w:p>
    <w:p w14:paraId="2750390E" w14:textId="77777777" w:rsidR="00EA3378" w:rsidRDefault="00EA3378" w:rsidP="00EA3378">
      <w:pPr>
        <w:pStyle w:val="Head1"/>
        <w:jc w:val="both"/>
        <w:rPr>
          <w:rFonts w:ascii="Arial" w:hAnsi="Arial" w:cs="Arial"/>
          <w:caps w:val="0"/>
        </w:rPr>
      </w:pPr>
      <w:r>
        <w:rPr>
          <w:rFonts w:ascii="Arial" w:hAnsi="Arial" w:cs="Arial"/>
        </w:rPr>
        <w:t xml:space="preserve">3.5 </w:t>
      </w:r>
      <w:r w:rsidRPr="00EA3378">
        <w:rPr>
          <w:rFonts w:ascii="Arial" w:hAnsi="Arial" w:cs="Arial"/>
          <w:caps w:val="0"/>
        </w:rPr>
        <w:t>1% NaOH solubility (%)</w:t>
      </w:r>
    </w:p>
    <w:p w14:paraId="4BA991BF" w14:textId="77777777" w:rsidR="00EA3378" w:rsidRPr="00EA3378" w:rsidRDefault="00EA3378" w:rsidP="00EA3378">
      <w:pPr>
        <w:spacing w:after="160"/>
        <w:contextualSpacing/>
        <w:jc w:val="both"/>
        <w:rPr>
          <w:rFonts w:ascii="Arial" w:eastAsia="Calibri" w:hAnsi="Arial" w:cs="Arial"/>
        </w:rPr>
      </w:pPr>
      <w:r w:rsidRPr="00EA3378">
        <w:rPr>
          <w:rFonts w:ascii="Arial" w:eastAsia="Calibri" w:hAnsi="Arial" w:cs="Arial"/>
        </w:rPr>
        <w:t xml:space="preserve">NaOH solubility is a key parameter used to assess the microbial decomposition of pulp raw materials and to compare their chemical pulp yields. As </w:t>
      </w:r>
      <w:r w:rsidRPr="00E8389C">
        <w:rPr>
          <w:rFonts w:ascii="Arial" w:eastAsia="Calibri" w:hAnsi="Arial" w:cs="Arial"/>
        </w:rPr>
        <w:t>noted by</w:t>
      </w:r>
      <w:r w:rsidR="002C7657">
        <w:rPr>
          <w:rFonts w:ascii="Arial" w:eastAsia="Calibri" w:hAnsi="Arial" w:cs="Arial"/>
        </w:rPr>
        <w:t xml:space="preserve"> </w:t>
      </w:r>
      <w:r w:rsidRPr="00E8389C">
        <w:rPr>
          <w:rFonts w:ascii="Arial" w:eastAsia="Calibri" w:hAnsi="Arial" w:cs="Arial"/>
        </w:rPr>
        <w:t>Anupam</w:t>
      </w:r>
      <w:r w:rsidRPr="00E8389C">
        <w:rPr>
          <w:rFonts w:ascii="Arial" w:eastAsia="Calibri" w:hAnsi="Arial" w:cs="Arial"/>
          <w:i/>
        </w:rPr>
        <w:t xml:space="preserve"> et al., </w:t>
      </w:r>
      <w:r w:rsidRPr="00E8389C">
        <w:rPr>
          <w:rFonts w:ascii="Arial" w:eastAsia="Calibri" w:hAnsi="Arial" w:cs="Arial"/>
        </w:rPr>
        <w:t>(2014),</w:t>
      </w:r>
      <w:r w:rsidRPr="00EA3378">
        <w:rPr>
          <w:rFonts w:ascii="Arial" w:eastAsia="Calibri" w:hAnsi="Arial" w:cs="Arial"/>
        </w:rPr>
        <w:t xml:space="preserve"> NaOH solubility is directly correlated with the degree of fungal decay and physical degradation caused by environmental factors such as heat, light and atmospheric oxidation. In the current study, the NaOH solubility of the examined mulberry clones varied from 14.50% in MI-0674 to 22.76% in MI-0665 (Table. 2), indicating differences in their susceptibility to degradation. This range aligns with the findings </w:t>
      </w:r>
      <w:r w:rsidRPr="00E8389C">
        <w:rPr>
          <w:rFonts w:ascii="Arial" w:eastAsia="Calibri" w:hAnsi="Arial" w:cs="Arial"/>
        </w:rPr>
        <w:t xml:space="preserve">of Rahman and Jahan (2014), where 23.1% and 21.7% NaOH solubility in 8 month and 12 month old mulberry plants, recorded respectively. Further supporting these results, Dutt </w:t>
      </w:r>
      <w:r w:rsidRPr="00E8389C">
        <w:rPr>
          <w:rFonts w:ascii="Arial" w:eastAsia="Calibri" w:hAnsi="Arial" w:cs="Arial"/>
          <w:i/>
        </w:rPr>
        <w:t>et al.,</w:t>
      </w:r>
      <w:r w:rsidRPr="00E8389C">
        <w:rPr>
          <w:rFonts w:ascii="Arial" w:eastAsia="Calibri" w:hAnsi="Arial" w:cs="Arial"/>
        </w:rPr>
        <w:t xml:space="preserve"> (2009)</w:t>
      </w:r>
      <w:r w:rsidRPr="00EA3378">
        <w:rPr>
          <w:rFonts w:ascii="Arial" w:eastAsia="Calibri" w:hAnsi="Arial" w:cs="Arial"/>
        </w:rPr>
        <w:t xml:space="preserve"> documented NaOH solubility values ranging from 28.5% to 25.80% in </w:t>
      </w:r>
      <w:r w:rsidRPr="00EA3378">
        <w:rPr>
          <w:rFonts w:ascii="Arial" w:eastAsia="Calibri" w:hAnsi="Arial" w:cs="Arial"/>
          <w:i/>
        </w:rPr>
        <w:t>Hibiscus cannabinus</w:t>
      </w:r>
      <w:r w:rsidRPr="00EA3378">
        <w:rPr>
          <w:rFonts w:ascii="Arial" w:eastAsia="Calibri" w:hAnsi="Arial" w:cs="Arial"/>
        </w:rPr>
        <w:t xml:space="preserve"> and </w:t>
      </w:r>
      <w:r w:rsidRPr="00EA3378">
        <w:rPr>
          <w:rFonts w:ascii="Arial" w:eastAsia="Calibri" w:hAnsi="Arial" w:cs="Arial"/>
          <w:i/>
        </w:rPr>
        <w:t>Hibiscus sabdariffa</w:t>
      </w:r>
      <w:r w:rsidRPr="00EA3378">
        <w:rPr>
          <w:rFonts w:ascii="Arial" w:eastAsia="Calibri" w:hAnsi="Arial" w:cs="Arial"/>
        </w:rPr>
        <w:t xml:space="preserve">, respectively, which are consistent with the solubility levels observed in the present study. Additionally, the results are strongly corroborated by the work of </w:t>
      </w:r>
      <w:r w:rsidRPr="00E8389C">
        <w:rPr>
          <w:rFonts w:ascii="Arial" w:eastAsia="Calibri" w:hAnsi="Arial" w:cs="Arial"/>
        </w:rPr>
        <w:t xml:space="preserve">Mithilasri </w:t>
      </w:r>
      <w:r w:rsidRPr="00E8389C">
        <w:rPr>
          <w:rFonts w:ascii="Arial" w:eastAsia="Calibri" w:hAnsi="Arial" w:cs="Arial"/>
          <w:i/>
        </w:rPr>
        <w:t>et al.,</w:t>
      </w:r>
      <w:r w:rsidRPr="00E8389C">
        <w:rPr>
          <w:rFonts w:ascii="Arial" w:eastAsia="Calibri" w:hAnsi="Arial" w:cs="Arial"/>
        </w:rPr>
        <w:t xml:space="preserve"> (2024</w:t>
      </w:r>
      <w:r w:rsidR="002C7657" w:rsidRPr="00E8389C">
        <w:rPr>
          <w:rFonts w:ascii="Arial" w:eastAsia="Calibri" w:hAnsi="Arial" w:cs="Arial"/>
        </w:rPr>
        <w:t>) and</w:t>
      </w:r>
      <w:r w:rsidRPr="00E8389C">
        <w:rPr>
          <w:rFonts w:ascii="Arial" w:eastAsia="Calibri" w:hAnsi="Arial" w:cs="Arial"/>
        </w:rPr>
        <w:t xml:space="preserve"> Anusuya (2019), who also reported similar NaOH solubility ranges among various mulberry</w:t>
      </w:r>
      <w:r w:rsidRPr="00EA3378">
        <w:rPr>
          <w:rFonts w:ascii="Arial" w:eastAsia="Calibri" w:hAnsi="Arial" w:cs="Arial"/>
        </w:rPr>
        <w:t xml:space="preserve"> clones. These findings collectively reinforce the relevance of NaOH solubility as a reliable indicator for evaluating the decomposition and pulp yield potential of mulberry clones.</w:t>
      </w:r>
    </w:p>
    <w:p w14:paraId="4349270D" w14:textId="77777777" w:rsidR="00EA3378" w:rsidRDefault="00EA3378" w:rsidP="00EA3378">
      <w:pPr>
        <w:pStyle w:val="Head1"/>
        <w:jc w:val="both"/>
        <w:rPr>
          <w:rFonts w:ascii="Arial" w:hAnsi="Arial" w:cs="Arial"/>
          <w:caps w:val="0"/>
        </w:rPr>
      </w:pPr>
      <w:r>
        <w:rPr>
          <w:rFonts w:ascii="Arial" w:hAnsi="Arial" w:cs="Arial"/>
        </w:rPr>
        <w:t xml:space="preserve">3.6 </w:t>
      </w:r>
      <w:r w:rsidRPr="00EA3378">
        <w:rPr>
          <w:rFonts w:ascii="Arial" w:hAnsi="Arial" w:cs="Arial"/>
          <w:caps w:val="0"/>
        </w:rPr>
        <w:t>Hot water solubility (%)</w:t>
      </w:r>
    </w:p>
    <w:p w14:paraId="686BEF51" w14:textId="77777777" w:rsidR="00EA3378" w:rsidRPr="00EA3378" w:rsidRDefault="00EA3378" w:rsidP="00EA3378">
      <w:pPr>
        <w:spacing w:after="160"/>
        <w:contextualSpacing/>
        <w:jc w:val="both"/>
        <w:rPr>
          <w:rFonts w:ascii="Arial" w:eastAsia="Calibri" w:hAnsi="Arial" w:cs="Arial"/>
        </w:rPr>
      </w:pPr>
      <w:r w:rsidRPr="00EA3378">
        <w:rPr>
          <w:rFonts w:ascii="Arial" w:eastAsia="Calibri" w:hAnsi="Arial" w:cs="Arial"/>
        </w:rPr>
        <w:t xml:space="preserve">Hot water solubility plays a crucial role in removing inorganic substances such as tannins, gums, resins, sugars, coloring agents and starch from wood, thereby enhancing the uniformity of the material for paper production. In this study, the hot water solubility of mulberry clonal genetic resources was found to range from 3.75% in ME-0174 to 4.67% in MI-0211 and MI-0034 (Table. 2). The top five mulberry clones with the highest hot water solubility include MI-0211 (4.67%), MI-0034 (4.67%), MI-0145 (4.65%), MI-0783 (4.54%), and MI-0845 (4.44%). These findings are consistent with the results reported </w:t>
      </w:r>
      <w:r w:rsidRPr="00E8389C">
        <w:rPr>
          <w:rFonts w:ascii="Arial" w:eastAsia="Calibri" w:hAnsi="Arial" w:cs="Arial"/>
        </w:rPr>
        <w:t xml:space="preserve">by Walia (2013) and Rahman and Jahan (2014), who observed similar hot water solubility levels in mulberry, thereby supporting the current study. The results of the present study was also strongly supported by the findings of Lal </w:t>
      </w:r>
      <w:r w:rsidRPr="00E8389C">
        <w:rPr>
          <w:rFonts w:ascii="Arial" w:eastAsia="Calibri" w:hAnsi="Arial" w:cs="Arial"/>
          <w:i/>
        </w:rPr>
        <w:t>et al.,</w:t>
      </w:r>
      <w:r w:rsidRPr="00E8389C">
        <w:rPr>
          <w:rFonts w:ascii="Arial" w:eastAsia="Calibri" w:hAnsi="Arial" w:cs="Arial"/>
        </w:rPr>
        <w:t xml:space="preserve"> (2013) who recorded a hot water solubility percentage of 4.31% in case of</w:t>
      </w:r>
      <w:r w:rsidRPr="00E8389C">
        <w:rPr>
          <w:rFonts w:ascii="Arial" w:eastAsia="Calibri" w:hAnsi="Arial" w:cs="Arial"/>
          <w:i/>
          <w:iCs/>
        </w:rPr>
        <w:t xml:space="preserve"> Eucalyptus globulus</w:t>
      </w:r>
      <w:r w:rsidRPr="00E8389C">
        <w:rPr>
          <w:rFonts w:ascii="Arial" w:eastAsia="Calibri" w:hAnsi="Arial" w:cs="Arial"/>
          <w:iCs/>
        </w:rPr>
        <w:t>.</w:t>
      </w:r>
      <w:r w:rsidRPr="00E8389C">
        <w:rPr>
          <w:rFonts w:ascii="Arial" w:eastAsia="Calibri" w:hAnsi="Arial" w:cs="Arial"/>
        </w:rPr>
        <w:t xml:space="preserve">  In contrast, Dutt </w:t>
      </w:r>
      <w:r w:rsidRPr="00E8389C">
        <w:rPr>
          <w:rFonts w:ascii="Arial" w:eastAsia="Calibri" w:hAnsi="Arial" w:cs="Arial"/>
          <w:i/>
        </w:rPr>
        <w:t>et al.,</w:t>
      </w:r>
      <w:r w:rsidRPr="00E8389C">
        <w:rPr>
          <w:rFonts w:ascii="Arial" w:eastAsia="Calibri" w:hAnsi="Arial" w:cs="Arial"/>
        </w:rPr>
        <w:t xml:space="preserve"> (2009) documented higher hot water solubility values in </w:t>
      </w:r>
      <w:r w:rsidRPr="00E8389C">
        <w:rPr>
          <w:rFonts w:ascii="Arial" w:eastAsia="Calibri" w:hAnsi="Arial" w:cs="Arial"/>
          <w:i/>
        </w:rPr>
        <w:t>Hibiscus cannabinus</w:t>
      </w:r>
      <w:r w:rsidRPr="00E8389C">
        <w:rPr>
          <w:rFonts w:ascii="Arial" w:eastAsia="Calibri" w:hAnsi="Arial" w:cs="Arial"/>
        </w:rPr>
        <w:t xml:space="preserve"> (6.42%) and </w:t>
      </w:r>
      <w:r w:rsidRPr="00E8389C">
        <w:rPr>
          <w:rFonts w:ascii="Arial" w:eastAsia="Calibri" w:hAnsi="Arial" w:cs="Arial"/>
          <w:i/>
        </w:rPr>
        <w:t>Hibiscus sabdariffa</w:t>
      </w:r>
      <w:r w:rsidRPr="00E8389C">
        <w:rPr>
          <w:rFonts w:ascii="Arial" w:eastAsia="Calibri" w:hAnsi="Arial" w:cs="Arial"/>
        </w:rPr>
        <w:t xml:space="preserve"> (8.24%), which exceed the levels observed in this study. Additionally, the results are further corroborated by Mithilasri </w:t>
      </w:r>
      <w:r w:rsidRPr="00E8389C">
        <w:rPr>
          <w:rFonts w:ascii="Arial" w:eastAsia="Calibri" w:hAnsi="Arial" w:cs="Arial"/>
          <w:i/>
        </w:rPr>
        <w:t>et al.,</w:t>
      </w:r>
      <w:r w:rsidRPr="00E8389C">
        <w:rPr>
          <w:rFonts w:ascii="Arial" w:eastAsia="Calibri" w:hAnsi="Arial" w:cs="Arial"/>
        </w:rPr>
        <w:t xml:space="preserve"> (2024) and Anusuya (2019), who reported similar hot water solubility ranges in mulberry genetic resources (3.95% to 4.83% and 4.09% to 4.71%, respectively), establishing a strong correlation with</w:t>
      </w:r>
      <w:r w:rsidRPr="00EA3378">
        <w:rPr>
          <w:rFonts w:ascii="Arial" w:eastAsia="Calibri" w:hAnsi="Arial" w:cs="Arial"/>
        </w:rPr>
        <w:t xml:space="preserve"> the present findings, further validating the trends observed in this study.</w:t>
      </w:r>
    </w:p>
    <w:p w14:paraId="0FC8EF37" w14:textId="77777777" w:rsidR="00E053D0" w:rsidRDefault="00E053D0" w:rsidP="00441B6F">
      <w:pPr>
        <w:pStyle w:val="Body"/>
        <w:spacing w:after="0"/>
        <w:rPr>
          <w:rFonts w:ascii="Arial" w:hAnsi="Arial" w:cs="Arial"/>
        </w:rPr>
      </w:pPr>
    </w:p>
    <w:p w14:paraId="2A8DBCF7" w14:textId="77777777" w:rsidR="00790ADA" w:rsidRPr="00FB3A86" w:rsidRDefault="00790ADA" w:rsidP="00441B6F">
      <w:pPr>
        <w:pStyle w:val="Body"/>
        <w:spacing w:after="0"/>
        <w:rPr>
          <w:rFonts w:ascii="Arial" w:hAnsi="Arial" w:cs="Arial"/>
        </w:rPr>
      </w:pPr>
    </w:p>
    <w:p w14:paraId="1A971B1C"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1F7D0AC" w14:textId="77777777" w:rsidR="00790ADA" w:rsidRPr="00FB3A86" w:rsidRDefault="00790ADA" w:rsidP="00441B6F">
      <w:pPr>
        <w:pStyle w:val="ConcHead"/>
        <w:spacing w:after="0"/>
        <w:jc w:val="both"/>
        <w:rPr>
          <w:rFonts w:ascii="Arial" w:hAnsi="Arial" w:cs="Arial"/>
        </w:rPr>
      </w:pPr>
    </w:p>
    <w:p w14:paraId="0B0D259D" w14:textId="77777777" w:rsidR="007753D2" w:rsidRPr="007753D2" w:rsidRDefault="007753D2" w:rsidP="007753D2">
      <w:pPr>
        <w:spacing w:after="160"/>
        <w:contextualSpacing/>
        <w:jc w:val="both"/>
        <w:rPr>
          <w:rFonts w:ascii="Arial" w:eastAsia="Calibri" w:hAnsi="Arial" w:cs="Arial"/>
        </w:rPr>
      </w:pPr>
      <w:r w:rsidRPr="007753D2">
        <w:rPr>
          <w:rFonts w:ascii="Arial" w:eastAsia="Calibri" w:hAnsi="Arial" w:cs="Arial"/>
        </w:rPr>
        <w:t>The present study successfully characterized the chemical composition of seventeen mulberry clonal genetic resources, highlighting their potential utility in the pulp and paper industry. The analysis revealed that the majority of the clones possessed favorable traits such as low to moderate ash content (0.69%–2.46%), acceptable alcohol-benzene extractives (2.05–3.79%), and moderate lignin levels (23.48%–28.41%), all of which fall within or near the optimal range for pulp production. Notably, holocellulose content, a key determinant of pulp yield was high across most clones, with twelve clones exceeding 70%, indicating a strong promise for high pulp recovery. Clones MI-0034, ME-0174, and MI-0145 demonstrated exceptional holocellulose content (≥72), suggesting their superior suitability for paper making.</w:t>
      </w:r>
    </w:p>
    <w:p w14:paraId="1268A452" w14:textId="77777777" w:rsidR="007753D2" w:rsidRPr="007753D2" w:rsidRDefault="007753D2" w:rsidP="007753D2">
      <w:pPr>
        <w:spacing w:after="160"/>
        <w:contextualSpacing/>
        <w:jc w:val="both"/>
        <w:rPr>
          <w:rFonts w:ascii="Arial" w:eastAsia="Calibri" w:hAnsi="Arial" w:cs="Arial"/>
        </w:rPr>
      </w:pPr>
      <w:r w:rsidRPr="007753D2">
        <w:rPr>
          <w:rFonts w:ascii="Arial" w:eastAsia="Calibri" w:hAnsi="Arial" w:cs="Arial"/>
        </w:rPr>
        <w:t>Furthermore, 1% NaOH and hot water solubility values aligned well with those reported in established pulpwood species, affirming the structural integrity and chemical stability of mulberry wood under processing conditions. These findings underscore mulberry as a viable, underutilized raw material for pulp and paper manufacturing, especially in light of increasing demand and diminishing availability of conventional pulpwood resources in India.</w:t>
      </w:r>
    </w:p>
    <w:p w14:paraId="53749EAD" w14:textId="77777777" w:rsidR="007753D2" w:rsidRPr="007753D2" w:rsidRDefault="007753D2" w:rsidP="007753D2">
      <w:pPr>
        <w:spacing w:after="160"/>
        <w:contextualSpacing/>
        <w:jc w:val="both"/>
        <w:rPr>
          <w:rFonts w:ascii="Arial" w:eastAsia="Calibri" w:hAnsi="Arial" w:cs="Arial"/>
        </w:rPr>
      </w:pPr>
      <w:r w:rsidRPr="007753D2">
        <w:rPr>
          <w:rFonts w:ascii="Arial" w:eastAsia="Calibri" w:hAnsi="Arial" w:cs="Arial"/>
        </w:rPr>
        <w:t>The study thus provides critical baseline data supporting the strategic selection and deployment of specific mulberry clones particularly MI-0034, ME-0174, and MI-0145 as alternative fiber sources in sustainable paper production systems.</w:t>
      </w:r>
    </w:p>
    <w:p w14:paraId="3BF8383A" w14:textId="77777777" w:rsidR="00B01FCD" w:rsidRDefault="00B01FCD" w:rsidP="00441B6F">
      <w:pPr>
        <w:pStyle w:val="Body"/>
        <w:spacing w:after="0"/>
        <w:rPr>
          <w:rFonts w:ascii="Arial" w:hAnsi="Arial" w:cs="Arial"/>
        </w:rPr>
      </w:pPr>
    </w:p>
    <w:p w14:paraId="3C91D9B2" w14:textId="77777777" w:rsidR="00790ADA" w:rsidRPr="00FB3A86" w:rsidRDefault="00790ADA" w:rsidP="00441B6F">
      <w:pPr>
        <w:pStyle w:val="Body"/>
        <w:spacing w:after="0"/>
        <w:rPr>
          <w:rFonts w:ascii="Arial" w:hAnsi="Arial" w:cs="Arial"/>
        </w:rPr>
      </w:pPr>
    </w:p>
    <w:p w14:paraId="3CD79DAD" w14:textId="77777777" w:rsidR="004654FF" w:rsidRDefault="004654FF" w:rsidP="00441B6F">
      <w:pPr>
        <w:pStyle w:val="ReferHead"/>
        <w:spacing w:after="0"/>
        <w:jc w:val="both"/>
        <w:rPr>
          <w:rFonts w:ascii="Arial" w:hAnsi="Arial" w:cs="Arial"/>
          <w:b w:val="0"/>
          <w:caps w:val="0"/>
          <w:sz w:val="20"/>
        </w:rPr>
      </w:pPr>
    </w:p>
    <w:p w14:paraId="2B9C2EFA" w14:textId="77777777" w:rsidR="004654FF" w:rsidRPr="004654FF" w:rsidRDefault="004654FF" w:rsidP="004654FF">
      <w:pPr>
        <w:pStyle w:val="ReferHead"/>
        <w:jc w:val="both"/>
        <w:rPr>
          <w:rFonts w:ascii="Arial" w:hAnsi="Arial" w:cs="Arial"/>
          <w:b w:val="0"/>
          <w:caps w:val="0"/>
          <w:sz w:val="20"/>
        </w:rPr>
      </w:pPr>
      <w:r w:rsidRPr="004654FF">
        <w:rPr>
          <w:rFonts w:ascii="Arial" w:hAnsi="Arial" w:cs="Arial"/>
          <w:b w:val="0"/>
          <w:caps w:val="0"/>
          <w:sz w:val="20"/>
        </w:rPr>
        <w:t>COMPETING INTERESTS DISCLAIMER:</w:t>
      </w:r>
    </w:p>
    <w:p w14:paraId="066BA89F" w14:textId="71764C27" w:rsidR="004654FF" w:rsidRDefault="004654FF" w:rsidP="004654FF">
      <w:pPr>
        <w:pStyle w:val="ReferHead"/>
        <w:spacing w:after="0"/>
        <w:jc w:val="both"/>
        <w:rPr>
          <w:rFonts w:ascii="Arial" w:hAnsi="Arial" w:cs="Arial"/>
          <w:b w:val="0"/>
          <w:caps w:val="0"/>
          <w:sz w:val="20"/>
        </w:rPr>
      </w:pPr>
      <w:r w:rsidRPr="004654FF">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2547B1D" w14:textId="5E03E69E" w:rsidR="000B5309" w:rsidRDefault="000B5309" w:rsidP="004654FF">
      <w:pPr>
        <w:pStyle w:val="ReferHead"/>
        <w:spacing w:after="0"/>
        <w:jc w:val="both"/>
        <w:rPr>
          <w:rFonts w:ascii="Arial" w:hAnsi="Arial" w:cs="Arial"/>
          <w:b w:val="0"/>
          <w:caps w:val="0"/>
          <w:sz w:val="20"/>
        </w:rPr>
      </w:pPr>
    </w:p>
    <w:p w14:paraId="56B3287E" w14:textId="32255599" w:rsidR="000B5309" w:rsidRDefault="000B5309" w:rsidP="004654FF">
      <w:pPr>
        <w:pStyle w:val="ReferHead"/>
        <w:spacing w:after="0"/>
        <w:jc w:val="both"/>
        <w:rPr>
          <w:rFonts w:ascii="Arial" w:hAnsi="Arial" w:cs="Arial"/>
          <w:b w:val="0"/>
          <w:caps w:val="0"/>
          <w:sz w:val="20"/>
        </w:rPr>
      </w:pPr>
    </w:p>
    <w:p w14:paraId="5D5190AB" w14:textId="1D27D1E8" w:rsidR="000B5309" w:rsidRDefault="000B5309" w:rsidP="004654FF">
      <w:pPr>
        <w:pStyle w:val="ReferHead"/>
        <w:spacing w:after="0"/>
        <w:jc w:val="both"/>
        <w:rPr>
          <w:rFonts w:ascii="Arial" w:hAnsi="Arial" w:cs="Arial"/>
          <w:b w:val="0"/>
          <w:caps w:val="0"/>
          <w:sz w:val="20"/>
        </w:rPr>
      </w:pPr>
    </w:p>
    <w:p w14:paraId="1BAC6655" w14:textId="3FDE956F" w:rsidR="000B5309" w:rsidRDefault="000B5309" w:rsidP="004654FF">
      <w:pPr>
        <w:pStyle w:val="ReferHead"/>
        <w:spacing w:after="0"/>
        <w:jc w:val="both"/>
        <w:rPr>
          <w:rFonts w:ascii="Arial" w:hAnsi="Arial" w:cs="Arial"/>
          <w:b w:val="0"/>
          <w:caps w:val="0"/>
          <w:sz w:val="20"/>
        </w:rPr>
      </w:pPr>
    </w:p>
    <w:p w14:paraId="786B57A5" w14:textId="77777777" w:rsidR="000B5309" w:rsidRDefault="000B5309" w:rsidP="00D25FC0">
      <w:pPr>
        <w:tabs>
          <w:tab w:val="left" w:pos="2696"/>
        </w:tabs>
        <w:jc w:val="both"/>
        <w:rPr>
          <w:rFonts w:ascii="Arial" w:hAnsi="Arial" w:cs="Arial"/>
        </w:rPr>
      </w:pPr>
      <w:bookmarkStart w:id="0" w:name="_Hlk183685723"/>
      <w:bookmarkStart w:id="1" w:name="_Hlk198899984"/>
      <w:bookmarkStart w:id="2" w:name="_Hlk200717662"/>
    </w:p>
    <w:p w14:paraId="490E49D4" w14:textId="4325D754" w:rsidR="000B5309" w:rsidRPr="00D25FC0" w:rsidRDefault="000B5309" w:rsidP="00D25FC0">
      <w:pPr>
        <w:spacing w:line="276" w:lineRule="auto"/>
        <w:jc w:val="both"/>
        <w:rPr>
          <w:rFonts w:ascii="Arial" w:hAnsi="Arial" w:cs="Arial"/>
          <w:kern w:val="2"/>
          <w:highlight w:val="yellow"/>
        </w:rPr>
      </w:pPr>
      <w:bookmarkStart w:id="3" w:name="_Hlk193540946"/>
      <w:bookmarkStart w:id="4" w:name="_Hlk180402183"/>
      <w:bookmarkStart w:id="5" w:name="_Hlk183680988"/>
      <w:bookmarkStart w:id="6" w:name="_Hlk197173371"/>
      <w:bookmarkEnd w:id="0"/>
      <w:r w:rsidRPr="00D25FC0">
        <w:rPr>
          <w:rFonts w:ascii="Arial" w:hAnsi="Arial" w:cs="Arial"/>
          <w:kern w:val="2"/>
          <w:highlight w:val="yellow"/>
        </w:rPr>
        <w:t>Disclaimer (Artificial intelligence)</w:t>
      </w:r>
    </w:p>
    <w:p w14:paraId="1DC283DE" w14:textId="77777777" w:rsidR="000B5309" w:rsidRPr="00D25FC0" w:rsidRDefault="000B5309" w:rsidP="00D25FC0">
      <w:pPr>
        <w:spacing w:line="276" w:lineRule="auto"/>
        <w:jc w:val="both"/>
        <w:rPr>
          <w:rFonts w:ascii="Arial" w:hAnsi="Arial" w:cs="Arial"/>
          <w:kern w:val="2"/>
          <w:highlight w:val="yellow"/>
        </w:rPr>
      </w:pPr>
    </w:p>
    <w:p w14:paraId="443331A4" w14:textId="153A853C" w:rsidR="000B5309" w:rsidRPr="00D25FC0" w:rsidRDefault="000B5309" w:rsidP="00D25FC0">
      <w:pPr>
        <w:spacing w:line="276" w:lineRule="auto"/>
        <w:jc w:val="both"/>
        <w:rPr>
          <w:rFonts w:ascii="Arial" w:hAnsi="Arial" w:cs="Arial"/>
          <w:kern w:val="2"/>
          <w:highlight w:val="yellow"/>
        </w:rPr>
      </w:pPr>
      <w:r w:rsidRPr="00D25FC0">
        <w:rPr>
          <w:rFonts w:ascii="Arial" w:hAnsi="Arial" w:cs="Arial"/>
          <w:kern w:val="2"/>
          <w:highlight w:val="yellow"/>
        </w:rPr>
        <w:t xml:space="preserve">Option 1: </w:t>
      </w:r>
    </w:p>
    <w:p w14:paraId="0115FA09" w14:textId="77777777" w:rsidR="000B5309" w:rsidRPr="00D25FC0" w:rsidRDefault="000B5309" w:rsidP="00D25FC0">
      <w:pPr>
        <w:spacing w:line="276" w:lineRule="auto"/>
        <w:jc w:val="both"/>
        <w:rPr>
          <w:rFonts w:ascii="Arial" w:hAnsi="Arial" w:cs="Arial"/>
          <w:kern w:val="2"/>
          <w:highlight w:val="yellow"/>
        </w:rPr>
      </w:pPr>
    </w:p>
    <w:p w14:paraId="7B04426E" w14:textId="4A498C20" w:rsidR="000B5309" w:rsidRPr="00D25FC0" w:rsidRDefault="000B5309" w:rsidP="00D25FC0">
      <w:pPr>
        <w:spacing w:line="276" w:lineRule="auto"/>
        <w:jc w:val="both"/>
        <w:rPr>
          <w:rFonts w:ascii="Arial" w:hAnsi="Arial" w:cs="Arial"/>
          <w:kern w:val="2"/>
        </w:rPr>
      </w:pPr>
      <w:r w:rsidRPr="00D25FC0">
        <w:rPr>
          <w:rFonts w:ascii="Arial" w:hAnsi="Arial" w:cs="Arial"/>
          <w:kern w:val="2"/>
          <w:highlight w:val="yellow"/>
        </w:rPr>
        <w:t>Author(s) hereby declare that NO generative AI technologies such as Large Language Models (ChatGPT, COPILOT, etc.) and text-to-image generators have been used during the writing or editing of this manuscript.</w:t>
      </w:r>
      <w:r w:rsidRPr="00D25FC0">
        <w:rPr>
          <w:rFonts w:ascii="Arial" w:hAnsi="Arial" w:cs="Arial"/>
          <w:kern w:val="2"/>
        </w:rPr>
        <w:t xml:space="preserve"> </w:t>
      </w:r>
    </w:p>
    <w:bookmarkEnd w:id="1"/>
    <w:bookmarkEnd w:id="3"/>
    <w:bookmarkEnd w:id="4"/>
    <w:bookmarkEnd w:id="5"/>
    <w:p w14:paraId="466469C5" w14:textId="77777777" w:rsidR="000B5309" w:rsidRPr="00630DB9" w:rsidRDefault="000B5309" w:rsidP="000B5309">
      <w:pPr>
        <w:spacing w:line="240" w:lineRule="atLeast"/>
        <w:rPr>
          <w:rFonts w:ascii="Arial" w:hAnsi="Arial" w:cs="Arial"/>
          <w:color w:val="222222"/>
        </w:rPr>
      </w:pPr>
      <w:r>
        <w:rPr>
          <w:rFonts w:ascii="Calibri" w:hAnsi="Calibri"/>
          <w:kern w:val="2"/>
        </w:rPr>
        <w:tab/>
      </w:r>
      <w:bookmarkEnd w:id="2"/>
      <w:bookmarkEnd w:id="6"/>
    </w:p>
    <w:p w14:paraId="0099AF8E" w14:textId="77777777" w:rsidR="00305E80" w:rsidRDefault="00305E80" w:rsidP="00305E80">
      <w:pPr>
        <w:pStyle w:val="Body"/>
        <w:spacing w:before="240" w:after="0"/>
        <w:rPr>
          <w:rFonts w:ascii="Arial" w:hAnsi="Arial" w:cs="Arial"/>
          <w:b/>
          <w:sz w:val="22"/>
          <w:szCs w:val="22"/>
          <w:lang w:val="en-GB"/>
        </w:rPr>
      </w:pPr>
      <w:r w:rsidRPr="00305E80">
        <w:rPr>
          <w:rFonts w:ascii="Arial" w:hAnsi="Arial" w:cs="Arial"/>
          <w:b/>
          <w:sz w:val="22"/>
          <w:szCs w:val="22"/>
          <w:lang w:val="en-GB"/>
        </w:rPr>
        <w:t>REFERENCES</w:t>
      </w:r>
    </w:p>
    <w:p w14:paraId="22F099E7" w14:textId="77777777" w:rsidR="00305E80" w:rsidRPr="0040261A" w:rsidRDefault="0040261A" w:rsidP="0040261A">
      <w:pPr>
        <w:pStyle w:val="Body"/>
        <w:numPr>
          <w:ilvl w:val="0"/>
          <w:numId w:val="32"/>
        </w:numPr>
        <w:spacing w:before="240" w:after="0"/>
        <w:ind w:left="270" w:hanging="270"/>
        <w:rPr>
          <w:rFonts w:ascii="Arial" w:hAnsi="Arial" w:cs="Arial"/>
          <w:lang w:val="en-GB"/>
        </w:rPr>
      </w:pPr>
      <w:r w:rsidRPr="0040261A">
        <w:rPr>
          <w:rStyle w:val="Strong"/>
          <w:rFonts w:ascii="Arial" w:hAnsi="Arial" w:cs="Arial"/>
          <w:b w:val="0"/>
        </w:rPr>
        <w:t>Riki, J. T. B., Sotannde, O. A., &amp; Oluwadare, A. O. (2019).</w:t>
      </w:r>
      <w:r w:rsidRPr="0040261A">
        <w:rPr>
          <w:rFonts w:ascii="Arial" w:hAnsi="Arial" w:cs="Arial"/>
        </w:rPr>
        <w:t xml:space="preserve"> Anatomical and chemical properties of wood and their practical implications in pulp and paper production: A review. </w:t>
      </w:r>
      <w:r w:rsidRPr="00213A85">
        <w:rPr>
          <w:rStyle w:val="Emphasis"/>
          <w:rFonts w:ascii="Arial" w:hAnsi="Arial" w:cs="Arial"/>
          <w:i w:val="0"/>
        </w:rPr>
        <w:t>Journal of Research in Forestry, Wildlife and Environment</w:t>
      </w:r>
      <w:r w:rsidR="002C7657" w:rsidRPr="00213A85">
        <w:rPr>
          <w:rFonts w:ascii="Arial" w:hAnsi="Arial" w:cs="Arial"/>
          <w:i/>
        </w:rPr>
        <w:t>,</w:t>
      </w:r>
      <w:r w:rsidR="002C7657" w:rsidRPr="0040261A">
        <w:rPr>
          <w:rStyle w:val="Strong"/>
          <w:rFonts w:ascii="Arial" w:hAnsi="Arial" w:cs="Arial"/>
          <w:b w:val="0"/>
        </w:rPr>
        <w:t xml:space="preserve"> 11</w:t>
      </w:r>
      <w:r w:rsidRPr="0040261A">
        <w:rPr>
          <w:rFonts w:ascii="Arial" w:hAnsi="Arial" w:cs="Arial"/>
        </w:rPr>
        <w:t>(3), 358–368.</w:t>
      </w:r>
    </w:p>
    <w:p w14:paraId="034CF90E" w14:textId="77777777" w:rsidR="009F1533" w:rsidRDefault="0040261A" w:rsidP="005470C3">
      <w:pPr>
        <w:pStyle w:val="ListParagraph"/>
        <w:numPr>
          <w:ilvl w:val="0"/>
          <w:numId w:val="32"/>
        </w:numPr>
        <w:ind w:left="270" w:hanging="270"/>
        <w:jc w:val="both"/>
        <w:rPr>
          <w:rFonts w:ascii="Arial" w:hAnsi="Arial" w:cs="Arial"/>
        </w:rPr>
      </w:pPr>
      <w:r w:rsidRPr="009F1533">
        <w:rPr>
          <w:rFonts w:ascii="Arial" w:hAnsi="Arial" w:cs="Arial"/>
        </w:rPr>
        <w:t>Khalil, H. A., Yusra, A. I., Bhat, A. H., &amp; Jawaid, M. (2010). Cell wall ultrastructure, anatomy, lignin distribution, and chemical composition of Malaysian cultivated kenaf fiber. Industrial Crops and Products, 31(1), 113–121.</w:t>
      </w:r>
      <w:hyperlink r:id="rId16" w:history="1">
        <w:r w:rsidR="009F1533" w:rsidRPr="009F1533">
          <w:rPr>
            <w:rStyle w:val="Hyperlink"/>
            <w:rFonts w:ascii="Arial" w:hAnsi="Arial" w:cs="Arial"/>
          </w:rPr>
          <w:t>https://doi.org/10.1016/j.indcrop.2009.09.008</w:t>
        </w:r>
      </w:hyperlink>
    </w:p>
    <w:p w14:paraId="3AFB4DAA" w14:textId="77777777" w:rsidR="005470C3" w:rsidRDefault="005470C3" w:rsidP="005470C3">
      <w:pPr>
        <w:pStyle w:val="ListParagraph"/>
        <w:numPr>
          <w:ilvl w:val="0"/>
          <w:numId w:val="32"/>
        </w:numPr>
        <w:ind w:left="270" w:hanging="270"/>
        <w:jc w:val="both"/>
        <w:rPr>
          <w:rFonts w:ascii="Arial" w:hAnsi="Arial" w:cs="Arial"/>
        </w:rPr>
      </w:pPr>
      <w:r w:rsidRPr="005470C3">
        <w:rPr>
          <w:rFonts w:ascii="Arial" w:hAnsi="Arial" w:cs="Arial"/>
        </w:rPr>
        <w:lastRenderedPageBreak/>
        <w:t xml:space="preserve">Central Pulp &amp; Paper Research Institute (CPPRI). (n.d.). Retrieved July 11, 2025, from </w:t>
      </w:r>
      <w:hyperlink r:id="rId17" w:history="1">
        <w:r w:rsidRPr="008E74CA">
          <w:rPr>
            <w:rStyle w:val="Hyperlink"/>
            <w:rFonts w:ascii="Arial" w:hAnsi="Arial" w:cs="Arial"/>
          </w:rPr>
          <w:t>https://cppri.res.in/</w:t>
        </w:r>
      </w:hyperlink>
    </w:p>
    <w:p w14:paraId="55DF3E19" w14:textId="77777777" w:rsidR="009F1533" w:rsidRPr="005470C3" w:rsidRDefault="009F1533" w:rsidP="005470C3">
      <w:pPr>
        <w:pStyle w:val="ListParagraph"/>
        <w:numPr>
          <w:ilvl w:val="0"/>
          <w:numId w:val="32"/>
        </w:numPr>
        <w:ind w:left="270" w:hanging="270"/>
        <w:jc w:val="both"/>
        <w:rPr>
          <w:rFonts w:ascii="Arial" w:hAnsi="Arial" w:cs="Arial"/>
        </w:rPr>
      </w:pPr>
      <w:r w:rsidRPr="005470C3">
        <w:rPr>
          <w:rFonts w:ascii="Arial" w:hAnsi="Arial" w:cs="Arial"/>
          <w:bCs/>
        </w:rPr>
        <w:t>Kulkarni, H. D. (2013).</w:t>
      </w:r>
      <w:r w:rsidRPr="005470C3">
        <w:rPr>
          <w:rFonts w:ascii="Arial" w:hAnsi="Arial" w:cs="Arial"/>
        </w:rPr>
        <w:t xml:space="preserve"> Pulp and paper industry raw material scenario—ITC plantation: A case study. </w:t>
      </w:r>
      <w:r w:rsidRPr="005470C3">
        <w:rPr>
          <w:rFonts w:ascii="Arial" w:hAnsi="Arial" w:cs="Arial"/>
          <w:iCs/>
        </w:rPr>
        <w:t>IIPTA</w:t>
      </w:r>
      <w:r w:rsidRPr="005470C3">
        <w:rPr>
          <w:rFonts w:ascii="Arial" w:hAnsi="Arial" w:cs="Arial"/>
        </w:rPr>
        <w:t xml:space="preserve">, </w:t>
      </w:r>
      <w:r w:rsidRPr="005470C3">
        <w:rPr>
          <w:rFonts w:ascii="Arial" w:hAnsi="Arial" w:cs="Arial"/>
          <w:bCs/>
        </w:rPr>
        <w:t>25</w:t>
      </w:r>
      <w:r w:rsidRPr="005470C3">
        <w:rPr>
          <w:rFonts w:ascii="Arial" w:hAnsi="Arial" w:cs="Arial"/>
        </w:rPr>
        <w:t>(1), 79–90.</w:t>
      </w:r>
    </w:p>
    <w:p w14:paraId="705E3B3E" w14:textId="77777777" w:rsidR="00673436" w:rsidRDefault="00673436" w:rsidP="009F1533">
      <w:pPr>
        <w:pStyle w:val="ListParagraph"/>
        <w:numPr>
          <w:ilvl w:val="0"/>
          <w:numId w:val="32"/>
        </w:numPr>
        <w:ind w:left="270" w:hanging="270"/>
        <w:jc w:val="both"/>
        <w:rPr>
          <w:rFonts w:ascii="Arial" w:hAnsi="Arial" w:cs="Arial"/>
        </w:rPr>
      </w:pPr>
      <w:r w:rsidRPr="00673436">
        <w:rPr>
          <w:rStyle w:val="Strong"/>
          <w:rFonts w:ascii="Arial" w:hAnsi="Arial" w:cs="Arial"/>
          <w:b w:val="0"/>
        </w:rPr>
        <w:t>Parthiban, K. T., Krishnakumar, N., &amp; Devanand, P. S. (2020).</w:t>
      </w:r>
      <w:r w:rsidRPr="00213A85">
        <w:rPr>
          <w:rStyle w:val="Emphasis"/>
          <w:rFonts w:ascii="Arial" w:hAnsi="Arial" w:cs="Arial"/>
          <w:i w:val="0"/>
        </w:rPr>
        <w:t>Tree breeding and improvement: Theory and technology</w:t>
      </w:r>
      <w:r w:rsidRPr="00673436">
        <w:rPr>
          <w:rFonts w:ascii="Arial" w:hAnsi="Arial" w:cs="Arial"/>
        </w:rPr>
        <w:t xml:space="preserve"> (1st </w:t>
      </w:r>
      <w:proofErr w:type="gramStart"/>
      <w:r w:rsidRPr="00673436">
        <w:rPr>
          <w:rFonts w:ascii="Arial" w:hAnsi="Arial" w:cs="Arial"/>
        </w:rPr>
        <w:t>ed</w:t>
      </w:r>
      <w:proofErr w:type="gramEnd"/>
      <w:r w:rsidRPr="00673436">
        <w:rPr>
          <w:rFonts w:ascii="Arial" w:hAnsi="Arial" w:cs="Arial"/>
        </w:rPr>
        <w:t>.). Jodhpur: Scientific Publishers.</w:t>
      </w:r>
    </w:p>
    <w:p w14:paraId="6A13A485" w14:textId="77777777" w:rsidR="008E2BE3" w:rsidRPr="00344C0D" w:rsidRDefault="00673436" w:rsidP="00D11CCE">
      <w:pPr>
        <w:pStyle w:val="ListParagraph"/>
        <w:numPr>
          <w:ilvl w:val="0"/>
          <w:numId w:val="32"/>
        </w:numPr>
        <w:ind w:left="270" w:hanging="270"/>
        <w:jc w:val="both"/>
        <w:rPr>
          <w:rStyle w:val="Hyperlink"/>
          <w:rFonts w:ascii="Arial" w:hAnsi="Arial" w:cs="Arial"/>
          <w:color w:val="auto"/>
          <w:u w:val="none"/>
        </w:rPr>
      </w:pPr>
      <w:r w:rsidRPr="00673436">
        <w:rPr>
          <w:rStyle w:val="Strong"/>
          <w:rFonts w:ascii="Arial" w:hAnsi="Arial" w:cs="Arial"/>
          <w:b w:val="0"/>
        </w:rPr>
        <w:t>Rahman, M. M., &amp; Jahan, M. S. (2014).</w:t>
      </w:r>
      <w:r w:rsidRPr="00673436">
        <w:rPr>
          <w:rFonts w:ascii="Arial" w:hAnsi="Arial" w:cs="Arial"/>
        </w:rPr>
        <w:t xml:space="preserve"> Evaluation of mulberry plant as a pulping raw </w:t>
      </w:r>
      <w:proofErr w:type="spellStart"/>
      <w:r w:rsidRPr="00673436">
        <w:rPr>
          <w:rFonts w:ascii="Arial" w:hAnsi="Arial" w:cs="Arial"/>
        </w:rPr>
        <w:t>material.</w:t>
      </w:r>
      <w:r w:rsidRPr="00213A85">
        <w:rPr>
          <w:rStyle w:val="Emphasis"/>
          <w:rFonts w:ascii="Arial" w:hAnsi="Arial" w:cs="Arial"/>
          <w:i w:val="0"/>
        </w:rPr>
        <w:t>Biomass</w:t>
      </w:r>
      <w:proofErr w:type="spellEnd"/>
      <w:r w:rsidRPr="00213A85">
        <w:rPr>
          <w:rStyle w:val="Emphasis"/>
          <w:rFonts w:ascii="Arial" w:hAnsi="Arial" w:cs="Arial"/>
          <w:i w:val="0"/>
        </w:rPr>
        <w:t xml:space="preserve"> Conversion and Biorefinery</w:t>
      </w:r>
      <w:proofErr w:type="gramStart"/>
      <w:r w:rsidRPr="00213A85">
        <w:rPr>
          <w:rFonts w:ascii="Arial" w:hAnsi="Arial" w:cs="Arial"/>
          <w:i/>
        </w:rPr>
        <w:t>,</w:t>
      </w:r>
      <w:r w:rsidRPr="00D11CCE">
        <w:rPr>
          <w:rStyle w:val="Strong"/>
          <w:rFonts w:ascii="Arial" w:hAnsi="Arial" w:cs="Arial"/>
          <w:b w:val="0"/>
        </w:rPr>
        <w:t>4</w:t>
      </w:r>
      <w:proofErr w:type="gramEnd"/>
      <w:r w:rsidRPr="00D11CCE">
        <w:rPr>
          <w:rFonts w:ascii="Arial" w:hAnsi="Arial" w:cs="Arial"/>
        </w:rPr>
        <w:t>(1), 53–58.</w:t>
      </w:r>
      <w:hyperlink r:id="rId18" w:history="1">
        <w:r w:rsidR="008E2BE3" w:rsidRPr="00D11CCE">
          <w:rPr>
            <w:rStyle w:val="Hyperlink"/>
            <w:rFonts w:ascii="Arial" w:hAnsi="Arial" w:cs="Arial"/>
          </w:rPr>
          <w:t>https://doi.org/10.1007/s13399-013-0095-1</w:t>
        </w:r>
      </w:hyperlink>
    </w:p>
    <w:p w14:paraId="2A090C4B" w14:textId="366F21E3" w:rsidR="00344C0D" w:rsidRPr="00344C0D" w:rsidRDefault="00344C0D" w:rsidP="00344C0D">
      <w:pPr>
        <w:pStyle w:val="ListParagraph"/>
        <w:numPr>
          <w:ilvl w:val="0"/>
          <w:numId w:val="32"/>
        </w:numPr>
        <w:ind w:left="270" w:hanging="270"/>
        <w:jc w:val="both"/>
        <w:rPr>
          <w:rFonts w:ascii="Arial" w:hAnsi="Arial" w:cs="Arial"/>
          <w:highlight w:val="yellow"/>
        </w:rPr>
      </w:pPr>
      <w:bookmarkStart w:id="7" w:name="_GoBack"/>
      <w:bookmarkEnd w:id="7"/>
      <w:r w:rsidRPr="00344C0D">
        <w:rPr>
          <w:rFonts w:ascii="Arial" w:hAnsi="Arial" w:cs="Arial"/>
          <w:color w:val="222222"/>
          <w:highlight w:val="yellow"/>
          <w:shd w:val="clear" w:color="auto" w:fill="FFFFFF"/>
        </w:rPr>
        <w:t>Tikader, A., &amp; Vijayan, K. (2017). Mulberry (Morus spp.) genetic diversity, conservation and management. In </w:t>
      </w:r>
      <w:r w:rsidRPr="00344C0D">
        <w:rPr>
          <w:rFonts w:ascii="Arial" w:hAnsi="Arial" w:cs="Arial"/>
          <w:iCs/>
          <w:color w:val="222222"/>
          <w:highlight w:val="yellow"/>
          <w:shd w:val="clear" w:color="auto" w:fill="FFFFFF"/>
        </w:rPr>
        <w:t>Biodiversity and conservation of woody plants</w:t>
      </w:r>
      <w:r w:rsidRPr="00344C0D">
        <w:rPr>
          <w:rFonts w:ascii="Arial" w:hAnsi="Arial" w:cs="Arial"/>
          <w:color w:val="222222"/>
          <w:highlight w:val="yellow"/>
          <w:shd w:val="clear" w:color="auto" w:fill="FFFFFF"/>
        </w:rPr>
        <w:t> (pp. 95-127). Cham: Springer International Publishing.</w:t>
      </w:r>
      <w:r w:rsidRPr="00344C0D">
        <w:rPr>
          <w:highlight w:val="yellow"/>
        </w:rPr>
        <w:t xml:space="preserve"> </w:t>
      </w:r>
      <w:hyperlink r:id="rId19" w:history="1">
        <w:r w:rsidRPr="00344C0D">
          <w:rPr>
            <w:rStyle w:val="Hyperlink"/>
            <w:rFonts w:ascii="Arial" w:hAnsi="Arial" w:cs="Arial"/>
            <w:highlight w:val="yellow"/>
            <w:shd w:val="clear" w:color="auto" w:fill="FFFFFF"/>
          </w:rPr>
          <w:t>http://dx.doi.org/10.1007/978-3-319-66426-2_4</w:t>
        </w:r>
      </w:hyperlink>
    </w:p>
    <w:p w14:paraId="6ED8E8E5" w14:textId="77777777" w:rsidR="00344C0D" w:rsidRPr="00344C0D" w:rsidRDefault="00344C0D" w:rsidP="00344C0D">
      <w:pPr>
        <w:pStyle w:val="ListParagraph"/>
        <w:ind w:left="270"/>
        <w:jc w:val="both"/>
        <w:rPr>
          <w:rFonts w:ascii="Arial" w:hAnsi="Arial" w:cs="Arial"/>
        </w:rPr>
      </w:pPr>
    </w:p>
    <w:p w14:paraId="0E9B6AD8" w14:textId="799F15C7" w:rsidR="008E2BE3" w:rsidRDefault="008E2BE3" w:rsidP="008E2BE3">
      <w:pPr>
        <w:pStyle w:val="ListParagraph"/>
        <w:numPr>
          <w:ilvl w:val="0"/>
          <w:numId w:val="32"/>
        </w:numPr>
        <w:ind w:left="270" w:hanging="270"/>
        <w:jc w:val="both"/>
        <w:rPr>
          <w:rFonts w:ascii="Arial" w:hAnsi="Arial" w:cs="Arial"/>
        </w:rPr>
      </w:pPr>
      <w:r w:rsidRPr="008E2BE3">
        <w:rPr>
          <w:rStyle w:val="Strong"/>
          <w:rFonts w:ascii="Arial" w:hAnsi="Arial" w:cs="Arial"/>
          <w:b w:val="0"/>
        </w:rPr>
        <w:t>Walia, Y. K. (2013).</w:t>
      </w:r>
      <w:r w:rsidRPr="008E2BE3">
        <w:rPr>
          <w:rFonts w:ascii="Arial" w:hAnsi="Arial" w:cs="Arial"/>
        </w:rPr>
        <w:t xml:space="preserve"> Chemical and physical analysis of </w:t>
      </w:r>
      <w:r w:rsidRPr="008E2BE3">
        <w:rPr>
          <w:rStyle w:val="Emphasis"/>
          <w:rFonts w:ascii="Arial" w:hAnsi="Arial" w:cs="Arial"/>
        </w:rPr>
        <w:t>Morus nigra</w:t>
      </w:r>
      <w:r w:rsidRPr="008E2BE3">
        <w:rPr>
          <w:rFonts w:ascii="Arial" w:hAnsi="Arial" w:cs="Arial"/>
        </w:rPr>
        <w:t xml:space="preserve"> (black mulberry) for its pulpability. </w:t>
      </w:r>
      <w:r w:rsidRPr="00213A85">
        <w:rPr>
          <w:rStyle w:val="Emphasis"/>
          <w:rFonts w:ascii="Arial" w:hAnsi="Arial" w:cs="Arial"/>
          <w:i w:val="0"/>
        </w:rPr>
        <w:t>Asian Journal of Advanced Basic Sciences</w:t>
      </w:r>
      <w:r w:rsidRPr="00213A85">
        <w:rPr>
          <w:rFonts w:ascii="Arial" w:hAnsi="Arial" w:cs="Arial"/>
          <w:i/>
        </w:rPr>
        <w:t>,</w:t>
      </w:r>
      <w:r w:rsidRPr="008E2BE3">
        <w:rPr>
          <w:rStyle w:val="Strong"/>
          <w:rFonts w:ascii="Arial" w:hAnsi="Arial" w:cs="Arial"/>
          <w:b w:val="0"/>
        </w:rPr>
        <w:t>1</w:t>
      </w:r>
      <w:r w:rsidRPr="008E2BE3">
        <w:rPr>
          <w:rFonts w:ascii="Arial" w:hAnsi="Arial" w:cs="Arial"/>
        </w:rPr>
        <w:t>(1), 40–44.</w:t>
      </w:r>
    </w:p>
    <w:p w14:paraId="45B84132" w14:textId="77777777" w:rsidR="00344C0D" w:rsidRPr="00344C0D" w:rsidRDefault="005470C3" w:rsidP="00344C0D">
      <w:pPr>
        <w:pStyle w:val="ListParagraph"/>
        <w:numPr>
          <w:ilvl w:val="0"/>
          <w:numId w:val="32"/>
        </w:numPr>
        <w:ind w:left="270" w:hanging="270"/>
        <w:jc w:val="both"/>
        <w:rPr>
          <w:rFonts w:ascii="Arial" w:hAnsi="Arial" w:cs="Arial"/>
        </w:rPr>
      </w:pPr>
      <w:r w:rsidRPr="005470C3">
        <w:rPr>
          <w:rFonts w:ascii="Arial" w:hAnsi="Arial" w:cs="Arial"/>
          <w:bCs/>
        </w:rPr>
        <w:t>ASTM International. (2012).</w:t>
      </w:r>
      <w:r w:rsidRPr="005470C3">
        <w:rPr>
          <w:rFonts w:ascii="Arial" w:hAnsi="Arial" w:cs="Arial"/>
          <w:i/>
          <w:iCs/>
        </w:rPr>
        <w:t>Standard test method for ash in the analysis sample of coal and coke from coal</w:t>
      </w:r>
      <w:r w:rsidRPr="005470C3">
        <w:rPr>
          <w:rFonts w:ascii="Arial" w:hAnsi="Arial" w:cs="Arial"/>
        </w:rPr>
        <w:t xml:space="preserve"> (ASTM D3174-12). West Conshohocken, PA: ASTM International. </w:t>
      </w:r>
      <w:hyperlink r:id="rId20" w:tgtFrame="_new" w:history="1">
        <w:r w:rsidRPr="005470C3">
          <w:rPr>
            <w:rFonts w:ascii="Arial" w:hAnsi="Arial" w:cs="Arial"/>
            <w:color w:val="0000FF"/>
            <w:u w:val="single"/>
          </w:rPr>
          <w:t>https://www.astm.org/d3174-12.html</w:t>
        </w:r>
      </w:hyperlink>
    </w:p>
    <w:p w14:paraId="789A82D9" w14:textId="48AA0231" w:rsidR="00D11CCE" w:rsidRPr="00344C0D" w:rsidRDefault="008E2BE3" w:rsidP="00344C0D">
      <w:pPr>
        <w:pStyle w:val="ListParagraph"/>
        <w:numPr>
          <w:ilvl w:val="0"/>
          <w:numId w:val="32"/>
        </w:numPr>
        <w:ind w:left="270"/>
        <w:jc w:val="both"/>
        <w:rPr>
          <w:rFonts w:ascii="Arial" w:hAnsi="Arial" w:cs="Arial"/>
        </w:rPr>
      </w:pPr>
      <w:r w:rsidRPr="00344C0D">
        <w:rPr>
          <w:rStyle w:val="Strong"/>
          <w:rFonts w:ascii="Arial" w:hAnsi="Arial" w:cs="Arial"/>
          <w:b w:val="0"/>
        </w:rPr>
        <w:t>Kongprasert, N., Wangphanich, P., &amp; Jutilarptavorn, A. (2019).</w:t>
      </w:r>
      <w:r w:rsidRPr="00344C0D">
        <w:rPr>
          <w:rFonts w:ascii="Arial" w:hAnsi="Arial" w:cs="Arial"/>
        </w:rPr>
        <w:t xml:space="preserve"> Charcoal briquettes from Madan wood waste as an alternative energy in Thailand. </w:t>
      </w:r>
      <w:r w:rsidRPr="00344C0D">
        <w:rPr>
          <w:rStyle w:val="Emphasis"/>
          <w:rFonts w:ascii="Arial" w:hAnsi="Arial" w:cs="Arial"/>
          <w:i w:val="0"/>
        </w:rPr>
        <w:t>Procedia Manufacturing</w:t>
      </w:r>
      <w:r w:rsidRPr="00344C0D">
        <w:rPr>
          <w:rFonts w:ascii="Arial" w:hAnsi="Arial" w:cs="Arial"/>
          <w:i/>
        </w:rPr>
        <w:t xml:space="preserve">, </w:t>
      </w:r>
      <w:r w:rsidRPr="00344C0D">
        <w:rPr>
          <w:rStyle w:val="Strong"/>
          <w:rFonts w:ascii="Arial" w:hAnsi="Arial" w:cs="Arial"/>
          <w:b w:val="0"/>
        </w:rPr>
        <w:t>30</w:t>
      </w:r>
      <w:r w:rsidRPr="00344C0D">
        <w:rPr>
          <w:rFonts w:ascii="Arial" w:hAnsi="Arial" w:cs="Arial"/>
        </w:rPr>
        <w:t xml:space="preserve">, 128–135. </w:t>
      </w:r>
      <w:hyperlink r:id="rId21" w:history="1">
        <w:r w:rsidR="00D11CCE" w:rsidRPr="00344C0D">
          <w:rPr>
            <w:rStyle w:val="Hyperlink"/>
            <w:rFonts w:ascii="Arial" w:hAnsi="Arial" w:cs="Arial"/>
          </w:rPr>
          <w:t>https://doi.org/10.1016/j.promfg.2019.02.019</w:t>
        </w:r>
      </w:hyperlink>
    </w:p>
    <w:p w14:paraId="5A9AB032" w14:textId="77777777" w:rsidR="005470C3" w:rsidRDefault="005470C3" w:rsidP="005470C3">
      <w:pPr>
        <w:pStyle w:val="ListParagraph"/>
        <w:numPr>
          <w:ilvl w:val="0"/>
          <w:numId w:val="32"/>
        </w:numPr>
        <w:tabs>
          <w:tab w:val="left" w:pos="180"/>
        </w:tabs>
        <w:ind w:left="360"/>
        <w:jc w:val="both"/>
        <w:rPr>
          <w:rFonts w:ascii="Arial" w:hAnsi="Arial" w:cs="Arial"/>
        </w:rPr>
      </w:pPr>
      <w:r w:rsidRPr="005470C3">
        <w:rPr>
          <w:rFonts w:ascii="Arial" w:hAnsi="Arial" w:cs="Arial"/>
        </w:rPr>
        <w:t xml:space="preserve">Buchanan, M. T. (2007). 204 cm-97-solvent extractives of wood and pulp (proposed revision of T 204 cm-97). TAPPI-Tech Assoc pulp Pap Ind, </w:t>
      </w:r>
    </w:p>
    <w:p w14:paraId="7B66679F" w14:textId="77777777" w:rsidR="00D11CCE" w:rsidRPr="005470C3" w:rsidRDefault="00D11CCE" w:rsidP="005470C3">
      <w:pPr>
        <w:pStyle w:val="ListParagraph"/>
        <w:numPr>
          <w:ilvl w:val="0"/>
          <w:numId w:val="32"/>
        </w:numPr>
        <w:tabs>
          <w:tab w:val="left" w:pos="180"/>
        </w:tabs>
        <w:ind w:left="360"/>
        <w:jc w:val="both"/>
        <w:rPr>
          <w:rFonts w:ascii="Arial" w:hAnsi="Arial" w:cs="Arial"/>
        </w:rPr>
      </w:pPr>
      <w:r w:rsidRPr="005470C3">
        <w:rPr>
          <w:rStyle w:val="Strong"/>
          <w:rFonts w:ascii="Arial" w:hAnsi="Arial" w:cs="Arial"/>
          <w:b w:val="0"/>
        </w:rPr>
        <w:t>Malakani, M., Khademieslam, H., Hosseinihashemi, S. K., &amp; Zeinaly, F. (2014).</w:t>
      </w:r>
      <w:r w:rsidRPr="005470C3">
        <w:rPr>
          <w:rFonts w:ascii="Arial" w:hAnsi="Arial" w:cs="Arial"/>
        </w:rPr>
        <w:t xml:space="preserve"> Influence of fungal decay on chemi-mechanical properties of beech wood (</w:t>
      </w:r>
      <w:r w:rsidRPr="005470C3">
        <w:rPr>
          <w:rStyle w:val="Emphasis"/>
          <w:rFonts w:ascii="Arial" w:hAnsi="Arial" w:cs="Arial"/>
        </w:rPr>
        <w:t>Fagus orientalis</w:t>
      </w:r>
      <w:r w:rsidRPr="005470C3">
        <w:rPr>
          <w:rFonts w:ascii="Arial" w:hAnsi="Arial" w:cs="Arial"/>
        </w:rPr>
        <w:t xml:space="preserve">). </w:t>
      </w:r>
      <w:r w:rsidRPr="005470C3">
        <w:rPr>
          <w:rStyle w:val="Emphasis"/>
          <w:rFonts w:ascii="Arial" w:hAnsi="Arial" w:cs="Arial"/>
          <w:i w:val="0"/>
        </w:rPr>
        <w:t>Cellulose Chemistry and Technology</w:t>
      </w:r>
      <w:r w:rsidRPr="005470C3">
        <w:rPr>
          <w:rFonts w:ascii="Arial" w:hAnsi="Arial" w:cs="Arial"/>
          <w:i/>
        </w:rPr>
        <w:t>,</w:t>
      </w:r>
      <w:r w:rsidRPr="005470C3">
        <w:rPr>
          <w:rStyle w:val="Strong"/>
          <w:rFonts w:ascii="Arial" w:hAnsi="Arial" w:cs="Arial"/>
          <w:b w:val="0"/>
        </w:rPr>
        <w:t>48</w:t>
      </w:r>
      <w:r w:rsidRPr="005470C3">
        <w:rPr>
          <w:rFonts w:ascii="Arial" w:hAnsi="Arial" w:cs="Arial"/>
        </w:rPr>
        <w:t>(1–2), 97–103.</w:t>
      </w:r>
    </w:p>
    <w:p w14:paraId="22A22976" w14:textId="77777777" w:rsidR="00335CF8" w:rsidRPr="00335CF8" w:rsidRDefault="005470C3" w:rsidP="00335CF8">
      <w:pPr>
        <w:pStyle w:val="ListParagraph"/>
        <w:numPr>
          <w:ilvl w:val="0"/>
          <w:numId w:val="32"/>
        </w:numPr>
        <w:tabs>
          <w:tab w:val="left" w:pos="180"/>
        </w:tabs>
        <w:ind w:left="360"/>
        <w:jc w:val="both"/>
        <w:rPr>
          <w:rFonts w:ascii="Arial" w:hAnsi="Arial" w:cs="Arial"/>
        </w:rPr>
      </w:pPr>
      <w:r w:rsidRPr="005470C3">
        <w:rPr>
          <w:rFonts w:ascii="Arial" w:hAnsi="Arial" w:cs="Arial"/>
        </w:rPr>
        <w:t>Anonymous, 2006. Technical Association of the Pulp and Paper Industry: Moisture in pulp, paper and paperboard (TAPPI Standard Test Method T 412 om-</w:t>
      </w:r>
      <w:r w:rsidR="00335CF8" w:rsidRPr="005470C3">
        <w:rPr>
          <w:rFonts w:ascii="Arial" w:hAnsi="Arial" w:cs="Arial"/>
        </w:rPr>
        <w:t>06),</w:t>
      </w:r>
      <w:r w:rsidR="00335CF8" w:rsidRPr="00335CF8">
        <w:rPr>
          <w:rFonts w:ascii="Arial" w:hAnsi="Arial" w:cs="Arial"/>
        </w:rPr>
        <w:t xml:space="preserve"> Atlanta</w:t>
      </w:r>
      <w:r w:rsidRPr="00335CF8">
        <w:rPr>
          <w:rFonts w:ascii="Arial" w:hAnsi="Arial" w:cs="Arial"/>
        </w:rPr>
        <w:t>, USA.</w:t>
      </w:r>
    </w:p>
    <w:p w14:paraId="421D6085" w14:textId="77777777" w:rsidR="006938A5" w:rsidRDefault="006938A5" w:rsidP="00335CF8">
      <w:pPr>
        <w:pStyle w:val="ListParagraph"/>
        <w:numPr>
          <w:ilvl w:val="0"/>
          <w:numId w:val="32"/>
        </w:numPr>
        <w:tabs>
          <w:tab w:val="left" w:pos="180"/>
        </w:tabs>
        <w:ind w:left="360"/>
        <w:jc w:val="both"/>
        <w:rPr>
          <w:rFonts w:ascii="Arial" w:hAnsi="Arial" w:cs="Arial"/>
        </w:rPr>
      </w:pPr>
      <w:r w:rsidRPr="006938A5">
        <w:rPr>
          <w:rStyle w:val="Strong"/>
          <w:rFonts w:ascii="Arial" w:hAnsi="Arial" w:cs="Arial"/>
          <w:b w:val="0"/>
        </w:rPr>
        <w:t>Ona, T., Sonoda, T., Shibata, M., &amp; Fukazawa, K. (1995).</w:t>
      </w:r>
      <w:r w:rsidRPr="006938A5">
        <w:rPr>
          <w:rFonts w:ascii="Arial" w:hAnsi="Arial" w:cs="Arial"/>
        </w:rPr>
        <w:t xml:space="preserve"> Small-scale method to determine the content of wood components from multiple eucalypt samples. </w:t>
      </w:r>
      <w:r w:rsidRPr="00213A85">
        <w:rPr>
          <w:rStyle w:val="Emphasis"/>
          <w:rFonts w:ascii="Arial" w:hAnsi="Arial" w:cs="Arial"/>
          <w:i w:val="0"/>
        </w:rPr>
        <w:t>TAPPI Journal</w:t>
      </w:r>
      <w:r w:rsidRPr="00213A85">
        <w:rPr>
          <w:rFonts w:ascii="Arial" w:hAnsi="Arial" w:cs="Arial"/>
          <w:i/>
        </w:rPr>
        <w:t>,</w:t>
      </w:r>
      <w:r w:rsidRPr="006938A5">
        <w:rPr>
          <w:rStyle w:val="Strong"/>
          <w:rFonts w:ascii="Arial" w:hAnsi="Arial" w:cs="Arial"/>
          <w:b w:val="0"/>
        </w:rPr>
        <w:t>78</w:t>
      </w:r>
      <w:r w:rsidRPr="006938A5">
        <w:rPr>
          <w:rFonts w:ascii="Arial" w:hAnsi="Arial" w:cs="Arial"/>
        </w:rPr>
        <w:t>(3), 121–126.</w:t>
      </w:r>
    </w:p>
    <w:p w14:paraId="7C0CA12F" w14:textId="77777777" w:rsidR="00335CF8" w:rsidRPr="00335CF8" w:rsidRDefault="00335CF8" w:rsidP="00335CF8">
      <w:pPr>
        <w:pStyle w:val="ListParagraph"/>
        <w:numPr>
          <w:ilvl w:val="0"/>
          <w:numId w:val="32"/>
        </w:numPr>
        <w:tabs>
          <w:tab w:val="left" w:pos="180"/>
        </w:tabs>
        <w:ind w:left="270"/>
        <w:jc w:val="both"/>
        <w:rPr>
          <w:rFonts w:ascii="Arial" w:hAnsi="Arial" w:cs="Arial"/>
        </w:rPr>
      </w:pPr>
      <w:r w:rsidRPr="00335CF8">
        <w:rPr>
          <w:rFonts w:ascii="Arial" w:hAnsi="Arial" w:cs="Arial"/>
        </w:rPr>
        <w:t>Anonymous, 2002. Technical Association of the Pulp and Paper Industry: One percent sodium hydroxide solubility of wood and pulp (TAPPI Standard Test MethodT212 om-02), Atlanta, USA.</w:t>
      </w:r>
    </w:p>
    <w:p w14:paraId="0B90843C" w14:textId="77777777" w:rsidR="006938A5" w:rsidRDefault="006938A5" w:rsidP="00335CF8">
      <w:pPr>
        <w:pStyle w:val="ListParagraph"/>
        <w:numPr>
          <w:ilvl w:val="0"/>
          <w:numId w:val="32"/>
        </w:numPr>
        <w:tabs>
          <w:tab w:val="left" w:pos="180"/>
        </w:tabs>
        <w:ind w:left="270"/>
        <w:jc w:val="both"/>
        <w:rPr>
          <w:rFonts w:ascii="Arial" w:hAnsi="Arial" w:cs="Arial"/>
        </w:rPr>
      </w:pPr>
      <w:r w:rsidRPr="009B05FE">
        <w:rPr>
          <w:rStyle w:val="Strong"/>
          <w:rFonts w:ascii="Arial" w:hAnsi="Arial" w:cs="Arial"/>
          <w:b w:val="0"/>
        </w:rPr>
        <w:t>Jani, S. M., &amp; Rushdan, I. (2014).</w:t>
      </w:r>
      <w:r w:rsidRPr="009B05FE">
        <w:rPr>
          <w:rFonts w:ascii="Arial" w:hAnsi="Arial" w:cs="Arial"/>
        </w:rPr>
        <w:t xml:space="preserve"> Effect of bleaching on coir fibre pulp and paper </w:t>
      </w:r>
      <w:r w:rsidR="002C7657" w:rsidRPr="009B05FE">
        <w:rPr>
          <w:rFonts w:ascii="Arial" w:hAnsi="Arial" w:cs="Arial"/>
        </w:rPr>
        <w:t>properties.</w:t>
      </w:r>
      <w:r w:rsidR="002C7657" w:rsidRPr="00213A85">
        <w:rPr>
          <w:rFonts w:ascii="Arial" w:hAnsi="Arial" w:cs="Arial"/>
        </w:rPr>
        <w:t xml:space="preserve"> Journal</w:t>
      </w:r>
      <w:r w:rsidR="009B05FE" w:rsidRPr="00213A85">
        <w:rPr>
          <w:rFonts w:ascii="Arial" w:hAnsi="Arial" w:cs="Arial"/>
        </w:rPr>
        <w:t xml:space="preserve"> of Tropical Agriculture and Food Science,</w:t>
      </w:r>
      <w:r w:rsidR="009B05FE" w:rsidRPr="009B05FE">
        <w:rPr>
          <w:rFonts w:ascii="Arial" w:hAnsi="Arial" w:cs="Arial"/>
        </w:rPr>
        <w:t xml:space="preserve"> 42(1), 51–61. </w:t>
      </w:r>
      <w:hyperlink r:id="rId22" w:history="1">
        <w:r w:rsidR="009B05FE" w:rsidRPr="008E74CA">
          <w:rPr>
            <w:rStyle w:val="Hyperlink"/>
            <w:rFonts w:ascii="Arial" w:hAnsi="Arial" w:cs="Arial"/>
          </w:rPr>
          <w:t>https://www.cabdirect.org/cabdirect/abstract/20143268333</w:t>
        </w:r>
      </w:hyperlink>
    </w:p>
    <w:p w14:paraId="422DA486" w14:textId="77777777" w:rsidR="00335CF8" w:rsidRPr="00335CF8" w:rsidRDefault="00335CF8" w:rsidP="00335CF8">
      <w:pPr>
        <w:pStyle w:val="ListParagraph"/>
        <w:numPr>
          <w:ilvl w:val="0"/>
          <w:numId w:val="32"/>
        </w:numPr>
        <w:tabs>
          <w:tab w:val="left" w:pos="180"/>
        </w:tabs>
        <w:ind w:left="270"/>
        <w:jc w:val="both"/>
        <w:rPr>
          <w:rFonts w:ascii="Arial" w:hAnsi="Arial" w:cs="Arial"/>
        </w:rPr>
      </w:pPr>
      <w:r w:rsidRPr="00335CF8">
        <w:rPr>
          <w:rFonts w:ascii="Arial" w:hAnsi="Arial" w:cs="Arial"/>
        </w:rPr>
        <w:t>Anonymous, 1999. Technical Association of the Pulp and Paper Industry: Water solubility of wood and pulp (TAPPI Standard Test Method T207 cm-99), Atlanta, USA.</w:t>
      </w:r>
    </w:p>
    <w:p w14:paraId="6C0D8164" w14:textId="77777777" w:rsidR="009B05FE" w:rsidRPr="00A8744D" w:rsidRDefault="009B05FE" w:rsidP="00335CF8">
      <w:pPr>
        <w:pStyle w:val="ListParagraph"/>
        <w:numPr>
          <w:ilvl w:val="0"/>
          <w:numId w:val="32"/>
        </w:numPr>
        <w:tabs>
          <w:tab w:val="left" w:pos="180"/>
        </w:tabs>
        <w:ind w:left="270"/>
        <w:jc w:val="both"/>
        <w:rPr>
          <w:rFonts w:ascii="Arial" w:hAnsi="Arial" w:cs="Arial"/>
        </w:rPr>
      </w:pPr>
      <w:r w:rsidRPr="009B05FE">
        <w:rPr>
          <w:rStyle w:val="Strong"/>
          <w:rFonts w:ascii="Arial" w:hAnsi="Arial" w:cs="Arial"/>
          <w:b w:val="0"/>
        </w:rPr>
        <w:t>Sharma, N., Godiyal, R. D., &amp; Thapliyal, B. P. (2020).</w:t>
      </w:r>
      <w:r w:rsidRPr="009B05FE">
        <w:rPr>
          <w:rFonts w:ascii="Arial" w:hAnsi="Arial" w:cs="Arial"/>
        </w:rPr>
        <w:t xml:space="preserve"> A review on pulping, bleaching and </w:t>
      </w:r>
      <w:r w:rsidRPr="00A8744D">
        <w:rPr>
          <w:rFonts w:ascii="Arial" w:hAnsi="Arial" w:cs="Arial"/>
        </w:rPr>
        <w:t xml:space="preserve">papermaking processes. </w:t>
      </w:r>
      <w:r w:rsidRPr="00213A85">
        <w:rPr>
          <w:rStyle w:val="Emphasis"/>
          <w:rFonts w:ascii="Arial" w:hAnsi="Arial" w:cs="Arial"/>
          <w:i w:val="0"/>
        </w:rPr>
        <w:t>Journal of Graphic Era University</w:t>
      </w:r>
      <w:r w:rsidR="002C7657" w:rsidRPr="002C7657">
        <w:rPr>
          <w:rFonts w:ascii="Arial" w:hAnsi="Arial" w:cs="Arial"/>
        </w:rPr>
        <w:t>,</w:t>
      </w:r>
      <w:r w:rsidR="002C7657" w:rsidRPr="00A8744D">
        <w:rPr>
          <w:rStyle w:val="Strong"/>
          <w:rFonts w:ascii="Arial" w:hAnsi="Arial" w:cs="Arial"/>
        </w:rPr>
        <w:t xml:space="preserve"> 8</w:t>
      </w:r>
      <w:r w:rsidRPr="00A8744D">
        <w:rPr>
          <w:rFonts w:ascii="Arial" w:hAnsi="Arial" w:cs="Arial"/>
        </w:rPr>
        <w:t>(1), 95–112.</w:t>
      </w:r>
    </w:p>
    <w:p w14:paraId="5D29DBED" w14:textId="77777777" w:rsidR="009B05FE" w:rsidRDefault="009B05FE" w:rsidP="00A8744D">
      <w:pPr>
        <w:pStyle w:val="ListParagraph"/>
        <w:numPr>
          <w:ilvl w:val="0"/>
          <w:numId w:val="32"/>
        </w:numPr>
        <w:ind w:left="270"/>
        <w:jc w:val="both"/>
        <w:rPr>
          <w:rFonts w:ascii="Arial" w:hAnsi="Arial" w:cs="Arial"/>
        </w:rPr>
      </w:pPr>
      <w:r w:rsidRPr="00A8744D">
        <w:rPr>
          <w:rFonts w:ascii="Arial" w:hAnsi="Arial" w:cs="Arial"/>
        </w:rPr>
        <w:t xml:space="preserve">Sharma, A. K., Dutt, D., Upadhyaya, J. S., &amp; Roy, T. K. (2011). Anatomical, morphological, and chemical characterization of </w:t>
      </w:r>
      <w:r w:rsidRPr="00A8744D">
        <w:rPr>
          <w:rFonts w:ascii="Arial" w:hAnsi="Arial" w:cs="Arial"/>
          <w:i/>
        </w:rPr>
        <w:t>Bambusa tulda</w:t>
      </w:r>
      <w:r w:rsidRPr="00A8744D">
        <w:rPr>
          <w:rFonts w:ascii="Arial" w:hAnsi="Arial" w:cs="Arial"/>
        </w:rPr>
        <w:t xml:space="preserve">, </w:t>
      </w:r>
      <w:r w:rsidRPr="00A8744D">
        <w:rPr>
          <w:rFonts w:ascii="Arial" w:hAnsi="Arial" w:cs="Arial"/>
          <w:i/>
        </w:rPr>
        <w:t>Dendrocalamus hamiltonii</w:t>
      </w:r>
      <w:r w:rsidRPr="00A8744D">
        <w:rPr>
          <w:rFonts w:ascii="Arial" w:hAnsi="Arial" w:cs="Arial"/>
        </w:rPr>
        <w:t xml:space="preserve">, </w:t>
      </w:r>
      <w:r w:rsidRPr="00A8744D">
        <w:rPr>
          <w:rFonts w:ascii="Arial" w:hAnsi="Arial" w:cs="Arial"/>
          <w:i/>
        </w:rPr>
        <w:t>Bambusa balcooa</w:t>
      </w:r>
      <w:r w:rsidRPr="00A8744D">
        <w:rPr>
          <w:rFonts w:ascii="Arial" w:hAnsi="Arial" w:cs="Arial"/>
        </w:rPr>
        <w:t xml:space="preserve">, </w:t>
      </w:r>
      <w:r w:rsidRPr="00A8744D">
        <w:rPr>
          <w:rFonts w:ascii="Arial" w:hAnsi="Arial" w:cs="Arial"/>
          <w:i/>
        </w:rPr>
        <w:t>Melocanna baccifera</w:t>
      </w:r>
      <w:r w:rsidRPr="00A8744D">
        <w:rPr>
          <w:rFonts w:ascii="Arial" w:hAnsi="Arial" w:cs="Arial"/>
        </w:rPr>
        <w:t xml:space="preserve">, </w:t>
      </w:r>
      <w:r w:rsidRPr="00A8744D">
        <w:rPr>
          <w:rFonts w:ascii="Arial" w:hAnsi="Arial" w:cs="Arial"/>
          <w:i/>
        </w:rPr>
        <w:t>Bambusa arundinacea</w:t>
      </w:r>
      <w:r w:rsidRPr="00A8744D">
        <w:rPr>
          <w:rFonts w:ascii="Arial" w:hAnsi="Arial" w:cs="Arial"/>
        </w:rPr>
        <w:t xml:space="preserve">, and </w:t>
      </w:r>
      <w:r w:rsidRPr="00A8744D">
        <w:rPr>
          <w:rFonts w:ascii="Arial" w:hAnsi="Arial" w:cs="Arial"/>
          <w:i/>
        </w:rPr>
        <w:t>Eucalyptus tereticornis</w:t>
      </w:r>
      <w:r w:rsidRPr="00A8744D">
        <w:rPr>
          <w:rFonts w:ascii="Arial" w:hAnsi="Arial" w:cs="Arial"/>
        </w:rPr>
        <w:t xml:space="preserve">. BioResources, 6(4), 5062–5073. </w:t>
      </w:r>
      <w:hyperlink r:id="rId23" w:history="1">
        <w:r w:rsidR="00A8744D" w:rsidRPr="00A8744D">
          <w:rPr>
            <w:rStyle w:val="Hyperlink"/>
            <w:rFonts w:ascii="Arial" w:hAnsi="Arial" w:cs="Arial"/>
          </w:rPr>
          <w:t>https://doi.org/10.15376/biores.6.4.5062-5073</w:t>
        </w:r>
      </w:hyperlink>
    </w:p>
    <w:p w14:paraId="29E70404" w14:textId="77777777" w:rsidR="00A8744D" w:rsidRDefault="00A8744D" w:rsidP="00A8744D">
      <w:pPr>
        <w:pStyle w:val="ListParagraph"/>
        <w:numPr>
          <w:ilvl w:val="0"/>
          <w:numId w:val="32"/>
        </w:numPr>
        <w:ind w:left="270"/>
        <w:jc w:val="both"/>
        <w:rPr>
          <w:rFonts w:ascii="Arial" w:hAnsi="Arial" w:cs="Arial"/>
        </w:rPr>
      </w:pPr>
      <w:r w:rsidRPr="00A8744D">
        <w:rPr>
          <w:rStyle w:val="Strong"/>
          <w:rFonts w:ascii="Arial" w:hAnsi="Arial" w:cs="Arial"/>
          <w:b w:val="0"/>
        </w:rPr>
        <w:t>Megra, M. B., Bachheti, R. K., Tadesse, M. G., &amp; Worku, L. A. (2022).</w:t>
      </w:r>
      <w:r w:rsidRPr="00A8744D">
        <w:rPr>
          <w:rFonts w:ascii="Arial" w:hAnsi="Arial" w:cs="Arial"/>
        </w:rPr>
        <w:t xml:space="preserve"> Evaluation of pulp and papermaking properties of </w:t>
      </w:r>
      <w:r w:rsidRPr="00A8744D">
        <w:rPr>
          <w:rStyle w:val="Emphasis"/>
          <w:rFonts w:ascii="Arial" w:hAnsi="Arial" w:cs="Arial"/>
        </w:rPr>
        <w:t>Melia azedarach</w:t>
      </w:r>
      <w:r w:rsidRPr="00A8744D">
        <w:rPr>
          <w:rFonts w:ascii="Arial" w:hAnsi="Arial" w:cs="Arial"/>
        </w:rPr>
        <w:t xml:space="preserve">. </w:t>
      </w:r>
      <w:r w:rsidRPr="00213A85">
        <w:rPr>
          <w:rStyle w:val="Emphasis"/>
          <w:rFonts w:ascii="Arial" w:hAnsi="Arial" w:cs="Arial"/>
          <w:i w:val="0"/>
        </w:rPr>
        <w:t>Forests</w:t>
      </w:r>
      <w:r w:rsidR="002C7657" w:rsidRPr="00213A85">
        <w:rPr>
          <w:rFonts w:ascii="Arial" w:hAnsi="Arial" w:cs="Arial"/>
          <w:i/>
        </w:rPr>
        <w:t>,</w:t>
      </w:r>
      <w:r w:rsidR="002C7657" w:rsidRPr="00A8744D">
        <w:rPr>
          <w:rStyle w:val="Strong"/>
          <w:rFonts w:ascii="Arial" w:hAnsi="Arial" w:cs="Arial"/>
          <w:b w:val="0"/>
        </w:rPr>
        <w:t xml:space="preserve"> 13</w:t>
      </w:r>
      <w:r w:rsidRPr="00A8744D">
        <w:rPr>
          <w:rFonts w:ascii="Arial" w:hAnsi="Arial" w:cs="Arial"/>
        </w:rPr>
        <w:t xml:space="preserve">(2), 263. </w:t>
      </w:r>
      <w:hyperlink r:id="rId24" w:history="1">
        <w:r w:rsidRPr="008E74CA">
          <w:rPr>
            <w:rStyle w:val="Hyperlink"/>
            <w:rFonts w:ascii="Arial" w:hAnsi="Arial" w:cs="Arial"/>
          </w:rPr>
          <w:t>https://doi.org/10.3390/f13020263</w:t>
        </w:r>
      </w:hyperlink>
    </w:p>
    <w:p w14:paraId="1E91DD08" w14:textId="77777777" w:rsidR="00A8744D" w:rsidRDefault="00013EFB" w:rsidP="00A8744D">
      <w:pPr>
        <w:pStyle w:val="ListParagraph"/>
        <w:numPr>
          <w:ilvl w:val="0"/>
          <w:numId w:val="32"/>
        </w:numPr>
        <w:ind w:left="270"/>
        <w:jc w:val="both"/>
        <w:rPr>
          <w:rFonts w:ascii="Arial" w:hAnsi="Arial" w:cs="Arial"/>
        </w:rPr>
      </w:pPr>
      <w:r w:rsidRPr="00013EFB">
        <w:rPr>
          <w:rStyle w:val="Strong"/>
          <w:rFonts w:ascii="Arial" w:hAnsi="Arial" w:cs="Arial"/>
          <w:b w:val="0"/>
        </w:rPr>
        <w:t>Chavan, S. B., Uthappa, A. R., Keerthika, A., Parthiban, K. T., Vennila, S., Kumar, P., Anbu, P. V., Newaj, R., &amp; Sridhar, K. B. (2015).</w:t>
      </w:r>
      <w:r w:rsidRPr="00013EFB">
        <w:rPr>
          <w:rFonts w:ascii="Arial" w:hAnsi="Arial" w:cs="Arial"/>
        </w:rPr>
        <w:t xml:space="preserve"> Suitability of </w:t>
      </w:r>
      <w:r w:rsidRPr="00013EFB">
        <w:rPr>
          <w:rStyle w:val="Emphasis"/>
          <w:rFonts w:ascii="Arial" w:hAnsi="Arial" w:cs="Arial"/>
        </w:rPr>
        <w:t>Leucaena leucocephala</w:t>
      </w:r>
      <w:r w:rsidRPr="00013EFB">
        <w:rPr>
          <w:rFonts w:ascii="Arial" w:hAnsi="Arial" w:cs="Arial"/>
        </w:rPr>
        <w:t xml:space="preserve"> (Lam.) de Wit as a source of pulp and fuelwood in India. </w:t>
      </w:r>
      <w:r w:rsidRPr="00213A85">
        <w:rPr>
          <w:rStyle w:val="Emphasis"/>
          <w:rFonts w:ascii="Arial" w:hAnsi="Arial" w:cs="Arial"/>
          <w:i w:val="0"/>
        </w:rPr>
        <w:t>Journal of Tree Sciences</w:t>
      </w:r>
      <w:r w:rsidR="002C7657" w:rsidRPr="00213A85">
        <w:rPr>
          <w:rFonts w:ascii="Arial" w:hAnsi="Arial" w:cs="Arial"/>
          <w:i/>
        </w:rPr>
        <w:t>,</w:t>
      </w:r>
      <w:r w:rsidR="002C7657" w:rsidRPr="00013EFB">
        <w:rPr>
          <w:rStyle w:val="Strong"/>
          <w:rFonts w:ascii="Arial" w:hAnsi="Arial" w:cs="Arial"/>
          <w:b w:val="0"/>
        </w:rPr>
        <w:t xml:space="preserve"> 34</w:t>
      </w:r>
      <w:r w:rsidRPr="00013EFB">
        <w:rPr>
          <w:rFonts w:ascii="Arial" w:hAnsi="Arial" w:cs="Arial"/>
        </w:rPr>
        <w:t>(1), 30–38.</w:t>
      </w:r>
    </w:p>
    <w:p w14:paraId="5CD92BA2" w14:textId="77777777" w:rsidR="00013EFB" w:rsidRDefault="00013EFB" w:rsidP="00A8744D">
      <w:pPr>
        <w:pStyle w:val="ListParagraph"/>
        <w:numPr>
          <w:ilvl w:val="0"/>
          <w:numId w:val="32"/>
        </w:numPr>
        <w:ind w:left="270"/>
        <w:jc w:val="both"/>
        <w:rPr>
          <w:rFonts w:ascii="Arial" w:hAnsi="Arial" w:cs="Arial"/>
        </w:rPr>
      </w:pPr>
      <w:r w:rsidRPr="00013EFB">
        <w:rPr>
          <w:rStyle w:val="Strong"/>
          <w:rFonts w:ascii="Arial" w:hAnsi="Arial" w:cs="Arial"/>
          <w:b w:val="0"/>
        </w:rPr>
        <w:lastRenderedPageBreak/>
        <w:t>Mangasha, L. A. (2019).</w:t>
      </w:r>
      <w:r w:rsidRPr="00013EFB">
        <w:rPr>
          <w:rFonts w:ascii="Arial" w:hAnsi="Arial" w:cs="Arial"/>
        </w:rPr>
        <w:t xml:space="preserve"> Review on effect of some selected wood properties on pulp and paper properties. </w:t>
      </w:r>
      <w:r w:rsidRPr="00213A85">
        <w:rPr>
          <w:rStyle w:val="Emphasis"/>
          <w:rFonts w:ascii="Arial" w:hAnsi="Arial" w:cs="Arial"/>
          <w:i w:val="0"/>
        </w:rPr>
        <w:t>Journal of Forestry and Environment</w:t>
      </w:r>
      <w:r w:rsidR="002C7657" w:rsidRPr="00213A85">
        <w:rPr>
          <w:rFonts w:ascii="Arial" w:hAnsi="Arial" w:cs="Arial"/>
          <w:i/>
        </w:rPr>
        <w:t>,</w:t>
      </w:r>
      <w:r w:rsidR="002C7657" w:rsidRPr="00013EFB">
        <w:rPr>
          <w:rStyle w:val="Strong"/>
          <w:rFonts w:ascii="Arial" w:hAnsi="Arial" w:cs="Arial"/>
          <w:b w:val="0"/>
        </w:rPr>
        <w:t xml:space="preserve"> 1</w:t>
      </w:r>
      <w:r w:rsidRPr="00013EFB">
        <w:rPr>
          <w:rFonts w:ascii="Arial" w:hAnsi="Arial" w:cs="Arial"/>
        </w:rPr>
        <w:t>(2), 16–22.</w:t>
      </w:r>
    </w:p>
    <w:p w14:paraId="126BDABE" w14:textId="77777777" w:rsidR="00013EFB" w:rsidRDefault="0099317B" w:rsidP="00A8744D">
      <w:pPr>
        <w:pStyle w:val="ListParagraph"/>
        <w:numPr>
          <w:ilvl w:val="0"/>
          <w:numId w:val="32"/>
        </w:numPr>
        <w:ind w:left="270"/>
        <w:jc w:val="both"/>
        <w:rPr>
          <w:rFonts w:ascii="Arial" w:hAnsi="Arial" w:cs="Arial"/>
        </w:rPr>
      </w:pPr>
      <w:r w:rsidRPr="0099317B">
        <w:rPr>
          <w:rStyle w:val="Strong"/>
          <w:rFonts w:ascii="Arial" w:hAnsi="Arial" w:cs="Arial"/>
          <w:b w:val="0"/>
        </w:rPr>
        <w:t>Jahan, M. S., Mun, S. P., &amp; Rashid, M. (2004).</w:t>
      </w:r>
      <w:r w:rsidRPr="0099317B">
        <w:rPr>
          <w:rFonts w:ascii="Arial" w:hAnsi="Arial" w:cs="Arial"/>
        </w:rPr>
        <w:t xml:space="preserve"> Fiber dimensions and chemical properties of various nonwood materials and their suitability for paper production. </w:t>
      </w:r>
      <w:r w:rsidRPr="00213A85">
        <w:rPr>
          <w:rStyle w:val="Emphasis"/>
          <w:rFonts w:ascii="Arial" w:hAnsi="Arial" w:cs="Arial"/>
          <w:i w:val="0"/>
        </w:rPr>
        <w:t>Journal of Korea Technical Association of the Pulp and Paper Industry</w:t>
      </w:r>
      <w:r w:rsidR="002C7657" w:rsidRPr="00213A85">
        <w:rPr>
          <w:rFonts w:ascii="Arial" w:hAnsi="Arial" w:cs="Arial"/>
          <w:i/>
        </w:rPr>
        <w:t>,</w:t>
      </w:r>
      <w:r w:rsidR="002C7657" w:rsidRPr="0099317B">
        <w:rPr>
          <w:rStyle w:val="Strong"/>
          <w:rFonts w:ascii="Arial" w:hAnsi="Arial" w:cs="Arial"/>
          <w:b w:val="0"/>
        </w:rPr>
        <w:t xml:space="preserve"> 36</w:t>
      </w:r>
      <w:r w:rsidRPr="0099317B">
        <w:rPr>
          <w:rFonts w:ascii="Arial" w:hAnsi="Arial" w:cs="Arial"/>
        </w:rPr>
        <w:t>(5), 29–35.</w:t>
      </w:r>
    </w:p>
    <w:p w14:paraId="4EB36C49" w14:textId="77777777" w:rsidR="00AA79C7" w:rsidRPr="00AA79C7" w:rsidRDefault="00AA79C7" w:rsidP="00A8744D">
      <w:pPr>
        <w:pStyle w:val="ListParagraph"/>
        <w:numPr>
          <w:ilvl w:val="0"/>
          <w:numId w:val="32"/>
        </w:numPr>
        <w:ind w:left="270"/>
        <w:jc w:val="both"/>
        <w:rPr>
          <w:rFonts w:ascii="Arial" w:hAnsi="Arial" w:cs="Arial"/>
        </w:rPr>
      </w:pPr>
      <w:r w:rsidRPr="00AA79C7">
        <w:rPr>
          <w:rStyle w:val="Strong"/>
          <w:rFonts w:ascii="Arial" w:hAnsi="Arial" w:cs="Arial"/>
          <w:b w:val="0"/>
        </w:rPr>
        <w:t>Dutt, D., &amp; Tyagi, C. H. (2011).</w:t>
      </w:r>
      <w:r w:rsidRPr="00AA79C7">
        <w:rPr>
          <w:rFonts w:ascii="Arial" w:hAnsi="Arial" w:cs="Arial"/>
        </w:rPr>
        <w:t xml:space="preserve">Comparison of various </w:t>
      </w:r>
      <w:r w:rsidRPr="00AA79C7">
        <w:rPr>
          <w:rStyle w:val="Emphasis"/>
          <w:rFonts w:ascii="Arial" w:hAnsi="Arial" w:cs="Arial"/>
        </w:rPr>
        <w:t>Eucalyptus</w:t>
      </w:r>
      <w:r w:rsidRPr="00AA79C7">
        <w:rPr>
          <w:rFonts w:ascii="Arial" w:hAnsi="Arial" w:cs="Arial"/>
        </w:rPr>
        <w:t xml:space="preserve"> species for their morphological, chemical, pulp and paper making characteristics. </w:t>
      </w:r>
      <w:r w:rsidRPr="00AA79C7">
        <w:rPr>
          <w:rStyle w:val="Emphasis"/>
          <w:rFonts w:ascii="Arial" w:hAnsi="Arial" w:cs="Arial"/>
          <w:i w:val="0"/>
        </w:rPr>
        <w:t>Indian Journal of Chemical Technology</w:t>
      </w:r>
      <w:r w:rsidR="002C7657" w:rsidRPr="00AA79C7">
        <w:rPr>
          <w:rFonts w:ascii="Arial" w:hAnsi="Arial" w:cs="Arial"/>
          <w:i/>
        </w:rPr>
        <w:t>,</w:t>
      </w:r>
      <w:r w:rsidR="002C7657" w:rsidRPr="00AA79C7">
        <w:rPr>
          <w:rStyle w:val="Strong"/>
          <w:rFonts w:ascii="Arial" w:hAnsi="Arial" w:cs="Arial"/>
          <w:b w:val="0"/>
        </w:rPr>
        <w:t xml:space="preserve"> 18</w:t>
      </w:r>
      <w:r w:rsidRPr="00AA79C7">
        <w:rPr>
          <w:rFonts w:ascii="Arial" w:hAnsi="Arial" w:cs="Arial"/>
        </w:rPr>
        <w:t>(2), 145–151.</w:t>
      </w:r>
    </w:p>
    <w:p w14:paraId="544E0E60" w14:textId="77777777" w:rsidR="0099317B" w:rsidRDefault="0099317B" w:rsidP="00A8744D">
      <w:pPr>
        <w:pStyle w:val="ListParagraph"/>
        <w:numPr>
          <w:ilvl w:val="0"/>
          <w:numId w:val="32"/>
        </w:numPr>
        <w:ind w:left="270"/>
        <w:jc w:val="both"/>
        <w:rPr>
          <w:rFonts w:ascii="Arial" w:hAnsi="Arial" w:cs="Arial"/>
        </w:rPr>
      </w:pPr>
      <w:r w:rsidRPr="0099317B">
        <w:rPr>
          <w:rStyle w:val="Strong"/>
          <w:rFonts w:ascii="Arial" w:hAnsi="Arial" w:cs="Arial"/>
          <w:b w:val="0"/>
        </w:rPr>
        <w:t>Vennila, S., &amp; Parthiban, K. T. (2021).</w:t>
      </w:r>
      <w:r w:rsidRPr="0099317B">
        <w:rPr>
          <w:rFonts w:ascii="Arial" w:hAnsi="Arial" w:cs="Arial"/>
        </w:rPr>
        <w:t xml:space="preserve"> Screening of indigenous pulpwood for paper production. </w:t>
      </w:r>
      <w:r w:rsidRPr="00213A85">
        <w:rPr>
          <w:rStyle w:val="Emphasis"/>
          <w:rFonts w:ascii="Arial" w:hAnsi="Arial" w:cs="Arial"/>
          <w:i w:val="0"/>
        </w:rPr>
        <w:t>International Journal of Chemical Studies</w:t>
      </w:r>
      <w:r w:rsidRPr="0099317B">
        <w:rPr>
          <w:rFonts w:ascii="Arial" w:hAnsi="Arial" w:cs="Arial"/>
        </w:rPr>
        <w:t xml:space="preserve">, </w:t>
      </w:r>
      <w:r w:rsidRPr="0099317B">
        <w:rPr>
          <w:rStyle w:val="Strong"/>
          <w:rFonts w:ascii="Arial" w:hAnsi="Arial" w:cs="Arial"/>
        </w:rPr>
        <w:t>9</w:t>
      </w:r>
      <w:r w:rsidRPr="0099317B">
        <w:rPr>
          <w:rFonts w:ascii="Arial" w:hAnsi="Arial" w:cs="Arial"/>
        </w:rPr>
        <w:t>(2), 1059–1064.</w:t>
      </w:r>
    </w:p>
    <w:p w14:paraId="518A5B41" w14:textId="77777777" w:rsidR="009F7358" w:rsidRPr="00213A85" w:rsidRDefault="009F7358" w:rsidP="00213A85">
      <w:pPr>
        <w:pStyle w:val="ListParagraph"/>
        <w:numPr>
          <w:ilvl w:val="0"/>
          <w:numId w:val="32"/>
        </w:numPr>
        <w:ind w:left="270"/>
        <w:jc w:val="both"/>
        <w:rPr>
          <w:rFonts w:ascii="Arial" w:hAnsi="Arial" w:cs="Arial"/>
          <w:i/>
        </w:rPr>
      </w:pPr>
      <w:r w:rsidRPr="00213A85">
        <w:rPr>
          <w:rFonts w:ascii="Arial" w:hAnsi="Arial" w:cs="Arial"/>
        </w:rPr>
        <w:t xml:space="preserve">Mithilashri, </w:t>
      </w:r>
      <w:r w:rsidR="00213A85" w:rsidRPr="00213A85">
        <w:rPr>
          <w:rFonts w:ascii="Arial" w:hAnsi="Arial" w:cs="Arial"/>
        </w:rPr>
        <w:t>M., Parthiban, K. T., &amp; Shankar, S. M. (2024). Screening of mulberry clones for pulp and paper production. International Journal of Agriculture Extension and Social Development</w:t>
      </w:r>
      <w:r w:rsidR="00213A85" w:rsidRPr="00213A85">
        <w:rPr>
          <w:rFonts w:ascii="Arial" w:hAnsi="Arial" w:cs="Arial"/>
          <w:i/>
        </w:rPr>
        <w:t xml:space="preserve">, </w:t>
      </w:r>
      <w:r w:rsidR="00213A85" w:rsidRPr="00213A85">
        <w:rPr>
          <w:rFonts w:ascii="Arial" w:hAnsi="Arial" w:cs="Arial"/>
        </w:rPr>
        <w:t xml:space="preserve">7(9), 473-479. </w:t>
      </w:r>
      <w:hyperlink r:id="rId25" w:history="1">
        <w:r w:rsidR="00213A85" w:rsidRPr="008E74CA">
          <w:rPr>
            <w:rStyle w:val="Hyperlink"/>
            <w:rFonts w:ascii="Arial" w:hAnsi="Arial" w:cs="Arial"/>
          </w:rPr>
          <w:t>https://doi.org/10.33545/26180723.2024.v7.i9g.1103</w:t>
        </w:r>
      </w:hyperlink>
    </w:p>
    <w:p w14:paraId="43DBB969" w14:textId="77777777" w:rsidR="00213A85" w:rsidRPr="006D342E" w:rsidRDefault="006D342E" w:rsidP="006D342E">
      <w:pPr>
        <w:pStyle w:val="ListParagraph"/>
        <w:numPr>
          <w:ilvl w:val="0"/>
          <w:numId w:val="32"/>
        </w:numPr>
        <w:ind w:left="270"/>
        <w:jc w:val="both"/>
        <w:rPr>
          <w:rFonts w:ascii="Arial" w:hAnsi="Arial" w:cs="Arial"/>
          <w:i/>
        </w:rPr>
      </w:pPr>
      <w:r w:rsidRPr="006D342E">
        <w:rPr>
          <w:rStyle w:val="Strong"/>
          <w:rFonts w:ascii="Arial" w:hAnsi="Arial" w:cs="Arial"/>
          <w:b w:val="0"/>
        </w:rPr>
        <w:t>Neiva, D. M., Fernandes, L., Araújo, S., Lourenço, A., Gominho, J., Simões, R., &amp; Pereira, H. (2015).</w:t>
      </w:r>
      <w:r w:rsidRPr="006D342E">
        <w:rPr>
          <w:rFonts w:ascii="Arial" w:hAnsi="Arial" w:cs="Arial"/>
        </w:rPr>
        <w:t xml:space="preserve"> Pulping potential of young eucalypts: A comparative study of wood and pulp properties of 12 </w:t>
      </w:r>
      <w:r w:rsidRPr="006D342E">
        <w:rPr>
          <w:rStyle w:val="Emphasis"/>
          <w:rFonts w:ascii="Arial" w:hAnsi="Arial" w:cs="Arial"/>
        </w:rPr>
        <w:t>Eucalyptus</w:t>
      </w:r>
      <w:r w:rsidRPr="006D342E">
        <w:rPr>
          <w:rFonts w:ascii="Arial" w:hAnsi="Arial" w:cs="Arial"/>
        </w:rPr>
        <w:t xml:space="preserve"> species. </w:t>
      </w:r>
      <w:r w:rsidRPr="006D342E">
        <w:rPr>
          <w:rStyle w:val="Emphasis"/>
          <w:rFonts w:ascii="Arial" w:hAnsi="Arial" w:cs="Arial"/>
        </w:rPr>
        <w:t>Proceedings of the 7th International Colloquium on Eucalyptus Pulp</w:t>
      </w:r>
      <w:r w:rsidRPr="006D342E">
        <w:rPr>
          <w:rFonts w:ascii="Arial" w:hAnsi="Arial" w:cs="Arial"/>
        </w:rPr>
        <w:t>, 26–29 May, Vitória, Espírito Santo, Brazil.</w:t>
      </w:r>
      <w:hyperlink r:id="rId26" w:history="1">
        <w:r w:rsidRPr="008E74CA">
          <w:rPr>
            <w:rStyle w:val="Hyperlink"/>
            <w:rFonts w:ascii="Arial" w:hAnsi="Arial" w:cs="Arial"/>
          </w:rPr>
          <w:t>https://www.eucalyptus.com.br/artigos/2015_Young_eucalyptus.pdf</w:t>
        </w:r>
      </w:hyperlink>
    </w:p>
    <w:p w14:paraId="5F64C117" w14:textId="77777777" w:rsidR="006D342E" w:rsidRPr="006D342E" w:rsidRDefault="006D342E" w:rsidP="006D342E">
      <w:pPr>
        <w:pStyle w:val="ListParagraph"/>
        <w:numPr>
          <w:ilvl w:val="0"/>
          <w:numId w:val="32"/>
        </w:numPr>
        <w:ind w:left="270"/>
        <w:jc w:val="both"/>
        <w:rPr>
          <w:rFonts w:ascii="Arial" w:hAnsi="Arial" w:cs="Arial"/>
          <w:i/>
        </w:rPr>
      </w:pPr>
      <w:r w:rsidRPr="006D342E">
        <w:rPr>
          <w:rStyle w:val="Strong"/>
          <w:rFonts w:ascii="Arial" w:hAnsi="Arial" w:cs="Arial"/>
          <w:b w:val="0"/>
        </w:rPr>
        <w:t>Lal, P. S., Sharma, A., &amp; Bist, V. (2013).</w:t>
      </w:r>
      <w:r w:rsidRPr="006D342E">
        <w:rPr>
          <w:rFonts w:ascii="Arial" w:hAnsi="Arial" w:cs="Arial"/>
        </w:rPr>
        <w:t xml:space="preserve"> Pine needle—An evaluation of pulp and paper making potential. </w:t>
      </w:r>
      <w:r w:rsidRPr="006D342E">
        <w:rPr>
          <w:rStyle w:val="Emphasis"/>
          <w:rFonts w:ascii="Arial" w:hAnsi="Arial" w:cs="Arial"/>
          <w:i w:val="0"/>
        </w:rPr>
        <w:t>Journal of Forest Products &amp; Industries</w:t>
      </w:r>
      <w:r w:rsidRPr="006D342E">
        <w:rPr>
          <w:rFonts w:ascii="Arial" w:hAnsi="Arial" w:cs="Arial"/>
          <w:i/>
        </w:rPr>
        <w:t xml:space="preserve">, </w:t>
      </w:r>
      <w:r w:rsidRPr="006D342E">
        <w:rPr>
          <w:rStyle w:val="Strong"/>
          <w:rFonts w:ascii="Arial" w:hAnsi="Arial" w:cs="Arial"/>
          <w:b w:val="0"/>
        </w:rPr>
        <w:t>2</w:t>
      </w:r>
      <w:r w:rsidRPr="006D342E">
        <w:rPr>
          <w:rFonts w:ascii="Arial" w:hAnsi="Arial" w:cs="Arial"/>
        </w:rPr>
        <w:t>(3), 42–47.</w:t>
      </w:r>
    </w:p>
    <w:p w14:paraId="3750884A" w14:textId="77777777" w:rsidR="006D342E" w:rsidRDefault="00AA79C7" w:rsidP="006D342E">
      <w:pPr>
        <w:pStyle w:val="ListParagraph"/>
        <w:numPr>
          <w:ilvl w:val="0"/>
          <w:numId w:val="32"/>
        </w:numPr>
        <w:ind w:left="270"/>
        <w:jc w:val="both"/>
        <w:rPr>
          <w:rFonts w:ascii="Arial" w:hAnsi="Arial" w:cs="Arial"/>
        </w:rPr>
      </w:pPr>
      <w:r w:rsidRPr="00AA79C7">
        <w:rPr>
          <w:rStyle w:val="Strong"/>
          <w:rFonts w:ascii="Arial" w:hAnsi="Arial" w:cs="Arial"/>
          <w:b w:val="0"/>
        </w:rPr>
        <w:t>Hatta, Z. M. (2013).</w:t>
      </w:r>
      <w:r w:rsidRPr="00AA79C7">
        <w:rPr>
          <w:rFonts w:ascii="Arial" w:hAnsi="Arial" w:cs="Arial"/>
        </w:rPr>
        <w:t xml:space="preserve"> Chemical composition and morphological characteristics of cocoa pod husk and cassava peels for pulp and paper production. </w:t>
      </w:r>
      <w:r w:rsidRPr="00AA79C7">
        <w:rPr>
          <w:rStyle w:val="Emphasis"/>
          <w:rFonts w:ascii="Arial" w:hAnsi="Arial" w:cs="Arial"/>
          <w:i w:val="0"/>
        </w:rPr>
        <w:t>Australian Journal of Basic and Applied Sciences</w:t>
      </w:r>
      <w:r w:rsidRPr="00AA79C7">
        <w:rPr>
          <w:rFonts w:ascii="Arial" w:hAnsi="Arial" w:cs="Arial"/>
        </w:rPr>
        <w:t xml:space="preserve">, </w:t>
      </w:r>
      <w:r w:rsidRPr="00AA79C7">
        <w:rPr>
          <w:rStyle w:val="Strong"/>
          <w:rFonts w:ascii="Arial" w:hAnsi="Arial" w:cs="Arial"/>
          <w:b w:val="0"/>
        </w:rPr>
        <w:t>7</w:t>
      </w:r>
      <w:r w:rsidRPr="00AA79C7">
        <w:rPr>
          <w:rFonts w:ascii="Arial" w:hAnsi="Arial" w:cs="Arial"/>
        </w:rPr>
        <w:t>(9), 406–411.</w:t>
      </w:r>
    </w:p>
    <w:p w14:paraId="27895F2B" w14:textId="77777777" w:rsidR="00E8389C" w:rsidRDefault="00E8389C" w:rsidP="006D342E">
      <w:pPr>
        <w:pStyle w:val="ListParagraph"/>
        <w:numPr>
          <w:ilvl w:val="0"/>
          <w:numId w:val="32"/>
        </w:numPr>
        <w:ind w:left="270"/>
        <w:jc w:val="both"/>
        <w:rPr>
          <w:rFonts w:ascii="Arial" w:hAnsi="Arial" w:cs="Arial"/>
        </w:rPr>
      </w:pPr>
      <w:r w:rsidRPr="00E8389C">
        <w:rPr>
          <w:rStyle w:val="Strong"/>
          <w:rFonts w:ascii="Arial" w:hAnsi="Arial" w:cs="Arial"/>
          <w:b w:val="0"/>
        </w:rPr>
        <w:t>Parthiban, K. T., &amp; Seenivasan, R. (2017).</w:t>
      </w:r>
      <w:r w:rsidRPr="00E8389C">
        <w:rPr>
          <w:rStyle w:val="Emphasis"/>
          <w:rFonts w:ascii="Arial" w:hAnsi="Arial" w:cs="Arial"/>
          <w:i w:val="0"/>
        </w:rPr>
        <w:t xml:space="preserve">Forestry technologies: A complete value chain </w:t>
      </w:r>
      <w:r w:rsidR="002C7657" w:rsidRPr="00E8389C">
        <w:rPr>
          <w:rStyle w:val="Emphasis"/>
          <w:rFonts w:ascii="Arial" w:hAnsi="Arial" w:cs="Arial"/>
          <w:i w:val="0"/>
        </w:rPr>
        <w:t>approach</w:t>
      </w:r>
      <w:r w:rsidR="002C7657" w:rsidRPr="00E8389C">
        <w:rPr>
          <w:rFonts w:ascii="Arial" w:hAnsi="Arial" w:cs="Arial"/>
        </w:rPr>
        <w:t xml:space="preserve"> (</w:t>
      </w:r>
      <w:r w:rsidRPr="00E8389C">
        <w:rPr>
          <w:rFonts w:ascii="Arial" w:hAnsi="Arial" w:cs="Arial"/>
        </w:rPr>
        <w:t xml:space="preserve">1st </w:t>
      </w:r>
      <w:proofErr w:type="gramStart"/>
      <w:r w:rsidRPr="00E8389C">
        <w:rPr>
          <w:rFonts w:ascii="Arial" w:hAnsi="Arial" w:cs="Arial"/>
        </w:rPr>
        <w:t>ed</w:t>
      </w:r>
      <w:proofErr w:type="gramEnd"/>
      <w:r w:rsidRPr="00E8389C">
        <w:rPr>
          <w:rFonts w:ascii="Arial" w:hAnsi="Arial" w:cs="Arial"/>
        </w:rPr>
        <w:t>.). Jodhpur: Scientific Publishers.</w:t>
      </w:r>
    </w:p>
    <w:p w14:paraId="5C14B7C1" w14:textId="77777777" w:rsidR="00E8389C" w:rsidRPr="00E8389C" w:rsidRDefault="00E8389C" w:rsidP="00E8389C">
      <w:pPr>
        <w:pStyle w:val="ListParagraph"/>
        <w:numPr>
          <w:ilvl w:val="0"/>
          <w:numId w:val="32"/>
        </w:numPr>
        <w:ind w:left="270"/>
        <w:jc w:val="both"/>
        <w:rPr>
          <w:rFonts w:ascii="Arial" w:hAnsi="Arial" w:cs="Arial"/>
        </w:rPr>
      </w:pPr>
      <w:r w:rsidRPr="00E8389C">
        <w:rPr>
          <w:rFonts w:ascii="Arial" w:hAnsi="Arial" w:cs="Arial"/>
        </w:rPr>
        <w:t>Dutt, D., Upadhyay, J. S., Singh, B., &amp; Tyagi, C. H. (2009). Studies on Hibiscus cannabinus and Hibiscus sabdariffa as an alternative pulp blend for softwood: An optimization of kraft delignification process. Industrial Crops and Products, 29(1), 16–26.</w:t>
      </w:r>
    </w:p>
    <w:p w14:paraId="21DA5DBA" w14:textId="77777777" w:rsidR="00E8389C" w:rsidRDefault="00E8389C" w:rsidP="00E8389C">
      <w:pPr>
        <w:pStyle w:val="ListParagraph"/>
        <w:numPr>
          <w:ilvl w:val="0"/>
          <w:numId w:val="32"/>
        </w:numPr>
        <w:ind w:left="270"/>
        <w:jc w:val="both"/>
        <w:rPr>
          <w:rFonts w:ascii="Arial" w:hAnsi="Arial" w:cs="Arial"/>
        </w:rPr>
      </w:pPr>
      <w:r w:rsidRPr="00E8389C">
        <w:rPr>
          <w:rStyle w:val="Strong"/>
          <w:rFonts w:ascii="Arial" w:hAnsi="Arial" w:cs="Arial"/>
          <w:b w:val="0"/>
        </w:rPr>
        <w:t>Anupam, K., Lal, P. S., Bist, V., Sharma, A. K., &amp; Swaroop, V. (2014).</w:t>
      </w:r>
      <w:r w:rsidRPr="00E8389C">
        <w:rPr>
          <w:rFonts w:ascii="Arial" w:hAnsi="Arial" w:cs="Arial"/>
        </w:rPr>
        <w:t xml:space="preserve"> Raw material selection for pulping and papermaking using TOPSIS multiple criteria decision making design. </w:t>
      </w:r>
      <w:r w:rsidRPr="00E8389C">
        <w:rPr>
          <w:rStyle w:val="Emphasis"/>
          <w:rFonts w:ascii="Arial" w:hAnsi="Arial" w:cs="Arial"/>
          <w:i w:val="0"/>
        </w:rPr>
        <w:t>Environmental Progress &amp; Sustainable Energy</w:t>
      </w:r>
      <w:r w:rsidR="002C7657" w:rsidRPr="00E8389C">
        <w:rPr>
          <w:rFonts w:ascii="Arial" w:hAnsi="Arial" w:cs="Arial"/>
          <w:i/>
        </w:rPr>
        <w:t>,</w:t>
      </w:r>
      <w:r w:rsidR="002C7657" w:rsidRPr="00E8389C">
        <w:rPr>
          <w:rStyle w:val="Strong"/>
          <w:rFonts w:ascii="Arial" w:hAnsi="Arial" w:cs="Arial"/>
        </w:rPr>
        <w:t xml:space="preserve"> 33</w:t>
      </w:r>
      <w:r w:rsidRPr="00E8389C">
        <w:rPr>
          <w:rFonts w:ascii="Arial" w:hAnsi="Arial" w:cs="Arial"/>
        </w:rPr>
        <w:t>(3), 1034–1041.</w:t>
      </w:r>
      <w:hyperlink r:id="rId27" w:history="1">
        <w:r w:rsidRPr="008E74CA">
          <w:rPr>
            <w:rStyle w:val="Hyperlink"/>
            <w:rFonts w:ascii="Arial" w:hAnsi="Arial" w:cs="Arial"/>
          </w:rPr>
          <w:t>https://doi.org/10.1002/ep.11851</w:t>
        </w:r>
      </w:hyperlink>
    </w:p>
    <w:p w14:paraId="514A70A7" w14:textId="77777777" w:rsidR="00E8389C" w:rsidRDefault="00E8389C" w:rsidP="00E8389C">
      <w:pPr>
        <w:pStyle w:val="ListParagraph"/>
        <w:numPr>
          <w:ilvl w:val="0"/>
          <w:numId w:val="32"/>
        </w:numPr>
        <w:ind w:left="270"/>
        <w:jc w:val="both"/>
        <w:rPr>
          <w:rFonts w:ascii="Arial" w:hAnsi="Arial" w:cs="Arial"/>
        </w:rPr>
      </w:pPr>
      <w:r w:rsidRPr="00E8389C">
        <w:rPr>
          <w:rStyle w:val="Strong"/>
          <w:rFonts w:ascii="Arial" w:hAnsi="Arial" w:cs="Arial"/>
          <w:b w:val="0"/>
        </w:rPr>
        <w:t>Anusuya, G. (2019).</w:t>
      </w:r>
      <w:r w:rsidRPr="00E8389C">
        <w:rPr>
          <w:rFonts w:ascii="Arial" w:hAnsi="Arial" w:cs="Arial"/>
        </w:rPr>
        <w:t xml:space="preserve"> Characterization of alternate mulberry genetic resources for wood and leaf quality (M.Sc. thesis). Tamil Nadu Agricultural University, Coimbatore, India.</w:t>
      </w:r>
    </w:p>
    <w:p w14:paraId="2FD08678" w14:textId="77777777" w:rsidR="009F1533" w:rsidRPr="00804894" w:rsidRDefault="009F1533" w:rsidP="00804894">
      <w:pPr>
        <w:pStyle w:val="ListParagraph"/>
        <w:numPr>
          <w:ilvl w:val="0"/>
          <w:numId w:val="32"/>
        </w:numPr>
        <w:ind w:left="270"/>
        <w:jc w:val="both"/>
        <w:rPr>
          <w:rFonts w:ascii="Arial" w:hAnsi="Arial" w:cs="Arial"/>
        </w:rPr>
        <w:sectPr w:rsidR="009F1533" w:rsidRPr="00804894" w:rsidSect="0090765B">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6DC36E3A" w14:textId="77777777" w:rsidR="00B01FCD" w:rsidRPr="00FB3A86" w:rsidRDefault="00B01FCD" w:rsidP="00441B6F">
      <w:pPr>
        <w:pStyle w:val="Appendix"/>
        <w:spacing w:after="0"/>
        <w:jc w:val="both"/>
        <w:rPr>
          <w:rFonts w:ascii="Arial" w:hAnsi="Arial" w:cs="Arial"/>
          <w:b w:val="0"/>
        </w:rPr>
      </w:pPr>
    </w:p>
    <w:sectPr w:rsidR="00B01FCD" w:rsidRPr="00FB3A86" w:rsidSect="0090765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CB8FE" w14:textId="77777777" w:rsidR="009C5BFD" w:rsidRDefault="009C5BFD" w:rsidP="00C37E61">
      <w:r>
        <w:separator/>
      </w:r>
    </w:p>
  </w:endnote>
  <w:endnote w:type="continuationSeparator" w:id="0">
    <w:p w14:paraId="26016D35" w14:textId="77777777" w:rsidR="009C5BFD" w:rsidRDefault="009C5B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03F3" w14:textId="77777777" w:rsidR="00344C0D" w:rsidRDefault="00344C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D607F" w14:textId="77777777" w:rsidR="00344C0D" w:rsidRDefault="00344C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701E7" w14:textId="77777777" w:rsidR="00344C0D" w:rsidRDefault="00344C0D">
    <w:pPr>
      <w:pStyle w:val="Footer"/>
      <w:rPr>
        <w:rFonts w:ascii="Arial" w:hAnsi="Arial" w:cs="Arial"/>
        <w:sz w:val="16"/>
      </w:rPr>
    </w:pPr>
  </w:p>
  <w:p w14:paraId="0040FFEB" w14:textId="77777777" w:rsidR="00344C0D" w:rsidRDefault="00344C0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8A69DBB" w14:textId="77777777" w:rsidR="00344C0D" w:rsidRDefault="00344C0D">
    <w:pPr>
      <w:pStyle w:val="Footer"/>
      <w:rPr>
        <w:rFonts w:ascii="Arial" w:hAnsi="Arial" w:cs="Arial"/>
        <w:sz w:val="16"/>
      </w:rPr>
    </w:pPr>
  </w:p>
  <w:p w14:paraId="0AFDF418" w14:textId="77777777" w:rsidR="00344C0D" w:rsidRPr="009E048A" w:rsidRDefault="00344C0D">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4DB00" w14:textId="77777777" w:rsidR="00344C0D" w:rsidRPr="00C37E61" w:rsidRDefault="00344C0D"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C386C" w14:textId="77777777" w:rsidR="009C5BFD" w:rsidRDefault="009C5BFD" w:rsidP="00C37E61">
      <w:r>
        <w:separator/>
      </w:r>
    </w:p>
  </w:footnote>
  <w:footnote w:type="continuationSeparator" w:id="0">
    <w:p w14:paraId="08B4FD5C" w14:textId="77777777" w:rsidR="009C5BFD" w:rsidRDefault="009C5BFD"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3F0E3" w14:textId="746E150F" w:rsidR="00344C0D" w:rsidRDefault="00344C0D">
    <w:pPr>
      <w:pStyle w:val="Header"/>
    </w:pPr>
    <w:r>
      <w:rPr>
        <w:noProof/>
      </w:rPr>
      <w:pict w14:anchorId="486C0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27F41" w14:textId="38559DDA" w:rsidR="00344C0D" w:rsidRDefault="00344C0D">
    <w:pPr>
      <w:pStyle w:val="Header"/>
    </w:pPr>
    <w:r>
      <w:rPr>
        <w:noProof/>
      </w:rPr>
      <w:pict w14:anchorId="6D74E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71E6E" w14:textId="3938830A" w:rsidR="00344C0D" w:rsidRPr="00296529" w:rsidRDefault="00344C0D" w:rsidP="00296529">
    <w:pPr>
      <w:ind w:left="2160"/>
      <w:jc w:val="center"/>
      <w:rPr>
        <w:rFonts w:ascii="Times New Roman" w:eastAsia="Calibri" w:hAnsi="Times New Roman"/>
        <w:i/>
        <w:sz w:val="18"/>
        <w:szCs w:val="22"/>
      </w:rPr>
    </w:pPr>
    <w:r>
      <w:rPr>
        <w:noProof/>
      </w:rPr>
      <w:pict w14:anchorId="5B111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874265" w14:textId="77777777" w:rsidR="00344C0D" w:rsidRPr="00296529" w:rsidRDefault="00344C0D"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C0AEDD8" w14:textId="77777777" w:rsidR="00344C0D" w:rsidRPr="00296529" w:rsidRDefault="00344C0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532015" w14:textId="77777777" w:rsidR="00344C0D" w:rsidRPr="00296529" w:rsidRDefault="00344C0D"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2028A58" w14:textId="77777777" w:rsidR="00344C0D" w:rsidRDefault="00344C0D" w:rsidP="00296529">
    <w:pPr>
      <w:jc w:val="center"/>
      <w:rPr>
        <w:rFonts w:ascii="Times New Roman" w:eastAsia="Calibri" w:hAnsi="Times New Roman"/>
        <w:i/>
        <w:sz w:val="18"/>
        <w:szCs w:val="22"/>
      </w:rPr>
    </w:pPr>
  </w:p>
  <w:p w14:paraId="3681F4BD" w14:textId="77777777" w:rsidR="00344C0D" w:rsidRDefault="00344C0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96B4EE" w14:textId="77777777" w:rsidR="00344C0D" w:rsidRDefault="00344C0D">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A0F6E" w14:textId="667A9138" w:rsidR="00344C0D" w:rsidRDefault="00344C0D">
    <w:pPr>
      <w:pStyle w:val="Header"/>
    </w:pPr>
    <w:r>
      <w:rPr>
        <w:noProof/>
      </w:rPr>
      <w:pict w14:anchorId="1702E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F23C" w14:textId="15BF4B04" w:rsidR="00344C0D" w:rsidRDefault="00344C0D">
    <w:pPr>
      <w:pStyle w:val="Header"/>
    </w:pPr>
    <w:r>
      <w:rPr>
        <w:noProof/>
      </w:rPr>
      <w:pict w14:anchorId="09A83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8E41E" w14:textId="7713C5C1" w:rsidR="00344C0D" w:rsidRDefault="00344C0D">
    <w:pPr>
      <w:pStyle w:val="Header"/>
    </w:pPr>
    <w:r>
      <w:rPr>
        <w:noProof/>
      </w:rPr>
      <w:pict w14:anchorId="385D8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4B12A6"/>
    <w:multiLevelType w:val="hybridMultilevel"/>
    <w:tmpl w:val="8DB49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972519C"/>
    <w:multiLevelType w:val="hybridMultilevel"/>
    <w:tmpl w:val="911C6F8A"/>
    <w:lvl w:ilvl="0" w:tplc="95F44DF0">
      <w:start w:val="1"/>
      <w:numFmt w:val="decimal"/>
      <w:lvlText w:val="%1."/>
      <w:lvlJc w:val="left"/>
      <w:pPr>
        <w:ind w:left="225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1"/>
  </w:num>
  <w:num w:numId="31">
    <w:abstractNumId w:val="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c0trA0trAwMjYyNDBW0lEKTi0uzszPAykwrAUA75etGywAAAA="/>
  </w:docVars>
  <w:rsids>
    <w:rsidRoot w:val="00AA6219"/>
    <w:rsid w:val="00000F8F"/>
    <w:rsid w:val="00013EFB"/>
    <w:rsid w:val="00030174"/>
    <w:rsid w:val="0004579C"/>
    <w:rsid w:val="00051C1A"/>
    <w:rsid w:val="00074E19"/>
    <w:rsid w:val="000A47FA"/>
    <w:rsid w:val="000A65D3"/>
    <w:rsid w:val="000B1E33"/>
    <w:rsid w:val="000B5309"/>
    <w:rsid w:val="000D689F"/>
    <w:rsid w:val="000D768E"/>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3A85"/>
    <w:rsid w:val="002231E5"/>
    <w:rsid w:val="00231920"/>
    <w:rsid w:val="0023195C"/>
    <w:rsid w:val="0024282C"/>
    <w:rsid w:val="002460DC"/>
    <w:rsid w:val="00250985"/>
    <w:rsid w:val="002556F6"/>
    <w:rsid w:val="00283105"/>
    <w:rsid w:val="00284C4C"/>
    <w:rsid w:val="00287E68"/>
    <w:rsid w:val="00296529"/>
    <w:rsid w:val="002B27FB"/>
    <w:rsid w:val="002B4E33"/>
    <w:rsid w:val="002B685A"/>
    <w:rsid w:val="002C57D2"/>
    <w:rsid w:val="002C7657"/>
    <w:rsid w:val="002E0D56"/>
    <w:rsid w:val="002E3BE4"/>
    <w:rsid w:val="00305E80"/>
    <w:rsid w:val="00315186"/>
    <w:rsid w:val="0033343E"/>
    <w:rsid w:val="00335CF8"/>
    <w:rsid w:val="00344C0D"/>
    <w:rsid w:val="003512C2"/>
    <w:rsid w:val="00371FB6"/>
    <w:rsid w:val="003763C1"/>
    <w:rsid w:val="00376BBE"/>
    <w:rsid w:val="003914B2"/>
    <w:rsid w:val="0039224F"/>
    <w:rsid w:val="003A43A4"/>
    <w:rsid w:val="003A7E18"/>
    <w:rsid w:val="003C4C86"/>
    <w:rsid w:val="003C6258"/>
    <w:rsid w:val="003E2904"/>
    <w:rsid w:val="003F4A3A"/>
    <w:rsid w:val="00401927"/>
    <w:rsid w:val="0040261A"/>
    <w:rsid w:val="0041027F"/>
    <w:rsid w:val="00412475"/>
    <w:rsid w:val="00423789"/>
    <w:rsid w:val="0042747E"/>
    <w:rsid w:val="00440F43"/>
    <w:rsid w:val="00441B6F"/>
    <w:rsid w:val="00446221"/>
    <w:rsid w:val="00450E62"/>
    <w:rsid w:val="004539DB"/>
    <w:rsid w:val="004654FF"/>
    <w:rsid w:val="00471A80"/>
    <w:rsid w:val="00480FEB"/>
    <w:rsid w:val="004A1707"/>
    <w:rsid w:val="004A4D5E"/>
    <w:rsid w:val="004A7CE9"/>
    <w:rsid w:val="004D305E"/>
    <w:rsid w:val="004D4277"/>
    <w:rsid w:val="00502516"/>
    <w:rsid w:val="00505F06"/>
    <w:rsid w:val="00506828"/>
    <w:rsid w:val="0053056E"/>
    <w:rsid w:val="00541AC0"/>
    <w:rsid w:val="005470C3"/>
    <w:rsid w:val="00554FDA"/>
    <w:rsid w:val="005C784C"/>
    <w:rsid w:val="005D17F6"/>
    <w:rsid w:val="005E5539"/>
    <w:rsid w:val="005F2DCC"/>
    <w:rsid w:val="005F5B44"/>
    <w:rsid w:val="00602BF5"/>
    <w:rsid w:val="00617FDD"/>
    <w:rsid w:val="00633614"/>
    <w:rsid w:val="00633F68"/>
    <w:rsid w:val="00636EB2"/>
    <w:rsid w:val="006375B8"/>
    <w:rsid w:val="00655F1B"/>
    <w:rsid w:val="0066510A"/>
    <w:rsid w:val="00673436"/>
    <w:rsid w:val="00673F9F"/>
    <w:rsid w:val="00686953"/>
    <w:rsid w:val="00687DEA"/>
    <w:rsid w:val="00687E67"/>
    <w:rsid w:val="006938A5"/>
    <w:rsid w:val="006967F7"/>
    <w:rsid w:val="006A250C"/>
    <w:rsid w:val="006B138E"/>
    <w:rsid w:val="006B21D3"/>
    <w:rsid w:val="006B57D0"/>
    <w:rsid w:val="006D30FF"/>
    <w:rsid w:val="006D342E"/>
    <w:rsid w:val="006D6940"/>
    <w:rsid w:val="006F11EC"/>
    <w:rsid w:val="0070082C"/>
    <w:rsid w:val="007369E6"/>
    <w:rsid w:val="007468B3"/>
    <w:rsid w:val="00746E59"/>
    <w:rsid w:val="00754C9A"/>
    <w:rsid w:val="0075599A"/>
    <w:rsid w:val="00761D52"/>
    <w:rsid w:val="007753D2"/>
    <w:rsid w:val="0077749E"/>
    <w:rsid w:val="00790ADA"/>
    <w:rsid w:val="007B7693"/>
    <w:rsid w:val="007D2288"/>
    <w:rsid w:val="007E088F"/>
    <w:rsid w:val="007F7B32"/>
    <w:rsid w:val="00804894"/>
    <w:rsid w:val="00804BC2"/>
    <w:rsid w:val="0081431A"/>
    <w:rsid w:val="0083216F"/>
    <w:rsid w:val="00860000"/>
    <w:rsid w:val="00863BD3"/>
    <w:rsid w:val="008641ED"/>
    <w:rsid w:val="00866D66"/>
    <w:rsid w:val="008671C6"/>
    <w:rsid w:val="00875803"/>
    <w:rsid w:val="008B459E"/>
    <w:rsid w:val="008E13AE"/>
    <w:rsid w:val="008E1506"/>
    <w:rsid w:val="008E2BE3"/>
    <w:rsid w:val="008E710C"/>
    <w:rsid w:val="008F69D6"/>
    <w:rsid w:val="00902823"/>
    <w:rsid w:val="0090765B"/>
    <w:rsid w:val="00915CA6"/>
    <w:rsid w:val="00927834"/>
    <w:rsid w:val="0093314D"/>
    <w:rsid w:val="009500A6"/>
    <w:rsid w:val="00957C18"/>
    <w:rsid w:val="009607F1"/>
    <w:rsid w:val="009659BA"/>
    <w:rsid w:val="00975DE4"/>
    <w:rsid w:val="00983040"/>
    <w:rsid w:val="00992548"/>
    <w:rsid w:val="0099317B"/>
    <w:rsid w:val="0099434A"/>
    <w:rsid w:val="009B05FE"/>
    <w:rsid w:val="009B1990"/>
    <w:rsid w:val="009B3FB9"/>
    <w:rsid w:val="009C2465"/>
    <w:rsid w:val="009C5BFD"/>
    <w:rsid w:val="009D35A0"/>
    <w:rsid w:val="009D7EB7"/>
    <w:rsid w:val="009E048A"/>
    <w:rsid w:val="009E08E9"/>
    <w:rsid w:val="009E3DB9"/>
    <w:rsid w:val="009E6E35"/>
    <w:rsid w:val="009F0EDA"/>
    <w:rsid w:val="009F1533"/>
    <w:rsid w:val="009F7358"/>
    <w:rsid w:val="00A03B96"/>
    <w:rsid w:val="00A05B19"/>
    <w:rsid w:val="00A1134E"/>
    <w:rsid w:val="00A24E7E"/>
    <w:rsid w:val="00A258C3"/>
    <w:rsid w:val="00A3335E"/>
    <w:rsid w:val="00A347C0"/>
    <w:rsid w:val="00A51431"/>
    <w:rsid w:val="00A51EE1"/>
    <w:rsid w:val="00A524BB"/>
    <w:rsid w:val="00A539AD"/>
    <w:rsid w:val="00A71242"/>
    <w:rsid w:val="00A8744D"/>
    <w:rsid w:val="00A94063"/>
    <w:rsid w:val="00AA6219"/>
    <w:rsid w:val="00AA74E0"/>
    <w:rsid w:val="00AA79C7"/>
    <w:rsid w:val="00AB703F"/>
    <w:rsid w:val="00AC6BB8"/>
    <w:rsid w:val="00AE008F"/>
    <w:rsid w:val="00B01FCD"/>
    <w:rsid w:val="00B1776C"/>
    <w:rsid w:val="00B52583"/>
    <w:rsid w:val="00B52896"/>
    <w:rsid w:val="00B95236"/>
    <w:rsid w:val="00B96BD9"/>
    <w:rsid w:val="00BA1B01"/>
    <w:rsid w:val="00BA2641"/>
    <w:rsid w:val="00BB37AA"/>
    <w:rsid w:val="00BB760E"/>
    <w:rsid w:val="00BC53A0"/>
    <w:rsid w:val="00BE62AD"/>
    <w:rsid w:val="00BF121F"/>
    <w:rsid w:val="00BF1F80"/>
    <w:rsid w:val="00C166EF"/>
    <w:rsid w:val="00C17EB0"/>
    <w:rsid w:val="00C27F5F"/>
    <w:rsid w:val="00C30A0F"/>
    <w:rsid w:val="00C332D2"/>
    <w:rsid w:val="00C37E61"/>
    <w:rsid w:val="00C70F1B"/>
    <w:rsid w:val="00C71243"/>
    <w:rsid w:val="00C71A47"/>
    <w:rsid w:val="00C7464C"/>
    <w:rsid w:val="00C818DA"/>
    <w:rsid w:val="00C85588"/>
    <w:rsid w:val="00CD6755"/>
    <w:rsid w:val="00CD6856"/>
    <w:rsid w:val="00CE0089"/>
    <w:rsid w:val="00CE793C"/>
    <w:rsid w:val="00CF193C"/>
    <w:rsid w:val="00CF6AD2"/>
    <w:rsid w:val="00D06C49"/>
    <w:rsid w:val="00D11CCE"/>
    <w:rsid w:val="00D173F1"/>
    <w:rsid w:val="00D25FC0"/>
    <w:rsid w:val="00D40BB5"/>
    <w:rsid w:val="00D74CB0"/>
    <w:rsid w:val="00D8295D"/>
    <w:rsid w:val="00D83F08"/>
    <w:rsid w:val="00DC2A65"/>
    <w:rsid w:val="00DE15F0"/>
    <w:rsid w:val="00DE5663"/>
    <w:rsid w:val="00DE78AA"/>
    <w:rsid w:val="00E053D0"/>
    <w:rsid w:val="00E129D5"/>
    <w:rsid w:val="00E15994"/>
    <w:rsid w:val="00E3114E"/>
    <w:rsid w:val="00E31A70"/>
    <w:rsid w:val="00E35B02"/>
    <w:rsid w:val="00E66496"/>
    <w:rsid w:val="00E66B35"/>
    <w:rsid w:val="00E66E10"/>
    <w:rsid w:val="00E769F6"/>
    <w:rsid w:val="00E8389C"/>
    <w:rsid w:val="00E8407C"/>
    <w:rsid w:val="00E84F3C"/>
    <w:rsid w:val="00EA012C"/>
    <w:rsid w:val="00EA3378"/>
    <w:rsid w:val="00EC6A55"/>
    <w:rsid w:val="00ED0288"/>
    <w:rsid w:val="00EE2CED"/>
    <w:rsid w:val="00EE52CB"/>
    <w:rsid w:val="00EF581D"/>
    <w:rsid w:val="00EF7FD8"/>
    <w:rsid w:val="00F06F59"/>
    <w:rsid w:val="00F17988"/>
    <w:rsid w:val="00F17BAE"/>
    <w:rsid w:val="00F3327A"/>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88D28F1"/>
  <w15:docId w15:val="{56FE855A-C03A-4C55-9DC8-2D895491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EE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EE2CE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0261A"/>
    <w:rPr>
      <w:b/>
      <w:bCs/>
    </w:rPr>
  </w:style>
  <w:style w:type="paragraph" w:styleId="ListParagraph">
    <w:name w:val="List Paragraph"/>
    <w:basedOn w:val="Normal"/>
    <w:uiPriority w:val="34"/>
    <w:qFormat/>
    <w:rsid w:val="009F1533"/>
    <w:pPr>
      <w:ind w:left="720"/>
      <w:contextualSpacing/>
    </w:pPr>
  </w:style>
  <w:style w:type="character" w:customStyle="1" w:styleId="UnresolvedMention">
    <w:name w:val="Unresolved Mention"/>
    <w:basedOn w:val="DefaultParagraphFont"/>
    <w:uiPriority w:val="99"/>
    <w:semiHidden/>
    <w:unhideWhenUsed/>
    <w:rsid w:val="00F17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3399-013-0095-1" TargetMode="External"/><Relationship Id="rId26" Type="http://schemas.openxmlformats.org/officeDocument/2006/relationships/hyperlink" Target="https://www.eucalyptus.com.br/artigos/2015_Young_eucalyptus.pdf" TargetMode="External"/><Relationship Id="rId3" Type="http://schemas.openxmlformats.org/officeDocument/2006/relationships/styles" Target="styles.xml"/><Relationship Id="rId21" Type="http://schemas.openxmlformats.org/officeDocument/2006/relationships/hyperlink" Target="https://doi.org/10.1016/j.promfg.2019.02.01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ppri.res.in/" TargetMode="External"/><Relationship Id="rId25" Type="http://schemas.openxmlformats.org/officeDocument/2006/relationships/hyperlink" Target="https://doi.org/10.33545/26180723.2024.v7.i9g.110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indcrop.2009.09.008" TargetMode="External"/><Relationship Id="rId20" Type="http://schemas.openxmlformats.org/officeDocument/2006/relationships/hyperlink" Target="https://www.astm.org/d3174-12.html"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f1302026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5376/biores.6.4.5062-5073"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dx.doi.org/10.1007/978-3-319-66426-2_4"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cabdirect.org/cabdirect/abstract/20143268333" TargetMode="External"/><Relationship Id="rId27" Type="http://schemas.openxmlformats.org/officeDocument/2006/relationships/hyperlink" Target="https://doi.org/10.1002/ep.11851" TargetMode="Externa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042B7-2AB9-4C3B-B490-EA72F6B3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416</TotalTime>
  <Pages>1</Pages>
  <Words>5904</Words>
  <Characters>33658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39484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32</cp:revision>
  <cp:lastPrinted>1999-07-06T11:00:00Z</cp:lastPrinted>
  <dcterms:created xsi:type="dcterms:W3CDTF">2014-10-25T14:34:00Z</dcterms:created>
  <dcterms:modified xsi:type="dcterms:W3CDTF">2025-07-17T20:57:00Z</dcterms:modified>
</cp:coreProperties>
</file>