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F482" w14:textId="77777777" w:rsidR="00533284" w:rsidRDefault="00533284" w:rsidP="009355A4">
      <w:pPr>
        <w:jc w:val="center"/>
        <w:rPr>
          <w:rFonts w:ascii="Times New Roman" w:hAnsi="Times New Roman" w:cs="Times New Roman"/>
          <w:b/>
          <w:bCs/>
          <w:sz w:val="26"/>
          <w:szCs w:val="26"/>
        </w:rPr>
      </w:pPr>
    </w:p>
    <w:p w14:paraId="4B7112B1" w14:textId="77777777" w:rsidR="009355A4" w:rsidRDefault="009355A4" w:rsidP="009355A4">
      <w:pPr>
        <w:jc w:val="center"/>
        <w:rPr>
          <w:rFonts w:ascii="Times New Roman" w:hAnsi="Times New Roman" w:cs="Times New Roman"/>
          <w:b/>
          <w:bCs/>
          <w:sz w:val="26"/>
          <w:szCs w:val="26"/>
        </w:rPr>
      </w:pPr>
      <w:r w:rsidRPr="009355A4">
        <w:rPr>
          <w:rFonts w:ascii="Times New Roman" w:hAnsi="Times New Roman" w:cs="Times New Roman"/>
          <w:b/>
          <w:bCs/>
          <w:sz w:val="26"/>
          <w:szCs w:val="26"/>
        </w:rPr>
        <w:t>Addressing Distress Migration in Bundelkhand: Policy Innovations for Sustainable Livelihoods</w:t>
      </w:r>
    </w:p>
    <w:p w14:paraId="4BE6E6B1" w14:textId="77777777" w:rsidR="00502EE2" w:rsidRDefault="00502EE2" w:rsidP="009355A4">
      <w:pPr>
        <w:jc w:val="both"/>
        <w:rPr>
          <w:rFonts w:ascii="Times New Roman" w:hAnsi="Times New Roman" w:cs="Times New Roman"/>
          <w:b/>
          <w:bCs/>
        </w:rPr>
      </w:pPr>
    </w:p>
    <w:p w14:paraId="742CFEB2"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Abstract</w:t>
      </w:r>
    </w:p>
    <w:p w14:paraId="7D33F02A" w14:textId="17FC66FE"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The Bundelkhand region, spanning parts of Uttar Pradesh and Madhya Pradesh, is a crucible of distress migration driven by recurrent droughts, agrarian crises, and entrenched socio-economic inequities. This policy paper dissects the structural and environmental drivers of out-migration, revealing how caste disparities, landlessness, and climate-induced agricultural failures compel over 85% of </w:t>
      </w:r>
      <w:r w:rsidR="00631A85" w:rsidRPr="009355A4">
        <w:rPr>
          <w:rFonts w:ascii="Times New Roman" w:hAnsi="Times New Roman" w:cs="Times New Roman"/>
        </w:rPr>
        <w:t>migrants</w:t>
      </w:r>
      <w:r w:rsidR="00631A85" w:rsidRPr="00B919AB">
        <w:rPr>
          <w:rFonts w:ascii="Times New Roman" w:hAnsi="Times New Roman" w:cs="Times New Roman"/>
          <w:b/>
          <w:color w:val="00B050"/>
        </w:rPr>
        <w:t>,</w:t>
      </w:r>
      <w:r w:rsidR="00631A85">
        <w:rPr>
          <w:rFonts w:ascii="Times New Roman" w:hAnsi="Times New Roman" w:cs="Times New Roman"/>
        </w:rPr>
        <w:t xml:space="preserve"> </w:t>
      </w:r>
      <w:r w:rsidRPr="009355A4">
        <w:rPr>
          <w:rFonts w:ascii="Times New Roman" w:hAnsi="Times New Roman" w:cs="Times New Roman"/>
        </w:rPr>
        <w:t>young men from marginal farming communities</w:t>
      </w:r>
      <w:r w:rsidR="00B919AB" w:rsidRPr="00B919AB">
        <w:rPr>
          <w:rFonts w:ascii="Times New Roman" w:hAnsi="Times New Roman" w:cs="Times New Roman"/>
          <w:b/>
          <w:color w:val="00B050"/>
        </w:rPr>
        <w:t>,</w:t>
      </w:r>
      <w:r w:rsidR="00B919AB">
        <w:rPr>
          <w:rFonts w:ascii="Times New Roman" w:hAnsi="Times New Roman" w:cs="Times New Roman"/>
        </w:rPr>
        <w:t xml:space="preserve"> </w:t>
      </w:r>
      <w:r w:rsidR="00B919AB" w:rsidRPr="00B919AB">
        <w:rPr>
          <w:rFonts w:ascii="Times New Roman" w:hAnsi="Times New Roman" w:cs="Times New Roman"/>
          <w:b/>
          <w:color w:val="FF0000"/>
        </w:rPr>
        <w:t>—</w:t>
      </w:r>
      <w:r w:rsidR="00B919AB">
        <w:rPr>
          <w:rFonts w:ascii="Times New Roman" w:hAnsi="Times New Roman" w:cs="Times New Roman"/>
          <w:color w:val="FF0000"/>
        </w:rPr>
        <w:t xml:space="preserve"> </w:t>
      </w:r>
      <w:r w:rsidRPr="009355A4">
        <w:rPr>
          <w:rFonts w:ascii="Times New Roman" w:hAnsi="Times New Roman" w:cs="Times New Roman"/>
        </w:rPr>
        <w:t xml:space="preserve">to seek livelihoods in distant urban </w:t>
      </w:r>
      <w:r w:rsidR="00B44564" w:rsidRPr="009355A4">
        <w:rPr>
          <w:rFonts w:ascii="Times New Roman" w:hAnsi="Times New Roman" w:cs="Times New Roman"/>
        </w:rPr>
        <w:t>centres</w:t>
      </w:r>
      <w:r w:rsidRPr="009355A4">
        <w:rPr>
          <w:rFonts w:ascii="Times New Roman" w:hAnsi="Times New Roman" w:cs="Times New Roman"/>
        </w:rPr>
        <w:t xml:space="preserve"> like Delhi and Punjab. Drawing on primary surveys and secondary data, the paper critiques the inefficacy of past interventions, such as the Bundelkhand Relief Package, which utilized only 16.57% of allocated funds in Uttar Pradesh. It proposes a multi-pronged policy framework emphasizing localized employment through agroforestry, water management innovations, and skill-based enterprises, alongside governance reforms to ensure equitable resource access.</w:t>
      </w:r>
      <w:r w:rsidRPr="00821109">
        <w:rPr>
          <w:rFonts w:ascii="Times New Roman" w:hAnsi="Times New Roman" w:cs="Times New Roman"/>
          <w:b/>
          <w:color w:val="FF0000"/>
        </w:rPr>
        <w:t xml:space="preserve"> </w:t>
      </w:r>
      <w:r w:rsidR="00821109" w:rsidRPr="00821109">
        <w:rPr>
          <w:rFonts w:ascii="Times New Roman" w:hAnsi="Times New Roman" w:cs="Times New Roman"/>
          <w:b/>
          <w:color w:val="4EA72E" w:themeColor="accent6"/>
        </w:rPr>
        <w:t>Integration of</w:t>
      </w:r>
      <w:r w:rsidR="00821109">
        <w:rPr>
          <w:rFonts w:ascii="Times New Roman" w:hAnsi="Times New Roman" w:cs="Times New Roman"/>
        </w:rPr>
        <w:t xml:space="preserve"> </w:t>
      </w:r>
      <w:r w:rsidRPr="009355A4">
        <w:rPr>
          <w:rFonts w:ascii="Times New Roman" w:hAnsi="Times New Roman" w:cs="Times New Roman"/>
        </w:rPr>
        <w:t xml:space="preserve">traditional knowledge systems with modern technologies like AI-driven crop monitoring, </w:t>
      </w:r>
      <w:r w:rsidR="00821109" w:rsidRPr="00821109">
        <w:rPr>
          <w:rFonts w:ascii="Times New Roman" w:hAnsi="Times New Roman" w:cs="Times New Roman"/>
          <w:b/>
          <w:color w:val="00B050"/>
        </w:rPr>
        <w:t>can</w:t>
      </w:r>
      <w:r w:rsidR="00821109">
        <w:rPr>
          <w:rFonts w:ascii="Times New Roman" w:hAnsi="Times New Roman" w:cs="Times New Roman"/>
        </w:rPr>
        <w:t xml:space="preserve"> </w:t>
      </w:r>
      <w:r w:rsidRPr="009355A4">
        <w:rPr>
          <w:rFonts w:ascii="Times New Roman" w:hAnsi="Times New Roman" w:cs="Times New Roman"/>
        </w:rPr>
        <w:t>foster resilient livelihoods, curb migration, and restore Bundelkhand’s socio-economic fabric. This paper offers actionable insights for policymakers to transform distress migration into an opportunity for regional revival.</w:t>
      </w:r>
    </w:p>
    <w:p w14:paraId="4C91850D"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b/>
          <w:bCs/>
        </w:rPr>
        <w:t>Keywords:</w:t>
      </w:r>
      <w:r w:rsidRPr="009355A4">
        <w:rPr>
          <w:rFonts w:ascii="Times New Roman" w:hAnsi="Times New Roman" w:cs="Times New Roman"/>
        </w:rPr>
        <w:t xml:space="preserve"> Distress Migration, Bundelkhand, Sustainable Livelihoods, Policy Innovation</w:t>
      </w:r>
    </w:p>
    <w:p w14:paraId="05AA1F10"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1. Introduction</w:t>
      </w:r>
    </w:p>
    <w:p w14:paraId="6A766C65" w14:textId="42C38E6D"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Bundelkhand region, a semi-arid expanse across 13 districts of Uttar Pradesh and Madhya Pradesh, is synonymous with resilience yet plagued by persistent crises. Known for its rugged terrain, vibrant cultural heritage, and historical significance, the region is also marked by recurring droughts, farmer suicides, and widespread distress migration. Over 85% of migration from Bundelkhand is interstate, with young men from marginal and landless farming households forming the majority of migrants, drawn to metropolitan hubs like Delhi and Punjab in search of precarious urban livelihoods (</w:t>
      </w:r>
      <w:r w:rsidR="00631A85" w:rsidRPr="009355A4">
        <w:rPr>
          <w:rFonts w:ascii="Times New Roman" w:hAnsi="Times New Roman" w:cs="Times New Roman"/>
        </w:rPr>
        <w:t xml:space="preserve">Sharma </w:t>
      </w:r>
      <w:r w:rsidR="00631A85">
        <w:rPr>
          <w:rFonts w:ascii="Times New Roman" w:hAnsi="Times New Roman" w:cs="Times New Roman"/>
        </w:rPr>
        <w:t>and</w:t>
      </w:r>
      <w:r w:rsidRPr="009355A4">
        <w:rPr>
          <w:rFonts w:ascii="Times New Roman" w:hAnsi="Times New Roman" w:cs="Times New Roman"/>
        </w:rPr>
        <w:t xml:space="preserve"> Bhaduri, 2024). This out-migration is not merely a demographic shift but a symptom of deep-rooted structural failures</w:t>
      </w:r>
      <w:r w:rsidR="00673EE1" w:rsidRPr="00B919AB">
        <w:rPr>
          <w:rFonts w:ascii="Times New Roman" w:hAnsi="Times New Roman" w:cs="Times New Roman"/>
          <w:b/>
          <w:color w:val="00B050"/>
        </w:rPr>
        <w:t>,</w:t>
      </w:r>
      <w:r w:rsidR="00673EE1">
        <w:rPr>
          <w:rFonts w:ascii="Times New Roman" w:hAnsi="Times New Roman" w:cs="Times New Roman"/>
        </w:rPr>
        <w:t xml:space="preserve"> </w:t>
      </w:r>
      <w:r w:rsidRPr="009355A4">
        <w:rPr>
          <w:rFonts w:ascii="Times New Roman" w:hAnsi="Times New Roman" w:cs="Times New Roman"/>
        </w:rPr>
        <w:t>agrarian distress, caste-based inequities, and governance lapses</w:t>
      </w:r>
      <w:r w:rsidR="00673EE1" w:rsidRPr="00B919AB">
        <w:rPr>
          <w:rFonts w:ascii="Times New Roman" w:hAnsi="Times New Roman" w:cs="Times New Roman"/>
          <w:b/>
          <w:color w:val="00B050"/>
        </w:rPr>
        <w:t>,</w:t>
      </w:r>
      <w:r w:rsidR="00673EE1">
        <w:rPr>
          <w:rFonts w:ascii="Times New Roman" w:hAnsi="Times New Roman" w:cs="Times New Roman"/>
        </w:rPr>
        <w:t xml:space="preserve"> </w:t>
      </w:r>
      <w:r w:rsidRPr="009355A4">
        <w:rPr>
          <w:rFonts w:ascii="Times New Roman" w:hAnsi="Times New Roman" w:cs="Times New Roman"/>
        </w:rPr>
        <w:t>that render local livelihoods unsustainable.</w:t>
      </w:r>
    </w:p>
    <w:p w14:paraId="5C2958C0"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region’s challenges are compounded by climate change, with erratic monsoons and prolonged droughts exacerbating water scarcity and crop failures. A 2014 retrospective analysis by the National Institute of Disaster Management highlighted that Bundelkhand’s agricultural productivity plummeted by 30% between 2000 and 2010 due to drought-induced losses (Gupta et al., 2014). These environmental stressors, coupled with socio-economic marginalization, have made migration a survival strategy rather than a choice. However, the costs are steep: fractured families, loss of rural labour, and increased urban precarity.</w:t>
      </w:r>
    </w:p>
    <w:p w14:paraId="393E937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lastRenderedPageBreak/>
        <w:t>This policy paper examines the drivers of distress migration in Bundelkhand, critiques past policy responses, and proposes innovative solutions to foster sustainable livelihoods. By integrating empirical insights from household surveys, secondary literature, and case studies, it advocates for a governance framework that prioritizes equitable resource access, climate-resilient agriculture, and localized employment. The paper aligns with the Journal of Governance &amp; Public Policy’s mission to advance evidence-based solutions for pressing socio-economic challenges.</w:t>
      </w:r>
    </w:p>
    <w:p w14:paraId="30AC34A4"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2. The Migration Crisis in Bundelkhand: Drivers and Dynamics</w:t>
      </w:r>
    </w:p>
    <w:p w14:paraId="596C4D7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2.1 Structural Drivers</w:t>
      </w:r>
    </w:p>
    <w:p w14:paraId="2AE3EE66"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Migration in Bundelkhand is rooted in a complex interplay of socio-economic and environmental factors. The region’s agrarian economy, heavily reliant on rain-fed agriculture, is crippled by recurrent droughts and declining soil fertility. Over 60% of farming households own less than one hectare of land, limiting their capacity to withstand crop failures (Mondal et al., 2016). Landlessness, particularly among Scheduled Castes and Tribes, exacerbates vulnerability, as these communities lack access to productive resources and face systemic exclusion from land ownership (Singh, 2018).</w:t>
      </w:r>
    </w:p>
    <w:p w14:paraId="053D8CAF" w14:textId="6DADD705"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Caste and class disparities further entrench inequities. Upper-caste landlords dominate access to water and fertile land, leaving marginal farmers dependent on exploitative tenancy arrangements. A 2022 study in </w:t>
      </w:r>
      <w:proofErr w:type="spellStart"/>
      <w:r w:rsidRPr="009355A4">
        <w:rPr>
          <w:rFonts w:ascii="Times New Roman" w:hAnsi="Times New Roman" w:cs="Times New Roman"/>
        </w:rPr>
        <w:t>GeoJournal</w:t>
      </w:r>
      <w:proofErr w:type="spellEnd"/>
      <w:r w:rsidRPr="009355A4">
        <w:rPr>
          <w:rFonts w:ascii="Times New Roman" w:hAnsi="Times New Roman" w:cs="Times New Roman"/>
        </w:rPr>
        <w:t xml:space="preserve"> found that 70% of migrants from Bundelkhand belong to lower-caste or landless households, driven by economic desperation and social marginalization (Sharma</w:t>
      </w:r>
      <w:r w:rsidR="006436DE">
        <w:rPr>
          <w:rFonts w:ascii="Times New Roman" w:hAnsi="Times New Roman" w:cs="Times New Roman"/>
        </w:rPr>
        <w:t xml:space="preserve"> </w:t>
      </w:r>
      <w:r w:rsidR="006436DE" w:rsidRPr="00673EE1">
        <w:rPr>
          <w:rFonts w:ascii="Times New Roman" w:hAnsi="Times New Roman" w:cs="Times New Roman"/>
          <w:b/>
          <w:color w:val="4EA72E" w:themeColor="accent6"/>
        </w:rPr>
        <w:t>and</w:t>
      </w:r>
      <w:r w:rsidRPr="009355A4">
        <w:rPr>
          <w:rFonts w:ascii="Times New Roman" w:hAnsi="Times New Roman" w:cs="Times New Roman"/>
        </w:rPr>
        <w:t xml:space="preserve"> Bhaduri, 2024). The absence of non-farm employment opportunities, due to a weak industrial base, leaves migration as the only viable option for survival.</w:t>
      </w:r>
    </w:p>
    <w:p w14:paraId="254ACFF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2.2 Environmental Triggers</w:t>
      </w:r>
    </w:p>
    <w:p w14:paraId="42183D7F" w14:textId="29B90845" w:rsidR="009355A4" w:rsidRPr="009355A4" w:rsidRDefault="009355A4" w:rsidP="009355A4">
      <w:pPr>
        <w:jc w:val="both"/>
        <w:rPr>
          <w:rFonts w:ascii="Times New Roman" w:hAnsi="Times New Roman" w:cs="Times New Roman"/>
        </w:rPr>
      </w:pPr>
      <w:r w:rsidRPr="009355A4">
        <w:rPr>
          <w:rFonts w:ascii="Times New Roman" w:hAnsi="Times New Roman" w:cs="Times New Roman"/>
        </w:rPr>
        <w:t>Climate change amplifies Bundelkhand’s migration crisis. The region’s geophysical conditions</w:t>
      </w:r>
      <w:r w:rsidR="006436DE" w:rsidRPr="00B919AB">
        <w:rPr>
          <w:rFonts w:ascii="Times New Roman" w:hAnsi="Times New Roman" w:cs="Times New Roman"/>
          <w:b/>
          <w:color w:val="00B050"/>
        </w:rPr>
        <w:t>,</w:t>
      </w:r>
      <w:r w:rsidR="006436DE">
        <w:rPr>
          <w:rFonts w:ascii="Times New Roman" w:hAnsi="Times New Roman" w:cs="Times New Roman"/>
        </w:rPr>
        <w:t xml:space="preserve"> </w:t>
      </w:r>
      <w:r w:rsidRPr="009355A4">
        <w:rPr>
          <w:rFonts w:ascii="Times New Roman" w:hAnsi="Times New Roman" w:cs="Times New Roman"/>
        </w:rPr>
        <w:t>marked by rocky soils and low groundwater recharge</w:t>
      </w:r>
      <w:r w:rsidR="006436DE" w:rsidRPr="00B919AB">
        <w:rPr>
          <w:rFonts w:ascii="Times New Roman" w:hAnsi="Times New Roman" w:cs="Times New Roman"/>
          <w:b/>
          <w:color w:val="00B050"/>
        </w:rPr>
        <w:t>,</w:t>
      </w:r>
      <w:r w:rsidR="006436DE">
        <w:rPr>
          <w:rFonts w:ascii="Times New Roman" w:hAnsi="Times New Roman" w:cs="Times New Roman"/>
        </w:rPr>
        <w:t xml:space="preserve"> </w:t>
      </w:r>
      <w:r w:rsidRPr="009355A4">
        <w:rPr>
          <w:rFonts w:ascii="Times New Roman" w:hAnsi="Times New Roman" w:cs="Times New Roman"/>
        </w:rPr>
        <w:t>make it acutely vulnerable to drought. Between 2015 and 2020, Bundelkhand experienced four major drought episodes, reducing agricultural output by 25% and triggering mass out-migration (</w:t>
      </w:r>
      <w:proofErr w:type="spellStart"/>
      <w:r w:rsidRPr="009355A4">
        <w:rPr>
          <w:rFonts w:ascii="Times New Roman" w:hAnsi="Times New Roman" w:cs="Times New Roman"/>
        </w:rPr>
        <w:t>Orimoloye</w:t>
      </w:r>
      <w:proofErr w:type="spellEnd"/>
      <w:r w:rsidRPr="009355A4">
        <w:rPr>
          <w:rFonts w:ascii="Times New Roman" w:hAnsi="Times New Roman" w:cs="Times New Roman"/>
        </w:rPr>
        <w:t xml:space="preserve">, 2022). Water scarcity has also undermined traditional water management systems, such as the Chandela-era tanks, which have fallen into disrepair due to neglect and privatization (Mander </w:t>
      </w:r>
      <w:r w:rsidR="006436DE" w:rsidRPr="00673EE1">
        <w:rPr>
          <w:rFonts w:ascii="Times New Roman" w:hAnsi="Times New Roman" w:cs="Times New Roman"/>
          <w:b/>
          <w:color w:val="4EA72E" w:themeColor="accent6"/>
        </w:rPr>
        <w:t>and</w:t>
      </w:r>
      <w:r w:rsidRPr="009355A4">
        <w:rPr>
          <w:rFonts w:ascii="Times New Roman" w:hAnsi="Times New Roman" w:cs="Times New Roman"/>
        </w:rPr>
        <w:t xml:space="preserve"> Sahgal, 2010).</w:t>
      </w:r>
    </w:p>
    <w:p w14:paraId="36FC0F06"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2.3 Migration Patterns</w:t>
      </w:r>
    </w:p>
    <w:p w14:paraId="7ED92381" w14:textId="3910AC46" w:rsidR="009355A4" w:rsidRPr="009355A4" w:rsidRDefault="009355A4" w:rsidP="009355A4">
      <w:pPr>
        <w:jc w:val="both"/>
        <w:rPr>
          <w:rFonts w:ascii="Times New Roman" w:hAnsi="Times New Roman" w:cs="Times New Roman"/>
        </w:rPr>
      </w:pPr>
      <w:r w:rsidRPr="009355A4">
        <w:rPr>
          <w:rFonts w:ascii="Times New Roman" w:hAnsi="Times New Roman" w:cs="Times New Roman"/>
        </w:rPr>
        <w:t>Migration from Bundelkhand is predominantly male, seasonal, and interstate. Over 60% of migrants are young men aged 18–35, leaving women, children, and the elderly to manage rural households (Sharma</w:t>
      </w:r>
      <w:r w:rsidR="006436DE">
        <w:rPr>
          <w:rFonts w:ascii="Times New Roman" w:hAnsi="Times New Roman" w:cs="Times New Roman"/>
        </w:rPr>
        <w:t xml:space="preserve"> </w:t>
      </w:r>
      <w:r w:rsidR="006436DE" w:rsidRPr="00673EE1">
        <w:rPr>
          <w:rFonts w:ascii="Times New Roman" w:hAnsi="Times New Roman" w:cs="Times New Roman"/>
          <w:b/>
          <w:color w:val="4EA72E" w:themeColor="accent6"/>
        </w:rPr>
        <w:t>and</w:t>
      </w:r>
      <w:r w:rsidRPr="009355A4">
        <w:rPr>
          <w:rFonts w:ascii="Times New Roman" w:hAnsi="Times New Roman" w:cs="Times New Roman"/>
        </w:rPr>
        <w:t xml:space="preserve"> Bhaduri, 2024). Delhi and Punjab are primary destinations, where migrants work as construction labourers, street vendors, or factory workers, often in precarious conditions. A 2020 report by the International Labour Organization noted that 40% of Bundelkhand’s migrant workers earn below the national minimum wage, facing exploitation and lack of social security (ILO, 2020).</w:t>
      </w:r>
    </w:p>
    <w:p w14:paraId="6B34134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lastRenderedPageBreak/>
        <w:t>The COVID-19 pandemic exposed the fragility of these migration patterns. The 2020 lockdown stranded millions of migrants, with over 10.4 million returning to their home states, including Bundelkhand, often on foot due to transport closures (</w:t>
      </w:r>
      <w:proofErr w:type="spellStart"/>
      <w:r w:rsidRPr="009355A4">
        <w:rPr>
          <w:rFonts w:ascii="Times New Roman" w:hAnsi="Times New Roman" w:cs="Times New Roman"/>
        </w:rPr>
        <w:t>Samaddhar</w:t>
      </w:r>
      <w:proofErr w:type="spellEnd"/>
      <w:r w:rsidRPr="009355A4">
        <w:rPr>
          <w:rFonts w:ascii="Times New Roman" w:hAnsi="Times New Roman" w:cs="Times New Roman"/>
        </w:rPr>
        <w:t>, 2020). This reverse migration strained rural economies, as returning workers found no local employment opportunities, underscoring the need for sustainable livelihood alternatives.</w:t>
      </w:r>
    </w:p>
    <w:p w14:paraId="47D3AD82"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3. Policy Responses: A Critical Assessment</w:t>
      </w:r>
    </w:p>
    <w:p w14:paraId="1EB428AC"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3.1 The Bundelkhand Relief Package</w:t>
      </w:r>
    </w:p>
    <w:p w14:paraId="00891D2A"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In 2009, the Government of India launched the Bundelkhand Relief Package, allocating INR 7,266 crore to address drought and socio-economic distress. The package aimed to enhance irrigation, promote watershed management, and create rural employment. However, its impact was limited. By 2012, only 16.57% of funds were utilized in Uttar Pradesh and 21.70% in Madhya Pradesh, reflecting bureaucratic inefficiencies and poor implementation (Singh, 2018). Projects like check dams and micro-irrigation systems were often poorly maintained, rendering them ineffective.</w:t>
      </w:r>
    </w:p>
    <w:p w14:paraId="27307D1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3.2 MGNREGA and Rural Employment</w:t>
      </w:r>
    </w:p>
    <w:p w14:paraId="0A3BDB56"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The Mahatma Gandhi National Rural Employment Guarantee Act (MGNREGA) has been a cornerstone of rural employment in Bundelkhand. In 2022–23, MGNREGA provided 12 million person-days of work in the region, focusing on water conservation and infrastructure development (MoRD, 2023). However, delays in wage payments, limited workdays (often below the mandated 100 days), and lack of skill-based opportunities have constrained its effectiveness in reducing migration.</w:t>
      </w:r>
    </w:p>
    <w:p w14:paraId="355A3A83"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3.3 Limitations of Current Approaches</w:t>
      </w:r>
    </w:p>
    <w:p w14:paraId="618381A0"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Past policies have largely adopted a reactive, relief-oriented approach, failing to address structural issues like land inequity, caste disparities, and climate vulnerability. The privatization of traditional water bodies has further marginalized small farmers, while cash crop promotion has increased water stress (Gupta et al., 2014). Moreover, governance failures</w:t>
      </w:r>
      <w:r w:rsidR="006404AD">
        <w:rPr>
          <w:rFonts w:ascii="Times New Roman" w:hAnsi="Times New Roman" w:cs="Times New Roman"/>
        </w:rPr>
        <w:t xml:space="preserve"> </w:t>
      </w:r>
      <w:r w:rsidRPr="006404AD">
        <w:rPr>
          <w:rFonts w:ascii="Times New Roman" w:hAnsi="Times New Roman" w:cs="Times New Roman"/>
          <w:b/>
          <w:color w:val="FF0000"/>
        </w:rPr>
        <w:t>—</w:t>
      </w:r>
      <w:r w:rsidR="006404AD">
        <w:rPr>
          <w:rFonts w:ascii="Times New Roman" w:hAnsi="Times New Roman" w:cs="Times New Roman"/>
          <w:b/>
          <w:color w:val="FF0000"/>
        </w:rPr>
        <w:t xml:space="preserve"> </w:t>
      </w:r>
      <w:r w:rsidRPr="009355A4">
        <w:rPr>
          <w:rFonts w:ascii="Times New Roman" w:hAnsi="Times New Roman" w:cs="Times New Roman"/>
        </w:rPr>
        <w:t>such as inadequate monitoring and corruption</w:t>
      </w:r>
      <w:r w:rsidR="006404AD">
        <w:rPr>
          <w:rFonts w:ascii="Times New Roman" w:hAnsi="Times New Roman" w:cs="Times New Roman"/>
        </w:rPr>
        <w:t xml:space="preserve"> </w:t>
      </w:r>
      <w:r w:rsidRPr="006404AD">
        <w:rPr>
          <w:rFonts w:ascii="Times New Roman" w:hAnsi="Times New Roman" w:cs="Times New Roman"/>
          <w:b/>
          <w:color w:val="FF0000"/>
        </w:rPr>
        <w:t>—</w:t>
      </w:r>
      <w:r w:rsidR="006404AD">
        <w:rPr>
          <w:rFonts w:ascii="Times New Roman" w:hAnsi="Times New Roman" w:cs="Times New Roman"/>
          <w:b/>
          <w:color w:val="FF0000"/>
        </w:rPr>
        <w:t xml:space="preserve"> </w:t>
      </w:r>
      <w:r w:rsidRPr="009355A4">
        <w:rPr>
          <w:rFonts w:ascii="Times New Roman" w:hAnsi="Times New Roman" w:cs="Times New Roman"/>
        </w:rPr>
        <w:t>have undermined policy outcomes, perpetuating the cycle of distress migration.</w:t>
      </w:r>
    </w:p>
    <w:p w14:paraId="0D10CB01"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4. Policy Recommendations: A Roadmap for Sustainable Livelihoods</w:t>
      </w:r>
    </w:p>
    <w:p w14:paraId="5848A87F"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To address Bundelkhand’s migration crisis, this paper proposes a multi-dimensional policy framework that integrates environmental sustainability, social equity, and economic resilience. The recommendations are grounded in empirical evidence and stakeholder consultations, aiming to transform migration from a distress-driven necessity into a choice-based opportunity.</w:t>
      </w:r>
    </w:p>
    <w:p w14:paraId="767506BF"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4.1 Reviving Traditional Water Management</w:t>
      </w:r>
    </w:p>
    <w:p w14:paraId="0290BBD6" w14:textId="6DB5E9E7" w:rsidR="009355A4" w:rsidRDefault="009355A4" w:rsidP="009355A4">
      <w:pPr>
        <w:jc w:val="both"/>
        <w:rPr>
          <w:rFonts w:ascii="Times New Roman" w:hAnsi="Times New Roman" w:cs="Times New Roman"/>
          <w:b/>
          <w:color w:val="FF0000"/>
        </w:rPr>
      </w:pPr>
      <w:r w:rsidRPr="009355A4">
        <w:rPr>
          <w:rFonts w:ascii="Times New Roman" w:hAnsi="Times New Roman" w:cs="Times New Roman"/>
        </w:rPr>
        <w:t xml:space="preserve">Restoring Bundelkhand’s traditional water systems, such as </w:t>
      </w:r>
      <w:proofErr w:type="spellStart"/>
      <w:r w:rsidRPr="009355A4">
        <w:rPr>
          <w:rFonts w:ascii="Times New Roman" w:hAnsi="Times New Roman" w:cs="Times New Roman"/>
        </w:rPr>
        <w:t>Chandela</w:t>
      </w:r>
      <w:proofErr w:type="spellEnd"/>
      <w:r w:rsidRPr="009355A4">
        <w:rPr>
          <w:rFonts w:ascii="Times New Roman" w:hAnsi="Times New Roman" w:cs="Times New Roman"/>
        </w:rPr>
        <w:t xml:space="preserve"> tanks and </w:t>
      </w:r>
      <w:proofErr w:type="spellStart"/>
      <w:r w:rsidRPr="009355A4">
        <w:rPr>
          <w:rFonts w:ascii="Times New Roman" w:hAnsi="Times New Roman" w:cs="Times New Roman"/>
        </w:rPr>
        <w:t>johads</w:t>
      </w:r>
      <w:proofErr w:type="spellEnd"/>
      <w:r w:rsidRPr="009355A4">
        <w:rPr>
          <w:rFonts w:ascii="Times New Roman" w:hAnsi="Times New Roman" w:cs="Times New Roman"/>
        </w:rPr>
        <w:t xml:space="preserve">, is critical for drought mitigation. A participatory model involving local communities, NGOs, and self-help groups (SHGs) should be adopted to desilt and maintain these structures. A 2016 study in Current Science demonstrated that agroforestry-based water harvesting increased </w:t>
      </w:r>
      <w:r w:rsidRPr="009355A4">
        <w:rPr>
          <w:rFonts w:ascii="Times New Roman" w:hAnsi="Times New Roman" w:cs="Times New Roman"/>
        </w:rPr>
        <w:lastRenderedPageBreak/>
        <w:t>groundwater recharge by 20% in Jhansi district (Chavan et al., 2016). The government should allocate INR 500 crore over five years to rehabilitate 1,000 water bodies, prioritizing marginalized communities’ access.</w:t>
      </w:r>
      <w:r w:rsidR="006404AD">
        <w:rPr>
          <w:rFonts w:ascii="Times New Roman" w:hAnsi="Times New Roman" w:cs="Times New Roman"/>
        </w:rPr>
        <w:t xml:space="preserve"> </w:t>
      </w:r>
    </w:p>
    <w:p w14:paraId="5AD86F9A" w14:textId="77777777" w:rsidR="007E35B8" w:rsidRPr="007E35B8" w:rsidRDefault="007E35B8" w:rsidP="007E35B8">
      <w:pPr>
        <w:jc w:val="both"/>
        <w:rPr>
          <w:rFonts w:ascii="Times New Roman" w:hAnsi="Times New Roman" w:cs="Times New Roman"/>
        </w:rPr>
      </w:pPr>
      <w:r w:rsidRPr="007E35B8">
        <w:rPr>
          <w:rFonts w:ascii="Times New Roman" w:hAnsi="Times New Roman" w:cs="Times New Roman"/>
        </w:rPr>
        <w:t xml:space="preserve">The recommendation to revive Bundelkhand’s </w:t>
      </w:r>
      <w:proofErr w:type="spellStart"/>
      <w:r w:rsidRPr="007E35B8">
        <w:rPr>
          <w:rFonts w:ascii="Times New Roman" w:hAnsi="Times New Roman" w:cs="Times New Roman"/>
        </w:rPr>
        <w:t>Chandela</w:t>
      </w:r>
      <w:proofErr w:type="spellEnd"/>
      <w:r w:rsidRPr="007E35B8">
        <w:rPr>
          <w:rFonts w:ascii="Times New Roman" w:hAnsi="Times New Roman" w:cs="Times New Roman"/>
        </w:rPr>
        <w:t xml:space="preserve"> tanks and </w:t>
      </w:r>
      <w:proofErr w:type="spellStart"/>
      <w:r w:rsidRPr="007E35B8">
        <w:rPr>
          <w:rFonts w:ascii="Times New Roman" w:hAnsi="Times New Roman" w:cs="Times New Roman"/>
        </w:rPr>
        <w:t>johads</w:t>
      </w:r>
      <w:proofErr w:type="spellEnd"/>
      <w:r w:rsidRPr="007E35B8">
        <w:rPr>
          <w:rFonts w:ascii="Times New Roman" w:hAnsi="Times New Roman" w:cs="Times New Roman"/>
        </w:rPr>
        <w:t xml:space="preserve"> is based on:</w:t>
      </w:r>
    </w:p>
    <w:p w14:paraId="3C3E3E9D" w14:textId="77777777" w:rsidR="007E35B8" w:rsidRPr="007E35B8" w:rsidRDefault="007E35B8" w:rsidP="007E35B8">
      <w:pPr>
        <w:jc w:val="both"/>
        <w:rPr>
          <w:rFonts w:ascii="Times New Roman" w:hAnsi="Times New Roman" w:cs="Times New Roman"/>
        </w:rPr>
      </w:pPr>
      <w:r w:rsidRPr="007E35B8">
        <w:rPr>
          <w:rFonts w:ascii="Times New Roman" w:hAnsi="Times New Roman" w:cs="Times New Roman"/>
          <w:b/>
          <w:bCs/>
          <w:i/>
          <w:iCs/>
        </w:rPr>
        <w:t>Historical Success:</w:t>
      </w:r>
      <w:r w:rsidRPr="007E35B8">
        <w:rPr>
          <w:rFonts w:ascii="Times New Roman" w:hAnsi="Times New Roman" w:cs="Times New Roman"/>
        </w:rPr>
        <w:t xml:space="preserve"> These traditional systems effectively capture monsoon runoff and recharge groundwater in semi-arid regions.</w:t>
      </w:r>
    </w:p>
    <w:p w14:paraId="3AF4D471" w14:textId="77777777" w:rsidR="007E35B8" w:rsidRPr="007E35B8" w:rsidRDefault="007E35B8" w:rsidP="007E35B8">
      <w:pPr>
        <w:jc w:val="both"/>
        <w:rPr>
          <w:rFonts w:ascii="Times New Roman" w:hAnsi="Times New Roman" w:cs="Times New Roman"/>
        </w:rPr>
      </w:pPr>
      <w:r w:rsidRPr="007E35B8">
        <w:rPr>
          <w:rFonts w:ascii="Times New Roman" w:hAnsi="Times New Roman" w:cs="Times New Roman"/>
          <w:b/>
          <w:bCs/>
          <w:i/>
          <w:iCs/>
        </w:rPr>
        <w:t>Scientific Evidence:</w:t>
      </w:r>
      <w:r w:rsidRPr="007E35B8">
        <w:rPr>
          <w:rFonts w:ascii="Times New Roman" w:hAnsi="Times New Roman" w:cs="Times New Roman"/>
        </w:rPr>
        <w:t xml:space="preserve"> A 2016 Current Science study showed 20% increased groundwater recharge via agroforestry-based water harvesting in Jhansi.</w:t>
      </w:r>
    </w:p>
    <w:p w14:paraId="5D86D0DC" w14:textId="77777777" w:rsidR="007E35B8" w:rsidRPr="007E35B8" w:rsidRDefault="007E35B8" w:rsidP="007E35B8">
      <w:pPr>
        <w:jc w:val="both"/>
        <w:rPr>
          <w:rFonts w:ascii="Times New Roman" w:hAnsi="Times New Roman" w:cs="Times New Roman"/>
        </w:rPr>
      </w:pPr>
      <w:r w:rsidRPr="007E35B8">
        <w:rPr>
          <w:rFonts w:ascii="Times New Roman" w:hAnsi="Times New Roman" w:cs="Times New Roman"/>
          <w:b/>
          <w:bCs/>
          <w:i/>
          <w:iCs/>
        </w:rPr>
        <w:t>Community Participation:</w:t>
      </w:r>
      <w:r w:rsidRPr="007E35B8">
        <w:rPr>
          <w:rFonts w:ascii="Times New Roman" w:hAnsi="Times New Roman" w:cs="Times New Roman"/>
        </w:rPr>
        <w:t xml:space="preserve"> Engaging locals, NGOs, and SHGs ensures sustainable maintenance and equitable access, proven by similar initiatives like Rajasthan’s </w:t>
      </w:r>
      <w:proofErr w:type="spellStart"/>
      <w:r w:rsidRPr="007E35B8">
        <w:rPr>
          <w:rFonts w:ascii="Times New Roman" w:hAnsi="Times New Roman" w:cs="Times New Roman"/>
        </w:rPr>
        <w:t>johad</w:t>
      </w:r>
      <w:proofErr w:type="spellEnd"/>
      <w:r w:rsidRPr="007E35B8">
        <w:rPr>
          <w:rFonts w:ascii="Times New Roman" w:hAnsi="Times New Roman" w:cs="Times New Roman"/>
        </w:rPr>
        <w:t xml:space="preserve"> restoration.</w:t>
      </w:r>
    </w:p>
    <w:p w14:paraId="180771A6" w14:textId="77777777" w:rsidR="007E35B8" w:rsidRPr="007E35B8" w:rsidRDefault="007E35B8" w:rsidP="007E35B8">
      <w:pPr>
        <w:jc w:val="both"/>
        <w:rPr>
          <w:rFonts w:ascii="Times New Roman" w:hAnsi="Times New Roman" w:cs="Times New Roman"/>
        </w:rPr>
      </w:pPr>
      <w:r w:rsidRPr="007E35B8">
        <w:rPr>
          <w:rFonts w:ascii="Times New Roman" w:hAnsi="Times New Roman" w:cs="Times New Roman"/>
          <w:b/>
          <w:bCs/>
          <w:i/>
          <w:iCs/>
        </w:rPr>
        <w:t>Social Equity:</w:t>
      </w:r>
      <w:r w:rsidRPr="007E35B8">
        <w:rPr>
          <w:rFonts w:ascii="Times New Roman" w:hAnsi="Times New Roman" w:cs="Times New Roman"/>
        </w:rPr>
        <w:t xml:space="preserve"> Prioritizing marginalized communities aligns with inclusive development goals.</w:t>
      </w:r>
    </w:p>
    <w:p w14:paraId="4AD89870" w14:textId="709FAC18" w:rsidR="007E35B8" w:rsidRPr="009355A4" w:rsidRDefault="007E35B8" w:rsidP="007E35B8">
      <w:pPr>
        <w:jc w:val="both"/>
        <w:rPr>
          <w:rFonts w:ascii="Times New Roman" w:hAnsi="Times New Roman" w:cs="Times New Roman"/>
        </w:rPr>
      </w:pPr>
      <w:r w:rsidRPr="007E35B8">
        <w:rPr>
          <w:rFonts w:ascii="Times New Roman" w:hAnsi="Times New Roman" w:cs="Times New Roman"/>
          <w:b/>
          <w:bCs/>
          <w:i/>
          <w:iCs/>
        </w:rPr>
        <w:t>Feasibility:</w:t>
      </w:r>
      <w:r w:rsidRPr="007E35B8">
        <w:rPr>
          <w:rFonts w:ascii="Times New Roman" w:hAnsi="Times New Roman" w:cs="Times New Roman"/>
        </w:rPr>
        <w:t xml:space="preserve"> INR 500 crore over five years to restore 1,000 water bodies is viable, drawing from successful models like </w:t>
      </w:r>
      <w:proofErr w:type="spellStart"/>
      <w:r w:rsidRPr="007E35B8">
        <w:rPr>
          <w:rFonts w:ascii="Times New Roman" w:hAnsi="Times New Roman" w:cs="Times New Roman"/>
        </w:rPr>
        <w:t>Jalyukt</w:t>
      </w:r>
      <w:proofErr w:type="spellEnd"/>
      <w:r w:rsidRPr="007E35B8">
        <w:rPr>
          <w:rFonts w:ascii="Times New Roman" w:hAnsi="Times New Roman" w:cs="Times New Roman"/>
        </w:rPr>
        <w:t xml:space="preserve"> Shivar Abhiyan.</w:t>
      </w:r>
    </w:p>
    <w:p w14:paraId="0582AA55"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4.2 Promoting Climate-Resilient Agriculture</w:t>
      </w:r>
    </w:p>
    <w:p w14:paraId="00CD2B1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Shifting to climate-resilient crops like millets, pulses, and oilseeds can reduce water dependency and enhance food security. The Journal of Experimental Agriculture International highlighted that millet adoption in Bundelkhand improved yields by 15% under drought conditions (Kumar et al., 2024). Extension services should train farmers in biofertilizer use and intercropping, supported by subsidies for drought-tolerant seeds. AI-driven crop monitoring, piloted by ICAR in 2023, can optimize sowing and irrigation schedules, reducing crop losses by 10% (ICAR, 2023).</w:t>
      </w:r>
    </w:p>
    <w:p w14:paraId="59FAE244"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4.3 Localized Employment through Skill-Based Enterprises</w:t>
      </w:r>
    </w:p>
    <w:p w14:paraId="08C7423F" w14:textId="70ED355D" w:rsidR="009355A4" w:rsidRDefault="009355A4" w:rsidP="009355A4">
      <w:pPr>
        <w:jc w:val="both"/>
        <w:rPr>
          <w:rFonts w:ascii="Times New Roman" w:hAnsi="Times New Roman" w:cs="Times New Roman"/>
        </w:rPr>
      </w:pPr>
      <w:r w:rsidRPr="009355A4">
        <w:rPr>
          <w:rFonts w:ascii="Times New Roman" w:hAnsi="Times New Roman" w:cs="Times New Roman"/>
        </w:rPr>
        <w:t xml:space="preserve">To curb out-migration, skill-based enterprises in </w:t>
      </w:r>
      <w:proofErr w:type="spellStart"/>
      <w:r w:rsidRPr="009355A4">
        <w:rPr>
          <w:rFonts w:ascii="Times New Roman" w:hAnsi="Times New Roman" w:cs="Times New Roman"/>
        </w:rPr>
        <w:t>agro</w:t>
      </w:r>
      <w:proofErr w:type="spellEnd"/>
      <w:r w:rsidRPr="009355A4">
        <w:rPr>
          <w:rFonts w:ascii="Times New Roman" w:hAnsi="Times New Roman" w:cs="Times New Roman"/>
        </w:rPr>
        <w:t xml:space="preserve">-processing, handicrafts, and renewable energy should be promoted. A 2021 pilot in </w:t>
      </w:r>
      <w:proofErr w:type="spellStart"/>
      <w:r w:rsidRPr="009355A4">
        <w:rPr>
          <w:rFonts w:ascii="Times New Roman" w:hAnsi="Times New Roman" w:cs="Times New Roman"/>
        </w:rPr>
        <w:t>Damoh</w:t>
      </w:r>
      <w:proofErr w:type="spellEnd"/>
      <w:r w:rsidRPr="009355A4">
        <w:rPr>
          <w:rFonts w:ascii="Times New Roman" w:hAnsi="Times New Roman" w:cs="Times New Roman"/>
        </w:rPr>
        <w:t xml:space="preserve"> district trained 500 youth in solar panel installation, creating 200 jobs and reducing migration by 12% (Sharma, 2021). The government should establish 50 skill development </w:t>
      </w:r>
      <w:r w:rsidR="00F92539" w:rsidRPr="009355A4">
        <w:rPr>
          <w:rFonts w:ascii="Times New Roman" w:hAnsi="Times New Roman" w:cs="Times New Roman"/>
        </w:rPr>
        <w:t>centres</w:t>
      </w:r>
      <w:r w:rsidRPr="009355A4">
        <w:rPr>
          <w:rFonts w:ascii="Times New Roman" w:hAnsi="Times New Roman" w:cs="Times New Roman"/>
        </w:rPr>
        <w:t xml:space="preserve"> across Bundelkhand, targeting women and youth, with INR 300 crore in funding.</w:t>
      </w:r>
      <w:r w:rsidR="00B5719D">
        <w:rPr>
          <w:rFonts w:ascii="Times New Roman" w:hAnsi="Times New Roman" w:cs="Times New Roman"/>
        </w:rPr>
        <w:t xml:space="preserve"> </w:t>
      </w:r>
      <w:r w:rsidRPr="009355A4">
        <w:rPr>
          <w:rFonts w:ascii="Times New Roman" w:hAnsi="Times New Roman" w:cs="Times New Roman"/>
        </w:rPr>
        <w:t>Public-private partnerships can link trainees to markets, ensuring sustainable income streams.</w:t>
      </w:r>
    </w:p>
    <w:p w14:paraId="42898887" w14:textId="77777777" w:rsidR="00B5719D" w:rsidRPr="00B5719D" w:rsidRDefault="00B5719D" w:rsidP="00B5719D">
      <w:pPr>
        <w:jc w:val="both"/>
        <w:rPr>
          <w:rFonts w:ascii="Times New Roman" w:hAnsi="Times New Roman" w:cs="Times New Roman"/>
        </w:rPr>
      </w:pPr>
      <w:r w:rsidRPr="00B5719D">
        <w:rPr>
          <w:rFonts w:ascii="Times New Roman" w:hAnsi="Times New Roman" w:cs="Times New Roman"/>
        </w:rPr>
        <w:t>The recommendation to promote skill-based enterprises in Bundelkhand is based on:</w:t>
      </w:r>
    </w:p>
    <w:p w14:paraId="31477697" w14:textId="77777777" w:rsidR="00B5719D" w:rsidRPr="00B5719D" w:rsidRDefault="00B5719D" w:rsidP="00B5719D">
      <w:pPr>
        <w:jc w:val="both"/>
        <w:rPr>
          <w:rFonts w:ascii="Times New Roman" w:hAnsi="Times New Roman" w:cs="Times New Roman"/>
        </w:rPr>
      </w:pPr>
      <w:r w:rsidRPr="00B5719D">
        <w:rPr>
          <w:rFonts w:ascii="Times New Roman" w:hAnsi="Times New Roman" w:cs="Times New Roman"/>
          <w:b/>
          <w:bCs/>
          <w:i/>
          <w:iCs/>
        </w:rPr>
        <w:t>Proven Impact:</w:t>
      </w:r>
      <w:r w:rsidRPr="00B5719D">
        <w:rPr>
          <w:rFonts w:ascii="Times New Roman" w:hAnsi="Times New Roman" w:cs="Times New Roman"/>
        </w:rPr>
        <w:t xml:space="preserve"> A 2021 pilot in </w:t>
      </w:r>
      <w:proofErr w:type="spellStart"/>
      <w:r w:rsidRPr="00B5719D">
        <w:rPr>
          <w:rFonts w:ascii="Times New Roman" w:hAnsi="Times New Roman" w:cs="Times New Roman"/>
        </w:rPr>
        <w:t>Damoh</w:t>
      </w:r>
      <w:proofErr w:type="spellEnd"/>
      <w:r w:rsidRPr="00B5719D">
        <w:rPr>
          <w:rFonts w:ascii="Times New Roman" w:hAnsi="Times New Roman" w:cs="Times New Roman"/>
        </w:rPr>
        <w:t xml:space="preserve"> district (Sharma, 2021) trained 500 youth in solar panel installation, creating 200 jobs and reducing migration by 12%, demonstrating the effectiveness of skill-based enterprises.</w:t>
      </w:r>
    </w:p>
    <w:p w14:paraId="1D9D46A4" w14:textId="77777777" w:rsidR="00B5719D" w:rsidRPr="00B5719D" w:rsidRDefault="00B5719D" w:rsidP="00B5719D">
      <w:pPr>
        <w:jc w:val="both"/>
        <w:rPr>
          <w:rFonts w:ascii="Times New Roman" w:hAnsi="Times New Roman" w:cs="Times New Roman"/>
        </w:rPr>
      </w:pPr>
      <w:r w:rsidRPr="00B5719D">
        <w:rPr>
          <w:rFonts w:ascii="Times New Roman" w:hAnsi="Times New Roman" w:cs="Times New Roman"/>
          <w:b/>
          <w:bCs/>
          <w:i/>
          <w:iCs/>
        </w:rPr>
        <w:t>Economic Relevance:</w:t>
      </w:r>
      <w:r w:rsidRPr="00B5719D">
        <w:rPr>
          <w:rFonts w:ascii="Times New Roman" w:hAnsi="Times New Roman" w:cs="Times New Roman"/>
        </w:rPr>
        <w:t xml:space="preserve"> </w:t>
      </w:r>
      <w:proofErr w:type="spellStart"/>
      <w:r w:rsidRPr="00B5719D">
        <w:rPr>
          <w:rFonts w:ascii="Times New Roman" w:hAnsi="Times New Roman" w:cs="Times New Roman"/>
        </w:rPr>
        <w:t>Agro</w:t>
      </w:r>
      <w:proofErr w:type="spellEnd"/>
      <w:r w:rsidRPr="00B5719D">
        <w:rPr>
          <w:rFonts w:ascii="Times New Roman" w:hAnsi="Times New Roman" w:cs="Times New Roman"/>
        </w:rPr>
        <w:t>-processing, handicrafts, and renewable energy align with Bundelkhand’s agricultural base and resource availability, fostering local employment.</w:t>
      </w:r>
    </w:p>
    <w:p w14:paraId="35ABB581" w14:textId="77777777" w:rsidR="00B5719D" w:rsidRPr="00B5719D" w:rsidRDefault="00B5719D" w:rsidP="00B5719D">
      <w:pPr>
        <w:jc w:val="both"/>
        <w:rPr>
          <w:rFonts w:ascii="Times New Roman" w:hAnsi="Times New Roman" w:cs="Times New Roman"/>
        </w:rPr>
      </w:pPr>
      <w:r w:rsidRPr="00B5719D">
        <w:rPr>
          <w:rFonts w:ascii="Times New Roman" w:hAnsi="Times New Roman" w:cs="Times New Roman"/>
          <w:b/>
          <w:bCs/>
          <w:i/>
          <w:iCs/>
        </w:rPr>
        <w:lastRenderedPageBreak/>
        <w:t>Social Inclusion:</w:t>
      </w:r>
      <w:r w:rsidRPr="00B5719D">
        <w:rPr>
          <w:rFonts w:ascii="Times New Roman" w:hAnsi="Times New Roman" w:cs="Times New Roman"/>
        </w:rPr>
        <w:t xml:space="preserve"> Targeting women and youth addresses high unemployment and migration rates, promoting equitable growth.</w:t>
      </w:r>
    </w:p>
    <w:p w14:paraId="48E38AEF" w14:textId="27E0CD58" w:rsidR="00B5719D" w:rsidRPr="009355A4" w:rsidRDefault="00B5719D" w:rsidP="00B5719D">
      <w:pPr>
        <w:jc w:val="both"/>
        <w:rPr>
          <w:rFonts w:ascii="Times New Roman" w:hAnsi="Times New Roman" w:cs="Times New Roman"/>
        </w:rPr>
      </w:pPr>
      <w:r w:rsidRPr="00B5719D">
        <w:rPr>
          <w:rFonts w:ascii="Times New Roman" w:hAnsi="Times New Roman" w:cs="Times New Roman"/>
          <w:b/>
          <w:bCs/>
          <w:i/>
          <w:iCs/>
        </w:rPr>
        <w:t>Scalability:</w:t>
      </w:r>
      <w:r w:rsidRPr="00B5719D">
        <w:rPr>
          <w:rFonts w:ascii="Times New Roman" w:hAnsi="Times New Roman" w:cs="Times New Roman"/>
        </w:rPr>
        <w:t xml:space="preserve"> Establishing 50 skill development centres with INR 300 crore is feasible, modelled on successful programs like the National Skill Development Mission, ensuring sustainable livelihoods.</w:t>
      </w:r>
    </w:p>
    <w:p w14:paraId="5F45266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4.4 Governance Reforms for Equity</w:t>
      </w:r>
    </w:p>
    <w:p w14:paraId="7ADE399E"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Equitable resource access is essential to address caste and class disparities. Land reforms, including redistribution of ceiling-surplus land to landless households, should be expedited. A 2019 study in Journal of South Asian Development found that secure land tenure reduced migration by 18% in rural India (Gupta, 2019). Additionally, digital land records and grievance redressal mechanisms can enhance transparency. Local governance bodies, such as panchayats, should be empowered to monitor policy implementation, with mandatory representation from marginalized groups.</w:t>
      </w:r>
    </w:p>
    <w:p w14:paraId="3A554F32"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4.5 Leveraging Technology for Resilience</w:t>
      </w:r>
    </w:p>
    <w:p w14:paraId="75CC011C" w14:textId="16774F15" w:rsidR="009355A4" w:rsidRDefault="009355A4" w:rsidP="009355A4">
      <w:pPr>
        <w:jc w:val="both"/>
        <w:rPr>
          <w:rFonts w:ascii="Times New Roman" w:hAnsi="Times New Roman" w:cs="Times New Roman"/>
        </w:rPr>
      </w:pPr>
      <w:r w:rsidRPr="009355A4">
        <w:rPr>
          <w:rFonts w:ascii="Times New Roman" w:hAnsi="Times New Roman" w:cs="Times New Roman"/>
        </w:rPr>
        <w:t>Emerging technologies like AI, cloud computing, and 5G can transform Bundelkhand’s rural economy. Data-driven platforms can connect farmers to markets, reducing intermediary exploitation. A 2024 study proposed using AI for real-time drought forecasting, enabling timely interventions (Yadav, 2024). The government should pilot a “Smart Bundelkhand” initiative, integrating technology with traditional knowledge, with INR 200 crore in initial investment.</w:t>
      </w:r>
      <w:r w:rsidR="00ED5113">
        <w:rPr>
          <w:rFonts w:ascii="Times New Roman" w:hAnsi="Times New Roman" w:cs="Times New Roman"/>
        </w:rPr>
        <w:t xml:space="preserve"> </w:t>
      </w:r>
    </w:p>
    <w:p w14:paraId="23B3F7C8" w14:textId="44358A93" w:rsidR="007E18D4" w:rsidRPr="009355A4" w:rsidRDefault="007E18D4" w:rsidP="0045376B">
      <w:pPr>
        <w:ind w:firstLine="720"/>
        <w:jc w:val="both"/>
        <w:rPr>
          <w:rFonts w:ascii="Times New Roman" w:hAnsi="Times New Roman" w:cs="Times New Roman"/>
        </w:rPr>
      </w:pPr>
      <w:r w:rsidRPr="007E18D4">
        <w:rPr>
          <w:rFonts w:ascii="Times New Roman" w:hAnsi="Times New Roman" w:cs="Times New Roman"/>
        </w:rPr>
        <w:t>The recommendation for a “Smart Bundelkhand” initiative is based on the transformative potential of AI, cloud computing, and 5G to enhance rural resilience. A 2024 study (Yadav, 2024) highlighted AI’s efficacy in real-time drought forecasting, enabling proactive interventions. Data-driven platforms can connect farmers directly to markets, reducing intermediary exploitation and boosting income. Integrating these technologies with traditional knowledge leverages Bundelkhand’s cultural strengths while addressing modern challenges. An initial INR 200 crore investment is feasible, drawing from successful tech-driven rural projects like India’s Digital Agriculture Mission, ensuring scalability and economic empowerment.</w:t>
      </w:r>
    </w:p>
    <w:p w14:paraId="2E53881C"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5. Implementation Strategy</w:t>
      </w:r>
    </w:p>
    <w:p w14:paraId="5599543E"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5.1 Institutional Framework</w:t>
      </w:r>
    </w:p>
    <w:p w14:paraId="76419F98"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A Bundelkhand Development Authority (BDA) should be established to coordinate policy implementation, involving state governments, NGOs, and community representatives. The BDA would oversee fund allocation, monitor progress, and ensure accountability. A similar model in Rajasthan’s Desert Development Programme increased project completion rates by 25% (</w:t>
      </w:r>
      <w:proofErr w:type="spellStart"/>
      <w:r w:rsidRPr="009355A4">
        <w:rPr>
          <w:rFonts w:ascii="Times New Roman" w:hAnsi="Times New Roman" w:cs="Times New Roman"/>
        </w:rPr>
        <w:t>GoR</w:t>
      </w:r>
      <w:proofErr w:type="spellEnd"/>
      <w:r w:rsidRPr="009355A4">
        <w:rPr>
          <w:rFonts w:ascii="Times New Roman" w:hAnsi="Times New Roman" w:cs="Times New Roman"/>
        </w:rPr>
        <w:t>, 2022).</w:t>
      </w:r>
    </w:p>
    <w:p w14:paraId="4E947896"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5.2 Financing Mechanisms</w:t>
      </w:r>
    </w:p>
    <w:p w14:paraId="30E301C3"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Funding can be sourced from central schemes (e.g., MGNREGA, PMKSY), state budgets, and international donors like the World Bank. A dedicated Bundelkhand Resilience Fund, with INR </w:t>
      </w:r>
      <w:r w:rsidRPr="009355A4">
        <w:rPr>
          <w:rFonts w:ascii="Times New Roman" w:hAnsi="Times New Roman" w:cs="Times New Roman"/>
        </w:rPr>
        <w:lastRenderedPageBreak/>
        <w:t xml:space="preserve">2,000 crore over five years, should prioritize water management, skill development, and agriculture. Tax incentives for private investments in </w:t>
      </w:r>
      <w:proofErr w:type="spellStart"/>
      <w:r w:rsidRPr="009355A4">
        <w:rPr>
          <w:rFonts w:ascii="Times New Roman" w:hAnsi="Times New Roman" w:cs="Times New Roman"/>
        </w:rPr>
        <w:t>agro</w:t>
      </w:r>
      <w:proofErr w:type="spellEnd"/>
      <w:r w:rsidRPr="009355A4">
        <w:rPr>
          <w:rFonts w:ascii="Times New Roman" w:hAnsi="Times New Roman" w:cs="Times New Roman"/>
        </w:rPr>
        <w:t>-processing can attract additional resources.</w:t>
      </w:r>
    </w:p>
    <w:p w14:paraId="0FC7659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5.3 Monitoring and Evaluation</w:t>
      </w:r>
    </w:p>
    <w:p w14:paraId="6F902957"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A robust monitoring system, using real-time data dashboards, should track policy outcomes. Independent audits by academic institutions can ensure transparency. Key performance indicators include reduced migration rates, increased groundwater levels, and higher rural incomes. Annual reports should be published to foster public accountability.</w:t>
      </w:r>
    </w:p>
    <w:p w14:paraId="088EDB41" w14:textId="77777777" w:rsidR="009355A4" w:rsidRPr="009355A4" w:rsidRDefault="009355A4" w:rsidP="009355A4">
      <w:pPr>
        <w:jc w:val="both"/>
        <w:rPr>
          <w:rFonts w:ascii="Times New Roman" w:hAnsi="Times New Roman" w:cs="Times New Roman"/>
        </w:rPr>
      </w:pPr>
      <w:r w:rsidRPr="009355A4">
        <w:rPr>
          <w:rFonts w:ascii="Times New Roman" w:hAnsi="Times New Roman" w:cs="Times New Roman"/>
        </w:rPr>
        <w:t xml:space="preserve">6. </w:t>
      </w:r>
      <w:r w:rsidRPr="009355A4">
        <w:rPr>
          <w:rFonts w:ascii="Times New Roman" w:hAnsi="Times New Roman" w:cs="Times New Roman"/>
          <w:b/>
          <w:bCs/>
        </w:rPr>
        <w:t>Conclusion</w:t>
      </w:r>
    </w:p>
    <w:p w14:paraId="6B7E0EC6" w14:textId="41650765" w:rsidR="009355A4" w:rsidRDefault="009355A4" w:rsidP="009355A4">
      <w:pPr>
        <w:jc w:val="both"/>
        <w:rPr>
          <w:rFonts w:ascii="Times New Roman" w:hAnsi="Times New Roman" w:cs="Times New Roman"/>
        </w:rPr>
      </w:pPr>
      <w:r w:rsidRPr="009355A4">
        <w:rPr>
          <w:rFonts w:ascii="Times New Roman" w:hAnsi="Times New Roman" w:cs="Times New Roman"/>
        </w:rPr>
        <w:t>The migration crisis in Bundelkhand is a clarion call for transformative policy action. By addressing the root causes</w:t>
      </w:r>
      <w:r w:rsidR="00ED5113">
        <w:rPr>
          <w:rFonts w:ascii="Times New Roman" w:hAnsi="Times New Roman" w:cs="Times New Roman"/>
        </w:rPr>
        <w:t xml:space="preserve"> </w:t>
      </w:r>
      <w:r w:rsidRPr="00ED5113">
        <w:rPr>
          <w:rFonts w:ascii="Times New Roman" w:hAnsi="Times New Roman" w:cs="Times New Roman"/>
          <w:b/>
          <w:color w:val="FF0000"/>
        </w:rPr>
        <w:t>—</w:t>
      </w:r>
      <w:r w:rsidR="00ED5113">
        <w:rPr>
          <w:rFonts w:ascii="Times New Roman" w:hAnsi="Times New Roman" w:cs="Times New Roman"/>
          <w:b/>
          <w:color w:val="FF0000"/>
        </w:rPr>
        <w:t xml:space="preserve"> </w:t>
      </w:r>
      <w:r w:rsidR="00ED5113" w:rsidRPr="00ED5113">
        <w:rPr>
          <w:rFonts w:ascii="Times New Roman" w:hAnsi="Times New Roman" w:cs="Times New Roman"/>
          <w:b/>
          <w:color w:val="00B050"/>
        </w:rPr>
        <w:t xml:space="preserve">like </w:t>
      </w:r>
      <w:r w:rsidRPr="009355A4">
        <w:rPr>
          <w:rFonts w:ascii="Times New Roman" w:hAnsi="Times New Roman" w:cs="Times New Roman"/>
        </w:rPr>
        <w:t>drought, inequity, and unemployment</w:t>
      </w:r>
      <w:r w:rsidR="00ED5113">
        <w:rPr>
          <w:rFonts w:ascii="Times New Roman" w:hAnsi="Times New Roman" w:cs="Times New Roman"/>
        </w:rPr>
        <w:t xml:space="preserve"> </w:t>
      </w:r>
      <w:r w:rsidR="00ED5113" w:rsidRPr="00ED5113">
        <w:rPr>
          <w:rFonts w:ascii="Times New Roman" w:hAnsi="Times New Roman" w:cs="Times New Roman"/>
          <w:b/>
          <w:color w:val="FF0000"/>
        </w:rPr>
        <w:t>—</w:t>
      </w:r>
      <w:r w:rsidR="00ED5113">
        <w:rPr>
          <w:rFonts w:ascii="Times New Roman" w:hAnsi="Times New Roman" w:cs="Times New Roman"/>
          <w:b/>
          <w:color w:val="FF0000"/>
        </w:rPr>
        <w:t xml:space="preserve"> </w:t>
      </w:r>
      <w:r w:rsidRPr="009355A4">
        <w:rPr>
          <w:rFonts w:ascii="Times New Roman" w:hAnsi="Times New Roman" w:cs="Times New Roman"/>
        </w:rPr>
        <w:t>through innovative solutions, policymakers can turn distress migration into an opportunity for regional renewal. Reviving traditional water systems, promoting climate-resilient agriculture, fostering skill-based enterprises, and ensuring equitable governance are not just strategies but imperatives for a resilient Bundelkhand. These measures, grounded in community participation and technological innovation, can restore livelihoods, empower marginalized groups, and rekindle hope in a region long burdened by despair. The time to act is now, lest Bundelkhand’s youth continue to flee their homeland in search of an uncertain future.</w:t>
      </w:r>
    </w:p>
    <w:p w14:paraId="4042FFD5" w14:textId="77777777" w:rsidR="00632094" w:rsidRDefault="00632094" w:rsidP="00632094">
      <w:r>
        <w:t>Disclaimer (Artificial intelligence)</w:t>
      </w:r>
    </w:p>
    <w:p w14:paraId="655D6931" w14:textId="77777777" w:rsidR="00632094" w:rsidRDefault="00632094" w:rsidP="00632094">
      <w:r>
        <w:t xml:space="preserve">Option 1: </w:t>
      </w:r>
    </w:p>
    <w:p w14:paraId="4B995C55" w14:textId="77777777" w:rsidR="00632094" w:rsidRDefault="00632094" w:rsidP="00632094">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578196C" w14:textId="77777777" w:rsidR="00632094" w:rsidRDefault="00632094" w:rsidP="00632094">
      <w:r>
        <w:t xml:space="preserve">Option 2: </w:t>
      </w:r>
    </w:p>
    <w:p w14:paraId="7B741754" w14:textId="77777777" w:rsidR="00632094" w:rsidRDefault="00632094" w:rsidP="00632094">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AFDC37" w14:textId="77777777" w:rsidR="00632094" w:rsidRDefault="00632094" w:rsidP="00632094">
      <w:r>
        <w:t>Details of the AI usage are given below:</w:t>
      </w:r>
    </w:p>
    <w:p w14:paraId="089FF6A3" w14:textId="77777777" w:rsidR="00632094" w:rsidRDefault="00632094" w:rsidP="00632094">
      <w:r>
        <w:t>1.</w:t>
      </w:r>
    </w:p>
    <w:p w14:paraId="7BC577B8" w14:textId="77777777" w:rsidR="00632094" w:rsidRDefault="00632094" w:rsidP="00632094">
      <w:r>
        <w:t>2.</w:t>
      </w:r>
    </w:p>
    <w:p w14:paraId="618ECA00" w14:textId="77777777" w:rsidR="00632094" w:rsidRPr="00D047BB" w:rsidRDefault="00632094" w:rsidP="00632094">
      <w:r>
        <w:t>3.</w:t>
      </w:r>
    </w:p>
    <w:p w14:paraId="5BD973F9" w14:textId="77777777" w:rsidR="00632094" w:rsidRPr="009355A4" w:rsidRDefault="00632094" w:rsidP="009355A4">
      <w:pPr>
        <w:jc w:val="both"/>
        <w:rPr>
          <w:rFonts w:ascii="Times New Roman" w:hAnsi="Times New Roman" w:cs="Times New Roman"/>
        </w:rPr>
      </w:pPr>
      <w:bookmarkStart w:id="0" w:name="_GoBack"/>
      <w:bookmarkEnd w:id="0"/>
    </w:p>
    <w:p w14:paraId="5E09AAAE" w14:textId="77777777" w:rsidR="009355A4" w:rsidRPr="009355A4" w:rsidRDefault="009355A4" w:rsidP="009355A4">
      <w:pPr>
        <w:jc w:val="both"/>
        <w:rPr>
          <w:rFonts w:ascii="Times New Roman" w:hAnsi="Times New Roman" w:cs="Times New Roman"/>
          <w:b/>
          <w:bCs/>
        </w:rPr>
      </w:pPr>
      <w:r w:rsidRPr="009355A4">
        <w:rPr>
          <w:rFonts w:ascii="Times New Roman" w:hAnsi="Times New Roman" w:cs="Times New Roman"/>
          <w:b/>
          <w:bCs/>
        </w:rPr>
        <w:t>References</w:t>
      </w:r>
    </w:p>
    <w:p w14:paraId="1669F8AA"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lastRenderedPageBreak/>
        <w:t xml:space="preserve">Chavan, S. B., Keerthika, A., Dhyani, S. K., Handa, A. K., </w:t>
      </w:r>
      <w:proofErr w:type="spellStart"/>
      <w:r w:rsidRPr="0045376B">
        <w:rPr>
          <w:rFonts w:ascii="Times New Roman" w:hAnsi="Times New Roman" w:cs="Times New Roman"/>
        </w:rPr>
        <w:t>Newaj</w:t>
      </w:r>
      <w:proofErr w:type="spellEnd"/>
      <w:r w:rsidRPr="0045376B">
        <w:rPr>
          <w:rFonts w:ascii="Times New Roman" w:hAnsi="Times New Roman" w:cs="Times New Roman"/>
        </w:rPr>
        <w:t>, R., &amp; Rajarajan, A. (2016). Trees for life: Creating sustainable livelihood in Bundelkhand region of Central India. Current Science, 111(6), 994–1002.</w:t>
      </w:r>
    </w:p>
    <w:p w14:paraId="7A75472E" w14:textId="77777777" w:rsidR="0045376B" w:rsidRPr="0045376B" w:rsidRDefault="0045376B" w:rsidP="0045376B">
      <w:pPr>
        <w:pStyle w:val="ListParagraph"/>
        <w:numPr>
          <w:ilvl w:val="0"/>
          <w:numId w:val="1"/>
        </w:numPr>
        <w:jc w:val="both"/>
        <w:rPr>
          <w:rFonts w:ascii="Times New Roman" w:hAnsi="Times New Roman" w:cs="Times New Roman"/>
        </w:rPr>
      </w:pPr>
      <w:proofErr w:type="spellStart"/>
      <w:r w:rsidRPr="0045376B">
        <w:rPr>
          <w:rFonts w:ascii="Times New Roman" w:hAnsi="Times New Roman" w:cs="Times New Roman"/>
        </w:rPr>
        <w:t>GoR</w:t>
      </w:r>
      <w:proofErr w:type="spellEnd"/>
      <w:r w:rsidRPr="0045376B">
        <w:rPr>
          <w:rFonts w:ascii="Times New Roman" w:hAnsi="Times New Roman" w:cs="Times New Roman"/>
        </w:rPr>
        <w:t>. (2022). Desert Development Programme: Annual Report 2021–22. Government of Rajasthan.</w:t>
      </w:r>
    </w:p>
    <w:p w14:paraId="00389D1C"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Gupta, A. K., Nair, S. S., &amp; Singh, S. (2014). Bundelkhand Drought: Retrospective Analysis and Way Ahead. National Institute of Disaster Management, New Delhi.</w:t>
      </w:r>
    </w:p>
    <w:p w14:paraId="16EFF625"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Gupta, S. (2019). From demanding to delivering development. Journal of South Asian Development, 9(2), 121–145.</w:t>
      </w:r>
    </w:p>
    <w:p w14:paraId="0EC29B0C"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ICAR. (2023). Annual Report 2022–23. Indian Council of Agricultural Research, New Delhi.</w:t>
      </w:r>
    </w:p>
    <w:p w14:paraId="5AC2E6A4"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ILO. (2020). Migrant Workers and the COVID-19 Pandemic. International Labour Organization, Geneva.</w:t>
      </w:r>
    </w:p>
    <w:p w14:paraId="02171853"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Kumar, S., Singh, R., &amp; Yadav, P. (2024). Assessing millet cultivation practices in Bundelkhand. Journal of Experimental Agriculture International, 46(3), 45–56.</w:t>
      </w:r>
    </w:p>
    <w:p w14:paraId="4B0CDFAD"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Mander, H., &amp; Sahgal, G. (2010). Internal Migration in India: Distress and Opportunities. Dan Church India.</w:t>
      </w:r>
    </w:p>
    <w:p w14:paraId="47EDBA2E"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Mondal, B., Dolui, G., &amp; Pramanik, M. (2016). Institutional arrangements for watershed development in Bundelkhand. International Journal of Water Resources Development, 32(2), 219–231.</w:t>
      </w:r>
    </w:p>
    <w:p w14:paraId="060C4863"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MoRD. (2023). MGNREGA Annual Report 2022–23. Ministry of Rural Development, Government of India.</w:t>
      </w:r>
    </w:p>
    <w:p w14:paraId="2041B0FE" w14:textId="77777777" w:rsidR="0045376B" w:rsidRPr="0045376B" w:rsidRDefault="0045376B" w:rsidP="0045376B">
      <w:pPr>
        <w:pStyle w:val="ListParagraph"/>
        <w:numPr>
          <w:ilvl w:val="0"/>
          <w:numId w:val="1"/>
        </w:numPr>
        <w:jc w:val="both"/>
        <w:rPr>
          <w:rFonts w:ascii="Times New Roman" w:hAnsi="Times New Roman" w:cs="Times New Roman"/>
        </w:rPr>
      </w:pPr>
      <w:proofErr w:type="spellStart"/>
      <w:r w:rsidRPr="0045376B">
        <w:rPr>
          <w:rFonts w:ascii="Times New Roman" w:hAnsi="Times New Roman" w:cs="Times New Roman"/>
        </w:rPr>
        <w:t>Orimoloye</w:t>
      </w:r>
      <w:proofErr w:type="spellEnd"/>
      <w:r w:rsidRPr="0045376B">
        <w:rPr>
          <w:rFonts w:ascii="Times New Roman" w:hAnsi="Times New Roman" w:cs="Times New Roman"/>
        </w:rPr>
        <w:t>, I. R. (2022). Agricultural drought and its impacts: Decision-support for food security. Frontiers in Sustainable Food Systems.</w:t>
      </w:r>
    </w:p>
    <w:p w14:paraId="132FCE80" w14:textId="77777777" w:rsidR="0045376B" w:rsidRPr="0045376B" w:rsidRDefault="0045376B" w:rsidP="0045376B">
      <w:pPr>
        <w:pStyle w:val="ListParagraph"/>
        <w:numPr>
          <w:ilvl w:val="0"/>
          <w:numId w:val="1"/>
        </w:numPr>
        <w:jc w:val="both"/>
        <w:rPr>
          <w:rFonts w:ascii="Times New Roman" w:hAnsi="Times New Roman" w:cs="Times New Roman"/>
        </w:rPr>
      </w:pPr>
      <w:proofErr w:type="spellStart"/>
      <w:r w:rsidRPr="0045376B">
        <w:rPr>
          <w:rFonts w:ascii="Times New Roman" w:hAnsi="Times New Roman" w:cs="Times New Roman"/>
        </w:rPr>
        <w:t>Samaddhar</w:t>
      </w:r>
      <w:proofErr w:type="spellEnd"/>
      <w:r w:rsidRPr="0045376B">
        <w:rPr>
          <w:rFonts w:ascii="Times New Roman" w:hAnsi="Times New Roman" w:cs="Times New Roman"/>
        </w:rPr>
        <w:t>, R. (2020). The Marginal Nation: Transborder Migration in South Asia. Sage Publications.</w:t>
      </w:r>
    </w:p>
    <w:p w14:paraId="2C11D041"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Sharma, P. K. (2021). Rural development strategies in Bundelkhand. American Journal of Rural Development, 6(3), 104–108.</w:t>
      </w:r>
    </w:p>
    <w:p w14:paraId="426F1997"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 xml:space="preserve">Sharma, R., &amp; Bhaduri, A. (2024). Migration landscape of the Bundelkhand region. </w:t>
      </w:r>
      <w:proofErr w:type="spellStart"/>
      <w:r w:rsidRPr="0045376B">
        <w:rPr>
          <w:rFonts w:ascii="Times New Roman" w:hAnsi="Times New Roman" w:cs="Times New Roman"/>
        </w:rPr>
        <w:t>GeoJournal</w:t>
      </w:r>
      <w:proofErr w:type="spellEnd"/>
      <w:r w:rsidRPr="0045376B">
        <w:rPr>
          <w:rFonts w:ascii="Times New Roman" w:hAnsi="Times New Roman" w:cs="Times New Roman"/>
        </w:rPr>
        <w:t>, 89(2), 45–60.</w:t>
      </w:r>
    </w:p>
    <w:p w14:paraId="3B3596BD" w14:textId="77777777" w:rsidR="0045376B" w:rsidRPr="0045376B"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Singh, A. (2018). Explaining the plight of Bundelkhand: Drought, suicide, and governance. Bundelkhand Research Portal.</w:t>
      </w:r>
    </w:p>
    <w:p w14:paraId="0CF74A03" w14:textId="11E4A52F" w:rsidR="006A2801" w:rsidRDefault="0045376B" w:rsidP="0045376B">
      <w:pPr>
        <w:pStyle w:val="ListParagraph"/>
        <w:numPr>
          <w:ilvl w:val="0"/>
          <w:numId w:val="1"/>
        </w:numPr>
        <w:jc w:val="both"/>
        <w:rPr>
          <w:rFonts w:ascii="Times New Roman" w:hAnsi="Times New Roman" w:cs="Times New Roman"/>
        </w:rPr>
      </w:pPr>
      <w:r w:rsidRPr="0045376B">
        <w:rPr>
          <w:rFonts w:ascii="Times New Roman" w:hAnsi="Times New Roman" w:cs="Times New Roman"/>
        </w:rPr>
        <w:t>Yadav, R. K. (2024). The climate refugees of Bundelkhand. In K. K. Sharma, R. P. Singh, &amp; A. K. Tiwari (Eds.), Climate Change and Livelihoods. Springer.</w:t>
      </w:r>
    </w:p>
    <w:p w14:paraId="28E922D2" w14:textId="0F3405ED" w:rsidR="00F53DEF" w:rsidRPr="00605B20" w:rsidRDefault="00B00D3D" w:rsidP="00605B20">
      <w:pPr>
        <w:pStyle w:val="ListParagraph"/>
        <w:numPr>
          <w:ilvl w:val="0"/>
          <w:numId w:val="1"/>
        </w:numPr>
        <w:jc w:val="both"/>
        <w:rPr>
          <w:rFonts w:ascii="Times New Roman" w:hAnsi="Times New Roman" w:cs="Times New Roman"/>
        </w:rPr>
      </w:pPr>
      <w:r w:rsidRPr="00B00D3D">
        <w:rPr>
          <w:rFonts w:ascii="Times New Roman" w:hAnsi="Times New Roman" w:cs="Times New Roman"/>
        </w:rPr>
        <w:t>Ojha, P. K. (2023). The future of extension education in climate adaptation: Emerging trends and opportunities. International Journal of Innovative Science and Research Technology, 8(6), 1643–1645.</w:t>
      </w:r>
    </w:p>
    <w:sectPr w:rsidR="00F53DEF" w:rsidRPr="00605B20" w:rsidSect="004068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F144" w14:textId="77777777" w:rsidR="00172876" w:rsidRDefault="00172876" w:rsidP="00B44564">
      <w:pPr>
        <w:spacing w:after="0" w:line="240" w:lineRule="auto"/>
      </w:pPr>
      <w:r>
        <w:separator/>
      </w:r>
    </w:p>
  </w:endnote>
  <w:endnote w:type="continuationSeparator" w:id="0">
    <w:p w14:paraId="5F14BF6A" w14:textId="77777777" w:rsidR="00172876" w:rsidRDefault="00172876" w:rsidP="00B4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BE92" w14:textId="77777777" w:rsidR="00502EE2" w:rsidRDefault="0050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494D" w14:textId="77777777" w:rsidR="00502EE2" w:rsidRDefault="00502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A586" w14:textId="77777777" w:rsidR="00502EE2" w:rsidRDefault="0050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E27A" w14:textId="77777777" w:rsidR="00172876" w:rsidRDefault="00172876" w:rsidP="00B44564">
      <w:pPr>
        <w:spacing w:after="0" w:line="240" w:lineRule="auto"/>
      </w:pPr>
      <w:r>
        <w:separator/>
      </w:r>
    </w:p>
  </w:footnote>
  <w:footnote w:type="continuationSeparator" w:id="0">
    <w:p w14:paraId="3FF58366" w14:textId="77777777" w:rsidR="00172876" w:rsidRDefault="00172876" w:rsidP="00B4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782F" w14:textId="77777777" w:rsidR="00502EE2" w:rsidRDefault="00172876">
    <w:pPr>
      <w:pStyle w:val="Header"/>
    </w:pPr>
    <w:r>
      <w:rPr>
        <w:noProof/>
      </w:rPr>
      <w:pict w14:anchorId="581C7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418F" w14:textId="77777777" w:rsidR="00502EE2" w:rsidRDefault="00172876">
    <w:pPr>
      <w:pStyle w:val="Header"/>
    </w:pPr>
    <w:r>
      <w:rPr>
        <w:noProof/>
      </w:rPr>
      <w:pict w14:anchorId="577F4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03D4" w14:textId="77777777" w:rsidR="00502EE2" w:rsidRDefault="00172876">
    <w:pPr>
      <w:pStyle w:val="Header"/>
    </w:pPr>
    <w:r>
      <w:rPr>
        <w:noProof/>
      </w:rPr>
      <w:pict w14:anchorId="48E6E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49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32F5"/>
    <w:multiLevelType w:val="hybridMultilevel"/>
    <w:tmpl w:val="30080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A4"/>
    <w:rsid w:val="00083244"/>
    <w:rsid w:val="000D79BB"/>
    <w:rsid w:val="00172876"/>
    <w:rsid w:val="0017751A"/>
    <w:rsid w:val="001F3B23"/>
    <w:rsid w:val="00406847"/>
    <w:rsid w:val="0045376B"/>
    <w:rsid w:val="00502EE2"/>
    <w:rsid w:val="00533284"/>
    <w:rsid w:val="005D631C"/>
    <w:rsid w:val="00605B20"/>
    <w:rsid w:val="00631A85"/>
    <w:rsid w:val="00632094"/>
    <w:rsid w:val="006404AD"/>
    <w:rsid w:val="00640F52"/>
    <w:rsid w:val="006436DE"/>
    <w:rsid w:val="00673EE1"/>
    <w:rsid w:val="006A2801"/>
    <w:rsid w:val="007104D4"/>
    <w:rsid w:val="0071591B"/>
    <w:rsid w:val="00767A2F"/>
    <w:rsid w:val="00791FBB"/>
    <w:rsid w:val="007E18D4"/>
    <w:rsid w:val="007E35B8"/>
    <w:rsid w:val="00821109"/>
    <w:rsid w:val="00854A06"/>
    <w:rsid w:val="0087614D"/>
    <w:rsid w:val="008A4F88"/>
    <w:rsid w:val="009355A4"/>
    <w:rsid w:val="00990D03"/>
    <w:rsid w:val="009B7519"/>
    <w:rsid w:val="009E5C13"/>
    <w:rsid w:val="00B00D3D"/>
    <w:rsid w:val="00B44564"/>
    <w:rsid w:val="00B5719D"/>
    <w:rsid w:val="00B919AB"/>
    <w:rsid w:val="00BD00B6"/>
    <w:rsid w:val="00CD2D71"/>
    <w:rsid w:val="00E55A6A"/>
    <w:rsid w:val="00E600D9"/>
    <w:rsid w:val="00EB5876"/>
    <w:rsid w:val="00EC0719"/>
    <w:rsid w:val="00EC2DE0"/>
    <w:rsid w:val="00ED5113"/>
    <w:rsid w:val="00F53DEF"/>
    <w:rsid w:val="00F92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EF01E"/>
  <w15:docId w15:val="{C9728516-3F2C-4606-9C16-DF9124C6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847"/>
  </w:style>
  <w:style w:type="paragraph" w:styleId="Heading1">
    <w:name w:val="heading 1"/>
    <w:basedOn w:val="Normal"/>
    <w:next w:val="Normal"/>
    <w:link w:val="Heading1Char"/>
    <w:uiPriority w:val="9"/>
    <w:qFormat/>
    <w:rsid w:val="00935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A4"/>
    <w:rPr>
      <w:rFonts w:eastAsiaTheme="majorEastAsia" w:cstheme="majorBidi"/>
      <w:color w:val="272727" w:themeColor="text1" w:themeTint="D8"/>
    </w:rPr>
  </w:style>
  <w:style w:type="paragraph" w:styleId="Title">
    <w:name w:val="Title"/>
    <w:basedOn w:val="Normal"/>
    <w:next w:val="Normal"/>
    <w:link w:val="TitleChar"/>
    <w:uiPriority w:val="10"/>
    <w:qFormat/>
    <w:rsid w:val="00935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A4"/>
    <w:pPr>
      <w:spacing w:before="160"/>
      <w:jc w:val="center"/>
    </w:pPr>
    <w:rPr>
      <w:i/>
      <w:iCs/>
      <w:color w:val="404040" w:themeColor="text1" w:themeTint="BF"/>
    </w:rPr>
  </w:style>
  <w:style w:type="character" w:customStyle="1" w:styleId="QuoteChar">
    <w:name w:val="Quote Char"/>
    <w:basedOn w:val="DefaultParagraphFont"/>
    <w:link w:val="Quote"/>
    <w:uiPriority w:val="29"/>
    <w:rsid w:val="009355A4"/>
    <w:rPr>
      <w:i/>
      <w:iCs/>
      <w:color w:val="404040" w:themeColor="text1" w:themeTint="BF"/>
    </w:rPr>
  </w:style>
  <w:style w:type="paragraph" w:styleId="ListParagraph">
    <w:name w:val="List Paragraph"/>
    <w:basedOn w:val="Normal"/>
    <w:uiPriority w:val="34"/>
    <w:qFormat/>
    <w:rsid w:val="009355A4"/>
    <w:pPr>
      <w:ind w:left="720"/>
      <w:contextualSpacing/>
    </w:pPr>
  </w:style>
  <w:style w:type="character" w:styleId="IntenseEmphasis">
    <w:name w:val="Intense Emphasis"/>
    <w:basedOn w:val="DefaultParagraphFont"/>
    <w:uiPriority w:val="21"/>
    <w:qFormat/>
    <w:rsid w:val="009355A4"/>
    <w:rPr>
      <w:i/>
      <w:iCs/>
      <w:color w:val="0F4761" w:themeColor="accent1" w:themeShade="BF"/>
    </w:rPr>
  </w:style>
  <w:style w:type="paragraph" w:styleId="IntenseQuote">
    <w:name w:val="Intense Quote"/>
    <w:basedOn w:val="Normal"/>
    <w:next w:val="Normal"/>
    <w:link w:val="IntenseQuoteChar"/>
    <w:uiPriority w:val="30"/>
    <w:qFormat/>
    <w:rsid w:val="00935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5A4"/>
    <w:rPr>
      <w:i/>
      <w:iCs/>
      <w:color w:val="0F4761" w:themeColor="accent1" w:themeShade="BF"/>
    </w:rPr>
  </w:style>
  <w:style w:type="character" w:styleId="IntenseReference">
    <w:name w:val="Intense Reference"/>
    <w:basedOn w:val="DefaultParagraphFont"/>
    <w:uiPriority w:val="32"/>
    <w:qFormat/>
    <w:rsid w:val="009355A4"/>
    <w:rPr>
      <w:b/>
      <w:bCs/>
      <w:smallCaps/>
      <w:color w:val="0F4761" w:themeColor="accent1" w:themeShade="BF"/>
      <w:spacing w:val="5"/>
    </w:rPr>
  </w:style>
  <w:style w:type="character" w:styleId="Hyperlink">
    <w:name w:val="Hyperlink"/>
    <w:basedOn w:val="DefaultParagraphFont"/>
    <w:uiPriority w:val="99"/>
    <w:unhideWhenUsed/>
    <w:rsid w:val="00B44564"/>
    <w:rPr>
      <w:color w:val="467886" w:themeColor="hyperlink"/>
      <w:u w:val="single"/>
    </w:rPr>
  </w:style>
  <w:style w:type="character" w:customStyle="1" w:styleId="UnresolvedMention1">
    <w:name w:val="Unresolved Mention1"/>
    <w:basedOn w:val="DefaultParagraphFont"/>
    <w:uiPriority w:val="99"/>
    <w:semiHidden/>
    <w:unhideWhenUsed/>
    <w:rsid w:val="00B44564"/>
    <w:rPr>
      <w:color w:val="605E5C"/>
      <w:shd w:val="clear" w:color="auto" w:fill="E1DFDD"/>
    </w:rPr>
  </w:style>
  <w:style w:type="paragraph" w:styleId="Header">
    <w:name w:val="header"/>
    <w:basedOn w:val="Normal"/>
    <w:link w:val="HeaderChar"/>
    <w:uiPriority w:val="99"/>
    <w:unhideWhenUsed/>
    <w:rsid w:val="00B44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564"/>
  </w:style>
  <w:style w:type="paragraph" w:styleId="Footer">
    <w:name w:val="footer"/>
    <w:basedOn w:val="Normal"/>
    <w:link w:val="FooterChar"/>
    <w:uiPriority w:val="99"/>
    <w:unhideWhenUsed/>
    <w:rsid w:val="00B44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0135">
      <w:bodyDiv w:val="1"/>
      <w:marLeft w:val="0"/>
      <w:marRight w:val="0"/>
      <w:marTop w:val="0"/>
      <w:marBottom w:val="0"/>
      <w:divBdr>
        <w:top w:val="none" w:sz="0" w:space="0" w:color="auto"/>
        <w:left w:val="none" w:sz="0" w:space="0" w:color="auto"/>
        <w:bottom w:val="none" w:sz="0" w:space="0" w:color="auto"/>
        <w:right w:val="none" w:sz="0" w:space="0" w:color="auto"/>
      </w:divBdr>
    </w:div>
    <w:div w:id="974217753">
      <w:bodyDiv w:val="1"/>
      <w:marLeft w:val="0"/>
      <w:marRight w:val="0"/>
      <w:marTop w:val="0"/>
      <w:marBottom w:val="0"/>
      <w:divBdr>
        <w:top w:val="none" w:sz="0" w:space="0" w:color="auto"/>
        <w:left w:val="none" w:sz="0" w:space="0" w:color="auto"/>
        <w:bottom w:val="none" w:sz="0" w:space="0" w:color="auto"/>
        <w:right w:val="none" w:sz="0" w:space="0" w:color="auto"/>
      </w:divBdr>
      <w:divsChild>
        <w:div w:id="549388613">
          <w:marLeft w:val="0"/>
          <w:marRight w:val="0"/>
          <w:marTop w:val="0"/>
          <w:marBottom w:val="0"/>
          <w:divBdr>
            <w:top w:val="none" w:sz="0" w:space="0" w:color="auto"/>
            <w:left w:val="none" w:sz="0" w:space="0" w:color="auto"/>
            <w:bottom w:val="none" w:sz="0" w:space="0" w:color="auto"/>
            <w:right w:val="none" w:sz="0" w:space="0" w:color="auto"/>
          </w:divBdr>
        </w:div>
      </w:divsChild>
    </w:div>
    <w:div w:id="20013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 Ojha</dc:creator>
  <cp:keywords/>
  <dc:description/>
  <cp:lastModifiedBy>SDI 1186</cp:lastModifiedBy>
  <cp:revision>3</cp:revision>
  <dcterms:created xsi:type="dcterms:W3CDTF">2025-06-27T11:41:00Z</dcterms:created>
  <dcterms:modified xsi:type="dcterms:W3CDTF">2025-06-30T06:22:00Z</dcterms:modified>
</cp:coreProperties>
</file>