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3704C" w14:textId="207FC18A" w:rsidR="007E3B5F" w:rsidRDefault="000B0817" w:rsidP="006944A6">
      <w:pPr>
        <w:pStyle w:val="Title"/>
        <w:pBdr>
          <w:bottom w:val="none" w:sz="0" w:space="0" w:color="auto"/>
        </w:pBdr>
        <w:ind w:left="-630" w:right="-810"/>
        <w:jc w:val="center"/>
        <w:rPr>
          <w:rFonts w:ascii="Times New Roman" w:hAnsi="Times New Roman" w:cs="Times New Roman"/>
          <w:b/>
          <w:bCs/>
          <w:color w:val="000000" w:themeColor="text1"/>
          <w:sz w:val="24"/>
          <w:szCs w:val="24"/>
        </w:rPr>
      </w:pPr>
      <w:r w:rsidRPr="009F14FE">
        <w:rPr>
          <w:rFonts w:ascii="Times New Roman" w:hAnsi="Times New Roman" w:cs="Times New Roman"/>
          <w:b/>
          <w:bCs/>
          <w:color w:val="000000" w:themeColor="text1"/>
          <w:sz w:val="24"/>
          <w:szCs w:val="24"/>
          <w:highlight w:val="yellow"/>
        </w:rPr>
        <w:t>The Economics of Climate</w:t>
      </w:r>
      <w:r w:rsidR="00130782">
        <w:rPr>
          <w:rFonts w:ascii="Times New Roman" w:hAnsi="Times New Roman" w:cs="Times New Roman"/>
          <w:b/>
          <w:bCs/>
          <w:color w:val="000000" w:themeColor="text1"/>
          <w:sz w:val="24"/>
          <w:szCs w:val="24"/>
          <w:highlight w:val="yellow"/>
        </w:rPr>
        <w:t xml:space="preserve"> </w:t>
      </w:r>
      <w:r w:rsidRPr="009F14FE">
        <w:rPr>
          <w:rFonts w:ascii="Times New Roman" w:hAnsi="Times New Roman" w:cs="Times New Roman"/>
          <w:b/>
          <w:bCs/>
          <w:color w:val="000000" w:themeColor="text1"/>
          <w:sz w:val="24"/>
          <w:szCs w:val="24"/>
          <w:highlight w:val="yellow"/>
        </w:rPr>
        <w:t>Smart Agriculture: Role of Extension Education in Adaptation Strategies</w:t>
      </w:r>
    </w:p>
    <w:p w14:paraId="3B13723C" w14:textId="77777777" w:rsidR="00C426D6" w:rsidRPr="00C426D6" w:rsidRDefault="00C426D6" w:rsidP="00C426D6"/>
    <w:p w14:paraId="366EF445" w14:textId="77777777" w:rsidR="007E3B5F" w:rsidRPr="00A36B62" w:rsidRDefault="000B0817" w:rsidP="006944A6">
      <w:pPr>
        <w:pStyle w:val="Heading1"/>
        <w:ind w:left="-630" w:right="-810"/>
        <w:jc w:val="center"/>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Abstract</w:t>
      </w:r>
    </w:p>
    <w:p w14:paraId="599DBEBA" w14:textId="30320CF1" w:rsidR="007E3B5F" w:rsidRPr="00A36B62" w:rsidRDefault="00812FCE" w:rsidP="00242CF7">
      <w:pPr>
        <w:spacing w:line="360" w:lineRule="auto"/>
        <w:ind w:left="-630" w:right="-810"/>
        <w:jc w:val="both"/>
        <w:rPr>
          <w:rFonts w:ascii="Times New Roman" w:hAnsi="Times New Roman" w:cs="Times New Roman"/>
          <w:color w:val="000000" w:themeColor="text1"/>
          <w:sz w:val="24"/>
          <w:szCs w:val="24"/>
        </w:rPr>
      </w:pPr>
      <w:r w:rsidRPr="00235A2C">
        <w:rPr>
          <w:rFonts w:ascii="Times New Roman" w:hAnsi="Times New Roman" w:cs="Times New Roman"/>
          <w:color w:val="000000" w:themeColor="text1"/>
          <w:sz w:val="24"/>
          <w:szCs w:val="24"/>
          <w:highlight w:val="yellow"/>
        </w:rPr>
        <w:t>This paper</w:t>
      </w:r>
      <w:r w:rsidR="00AB770E">
        <w:rPr>
          <w:rFonts w:ascii="Times New Roman" w:hAnsi="Times New Roman" w:cs="Times New Roman"/>
          <w:color w:val="000000" w:themeColor="text1"/>
          <w:sz w:val="24"/>
          <w:szCs w:val="24"/>
          <w:highlight w:val="yellow"/>
        </w:rPr>
        <w:t xml:space="preserve"> aims to investigate</w:t>
      </w:r>
      <w:r w:rsidRPr="00235A2C">
        <w:rPr>
          <w:rFonts w:ascii="Times New Roman" w:hAnsi="Times New Roman" w:cs="Times New Roman"/>
          <w:color w:val="000000" w:themeColor="text1"/>
          <w:sz w:val="24"/>
          <w:szCs w:val="24"/>
          <w:highlight w:val="yellow"/>
        </w:rPr>
        <w:t xml:space="preserve"> the economic feasibility of CSA practices and analyze the role of extension education in supporting adaptation strategies in agriculture.</w:t>
      </w:r>
      <w:r w:rsidRPr="00812FCE">
        <w:rPr>
          <w:rFonts w:ascii="Times New Roman" w:hAnsi="Times New Roman" w:cs="Times New Roman"/>
          <w:color w:val="000000" w:themeColor="text1"/>
          <w:sz w:val="24"/>
          <w:szCs w:val="24"/>
        </w:rPr>
        <w:t xml:space="preserve"> </w:t>
      </w:r>
      <w:r w:rsidR="000B0817" w:rsidRPr="00A36B62">
        <w:rPr>
          <w:rFonts w:ascii="Times New Roman" w:hAnsi="Times New Roman" w:cs="Times New Roman"/>
          <w:color w:val="000000" w:themeColor="text1"/>
          <w:sz w:val="24"/>
          <w:szCs w:val="24"/>
        </w:rPr>
        <w:t>Climate change poses a significant threat to global food security and sustainable agricultural development. In response, Climate-Smart Agriculture (CSA) has emerged as a pivotal framework integrating productivity, resilience, and mitigation. The paper combines secondary data analysis, case studies, and a cost-benefit framework to evaluate how extension-led interventions enable informed decision-making and reduce adaptation costs.</w:t>
      </w:r>
      <w:r w:rsidR="00AB00C9">
        <w:rPr>
          <w:rFonts w:ascii="Times New Roman" w:hAnsi="Times New Roman" w:cs="Times New Roman"/>
          <w:color w:val="000000" w:themeColor="text1"/>
          <w:sz w:val="24"/>
          <w:szCs w:val="24"/>
        </w:rPr>
        <w:t xml:space="preserve"> </w:t>
      </w:r>
      <w:r w:rsidR="00AB00C9" w:rsidRPr="00C60290">
        <w:rPr>
          <w:rFonts w:ascii="Times New Roman" w:hAnsi="Times New Roman" w:cs="Times New Roman"/>
          <w:color w:val="000000" w:themeColor="text1"/>
          <w:sz w:val="24"/>
          <w:szCs w:val="24"/>
          <w:highlight w:val="yellow"/>
        </w:rPr>
        <w:t>A purposive sampling approach was adopted to select case studies and CSA practices that are representative of different agro-ecological zones, economic investment levels, and extension education models.</w:t>
      </w:r>
      <w:r w:rsidR="00AB00C9" w:rsidRPr="00AB00C9">
        <w:rPr>
          <w:rFonts w:ascii="Times New Roman" w:hAnsi="Times New Roman" w:cs="Times New Roman"/>
          <w:color w:val="000000" w:themeColor="text1"/>
          <w:sz w:val="24"/>
          <w:szCs w:val="24"/>
        </w:rPr>
        <w:t xml:space="preserve"> </w:t>
      </w:r>
      <w:r w:rsidR="000B0817" w:rsidRPr="00A36B62">
        <w:rPr>
          <w:rFonts w:ascii="Times New Roman" w:hAnsi="Times New Roman" w:cs="Times New Roman"/>
          <w:color w:val="000000" w:themeColor="text1"/>
          <w:sz w:val="24"/>
          <w:szCs w:val="24"/>
        </w:rPr>
        <w:t xml:space="preserve"> Findings underscore that effective extension services can significantly enhance the economic returns of CSA practices while bridging the knowledge gap among small and marginal farmers.</w:t>
      </w:r>
      <w:r w:rsidR="00DC002F">
        <w:rPr>
          <w:rFonts w:ascii="Times New Roman" w:hAnsi="Times New Roman" w:cs="Times New Roman"/>
          <w:color w:val="000000" w:themeColor="text1"/>
          <w:sz w:val="24"/>
          <w:szCs w:val="24"/>
        </w:rPr>
        <w:t xml:space="preserve"> </w:t>
      </w:r>
      <w:r w:rsidR="00240CA3" w:rsidRPr="0023617B">
        <w:rPr>
          <w:rFonts w:ascii="Times New Roman" w:hAnsi="Times New Roman" w:cs="Times New Roman"/>
          <w:color w:val="000000" w:themeColor="text1"/>
          <w:sz w:val="24"/>
          <w:szCs w:val="24"/>
          <w:highlight w:val="yellow"/>
        </w:rPr>
        <w:t>The cost-benefit ratio of 1.8:1 reflects the economic viability of the technology when scaled through effective extension support. A 62% adoption rate within just two years of implementation underscores the power of consistent, participatory training and farmer engagement.</w:t>
      </w:r>
      <w:r w:rsidR="00240CA3">
        <w:rPr>
          <w:rFonts w:ascii="Times New Roman" w:hAnsi="Times New Roman" w:cs="Times New Roman"/>
          <w:color w:val="000000" w:themeColor="text1"/>
          <w:sz w:val="24"/>
          <w:szCs w:val="24"/>
        </w:rPr>
        <w:t xml:space="preserve"> </w:t>
      </w:r>
      <w:r w:rsidR="00E16FA6" w:rsidRPr="00177081">
        <w:rPr>
          <w:rFonts w:ascii="Times New Roman" w:hAnsi="Times New Roman" w:cs="Times New Roman"/>
          <w:color w:val="000000" w:themeColor="text1"/>
          <w:sz w:val="24"/>
          <w:szCs w:val="24"/>
          <w:highlight w:val="yellow"/>
        </w:rPr>
        <w:t xml:space="preserve">This paper shows that extension-led CSA strategies not only improve productivity and sustainability but also enhance economic resilience among farmers. Integrating economic analysis into extension frameworks will be key in designing future-ready agriculture systems. </w:t>
      </w:r>
      <w:r w:rsidR="009B7974" w:rsidRPr="00177081">
        <w:rPr>
          <w:rFonts w:ascii="Times New Roman" w:hAnsi="Times New Roman" w:cs="Times New Roman"/>
          <w:color w:val="000000" w:themeColor="text1"/>
          <w:sz w:val="24"/>
          <w:szCs w:val="24"/>
          <w:highlight w:val="yellow"/>
        </w:rPr>
        <w:t>T</w:t>
      </w:r>
      <w:r w:rsidR="00DC002F" w:rsidRPr="00177081">
        <w:rPr>
          <w:rFonts w:ascii="Times New Roman" w:hAnsi="Times New Roman" w:cs="Times New Roman"/>
          <w:color w:val="000000" w:themeColor="text1"/>
          <w:sz w:val="24"/>
          <w:szCs w:val="24"/>
          <w:highlight w:val="yellow"/>
        </w:rPr>
        <w:t>here</w:t>
      </w:r>
      <w:r w:rsidR="009B7974" w:rsidRPr="00177081">
        <w:rPr>
          <w:rFonts w:ascii="Times New Roman" w:hAnsi="Times New Roman" w:cs="Times New Roman"/>
          <w:color w:val="000000" w:themeColor="text1"/>
          <w:sz w:val="24"/>
          <w:szCs w:val="24"/>
          <w:highlight w:val="yellow"/>
        </w:rPr>
        <w:t xml:space="preserve"> </w:t>
      </w:r>
      <w:r w:rsidR="00DC002F" w:rsidRPr="00177081">
        <w:rPr>
          <w:rFonts w:ascii="Times New Roman" w:hAnsi="Times New Roman" w:cs="Times New Roman"/>
          <w:color w:val="000000" w:themeColor="text1"/>
          <w:sz w:val="24"/>
          <w:szCs w:val="24"/>
          <w:highlight w:val="yellow"/>
        </w:rPr>
        <w:t xml:space="preserve">is a need to foster participatory action research where farmers co-design and evaluate CSA technologies. </w:t>
      </w:r>
      <w:r w:rsidR="00242CF7" w:rsidRPr="00177081">
        <w:rPr>
          <w:rFonts w:ascii="Times New Roman" w:hAnsi="Times New Roman" w:cs="Times New Roman"/>
          <w:color w:val="000000" w:themeColor="text1"/>
          <w:sz w:val="24"/>
          <w:szCs w:val="24"/>
          <w:highlight w:val="yellow"/>
        </w:rPr>
        <w:t xml:space="preserve"> By creating an enabling ecosystem where economic rationale and ecological responsibility converge, CSA can serve as a blueprint for the future of sustainable agriculture in India and globally.</w:t>
      </w:r>
    </w:p>
    <w:p w14:paraId="13AAC03D" w14:textId="3A668721" w:rsidR="007E3B5F" w:rsidRPr="00A36B62" w:rsidRDefault="00F90B94" w:rsidP="006944A6">
      <w:pPr>
        <w:ind w:left="-630" w:right="-810" w:hanging="117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7743CC">
        <w:rPr>
          <w:rFonts w:ascii="Times New Roman" w:hAnsi="Times New Roman" w:cs="Times New Roman"/>
          <w:b/>
          <w:bCs/>
          <w:color w:val="000000" w:themeColor="text1"/>
          <w:sz w:val="24"/>
          <w:szCs w:val="24"/>
        </w:rPr>
        <w:t xml:space="preserve">                  </w:t>
      </w:r>
      <w:r w:rsidR="000B0817" w:rsidRPr="00A36B62">
        <w:rPr>
          <w:rFonts w:ascii="Times New Roman" w:hAnsi="Times New Roman" w:cs="Times New Roman"/>
          <w:b/>
          <w:bCs/>
          <w:color w:val="000000" w:themeColor="text1"/>
          <w:sz w:val="24"/>
          <w:szCs w:val="24"/>
        </w:rPr>
        <w:t>Keywords</w:t>
      </w:r>
      <w:r w:rsidR="000B0817" w:rsidRPr="00A36B62">
        <w:rPr>
          <w:rFonts w:ascii="Times New Roman" w:hAnsi="Times New Roman" w:cs="Times New Roman"/>
          <w:bCs/>
          <w:color w:val="000000" w:themeColor="text1"/>
          <w:sz w:val="24"/>
          <w:szCs w:val="24"/>
        </w:rPr>
        <w:t>:</w:t>
      </w:r>
      <w:r w:rsidR="000B0817" w:rsidRPr="00A36B62">
        <w:rPr>
          <w:rFonts w:ascii="Times New Roman" w:hAnsi="Times New Roman" w:cs="Times New Roman"/>
          <w:color w:val="000000" w:themeColor="text1"/>
          <w:sz w:val="24"/>
          <w:szCs w:val="24"/>
        </w:rPr>
        <w:t xml:space="preserve"> </w:t>
      </w:r>
      <w:r w:rsidR="000B0817" w:rsidRPr="00A36B62">
        <w:rPr>
          <w:rFonts w:ascii="Times New Roman" w:hAnsi="Times New Roman" w:cs="Times New Roman"/>
          <w:bCs/>
          <w:color w:val="000000" w:themeColor="text1"/>
          <w:sz w:val="24"/>
          <w:szCs w:val="24"/>
        </w:rPr>
        <w:t>Climate-smart agriculture, extension education, economic analysis, adaptation strategies, sustainable farming, knowledge transfer</w:t>
      </w:r>
    </w:p>
    <w:p w14:paraId="189D8F66"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Introduction</w:t>
      </w:r>
    </w:p>
    <w:p w14:paraId="6F92E81C" w14:textId="0B2752F2" w:rsidR="003B00E4"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Agriculture is both a victim and a contributor to climate change, accounting for approximately 19–29% of global greenhouse gas (GHG) emissions (FAO, 2022).</w:t>
      </w:r>
      <w:r w:rsidR="0045491A">
        <w:rPr>
          <w:rFonts w:ascii="Times New Roman" w:hAnsi="Times New Roman" w:cs="Times New Roman"/>
          <w:color w:val="000000" w:themeColor="text1"/>
          <w:sz w:val="24"/>
          <w:szCs w:val="24"/>
        </w:rPr>
        <w:t xml:space="preserve"> </w:t>
      </w:r>
      <w:r w:rsidR="0045491A" w:rsidRPr="0045491A">
        <w:rPr>
          <w:rFonts w:ascii="Times New Roman" w:hAnsi="Times New Roman" w:cs="Times New Roman"/>
          <w:color w:val="000000" w:themeColor="text1"/>
          <w:sz w:val="24"/>
          <w:szCs w:val="24"/>
          <w:highlight w:val="yellow"/>
        </w:rPr>
        <w:t xml:space="preserve">Climate change is defined as the change in the atmospheric process of the earth and its cause is mainly attributed to various human activities such as </w:t>
      </w:r>
      <w:r w:rsidR="0045491A" w:rsidRPr="0045491A">
        <w:rPr>
          <w:rFonts w:ascii="Times New Roman" w:hAnsi="Times New Roman" w:cs="Times New Roman"/>
          <w:color w:val="000000" w:themeColor="text1"/>
          <w:sz w:val="24"/>
          <w:szCs w:val="24"/>
          <w:highlight w:val="yellow"/>
        </w:rPr>
        <w:lastRenderedPageBreak/>
        <w:t>gas flaring related activities, deforestation and other anthropogenic activities which bring about the increase and pollution of greenhouse gases in the atmosphere (</w:t>
      </w:r>
      <w:proofErr w:type="spellStart"/>
      <w:r w:rsidR="004F44D2" w:rsidRPr="004F44D2">
        <w:rPr>
          <w:rFonts w:ascii="Times New Roman" w:hAnsi="Times New Roman" w:cs="Times New Roman"/>
          <w:color w:val="000000" w:themeColor="text1"/>
          <w:sz w:val="24"/>
          <w:szCs w:val="24"/>
        </w:rPr>
        <w:t>Olorunfemi</w:t>
      </w:r>
      <w:proofErr w:type="spellEnd"/>
      <w:r w:rsidR="004F44D2">
        <w:rPr>
          <w:rFonts w:ascii="Times New Roman" w:hAnsi="Times New Roman" w:cs="Times New Roman"/>
          <w:color w:val="000000" w:themeColor="text1"/>
          <w:sz w:val="24"/>
          <w:szCs w:val="24"/>
        </w:rPr>
        <w:t xml:space="preserve"> et al., 2020; </w:t>
      </w:r>
      <w:r w:rsidR="0045491A" w:rsidRPr="0045491A">
        <w:rPr>
          <w:rFonts w:ascii="Times New Roman" w:hAnsi="Times New Roman" w:cs="Times New Roman"/>
          <w:color w:val="000000" w:themeColor="text1"/>
          <w:sz w:val="24"/>
          <w:szCs w:val="24"/>
          <w:highlight w:val="yellow"/>
        </w:rPr>
        <w:t xml:space="preserve">Miller and Edwards, 2001, </w:t>
      </w:r>
      <w:proofErr w:type="spellStart"/>
      <w:r w:rsidR="0045491A" w:rsidRPr="0045491A">
        <w:rPr>
          <w:rFonts w:ascii="Times New Roman" w:hAnsi="Times New Roman" w:cs="Times New Roman"/>
          <w:color w:val="000000" w:themeColor="text1"/>
          <w:sz w:val="24"/>
          <w:szCs w:val="24"/>
          <w:highlight w:val="yellow"/>
        </w:rPr>
        <w:t>Ajieh</w:t>
      </w:r>
      <w:proofErr w:type="spellEnd"/>
      <w:r w:rsidR="0045491A" w:rsidRPr="0045491A">
        <w:rPr>
          <w:rFonts w:ascii="Times New Roman" w:hAnsi="Times New Roman" w:cs="Times New Roman"/>
          <w:color w:val="000000" w:themeColor="text1"/>
          <w:sz w:val="24"/>
          <w:szCs w:val="24"/>
          <w:highlight w:val="yellow"/>
        </w:rPr>
        <w:t xml:space="preserve"> and </w:t>
      </w:r>
      <w:proofErr w:type="spellStart"/>
      <w:r w:rsidR="0045491A" w:rsidRPr="0045491A">
        <w:rPr>
          <w:rFonts w:ascii="Times New Roman" w:hAnsi="Times New Roman" w:cs="Times New Roman"/>
          <w:color w:val="000000" w:themeColor="text1"/>
          <w:sz w:val="24"/>
          <w:szCs w:val="24"/>
          <w:highlight w:val="yellow"/>
        </w:rPr>
        <w:t>Okoh</w:t>
      </w:r>
      <w:proofErr w:type="spellEnd"/>
      <w:r w:rsidR="0045491A" w:rsidRPr="0045491A">
        <w:rPr>
          <w:rFonts w:ascii="Times New Roman" w:hAnsi="Times New Roman" w:cs="Times New Roman"/>
          <w:color w:val="000000" w:themeColor="text1"/>
          <w:sz w:val="24"/>
          <w:szCs w:val="24"/>
          <w:highlight w:val="yellow"/>
        </w:rPr>
        <w:t>, 2012).</w:t>
      </w:r>
      <w:r w:rsidR="0045491A" w:rsidRPr="0045491A">
        <w:rPr>
          <w:rFonts w:ascii="Times New Roman" w:hAnsi="Times New Roman" w:cs="Times New Roman"/>
          <w:color w:val="000000" w:themeColor="text1"/>
          <w:sz w:val="24"/>
          <w:szCs w:val="24"/>
        </w:rPr>
        <w:t xml:space="preserve"> </w:t>
      </w:r>
      <w:r w:rsidRPr="00A36B62">
        <w:rPr>
          <w:rFonts w:ascii="Times New Roman" w:hAnsi="Times New Roman" w:cs="Times New Roman"/>
          <w:color w:val="000000" w:themeColor="text1"/>
          <w:sz w:val="24"/>
          <w:szCs w:val="24"/>
        </w:rPr>
        <w:t xml:space="preserve"> </w:t>
      </w:r>
      <w:r w:rsidR="00E76DFB" w:rsidRPr="00E76DFB">
        <w:rPr>
          <w:rFonts w:ascii="Times New Roman" w:hAnsi="Times New Roman" w:cs="Times New Roman"/>
          <w:color w:val="000000" w:themeColor="text1"/>
          <w:sz w:val="24"/>
          <w:szCs w:val="24"/>
          <w:highlight w:val="yellow"/>
        </w:rPr>
        <w:t>To successfully address climate change issues, the agricultural sector must become climate-smart. This includes promoting and adapting to technologies and practices that address the issue of climate change. Climate-smart approaches must be developed to both mitigate and adapt to the effects of climate change on crop production, as well as on livestock production and health</w:t>
      </w:r>
      <w:r w:rsidR="00FF3BD3">
        <w:rPr>
          <w:rFonts w:ascii="Times New Roman" w:hAnsi="Times New Roman" w:cs="Times New Roman"/>
          <w:color w:val="000000" w:themeColor="text1"/>
          <w:sz w:val="24"/>
          <w:szCs w:val="24"/>
          <w:highlight w:val="yellow"/>
        </w:rPr>
        <w:t>,</w:t>
      </w:r>
      <w:r w:rsidR="00E76DFB" w:rsidRPr="00E76DFB">
        <w:rPr>
          <w:rFonts w:ascii="Times New Roman" w:hAnsi="Times New Roman" w:cs="Times New Roman"/>
          <w:color w:val="000000" w:themeColor="text1"/>
          <w:sz w:val="24"/>
          <w:szCs w:val="24"/>
          <w:highlight w:val="yellow"/>
        </w:rPr>
        <w:t xml:space="preserve"> as well as to reduce the greenhouse gas production from livestock</w:t>
      </w:r>
      <w:r w:rsidR="00591B1D">
        <w:rPr>
          <w:rFonts w:ascii="Times New Roman" w:hAnsi="Times New Roman" w:cs="Times New Roman"/>
          <w:color w:val="000000" w:themeColor="text1"/>
          <w:sz w:val="24"/>
          <w:szCs w:val="24"/>
          <w:highlight w:val="yellow"/>
        </w:rPr>
        <w:t xml:space="preserve"> (</w:t>
      </w:r>
      <w:proofErr w:type="spellStart"/>
      <w:r w:rsidR="00591B1D" w:rsidRPr="00591B1D">
        <w:rPr>
          <w:rFonts w:ascii="Times New Roman" w:hAnsi="Times New Roman" w:cs="Times New Roman"/>
          <w:color w:val="000000" w:themeColor="text1"/>
          <w:sz w:val="24"/>
          <w:szCs w:val="24"/>
        </w:rPr>
        <w:t>Maka</w:t>
      </w:r>
      <w:proofErr w:type="spellEnd"/>
      <w:r w:rsidR="00591B1D">
        <w:rPr>
          <w:rFonts w:ascii="Times New Roman" w:hAnsi="Times New Roman" w:cs="Times New Roman"/>
          <w:color w:val="000000" w:themeColor="text1"/>
          <w:sz w:val="24"/>
          <w:szCs w:val="24"/>
        </w:rPr>
        <w:t xml:space="preserve"> et al., 2021</w:t>
      </w:r>
      <w:r w:rsidR="003B7275">
        <w:rPr>
          <w:rFonts w:ascii="Times New Roman" w:hAnsi="Times New Roman" w:cs="Times New Roman"/>
          <w:color w:val="000000" w:themeColor="text1"/>
          <w:sz w:val="24"/>
          <w:szCs w:val="24"/>
        </w:rPr>
        <w:t xml:space="preserve">; </w:t>
      </w:r>
      <w:proofErr w:type="spellStart"/>
      <w:r w:rsidR="003B7275" w:rsidRPr="003B7275">
        <w:rPr>
          <w:rFonts w:ascii="Times New Roman" w:hAnsi="Times New Roman" w:cs="Times New Roman"/>
          <w:color w:val="000000" w:themeColor="text1"/>
          <w:sz w:val="24"/>
          <w:szCs w:val="24"/>
        </w:rPr>
        <w:t>Jellason</w:t>
      </w:r>
      <w:proofErr w:type="spellEnd"/>
      <w:r w:rsidR="003B7275">
        <w:rPr>
          <w:rFonts w:ascii="Times New Roman" w:hAnsi="Times New Roman" w:cs="Times New Roman"/>
          <w:color w:val="000000" w:themeColor="text1"/>
          <w:sz w:val="24"/>
          <w:szCs w:val="24"/>
        </w:rPr>
        <w:t xml:space="preserve"> et al., 2021</w:t>
      </w:r>
      <w:r w:rsidR="00C5040F">
        <w:rPr>
          <w:rFonts w:ascii="Times New Roman" w:hAnsi="Times New Roman" w:cs="Times New Roman"/>
          <w:color w:val="000000" w:themeColor="text1"/>
          <w:sz w:val="24"/>
          <w:szCs w:val="24"/>
        </w:rPr>
        <w:t xml:space="preserve">; </w:t>
      </w:r>
      <w:proofErr w:type="spellStart"/>
      <w:r w:rsidR="00C5040F" w:rsidRPr="00C5040F">
        <w:rPr>
          <w:rFonts w:ascii="Times New Roman" w:hAnsi="Times New Roman" w:cs="Times New Roman"/>
          <w:color w:val="000000" w:themeColor="text1"/>
          <w:sz w:val="24"/>
          <w:szCs w:val="24"/>
        </w:rPr>
        <w:t>Thottadi</w:t>
      </w:r>
      <w:proofErr w:type="spellEnd"/>
      <w:r w:rsidR="00C5040F">
        <w:rPr>
          <w:rFonts w:ascii="Times New Roman" w:hAnsi="Times New Roman" w:cs="Times New Roman"/>
          <w:color w:val="000000" w:themeColor="text1"/>
          <w:sz w:val="24"/>
          <w:szCs w:val="24"/>
        </w:rPr>
        <w:t xml:space="preserve"> et al.,</w:t>
      </w:r>
      <w:r w:rsidR="00E525A2">
        <w:rPr>
          <w:rFonts w:ascii="Times New Roman" w:hAnsi="Times New Roman" w:cs="Times New Roman"/>
          <w:color w:val="000000" w:themeColor="text1"/>
          <w:sz w:val="24"/>
          <w:szCs w:val="24"/>
        </w:rPr>
        <w:t xml:space="preserve"> </w:t>
      </w:r>
      <w:r w:rsidR="00C5040F">
        <w:rPr>
          <w:rFonts w:ascii="Times New Roman" w:hAnsi="Times New Roman" w:cs="Times New Roman"/>
          <w:color w:val="000000" w:themeColor="text1"/>
          <w:sz w:val="24"/>
          <w:szCs w:val="24"/>
        </w:rPr>
        <w:t>2024</w:t>
      </w:r>
      <w:r w:rsidR="00591B1D">
        <w:rPr>
          <w:rFonts w:ascii="Times New Roman" w:hAnsi="Times New Roman" w:cs="Times New Roman"/>
          <w:color w:val="000000" w:themeColor="text1"/>
          <w:sz w:val="24"/>
          <w:szCs w:val="24"/>
        </w:rPr>
        <w:t>)</w:t>
      </w:r>
      <w:r w:rsidR="00E76DFB" w:rsidRPr="00E76DFB">
        <w:rPr>
          <w:rFonts w:ascii="Times New Roman" w:hAnsi="Times New Roman" w:cs="Times New Roman"/>
          <w:color w:val="000000" w:themeColor="text1"/>
          <w:sz w:val="24"/>
          <w:szCs w:val="24"/>
          <w:highlight w:val="yellow"/>
        </w:rPr>
        <w:t>.</w:t>
      </w:r>
      <w:r w:rsidR="00E76DFB">
        <w:rPr>
          <w:rFonts w:ascii="Times New Roman" w:hAnsi="Times New Roman" w:cs="Times New Roman"/>
          <w:color w:val="000000" w:themeColor="text1"/>
          <w:sz w:val="24"/>
          <w:szCs w:val="24"/>
        </w:rPr>
        <w:t xml:space="preserve"> </w:t>
      </w:r>
      <w:r w:rsidRPr="00A36B62">
        <w:rPr>
          <w:rFonts w:ascii="Times New Roman" w:hAnsi="Times New Roman" w:cs="Times New Roman"/>
          <w:color w:val="000000" w:themeColor="text1"/>
          <w:sz w:val="24"/>
          <w:szCs w:val="24"/>
        </w:rPr>
        <w:t>Climate-Smart Agriculture (CSA) aims to address the intertwined challenges of food security and climate variability by enhancing productivity, bu</w:t>
      </w:r>
      <w:r w:rsidR="00487A96" w:rsidRPr="00A36B62">
        <w:rPr>
          <w:rFonts w:ascii="Times New Roman" w:hAnsi="Times New Roman" w:cs="Times New Roman"/>
          <w:color w:val="000000" w:themeColor="text1"/>
          <w:sz w:val="24"/>
          <w:szCs w:val="24"/>
        </w:rPr>
        <w:t>ilding resilience, and reducing </w:t>
      </w:r>
      <w:r w:rsidR="003B00E4" w:rsidRPr="00A36B62">
        <w:rPr>
          <w:rFonts w:ascii="Times New Roman" w:hAnsi="Times New Roman" w:cs="Times New Roman"/>
          <w:color w:val="000000" w:themeColor="text1"/>
          <w:sz w:val="24"/>
          <w:szCs w:val="24"/>
        </w:rPr>
        <w:t xml:space="preserve">emissions. </w:t>
      </w:r>
      <w:r w:rsidR="0062231D" w:rsidRPr="0062231D">
        <w:rPr>
          <w:rFonts w:ascii="Times New Roman" w:hAnsi="Times New Roman" w:cs="Times New Roman"/>
          <w:color w:val="000000" w:themeColor="text1"/>
          <w:sz w:val="24"/>
          <w:szCs w:val="24"/>
          <w:highlight w:val="yellow"/>
        </w:rPr>
        <w:t>CRA means the incorporation of adaptation,  mitigation  and  other  practices  in agriculture  which  increases  the  capacity  of  the system  to  respond  to  various  climates  related disturbances by resisting damage and recovering quickly</w:t>
      </w:r>
      <w:r w:rsidR="003A1C2A">
        <w:rPr>
          <w:rFonts w:ascii="Times New Roman" w:hAnsi="Times New Roman" w:cs="Times New Roman"/>
          <w:color w:val="000000" w:themeColor="text1"/>
          <w:sz w:val="24"/>
          <w:szCs w:val="24"/>
          <w:highlight w:val="yellow"/>
        </w:rPr>
        <w:t xml:space="preserve"> (</w:t>
      </w:r>
      <w:proofErr w:type="spellStart"/>
      <w:r w:rsidR="003A1C2A" w:rsidRPr="003A1C2A">
        <w:rPr>
          <w:rFonts w:ascii="Times New Roman" w:hAnsi="Times New Roman" w:cs="Times New Roman"/>
          <w:color w:val="000000" w:themeColor="text1"/>
          <w:sz w:val="24"/>
          <w:szCs w:val="24"/>
        </w:rPr>
        <w:t>Yuvaraj</w:t>
      </w:r>
      <w:proofErr w:type="spellEnd"/>
      <w:r w:rsidR="003A1C2A">
        <w:rPr>
          <w:rFonts w:ascii="Times New Roman" w:hAnsi="Times New Roman" w:cs="Times New Roman"/>
          <w:color w:val="000000" w:themeColor="text1"/>
          <w:sz w:val="24"/>
          <w:szCs w:val="24"/>
        </w:rPr>
        <w:t xml:space="preserve"> et al., 2022)</w:t>
      </w:r>
      <w:r w:rsidR="0062231D" w:rsidRPr="0062231D">
        <w:rPr>
          <w:rFonts w:ascii="Times New Roman" w:hAnsi="Times New Roman" w:cs="Times New Roman"/>
          <w:color w:val="000000" w:themeColor="text1"/>
          <w:sz w:val="24"/>
          <w:szCs w:val="24"/>
          <w:highlight w:val="yellow"/>
        </w:rPr>
        <w:t>.</w:t>
      </w:r>
      <w:r w:rsidR="0062231D">
        <w:rPr>
          <w:rFonts w:ascii="Times New Roman" w:hAnsi="Times New Roman" w:cs="Times New Roman"/>
          <w:color w:val="000000" w:themeColor="text1"/>
          <w:sz w:val="24"/>
          <w:szCs w:val="24"/>
        </w:rPr>
        <w:t xml:space="preserve"> </w:t>
      </w:r>
      <w:r w:rsidR="0095019F" w:rsidRPr="009F3944">
        <w:rPr>
          <w:rFonts w:ascii="Times New Roman" w:hAnsi="Times New Roman" w:cs="Times New Roman"/>
          <w:color w:val="000000" w:themeColor="text1"/>
          <w:sz w:val="24"/>
          <w:szCs w:val="24"/>
          <w:highlight w:val="yellow"/>
        </w:rPr>
        <w:t xml:space="preserve">CSA   is   defined   by   three   objectives:   firstly, increasing   agricultural   productivity   to   support increased incomes, food security and </w:t>
      </w:r>
      <w:proofErr w:type="gramStart"/>
      <w:r w:rsidR="0095019F" w:rsidRPr="009F3944">
        <w:rPr>
          <w:rFonts w:ascii="Times New Roman" w:hAnsi="Times New Roman" w:cs="Times New Roman"/>
          <w:color w:val="000000" w:themeColor="text1"/>
          <w:sz w:val="24"/>
          <w:szCs w:val="24"/>
          <w:highlight w:val="yellow"/>
        </w:rPr>
        <w:t xml:space="preserve">development;   </w:t>
      </w:r>
      <w:proofErr w:type="gramEnd"/>
      <w:r w:rsidR="0095019F" w:rsidRPr="009F3944">
        <w:rPr>
          <w:rFonts w:ascii="Times New Roman" w:hAnsi="Times New Roman" w:cs="Times New Roman"/>
          <w:color w:val="000000" w:themeColor="text1"/>
          <w:sz w:val="24"/>
          <w:szCs w:val="24"/>
          <w:highlight w:val="yellow"/>
        </w:rPr>
        <w:t xml:space="preserve"> secondly,    increasing    adaptive capacity  at  multiple  levels  (from  farm  to  nation); and     thirdly,     decreasing     greenhouse     gas emissions and increasing carbon sinks (FAO)</w:t>
      </w:r>
      <w:r w:rsidR="00235F85" w:rsidRPr="009F3944">
        <w:rPr>
          <w:rFonts w:ascii="Times New Roman" w:hAnsi="Times New Roman" w:cs="Times New Roman"/>
          <w:color w:val="000000" w:themeColor="text1"/>
          <w:sz w:val="24"/>
          <w:szCs w:val="24"/>
          <w:highlight w:val="yellow"/>
        </w:rPr>
        <w:t xml:space="preserve"> ((</w:t>
      </w:r>
      <w:proofErr w:type="spellStart"/>
      <w:r w:rsidR="00235F85" w:rsidRPr="009F3944">
        <w:rPr>
          <w:rFonts w:ascii="Times New Roman" w:hAnsi="Times New Roman" w:cs="Times New Roman"/>
          <w:color w:val="000000" w:themeColor="text1"/>
          <w:sz w:val="24"/>
          <w:szCs w:val="24"/>
          <w:highlight w:val="yellow"/>
        </w:rPr>
        <w:t>Yuvaraj</w:t>
      </w:r>
      <w:proofErr w:type="spellEnd"/>
      <w:r w:rsidR="00235F85" w:rsidRPr="009F3944">
        <w:rPr>
          <w:rFonts w:ascii="Times New Roman" w:hAnsi="Times New Roman" w:cs="Times New Roman"/>
          <w:color w:val="000000" w:themeColor="text1"/>
          <w:sz w:val="24"/>
          <w:szCs w:val="24"/>
          <w:highlight w:val="yellow"/>
        </w:rPr>
        <w:t xml:space="preserve"> et al., 2022)</w:t>
      </w:r>
      <w:r w:rsidR="0095019F" w:rsidRPr="009F3944">
        <w:rPr>
          <w:rFonts w:ascii="Times New Roman" w:hAnsi="Times New Roman" w:cs="Times New Roman"/>
          <w:color w:val="000000" w:themeColor="text1"/>
          <w:sz w:val="24"/>
          <w:szCs w:val="24"/>
          <w:highlight w:val="yellow"/>
        </w:rPr>
        <w:t>.</w:t>
      </w:r>
      <w:r w:rsidR="0095019F">
        <w:rPr>
          <w:rFonts w:ascii="Times New Roman" w:hAnsi="Times New Roman" w:cs="Times New Roman"/>
          <w:color w:val="000000" w:themeColor="text1"/>
          <w:sz w:val="24"/>
          <w:szCs w:val="24"/>
        </w:rPr>
        <w:t xml:space="preserve"> </w:t>
      </w:r>
      <w:r w:rsidRPr="00A36B62">
        <w:rPr>
          <w:rFonts w:ascii="Times New Roman" w:hAnsi="Times New Roman" w:cs="Times New Roman"/>
          <w:color w:val="000000" w:themeColor="text1"/>
          <w:sz w:val="24"/>
          <w:szCs w:val="24"/>
        </w:rPr>
        <w:t>However, adoption rates of CSA practices remain low in many regions due to limited awareness, economic constraints, and risk aversion among farmers. This highlights the need for extension education, which plays a crucial role in br</w:t>
      </w:r>
      <w:r w:rsidR="00487A96" w:rsidRPr="00A36B62">
        <w:rPr>
          <w:rFonts w:ascii="Times New Roman" w:hAnsi="Times New Roman" w:cs="Times New Roman"/>
          <w:color w:val="000000" w:themeColor="text1"/>
          <w:sz w:val="24"/>
          <w:szCs w:val="24"/>
        </w:rPr>
        <w:t>idging the knowledge divide and facilitating behavioral </w:t>
      </w:r>
      <w:r w:rsidR="003B00E4" w:rsidRPr="00A36B62">
        <w:rPr>
          <w:rFonts w:ascii="Times New Roman" w:hAnsi="Times New Roman" w:cs="Times New Roman"/>
          <w:color w:val="000000" w:themeColor="text1"/>
          <w:sz w:val="24"/>
          <w:szCs w:val="24"/>
        </w:rPr>
        <w:t xml:space="preserve">change. </w:t>
      </w:r>
    </w:p>
    <w:p w14:paraId="71DF72E1" w14:textId="373DC225" w:rsidR="007E3B5F"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 India, where over 50% of the population relies on agriculture for livelihood, climate-induced stressors such as unseasonal rainfall, increased frequency of droughts, and temperature anomalies are directly impacting agricultural productivity and income stability. Climate-Smart Agriculture (CSA) therefore</w:t>
      </w:r>
      <w:r w:rsidR="00FF3BD3">
        <w:rPr>
          <w:rFonts w:ascii="Times New Roman" w:hAnsi="Times New Roman" w:cs="Times New Roman"/>
          <w:color w:val="000000" w:themeColor="text1"/>
          <w:sz w:val="24"/>
          <w:szCs w:val="24"/>
        </w:rPr>
        <w:t>,</w:t>
      </w:r>
      <w:r w:rsidRPr="00A36B62">
        <w:rPr>
          <w:rFonts w:ascii="Times New Roman" w:hAnsi="Times New Roman" w:cs="Times New Roman"/>
          <w:color w:val="000000" w:themeColor="text1"/>
          <w:sz w:val="24"/>
          <w:szCs w:val="24"/>
        </w:rPr>
        <w:t xml:space="preserve"> emerges not just as an optional intervention but as a necessity for achieving food security, income enhancement, and ecological sustainability. Furthermore, with increasing emphasis on Sustainable Development Goals (SDGs), particularly SDG 2 (Zero Hunger) and SDG 13 (Climate A</w:t>
      </w:r>
      <w:r w:rsidR="00487A96" w:rsidRPr="00A36B62">
        <w:rPr>
          <w:rFonts w:ascii="Times New Roman" w:hAnsi="Times New Roman" w:cs="Times New Roman"/>
          <w:color w:val="000000" w:themeColor="text1"/>
          <w:sz w:val="24"/>
          <w:szCs w:val="24"/>
        </w:rPr>
        <w:t>ction), CSA aligns with broader global </w:t>
      </w:r>
      <w:r w:rsidR="003B00E4" w:rsidRPr="00A36B62">
        <w:rPr>
          <w:rFonts w:ascii="Times New Roman" w:hAnsi="Times New Roman" w:cs="Times New Roman"/>
          <w:color w:val="000000" w:themeColor="text1"/>
          <w:sz w:val="24"/>
          <w:szCs w:val="24"/>
        </w:rPr>
        <w:t>commitments.</w:t>
      </w:r>
      <w:r w:rsidRPr="00A36B62">
        <w:rPr>
          <w:rFonts w:ascii="Times New Roman" w:hAnsi="Times New Roman" w:cs="Times New Roman"/>
          <w:color w:val="000000" w:themeColor="text1"/>
          <w:sz w:val="24"/>
          <w:szCs w:val="24"/>
        </w:rPr>
        <w:br/>
        <w:t xml:space="preserve">Extension education institutions have a unique role in this context. They act as mediators between scientific innovation and field-level application, translating complex climate data into actionable insights for farmers. With digital tools, geospatial mapping, and agro-advisory platforms becoming more accessible, the capacity of extension services to deliver real-time, tailored recommendations has grown immensely. </w:t>
      </w:r>
      <w:r w:rsidR="00B956AD" w:rsidRPr="006F68E4">
        <w:rPr>
          <w:rFonts w:ascii="Times New Roman" w:hAnsi="Times New Roman" w:cs="Times New Roman"/>
          <w:color w:val="000000" w:themeColor="text1"/>
          <w:sz w:val="24"/>
          <w:szCs w:val="24"/>
          <w:highlight w:val="yellow"/>
        </w:rPr>
        <w:t xml:space="preserve">This paper investigates the economic feasibility of CSA practices and analyzes the role of </w:t>
      </w:r>
      <w:r w:rsidR="00B956AD" w:rsidRPr="006F68E4">
        <w:rPr>
          <w:rFonts w:ascii="Times New Roman" w:hAnsi="Times New Roman" w:cs="Times New Roman"/>
          <w:color w:val="000000" w:themeColor="text1"/>
          <w:sz w:val="24"/>
          <w:szCs w:val="24"/>
          <w:highlight w:val="yellow"/>
        </w:rPr>
        <w:lastRenderedPageBreak/>
        <w:t>extension education in supporting adaptation strategies in agriculture.</w:t>
      </w:r>
      <w:r w:rsidR="00B956AD" w:rsidRPr="00B956AD">
        <w:rPr>
          <w:rFonts w:ascii="Times New Roman" w:hAnsi="Times New Roman" w:cs="Times New Roman"/>
          <w:color w:val="000000" w:themeColor="text1"/>
          <w:sz w:val="24"/>
          <w:szCs w:val="24"/>
        </w:rPr>
        <w:t xml:space="preserve"> </w:t>
      </w:r>
      <w:r w:rsidRPr="00B14FB0">
        <w:rPr>
          <w:rFonts w:ascii="Times New Roman" w:hAnsi="Times New Roman" w:cs="Times New Roman"/>
          <w:color w:val="000000" w:themeColor="text1"/>
          <w:sz w:val="24"/>
          <w:szCs w:val="24"/>
        </w:rPr>
        <w:t>This research critically examines the intersection of CSA economics and extension strategies, offering insights for policymakers, development agencies, and academic stakeholders.</w:t>
      </w:r>
      <w:r w:rsidR="00B956AD">
        <w:rPr>
          <w:rFonts w:ascii="Times New Roman" w:hAnsi="Times New Roman" w:cs="Times New Roman"/>
          <w:color w:val="000000" w:themeColor="text1"/>
          <w:sz w:val="24"/>
          <w:szCs w:val="24"/>
        </w:rPr>
        <w:t xml:space="preserve"> </w:t>
      </w:r>
    </w:p>
    <w:p w14:paraId="2447138E"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Table 1: Economic Benefits of CSA Practices</w:t>
      </w:r>
    </w:p>
    <w:tbl>
      <w:tblPr>
        <w:tblStyle w:val="TableGrid"/>
        <w:tblW w:w="0" w:type="auto"/>
        <w:tblLook w:val="04A0" w:firstRow="1" w:lastRow="0" w:firstColumn="1" w:lastColumn="0" w:noHBand="0" w:noVBand="1"/>
      </w:tblPr>
      <w:tblGrid>
        <w:gridCol w:w="1728"/>
        <w:gridCol w:w="1728"/>
        <w:gridCol w:w="1728"/>
        <w:gridCol w:w="1728"/>
        <w:gridCol w:w="1728"/>
      </w:tblGrid>
      <w:tr w:rsidR="00487A96" w:rsidRPr="00A36B62" w14:paraId="29644E08" w14:textId="77777777" w:rsidTr="003B00E4">
        <w:tc>
          <w:tcPr>
            <w:tcW w:w="1728" w:type="dxa"/>
          </w:tcPr>
          <w:p w14:paraId="55C6052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CSA Practice</w:t>
            </w:r>
          </w:p>
        </w:tc>
        <w:tc>
          <w:tcPr>
            <w:tcW w:w="1728" w:type="dxa"/>
          </w:tcPr>
          <w:p w14:paraId="28BF94F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Avg. Cost (INR/ha)</w:t>
            </w:r>
          </w:p>
        </w:tc>
        <w:tc>
          <w:tcPr>
            <w:tcW w:w="1728" w:type="dxa"/>
          </w:tcPr>
          <w:p w14:paraId="58C2704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Yield Gain (%)</w:t>
            </w:r>
          </w:p>
        </w:tc>
        <w:tc>
          <w:tcPr>
            <w:tcW w:w="1728" w:type="dxa"/>
          </w:tcPr>
          <w:p w14:paraId="3659C4CF"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GHG Reduction (%)</w:t>
            </w:r>
          </w:p>
        </w:tc>
        <w:tc>
          <w:tcPr>
            <w:tcW w:w="1728" w:type="dxa"/>
          </w:tcPr>
          <w:p w14:paraId="2CE0067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Net Economic Benefit (INR/ha)</w:t>
            </w:r>
          </w:p>
        </w:tc>
      </w:tr>
      <w:tr w:rsidR="00487A96" w:rsidRPr="00A36B62" w14:paraId="0AE85839" w14:textId="77777777" w:rsidTr="003B00E4">
        <w:tc>
          <w:tcPr>
            <w:tcW w:w="1728" w:type="dxa"/>
          </w:tcPr>
          <w:p w14:paraId="08126419"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Drip Irrigation</w:t>
            </w:r>
          </w:p>
        </w:tc>
        <w:tc>
          <w:tcPr>
            <w:tcW w:w="1728" w:type="dxa"/>
          </w:tcPr>
          <w:p w14:paraId="4496C8BB"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45,000</w:t>
            </w:r>
          </w:p>
        </w:tc>
        <w:tc>
          <w:tcPr>
            <w:tcW w:w="1728" w:type="dxa"/>
          </w:tcPr>
          <w:p w14:paraId="679F89D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25–40%</w:t>
            </w:r>
          </w:p>
        </w:tc>
        <w:tc>
          <w:tcPr>
            <w:tcW w:w="1728" w:type="dxa"/>
          </w:tcPr>
          <w:p w14:paraId="6E7904F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30%</w:t>
            </w:r>
          </w:p>
        </w:tc>
        <w:tc>
          <w:tcPr>
            <w:tcW w:w="1728" w:type="dxa"/>
          </w:tcPr>
          <w:p w14:paraId="33C0EA4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15,000–20,000</w:t>
            </w:r>
          </w:p>
        </w:tc>
      </w:tr>
      <w:tr w:rsidR="00487A96" w:rsidRPr="00A36B62" w14:paraId="26C24DD3" w14:textId="77777777" w:rsidTr="003B00E4">
        <w:tc>
          <w:tcPr>
            <w:tcW w:w="1728" w:type="dxa"/>
          </w:tcPr>
          <w:p w14:paraId="0E8D3F8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Conservation Tillage</w:t>
            </w:r>
          </w:p>
        </w:tc>
        <w:tc>
          <w:tcPr>
            <w:tcW w:w="1728" w:type="dxa"/>
          </w:tcPr>
          <w:p w14:paraId="5BCBCA9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5,000</w:t>
            </w:r>
          </w:p>
        </w:tc>
        <w:tc>
          <w:tcPr>
            <w:tcW w:w="1728" w:type="dxa"/>
          </w:tcPr>
          <w:p w14:paraId="34277F1C"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10–15%</w:t>
            </w:r>
          </w:p>
        </w:tc>
        <w:tc>
          <w:tcPr>
            <w:tcW w:w="1728" w:type="dxa"/>
          </w:tcPr>
          <w:p w14:paraId="6A442BD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25%</w:t>
            </w:r>
          </w:p>
        </w:tc>
        <w:tc>
          <w:tcPr>
            <w:tcW w:w="1728" w:type="dxa"/>
          </w:tcPr>
          <w:p w14:paraId="54539D3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4,500</w:t>
            </w:r>
          </w:p>
        </w:tc>
      </w:tr>
      <w:tr w:rsidR="00487A96" w:rsidRPr="00A36B62" w14:paraId="006429CE" w14:textId="77777777" w:rsidTr="003B00E4">
        <w:tc>
          <w:tcPr>
            <w:tcW w:w="1728" w:type="dxa"/>
          </w:tcPr>
          <w:p w14:paraId="0730562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Agroforestry</w:t>
            </w:r>
          </w:p>
        </w:tc>
        <w:tc>
          <w:tcPr>
            <w:tcW w:w="1728" w:type="dxa"/>
          </w:tcPr>
          <w:p w14:paraId="64658FA6"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20,000</w:t>
            </w:r>
          </w:p>
        </w:tc>
        <w:tc>
          <w:tcPr>
            <w:tcW w:w="1728" w:type="dxa"/>
          </w:tcPr>
          <w:p w14:paraId="2744B4B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20% (long-term)</w:t>
            </w:r>
          </w:p>
        </w:tc>
        <w:tc>
          <w:tcPr>
            <w:tcW w:w="1728" w:type="dxa"/>
          </w:tcPr>
          <w:p w14:paraId="11D5890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35%</w:t>
            </w:r>
          </w:p>
        </w:tc>
        <w:tc>
          <w:tcPr>
            <w:tcW w:w="1728" w:type="dxa"/>
          </w:tcPr>
          <w:p w14:paraId="47F796E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10,000+</w:t>
            </w:r>
          </w:p>
        </w:tc>
      </w:tr>
      <w:tr w:rsidR="00487A96" w:rsidRPr="00A36B62" w14:paraId="49BFAAB1" w14:textId="77777777" w:rsidTr="003B00E4">
        <w:tc>
          <w:tcPr>
            <w:tcW w:w="1728" w:type="dxa"/>
          </w:tcPr>
          <w:p w14:paraId="1DA4852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Drought-Tolerant Seeds</w:t>
            </w:r>
          </w:p>
        </w:tc>
        <w:tc>
          <w:tcPr>
            <w:tcW w:w="1728" w:type="dxa"/>
          </w:tcPr>
          <w:p w14:paraId="4B95D1CF"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3,500</w:t>
            </w:r>
          </w:p>
        </w:tc>
        <w:tc>
          <w:tcPr>
            <w:tcW w:w="1728" w:type="dxa"/>
          </w:tcPr>
          <w:p w14:paraId="4D9EDED8"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10–20%</w:t>
            </w:r>
          </w:p>
        </w:tc>
        <w:tc>
          <w:tcPr>
            <w:tcW w:w="1728" w:type="dxa"/>
          </w:tcPr>
          <w:p w14:paraId="62D7ECD8"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15%</w:t>
            </w:r>
          </w:p>
        </w:tc>
        <w:tc>
          <w:tcPr>
            <w:tcW w:w="1728" w:type="dxa"/>
          </w:tcPr>
          <w:p w14:paraId="10A5F549"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3,000</w:t>
            </w:r>
          </w:p>
        </w:tc>
      </w:tr>
      <w:tr w:rsidR="00F90B94" w:rsidRPr="00A36B62" w14:paraId="573079B7" w14:textId="77777777" w:rsidTr="003B00E4">
        <w:tc>
          <w:tcPr>
            <w:tcW w:w="1728" w:type="dxa"/>
          </w:tcPr>
          <w:p w14:paraId="31A9856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4F6E9282"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5FF76EE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32656590" w14:textId="77777777" w:rsidR="00F90B94" w:rsidRPr="00A36B62" w:rsidRDefault="00F90B94" w:rsidP="006944A6">
            <w:pPr>
              <w:ind w:left="-630" w:right="-810"/>
              <w:rPr>
                <w:rFonts w:ascii="Times New Roman" w:hAnsi="Times New Roman" w:cs="Times New Roman"/>
                <w:color w:val="000000" w:themeColor="text1"/>
                <w:sz w:val="24"/>
                <w:szCs w:val="24"/>
              </w:rPr>
            </w:pPr>
          </w:p>
        </w:tc>
        <w:tc>
          <w:tcPr>
            <w:tcW w:w="1728" w:type="dxa"/>
          </w:tcPr>
          <w:p w14:paraId="76F60526" w14:textId="77777777" w:rsidR="00F90B94" w:rsidRPr="00A36B62" w:rsidRDefault="00F90B94" w:rsidP="006944A6">
            <w:pPr>
              <w:ind w:left="-630" w:right="-810"/>
              <w:rPr>
                <w:rFonts w:ascii="Times New Roman" w:hAnsi="Times New Roman" w:cs="Times New Roman"/>
                <w:color w:val="000000" w:themeColor="text1"/>
                <w:sz w:val="24"/>
                <w:szCs w:val="24"/>
              </w:rPr>
            </w:pPr>
          </w:p>
        </w:tc>
      </w:tr>
    </w:tbl>
    <w:p w14:paraId="5904127B" w14:textId="574DDC0F" w:rsidR="00A36B62"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table outlines key Climate-Smart Agriculture (CSA) practices along with their associated economic parameters, including cost per hectare, yield gains, greenhouse gas (GHG) reduction potential, and net economic benefits. A comparative evaluation of these practices reveals important insights into their economic viability and climate resilience potential.</w:t>
      </w:r>
      <w:r w:rsidRPr="00A36B62">
        <w:rPr>
          <w:rFonts w:ascii="Times New Roman" w:hAnsi="Times New Roman" w:cs="Times New Roman"/>
          <w:color w:val="000000" w:themeColor="text1"/>
          <w:sz w:val="24"/>
          <w:szCs w:val="24"/>
        </w:rPr>
        <w:br/>
        <w:t>1. Drip Irrigation </w:t>
      </w:r>
      <w:r w:rsidR="00A36B62" w:rsidRPr="00A36B62">
        <w:rPr>
          <w:rFonts w:ascii="Times New Roman" w:hAnsi="Times New Roman" w:cs="Times New Roman"/>
          <w:color w:val="000000" w:themeColor="text1"/>
          <w:sz w:val="24"/>
          <w:szCs w:val="24"/>
        </w:rPr>
        <w:t>w</w:t>
      </w:r>
      <w:r w:rsidRPr="00A36B62">
        <w:rPr>
          <w:rFonts w:ascii="Times New Roman" w:hAnsi="Times New Roman" w:cs="Times New Roman"/>
          <w:color w:val="000000" w:themeColor="text1"/>
          <w:sz w:val="24"/>
          <w:szCs w:val="24"/>
        </w:rPr>
        <w:t xml:space="preserve">ith an average installation cost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45,000 per hectare, drip irrigation is the most capital-intensive CSA practice listed. However, its benefits are equally substantial—yield gains range from 25–40%, and GHG emissions are reduced by about 30% through efficient water and fertilizer use. The net economic return, estimated between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15,000 to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20,000 per hectare annually, makes it a high-return, long-term investment, especially in water-scarce regions. Extension education is crucial here to guide farmers through system installation, maintenance, and subsidy access.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2.ConservationTillage</w:t>
      </w:r>
      <w:r w:rsidRPr="00A36B62">
        <w:rPr>
          <w:rFonts w:ascii="Times New Roman" w:hAnsi="Times New Roman" w:cs="Times New Roman"/>
          <w:color w:val="000000" w:themeColor="text1"/>
          <w:sz w:val="24"/>
          <w:szCs w:val="24"/>
        </w:rPr>
        <w:br/>
        <w:t>As a low-cost intervention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5,000/ha), conservation tillage offers modest yield gains (10–15%) and a significant 25% reduction in GHG emissions, primarily by preserving soil organic matter and reducing fuel consumption. With a net economic benefit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4,500 per hectare, it is particularly attractive for resource-poor and smallholder farmers. Extension efforts can promote this technology through on-f</w:t>
      </w:r>
      <w:r w:rsidR="008E2375" w:rsidRPr="00A36B62">
        <w:rPr>
          <w:rFonts w:ascii="Times New Roman" w:hAnsi="Times New Roman" w:cs="Times New Roman"/>
          <w:color w:val="000000" w:themeColor="text1"/>
          <w:sz w:val="24"/>
          <w:szCs w:val="24"/>
        </w:rPr>
        <w:t>arm demonstrations and training in minimal tillage machinery </w:t>
      </w:r>
      <w:r w:rsidRPr="00A36B62">
        <w:rPr>
          <w:rFonts w:ascii="Times New Roman" w:hAnsi="Times New Roman" w:cs="Times New Roman"/>
          <w:color w:val="000000" w:themeColor="text1"/>
          <w:sz w:val="24"/>
          <w:szCs w:val="24"/>
        </w:rPr>
        <w:t>use.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3.Agroforestry</w:t>
      </w:r>
      <w:r w:rsidRPr="00A36B62">
        <w:rPr>
          <w:rFonts w:ascii="Times New Roman" w:hAnsi="Times New Roman" w:cs="Times New Roman"/>
          <w:color w:val="000000" w:themeColor="text1"/>
          <w:sz w:val="24"/>
          <w:szCs w:val="24"/>
        </w:rPr>
        <w:br/>
        <w:t xml:space="preserve">Agroforestry systems, with an average cost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20,000 per hectare, provide long-term ecological and economic benefits. Although the initial yield gains may seem modest (20% in the long-term), the practice ensures 35% GHG reduction, contributing substantially to climate mitigation. The net benefit </w:t>
      </w:r>
      <w:r w:rsidRPr="00A36B62">
        <w:rPr>
          <w:rFonts w:ascii="Times New Roman" w:hAnsi="Times New Roman" w:cs="Times New Roman"/>
          <w:color w:val="000000" w:themeColor="text1"/>
          <w:sz w:val="24"/>
          <w:szCs w:val="24"/>
        </w:rPr>
        <w:lastRenderedPageBreak/>
        <w:t xml:space="preserve">often exceeds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10,000 annually and increases over time due to improved biodiversity and carbon sequestration. Its successful implementation hinges on knowledge-sharing and long-term planning, un</w:t>
      </w:r>
      <w:r w:rsidR="0059415B" w:rsidRPr="00A36B62">
        <w:rPr>
          <w:rFonts w:ascii="Times New Roman" w:hAnsi="Times New Roman" w:cs="Times New Roman"/>
          <w:color w:val="000000" w:themeColor="text1"/>
          <w:sz w:val="24"/>
          <w:szCs w:val="24"/>
        </w:rPr>
        <w:t>derscoring the role of extension agents in land-use planning </w:t>
      </w:r>
      <w:r w:rsidRPr="00A36B62">
        <w:rPr>
          <w:rFonts w:ascii="Times New Roman" w:hAnsi="Times New Roman" w:cs="Times New Roman"/>
          <w:color w:val="000000" w:themeColor="text1"/>
          <w:sz w:val="24"/>
          <w:szCs w:val="24"/>
        </w:rPr>
        <w:t>and species selection.</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4. Drought-Tolerant Seeds Representing a low-cost, high-impact solution, these seeds cost around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3,500 per hectare and offer 10–20% yield improvements, along with 15% GHG emission reduction. With a net return of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3,000, this practice is particularly suitable for rainfed and climate-vulnerable regions. Agricultural ex</w:t>
      </w:r>
      <w:r w:rsidR="00A36B62" w:rsidRPr="00A36B62">
        <w:rPr>
          <w:rFonts w:ascii="Times New Roman" w:hAnsi="Times New Roman" w:cs="Times New Roman"/>
          <w:color w:val="000000" w:themeColor="text1"/>
          <w:sz w:val="24"/>
          <w:szCs w:val="24"/>
        </w:rPr>
        <w:t>tension services play a pivot</w:t>
      </w:r>
      <w:r w:rsidR="00FF3BD3">
        <w:rPr>
          <w:rFonts w:ascii="Times New Roman" w:hAnsi="Times New Roman" w:cs="Times New Roman"/>
          <w:color w:val="000000" w:themeColor="text1"/>
          <w:sz w:val="24"/>
          <w:szCs w:val="24"/>
        </w:rPr>
        <w:t>al</w:t>
      </w:r>
      <w:r w:rsidR="00A36B62" w:rsidRPr="00A36B62">
        <w:rPr>
          <w:rFonts w:ascii="Times New Roman" w:hAnsi="Times New Roman" w:cs="Times New Roman"/>
          <w:color w:val="000000" w:themeColor="text1"/>
          <w:sz w:val="24"/>
          <w:szCs w:val="24"/>
        </w:rPr>
        <w:t xml:space="preserve"> </w:t>
      </w:r>
      <w:r w:rsidR="008E2375" w:rsidRPr="00A36B62">
        <w:rPr>
          <w:rFonts w:ascii="Times New Roman" w:hAnsi="Times New Roman" w:cs="Times New Roman"/>
          <w:color w:val="000000" w:themeColor="text1"/>
          <w:sz w:val="24"/>
          <w:szCs w:val="24"/>
        </w:rPr>
        <w:t>role in promoting these seeds, ensuring access, and </w:t>
      </w:r>
      <w:r w:rsidRPr="00A36B62">
        <w:rPr>
          <w:rFonts w:ascii="Times New Roman" w:hAnsi="Times New Roman" w:cs="Times New Roman"/>
          <w:color w:val="000000" w:themeColor="text1"/>
          <w:sz w:val="24"/>
          <w:szCs w:val="24"/>
        </w:rPr>
        <w:t>providing agronomic guidance f</w:t>
      </w:r>
      <w:r w:rsidR="00A36B62" w:rsidRPr="00A36B62">
        <w:rPr>
          <w:rFonts w:ascii="Times New Roman" w:hAnsi="Times New Roman" w:cs="Times New Roman"/>
          <w:color w:val="000000" w:themeColor="text1"/>
          <w:sz w:val="24"/>
          <w:szCs w:val="24"/>
        </w:rPr>
        <w:t>o</w:t>
      </w:r>
      <w:r w:rsidRPr="00A36B62">
        <w:rPr>
          <w:rFonts w:ascii="Times New Roman" w:hAnsi="Times New Roman" w:cs="Times New Roman"/>
          <w:color w:val="000000" w:themeColor="text1"/>
          <w:sz w:val="24"/>
          <w:szCs w:val="24"/>
        </w:rPr>
        <w:t>r optimal performance.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r>
      <w:proofErr w:type="spellStart"/>
      <w:r w:rsidRPr="00A36B62">
        <w:rPr>
          <w:rFonts w:ascii="Times New Roman" w:hAnsi="Times New Roman" w:cs="Times New Roman"/>
          <w:b/>
          <w:bCs/>
          <w:color w:val="000000" w:themeColor="text1"/>
          <w:sz w:val="24"/>
          <w:szCs w:val="24"/>
        </w:rPr>
        <w:t>KeyTakeaways</w:t>
      </w:r>
      <w:proofErr w:type="spellEnd"/>
      <w:r w:rsidR="00A36B62"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t>Cost-effectiveness varies widely among CSA practices; low-cost options like conservation tillage and drought-tolerant seeds are more accessible but offer modest returns, while high-cost interventions like drip irrigation promis</w:t>
      </w:r>
      <w:r w:rsidR="00A36B62" w:rsidRPr="00A36B62">
        <w:rPr>
          <w:rFonts w:ascii="Times New Roman" w:hAnsi="Times New Roman" w:cs="Times New Roman"/>
          <w:color w:val="000000" w:themeColor="text1"/>
          <w:sz w:val="24"/>
          <w:szCs w:val="24"/>
        </w:rPr>
        <w:t xml:space="preserve">e greater long-term benefits. </w:t>
      </w:r>
      <w:r w:rsidRPr="00A36B62">
        <w:rPr>
          <w:rFonts w:ascii="Times New Roman" w:hAnsi="Times New Roman" w:cs="Times New Roman"/>
          <w:color w:val="000000" w:themeColor="text1"/>
          <w:sz w:val="24"/>
          <w:szCs w:val="24"/>
        </w:rPr>
        <w:t>GHG reduction potential is highest in agroforestry and drip ir</w:t>
      </w:r>
      <w:r w:rsidR="008E2375" w:rsidRPr="00A36B62">
        <w:rPr>
          <w:rFonts w:ascii="Times New Roman" w:hAnsi="Times New Roman" w:cs="Times New Roman"/>
          <w:color w:val="000000" w:themeColor="text1"/>
          <w:sz w:val="24"/>
          <w:szCs w:val="24"/>
        </w:rPr>
        <w:t>rigation, indicating their dual role in mitigation and </w:t>
      </w:r>
      <w:r w:rsidR="00A36B62" w:rsidRPr="00A36B62">
        <w:rPr>
          <w:rFonts w:ascii="Times New Roman" w:hAnsi="Times New Roman" w:cs="Times New Roman"/>
          <w:color w:val="000000" w:themeColor="text1"/>
          <w:sz w:val="24"/>
          <w:szCs w:val="24"/>
        </w:rPr>
        <w:t>adaptation.</w:t>
      </w:r>
    </w:p>
    <w:p w14:paraId="0C45CBC8" w14:textId="61000463" w:rsidR="00A36B62" w:rsidRPr="00A36B62"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Yield improvements and economic gains are context-specific and depend on ag</w:t>
      </w:r>
      <w:r w:rsidR="008E2375" w:rsidRPr="00A36B62">
        <w:rPr>
          <w:rFonts w:ascii="Times New Roman" w:hAnsi="Times New Roman" w:cs="Times New Roman"/>
          <w:color w:val="000000" w:themeColor="text1"/>
          <w:sz w:val="24"/>
          <w:szCs w:val="24"/>
        </w:rPr>
        <w:t>ro-climatic zones, crop types, and farmer awareness levels.</w:t>
      </w:r>
      <w:r w:rsidR="008E2375" w:rsidRPr="00A36B62">
        <w:rPr>
          <w:rFonts w:ascii="Times New Roman" w:hAnsi="Times New Roman" w:cs="Times New Roman"/>
          <w:color w:val="000000" w:themeColor="text1"/>
          <w:sz w:val="24"/>
          <w:szCs w:val="24"/>
        </w:rPr>
        <w:br/>
      </w:r>
      <w:r w:rsidR="008E2375" w:rsidRPr="00A36B62">
        <w:rPr>
          <w:rFonts w:ascii="Times New Roman" w:hAnsi="Times New Roman" w:cs="Times New Roman"/>
          <w:color w:val="000000" w:themeColor="text1"/>
          <w:sz w:val="24"/>
          <w:szCs w:val="24"/>
        </w:rPr>
        <w:br/>
      </w:r>
      <w:r w:rsidR="008E2375" w:rsidRPr="00A36B62">
        <w:rPr>
          <w:rFonts w:ascii="Times New Roman" w:hAnsi="Times New Roman" w:cs="Times New Roman"/>
          <w:b/>
          <w:bCs/>
          <w:color w:val="000000" w:themeColor="text1"/>
          <w:sz w:val="24"/>
          <w:szCs w:val="24"/>
        </w:rPr>
        <w:t>Thus</w:t>
      </w:r>
      <w:r w:rsidR="00FF3BD3">
        <w:rPr>
          <w:rFonts w:ascii="Times New Roman" w:hAnsi="Times New Roman" w:cs="Times New Roman"/>
          <w:b/>
          <w:bCs/>
          <w:color w:val="000000" w:themeColor="text1"/>
          <w:sz w:val="24"/>
          <w:szCs w:val="24"/>
        </w:rPr>
        <w:t>,</w:t>
      </w:r>
      <w:r w:rsidR="008E2375" w:rsidRPr="00A36B62">
        <w:rPr>
          <w:rFonts w:ascii="Times New Roman" w:hAnsi="Times New Roman" w:cs="Times New Roman"/>
          <w:b/>
          <w:bCs/>
          <w:color w:val="000000" w:themeColor="text1"/>
          <w:sz w:val="24"/>
          <w:szCs w:val="24"/>
        </w:rPr>
        <w:t> targeted extension education is essential </w:t>
      </w:r>
      <w:r w:rsidR="00A36B62" w:rsidRPr="00A36B62">
        <w:rPr>
          <w:rFonts w:ascii="Times New Roman" w:hAnsi="Times New Roman" w:cs="Times New Roman"/>
          <w:b/>
          <w:bCs/>
          <w:color w:val="000000" w:themeColor="text1"/>
          <w:sz w:val="24"/>
          <w:szCs w:val="24"/>
        </w:rPr>
        <w:t>to:</w:t>
      </w:r>
    </w:p>
    <w:p w14:paraId="6CA77BFD"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Guide farmers in choosing the most suitable CSA practices based on cost-benefit analysis.</w:t>
      </w:r>
    </w:p>
    <w:p w14:paraId="704C8BEC"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Facilitate access to financial schemes, subsidies, and cl</w:t>
      </w:r>
      <w:r w:rsidR="00A36B62" w:rsidRPr="00A36B62">
        <w:rPr>
          <w:rFonts w:ascii="Times New Roman" w:hAnsi="Times New Roman" w:cs="Times New Roman"/>
          <w:color w:val="000000" w:themeColor="text1"/>
          <w:sz w:val="24"/>
          <w:szCs w:val="24"/>
        </w:rPr>
        <w:t>imate-resilient technologies.</w:t>
      </w:r>
    </w:p>
    <w:p w14:paraId="43A0D60B" w14:textId="77777777" w:rsidR="00A36B62"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Support behavioral change through capacity building and continuous advisory services.</w:t>
      </w:r>
    </w:p>
    <w:p w14:paraId="0C4040D6" w14:textId="77777777" w:rsidR="000B0817" w:rsidRPr="00A36B62" w:rsidRDefault="000B0817" w:rsidP="006944A6">
      <w:pPr>
        <w:pStyle w:val="ListParagraph"/>
        <w:numPr>
          <w:ilvl w:val="0"/>
          <w:numId w:val="22"/>
        </w:num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By embedding economic reasoning into extension delivery, farmers can make data-informed, climate-resilient decisions that boost both productivity and sustainability.</w:t>
      </w:r>
    </w:p>
    <w:p w14:paraId="1804073E" w14:textId="699DC97D" w:rsidR="00EC3637" w:rsidRPr="00A36B62" w:rsidRDefault="00EC3637" w:rsidP="006944A6">
      <w:pPr>
        <w:spacing w:before="100" w:beforeAutospacing="1" w:after="100" w:afterAutospacing="1" w:line="240" w:lineRule="auto"/>
        <w:ind w:left="-630" w:right="-810"/>
        <w:outlineLvl w:val="1"/>
        <w:rPr>
          <w:rFonts w:ascii="Times New Roman" w:eastAsia="Times New Roman" w:hAnsi="Times New Roman" w:cs="Times New Roman"/>
          <w:b/>
          <w:bCs/>
          <w:sz w:val="24"/>
          <w:szCs w:val="24"/>
          <w:lang w:val="en-IN" w:eastAsia="en-IN" w:bidi="hi-IN"/>
        </w:rPr>
      </w:pPr>
      <w:r w:rsidRPr="006C2CED">
        <w:rPr>
          <w:rFonts w:ascii="Times New Roman" w:eastAsia="Times New Roman" w:hAnsi="Times New Roman" w:cs="Times New Roman"/>
          <w:b/>
          <w:bCs/>
          <w:sz w:val="24"/>
          <w:szCs w:val="24"/>
          <w:highlight w:val="yellow"/>
          <w:lang w:val="en-IN" w:eastAsia="en-IN" w:bidi="hi-IN"/>
        </w:rPr>
        <w:t>Methodology</w:t>
      </w:r>
    </w:p>
    <w:p w14:paraId="6D96A385"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1. Research Design</w:t>
      </w:r>
    </w:p>
    <w:p w14:paraId="470C28E4"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lastRenderedPageBreak/>
        <w:t xml:space="preserve">This study employs a </w:t>
      </w:r>
      <w:r w:rsidRPr="00A36B62">
        <w:rPr>
          <w:rFonts w:ascii="Times New Roman" w:eastAsia="Times New Roman" w:hAnsi="Times New Roman" w:cs="Times New Roman"/>
          <w:b/>
          <w:bCs/>
          <w:sz w:val="24"/>
          <w:szCs w:val="24"/>
          <w:lang w:val="en-IN" w:eastAsia="en-IN" w:bidi="hi-IN"/>
        </w:rPr>
        <w:t>mixed-methods research design</w:t>
      </w:r>
      <w:r w:rsidRPr="00A36B62">
        <w:rPr>
          <w:rFonts w:ascii="Times New Roman" w:eastAsia="Times New Roman" w:hAnsi="Times New Roman" w:cs="Times New Roman"/>
          <w:sz w:val="24"/>
          <w:szCs w:val="24"/>
          <w:lang w:val="en-IN" w:eastAsia="en-IN" w:bidi="hi-IN"/>
        </w:rPr>
        <w:t xml:space="preserve">, integrating both </w:t>
      </w:r>
      <w:r w:rsidRPr="00A36B62">
        <w:rPr>
          <w:rFonts w:ascii="Times New Roman" w:eastAsia="Times New Roman" w:hAnsi="Times New Roman" w:cs="Times New Roman"/>
          <w:b/>
          <w:bCs/>
          <w:sz w:val="24"/>
          <w:szCs w:val="24"/>
          <w:lang w:val="en-IN" w:eastAsia="en-IN" w:bidi="hi-IN"/>
        </w:rPr>
        <w:t>quantitative</w:t>
      </w:r>
      <w:r w:rsidRPr="00A36B62">
        <w:rPr>
          <w:rFonts w:ascii="Times New Roman" w:eastAsia="Times New Roman" w:hAnsi="Times New Roman" w:cs="Times New Roman"/>
          <w:sz w:val="24"/>
          <w:szCs w:val="24"/>
          <w:lang w:val="en-IN" w:eastAsia="en-IN" w:bidi="hi-IN"/>
        </w:rPr>
        <w:t xml:space="preserve"> and </w:t>
      </w:r>
      <w:r w:rsidRPr="00A36B62">
        <w:rPr>
          <w:rFonts w:ascii="Times New Roman" w:eastAsia="Times New Roman" w:hAnsi="Times New Roman" w:cs="Times New Roman"/>
          <w:b/>
          <w:bCs/>
          <w:sz w:val="24"/>
          <w:szCs w:val="24"/>
          <w:lang w:val="en-IN" w:eastAsia="en-IN" w:bidi="hi-IN"/>
        </w:rPr>
        <w:t>qualitative</w:t>
      </w:r>
      <w:r w:rsidRPr="00A36B62">
        <w:rPr>
          <w:rFonts w:ascii="Times New Roman" w:eastAsia="Times New Roman" w:hAnsi="Times New Roman" w:cs="Times New Roman"/>
          <w:sz w:val="24"/>
          <w:szCs w:val="24"/>
          <w:lang w:val="en-IN" w:eastAsia="en-IN" w:bidi="hi-IN"/>
        </w:rPr>
        <w:t xml:space="preserve"> approaches to assess the economic impact of Climate-Smart Agriculture (CSA) practices and the role of extension education in facilitating their adoption. The combination of secondary data analysis, case studies, and economic modeling enables a comprehensive understanding of the research problem.</w:t>
      </w:r>
    </w:p>
    <w:p w14:paraId="38898B2B"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2. Data Sources</w:t>
      </w:r>
    </w:p>
    <w:p w14:paraId="0FACD062" w14:textId="77777777" w:rsidR="00EC3637" w:rsidRPr="00A36B62" w:rsidRDefault="00EC3637" w:rsidP="006944A6">
      <w:pPr>
        <w:spacing w:before="100" w:beforeAutospacing="1" w:after="100" w:afterAutospacing="1" w:line="24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A. Secondary Data</w:t>
      </w:r>
    </w:p>
    <w:p w14:paraId="73C2F852"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Secondary data were obtained from reputable national and international sources:</w:t>
      </w:r>
    </w:p>
    <w:p w14:paraId="19BD4EE3" w14:textId="77777777" w:rsidR="00A36B62"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Government Reports:</w:t>
      </w:r>
      <w:r w:rsidRPr="00A36B62">
        <w:rPr>
          <w:rFonts w:ascii="Times New Roman" w:eastAsia="Times New Roman" w:hAnsi="Times New Roman" w:cs="Times New Roman"/>
          <w:sz w:val="24"/>
          <w:szCs w:val="24"/>
          <w:lang w:val="en-IN" w:eastAsia="en-IN" w:bidi="hi-IN"/>
        </w:rPr>
        <w:t xml:space="preserve"> Ministry of Agriculture &amp; Farmers’ Welfare (2023), India’s CSA Roadmap</w:t>
      </w:r>
    </w:p>
    <w:p w14:paraId="0E881FED"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International Organizations:</w:t>
      </w:r>
      <w:r w:rsidRPr="00A36B62">
        <w:rPr>
          <w:rFonts w:ascii="Times New Roman" w:eastAsia="Times New Roman" w:hAnsi="Times New Roman" w:cs="Times New Roman"/>
          <w:sz w:val="24"/>
          <w:szCs w:val="24"/>
          <w:lang w:val="en-IN" w:eastAsia="en-IN" w:bidi="hi-IN"/>
        </w:rPr>
        <w:t xml:space="preserve"> FAO (2022), World Bank (2023)</w:t>
      </w:r>
    </w:p>
    <w:p w14:paraId="173D8930"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Peer-reviewed Journals:</w:t>
      </w:r>
      <w:r w:rsidRPr="00A36B62">
        <w:rPr>
          <w:rFonts w:ascii="Times New Roman" w:eastAsia="Times New Roman" w:hAnsi="Times New Roman" w:cs="Times New Roman"/>
          <w:sz w:val="24"/>
          <w:szCs w:val="24"/>
          <w:lang w:val="en-IN" w:eastAsia="en-IN" w:bidi="hi-IN"/>
        </w:rPr>
        <w:t xml:space="preserve"> Journal of Agricultural Economics, Agricultural Systems, Indian Journal of Agricultural Sciences</w:t>
      </w:r>
    </w:p>
    <w:p w14:paraId="2EC4B1DB" w14:textId="77777777" w:rsidR="00EC3637" w:rsidRPr="00A36B62" w:rsidRDefault="00EC3637" w:rsidP="006944A6">
      <w:pPr>
        <w:spacing w:after="0"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Institutional Reports:</w:t>
      </w:r>
      <w:r w:rsidRPr="00A36B62">
        <w:rPr>
          <w:rFonts w:ascii="Times New Roman" w:eastAsia="Times New Roman" w:hAnsi="Times New Roman" w:cs="Times New Roman"/>
          <w:sz w:val="24"/>
          <w:szCs w:val="24"/>
          <w:lang w:val="en-IN" w:eastAsia="en-IN" w:bidi="hi-IN"/>
        </w:rPr>
        <w:t xml:space="preserve"> ICAR (2024), and reports from KVKs (Krishi Vigyan </w:t>
      </w:r>
      <w:proofErr w:type="spellStart"/>
      <w:r w:rsidRPr="00A36B62">
        <w:rPr>
          <w:rFonts w:ascii="Times New Roman" w:eastAsia="Times New Roman" w:hAnsi="Times New Roman" w:cs="Times New Roman"/>
          <w:sz w:val="24"/>
          <w:szCs w:val="24"/>
          <w:lang w:val="en-IN" w:eastAsia="en-IN" w:bidi="hi-IN"/>
        </w:rPr>
        <w:t>Kendras</w:t>
      </w:r>
      <w:proofErr w:type="spellEnd"/>
      <w:r w:rsidRPr="00A36B62">
        <w:rPr>
          <w:rFonts w:ascii="Times New Roman" w:eastAsia="Times New Roman" w:hAnsi="Times New Roman" w:cs="Times New Roman"/>
          <w:sz w:val="24"/>
          <w:szCs w:val="24"/>
          <w:lang w:val="en-IN" w:eastAsia="en-IN" w:bidi="hi-IN"/>
        </w:rPr>
        <w:t>)</w:t>
      </w:r>
    </w:p>
    <w:p w14:paraId="4AE7F9F9" w14:textId="77777777" w:rsidR="00EC3637" w:rsidRPr="00A36B62" w:rsidRDefault="00EC3637" w:rsidP="006944A6">
      <w:pPr>
        <w:spacing w:before="100" w:beforeAutospacing="1" w:after="100" w:afterAutospacing="1" w:line="24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B. Case Study Sources</w:t>
      </w:r>
    </w:p>
    <w:p w14:paraId="406D9003"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Three field-level case studies were selected based on their relevance and availability of impact data:</w:t>
      </w:r>
    </w:p>
    <w:p w14:paraId="463A92AA"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KVK, Jalna District (India)</w:t>
      </w:r>
    </w:p>
    <w:p w14:paraId="501959DA"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Climate-Smart Villages (Kenya)</w:t>
      </w:r>
    </w:p>
    <w:p w14:paraId="7798CEB8" w14:textId="77777777" w:rsidR="00EC3637" w:rsidRPr="00A36B62" w:rsidRDefault="00EC3637" w:rsidP="006944A6">
      <w:pPr>
        <w:numPr>
          <w:ilvl w:val="0"/>
          <w:numId w:val="11"/>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Highland Farming Community (Peru)</w:t>
      </w:r>
    </w:p>
    <w:p w14:paraId="3C3F5078"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These case studies offer empirical evidence of extension-led CSA adoption.</w:t>
      </w:r>
    </w:p>
    <w:p w14:paraId="63FEED86"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3. Sampling Method</w:t>
      </w:r>
    </w:p>
    <w:p w14:paraId="45EB1707"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 </w:t>
      </w:r>
      <w:r w:rsidRPr="00A36B62">
        <w:rPr>
          <w:rFonts w:ascii="Times New Roman" w:eastAsia="Times New Roman" w:hAnsi="Times New Roman" w:cs="Times New Roman"/>
          <w:b/>
          <w:bCs/>
          <w:sz w:val="24"/>
          <w:szCs w:val="24"/>
          <w:lang w:val="en-IN" w:eastAsia="en-IN" w:bidi="hi-IN"/>
        </w:rPr>
        <w:t>purposive sampling</w:t>
      </w:r>
      <w:r w:rsidRPr="00A36B62">
        <w:rPr>
          <w:rFonts w:ascii="Times New Roman" w:eastAsia="Times New Roman" w:hAnsi="Times New Roman" w:cs="Times New Roman"/>
          <w:sz w:val="24"/>
          <w:szCs w:val="24"/>
          <w:lang w:val="en-IN" w:eastAsia="en-IN" w:bidi="hi-IN"/>
        </w:rPr>
        <w:t xml:space="preserve"> approach was adopted to select case studies and CSA practices that are representative of different agro-ecological zones, economic investment levels, and extension education models. The goal was to ensure diversity in practice types (low-cost to high-cost) and geographic applicability.</w:t>
      </w:r>
    </w:p>
    <w:p w14:paraId="66DF5037"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4. Tools of Analysis</w:t>
      </w:r>
    </w:p>
    <w:p w14:paraId="201544AB" w14:textId="77777777" w:rsidR="00EC3637" w:rsidRPr="00A36B62" w:rsidRDefault="00EC3637" w:rsidP="006944A6">
      <w:pPr>
        <w:spacing w:before="100" w:beforeAutospacing="1" w:after="100" w:afterAutospacing="1" w:line="240" w:lineRule="auto"/>
        <w:ind w:left="-630" w:right="-810"/>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A. Economic Analysis</w:t>
      </w:r>
    </w:p>
    <w:p w14:paraId="6AF8232B"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lastRenderedPageBreak/>
        <w:t>Cost-Benefit Analysis (CBA):</w:t>
      </w:r>
      <w:r w:rsidRPr="00A36B62">
        <w:rPr>
          <w:rFonts w:ascii="Times New Roman" w:eastAsia="Times New Roman" w:hAnsi="Times New Roman" w:cs="Times New Roman"/>
          <w:sz w:val="24"/>
          <w:szCs w:val="24"/>
          <w:lang w:val="en-IN" w:eastAsia="en-IN" w:bidi="hi-IN"/>
        </w:rPr>
        <w:t xml:space="preserve"> Evaluates the financial viability of CSA practices based on average implementation cost, yield gain, GHG reduction, and net return per hectare.</w:t>
      </w:r>
    </w:p>
    <w:p w14:paraId="4C6A1AA9"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Cost-Benefit Ratio (CBR):</w:t>
      </w:r>
      <w:r w:rsidRPr="00A36B62">
        <w:rPr>
          <w:rFonts w:ascii="Times New Roman" w:eastAsia="Times New Roman" w:hAnsi="Times New Roman" w:cs="Times New Roman"/>
          <w:sz w:val="24"/>
          <w:szCs w:val="24"/>
          <w:lang w:val="en-IN" w:eastAsia="en-IN" w:bidi="hi-IN"/>
        </w:rPr>
        <w:t xml:space="preserve"> Assesses relative profitability of each intervention.</w:t>
      </w:r>
    </w:p>
    <w:p w14:paraId="1D8DB0EB" w14:textId="77777777" w:rsidR="00EC3637" w:rsidRPr="00A36B62" w:rsidRDefault="00EC3637" w:rsidP="006944A6">
      <w:pPr>
        <w:numPr>
          <w:ilvl w:val="0"/>
          <w:numId w:val="12"/>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
          <w:bCs/>
          <w:sz w:val="24"/>
          <w:szCs w:val="24"/>
          <w:lang w:val="en-IN" w:eastAsia="en-IN" w:bidi="hi-IN"/>
        </w:rPr>
        <w:t>Comparative Matrix:</w:t>
      </w:r>
      <w:r w:rsidRPr="00A36B62">
        <w:rPr>
          <w:rFonts w:ascii="Times New Roman" w:eastAsia="Times New Roman" w:hAnsi="Times New Roman" w:cs="Times New Roman"/>
          <w:sz w:val="24"/>
          <w:szCs w:val="24"/>
          <w:lang w:val="en-IN" w:eastAsia="en-IN" w:bidi="hi-IN"/>
        </w:rPr>
        <w:t xml:space="preserve"> Developed to contrast economic benefits across CSA technologies.</w:t>
      </w:r>
    </w:p>
    <w:p w14:paraId="5FC8F3F2" w14:textId="77777777" w:rsidR="00EC3637" w:rsidRPr="00A36B62" w:rsidRDefault="00EC3637" w:rsidP="006944A6">
      <w:pPr>
        <w:spacing w:before="100" w:beforeAutospacing="1" w:after="100" w:afterAutospacing="1" w:line="240" w:lineRule="auto"/>
        <w:ind w:left="-630" w:right="-810"/>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B. Descriptive Statistics</w:t>
      </w:r>
    </w:p>
    <w:p w14:paraId="3B437D2E" w14:textId="77777777" w:rsidR="00EC3637" w:rsidRPr="00A36B62" w:rsidRDefault="00EC3637" w:rsidP="006944A6">
      <w:pPr>
        <w:numPr>
          <w:ilvl w:val="0"/>
          <w:numId w:val="13"/>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Used to summarize quantitative data (e.g., adoption rates, income changes, yield gains).</w:t>
      </w:r>
    </w:p>
    <w:p w14:paraId="272627A0" w14:textId="77777777" w:rsidR="00EC3637" w:rsidRPr="00A36B62" w:rsidRDefault="00EC3637" w:rsidP="006944A6">
      <w:pPr>
        <w:numPr>
          <w:ilvl w:val="0"/>
          <w:numId w:val="13"/>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Tabular representation helps to present cost, benefit, and emissions data concisely (e.g., Table 1).</w:t>
      </w:r>
    </w:p>
    <w:p w14:paraId="7DCAFDC3" w14:textId="77777777" w:rsidR="00EC3637" w:rsidRPr="00A36B62" w:rsidRDefault="00EC3637" w:rsidP="006944A6">
      <w:pPr>
        <w:spacing w:before="100" w:beforeAutospacing="1" w:after="100" w:afterAutospacing="1" w:line="360" w:lineRule="auto"/>
        <w:ind w:left="-630" w:right="-810"/>
        <w:jc w:val="both"/>
        <w:outlineLvl w:val="3"/>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C. Thematic Analysis (Qualitative)</w:t>
      </w:r>
    </w:p>
    <w:p w14:paraId="6F761D78" w14:textId="77777777" w:rsidR="00EC3637" w:rsidRPr="00A36B62" w:rsidRDefault="00EC3637" w:rsidP="006944A6">
      <w:pPr>
        <w:numPr>
          <w:ilvl w:val="0"/>
          <w:numId w:val="14"/>
        </w:num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Case studies were </w:t>
      </w:r>
      <w:proofErr w:type="spellStart"/>
      <w:r w:rsidRPr="00A36B62">
        <w:rPr>
          <w:rFonts w:ascii="Times New Roman" w:eastAsia="Times New Roman" w:hAnsi="Times New Roman" w:cs="Times New Roman"/>
          <w:sz w:val="24"/>
          <w:szCs w:val="24"/>
          <w:lang w:val="en-IN" w:eastAsia="en-IN" w:bidi="hi-IN"/>
        </w:rPr>
        <w:t>analyzed</w:t>
      </w:r>
      <w:proofErr w:type="spellEnd"/>
      <w:r w:rsidRPr="00A36B62">
        <w:rPr>
          <w:rFonts w:ascii="Times New Roman" w:eastAsia="Times New Roman" w:hAnsi="Times New Roman" w:cs="Times New Roman"/>
          <w:sz w:val="24"/>
          <w:szCs w:val="24"/>
          <w:lang w:val="en-IN" w:eastAsia="en-IN" w:bidi="hi-IN"/>
        </w:rPr>
        <w:t xml:space="preserve"> using thematic coding to identify recurring themes such as </w:t>
      </w:r>
      <w:proofErr w:type="spellStart"/>
      <w:r w:rsidRPr="00A36B62">
        <w:rPr>
          <w:rFonts w:ascii="Times New Roman" w:eastAsia="Times New Roman" w:hAnsi="Times New Roman" w:cs="Times New Roman"/>
          <w:sz w:val="24"/>
          <w:szCs w:val="24"/>
          <w:lang w:val="en-IN" w:eastAsia="en-IN" w:bidi="hi-IN"/>
        </w:rPr>
        <w:t>behavioral</w:t>
      </w:r>
      <w:proofErr w:type="spellEnd"/>
      <w:r w:rsidRPr="00A36B62">
        <w:rPr>
          <w:rFonts w:ascii="Times New Roman" w:eastAsia="Times New Roman" w:hAnsi="Times New Roman" w:cs="Times New Roman"/>
          <w:sz w:val="24"/>
          <w:szCs w:val="24"/>
          <w:lang w:val="en-IN" w:eastAsia="en-IN" w:bidi="hi-IN"/>
        </w:rPr>
        <w:t xml:space="preserve"> change, knowledge gaps, and participatory extension approaches.</w:t>
      </w:r>
    </w:p>
    <w:p w14:paraId="215579B5"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5. Evaluation Indicators</w:t>
      </w:r>
    </w:p>
    <w:p w14:paraId="672AEAFF" w14:textId="77777777" w:rsidR="00EC3637" w:rsidRPr="00A36B62" w:rsidRDefault="00EC3637" w:rsidP="006944A6">
      <w:p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Key performance indicators (KPIs) used to assess the impact of CSA practices and extension strategies included:</w:t>
      </w:r>
    </w:p>
    <w:p w14:paraId="74861518"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Yield Improvement (% per hectare)</w:t>
      </w:r>
    </w:p>
    <w:p w14:paraId="56E43F77"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GHG Emission Reduction (%)</w:t>
      </w:r>
    </w:p>
    <w:p w14:paraId="0D639AEA"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Net Economic Benefit (INR/ha/year)</w:t>
      </w:r>
    </w:p>
    <w:p w14:paraId="413ABEF3"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Adoption Rate (%)</w:t>
      </w:r>
    </w:p>
    <w:p w14:paraId="05BC561C"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Cost-Benefit Ratio</w:t>
      </w:r>
    </w:p>
    <w:p w14:paraId="25401DE1" w14:textId="77777777" w:rsidR="00EC3637" w:rsidRPr="00A36B62" w:rsidRDefault="00EC3637" w:rsidP="006944A6">
      <w:pPr>
        <w:numPr>
          <w:ilvl w:val="0"/>
          <w:numId w:val="15"/>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bCs/>
          <w:sz w:val="24"/>
          <w:szCs w:val="24"/>
          <w:lang w:val="en-IN" w:eastAsia="en-IN" w:bidi="hi-IN"/>
        </w:rPr>
        <w:t>Extension Reach and Effectiveness (qualitative feedback)</w:t>
      </w:r>
    </w:p>
    <w:p w14:paraId="27C712F0" w14:textId="77777777" w:rsidR="00EC3637" w:rsidRPr="00A36B62" w:rsidRDefault="00EC3637" w:rsidP="006944A6">
      <w:pPr>
        <w:spacing w:before="100" w:beforeAutospacing="1" w:after="100" w:afterAutospacing="1" w:line="240" w:lineRule="auto"/>
        <w:ind w:left="-630" w:right="-810"/>
        <w:outlineLvl w:val="2"/>
        <w:rPr>
          <w:rFonts w:ascii="Times New Roman" w:eastAsia="Times New Roman" w:hAnsi="Times New Roman" w:cs="Times New Roman"/>
          <w:b/>
          <w:bCs/>
          <w:sz w:val="24"/>
          <w:szCs w:val="24"/>
          <w:lang w:val="en-IN" w:eastAsia="en-IN" w:bidi="hi-IN"/>
        </w:rPr>
      </w:pPr>
      <w:r w:rsidRPr="00A36B62">
        <w:rPr>
          <w:rFonts w:ascii="Times New Roman" w:eastAsia="Times New Roman" w:hAnsi="Times New Roman" w:cs="Times New Roman"/>
          <w:b/>
          <w:bCs/>
          <w:sz w:val="24"/>
          <w:szCs w:val="24"/>
          <w:lang w:val="en-IN" w:eastAsia="en-IN" w:bidi="hi-IN"/>
        </w:rPr>
        <w:t>6. Limitations</w:t>
      </w:r>
    </w:p>
    <w:p w14:paraId="1B2E3EA2" w14:textId="77777777" w:rsidR="00EC3637" w:rsidRPr="00A36B62" w:rsidRDefault="00EC3637" w:rsidP="006944A6">
      <w:pPr>
        <w:numPr>
          <w:ilvl w:val="0"/>
          <w:numId w:val="16"/>
        </w:numPr>
        <w:tabs>
          <w:tab w:val="clear" w:pos="720"/>
          <w:tab w:val="num" w:pos="567"/>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The analysis is largely based on secondary data; hence, findings may be influenced by regional reporting variability.</w:t>
      </w:r>
    </w:p>
    <w:p w14:paraId="58257E3A" w14:textId="77777777" w:rsidR="00EC3637" w:rsidRPr="00A36B62" w:rsidRDefault="00EC3637" w:rsidP="006944A6">
      <w:pPr>
        <w:numPr>
          <w:ilvl w:val="0"/>
          <w:numId w:val="16"/>
        </w:numPr>
        <w:tabs>
          <w:tab w:val="clear" w:pos="720"/>
          <w:tab w:val="num" w:pos="426"/>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Economic outcomes depend on multiple local factors (e.g., market access, climate variability), which are generalized here.</w:t>
      </w:r>
    </w:p>
    <w:p w14:paraId="31686BCF" w14:textId="4EB16565" w:rsidR="00EC3637" w:rsidRPr="00A36B62" w:rsidRDefault="00EC3637" w:rsidP="006944A6">
      <w:pPr>
        <w:numPr>
          <w:ilvl w:val="0"/>
          <w:numId w:val="16"/>
        </w:numPr>
        <w:tabs>
          <w:tab w:val="clear" w:pos="720"/>
        </w:tabs>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Quantitative data on long-term ecological benefits</w:t>
      </w:r>
      <w:r w:rsidR="00FF3BD3">
        <w:rPr>
          <w:rFonts w:ascii="Times New Roman" w:eastAsia="Times New Roman" w:hAnsi="Times New Roman" w:cs="Times New Roman"/>
          <w:sz w:val="24"/>
          <w:szCs w:val="24"/>
          <w:lang w:val="en-IN" w:eastAsia="en-IN" w:bidi="hi-IN"/>
        </w:rPr>
        <w:t>,</w:t>
      </w:r>
      <w:r w:rsidRPr="00A36B62">
        <w:rPr>
          <w:rFonts w:ascii="Times New Roman" w:eastAsia="Times New Roman" w:hAnsi="Times New Roman" w:cs="Times New Roman"/>
          <w:sz w:val="24"/>
          <w:szCs w:val="24"/>
          <w:lang w:val="en-IN" w:eastAsia="en-IN" w:bidi="hi-IN"/>
        </w:rPr>
        <w:t xml:space="preserve"> such as biodiversity and carbon sequestration</w:t>
      </w:r>
      <w:r w:rsidR="00FF3BD3">
        <w:rPr>
          <w:rFonts w:ascii="Times New Roman" w:eastAsia="Times New Roman" w:hAnsi="Times New Roman" w:cs="Times New Roman"/>
          <w:sz w:val="24"/>
          <w:szCs w:val="24"/>
          <w:lang w:val="en-IN" w:eastAsia="en-IN" w:bidi="hi-IN"/>
        </w:rPr>
        <w:t>,</w:t>
      </w:r>
      <w:r w:rsidRPr="00A36B62">
        <w:rPr>
          <w:rFonts w:ascii="Times New Roman" w:eastAsia="Times New Roman" w:hAnsi="Times New Roman" w:cs="Times New Roman"/>
          <w:sz w:val="24"/>
          <w:szCs w:val="24"/>
          <w:lang w:val="en-IN" w:eastAsia="en-IN" w:bidi="hi-IN"/>
        </w:rPr>
        <w:t xml:space="preserve"> were limited and estimated based on proxy literature.</w:t>
      </w:r>
    </w:p>
    <w:p w14:paraId="087C50F3" w14:textId="68178CFF" w:rsidR="00EC3637" w:rsidRPr="00A36B62" w:rsidRDefault="007D1119" w:rsidP="006944A6">
      <w:pPr>
        <w:spacing w:before="100" w:beforeAutospacing="1" w:after="100" w:afterAutospacing="1" w:line="360" w:lineRule="auto"/>
        <w:ind w:left="-630" w:right="-810"/>
        <w:jc w:val="both"/>
        <w:outlineLvl w:val="2"/>
        <w:rPr>
          <w:rFonts w:ascii="Times New Roman" w:eastAsia="Times New Roman" w:hAnsi="Times New Roman" w:cs="Times New Roman"/>
          <w:b/>
          <w:bCs/>
          <w:sz w:val="24"/>
          <w:szCs w:val="24"/>
          <w:lang w:val="en-IN" w:eastAsia="en-IN" w:bidi="hi-IN"/>
        </w:rPr>
      </w:pPr>
      <w:r>
        <w:rPr>
          <w:rFonts w:ascii="Times New Roman" w:eastAsia="Times New Roman" w:hAnsi="Times New Roman" w:cs="Times New Roman"/>
          <w:b/>
          <w:bCs/>
          <w:sz w:val="24"/>
          <w:szCs w:val="24"/>
          <w:lang w:val="en-IN" w:eastAsia="en-IN" w:bidi="hi-IN"/>
        </w:rPr>
        <w:t>7</w:t>
      </w:r>
      <w:r w:rsidR="00EC3637" w:rsidRPr="00A36B62">
        <w:rPr>
          <w:rFonts w:ascii="Times New Roman" w:eastAsia="Times New Roman" w:hAnsi="Times New Roman" w:cs="Times New Roman"/>
          <w:b/>
          <w:bCs/>
          <w:sz w:val="24"/>
          <w:szCs w:val="24"/>
          <w:lang w:val="en-IN" w:eastAsia="en-IN" w:bidi="hi-IN"/>
        </w:rPr>
        <w:t>. Scope of the Study</w:t>
      </w:r>
    </w:p>
    <w:p w14:paraId="243A2164" w14:textId="77777777" w:rsidR="00EC3637" w:rsidRPr="00A36B62" w:rsidRDefault="00EC3637" w:rsidP="006944A6">
      <w:pPr>
        <w:spacing w:before="100" w:beforeAutospacing="1" w:after="100" w:afterAutospacing="1" w:line="360" w:lineRule="auto"/>
        <w:ind w:left="-630" w:right="-810"/>
        <w:jc w:val="both"/>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lastRenderedPageBreak/>
        <w:t>The study is focused on evaluating CSA practices that are applicable to smallholder and marginal farmers in developing countries, especially India. It aims to inform policy interventions and capacity-building strategies for improving agricultural sustainability through extension education.</w:t>
      </w:r>
    </w:p>
    <w:p w14:paraId="651FCC1F"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Study Analysis</w:t>
      </w:r>
    </w:p>
    <w:p w14:paraId="0FE6B67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Three illustrative case studies show the real-world application and economic outcomes of CSA through extension efforts:</w:t>
      </w:r>
    </w:p>
    <w:p w14:paraId="20F236EA"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1: KVK, Jalna District, Maharashtra</w:t>
      </w:r>
    </w:p>
    <w:p w14:paraId="07318062" w14:textId="77777777" w:rsidR="007E3B5F" w:rsidRPr="00A36B62" w:rsidRDefault="000B0817" w:rsidP="006944A6">
      <w:pPr>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Promotion of zero-tillage and drought-resilient seeds</w:t>
      </w:r>
      <w:r w:rsidRPr="00A36B62">
        <w:rPr>
          <w:rFonts w:ascii="Times New Roman" w:hAnsi="Times New Roman" w:cs="Times New Roman"/>
          <w:color w:val="000000" w:themeColor="text1"/>
          <w:sz w:val="24"/>
          <w:szCs w:val="24"/>
        </w:rPr>
        <w:br/>
        <w:t>• Result: Yield increase of 18%, net income rose by 22%</w:t>
      </w:r>
      <w:r w:rsidRPr="00A36B62">
        <w:rPr>
          <w:rFonts w:ascii="Times New Roman" w:hAnsi="Times New Roman" w:cs="Times New Roman"/>
          <w:color w:val="000000" w:themeColor="text1"/>
          <w:sz w:val="24"/>
          <w:szCs w:val="24"/>
        </w:rPr>
        <w:br/>
        <w:t>• Cost Benefit Ratio: 1.8:1</w:t>
      </w:r>
    </w:p>
    <w:p w14:paraId="1116ED1F"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2: Climate-Smart Villages in Kenya</w:t>
      </w:r>
    </w:p>
    <w:p w14:paraId="3793769C" w14:textId="77777777" w:rsidR="007E3B5F" w:rsidRPr="00A36B62" w:rsidRDefault="000B0817" w:rsidP="006944A6">
      <w:pPr>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Agro-advisory services, crop diversification</w:t>
      </w:r>
      <w:r w:rsidRPr="00A36B62">
        <w:rPr>
          <w:rFonts w:ascii="Times New Roman" w:hAnsi="Times New Roman" w:cs="Times New Roman"/>
          <w:color w:val="000000" w:themeColor="text1"/>
          <w:sz w:val="24"/>
          <w:szCs w:val="24"/>
        </w:rPr>
        <w:br/>
        <w:t>• Result: Income stability during drought years</w:t>
      </w:r>
      <w:r w:rsidRPr="00A36B62">
        <w:rPr>
          <w:rFonts w:ascii="Times New Roman" w:hAnsi="Times New Roman" w:cs="Times New Roman"/>
          <w:color w:val="000000" w:themeColor="text1"/>
          <w:sz w:val="24"/>
          <w:szCs w:val="24"/>
        </w:rPr>
        <w:br/>
        <w:t>• Adoption Rate: 62% after 2 years of extension-led training</w:t>
      </w:r>
    </w:p>
    <w:p w14:paraId="2F3A08ED" w14:textId="77777777" w:rsidR="007E3B5F" w:rsidRPr="00A36B62" w:rsidRDefault="000B0817" w:rsidP="006944A6">
      <w:pPr>
        <w:pStyle w:val="Heading2"/>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3: Highland Farmers of Peru</w:t>
      </w:r>
    </w:p>
    <w:p w14:paraId="60754629" w14:textId="77777777" w:rsidR="007E3B5F" w:rsidRPr="00A36B62" w:rsidRDefault="000B0817" w:rsidP="006944A6">
      <w:pPr>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Intervention: Soil management training through mobile extension units</w:t>
      </w:r>
      <w:r w:rsidRPr="00A36B62">
        <w:rPr>
          <w:rFonts w:ascii="Times New Roman" w:hAnsi="Times New Roman" w:cs="Times New Roman"/>
          <w:color w:val="000000" w:themeColor="text1"/>
          <w:sz w:val="24"/>
          <w:szCs w:val="24"/>
        </w:rPr>
        <w:br/>
        <w:t>• Result: Improved soil organic matter, long-term yield sustainability</w:t>
      </w:r>
    </w:p>
    <w:p w14:paraId="0E11797A" w14:textId="77777777" w:rsidR="00727A1C" w:rsidRPr="00A36B62" w:rsidRDefault="00727A1C" w:rsidP="006944A6">
      <w:pPr>
        <w:pStyle w:val="Heading2"/>
        <w:tabs>
          <w:tab w:val="left" w:pos="2835"/>
        </w:tabs>
        <w:spacing w:line="360" w:lineRule="auto"/>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Case Study Insights and Comparative Analysis</w:t>
      </w:r>
    </w:p>
    <w:p w14:paraId="4F6DE3FC" w14:textId="1EBA1B6A" w:rsidR="00727A1C" w:rsidRPr="00A36B62" w:rsidRDefault="00727A1C"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case studies presented in this research demonstrate how diverse interventions tailored to local contexts can achieve significant outcomes when supporte</w:t>
      </w:r>
      <w:r w:rsidR="00EC3637" w:rsidRPr="00A36B62">
        <w:rPr>
          <w:rFonts w:ascii="Times New Roman" w:hAnsi="Times New Roman" w:cs="Times New Roman"/>
          <w:color w:val="000000" w:themeColor="text1"/>
          <w:sz w:val="24"/>
          <w:szCs w:val="24"/>
        </w:rPr>
        <w:t>d by robust extension education </w:t>
      </w:r>
      <w:r w:rsidRPr="00A36B62">
        <w:rPr>
          <w:rFonts w:ascii="Times New Roman" w:hAnsi="Times New Roman" w:cs="Times New Roman"/>
          <w:color w:val="000000" w:themeColor="text1"/>
          <w:sz w:val="24"/>
          <w:szCs w:val="24"/>
        </w:rPr>
        <w:t>systems.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In Case 1, the Krishi Vigyan Kendra (KVK) in Jalna, Maharashtra, facilitated the adoption of zero-tillage and drought-resilient seeds. This low-cost yet high-impact intervention led to an 18% increase in crop yields and a 22% increase in net farm income. The cost-benefit ratio of 1.8:1 reflects the economic viability of the technology when </w:t>
      </w:r>
      <w:r w:rsidR="00EC3637" w:rsidRPr="00A36B62">
        <w:rPr>
          <w:rFonts w:ascii="Times New Roman" w:hAnsi="Times New Roman" w:cs="Times New Roman"/>
          <w:color w:val="000000" w:themeColor="text1"/>
          <w:sz w:val="24"/>
          <w:szCs w:val="24"/>
        </w:rPr>
        <w:t>scaled through effective extension </w:t>
      </w:r>
      <w:r w:rsidRPr="00A36B62">
        <w:rPr>
          <w:rFonts w:ascii="Times New Roman" w:hAnsi="Times New Roman" w:cs="Times New Roman"/>
          <w:color w:val="000000" w:themeColor="text1"/>
          <w:sz w:val="24"/>
          <w:szCs w:val="24"/>
        </w:rPr>
        <w:t>support.</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Case 2 from the Climate-Smart Villages initiative in Kenya highlights the importance of integrated extension approaches. By offering agro-advisories and promoting crop diversification, the project maintained income stability even during climate-induced stress periods. A 62% adoption rate within just </w:t>
      </w:r>
      <w:r w:rsidRPr="00A36B62">
        <w:rPr>
          <w:rFonts w:ascii="Times New Roman" w:hAnsi="Times New Roman" w:cs="Times New Roman"/>
          <w:color w:val="000000" w:themeColor="text1"/>
          <w:sz w:val="24"/>
          <w:szCs w:val="24"/>
        </w:rPr>
        <w:lastRenderedPageBreak/>
        <w:t>two years of imple</w:t>
      </w:r>
      <w:r w:rsidR="008E2375" w:rsidRPr="00A36B62">
        <w:rPr>
          <w:rFonts w:ascii="Times New Roman" w:hAnsi="Times New Roman" w:cs="Times New Roman"/>
          <w:color w:val="000000" w:themeColor="text1"/>
          <w:sz w:val="24"/>
          <w:szCs w:val="24"/>
        </w:rPr>
        <w:t>mentation underscores the power of </w:t>
      </w:r>
      <w:r w:rsidRPr="00A36B62">
        <w:rPr>
          <w:rFonts w:ascii="Times New Roman" w:hAnsi="Times New Roman" w:cs="Times New Roman"/>
          <w:color w:val="000000" w:themeColor="text1"/>
          <w:sz w:val="24"/>
          <w:szCs w:val="24"/>
        </w:rPr>
        <w:t>consistent, participatory training and farmer engagement.</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In Case 3, highland farmers in Peru benefited from mobile extension units that provided soil management training. This initiative focused on long-term sustainability by improving soil organic matter</w:t>
      </w:r>
      <w:r w:rsidR="00FF3BD3">
        <w:rPr>
          <w:rFonts w:ascii="Times New Roman" w:hAnsi="Times New Roman" w:cs="Times New Roman"/>
          <w:color w:val="000000" w:themeColor="text1"/>
          <w:sz w:val="24"/>
          <w:szCs w:val="24"/>
        </w:rPr>
        <w:t xml:space="preserve">, </w:t>
      </w:r>
      <w:r w:rsidRPr="00A36B62">
        <w:rPr>
          <w:rFonts w:ascii="Times New Roman" w:hAnsi="Times New Roman" w:cs="Times New Roman"/>
          <w:color w:val="000000" w:themeColor="text1"/>
          <w:sz w:val="24"/>
          <w:szCs w:val="24"/>
        </w:rPr>
        <w:t>a key factor in ensuring resilience against climatic shocks. These gains, although not immediately quantified in mon</w:t>
      </w:r>
      <w:r w:rsidR="008E2375" w:rsidRPr="00A36B62">
        <w:rPr>
          <w:rFonts w:ascii="Times New Roman" w:hAnsi="Times New Roman" w:cs="Times New Roman"/>
          <w:color w:val="000000" w:themeColor="text1"/>
          <w:sz w:val="24"/>
          <w:szCs w:val="24"/>
        </w:rPr>
        <w:t>etary terms, lay the groundwork for stable future yields and land </w:t>
      </w:r>
      <w:r w:rsidRPr="00A36B62">
        <w:rPr>
          <w:rFonts w:ascii="Times New Roman" w:hAnsi="Times New Roman" w:cs="Times New Roman"/>
          <w:color w:val="000000" w:themeColor="text1"/>
          <w:sz w:val="24"/>
          <w:szCs w:val="24"/>
        </w:rPr>
        <w:t>productivity.</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Together, these case studies affirm that climate-smart practices gain traction and yield meaningful results when deployed alongside well-structured, locally relevant extension services. The presence of feedback mechanisms, continuous support, and integration with local knowledge systems were common success factors across the three contexts. Thus, they offer valuable blueprints for scaling CSA efforts in other vulnerable regions</w:t>
      </w:r>
      <w:r w:rsidR="00FF3BD3">
        <w:rPr>
          <w:rFonts w:ascii="Times New Roman" w:hAnsi="Times New Roman" w:cs="Times New Roman"/>
          <w:color w:val="000000" w:themeColor="text1"/>
          <w:sz w:val="24"/>
          <w:szCs w:val="24"/>
        </w:rPr>
        <w:t>.</w:t>
      </w:r>
    </w:p>
    <w:p w14:paraId="45D009E5" w14:textId="77777777" w:rsidR="007E3B5F" w:rsidRPr="00A36B62" w:rsidRDefault="000B0817" w:rsidP="006944A6">
      <w:pPr>
        <w:pStyle w:val="Heading2"/>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Table 2: Key Challenges and Suggested Interventions in Extension Education for CSA</w:t>
      </w:r>
    </w:p>
    <w:tbl>
      <w:tblPr>
        <w:tblW w:w="0" w:type="auto"/>
        <w:tblLook w:val="04A0" w:firstRow="1" w:lastRow="0" w:firstColumn="1" w:lastColumn="0" w:noHBand="0" w:noVBand="1"/>
      </w:tblPr>
      <w:tblGrid>
        <w:gridCol w:w="2880"/>
        <w:gridCol w:w="2880"/>
        <w:gridCol w:w="2880"/>
      </w:tblGrid>
      <w:tr w:rsidR="00487A96" w:rsidRPr="00A36B62" w14:paraId="3D5300DD" w14:textId="77777777">
        <w:tc>
          <w:tcPr>
            <w:tcW w:w="2880" w:type="dxa"/>
          </w:tcPr>
          <w:p w14:paraId="59187DB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Challenge</w:t>
            </w:r>
          </w:p>
        </w:tc>
        <w:tc>
          <w:tcPr>
            <w:tcW w:w="2880" w:type="dxa"/>
          </w:tcPr>
          <w:p w14:paraId="1B9CBCE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Impact</w:t>
            </w:r>
          </w:p>
        </w:tc>
        <w:tc>
          <w:tcPr>
            <w:tcW w:w="2880" w:type="dxa"/>
          </w:tcPr>
          <w:p w14:paraId="67081D2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Suggested Intervention</w:t>
            </w:r>
          </w:p>
        </w:tc>
      </w:tr>
      <w:tr w:rsidR="00487A96" w:rsidRPr="00A36B62" w14:paraId="27B872FE" w14:textId="77777777">
        <w:tc>
          <w:tcPr>
            <w:tcW w:w="2880" w:type="dxa"/>
          </w:tcPr>
          <w:p w14:paraId="3454F1C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Limited trained manpower</w:t>
            </w:r>
          </w:p>
        </w:tc>
        <w:tc>
          <w:tcPr>
            <w:tcW w:w="2880" w:type="dxa"/>
          </w:tcPr>
          <w:p w14:paraId="39CB604A"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Low farmer reach</w:t>
            </w:r>
          </w:p>
        </w:tc>
        <w:tc>
          <w:tcPr>
            <w:tcW w:w="2880" w:type="dxa"/>
          </w:tcPr>
          <w:p w14:paraId="4A39D54B"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Capacity-building programs for agents</w:t>
            </w:r>
          </w:p>
        </w:tc>
      </w:tr>
      <w:tr w:rsidR="00487A96" w:rsidRPr="00A36B62" w14:paraId="2145FD92" w14:textId="77777777">
        <w:tc>
          <w:tcPr>
            <w:tcW w:w="2880" w:type="dxa"/>
          </w:tcPr>
          <w:p w14:paraId="6A203E7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Inadequate funding</w:t>
            </w:r>
          </w:p>
        </w:tc>
        <w:tc>
          <w:tcPr>
            <w:tcW w:w="2880" w:type="dxa"/>
          </w:tcPr>
          <w:p w14:paraId="7208F394"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Weak implementation</w:t>
            </w:r>
          </w:p>
        </w:tc>
        <w:tc>
          <w:tcPr>
            <w:tcW w:w="2880" w:type="dxa"/>
          </w:tcPr>
          <w:p w14:paraId="5C75763E"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Increased budget for climate education</w:t>
            </w:r>
          </w:p>
        </w:tc>
      </w:tr>
      <w:tr w:rsidR="00487A96" w:rsidRPr="00A36B62" w14:paraId="7F59D001" w14:textId="77777777">
        <w:tc>
          <w:tcPr>
            <w:tcW w:w="2880" w:type="dxa"/>
          </w:tcPr>
          <w:p w14:paraId="151D83BD"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Technology access barriers</w:t>
            </w:r>
          </w:p>
        </w:tc>
        <w:tc>
          <w:tcPr>
            <w:tcW w:w="2880" w:type="dxa"/>
          </w:tcPr>
          <w:p w14:paraId="285397E5"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Exclusion of remote farmers</w:t>
            </w:r>
          </w:p>
        </w:tc>
        <w:tc>
          <w:tcPr>
            <w:tcW w:w="2880" w:type="dxa"/>
          </w:tcPr>
          <w:p w14:paraId="29F6E271"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Mobile-based, multilingual CSA apps</w:t>
            </w:r>
          </w:p>
        </w:tc>
      </w:tr>
      <w:tr w:rsidR="00487A96" w:rsidRPr="00A36B62" w14:paraId="47B919A2" w14:textId="77777777">
        <w:tc>
          <w:tcPr>
            <w:tcW w:w="2880" w:type="dxa"/>
          </w:tcPr>
          <w:p w14:paraId="338DB71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Resistance to behavior change</w:t>
            </w:r>
          </w:p>
        </w:tc>
        <w:tc>
          <w:tcPr>
            <w:tcW w:w="2880" w:type="dxa"/>
          </w:tcPr>
          <w:p w14:paraId="5EB5C997"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Low CSA adoption</w:t>
            </w:r>
          </w:p>
        </w:tc>
        <w:tc>
          <w:tcPr>
            <w:tcW w:w="2880" w:type="dxa"/>
          </w:tcPr>
          <w:p w14:paraId="7F0396B2" w14:textId="77777777" w:rsidR="007E3B5F" w:rsidRPr="00A36B62" w:rsidRDefault="000B0817" w:rsidP="006944A6">
            <w:pPr>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Farmer-led demonstration farms</w:t>
            </w:r>
          </w:p>
        </w:tc>
      </w:tr>
    </w:tbl>
    <w:p w14:paraId="6407DFB4" w14:textId="77777777" w:rsidR="00FF7044" w:rsidRDefault="00FF7044" w:rsidP="006944A6">
      <w:pPr>
        <w:pStyle w:val="Heading1"/>
        <w:ind w:left="-630" w:right="-810"/>
        <w:rPr>
          <w:rFonts w:ascii="Times New Roman" w:hAnsi="Times New Roman" w:cs="Times New Roman"/>
          <w:color w:val="000000" w:themeColor="text1"/>
          <w:sz w:val="24"/>
          <w:szCs w:val="24"/>
        </w:rPr>
      </w:pPr>
      <w:r w:rsidRPr="001A56AD">
        <w:rPr>
          <w:rFonts w:ascii="Times New Roman" w:hAnsi="Times New Roman" w:cs="Times New Roman"/>
          <w:color w:val="000000" w:themeColor="text1"/>
          <w:sz w:val="24"/>
          <w:szCs w:val="24"/>
          <w:highlight w:val="yellow"/>
        </w:rPr>
        <w:t>Results and Discussion</w:t>
      </w:r>
    </w:p>
    <w:p w14:paraId="23193624" w14:textId="182F276B" w:rsidR="00A36B62" w:rsidRPr="00A36B62" w:rsidRDefault="00F91416"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Economic Benefits of Climate-Smart Agriculture (CSA) Practices</w:t>
      </w:r>
    </w:p>
    <w:p w14:paraId="01DF53D5" w14:textId="6025E030" w:rsidR="00DF2E9A" w:rsidRDefault="00DF2E9A" w:rsidP="00DF2E9A">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analysis of Climate-Smart Agriculture (CSA) practices presented in this study reveals significant positive outcomes in both economic and environmental dimensions. Based on secondary data and case studies from multiple regions, it is evident that CSA practices such as drip irrigation, conservation tillage, agroforestry, and drought-tolerant seeds yield considerable benefits across multiple performance indicators.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lastRenderedPageBreak/>
        <w:t xml:space="preserve">Among the technologies reviewed, drip irrigation, though initially costly, shows the highest potential for yield increase and water-use efficiency. This technology contributed to yield gains of 25–40% and net economic returns ranging from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15,000 to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 xml:space="preserve">20,000 per hectare. Likewise, agroforestry practices provided long-term ecological advantages, including GHG reduction of up to 35% and sustained economic benefits exceeding </w:t>
      </w:r>
      <w:r w:rsidRPr="00A36B62">
        <w:rPr>
          <w:rFonts w:ascii="Tahoma" w:hAnsi="Tahoma" w:cs="Tahoma"/>
          <w:color w:val="000000" w:themeColor="text1"/>
          <w:sz w:val="24"/>
          <w:szCs w:val="24"/>
        </w:rPr>
        <w:t>₹</w:t>
      </w:r>
      <w:r w:rsidRPr="00A36B62">
        <w:rPr>
          <w:rFonts w:ascii="Times New Roman" w:hAnsi="Times New Roman" w:cs="Times New Roman"/>
          <w:color w:val="000000" w:themeColor="text1"/>
          <w:sz w:val="24"/>
          <w:szCs w:val="24"/>
        </w:rPr>
        <w:t>10,000 per hectare annually.</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xml:space="preserve">Conservation tillage and drought-tolerant seed varieties proved economically accessible, offering viable solutions for small and marginal farmers. These practices demonstrated tangible improvements in yield and profitability while also contributing to reduced carbon emissions and better soil health. Case studies confirmed these trends, such as the 22% increase in net income reported by farmers in </w:t>
      </w:r>
      <w:proofErr w:type="spellStart"/>
      <w:r w:rsidRPr="00A36B62">
        <w:rPr>
          <w:rFonts w:ascii="Times New Roman" w:hAnsi="Times New Roman" w:cs="Times New Roman"/>
          <w:color w:val="000000" w:themeColor="text1"/>
          <w:sz w:val="24"/>
          <w:szCs w:val="24"/>
        </w:rPr>
        <w:t>Jalna</w:t>
      </w:r>
      <w:proofErr w:type="spellEnd"/>
      <w:r w:rsidRPr="00A36B62">
        <w:rPr>
          <w:rFonts w:ascii="Times New Roman" w:hAnsi="Times New Roman" w:cs="Times New Roman"/>
          <w:color w:val="000000" w:themeColor="text1"/>
          <w:sz w:val="24"/>
          <w:szCs w:val="24"/>
        </w:rPr>
        <w:t xml:space="preserve"> District, Maharashtra, and the 62% adoption rate of CSA practices in Kenyan villages following extension-led interventions.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Overall, the findings validate that extension education significantly enhances farmers’ awareness and adoption of CSA technologies. The presence of trained personnel, access to real-time weather advisories, and demonstrations all contribute to increased confidence among farmers in adopting new practices. The case studies also emphasize the value of localized and participatory approaches, which help tailor recommendations to specific agro-ecological and socio-economic conditions.</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The discussion further reinforces the notion that CSA should not be viewed merely as a climate adaptation measure but as a comprehensive development strategy capable of transforming rural livelihoods. Economically, CSA increases farm productivity, reduces input costs, and enhances resilience. Environmentally, it mitigates the adverse impacts of farming on natural resources and promotes sustainability. Extension services, therefore, serve as the critical link in translating scientific knowledge into practical, context-sensitive farm solutions.</w:t>
      </w:r>
    </w:p>
    <w:p w14:paraId="30A60F0E" w14:textId="21CBA01F" w:rsidR="00042DBF" w:rsidRDefault="00042DBF" w:rsidP="00042DBF">
      <w:pPr>
        <w:keepNext/>
        <w:keepLines/>
        <w:spacing w:after="0" w:line="240" w:lineRule="auto"/>
        <w:ind w:left="-630" w:right="-810"/>
        <w:outlineLvl w:val="0"/>
        <w:rPr>
          <w:rFonts w:ascii="Times New Roman" w:eastAsiaTheme="majorEastAsia" w:hAnsi="Times New Roman" w:cs="Times New Roman"/>
          <w:b/>
          <w:bCs/>
          <w:color w:val="000000" w:themeColor="text1"/>
          <w:sz w:val="24"/>
          <w:szCs w:val="24"/>
        </w:rPr>
      </w:pPr>
      <w:r w:rsidRPr="00042DBF">
        <w:rPr>
          <w:rFonts w:ascii="Times New Roman" w:eastAsiaTheme="majorEastAsia" w:hAnsi="Times New Roman" w:cs="Times New Roman"/>
          <w:b/>
          <w:bCs/>
          <w:color w:val="000000" w:themeColor="text1"/>
          <w:sz w:val="24"/>
          <w:szCs w:val="24"/>
        </w:rPr>
        <w:t>Future Directions and Research Opportunities</w:t>
      </w:r>
    </w:p>
    <w:p w14:paraId="1BCA7A8A" w14:textId="77777777" w:rsidR="00042DBF" w:rsidRPr="00042DBF" w:rsidRDefault="00042DBF" w:rsidP="00042DBF">
      <w:pPr>
        <w:keepNext/>
        <w:keepLines/>
        <w:spacing w:after="0" w:line="240" w:lineRule="auto"/>
        <w:ind w:left="-630" w:right="-810"/>
        <w:outlineLvl w:val="0"/>
        <w:rPr>
          <w:rFonts w:ascii="Times New Roman" w:eastAsiaTheme="majorEastAsia" w:hAnsi="Times New Roman" w:cs="Times New Roman"/>
          <w:b/>
          <w:bCs/>
          <w:color w:val="000000" w:themeColor="text1"/>
          <w:sz w:val="24"/>
          <w:szCs w:val="24"/>
        </w:rPr>
      </w:pPr>
    </w:p>
    <w:p w14:paraId="6D9C573D" w14:textId="77777777" w:rsidR="00042DBF" w:rsidRPr="00042DBF" w:rsidRDefault="00042DBF" w:rsidP="00042DBF">
      <w:pPr>
        <w:spacing w:line="360" w:lineRule="auto"/>
        <w:ind w:left="-630" w:right="-810"/>
        <w:jc w:val="both"/>
        <w:rPr>
          <w:rFonts w:ascii="Times New Roman" w:hAnsi="Times New Roman" w:cs="Times New Roman"/>
          <w:color w:val="000000" w:themeColor="text1"/>
          <w:sz w:val="24"/>
          <w:szCs w:val="24"/>
        </w:rPr>
      </w:pPr>
      <w:r w:rsidRPr="00042DBF">
        <w:rPr>
          <w:rFonts w:ascii="Times New Roman" w:hAnsi="Times New Roman" w:cs="Times New Roman"/>
          <w:color w:val="000000" w:themeColor="text1"/>
          <w:sz w:val="24"/>
          <w:szCs w:val="24"/>
        </w:rPr>
        <w:t>While the current body of literature underscores the significant benefits of Climate-Smart Agriculture (CSA) and the indispensable role of extension education, there remains a substantial scope for further exploration. First, more localized cost-benefit assessments are needed across diverse agro-ecological zones to tailor CSA interventions effectively. Second, the development and deployment of decision-</w:t>
      </w:r>
      <w:r w:rsidRPr="00042DBF">
        <w:rPr>
          <w:rFonts w:ascii="Times New Roman" w:hAnsi="Times New Roman" w:cs="Times New Roman"/>
          <w:color w:val="000000" w:themeColor="text1"/>
          <w:sz w:val="24"/>
          <w:szCs w:val="24"/>
        </w:rPr>
        <w:lastRenderedPageBreak/>
        <w:t>support systems integrating real-time climate data and predictive modeling should be prioritized. Extension personnel must be equipped with digital tools to deliver customized advisories in real-time, particularly through mobile applications, SMS services, and interactive voice response systems.</w:t>
      </w:r>
      <w:r w:rsidRPr="00042DBF">
        <w:rPr>
          <w:rFonts w:ascii="Times New Roman" w:hAnsi="Times New Roman" w:cs="Times New Roman"/>
          <w:color w:val="000000" w:themeColor="text1"/>
          <w:sz w:val="24"/>
          <w:szCs w:val="24"/>
        </w:rPr>
        <w:br/>
      </w:r>
      <w:r w:rsidRPr="00042DBF">
        <w:rPr>
          <w:rFonts w:ascii="Times New Roman" w:hAnsi="Times New Roman" w:cs="Times New Roman"/>
          <w:color w:val="000000" w:themeColor="text1"/>
          <w:sz w:val="24"/>
          <w:szCs w:val="24"/>
        </w:rPr>
        <w:br/>
        <w:t>Additionally, there is a need to foster participatory action research where farmers co-design and evaluate CSA technologies. This participatory approach will help in overcoming sociocultural resistance to change and in improving the relevance of extension messages. Longitudinal impact assessments should also be institutionalized to measure the sustained effects of CSA practices on income stability, soil health, and resilience to climate shocks. Private sector involvement through public-private partnerships can also significantly enhance the scale and sustainability of CSA efforts.</w:t>
      </w:r>
    </w:p>
    <w:p w14:paraId="28167325" w14:textId="77777777" w:rsidR="00042DBF" w:rsidRPr="00A36B62" w:rsidRDefault="00042DBF" w:rsidP="00DF2E9A">
      <w:pPr>
        <w:spacing w:line="360" w:lineRule="auto"/>
        <w:ind w:left="-630" w:right="-810"/>
        <w:jc w:val="both"/>
        <w:rPr>
          <w:rFonts w:ascii="Times New Roman" w:hAnsi="Times New Roman" w:cs="Times New Roman"/>
          <w:color w:val="000000" w:themeColor="text1"/>
          <w:sz w:val="24"/>
          <w:szCs w:val="24"/>
        </w:rPr>
      </w:pPr>
    </w:p>
    <w:p w14:paraId="584A7146" w14:textId="77777777" w:rsidR="00F91416" w:rsidRPr="00A36B62" w:rsidRDefault="00F91416"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Policy Implications</w:t>
      </w:r>
    </w:p>
    <w:p w14:paraId="3AE8676B" w14:textId="77777777" w:rsidR="00F91416" w:rsidRPr="00A36B62" w:rsidRDefault="00F91416"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The findings of this study emphasize that climate-resilient agriculture requires a paradigm shift in extension education and policy planning. Governments must mainstream CSA in national agricultural development strateg</w:t>
      </w:r>
      <w:r w:rsidR="00EC3637" w:rsidRPr="00A36B62">
        <w:rPr>
          <w:rFonts w:ascii="Times New Roman" w:hAnsi="Times New Roman" w:cs="Times New Roman"/>
          <w:color w:val="000000" w:themeColor="text1"/>
          <w:sz w:val="24"/>
          <w:szCs w:val="24"/>
        </w:rPr>
        <w:t>ies and extension policies. Key actions </w:t>
      </w:r>
      <w:r w:rsidRPr="00A36B62">
        <w:rPr>
          <w:rFonts w:ascii="Times New Roman" w:hAnsi="Times New Roman" w:cs="Times New Roman"/>
          <w:color w:val="000000" w:themeColor="text1"/>
          <w:sz w:val="24"/>
          <w:szCs w:val="24"/>
        </w:rPr>
        <w:t>include:</w:t>
      </w:r>
      <w:r w:rsidRPr="00A36B62">
        <w:rPr>
          <w:rFonts w:ascii="Times New Roman" w:hAnsi="Times New Roman" w:cs="Times New Roman"/>
          <w:color w:val="000000" w:themeColor="text1"/>
          <w:sz w:val="24"/>
          <w:szCs w:val="24"/>
        </w:rPr>
        <w:br/>
      </w:r>
      <w:r w:rsidRPr="00A36B62">
        <w:rPr>
          <w:rFonts w:ascii="Times New Roman" w:hAnsi="Times New Roman" w:cs="Times New Roman"/>
          <w:color w:val="000000" w:themeColor="text1"/>
          <w:sz w:val="24"/>
          <w:szCs w:val="24"/>
        </w:rPr>
        <w:br/>
        <w:t>- Enhancing investments in the training of extension personnel on cli</w:t>
      </w:r>
      <w:r w:rsidR="00EC3637" w:rsidRPr="00A36B62">
        <w:rPr>
          <w:rFonts w:ascii="Times New Roman" w:hAnsi="Times New Roman" w:cs="Times New Roman"/>
          <w:color w:val="000000" w:themeColor="text1"/>
          <w:sz w:val="24"/>
          <w:szCs w:val="24"/>
        </w:rPr>
        <w:t>mate change mitigation and </w:t>
      </w:r>
      <w:r w:rsidRPr="00A36B62">
        <w:rPr>
          <w:rFonts w:ascii="Times New Roman" w:hAnsi="Times New Roman" w:cs="Times New Roman"/>
          <w:color w:val="000000" w:themeColor="text1"/>
          <w:sz w:val="24"/>
          <w:szCs w:val="24"/>
        </w:rPr>
        <w:t>adaptation.</w:t>
      </w:r>
      <w:r w:rsidRPr="00A36B62">
        <w:rPr>
          <w:rFonts w:ascii="Times New Roman" w:hAnsi="Times New Roman" w:cs="Times New Roman"/>
          <w:color w:val="000000" w:themeColor="text1"/>
          <w:sz w:val="24"/>
          <w:szCs w:val="24"/>
        </w:rPr>
        <w:br/>
        <w:t>- Developing performance-based incentives for extension workers promoting CSA.</w:t>
      </w:r>
      <w:r w:rsidRPr="00A36B62">
        <w:rPr>
          <w:rFonts w:ascii="Times New Roman" w:hAnsi="Times New Roman" w:cs="Times New Roman"/>
          <w:color w:val="000000" w:themeColor="text1"/>
          <w:sz w:val="24"/>
          <w:szCs w:val="24"/>
        </w:rPr>
        <w:br/>
        <w:t>- Incorporating CSA metrics into agricultural monitoring and evaluation frameworks.</w:t>
      </w:r>
      <w:r w:rsidRPr="00A36B62">
        <w:rPr>
          <w:rFonts w:ascii="Times New Roman" w:hAnsi="Times New Roman" w:cs="Times New Roman"/>
          <w:color w:val="000000" w:themeColor="text1"/>
          <w:sz w:val="24"/>
          <w:szCs w:val="24"/>
        </w:rPr>
        <w:br/>
        <w:t>- Promoting gender-sensitive CSA strategies to ensure inclusivity and equitable benefits.</w:t>
      </w:r>
      <w:r w:rsidRPr="00A36B62">
        <w:rPr>
          <w:rFonts w:ascii="Times New Roman" w:hAnsi="Times New Roman" w:cs="Times New Roman"/>
          <w:color w:val="000000" w:themeColor="text1"/>
          <w:sz w:val="24"/>
          <w:szCs w:val="24"/>
        </w:rPr>
        <w:br/>
        <w:t xml:space="preserve">- Facilitating convergence between agricultural, environmental, and rural development </w:t>
      </w:r>
      <w:r w:rsidR="00A36B62">
        <w:rPr>
          <w:rFonts w:ascii="Times New Roman" w:hAnsi="Times New Roman" w:cs="Times New Roman"/>
          <w:color w:val="000000" w:themeColor="text1"/>
          <w:sz w:val="24"/>
          <w:szCs w:val="24"/>
        </w:rPr>
        <w:t xml:space="preserve">programs. </w:t>
      </w:r>
      <w:r w:rsidRPr="00A36B62">
        <w:rPr>
          <w:rFonts w:ascii="Times New Roman" w:hAnsi="Times New Roman" w:cs="Times New Roman"/>
          <w:color w:val="000000" w:themeColor="text1"/>
          <w:sz w:val="24"/>
          <w:szCs w:val="24"/>
        </w:rPr>
        <w:t>The integration of climate literacy into school and college curricula can also generate long-term behavioral shifts necessary for sustainability.</w:t>
      </w:r>
    </w:p>
    <w:p w14:paraId="76714176"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Conclusion</w:t>
      </w:r>
    </w:p>
    <w:p w14:paraId="71E94EFD" w14:textId="5FDC56F6" w:rsidR="007E3B5F" w:rsidRDefault="000B0817" w:rsidP="006944A6">
      <w:pPr>
        <w:spacing w:line="360" w:lineRule="auto"/>
        <w:ind w:left="-630" w:right="-810"/>
        <w:jc w:val="both"/>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t xml:space="preserve">Climate-smart agriculture offers a viable pathway to climate adaptation with measurable economic returns. However, the success of CSA depends significantly on the reach and effectiveness of extension education systems. This paper shows that extension-led CSA strategies not only improve productivity and sustainability but also enhance economic resilience among farmers. Integrating economic analysis </w:t>
      </w:r>
      <w:r w:rsidRPr="00A36B62">
        <w:rPr>
          <w:rFonts w:ascii="Times New Roman" w:hAnsi="Times New Roman" w:cs="Times New Roman"/>
          <w:color w:val="000000" w:themeColor="text1"/>
          <w:sz w:val="24"/>
          <w:szCs w:val="24"/>
        </w:rPr>
        <w:lastRenderedPageBreak/>
        <w:t>into extension frameworks will be key in designing future-ready agriculture systems. To ensure long-term scalability, extension frameworks should be institutionalized within national climate action and agricultural reform agendas. The integration of CSA into university curricula, training programs for extension workers, and digital knowledge platforms will help democratize access to climate-resilient practices. Policymakers must also explore innovative financing models—including carbon credit schemes and green subsidies—that can further incentivize CSA adoption. By creating an enabling ecosystem where economic rationale and ecological responsibility converge, CSA can serve as a blueprint for the future of sustainable agriculture in India and globally.</w:t>
      </w:r>
    </w:p>
    <w:p w14:paraId="23010325" w14:textId="78E26BDE" w:rsidR="00AB4E6A" w:rsidRDefault="00AB4E6A" w:rsidP="006944A6">
      <w:pPr>
        <w:spacing w:line="360" w:lineRule="auto"/>
        <w:ind w:left="-630" w:right="-810"/>
        <w:jc w:val="both"/>
        <w:rPr>
          <w:rFonts w:ascii="Times New Roman" w:hAnsi="Times New Roman" w:cs="Times New Roman"/>
          <w:color w:val="000000" w:themeColor="text1"/>
          <w:sz w:val="24"/>
          <w:szCs w:val="24"/>
        </w:rPr>
      </w:pPr>
    </w:p>
    <w:p w14:paraId="03E4C212" w14:textId="77777777" w:rsidR="00AB4E6A" w:rsidRDefault="00AB4E6A" w:rsidP="00AB4E6A">
      <w:pPr>
        <w:rPr>
          <w:highlight w:val="yellow"/>
        </w:rPr>
      </w:pPr>
      <w:r>
        <w:rPr>
          <w:highlight w:val="yellow"/>
        </w:rPr>
        <w:t>Disclaimer (Artificial intelligence)</w:t>
      </w:r>
    </w:p>
    <w:p w14:paraId="79F5D153" w14:textId="77777777" w:rsidR="00AB4E6A" w:rsidRDefault="00AB4E6A" w:rsidP="00AB4E6A">
      <w:pPr>
        <w:rPr>
          <w:highlight w:val="yellow"/>
        </w:rPr>
      </w:pPr>
    </w:p>
    <w:p w14:paraId="666C6479" w14:textId="77777777" w:rsidR="00AB4E6A" w:rsidRDefault="00AB4E6A" w:rsidP="00AB4E6A">
      <w:pPr>
        <w:rPr>
          <w:highlight w:val="yellow"/>
        </w:rPr>
      </w:pPr>
      <w:r>
        <w:rPr>
          <w:highlight w:val="yellow"/>
        </w:rPr>
        <w:t xml:space="preserve">Option 1: </w:t>
      </w:r>
    </w:p>
    <w:p w14:paraId="67575198" w14:textId="77777777" w:rsidR="00AB4E6A" w:rsidRDefault="00AB4E6A" w:rsidP="00AB4E6A">
      <w:pPr>
        <w:rPr>
          <w:highlight w:val="yellow"/>
        </w:rPr>
      </w:pPr>
    </w:p>
    <w:p w14:paraId="1BE213AE" w14:textId="77777777" w:rsidR="00AB4E6A" w:rsidRDefault="00AB4E6A" w:rsidP="00AB4E6A">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B19BD6C" w14:textId="77777777" w:rsidR="00AB4E6A" w:rsidRDefault="00AB4E6A" w:rsidP="00AB4E6A">
      <w:pPr>
        <w:rPr>
          <w:highlight w:val="yellow"/>
        </w:rPr>
      </w:pPr>
    </w:p>
    <w:p w14:paraId="3584AF74" w14:textId="77777777" w:rsidR="00AB4E6A" w:rsidRDefault="00AB4E6A" w:rsidP="00AB4E6A">
      <w:pPr>
        <w:rPr>
          <w:highlight w:val="yellow"/>
        </w:rPr>
      </w:pPr>
      <w:r>
        <w:rPr>
          <w:highlight w:val="yellow"/>
        </w:rPr>
        <w:t xml:space="preserve">Option 2: </w:t>
      </w:r>
    </w:p>
    <w:p w14:paraId="3E4BB91A" w14:textId="77777777" w:rsidR="00AB4E6A" w:rsidRDefault="00AB4E6A" w:rsidP="00AB4E6A">
      <w:pPr>
        <w:rPr>
          <w:highlight w:val="yellow"/>
        </w:rPr>
      </w:pPr>
    </w:p>
    <w:p w14:paraId="7A08EA9E" w14:textId="77777777" w:rsidR="00AB4E6A" w:rsidRDefault="00AB4E6A" w:rsidP="00AB4E6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1D96E0" w14:textId="77777777" w:rsidR="00AB4E6A" w:rsidRDefault="00AB4E6A" w:rsidP="00AB4E6A">
      <w:pPr>
        <w:rPr>
          <w:highlight w:val="yellow"/>
        </w:rPr>
      </w:pPr>
    </w:p>
    <w:p w14:paraId="6131E35E" w14:textId="77777777" w:rsidR="00AB4E6A" w:rsidRDefault="00AB4E6A" w:rsidP="00AB4E6A">
      <w:pPr>
        <w:rPr>
          <w:highlight w:val="yellow"/>
        </w:rPr>
      </w:pPr>
      <w:r>
        <w:rPr>
          <w:highlight w:val="yellow"/>
        </w:rPr>
        <w:t>Details of the AI usage are given below:</w:t>
      </w:r>
    </w:p>
    <w:p w14:paraId="51EC7EBD" w14:textId="77777777" w:rsidR="00AB4E6A" w:rsidRDefault="00AB4E6A" w:rsidP="00AB4E6A">
      <w:pPr>
        <w:rPr>
          <w:highlight w:val="yellow"/>
        </w:rPr>
      </w:pPr>
      <w:r>
        <w:rPr>
          <w:highlight w:val="yellow"/>
        </w:rPr>
        <w:t>1.</w:t>
      </w:r>
    </w:p>
    <w:p w14:paraId="78C70095" w14:textId="77777777" w:rsidR="00AB4E6A" w:rsidRDefault="00AB4E6A" w:rsidP="00AB4E6A">
      <w:pPr>
        <w:rPr>
          <w:highlight w:val="yellow"/>
        </w:rPr>
      </w:pPr>
      <w:r>
        <w:rPr>
          <w:highlight w:val="yellow"/>
        </w:rPr>
        <w:t>2.</w:t>
      </w:r>
    </w:p>
    <w:p w14:paraId="056E51DD" w14:textId="77777777" w:rsidR="00AB4E6A" w:rsidRDefault="00AB4E6A" w:rsidP="00AB4E6A">
      <w:r>
        <w:rPr>
          <w:highlight w:val="yellow"/>
        </w:rPr>
        <w:t>3.</w:t>
      </w:r>
    </w:p>
    <w:p w14:paraId="21512427" w14:textId="77777777" w:rsidR="00AB4E6A" w:rsidRPr="00A36B62" w:rsidRDefault="00AB4E6A" w:rsidP="006944A6">
      <w:pPr>
        <w:spacing w:line="360" w:lineRule="auto"/>
        <w:ind w:left="-630" w:right="-810"/>
        <w:jc w:val="both"/>
        <w:rPr>
          <w:rFonts w:ascii="Times New Roman" w:hAnsi="Times New Roman" w:cs="Times New Roman"/>
          <w:color w:val="000000" w:themeColor="text1"/>
          <w:sz w:val="24"/>
          <w:szCs w:val="24"/>
        </w:rPr>
      </w:pPr>
    </w:p>
    <w:p w14:paraId="1E883B52" w14:textId="77777777" w:rsidR="007E3B5F" w:rsidRPr="00A36B62" w:rsidRDefault="000B0817" w:rsidP="006944A6">
      <w:pPr>
        <w:pStyle w:val="Heading1"/>
        <w:ind w:left="-630" w:right="-810"/>
        <w:rPr>
          <w:rFonts w:ascii="Times New Roman" w:hAnsi="Times New Roman" w:cs="Times New Roman"/>
          <w:color w:val="000000" w:themeColor="text1"/>
          <w:sz w:val="24"/>
          <w:szCs w:val="24"/>
        </w:rPr>
      </w:pPr>
      <w:r w:rsidRPr="00A36B62">
        <w:rPr>
          <w:rFonts w:ascii="Times New Roman" w:hAnsi="Times New Roman" w:cs="Times New Roman"/>
          <w:color w:val="000000" w:themeColor="text1"/>
          <w:sz w:val="24"/>
          <w:szCs w:val="24"/>
        </w:rPr>
        <w:lastRenderedPageBreak/>
        <w:t>References</w:t>
      </w:r>
    </w:p>
    <w:p w14:paraId="6B58728E"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Aggarwal, P. K., Joshi, P. K., &amp; Kumar, S. (2019). Climate-smart agriculture in South Asia: A call for tailored approaches. </w:t>
      </w:r>
      <w:r w:rsidRPr="00A36B62">
        <w:rPr>
          <w:rFonts w:ascii="Times New Roman" w:eastAsia="Times New Roman" w:hAnsi="Times New Roman" w:cs="Times New Roman"/>
          <w:i/>
          <w:iCs/>
          <w:sz w:val="24"/>
          <w:szCs w:val="24"/>
          <w:lang w:val="en-IN" w:eastAsia="en-IN" w:bidi="hi-IN"/>
        </w:rPr>
        <w:t>Current Science, 116</w:t>
      </w:r>
      <w:r w:rsidRPr="00A36B62">
        <w:rPr>
          <w:rFonts w:ascii="Times New Roman" w:eastAsia="Times New Roman" w:hAnsi="Times New Roman" w:cs="Times New Roman"/>
          <w:sz w:val="24"/>
          <w:szCs w:val="24"/>
          <w:lang w:val="en-IN" w:eastAsia="en-IN" w:bidi="hi-IN"/>
        </w:rPr>
        <w:t>(4), 591–600.</w:t>
      </w:r>
    </w:p>
    <w:p w14:paraId="3B2FB383"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Anderson, J. R., &amp; Feder, G. (2007). Agricultural extension. In R. E. Evenson &amp; P. Pingali (Eds.), </w:t>
      </w:r>
      <w:r w:rsidRPr="00A36B62">
        <w:rPr>
          <w:rFonts w:ascii="Times New Roman" w:eastAsia="Times New Roman" w:hAnsi="Times New Roman" w:cs="Times New Roman"/>
          <w:i/>
          <w:iCs/>
          <w:sz w:val="24"/>
          <w:szCs w:val="24"/>
          <w:lang w:val="en-IN" w:eastAsia="en-IN" w:bidi="hi-IN"/>
        </w:rPr>
        <w:t>Handbook of Agricultural Economics</w:t>
      </w:r>
      <w:r w:rsidRPr="00A36B62">
        <w:rPr>
          <w:rFonts w:ascii="Times New Roman" w:eastAsia="Times New Roman" w:hAnsi="Times New Roman" w:cs="Times New Roman"/>
          <w:sz w:val="24"/>
          <w:szCs w:val="24"/>
          <w:lang w:val="en-IN" w:eastAsia="en-IN" w:bidi="hi-IN"/>
        </w:rPr>
        <w:t xml:space="preserve"> (Vol. 3, pp. 2343–2378). Elsevier.</w:t>
      </w:r>
    </w:p>
    <w:p w14:paraId="049889B5"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Food and Agriculture Organization. (2020). </w:t>
      </w:r>
      <w:r w:rsidRPr="00A36B62">
        <w:rPr>
          <w:rFonts w:ascii="Times New Roman" w:eastAsia="Times New Roman" w:hAnsi="Times New Roman" w:cs="Times New Roman"/>
          <w:i/>
          <w:iCs/>
          <w:sz w:val="24"/>
          <w:szCs w:val="24"/>
          <w:lang w:val="en-IN" w:eastAsia="en-IN" w:bidi="hi-IN"/>
        </w:rPr>
        <w:t>The state of food and agriculture 2020: Overcoming water challenges in agriculture</w:t>
      </w:r>
      <w:r w:rsidRPr="00A36B62">
        <w:rPr>
          <w:rFonts w:ascii="Times New Roman" w:eastAsia="Times New Roman" w:hAnsi="Times New Roman" w:cs="Times New Roman"/>
          <w:sz w:val="24"/>
          <w:szCs w:val="24"/>
          <w:lang w:val="en-IN" w:eastAsia="en-IN" w:bidi="hi-IN"/>
        </w:rPr>
        <w:t>. Rome: FAO.</w:t>
      </w:r>
    </w:p>
    <w:p w14:paraId="6AE78CFD"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Food and Agriculture Organization. (2022). </w:t>
      </w:r>
      <w:r w:rsidRPr="00A36B62">
        <w:rPr>
          <w:rFonts w:ascii="Times New Roman" w:eastAsia="Times New Roman" w:hAnsi="Times New Roman" w:cs="Times New Roman"/>
          <w:i/>
          <w:iCs/>
          <w:sz w:val="24"/>
          <w:szCs w:val="24"/>
          <w:lang w:val="en-IN" w:eastAsia="en-IN" w:bidi="hi-IN"/>
        </w:rPr>
        <w:t>Climate-smart agriculture sourcebook</w:t>
      </w:r>
      <w:r w:rsidRPr="00A36B62">
        <w:rPr>
          <w:rFonts w:ascii="Times New Roman" w:eastAsia="Times New Roman" w:hAnsi="Times New Roman" w:cs="Times New Roman"/>
          <w:sz w:val="24"/>
          <w:szCs w:val="24"/>
          <w:lang w:val="en-IN" w:eastAsia="en-IN" w:bidi="hi-IN"/>
        </w:rPr>
        <w:t xml:space="preserve"> (2nd ed.). Rome: FAO.</w:t>
      </w:r>
    </w:p>
    <w:p w14:paraId="5ED19699"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proofErr w:type="spellStart"/>
      <w:r w:rsidRPr="00A36B62">
        <w:rPr>
          <w:rFonts w:ascii="Times New Roman" w:eastAsia="Times New Roman" w:hAnsi="Times New Roman" w:cs="Times New Roman"/>
          <w:sz w:val="24"/>
          <w:szCs w:val="24"/>
          <w:lang w:val="en-IN" w:eastAsia="en-IN" w:bidi="hi-IN"/>
        </w:rPr>
        <w:t>Hellin</w:t>
      </w:r>
      <w:proofErr w:type="spellEnd"/>
      <w:r w:rsidRPr="00A36B62">
        <w:rPr>
          <w:rFonts w:ascii="Times New Roman" w:eastAsia="Times New Roman" w:hAnsi="Times New Roman" w:cs="Times New Roman"/>
          <w:sz w:val="24"/>
          <w:szCs w:val="24"/>
          <w:lang w:val="en-IN" w:eastAsia="en-IN" w:bidi="hi-IN"/>
        </w:rPr>
        <w:t xml:space="preserve">, J., </w:t>
      </w:r>
      <w:proofErr w:type="spellStart"/>
      <w:r w:rsidRPr="00A36B62">
        <w:rPr>
          <w:rFonts w:ascii="Times New Roman" w:eastAsia="Times New Roman" w:hAnsi="Times New Roman" w:cs="Times New Roman"/>
          <w:sz w:val="24"/>
          <w:szCs w:val="24"/>
          <w:lang w:val="en-IN" w:eastAsia="en-IN" w:bidi="hi-IN"/>
        </w:rPr>
        <w:t>Erenstein</w:t>
      </w:r>
      <w:proofErr w:type="spellEnd"/>
      <w:r w:rsidRPr="00A36B62">
        <w:rPr>
          <w:rFonts w:ascii="Times New Roman" w:eastAsia="Times New Roman" w:hAnsi="Times New Roman" w:cs="Times New Roman"/>
          <w:sz w:val="24"/>
          <w:szCs w:val="24"/>
          <w:lang w:val="en-IN" w:eastAsia="en-IN" w:bidi="hi-IN"/>
        </w:rPr>
        <w:t xml:space="preserve">, O., </w:t>
      </w:r>
      <w:proofErr w:type="spellStart"/>
      <w:r w:rsidRPr="00A36B62">
        <w:rPr>
          <w:rFonts w:ascii="Times New Roman" w:eastAsia="Times New Roman" w:hAnsi="Times New Roman" w:cs="Times New Roman"/>
          <w:sz w:val="24"/>
          <w:szCs w:val="24"/>
          <w:lang w:val="en-IN" w:eastAsia="en-IN" w:bidi="hi-IN"/>
        </w:rPr>
        <w:t>Beuchelt</w:t>
      </w:r>
      <w:proofErr w:type="spellEnd"/>
      <w:r w:rsidRPr="00A36B62">
        <w:rPr>
          <w:rFonts w:ascii="Times New Roman" w:eastAsia="Times New Roman" w:hAnsi="Times New Roman" w:cs="Times New Roman"/>
          <w:sz w:val="24"/>
          <w:szCs w:val="24"/>
          <w:lang w:val="en-IN" w:eastAsia="en-IN" w:bidi="hi-IN"/>
        </w:rPr>
        <w:t xml:space="preserve">, T., Camacho, C., &amp; Flores, D. (2020). Climate-smart agriculture and extension services: Perceptions from the field. </w:t>
      </w:r>
      <w:r w:rsidRPr="00A36B62">
        <w:rPr>
          <w:rFonts w:ascii="Times New Roman" w:eastAsia="Times New Roman" w:hAnsi="Times New Roman" w:cs="Times New Roman"/>
          <w:i/>
          <w:iCs/>
          <w:sz w:val="24"/>
          <w:szCs w:val="24"/>
          <w:lang w:val="en-IN" w:eastAsia="en-IN" w:bidi="hi-IN"/>
        </w:rPr>
        <w:t>Journal of Agricultural Economics, 71</w:t>
      </w:r>
      <w:r w:rsidRPr="00A36B62">
        <w:rPr>
          <w:rFonts w:ascii="Times New Roman" w:eastAsia="Times New Roman" w:hAnsi="Times New Roman" w:cs="Times New Roman"/>
          <w:sz w:val="24"/>
          <w:szCs w:val="24"/>
          <w:lang w:val="en-IN" w:eastAsia="en-IN" w:bidi="hi-IN"/>
        </w:rPr>
        <w:t xml:space="preserve">(2), 456–475. </w:t>
      </w:r>
      <w:hyperlink r:id="rId8" w:tgtFrame="_new" w:history="1">
        <w:r w:rsidRPr="00A36B62">
          <w:rPr>
            <w:rFonts w:ascii="Times New Roman" w:eastAsia="Times New Roman" w:hAnsi="Times New Roman" w:cs="Times New Roman"/>
            <w:color w:val="0000FF"/>
            <w:sz w:val="24"/>
            <w:szCs w:val="24"/>
            <w:u w:val="single"/>
            <w:lang w:val="en-IN" w:eastAsia="en-IN" w:bidi="hi-IN"/>
          </w:rPr>
          <w:t>https://doi.org/10.1111/1477-9552.12344</w:t>
        </w:r>
      </w:hyperlink>
    </w:p>
    <w:p w14:paraId="298B4E57" w14:textId="77777777" w:rsidR="00EC3637" w:rsidRPr="00C3393E"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highlight w:val="yellow"/>
          <w:lang w:val="en-IN" w:eastAsia="en-IN" w:bidi="hi-IN"/>
        </w:rPr>
      </w:pPr>
      <w:r w:rsidRPr="00C3393E">
        <w:rPr>
          <w:rFonts w:ascii="Times New Roman" w:eastAsia="Times New Roman" w:hAnsi="Times New Roman" w:cs="Times New Roman"/>
          <w:sz w:val="24"/>
          <w:szCs w:val="24"/>
          <w:highlight w:val="yellow"/>
          <w:lang w:val="en-IN" w:eastAsia="en-IN" w:bidi="hi-IN"/>
        </w:rPr>
        <w:t xml:space="preserve">Indian Council of Agricultural Research. (2024). </w:t>
      </w:r>
      <w:r w:rsidRPr="00C3393E">
        <w:rPr>
          <w:rFonts w:ascii="Times New Roman" w:eastAsia="Times New Roman" w:hAnsi="Times New Roman" w:cs="Times New Roman"/>
          <w:i/>
          <w:iCs/>
          <w:sz w:val="24"/>
          <w:szCs w:val="24"/>
          <w:highlight w:val="yellow"/>
          <w:lang w:val="en-IN" w:eastAsia="en-IN" w:bidi="hi-IN"/>
        </w:rPr>
        <w:t>Annual report on sustainable agriculture practices</w:t>
      </w:r>
      <w:r w:rsidRPr="00C3393E">
        <w:rPr>
          <w:rFonts w:ascii="Times New Roman" w:eastAsia="Times New Roman" w:hAnsi="Times New Roman" w:cs="Times New Roman"/>
          <w:sz w:val="24"/>
          <w:szCs w:val="24"/>
          <w:highlight w:val="yellow"/>
          <w:lang w:val="en-IN" w:eastAsia="en-IN" w:bidi="hi-IN"/>
        </w:rPr>
        <w:t>. New Delhi: ICAR.</w:t>
      </w:r>
    </w:p>
    <w:p w14:paraId="60492284"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Jat, M. L., Singh, R. G., Sapkota, T. B., &amp; </w:t>
      </w:r>
      <w:proofErr w:type="spellStart"/>
      <w:r w:rsidRPr="00A36B62">
        <w:rPr>
          <w:rFonts w:ascii="Times New Roman" w:eastAsia="Times New Roman" w:hAnsi="Times New Roman" w:cs="Times New Roman"/>
          <w:sz w:val="24"/>
          <w:szCs w:val="24"/>
          <w:lang w:val="en-IN" w:eastAsia="en-IN" w:bidi="hi-IN"/>
        </w:rPr>
        <w:t>Saharawat</w:t>
      </w:r>
      <w:proofErr w:type="spellEnd"/>
      <w:r w:rsidRPr="00A36B62">
        <w:rPr>
          <w:rFonts w:ascii="Times New Roman" w:eastAsia="Times New Roman" w:hAnsi="Times New Roman" w:cs="Times New Roman"/>
          <w:sz w:val="24"/>
          <w:szCs w:val="24"/>
          <w:lang w:val="en-IN" w:eastAsia="en-IN" w:bidi="hi-IN"/>
        </w:rPr>
        <w:t xml:space="preserve">, Y. S. (2020). Climate-smart agriculture practices for intensification of cereal-based systems in South Asia. </w:t>
      </w:r>
      <w:r w:rsidRPr="00A36B62">
        <w:rPr>
          <w:rFonts w:ascii="Times New Roman" w:eastAsia="Times New Roman" w:hAnsi="Times New Roman" w:cs="Times New Roman"/>
          <w:i/>
          <w:iCs/>
          <w:sz w:val="24"/>
          <w:szCs w:val="24"/>
          <w:lang w:val="en-IN" w:eastAsia="en-IN" w:bidi="hi-IN"/>
        </w:rPr>
        <w:t>Field Crops Research, 248</w:t>
      </w:r>
      <w:r w:rsidRPr="00A36B62">
        <w:rPr>
          <w:rFonts w:ascii="Times New Roman" w:eastAsia="Times New Roman" w:hAnsi="Times New Roman" w:cs="Times New Roman"/>
          <w:sz w:val="24"/>
          <w:szCs w:val="24"/>
          <w:lang w:val="en-IN" w:eastAsia="en-IN" w:bidi="hi-IN"/>
        </w:rPr>
        <w:t xml:space="preserve">, 107593. </w:t>
      </w:r>
      <w:hyperlink r:id="rId9" w:tgtFrame="_new" w:history="1">
        <w:r w:rsidRPr="00A36B62">
          <w:rPr>
            <w:rFonts w:ascii="Times New Roman" w:eastAsia="Times New Roman" w:hAnsi="Times New Roman" w:cs="Times New Roman"/>
            <w:color w:val="0000FF"/>
            <w:sz w:val="24"/>
            <w:szCs w:val="24"/>
            <w:u w:val="single"/>
            <w:lang w:val="en-IN" w:eastAsia="en-IN" w:bidi="hi-IN"/>
          </w:rPr>
          <w:t>https://doi.org/10.1016/j.fcr.2019.107593</w:t>
        </w:r>
      </w:hyperlink>
    </w:p>
    <w:p w14:paraId="2C3A8CDB" w14:textId="77777777" w:rsidR="00EC3637" w:rsidRPr="00C3393E"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highlight w:val="yellow"/>
          <w:lang w:val="en-IN" w:eastAsia="en-IN" w:bidi="hi-IN"/>
        </w:rPr>
      </w:pPr>
      <w:r w:rsidRPr="00C3393E">
        <w:rPr>
          <w:rFonts w:ascii="Times New Roman" w:eastAsia="Times New Roman" w:hAnsi="Times New Roman" w:cs="Times New Roman"/>
          <w:sz w:val="24"/>
          <w:szCs w:val="24"/>
          <w:highlight w:val="yellow"/>
          <w:lang w:val="en-IN" w:eastAsia="en-IN" w:bidi="hi-IN"/>
        </w:rPr>
        <w:t xml:space="preserve">Ministry of Agriculture &amp; Farmers’ Welfare. (2023). </w:t>
      </w:r>
      <w:r w:rsidRPr="00C3393E">
        <w:rPr>
          <w:rFonts w:ascii="Times New Roman" w:eastAsia="Times New Roman" w:hAnsi="Times New Roman" w:cs="Times New Roman"/>
          <w:i/>
          <w:iCs/>
          <w:sz w:val="24"/>
          <w:szCs w:val="24"/>
          <w:highlight w:val="yellow"/>
          <w:lang w:val="en-IN" w:eastAsia="en-IN" w:bidi="hi-IN"/>
        </w:rPr>
        <w:t>India’s CSA roadmap: Integrating climate adaptation into agricultural planning</w:t>
      </w:r>
      <w:r w:rsidRPr="00C3393E">
        <w:rPr>
          <w:rFonts w:ascii="Times New Roman" w:eastAsia="Times New Roman" w:hAnsi="Times New Roman" w:cs="Times New Roman"/>
          <w:sz w:val="24"/>
          <w:szCs w:val="24"/>
          <w:highlight w:val="yellow"/>
          <w:lang w:val="en-IN" w:eastAsia="en-IN" w:bidi="hi-IN"/>
        </w:rPr>
        <w:t>. New Delhi: Government of India.</w:t>
      </w:r>
    </w:p>
    <w:p w14:paraId="5D3A83BA"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Mittal, S., &amp; Mehar, M. (2016). Role of mobile phone-enabled climate information services in gender-inclusive agriculture. </w:t>
      </w:r>
      <w:r w:rsidRPr="00A36B62">
        <w:rPr>
          <w:rFonts w:ascii="Times New Roman" w:eastAsia="Times New Roman" w:hAnsi="Times New Roman" w:cs="Times New Roman"/>
          <w:i/>
          <w:iCs/>
          <w:sz w:val="24"/>
          <w:szCs w:val="24"/>
          <w:lang w:val="en-IN" w:eastAsia="en-IN" w:bidi="hi-IN"/>
        </w:rPr>
        <w:t>Gender, Technology and Development, 20</w:t>
      </w:r>
      <w:r w:rsidRPr="00A36B62">
        <w:rPr>
          <w:rFonts w:ascii="Times New Roman" w:eastAsia="Times New Roman" w:hAnsi="Times New Roman" w:cs="Times New Roman"/>
          <w:sz w:val="24"/>
          <w:szCs w:val="24"/>
          <w:lang w:val="en-IN" w:eastAsia="en-IN" w:bidi="hi-IN"/>
        </w:rPr>
        <w:t xml:space="preserve">(2), 200–217. </w:t>
      </w:r>
      <w:hyperlink r:id="rId10" w:tgtFrame="_new" w:history="1">
        <w:r w:rsidRPr="00A36B62">
          <w:rPr>
            <w:rFonts w:ascii="Times New Roman" w:eastAsia="Times New Roman" w:hAnsi="Times New Roman" w:cs="Times New Roman"/>
            <w:color w:val="0000FF"/>
            <w:sz w:val="24"/>
            <w:szCs w:val="24"/>
            <w:u w:val="single"/>
            <w:lang w:val="en-IN" w:eastAsia="en-IN" w:bidi="hi-IN"/>
          </w:rPr>
          <w:t>https://doi.org/10.1177/0971852416639784</w:t>
        </w:r>
      </w:hyperlink>
    </w:p>
    <w:p w14:paraId="28DC4C11"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Pretty, J., Toulmin, C., &amp; Williams, S. (2011). Sustainable intensification in African agriculture. </w:t>
      </w:r>
      <w:r w:rsidRPr="00A36B62">
        <w:rPr>
          <w:rFonts w:ascii="Times New Roman" w:eastAsia="Times New Roman" w:hAnsi="Times New Roman" w:cs="Times New Roman"/>
          <w:i/>
          <w:iCs/>
          <w:sz w:val="24"/>
          <w:szCs w:val="24"/>
          <w:lang w:val="en-IN" w:eastAsia="en-IN" w:bidi="hi-IN"/>
        </w:rPr>
        <w:t>International Journal of Agricultural Sustainability, 9</w:t>
      </w:r>
      <w:r w:rsidRPr="00A36B62">
        <w:rPr>
          <w:rFonts w:ascii="Times New Roman" w:eastAsia="Times New Roman" w:hAnsi="Times New Roman" w:cs="Times New Roman"/>
          <w:sz w:val="24"/>
          <w:szCs w:val="24"/>
          <w:lang w:val="en-IN" w:eastAsia="en-IN" w:bidi="hi-IN"/>
        </w:rPr>
        <w:t xml:space="preserve">(1), 5–24. </w:t>
      </w:r>
      <w:hyperlink r:id="rId11" w:tgtFrame="_new" w:history="1">
        <w:r w:rsidRPr="00A36B62">
          <w:rPr>
            <w:rFonts w:ascii="Times New Roman" w:eastAsia="Times New Roman" w:hAnsi="Times New Roman" w:cs="Times New Roman"/>
            <w:color w:val="0000FF"/>
            <w:sz w:val="24"/>
            <w:szCs w:val="24"/>
            <w:u w:val="single"/>
            <w:lang w:val="en-IN" w:eastAsia="en-IN" w:bidi="hi-IN"/>
          </w:rPr>
          <w:t>https://doi.org/10.3763/ijas.2010.0583</w:t>
        </w:r>
      </w:hyperlink>
    </w:p>
    <w:p w14:paraId="219036A9"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Thornton, P. K., Kristjanson, P., </w:t>
      </w:r>
      <w:proofErr w:type="spellStart"/>
      <w:r w:rsidRPr="00A36B62">
        <w:rPr>
          <w:rFonts w:ascii="Times New Roman" w:eastAsia="Times New Roman" w:hAnsi="Times New Roman" w:cs="Times New Roman"/>
          <w:sz w:val="24"/>
          <w:szCs w:val="24"/>
          <w:lang w:val="en-IN" w:eastAsia="en-IN" w:bidi="hi-IN"/>
        </w:rPr>
        <w:t>Förch</w:t>
      </w:r>
      <w:proofErr w:type="spellEnd"/>
      <w:r w:rsidRPr="00A36B62">
        <w:rPr>
          <w:rFonts w:ascii="Times New Roman" w:eastAsia="Times New Roman" w:hAnsi="Times New Roman" w:cs="Times New Roman"/>
          <w:sz w:val="24"/>
          <w:szCs w:val="24"/>
          <w:lang w:val="en-IN" w:eastAsia="en-IN" w:bidi="hi-IN"/>
        </w:rPr>
        <w:t xml:space="preserve">, W., Barahona, C., Cramer, L., &amp; Pradhan, S. (2018). A framework for priority-setting in climate-smart agriculture research. </w:t>
      </w:r>
      <w:r w:rsidRPr="00A36B62">
        <w:rPr>
          <w:rFonts w:ascii="Times New Roman" w:eastAsia="Times New Roman" w:hAnsi="Times New Roman" w:cs="Times New Roman"/>
          <w:i/>
          <w:iCs/>
          <w:sz w:val="24"/>
          <w:szCs w:val="24"/>
          <w:lang w:val="en-IN" w:eastAsia="en-IN" w:bidi="hi-IN"/>
        </w:rPr>
        <w:t>Agricultural Systems, 167</w:t>
      </w:r>
      <w:r w:rsidRPr="00A36B62">
        <w:rPr>
          <w:rFonts w:ascii="Times New Roman" w:eastAsia="Times New Roman" w:hAnsi="Times New Roman" w:cs="Times New Roman"/>
          <w:sz w:val="24"/>
          <w:szCs w:val="24"/>
          <w:lang w:val="en-IN" w:eastAsia="en-IN" w:bidi="hi-IN"/>
        </w:rPr>
        <w:t xml:space="preserve">, 161–175. </w:t>
      </w:r>
      <w:hyperlink r:id="rId12" w:tgtFrame="_new" w:history="1">
        <w:r w:rsidRPr="00A36B62">
          <w:rPr>
            <w:rFonts w:ascii="Times New Roman" w:eastAsia="Times New Roman" w:hAnsi="Times New Roman" w:cs="Times New Roman"/>
            <w:color w:val="0000FF"/>
            <w:sz w:val="24"/>
            <w:szCs w:val="24"/>
            <w:u w:val="single"/>
            <w:lang w:val="en-IN" w:eastAsia="en-IN" w:bidi="hi-IN"/>
          </w:rPr>
          <w:t>https://doi.org/10.1016/j.agsy.2018.09.009</w:t>
        </w:r>
      </w:hyperlink>
    </w:p>
    <w:p w14:paraId="39BB6805"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bookmarkStart w:id="0" w:name="_GoBack"/>
      <w:bookmarkEnd w:id="0"/>
      <w:r w:rsidRPr="00A36B62">
        <w:rPr>
          <w:rFonts w:ascii="Times New Roman" w:eastAsia="Times New Roman" w:hAnsi="Times New Roman" w:cs="Times New Roman"/>
          <w:sz w:val="24"/>
          <w:szCs w:val="24"/>
          <w:lang w:val="en-IN" w:eastAsia="en-IN" w:bidi="hi-IN"/>
        </w:rPr>
        <w:t xml:space="preserve">Vermeulen, S. J., Aggarwal, P. K., Ainslie, A., Angelone, C., Campbell, B. M., Challinor, A. J., ... &amp; Wollenberg, E. (2012). Options for support to agriculture and food security under climate change. </w:t>
      </w:r>
      <w:r w:rsidRPr="00A36B62">
        <w:rPr>
          <w:rFonts w:ascii="Times New Roman" w:eastAsia="Times New Roman" w:hAnsi="Times New Roman" w:cs="Times New Roman"/>
          <w:i/>
          <w:iCs/>
          <w:sz w:val="24"/>
          <w:szCs w:val="24"/>
          <w:lang w:val="en-IN" w:eastAsia="en-IN" w:bidi="hi-IN"/>
        </w:rPr>
        <w:t>Environmental Science &amp; Policy, 15</w:t>
      </w:r>
      <w:r w:rsidRPr="00A36B62">
        <w:rPr>
          <w:rFonts w:ascii="Times New Roman" w:eastAsia="Times New Roman" w:hAnsi="Times New Roman" w:cs="Times New Roman"/>
          <w:sz w:val="24"/>
          <w:szCs w:val="24"/>
          <w:lang w:val="en-IN" w:eastAsia="en-IN" w:bidi="hi-IN"/>
        </w:rPr>
        <w:t xml:space="preserve">(1), 136–144. </w:t>
      </w:r>
      <w:hyperlink r:id="rId13" w:tgtFrame="_new" w:history="1">
        <w:r w:rsidRPr="00A36B62">
          <w:rPr>
            <w:rFonts w:ascii="Times New Roman" w:eastAsia="Times New Roman" w:hAnsi="Times New Roman" w:cs="Times New Roman"/>
            <w:color w:val="0000FF"/>
            <w:sz w:val="24"/>
            <w:szCs w:val="24"/>
            <w:u w:val="single"/>
            <w:lang w:val="en-IN" w:eastAsia="en-IN" w:bidi="hi-IN"/>
          </w:rPr>
          <w:t>https://doi.org/10.1016/j.envsci.2011.09.003</w:t>
        </w:r>
      </w:hyperlink>
    </w:p>
    <w:p w14:paraId="659259A3" w14:textId="77777777" w:rsidR="00EC3637" w:rsidRPr="00A36B62"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World Bank. (2023). </w:t>
      </w:r>
      <w:r w:rsidRPr="00A36B62">
        <w:rPr>
          <w:rFonts w:ascii="Times New Roman" w:eastAsia="Times New Roman" w:hAnsi="Times New Roman" w:cs="Times New Roman"/>
          <w:i/>
          <w:iCs/>
          <w:sz w:val="24"/>
          <w:szCs w:val="24"/>
          <w:lang w:val="en-IN" w:eastAsia="en-IN" w:bidi="hi-IN"/>
        </w:rPr>
        <w:t>Transforming agricultural extension systems for climate change adaptation</w:t>
      </w:r>
      <w:r w:rsidRPr="00A36B62">
        <w:rPr>
          <w:rFonts w:ascii="Times New Roman" w:eastAsia="Times New Roman" w:hAnsi="Times New Roman" w:cs="Times New Roman"/>
          <w:sz w:val="24"/>
          <w:szCs w:val="24"/>
          <w:lang w:val="en-IN" w:eastAsia="en-IN" w:bidi="hi-IN"/>
        </w:rPr>
        <w:t>. Washington, DC: World Bank Group.</w:t>
      </w:r>
    </w:p>
    <w:p w14:paraId="3A85A98B" w14:textId="7D699012" w:rsidR="00EC3637" w:rsidRPr="000E35B7" w:rsidRDefault="00EC3637" w:rsidP="006944A6">
      <w:pPr>
        <w:numPr>
          <w:ilvl w:val="0"/>
          <w:numId w:val="19"/>
        </w:numPr>
        <w:spacing w:before="100" w:beforeAutospacing="1" w:after="100" w:afterAutospacing="1" w:line="240" w:lineRule="auto"/>
        <w:ind w:left="-630" w:right="-810"/>
        <w:rPr>
          <w:rFonts w:ascii="Times New Roman" w:eastAsia="Times New Roman" w:hAnsi="Times New Roman" w:cs="Times New Roman"/>
          <w:sz w:val="24"/>
          <w:szCs w:val="24"/>
          <w:lang w:val="en-IN" w:eastAsia="en-IN" w:bidi="hi-IN"/>
        </w:rPr>
      </w:pPr>
      <w:r w:rsidRPr="00A36B62">
        <w:rPr>
          <w:rFonts w:ascii="Times New Roman" w:eastAsia="Times New Roman" w:hAnsi="Times New Roman" w:cs="Times New Roman"/>
          <w:sz w:val="24"/>
          <w:szCs w:val="24"/>
          <w:lang w:val="en-IN" w:eastAsia="en-IN" w:bidi="hi-IN"/>
        </w:rPr>
        <w:t xml:space="preserve">World Resources Institute. (2019). </w:t>
      </w:r>
      <w:r w:rsidRPr="00A36B62">
        <w:rPr>
          <w:rFonts w:ascii="Times New Roman" w:eastAsia="Times New Roman" w:hAnsi="Times New Roman" w:cs="Times New Roman"/>
          <w:i/>
          <w:iCs/>
          <w:sz w:val="24"/>
          <w:szCs w:val="24"/>
          <w:lang w:val="en-IN" w:eastAsia="en-IN" w:bidi="hi-IN"/>
        </w:rPr>
        <w:t>Creating a sustainable food future: A menu of solutions to feed nearly 10 billion people by 2050</w:t>
      </w:r>
      <w:r w:rsidRPr="00A36B62">
        <w:rPr>
          <w:rFonts w:ascii="Times New Roman" w:eastAsia="Times New Roman" w:hAnsi="Times New Roman" w:cs="Times New Roman"/>
          <w:sz w:val="24"/>
          <w:szCs w:val="24"/>
          <w:lang w:val="en-IN" w:eastAsia="en-IN" w:bidi="hi-IN"/>
        </w:rPr>
        <w:t xml:space="preserve">. Washington, DC. </w:t>
      </w:r>
      <w:hyperlink r:id="rId14" w:tgtFrame="_new" w:history="1">
        <w:r w:rsidRPr="00A36B62">
          <w:rPr>
            <w:rFonts w:ascii="Times New Roman" w:eastAsia="Times New Roman" w:hAnsi="Times New Roman" w:cs="Times New Roman"/>
            <w:color w:val="0000FF"/>
            <w:sz w:val="24"/>
            <w:szCs w:val="24"/>
            <w:u w:val="single"/>
            <w:lang w:val="en-IN" w:eastAsia="en-IN" w:bidi="hi-IN"/>
          </w:rPr>
          <w:t>https://www.wri.org/research/creating-sustainable-food-future</w:t>
        </w:r>
      </w:hyperlink>
    </w:p>
    <w:p w14:paraId="55C8F7CD" w14:textId="0B33F8BE" w:rsidR="000E35B7" w:rsidRPr="004F60B6" w:rsidRDefault="000E35B7" w:rsidP="000E35B7">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4F60B6">
        <w:rPr>
          <w:rFonts w:ascii="Times New Roman" w:eastAsia="Times New Roman" w:hAnsi="Times New Roman" w:cs="Times New Roman"/>
          <w:sz w:val="24"/>
          <w:szCs w:val="24"/>
          <w:highlight w:val="yellow"/>
          <w:lang w:val="en-IN" w:eastAsia="en-IN" w:bidi="hi-IN"/>
        </w:rPr>
        <w:t>Yuvaraj</w:t>
      </w:r>
      <w:proofErr w:type="spellEnd"/>
      <w:r w:rsidRPr="004F60B6">
        <w:rPr>
          <w:rFonts w:ascii="Times New Roman" w:eastAsia="Times New Roman" w:hAnsi="Times New Roman" w:cs="Times New Roman"/>
          <w:sz w:val="24"/>
          <w:szCs w:val="24"/>
          <w:highlight w:val="yellow"/>
          <w:lang w:val="en-IN" w:eastAsia="en-IN" w:bidi="hi-IN"/>
        </w:rPr>
        <w:t xml:space="preserve">, C., Shankar, K. R., Rao, I. S., </w:t>
      </w:r>
      <w:proofErr w:type="spellStart"/>
      <w:r w:rsidRPr="004F60B6">
        <w:rPr>
          <w:rFonts w:ascii="Times New Roman" w:eastAsia="Times New Roman" w:hAnsi="Times New Roman" w:cs="Times New Roman"/>
          <w:sz w:val="24"/>
          <w:szCs w:val="24"/>
          <w:highlight w:val="yellow"/>
          <w:lang w:val="en-IN" w:eastAsia="en-IN" w:bidi="hi-IN"/>
        </w:rPr>
        <w:t>Supriya</w:t>
      </w:r>
      <w:proofErr w:type="spellEnd"/>
      <w:r w:rsidRPr="004F60B6">
        <w:rPr>
          <w:rFonts w:ascii="Times New Roman" w:eastAsia="Times New Roman" w:hAnsi="Times New Roman" w:cs="Times New Roman"/>
          <w:sz w:val="24"/>
          <w:szCs w:val="24"/>
          <w:highlight w:val="yellow"/>
          <w:lang w:val="en-IN" w:eastAsia="en-IN" w:bidi="hi-IN"/>
        </w:rPr>
        <w:t xml:space="preserve">, K., Sailaja, A. D., &amp; Sreenivas, G. (2022). A Study on Adoption and Factors Determining the Adoption of Recommended Climate Smart Agriculture (CSA) Practices by the Farmers of Telangana State. International Journal of Environment and Climate Change, 12(5), 97–103. </w:t>
      </w:r>
      <w:hyperlink r:id="rId15" w:history="1">
        <w:r w:rsidRPr="004F60B6">
          <w:rPr>
            <w:rStyle w:val="Hyperlink"/>
            <w:rFonts w:ascii="Times New Roman" w:eastAsia="Times New Roman" w:hAnsi="Times New Roman" w:cs="Times New Roman"/>
            <w:sz w:val="24"/>
            <w:szCs w:val="24"/>
            <w:highlight w:val="yellow"/>
            <w:lang w:val="en-IN" w:eastAsia="en-IN" w:bidi="hi-IN"/>
          </w:rPr>
          <w:t>https://doi.org/10.9734/ijecc/2022/v12i530678</w:t>
        </w:r>
      </w:hyperlink>
    </w:p>
    <w:p w14:paraId="4A443C78" w14:textId="4839F18D" w:rsidR="000E35B7" w:rsidRPr="00702FF5" w:rsidRDefault="00823A27" w:rsidP="00823A27">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4F60B6">
        <w:rPr>
          <w:rFonts w:ascii="Times New Roman" w:eastAsia="Times New Roman" w:hAnsi="Times New Roman" w:cs="Times New Roman"/>
          <w:sz w:val="24"/>
          <w:szCs w:val="24"/>
          <w:highlight w:val="yellow"/>
          <w:lang w:val="en-IN" w:eastAsia="en-IN" w:bidi="hi-IN"/>
        </w:rPr>
        <w:t>Maka</w:t>
      </w:r>
      <w:proofErr w:type="spellEnd"/>
      <w:r w:rsidRPr="004F60B6">
        <w:rPr>
          <w:rFonts w:ascii="Times New Roman" w:eastAsia="Times New Roman" w:hAnsi="Times New Roman" w:cs="Times New Roman"/>
          <w:sz w:val="24"/>
          <w:szCs w:val="24"/>
          <w:highlight w:val="yellow"/>
          <w:lang w:val="en-IN" w:eastAsia="en-IN" w:bidi="hi-IN"/>
        </w:rPr>
        <w:t xml:space="preserve">, L., </w:t>
      </w:r>
      <w:proofErr w:type="spellStart"/>
      <w:r w:rsidRPr="004F60B6">
        <w:rPr>
          <w:rFonts w:ascii="Times New Roman" w:eastAsia="Times New Roman" w:hAnsi="Times New Roman" w:cs="Times New Roman"/>
          <w:sz w:val="24"/>
          <w:szCs w:val="24"/>
          <w:highlight w:val="yellow"/>
          <w:lang w:val="en-IN" w:eastAsia="en-IN" w:bidi="hi-IN"/>
        </w:rPr>
        <w:t>Ngotho</w:t>
      </w:r>
      <w:proofErr w:type="spellEnd"/>
      <w:r w:rsidRPr="004F60B6">
        <w:rPr>
          <w:rFonts w:ascii="Times New Roman" w:eastAsia="Times New Roman" w:hAnsi="Times New Roman" w:cs="Times New Roman"/>
          <w:sz w:val="24"/>
          <w:szCs w:val="24"/>
          <w:highlight w:val="yellow"/>
          <w:lang w:val="en-IN" w:eastAsia="en-IN" w:bidi="hi-IN"/>
        </w:rPr>
        <w:t xml:space="preserve">, T., Walker, S., </w:t>
      </w:r>
      <w:proofErr w:type="spellStart"/>
      <w:r w:rsidRPr="004F60B6">
        <w:rPr>
          <w:rFonts w:ascii="Times New Roman" w:eastAsia="Times New Roman" w:hAnsi="Times New Roman" w:cs="Times New Roman"/>
          <w:sz w:val="24"/>
          <w:szCs w:val="24"/>
          <w:highlight w:val="yellow"/>
          <w:lang w:val="en-IN" w:eastAsia="en-IN" w:bidi="hi-IN"/>
        </w:rPr>
        <w:t>Ngcamphalala</w:t>
      </w:r>
      <w:proofErr w:type="spellEnd"/>
      <w:r w:rsidRPr="004F60B6">
        <w:rPr>
          <w:rFonts w:ascii="Times New Roman" w:eastAsia="Times New Roman" w:hAnsi="Times New Roman" w:cs="Times New Roman"/>
          <w:sz w:val="24"/>
          <w:szCs w:val="24"/>
          <w:highlight w:val="yellow"/>
          <w:lang w:val="en-IN" w:eastAsia="en-IN" w:bidi="hi-IN"/>
        </w:rPr>
        <w:t xml:space="preserve">, S., &amp; </w:t>
      </w:r>
      <w:proofErr w:type="spellStart"/>
      <w:r w:rsidRPr="004F60B6">
        <w:rPr>
          <w:rFonts w:ascii="Times New Roman" w:eastAsia="Times New Roman" w:hAnsi="Times New Roman" w:cs="Times New Roman"/>
          <w:sz w:val="24"/>
          <w:szCs w:val="24"/>
          <w:highlight w:val="yellow"/>
          <w:lang w:val="en-IN" w:eastAsia="en-IN" w:bidi="hi-IN"/>
        </w:rPr>
        <w:t>Maboa</w:t>
      </w:r>
      <w:proofErr w:type="spellEnd"/>
      <w:r w:rsidRPr="004F60B6">
        <w:rPr>
          <w:rFonts w:ascii="Times New Roman" w:eastAsia="Times New Roman" w:hAnsi="Times New Roman" w:cs="Times New Roman"/>
          <w:sz w:val="24"/>
          <w:szCs w:val="24"/>
          <w:highlight w:val="yellow"/>
          <w:lang w:val="en-IN" w:eastAsia="en-IN" w:bidi="hi-IN"/>
        </w:rPr>
        <w:t xml:space="preserve">, L. (2021). An assessment of climate-smart agriculture (CSA) practices skills amongst extension practitioners in </w:t>
      </w:r>
      <w:r w:rsidRPr="00702FF5">
        <w:rPr>
          <w:rFonts w:ascii="Times New Roman" w:eastAsia="Times New Roman" w:hAnsi="Times New Roman" w:cs="Times New Roman"/>
          <w:sz w:val="24"/>
          <w:szCs w:val="24"/>
          <w:highlight w:val="yellow"/>
          <w:lang w:val="en-IN" w:eastAsia="en-IN" w:bidi="hi-IN"/>
        </w:rPr>
        <w:t>South Africa. South African Journal of Agricultural Extension, 49(2), 70-83.</w:t>
      </w:r>
    </w:p>
    <w:p w14:paraId="71F497F2" w14:textId="5B681EF5" w:rsidR="00823A27" w:rsidRPr="0045491A" w:rsidRDefault="006D6D73" w:rsidP="006D6D73">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702FF5">
        <w:rPr>
          <w:rFonts w:ascii="Times New Roman" w:eastAsia="Times New Roman" w:hAnsi="Times New Roman" w:cs="Times New Roman"/>
          <w:sz w:val="24"/>
          <w:szCs w:val="24"/>
          <w:highlight w:val="yellow"/>
          <w:lang w:val="en-IN" w:eastAsia="en-IN" w:bidi="hi-IN"/>
        </w:rPr>
        <w:lastRenderedPageBreak/>
        <w:t>Jellason</w:t>
      </w:r>
      <w:proofErr w:type="spellEnd"/>
      <w:r w:rsidRPr="00702FF5">
        <w:rPr>
          <w:rFonts w:ascii="Times New Roman" w:eastAsia="Times New Roman" w:hAnsi="Times New Roman" w:cs="Times New Roman"/>
          <w:sz w:val="24"/>
          <w:szCs w:val="24"/>
          <w:highlight w:val="yellow"/>
          <w:lang w:val="en-IN" w:eastAsia="en-IN" w:bidi="hi-IN"/>
        </w:rPr>
        <w:t xml:space="preserve">, N. P., Conway, J. S., &amp; Baines, R. N. (2021). Understanding impacts and barriers to adoption of climate-smart agriculture (CSA) practices in North-Western Nigerian </w:t>
      </w:r>
      <w:r w:rsidRPr="0045491A">
        <w:rPr>
          <w:rFonts w:ascii="Times New Roman" w:eastAsia="Times New Roman" w:hAnsi="Times New Roman" w:cs="Times New Roman"/>
          <w:sz w:val="24"/>
          <w:szCs w:val="24"/>
          <w:highlight w:val="yellow"/>
          <w:lang w:val="en-IN" w:eastAsia="en-IN" w:bidi="hi-IN"/>
        </w:rPr>
        <w:t>drylands. The Journal of Agricultural Education and Extension, 27(1), 55-72.</w:t>
      </w:r>
    </w:p>
    <w:p w14:paraId="44787738" w14:textId="002134AB" w:rsidR="00C5040F" w:rsidRDefault="00C5040F" w:rsidP="00C5040F">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45491A">
        <w:rPr>
          <w:rFonts w:ascii="Times New Roman" w:eastAsia="Times New Roman" w:hAnsi="Times New Roman" w:cs="Times New Roman"/>
          <w:sz w:val="24"/>
          <w:szCs w:val="24"/>
          <w:highlight w:val="yellow"/>
          <w:lang w:val="en-IN" w:eastAsia="en-IN" w:bidi="hi-IN"/>
        </w:rPr>
        <w:t>Thottadi</w:t>
      </w:r>
      <w:proofErr w:type="spellEnd"/>
      <w:r w:rsidRPr="0045491A">
        <w:rPr>
          <w:rFonts w:ascii="Times New Roman" w:eastAsia="Times New Roman" w:hAnsi="Times New Roman" w:cs="Times New Roman"/>
          <w:sz w:val="24"/>
          <w:szCs w:val="24"/>
          <w:highlight w:val="yellow"/>
          <w:lang w:val="en-IN" w:eastAsia="en-IN" w:bidi="hi-IN"/>
        </w:rPr>
        <w:t>, B. P., &amp; Singh, S. P. (2024). Climate-smart agriculture (CSA) adaptation, adaptation determinants and extension services synergies: a systematic review. Mitigation and Adaptation Strategies for Global Change, 29(3), 22.</w:t>
      </w:r>
    </w:p>
    <w:p w14:paraId="14EE3CEB" w14:textId="01FA9081" w:rsidR="004F44D2" w:rsidRPr="00DF6EC2" w:rsidRDefault="004F44D2" w:rsidP="004F44D2">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DF6EC2">
        <w:rPr>
          <w:rFonts w:ascii="Times New Roman" w:eastAsia="Times New Roman" w:hAnsi="Times New Roman" w:cs="Times New Roman"/>
          <w:sz w:val="24"/>
          <w:szCs w:val="24"/>
          <w:highlight w:val="yellow"/>
          <w:lang w:val="en-IN" w:eastAsia="en-IN" w:bidi="hi-IN"/>
        </w:rPr>
        <w:t>Olorunfemi</w:t>
      </w:r>
      <w:proofErr w:type="spellEnd"/>
      <w:r w:rsidRPr="00DF6EC2">
        <w:rPr>
          <w:rFonts w:ascii="Times New Roman" w:eastAsia="Times New Roman" w:hAnsi="Times New Roman" w:cs="Times New Roman"/>
          <w:sz w:val="24"/>
          <w:szCs w:val="24"/>
          <w:highlight w:val="yellow"/>
          <w:lang w:val="en-IN" w:eastAsia="en-IN" w:bidi="hi-IN"/>
        </w:rPr>
        <w:t xml:space="preserve">, T. O., </w:t>
      </w:r>
      <w:proofErr w:type="spellStart"/>
      <w:r w:rsidRPr="00DF6EC2">
        <w:rPr>
          <w:rFonts w:ascii="Times New Roman" w:eastAsia="Times New Roman" w:hAnsi="Times New Roman" w:cs="Times New Roman"/>
          <w:sz w:val="24"/>
          <w:szCs w:val="24"/>
          <w:highlight w:val="yellow"/>
          <w:lang w:val="en-IN" w:eastAsia="en-IN" w:bidi="hi-IN"/>
        </w:rPr>
        <w:t>Olorunfemi</w:t>
      </w:r>
      <w:proofErr w:type="spellEnd"/>
      <w:r w:rsidRPr="00DF6EC2">
        <w:rPr>
          <w:rFonts w:ascii="Times New Roman" w:eastAsia="Times New Roman" w:hAnsi="Times New Roman" w:cs="Times New Roman"/>
          <w:sz w:val="24"/>
          <w:szCs w:val="24"/>
          <w:highlight w:val="yellow"/>
          <w:lang w:val="en-IN" w:eastAsia="en-IN" w:bidi="hi-IN"/>
        </w:rPr>
        <w:t>, O. D., &amp; Oladele, O. I. (2020). Determinants of the involvement of extension agents in disseminating climate smart agricultural initiatives: Implication for scaling up. Journal of the Saudi Society of Agricultural Sciences, 19(4), 285-292.</w:t>
      </w:r>
    </w:p>
    <w:p w14:paraId="048646CF" w14:textId="0092BCF5" w:rsidR="004F44D2" w:rsidRPr="00DF6EC2" w:rsidRDefault="004F44D2" w:rsidP="004F44D2">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proofErr w:type="spellStart"/>
      <w:r w:rsidRPr="00DF6EC2">
        <w:rPr>
          <w:rFonts w:ascii="Times New Roman" w:eastAsia="Times New Roman" w:hAnsi="Times New Roman" w:cs="Times New Roman"/>
          <w:sz w:val="24"/>
          <w:szCs w:val="24"/>
          <w:highlight w:val="yellow"/>
          <w:lang w:val="en-IN" w:eastAsia="en-IN" w:bidi="hi-IN"/>
        </w:rPr>
        <w:t>Ajieh</w:t>
      </w:r>
      <w:proofErr w:type="spellEnd"/>
      <w:r w:rsidRPr="00DF6EC2">
        <w:rPr>
          <w:rFonts w:ascii="Times New Roman" w:eastAsia="Times New Roman" w:hAnsi="Times New Roman" w:cs="Times New Roman"/>
          <w:sz w:val="24"/>
          <w:szCs w:val="24"/>
          <w:highlight w:val="yellow"/>
          <w:lang w:val="en-IN" w:eastAsia="en-IN" w:bidi="hi-IN"/>
        </w:rPr>
        <w:t xml:space="preserve">, P. C., &amp; </w:t>
      </w:r>
      <w:proofErr w:type="spellStart"/>
      <w:r w:rsidRPr="00DF6EC2">
        <w:rPr>
          <w:rFonts w:ascii="Times New Roman" w:eastAsia="Times New Roman" w:hAnsi="Times New Roman" w:cs="Times New Roman"/>
          <w:sz w:val="24"/>
          <w:szCs w:val="24"/>
          <w:highlight w:val="yellow"/>
          <w:lang w:val="en-IN" w:eastAsia="en-IN" w:bidi="hi-IN"/>
        </w:rPr>
        <w:t>Okoh</w:t>
      </w:r>
      <w:proofErr w:type="spellEnd"/>
      <w:r w:rsidRPr="00DF6EC2">
        <w:rPr>
          <w:rFonts w:ascii="Times New Roman" w:eastAsia="Times New Roman" w:hAnsi="Times New Roman" w:cs="Times New Roman"/>
          <w:sz w:val="24"/>
          <w:szCs w:val="24"/>
          <w:highlight w:val="yellow"/>
          <w:lang w:val="en-IN" w:eastAsia="en-IN" w:bidi="hi-IN"/>
        </w:rPr>
        <w:t>, R. N. (2012). Constraints to the implementation of climate change adaptation measures by farmers in delta state, Nigeria. Glob J Sci Frontier Res Agric Vet Sci, 12, 1-7.</w:t>
      </w:r>
    </w:p>
    <w:p w14:paraId="1867AAB8" w14:textId="02B7431C" w:rsidR="004F44D2" w:rsidRPr="00DF6EC2" w:rsidRDefault="004F44D2" w:rsidP="004F44D2">
      <w:pPr>
        <w:numPr>
          <w:ilvl w:val="0"/>
          <w:numId w:val="19"/>
        </w:numPr>
        <w:spacing w:before="100" w:beforeAutospacing="1" w:after="100" w:afterAutospacing="1" w:line="240" w:lineRule="auto"/>
        <w:ind w:right="-810"/>
        <w:rPr>
          <w:rFonts w:ascii="Times New Roman" w:eastAsia="Times New Roman" w:hAnsi="Times New Roman" w:cs="Times New Roman"/>
          <w:sz w:val="24"/>
          <w:szCs w:val="24"/>
          <w:highlight w:val="yellow"/>
          <w:lang w:val="en-IN" w:eastAsia="en-IN" w:bidi="hi-IN"/>
        </w:rPr>
      </w:pPr>
      <w:r w:rsidRPr="00DF6EC2">
        <w:rPr>
          <w:rFonts w:ascii="Times New Roman" w:eastAsia="Times New Roman" w:hAnsi="Times New Roman" w:cs="Times New Roman"/>
          <w:sz w:val="24"/>
          <w:szCs w:val="24"/>
          <w:highlight w:val="yellow"/>
          <w:lang w:val="en-IN" w:eastAsia="en-IN" w:bidi="hi-IN"/>
        </w:rPr>
        <w:t>Miller, C. A., &amp; Edwards, P. N. (Eds.). (2001). Changing the atmosphere: Expert knowledge and environmental governance. MIT press.</w:t>
      </w:r>
    </w:p>
    <w:p w14:paraId="72E8F89C" w14:textId="44996599" w:rsidR="00A524AB" w:rsidRDefault="00A524AB" w:rsidP="000E35B7">
      <w:pPr>
        <w:spacing w:before="100" w:beforeAutospacing="1" w:after="100" w:afterAutospacing="1" w:line="240" w:lineRule="auto"/>
        <w:ind w:left="720" w:right="-810"/>
        <w:rPr>
          <w:rFonts w:ascii="Times New Roman" w:eastAsia="Times New Roman" w:hAnsi="Times New Roman" w:cs="Times New Roman"/>
          <w:sz w:val="24"/>
          <w:szCs w:val="24"/>
          <w:lang w:val="en-IN" w:eastAsia="en-IN" w:bidi="hi-IN"/>
        </w:rPr>
      </w:pPr>
    </w:p>
    <w:p w14:paraId="6604C970" w14:textId="6CD3C51A" w:rsidR="00A524AB" w:rsidRPr="00A36B62" w:rsidRDefault="00A524AB" w:rsidP="00A524AB">
      <w:pPr>
        <w:spacing w:before="100" w:beforeAutospacing="1" w:after="100" w:afterAutospacing="1" w:line="240" w:lineRule="auto"/>
        <w:ind w:right="-810"/>
        <w:rPr>
          <w:rFonts w:ascii="Times New Roman" w:eastAsia="Times New Roman" w:hAnsi="Times New Roman" w:cs="Times New Roman"/>
          <w:sz w:val="24"/>
          <w:szCs w:val="24"/>
          <w:lang w:val="en-IN" w:eastAsia="en-IN" w:bidi="hi-IN"/>
        </w:rPr>
      </w:pPr>
    </w:p>
    <w:p w14:paraId="34C5FF7B" w14:textId="77777777" w:rsidR="008D6325" w:rsidRPr="00A36B62" w:rsidRDefault="008D6325" w:rsidP="006944A6">
      <w:pPr>
        <w:ind w:left="-630" w:right="-810"/>
        <w:rPr>
          <w:rFonts w:ascii="Times New Roman" w:hAnsi="Times New Roman" w:cs="Times New Roman"/>
          <w:color w:val="000000" w:themeColor="text1"/>
          <w:sz w:val="24"/>
          <w:szCs w:val="24"/>
        </w:rPr>
      </w:pPr>
    </w:p>
    <w:sectPr w:rsidR="008D6325" w:rsidRPr="00A36B62"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217C" w14:textId="77777777" w:rsidR="004524E3" w:rsidRDefault="004524E3" w:rsidP="006A36BF">
      <w:pPr>
        <w:spacing w:after="0" w:line="240" w:lineRule="auto"/>
      </w:pPr>
      <w:r>
        <w:separator/>
      </w:r>
    </w:p>
  </w:endnote>
  <w:endnote w:type="continuationSeparator" w:id="0">
    <w:p w14:paraId="5EFE1AC1" w14:textId="77777777" w:rsidR="004524E3" w:rsidRDefault="004524E3" w:rsidP="006A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B2897" w14:textId="77777777" w:rsidR="006A36BF" w:rsidRDefault="006A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C43C" w14:textId="77777777" w:rsidR="006A36BF" w:rsidRDefault="006A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2066" w14:textId="77777777" w:rsidR="006A36BF" w:rsidRDefault="006A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BF6A8" w14:textId="77777777" w:rsidR="004524E3" w:rsidRDefault="004524E3" w:rsidP="006A36BF">
      <w:pPr>
        <w:spacing w:after="0" w:line="240" w:lineRule="auto"/>
      </w:pPr>
      <w:r>
        <w:separator/>
      </w:r>
    </w:p>
  </w:footnote>
  <w:footnote w:type="continuationSeparator" w:id="0">
    <w:p w14:paraId="2E2B6E8B" w14:textId="77777777" w:rsidR="004524E3" w:rsidRDefault="004524E3" w:rsidP="006A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2E4" w14:textId="1CE52D80" w:rsidR="006A36BF" w:rsidRDefault="00C3393E">
    <w:pPr>
      <w:pStyle w:val="Header"/>
    </w:pPr>
    <w:r>
      <w:rPr>
        <w:noProof/>
      </w:rPr>
      <w:pict w14:anchorId="476C3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8"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1D99" w14:textId="5B12659B" w:rsidR="006A36BF" w:rsidRDefault="00C3393E">
    <w:pPr>
      <w:pStyle w:val="Header"/>
    </w:pPr>
    <w:r>
      <w:rPr>
        <w:noProof/>
      </w:rPr>
      <w:pict w14:anchorId="3592C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9"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866C" w14:textId="37CB93BC" w:rsidR="006A36BF" w:rsidRDefault="00C3393E">
    <w:pPr>
      <w:pStyle w:val="Header"/>
    </w:pPr>
    <w:r>
      <w:rPr>
        <w:noProof/>
      </w:rPr>
      <w:pict w14:anchorId="5B17B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098937"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F553D"/>
    <w:multiLevelType w:val="multilevel"/>
    <w:tmpl w:val="755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43297E"/>
    <w:multiLevelType w:val="multilevel"/>
    <w:tmpl w:val="E4D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E1472"/>
    <w:multiLevelType w:val="multilevel"/>
    <w:tmpl w:val="22C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67099"/>
    <w:multiLevelType w:val="hybridMultilevel"/>
    <w:tmpl w:val="E650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C49C6"/>
    <w:multiLevelType w:val="hybridMultilevel"/>
    <w:tmpl w:val="E75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37D30"/>
    <w:multiLevelType w:val="hybridMultilevel"/>
    <w:tmpl w:val="CB62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D127A"/>
    <w:multiLevelType w:val="hybridMultilevel"/>
    <w:tmpl w:val="3182928A"/>
    <w:lvl w:ilvl="0" w:tplc="6C88FBDE">
      <w:start w:val="1"/>
      <w:numFmt w:val="decimal"/>
      <w:lvlText w:val="%1."/>
      <w:lvlJc w:val="left"/>
      <w:pPr>
        <w:ind w:left="720" w:hanging="360"/>
      </w:pPr>
      <w:rPr>
        <w:rFonts w:hint="default"/>
        <w:sz w:val="10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345394"/>
    <w:multiLevelType w:val="multilevel"/>
    <w:tmpl w:val="2B5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0650C"/>
    <w:multiLevelType w:val="multilevel"/>
    <w:tmpl w:val="B47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14148"/>
    <w:multiLevelType w:val="hybridMultilevel"/>
    <w:tmpl w:val="407C2AA4"/>
    <w:lvl w:ilvl="0" w:tplc="6C88FBDE">
      <w:start w:val="1"/>
      <w:numFmt w:val="decimal"/>
      <w:lvlText w:val="%1."/>
      <w:lvlJc w:val="left"/>
      <w:pPr>
        <w:ind w:left="720" w:hanging="360"/>
      </w:pPr>
      <w:rPr>
        <w:rFonts w:hint="default"/>
        <w:sz w:val="10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316179"/>
    <w:multiLevelType w:val="multilevel"/>
    <w:tmpl w:val="5B7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6615E"/>
    <w:multiLevelType w:val="multilevel"/>
    <w:tmpl w:val="25F4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34CC4"/>
    <w:multiLevelType w:val="multilevel"/>
    <w:tmpl w:val="6538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0"/>
  </w:num>
  <w:num w:numId="11">
    <w:abstractNumId w:val="9"/>
  </w:num>
  <w:num w:numId="12">
    <w:abstractNumId w:val="17"/>
  </w:num>
  <w:num w:numId="13">
    <w:abstractNumId w:val="16"/>
  </w:num>
  <w:num w:numId="14">
    <w:abstractNumId w:val="10"/>
  </w:num>
  <w:num w:numId="15">
    <w:abstractNumId w:val="11"/>
  </w:num>
  <w:num w:numId="16">
    <w:abstractNumId w:val="19"/>
  </w:num>
  <w:num w:numId="17">
    <w:abstractNumId w:val="18"/>
  </w:num>
  <w:num w:numId="18">
    <w:abstractNumId w:val="15"/>
  </w:num>
  <w:num w:numId="19">
    <w:abstractNumId w:val="21"/>
  </w:num>
  <w:num w:numId="20">
    <w:abstractNumId w:val="1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sjAzMzK1sDQyNTFU0lEKTi0uzszPAykwrgUA1dKW3SwAAAA="/>
  </w:docVars>
  <w:rsids>
    <w:rsidRoot w:val="00B47730"/>
    <w:rsid w:val="00034616"/>
    <w:rsid w:val="00042DBF"/>
    <w:rsid w:val="0006063C"/>
    <w:rsid w:val="000B0817"/>
    <w:rsid w:val="000B2EDE"/>
    <w:rsid w:val="000D1489"/>
    <w:rsid w:val="000E35B7"/>
    <w:rsid w:val="001022D7"/>
    <w:rsid w:val="00104ECB"/>
    <w:rsid w:val="00130782"/>
    <w:rsid w:val="0015074B"/>
    <w:rsid w:val="00177081"/>
    <w:rsid w:val="001A340F"/>
    <w:rsid w:val="001A56AD"/>
    <w:rsid w:val="001E020F"/>
    <w:rsid w:val="00205FE1"/>
    <w:rsid w:val="00226DCC"/>
    <w:rsid w:val="00235A2C"/>
    <w:rsid w:val="00235F85"/>
    <w:rsid w:val="0023617B"/>
    <w:rsid w:val="00240CA3"/>
    <w:rsid w:val="00242CF7"/>
    <w:rsid w:val="00254559"/>
    <w:rsid w:val="002754E0"/>
    <w:rsid w:val="0029639D"/>
    <w:rsid w:val="002F450F"/>
    <w:rsid w:val="00326F90"/>
    <w:rsid w:val="00331F79"/>
    <w:rsid w:val="0036456A"/>
    <w:rsid w:val="003A1C2A"/>
    <w:rsid w:val="003B00E4"/>
    <w:rsid w:val="003B7275"/>
    <w:rsid w:val="003D1CE9"/>
    <w:rsid w:val="004524E3"/>
    <w:rsid w:val="0045491A"/>
    <w:rsid w:val="00465F8D"/>
    <w:rsid w:val="00487A96"/>
    <w:rsid w:val="004C3040"/>
    <w:rsid w:val="004D16A3"/>
    <w:rsid w:val="004F44D2"/>
    <w:rsid w:val="004F60B6"/>
    <w:rsid w:val="0054543E"/>
    <w:rsid w:val="00570736"/>
    <w:rsid w:val="00591B1D"/>
    <w:rsid w:val="0059415B"/>
    <w:rsid w:val="005B4E42"/>
    <w:rsid w:val="005C1284"/>
    <w:rsid w:val="005E4626"/>
    <w:rsid w:val="0062231D"/>
    <w:rsid w:val="006944A6"/>
    <w:rsid w:val="006A36BF"/>
    <w:rsid w:val="006A6B18"/>
    <w:rsid w:val="006A73B1"/>
    <w:rsid w:val="006B0D5D"/>
    <w:rsid w:val="006C2CED"/>
    <w:rsid w:val="006D2DEF"/>
    <w:rsid w:val="006D6D73"/>
    <w:rsid w:val="006F68E4"/>
    <w:rsid w:val="006F7BBC"/>
    <w:rsid w:val="00702FF5"/>
    <w:rsid w:val="00710C1F"/>
    <w:rsid w:val="0072500E"/>
    <w:rsid w:val="00727A1C"/>
    <w:rsid w:val="007743CC"/>
    <w:rsid w:val="007C552B"/>
    <w:rsid w:val="007D1119"/>
    <w:rsid w:val="007E3B5F"/>
    <w:rsid w:val="00812FCE"/>
    <w:rsid w:val="00823A27"/>
    <w:rsid w:val="00837C52"/>
    <w:rsid w:val="008522FC"/>
    <w:rsid w:val="008B0412"/>
    <w:rsid w:val="008D6325"/>
    <w:rsid w:val="008E2375"/>
    <w:rsid w:val="008E3B38"/>
    <w:rsid w:val="0095019F"/>
    <w:rsid w:val="009B7974"/>
    <w:rsid w:val="009E6E77"/>
    <w:rsid w:val="009F14FE"/>
    <w:rsid w:val="009F3944"/>
    <w:rsid w:val="00A36B62"/>
    <w:rsid w:val="00A524AB"/>
    <w:rsid w:val="00A6300B"/>
    <w:rsid w:val="00A74A11"/>
    <w:rsid w:val="00A81E33"/>
    <w:rsid w:val="00AA1D8D"/>
    <w:rsid w:val="00AA47C9"/>
    <w:rsid w:val="00AB00C9"/>
    <w:rsid w:val="00AB4947"/>
    <w:rsid w:val="00AB4E6A"/>
    <w:rsid w:val="00AB770E"/>
    <w:rsid w:val="00AE5AEA"/>
    <w:rsid w:val="00B14FB0"/>
    <w:rsid w:val="00B47730"/>
    <w:rsid w:val="00B7640F"/>
    <w:rsid w:val="00B86517"/>
    <w:rsid w:val="00B956AD"/>
    <w:rsid w:val="00C15484"/>
    <w:rsid w:val="00C3393E"/>
    <w:rsid w:val="00C426D6"/>
    <w:rsid w:val="00C5040F"/>
    <w:rsid w:val="00C53B6F"/>
    <w:rsid w:val="00C60290"/>
    <w:rsid w:val="00C631A3"/>
    <w:rsid w:val="00C65A79"/>
    <w:rsid w:val="00CB0664"/>
    <w:rsid w:val="00CB10C5"/>
    <w:rsid w:val="00CF167A"/>
    <w:rsid w:val="00D23F6E"/>
    <w:rsid w:val="00D24DBF"/>
    <w:rsid w:val="00D453EE"/>
    <w:rsid w:val="00D47CA6"/>
    <w:rsid w:val="00D60C46"/>
    <w:rsid w:val="00DC002F"/>
    <w:rsid w:val="00DD2115"/>
    <w:rsid w:val="00DE580A"/>
    <w:rsid w:val="00DF2E9A"/>
    <w:rsid w:val="00DF6EC2"/>
    <w:rsid w:val="00E16FA6"/>
    <w:rsid w:val="00E27EFB"/>
    <w:rsid w:val="00E35EF7"/>
    <w:rsid w:val="00E4191C"/>
    <w:rsid w:val="00E525A2"/>
    <w:rsid w:val="00E673D8"/>
    <w:rsid w:val="00E76DFB"/>
    <w:rsid w:val="00E84D69"/>
    <w:rsid w:val="00EB5770"/>
    <w:rsid w:val="00EC3637"/>
    <w:rsid w:val="00F16294"/>
    <w:rsid w:val="00F550E2"/>
    <w:rsid w:val="00F90B94"/>
    <w:rsid w:val="00F91416"/>
    <w:rsid w:val="00FA58D2"/>
    <w:rsid w:val="00FB01DB"/>
    <w:rsid w:val="00FB4277"/>
    <w:rsid w:val="00FC62BC"/>
    <w:rsid w:val="00FC693F"/>
    <w:rsid w:val="00FD228E"/>
    <w:rsid w:val="00FF3BD3"/>
    <w:rsid w:val="00FF70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B09C68C"/>
  <w14:defaultImageDpi w14:val="330"/>
  <w15:docId w15:val="{96D0046A-204C-49DC-B72D-877F800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C3637"/>
    <w:rPr>
      <w:color w:val="0000FF"/>
      <w:u w:val="single"/>
    </w:rPr>
  </w:style>
  <w:style w:type="character" w:customStyle="1" w:styleId="UnresolvedMention1">
    <w:name w:val="Unresolved Mention1"/>
    <w:basedOn w:val="DefaultParagraphFont"/>
    <w:uiPriority w:val="99"/>
    <w:semiHidden/>
    <w:unhideWhenUsed/>
    <w:rsid w:val="00DD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6346">
      <w:bodyDiv w:val="1"/>
      <w:marLeft w:val="0"/>
      <w:marRight w:val="0"/>
      <w:marTop w:val="0"/>
      <w:marBottom w:val="0"/>
      <w:divBdr>
        <w:top w:val="none" w:sz="0" w:space="0" w:color="auto"/>
        <w:left w:val="none" w:sz="0" w:space="0" w:color="auto"/>
        <w:bottom w:val="none" w:sz="0" w:space="0" w:color="auto"/>
        <w:right w:val="none" w:sz="0" w:space="0" w:color="auto"/>
      </w:divBdr>
      <w:divsChild>
        <w:div w:id="1410997937">
          <w:marLeft w:val="0"/>
          <w:marRight w:val="0"/>
          <w:marTop w:val="0"/>
          <w:marBottom w:val="0"/>
          <w:divBdr>
            <w:top w:val="none" w:sz="0" w:space="0" w:color="auto"/>
            <w:left w:val="none" w:sz="0" w:space="0" w:color="auto"/>
            <w:bottom w:val="none" w:sz="0" w:space="0" w:color="auto"/>
            <w:right w:val="none" w:sz="0" w:space="0" w:color="auto"/>
          </w:divBdr>
          <w:divsChild>
            <w:div w:id="770394833">
              <w:marLeft w:val="0"/>
              <w:marRight w:val="0"/>
              <w:marTop w:val="0"/>
              <w:marBottom w:val="0"/>
              <w:divBdr>
                <w:top w:val="none" w:sz="0" w:space="0" w:color="auto"/>
                <w:left w:val="none" w:sz="0" w:space="0" w:color="auto"/>
                <w:bottom w:val="none" w:sz="0" w:space="0" w:color="auto"/>
                <w:right w:val="none" w:sz="0" w:space="0" w:color="auto"/>
              </w:divBdr>
              <w:divsChild>
                <w:div w:id="1136214455">
                  <w:marLeft w:val="0"/>
                  <w:marRight w:val="0"/>
                  <w:marTop w:val="0"/>
                  <w:marBottom w:val="0"/>
                  <w:divBdr>
                    <w:top w:val="none" w:sz="0" w:space="0" w:color="auto"/>
                    <w:left w:val="none" w:sz="0" w:space="0" w:color="auto"/>
                    <w:bottom w:val="none" w:sz="0" w:space="0" w:color="auto"/>
                    <w:right w:val="none" w:sz="0" w:space="0" w:color="auto"/>
                  </w:divBdr>
                  <w:divsChild>
                    <w:div w:id="6935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66172">
      <w:bodyDiv w:val="1"/>
      <w:marLeft w:val="0"/>
      <w:marRight w:val="0"/>
      <w:marTop w:val="0"/>
      <w:marBottom w:val="0"/>
      <w:divBdr>
        <w:top w:val="none" w:sz="0" w:space="0" w:color="auto"/>
        <w:left w:val="none" w:sz="0" w:space="0" w:color="auto"/>
        <w:bottom w:val="none" w:sz="0" w:space="0" w:color="auto"/>
        <w:right w:val="none" w:sz="0" w:space="0" w:color="auto"/>
      </w:divBdr>
    </w:div>
    <w:div w:id="768700008">
      <w:bodyDiv w:val="1"/>
      <w:marLeft w:val="0"/>
      <w:marRight w:val="0"/>
      <w:marTop w:val="0"/>
      <w:marBottom w:val="0"/>
      <w:divBdr>
        <w:top w:val="none" w:sz="0" w:space="0" w:color="auto"/>
        <w:left w:val="none" w:sz="0" w:space="0" w:color="auto"/>
        <w:bottom w:val="none" w:sz="0" w:space="0" w:color="auto"/>
        <w:right w:val="none" w:sz="0" w:space="0" w:color="auto"/>
      </w:divBdr>
    </w:div>
    <w:div w:id="1500805185">
      <w:bodyDiv w:val="1"/>
      <w:marLeft w:val="0"/>
      <w:marRight w:val="0"/>
      <w:marTop w:val="0"/>
      <w:marBottom w:val="0"/>
      <w:divBdr>
        <w:top w:val="none" w:sz="0" w:space="0" w:color="auto"/>
        <w:left w:val="none" w:sz="0" w:space="0" w:color="auto"/>
        <w:bottom w:val="none" w:sz="0" w:space="0" w:color="auto"/>
        <w:right w:val="none" w:sz="0" w:space="0" w:color="auto"/>
      </w:divBdr>
    </w:div>
    <w:div w:id="1702045575">
      <w:bodyDiv w:val="1"/>
      <w:marLeft w:val="0"/>
      <w:marRight w:val="0"/>
      <w:marTop w:val="0"/>
      <w:marBottom w:val="0"/>
      <w:divBdr>
        <w:top w:val="none" w:sz="0" w:space="0" w:color="auto"/>
        <w:left w:val="none" w:sz="0" w:space="0" w:color="auto"/>
        <w:bottom w:val="none" w:sz="0" w:space="0" w:color="auto"/>
        <w:right w:val="none" w:sz="0" w:space="0" w:color="auto"/>
      </w:divBdr>
    </w:div>
    <w:div w:id="1703435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7-9552.12344" TargetMode="External"/><Relationship Id="rId13" Type="http://schemas.openxmlformats.org/officeDocument/2006/relationships/hyperlink" Target="https://doi.org/10.1016/j.envsci.2011.09.0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16/j.agsy.2018.09.0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63/ijas.2010.0583" TargetMode="External"/><Relationship Id="rId5" Type="http://schemas.openxmlformats.org/officeDocument/2006/relationships/webSettings" Target="webSettings.xml"/><Relationship Id="rId15" Type="http://schemas.openxmlformats.org/officeDocument/2006/relationships/hyperlink" Target="https://doi.org/10.9734/ijecc/2022/v12i530678" TargetMode="External"/><Relationship Id="rId23" Type="http://schemas.openxmlformats.org/officeDocument/2006/relationships/theme" Target="theme/theme1.xml"/><Relationship Id="rId10" Type="http://schemas.openxmlformats.org/officeDocument/2006/relationships/hyperlink" Target="https://doi.org/10.1177/097185241663978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fcr.2019.107593" TargetMode="External"/><Relationship Id="rId14" Type="http://schemas.openxmlformats.org/officeDocument/2006/relationships/hyperlink" Target="https://www.wri.org/research/creating-sustainable-food-fu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BE76-8BD6-4174-BE61-93CF801B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PC New 16</cp:lastModifiedBy>
  <cp:revision>125</cp:revision>
  <dcterms:created xsi:type="dcterms:W3CDTF">2025-06-19T07:42:00Z</dcterms:created>
  <dcterms:modified xsi:type="dcterms:W3CDTF">2025-07-03T09:54:00Z</dcterms:modified>
</cp:coreProperties>
</file>