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4D1" w:rsidRPr="00ED24D1" w:rsidRDefault="00114F27" w:rsidP="00ED24D1">
      <w:pPr>
        <w:rPr>
          <w:rFonts w:ascii="Times New Roman" w:hAnsi="Times New Roman" w:cs="Times New Roman"/>
          <w:b/>
          <w:bCs/>
          <w:sz w:val="24"/>
          <w:szCs w:val="24"/>
        </w:rPr>
      </w:pPr>
      <w:r>
        <w:rPr>
          <w:rFonts w:ascii="Times New Roman" w:eastAsia="Calibri" w:hAnsi="Times New Roman" w:cs="Times New Roman"/>
          <w:b/>
          <w:color w:val="000000"/>
          <w:sz w:val="24"/>
          <w:szCs w:val="24"/>
        </w:rPr>
        <w:t xml:space="preserve">                  </w:t>
      </w:r>
      <w:r w:rsidR="00ED24D1" w:rsidRPr="00ED24D1">
        <w:rPr>
          <w:rFonts w:ascii="Times New Roman" w:eastAsia="Calibri" w:hAnsi="Times New Roman" w:cs="Times New Roman"/>
          <w:b/>
          <w:color w:val="000000"/>
          <w:sz w:val="24"/>
          <w:szCs w:val="24"/>
        </w:rPr>
        <w:t xml:space="preserve"> </w:t>
      </w:r>
      <w:r w:rsidR="00ED24D1" w:rsidRPr="00ED24D1">
        <w:rPr>
          <w:rFonts w:ascii="Times New Roman" w:hAnsi="Times New Roman" w:cs="Times New Roman"/>
          <w:b/>
          <w:bCs/>
          <w:sz w:val="24"/>
          <w:szCs w:val="24"/>
        </w:rPr>
        <w:t>Morphological Evaluation and Yield Performance of Ash Gourd (</w:t>
      </w:r>
      <w:r w:rsidR="00ED24D1" w:rsidRPr="00ED24D1">
        <w:rPr>
          <w:rFonts w:ascii="Times New Roman" w:hAnsi="Times New Roman" w:cs="Times New Roman"/>
          <w:b/>
          <w:bCs/>
          <w:i/>
          <w:iCs/>
          <w:sz w:val="24"/>
          <w:szCs w:val="24"/>
        </w:rPr>
        <w:t>Benincasa hispida</w:t>
      </w:r>
      <w:r>
        <w:rPr>
          <w:rFonts w:ascii="Times New Roman" w:hAnsi="Times New Roman" w:cs="Times New Roman"/>
          <w:b/>
          <w:bCs/>
          <w:sz w:val="24"/>
          <w:szCs w:val="24"/>
        </w:rPr>
        <w:t>) Genotypes</w:t>
      </w:r>
    </w:p>
    <w:p w:rsidR="0039079A" w:rsidRPr="00F84565" w:rsidRDefault="0039079A" w:rsidP="00246F99">
      <w:pPr>
        <w:tabs>
          <w:tab w:val="left" w:pos="7275"/>
        </w:tabs>
        <w:rPr>
          <w:rFonts w:ascii="Times New Roman" w:eastAsia="Calibri" w:hAnsi="Times New Roman" w:cs="Times New Roman"/>
          <w:b/>
          <w:color w:val="000000"/>
          <w:sz w:val="28"/>
          <w:szCs w:val="28"/>
        </w:rPr>
      </w:pPr>
    </w:p>
    <w:p w:rsidR="001A59D5" w:rsidRPr="00256C7C" w:rsidRDefault="00246F99" w:rsidP="00246F99">
      <w:pPr>
        <w:tabs>
          <w:tab w:val="left" w:pos="7275"/>
        </w:tabs>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p>
    <w:p w:rsidR="001A59D5" w:rsidRPr="00551406" w:rsidRDefault="001A59D5" w:rsidP="001A59D5">
      <w:pPr>
        <w:spacing w:after="0" w:line="360" w:lineRule="auto"/>
        <w:jc w:val="both"/>
        <w:rPr>
          <w:rFonts w:ascii="Times New Roman" w:hAnsi="Times New Roman" w:cs="Times New Roman"/>
          <w:b/>
          <w:bCs/>
          <w:color w:val="000000" w:themeColor="text1" w:themeShade="BF"/>
          <w:sz w:val="24"/>
          <w:szCs w:val="24"/>
        </w:rPr>
      </w:pPr>
      <w:r w:rsidRPr="00551406">
        <w:rPr>
          <w:rFonts w:ascii="Times New Roman" w:hAnsi="Times New Roman" w:cs="Times New Roman"/>
          <w:b/>
          <w:bCs/>
          <w:color w:val="000000" w:themeColor="text1" w:themeShade="BF"/>
          <w:sz w:val="24"/>
          <w:szCs w:val="24"/>
        </w:rPr>
        <w:t xml:space="preserve">Abstract: </w:t>
      </w:r>
    </w:p>
    <w:p w:rsidR="001A59D5" w:rsidRPr="002961A7" w:rsidRDefault="00F91A90" w:rsidP="00F91A90">
      <w:pPr>
        <w:spacing w:before="280" w:after="0" w:line="360" w:lineRule="auto"/>
        <w:ind w:firstLine="720"/>
        <w:jc w:val="both"/>
        <w:rPr>
          <w:rFonts w:ascii="Times New Roman" w:hAnsi="Times New Roman" w:cs="Times New Roman"/>
          <w:color w:val="000000"/>
          <w:sz w:val="24"/>
          <w:szCs w:val="24"/>
        </w:rPr>
      </w:pPr>
      <w:r>
        <w:rPr>
          <w:rFonts w:ascii="Times New Roman" w:hAnsi="Times New Roman"/>
          <w:sz w:val="24"/>
          <w:szCs w:val="24"/>
        </w:rPr>
        <w:t xml:space="preserve">The experimental site for the present investigation is </w:t>
      </w:r>
      <w:r w:rsidR="002961A7">
        <w:rPr>
          <w:rFonts w:ascii="Times New Roman" w:hAnsi="Times New Roman"/>
          <w:sz w:val="24"/>
          <w:szCs w:val="24"/>
        </w:rPr>
        <w:t xml:space="preserve">was carried out at </w:t>
      </w:r>
      <w:r>
        <w:rPr>
          <w:rFonts w:ascii="Times New Roman" w:hAnsi="Times New Roman"/>
          <w:sz w:val="24"/>
          <w:szCs w:val="24"/>
        </w:rPr>
        <w:t>College of Horticulture, Bengaluru</w:t>
      </w:r>
      <w:r>
        <w:rPr>
          <w:rFonts w:ascii="Times New Roman" w:eastAsia="Times New Roman" w:hAnsi="Times New Roman" w:cs="Times New Roman"/>
          <w:sz w:val="24"/>
          <w:szCs w:val="22"/>
          <w:lang w:val="en-US" w:bidi="ar-SA"/>
        </w:rPr>
        <w:t xml:space="preserve">. </w:t>
      </w:r>
      <w:r>
        <w:rPr>
          <w:rFonts w:ascii="Times New Roman" w:hAnsi="Times New Roman"/>
          <w:sz w:val="24"/>
          <w:szCs w:val="24"/>
        </w:rPr>
        <w:t>Which is loca</w:t>
      </w:r>
      <w:r w:rsidR="006C0234">
        <w:rPr>
          <w:rFonts w:ascii="Times New Roman" w:hAnsi="Times New Roman"/>
          <w:sz w:val="24"/>
          <w:szCs w:val="24"/>
        </w:rPr>
        <w:t xml:space="preserve">ted in </w:t>
      </w:r>
      <w:r>
        <w:rPr>
          <w:rFonts w:ascii="Times New Roman" w:hAnsi="Times New Roman"/>
          <w:sz w:val="24"/>
          <w:szCs w:val="24"/>
        </w:rPr>
        <w:t xml:space="preserve">the southern part of India, at a latitude of approximately 12°58'N and longitude of 77°35'E, with an altitude of around 920 meters above mean sea level. </w:t>
      </w:r>
      <w:r>
        <w:rPr>
          <w:rFonts w:ascii="Times New Roman" w:hAnsi="Times New Roman"/>
          <w:color w:val="000000"/>
          <w:sz w:val="24"/>
          <w:szCs w:val="24"/>
        </w:rPr>
        <w:t xml:space="preserve">The general climatic conditions of Bengaluru are classified as eastern dry zone. </w:t>
      </w:r>
      <w:r w:rsidR="00FD1C4D">
        <w:rPr>
          <w:rFonts w:ascii="Times New Roman" w:hAnsi="Times New Roman"/>
          <w:color w:val="000000"/>
          <w:sz w:val="24"/>
          <w:szCs w:val="24"/>
        </w:rPr>
        <w:t xml:space="preserve">The main objective of this study was to </w:t>
      </w:r>
      <w:r w:rsidR="00FD1C4D">
        <w:rPr>
          <w:rFonts w:ascii="Times New Roman" w:hAnsi="Times New Roman" w:cs="Times New Roman"/>
          <w:bCs/>
          <w:sz w:val="24"/>
          <w:szCs w:val="24"/>
        </w:rPr>
        <w:t xml:space="preserve">evaluate </w:t>
      </w:r>
      <w:r w:rsidR="00FD1C4D" w:rsidRPr="00FD1C4D">
        <w:rPr>
          <w:rFonts w:ascii="Times New Roman" w:hAnsi="Times New Roman" w:cs="Times New Roman"/>
          <w:bCs/>
          <w:sz w:val="24"/>
          <w:szCs w:val="24"/>
        </w:rPr>
        <w:t>morphological variability and yield potential of ash gourd genotypes</w:t>
      </w:r>
      <w:r w:rsidR="00FD1C4D">
        <w:rPr>
          <w:rFonts w:ascii="Times New Roman" w:hAnsi="Times New Roman" w:cs="Times New Roman"/>
          <w:color w:val="1F1F1F"/>
          <w:sz w:val="24"/>
          <w:szCs w:val="24"/>
        </w:rPr>
        <w:t xml:space="preserve"> </w:t>
      </w:r>
      <w:r w:rsidR="006C0234">
        <w:rPr>
          <w:rFonts w:ascii="Times New Roman" w:hAnsi="Times New Roman" w:cs="Times New Roman"/>
          <w:color w:val="1F1F1F"/>
          <w:sz w:val="24"/>
          <w:szCs w:val="24"/>
        </w:rPr>
        <w:t>thirty</w:t>
      </w:r>
      <w:r w:rsidR="002961A7">
        <w:rPr>
          <w:rFonts w:ascii="Times New Roman" w:hAnsi="Times New Roman" w:cs="Times New Roman"/>
          <w:color w:val="1F1F1F"/>
          <w:sz w:val="24"/>
          <w:szCs w:val="24"/>
        </w:rPr>
        <w:t xml:space="preserve"> </w:t>
      </w:r>
      <w:r w:rsidR="002961A7" w:rsidRPr="002961A7">
        <w:rPr>
          <w:rFonts w:ascii="Times New Roman" w:hAnsi="Times New Roman" w:cs="Times New Roman"/>
          <w:color w:val="1F1F1F"/>
          <w:sz w:val="24"/>
          <w:szCs w:val="24"/>
        </w:rPr>
        <w:t>promising</w:t>
      </w:r>
      <w:r w:rsidR="00D427D1">
        <w:rPr>
          <w:rFonts w:ascii="Times New Roman" w:hAnsi="Times New Roman" w:cs="Times New Roman"/>
          <w:color w:val="1F1F1F"/>
          <w:sz w:val="24"/>
          <w:szCs w:val="24"/>
        </w:rPr>
        <w:t xml:space="preserve"> a</w:t>
      </w:r>
      <w:r w:rsidR="002961A7">
        <w:rPr>
          <w:rFonts w:ascii="Times New Roman" w:hAnsi="Times New Roman" w:cs="Times New Roman"/>
          <w:color w:val="1F1F1F"/>
          <w:sz w:val="24"/>
          <w:szCs w:val="24"/>
        </w:rPr>
        <w:t xml:space="preserve">sh gourd genotypes </w:t>
      </w:r>
      <w:r w:rsidR="002961A7" w:rsidRPr="002961A7">
        <w:rPr>
          <w:rFonts w:ascii="Times New Roman" w:hAnsi="Times New Roman" w:cs="Times New Roman"/>
          <w:color w:val="1F1F1F"/>
          <w:sz w:val="24"/>
          <w:szCs w:val="24"/>
        </w:rPr>
        <w:t xml:space="preserve">were characterized for </w:t>
      </w:r>
      <w:r w:rsidR="002961A7">
        <w:rPr>
          <w:rFonts w:ascii="Times New Roman" w:hAnsi="Times New Roman" w:cs="Times New Roman"/>
          <w:color w:val="1F1F1F"/>
          <w:sz w:val="24"/>
          <w:szCs w:val="24"/>
        </w:rPr>
        <w:t xml:space="preserve">thirteen </w:t>
      </w:r>
      <w:r w:rsidR="002961A7" w:rsidRPr="002961A7">
        <w:rPr>
          <w:rFonts w:ascii="Times New Roman" w:hAnsi="Times New Roman" w:cs="Times New Roman"/>
          <w:color w:val="1F1F1F"/>
          <w:sz w:val="24"/>
          <w:szCs w:val="24"/>
        </w:rPr>
        <w:t>morphological traits using developmental, vegetative, and fruit traits</w:t>
      </w:r>
      <w:r w:rsidR="00ED24D1">
        <w:rPr>
          <w:rFonts w:ascii="Times New Roman" w:hAnsi="Times New Roman" w:cs="Times New Roman"/>
          <w:color w:val="1F1F1F"/>
          <w:sz w:val="24"/>
          <w:szCs w:val="24"/>
        </w:rPr>
        <w:t>.</w:t>
      </w:r>
    </w:p>
    <w:p w:rsidR="00F62F18" w:rsidRDefault="00FD1C4D" w:rsidP="00F62F18">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w:t>
      </w:r>
      <w:r w:rsidR="00F62F18">
        <w:rPr>
          <w:rFonts w:ascii="Times New Roman" w:hAnsi="Times New Roman"/>
          <w:sz w:val="24"/>
          <w:szCs w:val="24"/>
        </w:rPr>
        <w:t>experiment was</w:t>
      </w:r>
      <w:r w:rsidR="008D6FC0">
        <w:rPr>
          <w:rFonts w:ascii="Times New Roman" w:hAnsi="Times New Roman"/>
          <w:sz w:val="24"/>
          <w:szCs w:val="24"/>
        </w:rPr>
        <w:t xml:space="preserve"> carried out using randomized block design with 30 genotypes of ash gourd and two replications for the st</w:t>
      </w:r>
      <w:r w:rsidR="006C0234">
        <w:rPr>
          <w:rFonts w:ascii="Times New Roman" w:hAnsi="Times New Roman"/>
          <w:sz w:val="24"/>
          <w:szCs w:val="24"/>
        </w:rPr>
        <w:t xml:space="preserve">udy of </w:t>
      </w:r>
      <w:r w:rsidR="00F62F18">
        <w:rPr>
          <w:rFonts w:ascii="Times New Roman" w:hAnsi="Times New Roman"/>
          <w:sz w:val="24"/>
          <w:szCs w:val="24"/>
        </w:rPr>
        <w:t xml:space="preserve">variability. The analysis of thirteeen traits across 30 genotypes revealed notable variation in performance. RP-1, KA-1, and KA-2 exhibited the longest vine lengths, indicating robust growth. IIHRAG-3 and IC392313 showed the highest branching potential, contributing to greater fruit production. KA-1, IIHRAG-4, had the longest internodal lengths. Early male and female flowering were observed in KA-4, IC613451, and IIHRAG-1, while delayed flowering was noted in KA-1 and RP-2. IC596993 and RP-3 showed early harvest, while IIHRAG 3 and IC596989 had later harvests. RP-1, </w:t>
      </w:r>
      <w:r w:rsidR="00D427D1">
        <w:rPr>
          <w:rFonts w:ascii="Times New Roman" w:hAnsi="Times New Roman"/>
          <w:sz w:val="24"/>
          <w:szCs w:val="24"/>
        </w:rPr>
        <w:t xml:space="preserve">Kashi </w:t>
      </w:r>
      <w:r w:rsidR="00F62F18">
        <w:rPr>
          <w:rFonts w:ascii="Times New Roman" w:hAnsi="Times New Roman"/>
          <w:sz w:val="24"/>
          <w:szCs w:val="24"/>
        </w:rPr>
        <w:t>Surbhi, and RP-</w:t>
      </w:r>
      <w:r w:rsidR="00D427D1">
        <w:rPr>
          <w:rFonts w:ascii="Times New Roman" w:hAnsi="Times New Roman"/>
          <w:sz w:val="24"/>
          <w:szCs w:val="24"/>
        </w:rPr>
        <w:t xml:space="preserve">3 had the highest fruit yields. </w:t>
      </w:r>
      <w:r w:rsidR="00F62F18">
        <w:rPr>
          <w:rFonts w:ascii="Times New Roman" w:hAnsi="Times New Roman"/>
          <w:sz w:val="24"/>
          <w:szCs w:val="24"/>
        </w:rPr>
        <w:t>IIHRAG-4, KA-4, and Kashi Surabhi also recorded the largest fruit diameters, heaviest average fruit weights, and the highest TSS, indicating commercial viability.</w:t>
      </w:r>
    </w:p>
    <w:p w:rsidR="00717B7E" w:rsidRPr="00717B7E" w:rsidRDefault="00717B7E" w:rsidP="007458C1">
      <w:pPr>
        <w:spacing w:after="0" w:line="360" w:lineRule="auto"/>
        <w:ind w:right="51" w:firstLine="720"/>
        <w:jc w:val="both"/>
        <w:rPr>
          <w:rFonts w:ascii="Times New Roman" w:eastAsia="Times New Roman" w:hAnsi="Times New Roman" w:cs="Times New Roman"/>
          <w:sz w:val="24"/>
          <w:szCs w:val="22"/>
          <w:lang w:val="en-US" w:bidi="ar-SA"/>
        </w:rPr>
      </w:pPr>
    </w:p>
    <w:p w:rsidR="007A0CB3" w:rsidRDefault="001A59D5" w:rsidP="00717B7E">
      <w:pPr>
        <w:spacing w:line="360" w:lineRule="auto"/>
        <w:jc w:val="both"/>
        <w:rPr>
          <w:rFonts w:ascii="Times New Roman" w:hAnsi="Times New Roman" w:cs="Times New Roman"/>
          <w:color w:val="000000" w:themeColor="text1" w:themeShade="BF"/>
          <w:sz w:val="24"/>
          <w:szCs w:val="24"/>
        </w:rPr>
      </w:pPr>
      <w:r w:rsidRPr="000F6277">
        <w:rPr>
          <w:rFonts w:ascii="Times New Roman" w:hAnsi="Times New Roman" w:cs="Times New Roman"/>
          <w:b/>
          <w:bCs/>
          <w:color w:val="000000" w:themeColor="text1" w:themeShade="BF"/>
          <w:sz w:val="24"/>
          <w:szCs w:val="24"/>
        </w:rPr>
        <w:lastRenderedPageBreak/>
        <w:t>Keywords:</w:t>
      </w:r>
      <w:r w:rsidR="00FD1C4D" w:rsidRPr="00FD1C4D">
        <w:rPr>
          <w:sz w:val="20"/>
        </w:rPr>
        <w:t xml:space="preserve"> </w:t>
      </w:r>
      <w:r w:rsidR="00FD1C4D" w:rsidRPr="00FD1C4D">
        <w:rPr>
          <w:rFonts w:ascii="Times New Roman" w:hAnsi="Times New Roman" w:cs="Times New Roman"/>
          <w:sz w:val="24"/>
          <w:szCs w:val="24"/>
        </w:rPr>
        <w:t xml:space="preserve">Ash gourd, </w:t>
      </w:r>
      <w:r w:rsidR="00FD1C4D" w:rsidRPr="00FD1C4D">
        <w:rPr>
          <w:rFonts w:ascii="Times New Roman" w:hAnsi="Times New Roman" w:cs="Times New Roman"/>
          <w:i/>
          <w:iCs/>
          <w:sz w:val="24"/>
          <w:szCs w:val="24"/>
        </w:rPr>
        <w:t>Benincasa hispida</w:t>
      </w:r>
      <w:r w:rsidR="00FD1C4D" w:rsidRPr="00FD1C4D">
        <w:rPr>
          <w:rFonts w:ascii="Times New Roman" w:hAnsi="Times New Roman" w:cs="Times New Roman"/>
          <w:sz w:val="24"/>
          <w:szCs w:val="24"/>
        </w:rPr>
        <w:t>, genotypic variability, morphological traits, yield</w:t>
      </w:r>
    </w:p>
    <w:p w:rsidR="006C50CA" w:rsidRPr="00551406" w:rsidRDefault="006C50CA" w:rsidP="00717B7E">
      <w:pPr>
        <w:spacing w:line="360" w:lineRule="auto"/>
        <w:jc w:val="both"/>
        <w:rPr>
          <w:rFonts w:ascii="Times New Roman" w:hAnsi="Times New Roman" w:cs="Times New Roman"/>
          <w:b/>
          <w:bCs/>
          <w:color w:val="000000" w:themeColor="text1" w:themeShade="BF"/>
          <w:sz w:val="24"/>
          <w:szCs w:val="24"/>
        </w:rPr>
      </w:pPr>
      <w:r w:rsidRPr="00551406">
        <w:rPr>
          <w:rFonts w:ascii="Times New Roman" w:hAnsi="Times New Roman" w:cs="Times New Roman"/>
          <w:b/>
          <w:bCs/>
          <w:color w:val="000000" w:themeColor="text1" w:themeShade="BF"/>
          <w:sz w:val="24"/>
          <w:szCs w:val="24"/>
        </w:rPr>
        <w:t>Introduction:</w:t>
      </w:r>
    </w:p>
    <w:p w:rsidR="00A308D9" w:rsidRDefault="00A308D9" w:rsidP="00A308D9">
      <w:pPr>
        <w:spacing w:before="280" w:after="0" w:line="360" w:lineRule="auto"/>
        <w:ind w:firstLine="720"/>
        <w:jc w:val="both"/>
        <w:rPr>
          <w:rFonts w:ascii="Times New Roman" w:hAnsi="Times New Roman"/>
          <w:sz w:val="24"/>
          <w:szCs w:val="24"/>
        </w:rPr>
      </w:pPr>
      <w:r>
        <w:rPr>
          <w:rFonts w:ascii="Times New Roman" w:hAnsi="Times New Roman"/>
          <w:sz w:val="24"/>
          <w:szCs w:val="24"/>
        </w:rPr>
        <w:t>Ash gourd (</w:t>
      </w:r>
      <w:r>
        <w:rPr>
          <w:rFonts w:ascii="Times New Roman" w:hAnsi="Times New Roman"/>
          <w:i/>
          <w:iCs/>
          <w:sz w:val="24"/>
          <w:szCs w:val="24"/>
        </w:rPr>
        <w:t>Benincasa hispida Thunb.</w:t>
      </w:r>
      <w:r>
        <w:rPr>
          <w:rFonts w:ascii="Times New Roman" w:hAnsi="Times New Roman"/>
          <w:sz w:val="24"/>
          <w:szCs w:val="24"/>
        </w:rPr>
        <w:t xml:space="preserve">) is a member of the Cucurbitaceae family, widely cultivated for its nutritional, medicinal and industrial value. This monotypic genus, </w:t>
      </w:r>
      <w:r>
        <w:rPr>
          <w:rFonts w:ascii="Times New Roman" w:hAnsi="Times New Roman"/>
          <w:i/>
          <w:sz w:val="24"/>
          <w:szCs w:val="24"/>
        </w:rPr>
        <w:t>Benincasa</w:t>
      </w:r>
      <w:r>
        <w:rPr>
          <w:rFonts w:ascii="Times New Roman" w:hAnsi="Times New Roman"/>
          <w:sz w:val="24"/>
          <w:szCs w:val="24"/>
        </w:rPr>
        <w:t>, includes only one cultivated species. The crop is known by various names across cultures, including “Koosh manda” in Sanskrit, “Pazadaba” in Persian, “Chinese preserving melon,” “hairy melon,” “wax gourd,” “winter melon,” “ash gourd,” “white ash gourd,” and “petha kaddoo” in Hindi. Ash gourd is predominantly grown in the old tropics, particularly in countries like India, Myanmar, Sri Lanka, and China. Its diversity in Southern China suggests its origin in this region (Yang and Walter, 1992).</w:t>
      </w:r>
      <w:r>
        <w:rPr>
          <w:rFonts w:ascii="Times New Roman" w:hAnsi="Times New Roman"/>
        </w:rPr>
        <w:t xml:space="preserve"> </w:t>
      </w:r>
      <w:r>
        <w:rPr>
          <w:rFonts w:ascii="Times New Roman" w:hAnsi="Times New Roman"/>
          <w:sz w:val="24"/>
          <w:szCs w:val="24"/>
        </w:rPr>
        <w:t xml:space="preserve">Globally, the major producers of ash gourd include India, followed by China, Indonesia, Thailand and Bangladesh. </w:t>
      </w:r>
    </w:p>
    <w:p w:rsidR="00A308D9" w:rsidRDefault="00A308D9" w:rsidP="00A308D9">
      <w:pPr>
        <w:spacing w:after="0" w:line="360" w:lineRule="auto"/>
        <w:jc w:val="both"/>
        <w:rPr>
          <w:rFonts w:ascii="Times New Roman" w:hAnsi="Times New Roman"/>
          <w:sz w:val="24"/>
          <w:szCs w:val="24"/>
        </w:rPr>
      </w:pPr>
      <w:r>
        <w:rPr>
          <w:rFonts w:ascii="Times New Roman" w:hAnsi="Times New Roman"/>
          <w:sz w:val="24"/>
          <w:szCs w:val="24"/>
        </w:rPr>
        <w:t xml:space="preserve">                           In India, ash gourd is extensively cultivated in the plains of Uttar Pradesh, where it is primarily used for making the renowned sweet delicacy “petha” on a commercial scale. Additionally, it is used to prepare “bari” at the household level. The fame of “Agra petha” has spread across India, making ash gourd a culturally and economically important crop. Its ability to thrive in diverse climatic conditions, particularly in the North-Western Indian plains, allows it to grow successfully during both the spring-summer and rainy seasons. This adaptability, combined with its tolerance to high temperatures, makes ash gourd a robust crop for cultivation in tropical and subtropical regions</w:t>
      </w:r>
    </w:p>
    <w:p w:rsidR="00A308D9" w:rsidRDefault="00B7512C" w:rsidP="00A308D9">
      <w:pPr>
        <w:spacing w:after="0" w:line="360" w:lineRule="auto"/>
        <w:jc w:val="both"/>
        <w:rPr>
          <w:rFonts w:ascii="Times New Roman" w:eastAsia="Times New Roman" w:hAnsi="Times New Roman" w:cs="Times New Roman"/>
          <w:sz w:val="24"/>
          <w:szCs w:val="22"/>
          <w:lang w:val="en-US" w:bidi="ar-SA"/>
        </w:rPr>
      </w:pPr>
      <w:r w:rsidRPr="00551406">
        <w:rPr>
          <w:rFonts w:ascii="Times New Roman" w:hAnsi="Times New Roman" w:cs="Times New Roman"/>
          <w:b/>
          <w:bCs/>
          <w:color w:val="000000" w:themeColor="text1" w:themeShade="BF"/>
          <w:sz w:val="24"/>
          <w:szCs w:val="24"/>
        </w:rPr>
        <w:t>Material and Methods:</w:t>
      </w:r>
    </w:p>
    <w:p w:rsidR="00A308D9" w:rsidRPr="00ED24D1" w:rsidRDefault="00A308D9" w:rsidP="00ED24D1">
      <w:pPr>
        <w:rPr>
          <w:rFonts w:ascii="Times New Roman" w:hAnsi="Times New Roman" w:cs="Times New Roman"/>
          <w:b/>
          <w:bCs/>
          <w:sz w:val="24"/>
          <w:szCs w:val="24"/>
        </w:rPr>
      </w:pPr>
      <w:r>
        <w:rPr>
          <w:rFonts w:ascii="Times New Roman" w:eastAsia="Times New Roman" w:hAnsi="Times New Roman" w:cs="Times New Roman"/>
          <w:sz w:val="24"/>
          <w:szCs w:val="22"/>
          <w:lang w:val="en-US" w:bidi="ar-SA"/>
        </w:rPr>
        <w:t xml:space="preserve">          </w:t>
      </w:r>
      <w:r>
        <w:rPr>
          <w:rFonts w:ascii="Times New Roman" w:hAnsi="Times New Roman"/>
          <w:sz w:val="24"/>
          <w:szCs w:val="24"/>
        </w:rPr>
        <w:t xml:space="preserve">The materials and methods used in the current study </w:t>
      </w:r>
      <w:r w:rsidR="006C0234">
        <w:rPr>
          <w:rFonts w:ascii="Times New Roman" w:hAnsi="Times New Roman"/>
          <w:sz w:val="24"/>
          <w:szCs w:val="24"/>
        </w:rPr>
        <w:t xml:space="preserve">titled </w:t>
      </w:r>
      <w:r w:rsidR="006C0234" w:rsidRPr="00ED24D1">
        <w:rPr>
          <w:rFonts w:ascii="Times New Roman" w:eastAsia="Calibri" w:hAnsi="Times New Roman" w:cs="Times New Roman"/>
          <w:b/>
          <w:color w:val="000000"/>
          <w:sz w:val="24"/>
          <w:szCs w:val="24"/>
        </w:rPr>
        <w:t>“</w:t>
      </w:r>
      <w:r w:rsidR="00ED24D1" w:rsidRPr="00ED24D1">
        <w:rPr>
          <w:rFonts w:ascii="Times New Roman" w:hAnsi="Times New Roman" w:cs="Times New Roman"/>
          <w:b/>
          <w:bCs/>
          <w:sz w:val="24"/>
          <w:szCs w:val="24"/>
        </w:rPr>
        <w:t>Morphological Evaluation and Yield Performance of Ash Gourd (</w:t>
      </w:r>
      <w:r w:rsidR="00ED24D1" w:rsidRPr="00ED24D1">
        <w:rPr>
          <w:rFonts w:ascii="Times New Roman" w:hAnsi="Times New Roman" w:cs="Times New Roman"/>
          <w:b/>
          <w:bCs/>
          <w:i/>
          <w:iCs/>
          <w:sz w:val="24"/>
          <w:szCs w:val="24"/>
        </w:rPr>
        <w:t>Benincasa hispida</w:t>
      </w:r>
      <w:r w:rsidR="00ED24D1" w:rsidRPr="00ED24D1">
        <w:rPr>
          <w:rFonts w:ascii="Times New Roman" w:hAnsi="Times New Roman" w:cs="Times New Roman"/>
          <w:b/>
          <w:bCs/>
          <w:sz w:val="24"/>
          <w:szCs w:val="24"/>
        </w:rPr>
        <w:t>) Genotypes"</w:t>
      </w:r>
      <w:r>
        <w:rPr>
          <w:rFonts w:ascii="Times New Roman" w:hAnsi="Times New Roman"/>
          <w:sz w:val="24"/>
          <w:szCs w:val="24"/>
        </w:rPr>
        <w:t xml:space="preserve">are explained in detail in this chapter. </w:t>
      </w:r>
    </w:p>
    <w:p w:rsidR="00A308D9" w:rsidRDefault="00A308D9" w:rsidP="00A308D9">
      <w:pPr>
        <w:spacing w:after="0" w:line="360" w:lineRule="auto"/>
        <w:jc w:val="both"/>
        <w:rPr>
          <w:rFonts w:ascii="Times New Roman" w:hAnsi="Times New Roman"/>
          <w:sz w:val="24"/>
          <w:szCs w:val="24"/>
        </w:rPr>
      </w:pPr>
      <w:r>
        <w:rPr>
          <w:rFonts w:ascii="Times New Roman" w:hAnsi="Times New Roman"/>
          <w:b/>
          <w:bCs/>
          <w:sz w:val="32"/>
          <w:szCs w:val="32"/>
        </w:rPr>
        <w:t>Experimental details</w:t>
      </w:r>
    </w:p>
    <w:p w:rsidR="00A308D9" w:rsidRDefault="00A308D9" w:rsidP="00A308D9">
      <w:pPr>
        <w:spacing w:after="0" w:line="360" w:lineRule="auto"/>
        <w:jc w:val="both"/>
        <w:rPr>
          <w:rFonts w:ascii="Times New Roman" w:hAnsi="Times New Roman"/>
          <w:sz w:val="24"/>
          <w:szCs w:val="24"/>
        </w:rPr>
      </w:pPr>
      <w:r>
        <w:rPr>
          <w:rFonts w:ascii="Times New Roman" w:hAnsi="Times New Roman"/>
          <w:sz w:val="24"/>
          <w:szCs w:val="24"/>
        </w:rPr>
        <w:lastRenderedPageBreak/>
        <w:t>The experiment including 30 genotypes of ash gourd was conducted during summer 2023 in the month of March 2023 to June 2023 with two replications using a randomized block design. All the recommended cultivation practices were followed to raise a good crop. The observation regarding yield and its components was recorded. The experimental details are listed in Table 1.</w:t>
      </w:r>
    </w:p>
    <w:p w:rsidR="00B83657" w:rsidRPr="00610EC7" w:rsidRDefault="00B83657" w:rsidP="00A308D9">
      <w:pPr>
        <w:spacing w:after="0" w:line="360" w:lineRule="auto"/>
        <w:jc w:val="both"/>
        <w:rPr>
          <w:rFonts w:ascii="Times New Roman" w:eastAsia="Times New Roman" w:hAnsi="Times New Roman" w:cs="Times New Roman"/>
          <w:b/>
          <w:sz w:val="24"/>
          <w:szCs w:val="22"/>
          <w:lang w:val="en-US" w:bidi="ar-SA"/>
        </w:rPr>
      </w:pPr>
      <w:r w:rsidRPr="00610EC7">
        <w:rPr>
          <w:rFonts w:ascii="Times New Roman" w:eastAsia="Times New Roman" w:hAnsi="Times New Roman" w:cs="Times New Roman"/>
          <w:b/>
          <w:sz w:val="24"/>
          <w:szCs w:val="24"/>
        </w:rPr>
        <w:t xml:space="preserve">Table </w:t>
      </w:r>
      <w:r w:rsidR="00610EC7" w:rsidRPr="00610EC7">
        <w:rPr>
          <w:rFonts w:ascii="Times New Roman" w:eastAsia="Times New Roman" w:hAnsi="Times New Roman" w:cs="Times New Roman"/>
          <w:b/>
          <w:sz w:val="24"/>
          <w:szCs w:val="24"/>
        </w:rPr>
        <w:t>1:</w:t>
      </w:r>
      <w:r w:rsidR="003F24F5" w:rsidRPr="00610EC7">
        <w:rPr>
          <w:b/>
        </w:rPr>
        <w:t xml:space="preserve"> </w:t>
      </w:r>
      <w:r w:rsidR="003F24F5" w:rsidRPr="00610EC7">
        <w:rPr>
          <w:rFonts w:ascii="Times New Roman" w:eastAsia="Times New Roman" w:hAnsi="Times New Roman" w:cs="Times New Roman"/>
          <w:b/>
          <w:sz w:val="24"/>
          <w:szCs w:val="24"/>
        </w:rPr>
        <w:t>Experimental details</w:t>
      </w:r>
    </w:p>
    <w:tbl>
      <w:tblPr>
        <w:tblW w:w="4804"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5731"/>
        <w:gridCol w:w="6942"/>
      </w:tblGrid>
      <w:tr w:rsidR="00A308D9" w:rsidTr="00A308D9">
        <w:trPr>
          <w:cantSplit/>
          <w:trHeight w:val="372"/>
        </w:trPr>
        <w:tc>
          <w:tcPr>
            <w:tcW w:w="2261"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Crop</w:t>
            </w:r>
          </w:p>
        </w:tc>
        <w:tc>
          <w:tcPr>
            <w:tcW w:w="2739"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 xml:space="preserve">Ash gourd </w:t>
            </w:r>
          </w:p>
        </w:tc>
      </w:tr>
      <w:tr w:rsidR="00A308D9" w:rsidTr="00A308D9">
        <w:trPr>
          <w:cantSplit/>
          <w:trHeight w:val="385"/>
        </w:trPr>
        <w:tc>
          <w:tcPr>
            <w:tcW w:w="2261"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Season</w:t>
            </w:r>
          </w:p>
        </w:tc>
        <w:tc>
          <w:tcPr>
            <w:tcW w:w="2739"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iCs/>
                <w:sz w:val="24"/>
                <w:szCs w:val="24"/>
              </w:rPr>
              <w:t>Summer</w:t>
            </w:r>
            <w:r w:rsidRPr="00A308D9">
              <w:rPr>
                <w:rFonts w:ascii="Times New Roman" w:eastAsia="Times New Roman" w:hAnsi="Times New Roman" w:cs="Times New Roman"/>
                <w:sz w:val="24"/>
                <w:szCs w:val="24"/>
              </w:rPr>
              <w:t xml:space="preserve"> 2023 </w:t>
            </w:r>
            <w:r w:rsidRPr="00A308D9">
              <w:rPr>
                <w:rFonts w:ascii="Times New Roman" w:eastAsia="Times New Roman" w:hAnsi="Times New Roman"/>
                <w:iCs/>
                <w:sz w:val="24"/>
                <w:szCs w:val="24"/>
              </w:rPr>
              <w:t>(March-June)</w:t>
            </w:r>
          </w:p>
        </w:tc>
      </w:tr>
      <w:tr w:rsidR="00A308D9" w:rsidTr="00A308D9">
        <w:trPr>
          <w:cantSplit/>
          <w:trHeight w:val="372"/>
        </w:trPr>
        <w:tc>
          <w:tcPr>
            <w:tcW w:w="2261"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Statistical design</w:t>
            </w:r>
          </w:p>
        </w:tc>
        <w:tc>
          <w:tcPr>
            <w:tcW w:w="2739"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Randomized block design</w:t>
            </w:r>
          </w:p>
        </w:tc>
      </w:tr>
      <w:tr w:rsidR="00A308D9" w:rsidTr="00A308D9">
        <w:trPr>
          <w:cantSplit/>
          <w:trHeight w:val="385"/>
        </w:trPr>
        <w:tc>
          <w:tcPr>
            <w:tcW w:w="2261"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Total number of genotypes</w:t>
            </w:r>
          </w:p>
        </w:tc>
        <w:tc>
          <w:tcPr>
            <w:tcW w:w="2739"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30</w:t>
            </w:r>
          </w:p>
        </w:tc>
      </w:tr>
      <w:tr w:rsidR="00A308D9" w:rsidTr="00A308D9">
        <w:trPr>
          <w:cantSplit/>
          <w:trHeight w:val="372"/>
        </w:trPr>
        <w:tc>
          <w:tcPr>
            <w:tcW w:w="2261"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Number of replications</w:t>
            </w:r>
          </w:p>
        </w:tc>
        <w:tc>
          <w:tcPr>
            <w:tcW w:w="2739"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2</w:t>
            </w:r>
          </w:p>
        </w:tc>
      </w:tr>
      <w:tr w:rsidR="00A308D9" w:rsidTr="00A308D9">
        <w:trPr>
          <w:cantSplit/>
          <w:trHeight w:val="385"/>
        </w:trPr>
        <w:tc>
          <w:tcPr>
            <w:tcW w:w="2261"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Spacing</w:t>
            </w:r>
          </w:p>
        </w:tc>
        <w:tc>
          <w:tcPr>
            <w:tcW w:w="2739"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3m × 1.5m</w:t>
            </w:r>
          </w:p>
        </w:tc>
      </w:tr>
      <w:tr w:rsidR="00A308D9" w:rsidTr="00A308D9">
        <w:trPr>
          <w:cantSplit/>
          <w:trHeight w:val="385"/>
        </w:trPr>
        <w:tc>
          <w:tcPr>
            <w:tcW w:w="2261"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Number of plants per row</w:t>
            </w:r>
          </w:p>
        </w:tc>
        <w:tc>
          <w:tcPr>
            <w:tcW w:w="2739" w:type="pct"/>
            <w:shd w:val="clear" w:color="auto" w:fill="auto"/>
            <w:vAlign w:val="center"/>
          </w:tcPr>
          <w:p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 xml:space="preserve">10 </w:t>
            </w:r>
          </w:p>
        </w:tc>
      </w:tr>
    </w:tbl>
    <w:p w:rsidR="00610EC7" w:rsidRPr="00610EC7" w:rsidRDefault="00ED24D1" w:rsidP="00610EC7">
      <w:pPr>
        <w:spacing w:before="280" w:after="0" w:line="360" w:lineRule="auto"/>
        <w:jc w:val="both"/>
        <w:rPr>
          <w:rFonts w:ascii="Times New Roman" w:hAnsi="Times New Roman"/>
          <w:b/>
          <w:bCs/>
          <w:sz w:val="24"/>
          <w:szCs w:val="24"/>
        </w:rPr>
      </w:pPr>
      <w:r>
        <w:rPr>
          <w:rFonts w:ascii="Times New Roman" w:hAnsi="Times New Roman"/>
          <w:b/>
          <w:bCs/>
          <w:sz w:val="24"/>
          <w:szCs w:val="24"/>
        </w:rPr>
        <w:t xml:space="preserve">Table 2 </w:t>
      </w:r>
      <w:r w:rsidR="00610EC7">
        <w:rPr>
          <w:rFonts w:ascii="Times New Roman" w:hAnsi="Times New Roman"/>
          <w:b/>
          <w:bCs/>
          <w:sz w:val="24"/>
          <w:szCs w:val="24"/>
        </w:rPr>
        <w:t xml:space="preserve">Details of the genotypes used in the experiments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6066"/>
        <w:gridCol w:w="5513"/>
      </w:tblGrid>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b/>
                <w:sz w:val="24"/>
                <w:szCs w:val="24"/>
              </w:rPr>
            </w:pPr>
            <w:r w:rsidRPr="008369D5">
              <w:rPr>
                <w:rFonts w:ascii="Times New Roman" w:eastAsia="Times New Roman" w:hAnsi="Times New Roman" w:cs="Tunga"/>
                <w:b/>
                <w:bCs/>
                <w:color w:val="000000"/>
                <w:sz w:val="24"/>
                <w:szCs w:val="24"/>
              </w:rPr>
              <w:t>Sl. No.</w:t>
            </w:r>
          </w:p>
        </w:tc>
        <w:tc>
          <w:tcPr>
            <w:tcW w:w="2302"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b/>
                <w:sz w:val="24"/>
                <w:szCs w:val="24"/>
              </w:rPr>
            </w:pPr>
            <w:r w:rsidRPr="008369D5">
              <w:rPr>
                <w:rFonts w:ascii="Times New Roman" w:eastAsia="Times New Roman" w:hAnsi="Times New Roman" w:cs="Tunga"/>
                <w:b/>
                <w:bCs/>
                <w:color w:val="000000"/>
                <w:sz w:val="24"/>
                <w:szCs w:val="24"/>
              </w:rPr>
              <w:t>Genotypes</w:t>
            </w:r>
          </w:p>
        </w:tc>
        <w:tc>
          <w:tcPr>
            <w:tcW w:w="2092" w:type="pct"/>
            <w:shd w:val="clear" w:color="auto" w:fill="auto"/>
            <w:vAlign w:val="center"/>
          </w:tcPr>
          <w:p w:rsidR="00610EC7" w:rsidRPr="008369D5" w:rsidRDefault="00610EC7" w:rsidP="00610EC7">
            <w:pPr>
              <w:spacing w:before="30" w:after="30" w:line="240" w:lineRule="auto"/>
              <w:rPr>
                <w:rFonts w:ascii="Times New Roman" w:eastAsia="Times New Roman" w:hAnsi="Times New Roman" w:cs="Tunga"/>
                <w:b/>
                <w:bCs/>
                <w:color w:val="000000"/>
                <w:sz w:val="24"/>
                <w:szCs w:val="24"/>
              </w:rPr>
            </w:pPr>
            <w:r w:rsidRPr="008369D5">
              <w:rPr>
                <w:rFonts w:ascii="Times New Roman" w:eastAsia="Times New Roman" w:hAnsi="Times New Roman" w:cs="Tunga"/>
                <w:b/>
                <w:bCs/>
                <w:color w:val="000000"/>
                <w:sz w:val="24"/>
                <w:szCs w:val="24"/>
              </w:rPr>
              <w:t>Source of collection</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1</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IC596984</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2</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IC596988</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3</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IC596991</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4</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IC392313</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5</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IC596985</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6</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IC596989</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lastRenderedPageBreak/>
              <w:t>7</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IC596993</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8</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IC548540</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9</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IC596987</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10</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IC596990</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11</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IC596994</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12</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IC613444</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13</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IC613450</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14</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IC613451</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15</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IC61452</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NBPGR New Delhi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16</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KA-1</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Karnataka region</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17</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KA-2</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Karnataka region</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18</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KA-3</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Karnataka region</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19</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KA-4</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Karnataka region</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20</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KASHI UJWAL</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IIVR Varanasi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21</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DHAWAL</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IIVR Varanasi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22</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SURBHI</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IIVR Varanasi</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23</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IIHRAG-1</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IIHR Bengaluru</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24</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IIHRAG-2</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IIHR Bengaluru</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25</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IIHRAG-3</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IIHR Bengaluru</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26</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IIHRAG-4</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IIHR Bengaluru</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27</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RP-1</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Raipur region</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28</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RP-2</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Raipur region</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29</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RP-3</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Raipur region</w:t>
            </w:r>
          </w:p>
        </w:tc>
      </w:tr>
      <w:tr w:rsidR="00610EC7" w:rsidTr="000108CD">
        <w:trPr>
          <w:cantSplit/>
          <w:jc w:val="center"/>
        </w:trPr>
        <w:tc>
          <w:tcPr>
            <w:tcW w:w="606" w:type="pct"/>
            <w:shd w:val="clear" w:color="auto" w:fill="auto"/>
            <w:vAlign w:val="center"/>
            <w:hideMark/>
          </w:tcPr>
          <w:p w:rsidR="00610EC7" w:rsidRPr="008369D5" w:rsidRDefault="00610EC7" w:rsidP="000108CD">
            <w:pPr>
              <w:spacing w:before="30" w:after="30" w:line="240" w:lineRule="auto"/>
              <w:jc w:val="center"/>
              <w:rPr>
                <w:rFonts w:ascii="Times New Roman" w:eastAsia="Times New Roman" w:hAnsi="Times New Roman" w:cs="Tunga"/>
                <w:sz w:val="24"/>
                <w:szCs w:val="24"/>
              </w:rPr>
            </w:pPr>
            <w:r w:rsidRPr="008369D5">
              <w:rPr>
                <w:rFonts w:ascii="Times New Roman" w:eastAsia="Times New Roman" w:hAnsi="Times New Roman" w:cs="Tunga"/>
                <w:color w:val="000000"/>
                <w:sz w:val="24"/>
                <w:szCs w:val="24"/>
              </w:rPr>
              <w:t>30</w:t>
            </w:r>
            <w:r w:rsidRPr="008369D5">
              <w:rPr>
                <w:rFonts w:ascii="Times New Roman" w:hAnsi="Times New Roman" w:cs="Tunga"/>
                <w:color w:val="000000"/>
                <w:sz w:val="24"/>
                <w:szCs w:val="24"/>
              </w:rPr>
              <w:t xml:space="preserve"> </w:t>
            </w:r>
          </w:p>
        </w:tc>
        <w:tc>
          <w:tcPr>
            <w:tcW w:w="2302" w:type="pct"/>
            <w:shd w:val="clear" w:color="auto" w:fill="auto"/>
            <w:vAlign w:val="center"/>
            <w:hideMark/>
          </w:tcPr>
          <w:p w:rsidR="00610EC7" w:rsidRPr="008369D5" w:rsidRDefault="00610EC7" w:rsidP="000108CD">
            <w:pPr>
              <w:spacing w:before="30" w:after="30" w:line="240" w:lineRule="auto"/>
              <w:rPr>
                <w:rFonts w:ascii="Times New Roman" w:eastAsia="Times New Roman" w:hAnsi="Times New Roman" w:cs="Tunga"/>
                <w:sz w:val="24"/>
                <w:szCs w:val="24"/>
              </w:rPr>
            </w:pPr>
            <w:r w:rsidRPr="008369D5">
              <w:rPr>
                <w:rFonts w:ascii="Times New Roman" w:eastAsia="Times New Roman" w:hAnsi="Times New Roman" w:cs="Tunga"/>
                <w:bCs/>
                <w:color w:val="000000"/>
                <w:sz w:val="24"/>
                <w:szCs w:val="24"/>
              </w:rPr>
              <w:t>RP-4</w:t>
            </w:r>
            <w:r w:rsidRPr="008369D5">
              <w:rPr>
                <w:rFonts w:ascii="Times New Roman" w:hAnsi="Times New Roman" w:cs="Tunga"/>
                <w:color w:val="000000"/>
                <w:sz w:val="24"/>
                <w:szCs w:val="24"/>
              </w:rPr>
              <w:t xml:space="preserve"> </w:t>
            </w:r>
          </w:p>
        </w:tc>
        <w:tc>
          <w:tcPr>
            <w:tcW w:w="2092" w:type="pct"/>
            <w:shd w:val="clear" w:color="auto" w:fill="auto"/>
            <w:vAlign w:val="center"/>
          </w:tcPr>
          <w:p w:rsidR="00610EC7" w:rsidRPr="008369D5" w:rsidRDefault="00610EC7" w:rsidP="000108CD">
            <w:pPr>
              <w:spacing w:before="30" w:after="30" w:line="240" w:lineRule="auto"/>
              <w:rPr>
                <w:rFonts w:ascii="Times New Roman" w:eastAsia="Times New Roman" w:hAnsi="Times New Roman" w:cs="Tunga"/>
                <w:bCs/>
                <w:color w:val="000000"/>
                <w:sz w:val="24"/>
                <w:szCs w:val="24"/>
              </w:rPr>
            </w:pPr>
            <w:r w:rsidRPr="008369D5">
              <w:rPr>
                <w:rFonts w:ascii="Times New Roman" w:eastAsia="Times New Roman" w:hAnsi="Times New Roman" w:cs="Tunga"/>
                <w:bCs/>
                <w:color w:val="000000"/>
                <w:sz w:val="24"/>
                <w:szCs w:val="24"/>
              </w:rPr>
              <w:t>Raipur region</w:t>
            </w:r>
          </w:p>
        </w:tc>
      </w:tr>
    </w:tbl>
    <w:p w:rsidR="00610EC7" w:rsidRDefault="00610EC7" w:rsidP="00610EC7">
      <w:pPr>
        <w:widowControl w:val="0"/>
        <w:autoSpaceDE w:val="0"/>
        <w:autoSpaceDN w:val="0"/>
        <w:adjustRightInd w:val="0"/>
        <w:spacing w:after="0" w:line="360" w:lineRule="auto"/>
        <w:jc w:val="both"/>
        <w:rPr>
          <w:rFonts w:ascii="Times New Roman" w:hAnsi="Times New Roman" w:cs="Times New Roman"/>
          <w:sz w:val="28"/>
          <w:szCs w:val="28"/>
        </w:rPr>
      </w:pPr>
    </w:p>
    <w:p w:rsidR="00610EC7" w:rsidRDefault="00610EC7" w:rsidP="00610EC7">
      <w:pPr>
        <w:spacing w:before="280" w:after="0" w:line="240" w:lineRule="auto"/>
        <w:jc w:val="both"/>
        <w:rPr>
          <w:rFonts w:ascii="Times New Roman" w:hAnsi="Times New Roman"/>
          <w:b/>
          <w:bCs/>
          <w:sz w:val="32"/>
          <w:szCs w:val="32"/>
        </w:rPr>
      </w:pPr>
      <w:r>
        <w:rPr>
          <w:rFonts w:ascii="Times New Roman" w:hAnsi="Times New Roman"/>
          <w:b/>
          <w:bCs/>
          <w:sz w:val="32"/>
          <w:szCs w:val="32"/>
        </w:rPr>
        <w:lastRenderedPageBreak/>
        <w:t xml:space="preserve"> Observations procedure </w:t>
      </w:r>
    </w:p>
    <w:p w:rsidR="00610EC7" w:rsidRDefault="00610EC7" w:rsidP="00610EC7">
      <w:pPr>
        <w:spacing w:before="280" w:after="0" w:line="360" w:lineRule="auto"/>
        <w:ind w:firstLine="720"/>
        <w:jc w:val="both"/>
        <w:rPr>
          <w:rFonts w:ascii="Times New Roman" w:hAnsi="Times New Roman"/>
          <w:sz w:val="24"/>
          <w:szCs w:val="24"/>
        </w:rPr>
      </w:pPr>
      <w:r>
        <w:rPr>
          <w:rFonts w:ascii="Times New Roman" w:hAnsi="Times New Roman"/>
          <w:sz w:val="24"/>
          <w:szCs w:val="24"/>
        </w:rPr>
        <w:t>Observations on quantitative characteristics were recorded on five randomly selected competitive plants in each genotype from both the replications and then averaged.</w:t>
      </w:r>
    </w:p>
    <w:p w:rsidR="00610EC7" w:rsidRDefault="00610EC7" w:rsidP="00610EC7">
      <w:pPr>
        <w:spacing w:before="280" w:after="0" w:line="240" w:lineRule="auto"/>
        <w:jc w:val="both"/>
        <w:rPr>
          <w:rFonts w:ascii="Times New Roman" w:hAnsi="Times New Roman"/>
          <w:b/>
          <w:bCs/>
          <w:sz w:val="24"/>
          <w:szCs w:val="24"/>
        </w:rPr>
      </w:pPr>
      <w:r>
        <w:rPr>
          <w:rFonts w:ascii="Times New Roman" w:hAnsi="Times New Roman"/>
          <w:b/>
          <w:bCs/>
          <w:sz w:val="24"/>
          <w:szCs w:val="24"/>
        </w:rPr>
        <w:t>1. Vine length (cm)</w:t>
      </w:r>
    </w:p>
    <w:p w:rsidR="00610EC7" w:rsidRDefault="00610EC7" w:rsidP="00610EC7">
      <w:pPr>
        <w:spacing w:before="280"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At the time of the last harvest, the length of the vine was measured in centimeters, starting at ground level ending at the tip</w:t>
      </w:r>
    </w:p>
    <w:p w:rsidR="00610EC7" w:rsidRDefault="00610EC7" w:rsidP="00610EC7">
      <w:pPr>
        <w:spacing w:before="280" w:after="0" w:line="240" w:lineRule="auto"/>
        <w:jc w:val="both"/>
        <w:rPr>
          <w:rFonts w:ascii="Times New Roman" w:hAnsi="Times New Roman"/>
          <w:b/>
          <w:bCs/>
          <w:sz w:val="24"/>
          <w:szCs w:val="24"/>
        </w:rPr>
      </w:pPr>
      <w:r>
        <w:rPr>
          <w:rFonts w:ascii="Times New Roman" w:hAnsi="Times New Roman"/>
          <w:b/>
          <w:bCs/>
          <w:sz w:val="24"/>
          <w:szCs w:val="24"/>
        </w:rPr>
        <w:t xml:space="preserve">2. Number of primary branches per plant </w:t>
      </w:r>
    </w:p>
    <w:p w:rsidR="00610EC7" w:rsidRDefault="00610EC7" w:rsidP="00610EC7">
      <w:pPr>
        <w:spacing w:before="280" w:after="0" w:line="360" w:lineRule="auto"/>
        <w:ind w:firstLine="720"/>
        <w:jc w:val="both"/>
        <w:rPr>
          <w:rFonts w:ascii="Times New Roman" w:hAnsi="Times New Roman"/>
          <w:sz w:val="24"/>
          <w:szCs w:val="24"/>
        </w:rPr>
      </w:pPr>
      <w:r>
        <w:rPr>
          <w:rFonts w:ascii="Times New Roman" w:eastAsia="Times New Roman" w:hAnsi="Times New Roman"/>
          <w:sz w:val="24"/>
          <w:szCs w:val="24"/>
        </w:rPr>
        <w:t xml:space="preserve">Branches arising from the main stem were counted and noted at different intervals of growth and expressed in numbers.  </w:t>
      </w:r>
    </w:p>
    <w:p w:rsidR="00610EC7" w:rsidRDefault="00610EC7" w:rsidP="00610EC7">
      <w:pPr>
        <w:spacing w:before="280" w:after="0" w:line="240" w:lineRule="auto"/>
        <w:jc w:val="both"/>
        <w:rPr>
          <w:rFonts w:ascii="Times New Roman" w:hAnsi="Times New Roman"/>
          <w:b/>
          <w:bCs/>
          <w:sz w:val="24"/>
          <w:szCs w:val="24"/>
        </w:rPr>
      </w:pPr>
      <w:r>
        <w:rPr>
          <w:rFonts w:ascii="Times New Roman" w:hAnsi="Times New Roman"/>
          <w:b/>
          <w:bCs/>
          <w:sz w:val="24"/>
          <w:szCs w:val="24"/>
        </w:rPr>
        <w:t xml:space="preserve">3. </w:t>
      </w:r>
      <w:r w:rsidR="006C0234">
        <w:rPr>
          <w:rFonts w:ascii="Times New Roman" w:hAnsi="Times New Roman"/>
          <w:b/>
          <w:bCs/>
          <w:sz w:val="24"/>
          <w:szCs w:val="24"/>
        </w:rPr>
        <w:t>Intermodal</w:t>
      </w:r>
      <w:r>
        <w:rPr>
          <w:rFonts w:ascii="Times New Roman" w:hAnsi="Times New Roman"/>
          <w:b/>
          <w:bCs/>
          <w:sz w:val="24"/>
          <w:szCs w:val="24"/>
        </w:rPr>
        <w:t xml:space="preserve"> length (cm)</w:t>
      </w:r>
    </w:p>
    <w:p w:rsidR="00610EC7" w:rsidRDefault="00610EC7" w:rsidP="00610EC7">
      <w:pPr>
        <w:spacing w:before="280"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Distance between two </w:t>
      </w:r>
      <w:r w:rsidR="006C0234">
        <w:rPr>
          <w:rFonts w:ascii="Times New Roman" w:eastAsia="Times New Roman" w:hAnsi="Times New Roman"/>
          <w:sz w:val="24"/>
          <w:szCs w:val="24"/>
        </w:rPr>
        <w:t>neighbouring</w:t>
      </w:r>
      <w:r>
        <w:rPr>
          <w:rFonts w:ascii="Times New Roman" w:eastAsia="Times New Roman" w:hAnsi="Times New Roman"/>
          <w:sz w:val="24"/>
          <w:szCs w:val="24"/>
        </w:rPr>
        <w:t xml:space="preserve"> nodes of middle portion of vine was measured with the scale and expressed in centimeters.</w:t>
      </w:r>
    </w:p>
    <w:p w:rsidR="00610EC7" w:rsidRDefault="00610EC7" w:rsidP="00610EC7">
      <w:pPr>
        <w:spacing w:before="280" w:after="0" w:line="240" w:lineRule="auto"/>
        <w:jc w:val="both"/>
        <w:rPr>
          <w:rFonts w:ascii="Times New Roman" w:hAnsi="Times New Roman"/>
          <w:b/>
          <w:bCs/>
          <w:sz w:val="24"/>
          <w:szCs w:val="24"/>
        </w:rPr>
      </w:pPr>
      <w:r>
        <w:rPr>
          <w:rFonts w:ascii="Times New Roman" w:hAnsi="Times New Roman"/>
          <w:b/>
          <w:bCs/>
          <w:sz w:val="24"/>
          <w:szCs w:val="24"/>
        </w:rPr>
        <w:t xml:space="preserve">4. Days to first female flowering </w:t>
      </w:r>
    </w:p>
    <w:p w:rsidR="00610EC7" w:rsidRDefault="00610EC7" w:rsidP="00610EC7">
      <w:pPr>
        <w:spacing w:before="280" w:after="0" w:line="360" w:lineRule="auto"/>
        <w:ind w:firstLine="720"/>
        <w:jc w:val="both"/>
        <w:rPr>
          <w:rFonts w:ascii="Times New Roman" w:hAnsi="Times New Roman"/>
          <w:b/>
          <w:bCs/>
          <w:sz w:val="24"/>
          <w:szCs w:val="24"/>
        </w:rPr>
      </w:pPr>
      <w:bookmarkStart w:id="0" w:name="_Hlk114517733"/>
      <w:r>
        <w:rPr>
          <w:rFonts w:ascii="Times New Roman" w:hAnsi="Times New Roman"/>
          <w:color w:val="000000"/>
          <w:sz w:val="24"/>
          <w:szCs w:val="24"/>
        </w:rPr>
        <w:t>Number of days taken from the date of sowing to the date of first female bloom appearance was recorded and expressed in days.</w:t>
      </w:r>
      <w:bookmarkEnd w:id="0"/>
    </w:p>
    <w:p w:rsidR="00610EC7" w:rsidRDefault="00610EC7" w:rsidP="00610EC7">
      <w:pPr>
        <w:spacing w:before="280" w:after="0" w:line="240" w:lineRule="auto"/>
        <w:jc w:val="both"/>
        <w:rPr>
          <w:rFonts w:ascii="Times New Roman" w:hAnsi="Times New Roman"/>
          <w:b/>
          <w:bCs/>
          <w:sz w:val="24"/>
          <w:szCs w:val="24"/>
        </w:rPr>
      </w:pPr>
      <w:r>
        <w:rPr>
          <w:rFonts w:ascii="Times New Roman" w:hAnsi="Times New Roman"/>
          <w:b/>
          <w:bCs/>
          <w:sz w:val="24"/>
          <w:szCs w:val="24"/>
        </w:rPr>
        <w:t xml:space="preserve">5. Days to first male flowering </w:t>
      </w:r>
    </w:p>
    <w:p w:rsidR="00610EC7" w:rsidRPr="00766663" w:rsidRDefault="00610EC7" w:rsidP="00610EC7">
      <w:pPr>
        <w:spacing w:before="280" w:after="0" w:line="360" w:lineRule="auto"/>
        <w:ind w:firstLine="720"/>
        <w:jc w:val="both"/>
        <w:rPr>
          <w:rFonts w:ascii="Times New Roman" w:eastAsia="Times New Roman" w:hAnsi="Times New Roman"/>
          <w:sz w:val="24"/>
          <w:szCs w:val="24"/>
        </w:rPr>
      </w:pPr>
      <w:r w:rsidRPr="00766663">
        <w:rPr>
          <w:rFonts w:ascii="Times New Roman" w:eastAsia="Times New Roman" w:hAnsi="Times New Roman"/>
          <w:sz w:val="24"/>
          <w:szCs w:val="24"/>
        </w:rPr>
        <w:t>The number of days that passed between the date of sowing and the first appearance of a male</w:t>
      </w:r>
      <w:r>
        <w:rPr>
          <w:rFonts w:ascii="Times New Roman" w:eastAsia="Times New Roman" w:hAnsi="Times New Roman"/>
          <w:sz w:val="24"/>
          <w:szCs w:val="24"/>
        </w:rPr>
        <w:t xml:space="preserve"> flower</w:t>
      </w:r>
      <w:r w:rsidRPr="00766663">
        <w:rPr>
          <w:rFonts w:ascii="Times New Roman" w:eastAsia="Times New Roman" w:hAnsi="Times New Roman"/>
          <w:sz w:val="24"/>
          <w:szCs w:val="24"/>
        </w:rPr>
        <w:t xml:space="preserve"> bloom was noted and stated in days.</w:t>
      </w:r>
    </w:p>
    <w:p w:rsidR="00610EC7" w:rsidRDefault="00610EC7" w:rsidP="00610EC7">
      <w:pPr>
        <w:spacing w:before="280" w:after="0" w:line="240" w:lineRule="auto"/>
        <w:jc w:val="both"/>
        <w:rPr>
          <w:rFonts w:ascii="Times New Roman" w:hAnsi="Times New Roman"/>
          <w:sz w:val="24"/>
          <w:szCs w:val="24"/>
        </w:rPr>
      </w:pPr>
      <w:r>
        <w:rPr>
          <w:rFonts w:ascii="Times New Roman" w:hAnsi="Times New Roman"/>
          <w:b/>
          <w:sz w:val="24"/>
          <w:szCs w:val="24"/>
        </w:rPr>
        <w:lastRenderedPageBreak/>
        <w:t>6. Days to first fruit harvest</w:t>
      </w:r>
    </w:p>
    <w:p w:rsidR="00610EC7" w:rsidRDefault="00610EC7" w:rsidP="00610EC7">
      <w:pPr>
        <w:spacing w:before="280" w:after="0" w:line="360" w:lineRule="auto"/>
        <w:ind w:firstLine="720"/>
        <w:jc w:val="both"/>
        <w:rPr>
          <w:rFonts w:ascii="Times New Roman" w:hAnsi="Times New Roman"/>
          <w:sz w:val="24"/>
          <w:szCs w:val="24"/>
        </w:rPr>
      </w:pPr>
      <w:r>
        <w:rPr>
          <w:rFonts w:ascii="Times New Roman" w:hAnsi="Times New Roman"/>
          <w:sz w:val="24"/>
          <w:szCs w:val="24"/>
        </w:rPr>
        <w:t>From the date of sowing to first picking of fruit was recorded and expressed in days</w:t>
      </w:r>
    </w:p>
    <w:p w:rsidR="00610EC7" w:rsidRDefault="00610EC7" w:rsidP="00610EC7">
      <w:pPr>
        <w:spacing w:before="280" w:after="0" w:line="240" w:lineRule="auto"/>
        <w:jc w:val="both"/>
        <w:rPr>
          <w:rFonts w:ascii="Times New Roman" w:hAnsi="Times New Roman"/>
          <w:sz w:val="24"/>
          <w:szCs w:val="24"/>
        </w:rPr>
      </w:pPr>
      <w:r>
        <w:rPr>
          <w:rFonts w:ascii="Times New Roman" w:hAnsi="Times New Roman"/>
          <w:b/>
          <w:sz w:val="24"/>
          <w:szCs w:val="24"/>
        </w:rPr>
        <w:t>7. Days to 50% flowering</w:t>
      </w:r>
    </w:p>
    <w:p w:rsidR="00610EC7" w:rsidRDefault="00610EC7" w:rsidP="00610EC7">
      <w:pPr>
        <w:spacing w:before="280"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Days taken from the date of sowing to the date of 50% flower appearance was recorded and expressed in days.</w:t>
      </w:r>
    </w:p>
    <w:p w:rsidR="00610EC7" w:rsidRDefault="00610EC7" w:rsidP="00610EC7">
      <w:pPr>
        <w:pStyle w:val="Normal1"/>
        <w:spacing w:before="28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 Fruit diameter (cm)</w:t>
      </w:r>
    </w:p>
    <w:p w:rsidR="00610EC7" w:rsidRDefault="00610EC7" w:rsidP="00610EC7">
      <w:pPr>
        <w:pStyle w:val="Normal1"/>
        <w:spacing w:before="280"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Diameter of fruits was recorded in cm on five fruits from five randomly choosen plants of each genotype in each replication. Diameter of fruits was measured at the center of the fruits and the average value was recorded as fruit diameter in cm. </w:t>
      </w:r>
    </w:p>
    <w:p w:rsidR="00610EC7" w:rsidRPr="000D7823" w:rsidRDefault="00610EC7" w:rsidP="00610EC7">
      <w:pPr>
        <w:pStyle w:val="Normal1"/>
        <w:spacing w:before="28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 Average fruit weight (kg)</w:t>
      </w:r>
    </w:p>
    <w:p w:rsidR="00610EC7" w:rsidRPr="000D7823" w:rsidRDefault="00610EC7" w:rsidP="00610EC7">
      <w:pPr>
        <w:spacing w:before="280" w:after="0" w:line="360" w:lineRule="auto"/>
        <w:ind w:firstLine="720"/>
        <w:jc w:val="both"/>
        <w:rPr>
          <w:rFonts w:ascii="Times New Roman" w:eastAsia="Times New Roman" w:hAnsi="Times New Roman"/>
          <w:sz w:val="24"/>
          <w:szCs w:val="24"/>
        </w:rPr>
      </w:pPr>
      <w:r w:rsidRPr="000D7823">
        <w:rPr>
          <w:rFonts w:ascii="Times New Roman" w:eastAsia="Times New Roman" w:hAnsi="Times New Roman"/>
          <w:sz w:val="24"/>
          <w:szCs w:val="24"/>
        </w:rPr>
        <w:t>Five fruits were chosen at random from each genotype, and the weight of each fruit was averaged to determine the fruit weight.</w:t>
      </w:r>
    </w:p>
    <w:p w:rsidR="00610EC7" w:rsidRDefault="00610EC7" w:rsidP="00610EC7">
      <w:pPr>
        <w:pStyle w:val="Normal1"/>
        <w:spacing w:before="28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Numbers of fruits per vine</w:t>
      </w:r>
    </w:p>
    <w:p w:rsidR="00610EC7" w:rsidRPr="000D7823" w:rsidRDefault="00610EC7" w:rsidP="00610EC7">
      <w:pPr>
        <w:pStyle w:val="Normal1"/>
        <w:spacing w:before="280" w:after="0" w:line="360" w:lineRule="auto"/>
        <w:ind w:firstLine="720"/>
        <w:jc w:val="both"/>
        <w:rPr>
          <w:rFonts w:ascii="Times New Roman" w:eastAsia="Times New Roman" w:hAnsi="Times New Roman" w:cs="Times New Roman"/>
          <w:sz w:val="24"/>
          <w:szCs w:val="24"/>
        </w:rPr>
      </w:pPr>
      <w:r w:rsidRPr="000D7823">
        <w:rPr>
          <w:rFonts w:ascii="Times New Roman" w:eastAsia="Times New Roman" w:hAnsi="Times New Roman" w:cs="Times New Roman"/>
          <w:sz w:val="24"/>
          <w:szCs w:val="24"/>
        </w:rPr>
        <w:t>From entire harvest, the number of fruits on each vine was counted and noted</w:t>
      </w:r>
    </w:p>
    <w:p w:rsidR="00610EC7" w:rsidRDefault="00610EC7" w:rsidP="00610EC7">
      <w:pPr>
        <w:pStyle w:val="Normal1"/>
        <w:spacing w:before="28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TSS (</w:t>
      </w:r>
      <w:r>
        <w:rPr>
          <w:rFonts w:ascii="Times New Roman" w:eastAsia="Times New Roman" w:hAnsi="Times New Roman" w:cs="Times New Roman"/>
          <w:b/>
          <w:sz w:val="24"/>
          <w:szCs w:val="24"/>
          <w:vertAlign w:val="superscript"/>
        </w:rPr>
        <w:t>o</w:t>
      </w:r>
      <w:r>
        <w:rPr>
          <w:rFonts w:ascii="Times New Roman" w:eastAsia="Times New Roman" w:hAnsi="Times New Roman" w:cs="Times New Roman"/>
          <w:b/>
          <w:sz w:val="24"/>
          <w:szCs w:val="24"/>
        </w:rPr>
        <w:t>B)</w:t>
      </w:r>
    </w:p>
    <w:p w:rsidR="00610EC7" w:rsidRDefault="00610EC7" w:rsidP="00610EC7">
      <w:pPr>
        <w:pStyle w:val="Normal1"/>
        <w:spacing w:before="28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drop of ash gourd fruit juice was used to estimate the TSS with the help of hand refractometer and the value was taken at room temperature.</w:t>
      </w:r>
    </w:p>
    <w:p w:rsidR="00610EC7" w:rsidRDefault="00610EC7" w:rsidP="00610EC7">
      <w:pPr>
        <w:pStyle w:val="Normal1"/>
        <w:spacing w:before="28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Number of seeds per fruit</w:t>
      </w:r>
    </w:p>
    <w:p w:rsidR="00610EC7" w:rsidRDefault="00610EC7" w:rsidP="00610EC7">
      <w:pPr>
        <w:pStyle w:val="Normal1"/>
        <w:spacing w:before="28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From five random plants</w:t>
      </w:r>
      <w:r w:rsidRPr="00CC13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number of seeds per fruit was counted from each genotype and averaged.</w:t>
      </w:r>
    </w:p>
    <w:p w:rsidR="00610EC7" w:rsidRDefault="00610EC7" w:rsidP="00610EC7">
      <w:pPr>
        <w:pStyle w:val="Normal1"/>
        <w:spacing w:before="28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13. Yield per plant (kg) </w:t>
      </w:r>
    </w:p>
    <w:p w:rsidR="00610EC7" w:rsidRDefault="00610EC7" w:rsidP="00610EC7">
      <w:pPr>
        <w:pStyle w:val="Normal1"/>
        <w:spacing w:before="280" w:after="0" w:line="36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The average weight of the fruit is</w:t>
      </w:r>
      <w:r w:rsidRPr="00CC1332">
        <w:rPr>
          <w:rFonts w:ascii="Times New Roman" w:hAnsi="Times New Roman" w:cs="Times New Roman"/>
          <w:sz w:val="24"/>
          <w:szCs w:val="24"/>
        </w:rPr>
        <w:t xml:space="preserve"> </w:t>
      </w:r>
      <w:r>
        <w:rPr>
          <w:rFonts w:ascii="Times New Roman" w:hAnsi="Times New Roman" w:cs="Times New Roman"/>
          <w:sz w:val="24"/>
          <w:szCs w:val="24"/>
        </w:rPr>
        <w:t>multiplied with total number of fruits produced by a plant. The data was represented in kilogram</w:t>
      </w:r>
      <w:r>
        <w:rPr>
          <w:rFonts w:ascii="Times New Roman" w:eastAsia="Times New Roman" w:hAnsi="Times New Roman" w:cs="Times New Roman"/>
          <w:sz w:val="24"/>
          <w:szCs w:val="24"/>
        </w:rPr>
        <w:t xml:space="preserve"> per plant.</w:t>
      </w:r>
    </w:p>
    <w:p w:rsidR="00A83432" w:rsidRDefault="00A83432" w:rsidP="00A83432">
      <w:pPr>
        <w:pStyle w:val="Normal1"/>
        <w:spacing w:after="0" w:line="360" w:lineRule="auto"/>
        <w:jc w:val="both"/>
        <w:rPr>
          <w:rFonts w:ascii="Times New Roman" w:eastAsia="Times New Roman" w:hAnsi="Times New Roman" w:cs="Times New Roman"/>
          <w:b/>
          <w:sz w:val="24"/>
          <w:szCs w:val="24"/>
        </w:rPr>
      </w:pPr>
    </w:p>
    <w:p w:rsidR="00A83432" w:rsidRPr="00F32786" w:rsidRDefault="00A83432" w:rsidP="00A83432">
      <w:pPr>
        <w:pStyle w:val="Normal1"/>
        <w:spacing w:after="0" w:line="360" w:lineRule="auto"/>
        <w:jc w:val="both"/>
        <w:rPr>
          <w:rFonts w:ascii="Times New Roman" w:eastAsia="Times New Roman" w:hAnsi="Times New Roman" w:cs="Times New Roman"/>
          <w:sz w:val="24"/>
          <w:szCs w:val="24"/>
        </w:rPr>
      </w:pPr>
      <w:r w:rsidRPr="00F32786">
        <w:rPr>
          <w:rFonts w:ascii="Times New Roman" w:eastAsia="Times New Roman" w:hAnsi="Times New Roman" w:cs="Times New Roman"/>
          <w:b/>
          <w:sz w:val="24"/>
          <w:szCs w:val="24"/>
        </w:rPr>
        <w:t>Statistical and Biometrical Analysis</w:t>
      </w:r>
    </w:p>
    <w:p w:rsidR="001C190C" w:rsidRDefault="00A83432" w:rsidP="001C190C">
      <w:pPr>
        <w:autoSpaceDE w:val="0"/>
        <w:autoSpaceDN w:val="0"/>
        <w:adjustRightInd w:val="0"/>
        <w:spacing w:before="280" w:after="0" w:line="240" w:lineRule="auto"/>
        <w:jc w:val="both"/>
        <w:rPr>
          <w:rFonts w:ascii="Times New Roman" w:hAnsi="Times New Roman"/>
          <w:sz w:val="24"/>
          <w:szCs w:val="24"/>
        </w:rPr>
      </w:pPr>
      <w:r w:rsidRPr="00F3410A">
        <w:rPr>
          <w:rFonts w:ascii="Times New Roman" w:eastAsia="Times New Roman" w:hAnsi="Times New Roman" w:cs="Times New Roman"/>
          <w:sz w:val="24"/>
          <w:szCs w:val="24"/>
        </w:rPr>
        <w:t xml:space="preserve">Analysis of genetic variance: </w:t>
      </w:r>
      <w:r w:rsidR="00F3410A">
        <w:rPr>
          <w:rFonts w:ascii="Times New Roman" w:hAnsi="Times New Roman"/>
          <w:sz w:val="24"/>
          <w:szCs w:val="24"/>
        </w:rPr>
        <w:t xml:space="preserve">Fisher (1936) </w:t>
      </w:r>
    </w:p>
    <w:p w:rsidR="001C190C" w:rsidRDefault="001C190C" w:rsidP="001C190C">
      <w:pPr>
        <w:autoSpaceDE w:val="0"/>
        <w:autoSpaceDN w:val="0"/>
        <w:adjustRightInd w:val="0"/>
        <w:spacing w:before="280" w:after="0" w:line="360" w:lineRule="auto"/>
        <w:jc w:val="both"/>
        <w:rPr>
          <w:rFonts w:ascii="Times New Roman" w:hAnsi="Times New Roman"/>
          <w:sz w:val="24"/>
          <w:szCs w:val="24"/>
        </w:rPr>
      </w:pPr>
      <w:r w:rsidRPr="001C190C">
        <w:rPr>
          <w:rFonts w:ascii="Times New Roman" w:hAnsi="Times New Roman"/>
          <w:bCs/>
          <w:sz w:val="24"/>
          <w:szCs w:val="24"/>
        </w:rPr>
        <w:t>Coefficient of variation (%)</w:t>
      </w:r>
      <w:r>
        <w:rPr>
          <w:rFonts w:ascii="Times New Roman" w:hAnsi="Times New Roman"/>
          <w:bCs/>
          <w:sz w:val="24"/>
          <w:szCs w:val="24"/>
        </w:rPr>
        <w:t>:</w:t>
      </w:r>
      <w:r w:rsidRPr="001C190C">
        <w:rPr>
          <w:rFonts w:ascii="Times New Roman" w:hAnsi="Times New Roman"/>
          <w:sz w:val="24"/>
          <w:szCs w:val="24"/>
        </w:rPr>
        <w:t xml:space="preserve"> </w:t>
      </w:r>
      <w:r>
        <w:rPr>
          <w:rFonts w:ascii="Times New Roman" w:hAnsi="Times New Roman"/>
          <w:sz w:val="24"/>
          <w:szCs w:val="24"/>
        </w:rPr>
        <w:t>Burton and Devane (1952)</w:t>
      </w:r>
    </w:p>
    <w:p w:rsidR="001C190C" w:rsidRDefault="001C190C" w:rsidP="001C190C">
      <w:pPr>
        <w:autoSpaceDE w:val="0"/>
        <w:autoSpaceDN w:val="0"/>
        <w:adjustRightInd w:val="0"/>
        <w:spacing w:before="280" w:after="0" w:line="240" w:lineRule="auto"/>
        <w:jc w:val="both"/>
        <w:rPr>
          <w:rFonts w:ascii="Times New Roman" w:hAnsi="Times New Roman"/>
          <w:sz w:val="24"/>
          <w:szCs w:val="24"/>
        </w:rPr>
      </w:pPr>
      <w:r w:rsidRPr="001C190C">
        <w:rPr>
          <w:rFonts w:ascii="Times New Roman" w:hAnsi="Times New Roman"/>
          <w:bCs/>
          <w:sz w:val="24"/>
          <w:szCs w:val="24"/>
        </w:rPr>
        <w:t>Heritability (%)</w:t>
      </w:r>
      <w:r>
        <w:rPr>
          <w:rFonts w:ascii="Times New Roman" w:hAnsi="Times New Roman"/>
          <w:bCs/>
          <w:sz w:val="24"/>
          <w:szCs w:val="24"/>
        </w:rPr>
        <w:t xml:space="preserve">: </w:t>
      </w:r>
      <w:r>
        <w:rPr>
          <w:rFonts w:ascii="Times New Roman" w:hAnsi="Times New Roman"/>
          <w:sz w:val="24"/>
          <w:szCs w:val="24"/>
        </w:rPr>
        <w:t>Lush</w:t>
      </w:r>
      <w:r>
        <w:rPr>
          <w:rFonts w:ascii="Times New Roman" w:hAnsi="Times New Roman"/>
          <w:spacing w:val="9"/>
          <w:sz w:val="24"/>
          <w:szCs w:val="24"/>
        </w:rPr>
        <w:t xml:space="preserve"> </w:t>
      </w:r>
      <w:r>
        <w:rPr>
          <w:rFonts w:ascii="Times New Roman" w:hAnsi="Times New Roman"/>
          <w:sz w:val="24"/>
          <w:szCs w:val="24"/>
        </w:rPr>
        <w:t>(1940)</w:t>
      </w:r>
    </w:p>
    <w:p w:rsidR="001C190C" w:rsidRPr="001C190C" w:rsidRDefault="001C190C" w:rsidP="001C190C">
      <w:pPr>
        <w:autoSpaceDE w:val="0"/>
        <w:autoSpaceDN w:val="0"/>
        <w:adjustRightInd w:val="0"/>
        <w:spacing w:before="280" w:after="0" w:line="240" w:lineRule="auto"/>
        <w:jc w:val="both"/>
        <w:rPr>
          <w:rFonts w:ascii="Times New Roman" w:hAnsi="Times New Roman"/>
          <w:sz w:val="24"/>
          <w:szCs w:val="24"/>
        </w:rPr>
      </w:pPr>
      <w:r w:rsidRPr="001C190C">
        <w:rPr>
          <w:rFonts w:ascii="Times New Roman" w:hAnsi="Times New Roman"/>
          <w:bCs/>
          <w:sz w:val="24"/>
          <w:szCs w:val="24"/>
        </w:rPr>
        <w:t>Genetic Advance (GA):</w:t>
      </w:r>
      <w:r>
        <w:rPr>
          <w:rFonts w:ascii="Times New Roman" w:hAnsi="Times New Roman"/>
          <w:bCs/>
          <w:sz w:val="24"/>
          <w:szCs w:val="24"/>
        </w:rPr>
        <w:t xml:space="preserve"> </w:t>
      </w:r>
      <w:r>
        <w:rPr>
          <w:rFonts w:ascii="Times New Roman" w:hAnsi="Times New Roman"/>
          <w:sz w:val="24"/>
          <w:szCs w:val="24"/>
        </w:rPr>
        <w:t xml:space="preserve">Johnson </w:t>
      </w:r>
      <w:r>
        <w:rPr>
          <w:rFonts w:ascii="Times New Roman" w:hAnsi="Times New Roman"/>
          <w:i/>
          <w:sz w:val="24"/>
          <w:szCs w:val="24"/>
        </w:rPr>
        <w:t>et al</w:t>
      </w: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z w:val="24"/>
          <w:szCs w:val="24"/>
        </w:rPr>
        <w:t>(1955).</w:t>
      </w:r>
    </w:p>
    <w:p w:rsidR="001C190C" w:rsidRPr="001C190C" w:rsidRDefault="001C190C" w:rsidP="001C190C">
      <w:pPr>
        <w:autoSpaceDE w:val="0"/>
        <w:autoSpaceDN w:val="0"/>
        <w:adjustRightInd w:val="0"/>
        <w:spacing w:before="280" w:after="0" w:line="240" w:lineRule="auto"/>
        <w:jc w:val="both"/>
        <w:rPr>
          <w:rFonts w:ascii="Times New Roman" w:hAnsi="Times New Roman"/>
          <w:bCs/>
          <w:sz w:val="24"/>
          <w:szCs w:val="24"/>
        </w:rPr>
      </w:pPr>
      <w:r w:rsidRPr="001C190C">
        <w:rPr>
          <w:rFonts w:ascii="Times New Roman" w:hAnsi="Times New Roman"/>
          <w:bCs/>
          <w:sz w:val="24"/>
          <w:szCs w:val="24"/>
        </w:rPr>
        <w:t>Genetic Advance as per cent Mean (GAM)</w:t>
      </w:r>
      <w:r>
        <w:rPr>
          <w:rFonts w:ascii="Times New Roman" w:hAnsi="Times New Roman"/>
          <w:bCs/>
          <w:sz w:val="24"/>
          <w:szCs w:val="24"/>
        </w:rPr>
        <w:t>:</w:t>
      </w:r>
      <w:r w:rsidRPr="001C190C">
        <w:rPr>
          <w:rFonts w:ascii="Times New Roman" w:hAnsi="Times New Roman"/>
          <w:sz w:val="24"/>
          <w:szCs w:val="24"/>
        </w:rPr>
        <w:t xml:space="preserve"> </w:t>
      </w:r>
      <w:r>
        <w:rPr>
          <w:rFonts w:ascii="Times New Roman" w:hAnsi="Times New Roman"/>
          <w:sz w:val="24"/>
          <w:szCs w:val="24"/>
        </w:rPr>
        <w:t xml:space="preserve">Johnson </w:t>
      </w:r>
      <w:r>
        <w:rPr>
          <w:rFonts w:ascii="Times New Roman" w:hAnsi="Times New Roman"/>
          <w:i/>
          <w:iCs/>
          <w:sz w:val="24"/>
          <w:szCs w:val="24"/>
        </w:rPr>
        <w:t>et al</w:t>
      </w:r>
      <w:r>
        <w:rPr>
          <w:rFonts w:ascii="Times New Roman" w:hAnsi="Times New Roman"/>
          <w:sz w:val="24"/>
          <w:szCs w:val="24"/>
        </w:rPr>
        <w:t>. (1955)</w:t>
      </w:r>
    </w:p>
    <w:p w:rsidR="00F3410A" w:rsidRPr="00F3410A" w:rsidRDefault="00F3410A" w:rsidP="001C190C">
      <w:pPr>
        <w:pStyle w:val="Normal1"/>
        <w:spacing w:after="0" w:line="360" w:lineRule="auto"/>
        <w:jc w:val="both"/>
        <w:rPr>
          <w:rFonts w:ascii="Times New Roman" w:hAnsi="Times New Roman" w:cs="Times New Roman"/>
          <w:sz w:val="24"/>
          <w:szCs w:val="24"/>
        </w:rPr>
      </w:pPr>
    </w:p>
    <w:p w:rsidR="00B7512C" w:rsidRDefault="00B7512C" w:rsidP="00B7512C">
      <w:pPr>
        <w:widowControl w:val="0"/>
        <w:autoSpaceDE w:val="0"/>
        <w:autoSpaceDN w:val="0"/>
        <w:adjustRightInd w:val="0"/>
        <w:spacing w:after="0" w:line="360" w:lineRule="auto"/>
        <w:jc w:val="both"/>
        <w:rPr>
          <w:rFonts w:ascii="Times New Roman" w:hAnsi="Times New Roman" w:cs="Times New Roman"/>
          <w:b/>
          <w:bCs/>
          <w:color w:val="000000" w:themeColor="text1" w:themeShade="BF"/>
          <w:sz w:val="28"/>
          <w:szCs w:val="28"/>
        </w:rPr>
      </w:pPr>
      <w:r w:rsidRPr="00A308D9">
        <w:rPr>
          <w:rFonts w:ascii="Times New Roman" w:hAnsi="Times New Roman" w:cs="Times New Roman"/>
          <w:b/>
          <w:bCs/>
          <w:color w:val="000000" w:themeColor="text1" w:themeShade="BF"/>
          <w:sz w:val="28"/>
          <w:szCs w:val="28"/>
        </w:rPr>
        <w:t>Result:</w:t>
      </w:r>
    </w:p>
    <w:p w:rsidR="00A308D9" w:rsidRPr="00900C83" w:rsidRDefault="00A308D9" w:rsidP="00900C83">
      <w:pPr>
        <w:tabs>
          <w:tab w:val="left" w:pos="851"/>
        </w:tabs>
        <w:spacing w:before="280" w:after="0" w:line="360" w:lineRule="auto"/>
        <w:ind w:firstLine="720"/>
        <w:jc w:val="both"/>
        <w:rPr>
          <w:rFonts w:ascii="Times New Roman" w:hAnsi="Times New Roman"/>
          <w:sz w:val="24"/>
          <w:szCs w:val="24"/>
        </w:rPr>
      </w:pPr>
      <w:r w:rsidRPr="00900C83">
        <w:rPr>
          <w:rFonts w:ascii="Times New Roman" w:hAnsi="Times New Roman"/>
          <w:sz w:val="24"/>
          <w:szCs w:val="24"/>
        </w:rPr>
        <w:t>The analysis of variance for thirteen traits under the study, namely vine length, number of primary branches per plant, internodal length, days to first fruit harvest, days to first male flower appearance, days to first female flowering, days to 50% flowering, fruit diameter, average fruit weight, number of fruits per vine, total soluble solids, number of seeds per fruit, yield per plant at the 5 percent significance level.</w:t>
      </w:r>
    </w:p>
    <w:p w:rsidR="00A308D9" w:rsidRDefault="00372DCF" w:rsidP="00A308D9">
      <w:pPr>
        <w:spacing w:after="0" w:line="360" w:lineRule="auto"/>
        <w:jc w:val="both"/>
        <w:rPr>
          <w:rFonts w:ascii="Times New Roman" w:hAnsi="Times New Roman"/>
        </w:rPr>
      </w:pPr>
      <w:r w:rsidRPr="00372DCF">
        <w:rPr>
          <w:rFonts w:ascii="Times New Roman" w:eastAsia="Times New Roman" w:hAnsi="Times New Roman" w:cs="Times New Roman"/>
          <w:b/>
          <w:sz w:val="28"/>
          <w:szCs w:val="28"/>
          <w:lang w:val="en-US" w:bidi="ar-SA"/>
        </w:rPr>
        <w:lastRenderedPageBreak/>
        <w:t xml:space="preserve"> </w:t>
      </w:r>
      <w:r w:rsidR="00ED24D1">
        <w:rPr>
          <w:rFonts w:ascii="Times New Roman" w:eastAsia="Times New Roman" w:hAnsi="Times New Roman" w:cs="Times New Roman"/>
          <w:b/>
          <w:sz w:val="28"/>
          <w:szCs w:val="28"/>
          <w:lang w:val="en-US" w:bidi="ar-SA"/>
        </w:rPr>
        <w:t>Table 3</w:t>
      </w:r>
      <w:r w:rsidR="00B83657">
        <w:rPr>
          <w:rFonts w:ascii="Times New Roman" w:eastAsia="Times New Roman" w:hAnsi="Times New Roman" w:cs="Times New Roman"/>
          <w:b/>
          <w:sz w:val="28"/>
          <w:szCs w:val="28"/>
          <w:lang w:val="en-US" w:bidi="ar-SA"/>
        </w:rPr>
        <w:t xml:space="preserve"> </w:t>
      </w:r>
      <w:r w:rsidR="00A308D9">
        <w:rPr>
          <w:rFonts w:ascii="Times New Roman" w:hAnsi="Times New Roman"/>
          <w:b/>
          <w:bCs/>
          <w:sz w:val="24"/>
          <w:szCs w:val="24"/>
        </w:rPr>
        <w:t>Analysis of variance for yield and component traits in ash gourd</w:t>
      </w:r>
    </w:p>
    <w:tbl>
      <w:tblPr>
        <w:tblStyle w:val="TableGrid"/>
        <w:tblW w:w="5000" w:type="pct"/>
        <w:jc w:val="center"/>
        <w:tblLook w:val="04A0" w:firstRow="1" w:lastRow="0" w:firstColumn="1" w:lastColumn="0" w:noHBand="0" w:noVBand="1"/>
      </w:tblPr>
      <w:tblGrid>
        <w:gridCol w:w="925"/>
        <w:gridCol w:w="6103"/>
        <w:gridCol w:w="2150"/>
        <w:gridCol w:w="2285"/>
        <w:gridCol w:w="1713"/>
      </w:tblGrid>
      <w:tr w:rsidR="00A308D9" w:rsidTr="002E2FA5">
        <w:trPr>
          <w:cantSplit/>
          <w:jc w:val="center"/>
        </w:trPr>
        <w:tc>
          <w:tcPr>
            <w:tcW w:w="351" w:type="pct"/>
            <w:vMerge w:val="restart"/>
            <w:vAlign w:val="center"/>
            <w:hideMark/>
          </w:tcPr>
          <w:p w:rsidR="00A308D9" w:rsidRDefault="00A308D9" w:rsidP="002E2FA5">
            <w:pPr>
              <w:spacing w:before="110" w:after="11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Sl. </w:t>
            </w:r>
            <w:r>
              <w:rPr>
                <w:rFonts w:ascii="Times New Roman" w:eastAsia="Times New Roman" w:hAnsi="Times New Roman"/>
                <w:b/>
                <w:bCs/>
                <w:sz w:val="24"/>
                <w:szCs w:val="24"/>
              </w:rPr>
              <w:br/>
              <w:t>No.</w:t>
            </w:r>
          </w:p>
        </w:tc>
        <w:tc>
          <w:tcPr>
            <w:tcW w:w="2316" w:type="pct"/>
            <w:vMerge w:val="restart"/>
            <w:vAlign w:val="center"/>
            <w:hideMark/>
          </w:tcPr>
          <w:p w:rsidR="00A308D9" w:rsidRDefault="00A308D9" w:rsidP="002E2FA5">
            <w:pPr>
              <w:spacing w:before="110" w:after="11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Source </w:t>
            </w:r>
          </w:p>
        </w:tc>
        <w:tc>
          <w:tcPr>
            <w:tcW w:w="2334" w:type="pct"/>
            <w:gridSpan w:val="3"/>
            <w:vAlign w:val="center"/>
            <w:hideMark/>
          </w:tcPr>
          <w:p w:rsidR="00A308D9" w:rsidRDefault="00A308D9" w:rsidP="002E2FA5">
            <w:pPr>
              <w:spacing w:before="110" w:after="11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Mean Sum of Squares (MSS)</w:t>
            </w:r>
          </w:p>
        </w:tc>
      </w:tr>
      <w:tr w:rsidR="00A308D9" w:rsidTr="002E2FA5">
        <w:trPr>
          <w:cantSplit/>
          <w:jc w:val="center"/>
        </w:trPr>
        <w:tc>
          <w:tcPr>
            <w:tcW w:w="351" w:type="pct"/>
            <w:vMerge/>
            <w:vAlign w:val="center"/>
            <w:hideMark/>
          </w:tcPr>
          <w:p w:rsidR="00A308D9" w:rsidRDefault="00A308D9" w:rsidP="002E2FA5">
            <w:pPr>
              <w:spacing w:before="110" w:after="110" w:line="240" w:lineRule="auto"/>
              <w:rPr>
                <w:rFonts w:ascii="Times New Roman" w:eastAsia="Times New Roman" w:hAnsi="Times New Roman"/>
                <w:b/>
                <w:bCs/>
                <w:sz w:val="24"/>
                <w:szCs w:val="24"/>
              </w:rPr>
            </w:pPr>
          </w:p>
        </w:tc>
        <w:tc>
          <w:tcPr>
            <w:tcW w:w="2316" w:type="pct"/>
            <w:vMerge/>
            <w:vAlign w:val="center"/>
            <w:hideMark/>
          </w:tcPr>
          <w:p w:rsidR="00A308D9" w:rsidRDefault="00A308D9" w:rsidP="002E2FA5">
            <w:pPr>
              <w:spacing w:before="110" w:after="110" w:line="240" w:lineRule="auto"/>
              <w:rPr>
                <w:rFonts w:ascii="Times New Roman" w:eastAsia="Times New Roman" w:hAnsi="Times New Roman"/>
                <w:b/>
                <w:bCs/>
                <w:sz w:val="24"/>
                <w:szCs w:val="24"/>
              </w:rPr>
            </w:pP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Replication</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Treatment</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Error</w:t>
            </w:r>
          </w:p>
        </w:tc>
      </w:tr>
      <w:tr w:rsidR="00A308D9" w:rsidTr="002E2FA5">
        <w:trPr>
          <w:cantSplit/>
          <w:jc w:val="center"/>
        </w:trPr>
        <w:tc>
          <w:tcPr>
            <w:tcW w:w="351" w:type="pct"/>
            <w:vMerge/>
            <w:vAlign w:val="center"/>
            <w:hideMark/>
          </w:tcPr>
          <w:p w:rsidR="00A308D9" w:rsidRDefault="00A308D9" w:rsidP="002E2FA5">
            <w:pPr>
              <w:spacing w:before="110" w:after="110" w:line="240" w:lineRule="auto"/>
              <w:rPr>
                <w:rFonts w:ascii="Times New Roman" w:eastAsia="Times New Roman" w:hAnsi="Times New Roman"/>
                <w:b/>
                <w:bCs/>
                <w:sz w:val="24"/>
                <w:szCs w:val="24"/>
              </w:rPr>
            </w:pPr>
          </w:p>
        </w:tc>
        <w:tc>
          <w:tcPr>
            <w:tcW w:w="2316" w:type="pct"/>
            <w:vAlign w:val="center"/>
            <w:hideMark/>
          </w:tcPr>
          <w:p w:rsidR="00A308D9" w:rsidRDefault="00A308D9" w:rsidP="002E2FA5">
            <w:pPr>
              <w:spacing w:before="110" w:after="11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Degrees of freedom</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29</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29</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Vine length (cm)</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28.773</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56664.782**</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871.150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Number of primary branches per plant</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0.301</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12.36**</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0.340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Internodal length (cm)</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1.549</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11.84**</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0.550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Days to first male flower appearance</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2.731</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187.702**</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26.000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Days to first female flowering</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12.899</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247.346**</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18.580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Days to 50% flowering</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1.630</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244.898**</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26.370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Days to first fruit harvest</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28.538</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34.667**</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14.300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Fruit diameter (cm)</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1.088</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428.794**</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21.660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Average fruit weight (kg)</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0.002</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2.93**</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0.290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Number of fruits per vine</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0.015</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1.831**</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0.110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TSS (° Brix)</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0.001</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0.119**</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0.050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Number of seeds per fruit</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1072.982</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46971.214**</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1125.460</w:t>
            </w:r>
          </w:p>
        </w:tc>
      </w:tr>
      <w:tr w:rsidR="00A308D9" w:rsidTr="002E2FA5">
        <w:trPr>
          <w:cantSplit/>
          <w:jc w:val="center"/>
        </w:trPr>
        <w:tc>
          <w:tcPr>
            <w:tcW w:w="3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2316" w:type="pct"/>
            <w:vAlign w:val="center"/>
            <w:hideMark/>
          </w:tcPr>
          <w:p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Yield per plant (kg)</w:t>
            </w:r>
          </w:p>
        </w:tc>
        <w:tc>
          <w:tcPr>
            <w:tcW w:w="816"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0.079</w:t>
            </w:r>
          </w:p>
        </w:tc>
        <w:tc>
          <w:tcPr>
            <w:tcW w:w="867"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17.737**</w:t>
            </w:r>
          </w:p>
        </w:tc>
        <w:tc>
          <w:tcPr>
            <w:tcW w:w="651" w:type="pct"/>
            <w:vAlign w:val="center"/>
            <w:hideMark/>
          </w:tcPr>
          <w:p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0.420</w:t>
            </w:r>
          </w:p>
        </w:tc>
      </w:tr>
    </w:tbl>
    <w:p w:rsidR="00A308D9" w:rsidRDefault="00A308D9" w:rsidP="00A308D9">
      <w:pPr>
        <w:tabs>
          <w:tab w:val="left" w:pos="1122"/>
        </w:tabs>
        <w:rPr>
          <w:rFonts w:ascii="Times New Roman" w:hAnsi="Times New Roman"/>
        </w:rPr>
        <w:sectPr w:rsidR="00A308D9">
          <w:headerReference w:type="even" r:id="rId7"/>
          <w:headerReference w:type="default" r:id="rId8"/>
          <w:footerReference w:type="even" r:id="rId9"/>
          <w:footerReference w:type="default" r:id="rId10"/>
          <w:headerReference w:type="first" r:id="rId11"/>
          <w:footerReference w:type="first" r:id="rId12"/>
          <w:pgSz w:w="15840" w:h="12240" w:orient="landscape" w:code="1"/>
          <w:pgMar w:top="1440" w:right="1440" w:bottom="2160" w:left="1440" w:header="720" w:footer="720" w:gutter="0"/>
          <w:cols w:space="720"/>
          <w:docGrid w:linePitch="360"/>
        </w:sectPr>
      </w:pPr>
    </w:p>
    <w:p w:rsidR="00900C83" w:rsidRDefault="00900C83" w:rsidP="00900C83">
      <w:pPr>
        <w:spacing w:before="280" w:after="0" w:line="360" w:lineRule="auto"/>
        <w:ind w:left="540" w:hanging="540"/>
        <w:jc w:val="both"/>
        <w:rPr>
          <w:rFonts w:ascii="Times New Roman" w:hAnsi="Times New Roman"/>
          <w:b/>
          <w:bCs/>
          <w:sz w:val="32"/>
          <w:szCs w:val="32"/>
        </w:rPr>
      </w:pPr>
      <w:r>
        <w:rPr>
          <w:rFonts w:ascii="Times New Roman" w:hAnsi="Times New Roman"/>
          <w:b/>
          <w:bCs/>
          <w:sz w:val="32"/>
          <w:szCs w:val="32"/>
        </w:rPr>
        <w:lastRenderedPageBreak/>
        <w:t xml:space="preserve">Mean performance of ash gourd genotypes for yield and component traits </w:t>
      </w:r>
    </w:p>
    <w:p w:rsidR="00900C83" w:rsidRDefault="00246F99" w:rsidP="00900C83">
      <w:pPr>
        <w:spacing w:before="120" w:after="0" w:line="360" w:lineRule="auto"/>
        <w:ind w:firstLine="720"/>
        <w:jc w:val="both"/>
        <w:rPr>
          <w:rFonts w:ascii="Times New Roman" w:hAnsi="Times New Roman"/>
          <w:sz w:val="24"/>
          <w:szCs w:val="24"/>
        </w:rPr>
      </w:pPr>
      <w:r>
        <w:rPr>
          <w:rFonts w:ascii="Times New Roman" w:hAnsi="Times New Roman"/>
          <w:sz w:val="24"/>
          <w:szCs w:val="24"/>
        </w:rPr>
        <w:t xml:space="preserve">The table </w:t>
      </w:r>
      <w:r w:rsidR="001C190C">
        <w:rPr>
          <w:rFonts w:ascii="Times New Roman" w:hAnsi="Times New Roman"/>
          <w:sz w:val="24"/>
          <w:szCs w:val="24"/>
        </w:rPr>
        <w:t>4</w:t>
      </w:r>
      <w:r w:rsidR="00900C83">
        <w:rPr>
          <w:rFonts w:ascii="Times New Roman" w:hAnsi="Times New Roman"/>
          <w:sz w:val="24"/>
          <w:szCs w:val="24"/>
        </w:rPr>
        <w:t xml:space="preserve"> represents the mean performance of 30 genotypes for different quantitate traits.</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1. Vine length (cm)</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The genotype with the longest vine length was RP-1 (729.67 cm) followed by, KA-1 (716.61 cm), and KA-2 (637.67 cm). These genotypes exhibited robust and long-growing vines, suggesting that they may be more vigorous and capable of supporting greater numbers of branches and fruits.</w:t>
      </w:r>
      <w:r w:rsidR="006C0234" w:rsidRPr="006C0234">
        <w:rPr>
          <w:rFonts w:ascii="Times New Roman" w:hAnsi="Times New Roman"/>
          <w:sz w:val="24"/>
          <w:szCs w:val="24"/>
        </w:rPr>
        <w:t xml:space="preserve"> </w:t>
      </w:r>
      <w:r w:rsidR="006C0234">
        <w:rPr>
          <w:rFonts w:ascii="Times New Roman" w:hAnsi="Times New Roman"/>
          <w:sz w:val="24"/>
          <w:szCs w:val="24"/>
        </w:rPr>
        <w:t>In contrast</w:t>
      </w:r>
      <w:r>
        <w:rPr>
          <w:rFonts w:ascii="Times New Roman" w:hAnsi="Times New Roman"/>
          <w:sz w:val="24"/>
          <w:szCs w:val="24"/>
        </w:rPr>
        <w:t>, Kashi Ujwal (172.49 cm) and IIHRAG-1 (174.99 cm) had the shortest vine lengths, reflecting a more compact growth pattern that may be suitable for limited space or high-density planting.</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2. Number of primary branches per plant</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The genotypes with the highest number of primary branches per plant was IIHRAG-3 (12.87) followed by, IC392313 (11.62), IC596988 (11.28), These genotypes showed a strong branching ability, indicating their potential for higher fruit production due to increased surface area for flowering and fruiting. In contrast, IC596989 (4.81) followed by Surabhi (5.07) and IC61452 (5.17) had the fewer primary branches, suggesting that these genotypes may have a more concentrated growth form.</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3. Internodal length (cm)</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Genotypes with the longest internodal length, such as KA-1 (15.00 cm) followed by IIHRAG-4 (14.72 cm), RP-3 (14.40 cm) and IIHRAG-2 (14.22 cm), exhibited greater spacing between nodes, which can be advantageous for better airflow and light penetration, potentially reducing disease risks. Conversely, IC596993 (6.80 cm) followed by IC596988 (6.95 cm) had shorter internodal length, indicating more compact growth, which could result in denser canopy structures.</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4. Days to first male flower appearance</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lastRenderedPageBreak/>
        <w:t>The earliest male flower appearance was observed in KA-4 (35 days), IC613451 (40 days) and IIHRAG-1 (46 days) all of which flowered relatively early. Early flowering can be advantageous in shortening the growth cycle, allowing for earlier harvests. However, RP-4 (77 days) followed by KA-1 (75 days) and RP-2 (73 days) had later male flowering, which could delay the fruiting cycle.</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5. Days to first female flowering</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The genotypes that produced earliest first female flowering were KA-4 (40 days) followed by IC613451 (46 days) and IIHRAG-1 (53 days) these genotypes exhibited quicker female flowering, which can help in achieving earlier fruit sets. The genotypes with the latest first female flowering were IIHRAG-2 (86 days) followed by RP-4 (85 days) and KA-1 (84 days), which may indicate a longer vegetative growth phase before reproductive development begins.</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 xml:space="preserve">6. Days to fifty </w:t>
      </w:r>
      <w:r>
        <w:rPr>
          <w:rFonts w:ascii="Times New Roman" w:hAnsi="Times New Roman"/>
          <w:b/>
          <w:bCs/>
          <w:i/>
          <w:iCs/>
          <w:sz w:val="24"/>
          <w:szCs w:val="24"/>
        </w:rPr>
        <w:t>per cent</w:t>
      </w:r>
      <w:r>
        <w:rPr>
          <w:rFonts w:ascii="Times New Roman" w:hAnsi="Times New Roman"/>
          <w:b/>
          <w:bCs/>
          <w:sz w:val="24"/>
          <w:szCs w:val="24"/>
        </w:rPr>
        <w:t xml:space="preserve"> flowering</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The genotypes that reached 50% flowering the earliest were IC596994 (60 days) followed by IC596990 (64 days), IC596993 (67 days) and IC613450 (68 days) These genotypes exhibited relatively fast progression towards significant fifty per cent female flowering. The genotypes with the longest period to 50% flowering were RP-4 (106 days) and KA-3 (103 days), which may result in slightly delayed fruit production.</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7. Days to first fruit harvest</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The earliest fruit harvest was recorded in IC596993 (123 days) followed by RP-3 and RP-4 with 125 days showing these genotypes quicker transition from flowering to fruit-bearing. On the other hand, IIHRAG-3 (139 days) followed by IC596989 (137 days) had the latest harvest times, which could be due to a longer fruit maturation period or slower flowering.</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8. Fruit diameter (cm)</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genotypes with the largest fruit diameter were IIHRAG-4 (99.04), RP-3 (91.94 cm) RP-1 (88.73 cm). Larger fruit diameters often indicate higher marketability, </w:t>
      </w:r>
      <w:r>
        <w:rPr>
          <w:rFonts w:ascii="Times New Roman" w:hAnsi="Times New Roman"/>
          <w:sz w:val="24"/>
          <w:szCs w:val="24"/>
        </w:rPr>
        <w:lastRenderedPageBreak/>
        <w:t>but they may also demand greater energy for growth. In contrast, the smallest fruit diameters were recorded in IC613450 (46.17 cm) followed by Surabhi (46.33 cm) and IC596993 (49.16 cm) suggesting smaller, potentially more compact fruit sizes.</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 xml:space="preserve">9. Average fruit weight (kg) </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Genotypes with the heaviest fruits included KA-4 (8.81 kg) followed by IIHRAG-3 (8.21 kg) and RP-3 (7.90 kg). These genotypes produced significantly larger fruits, which could result in higher yield per plant. Conversely, IC613451 (3.87 kg) followed by KA-2 (4.28 kg) and IC61452 (4.84 kg) had lighter fruit weights, suggesting that they may not be as productive in terms of fruit size.</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10. Number of fruits per vine (kg)</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The highest average number of fruits per vine were found in RP-1 (5.50) followed by Dhawal and Surabhi which consist of value 4.50 indicating a high fruit-bearing capacity. In contrast, IC596984, IC548540, KA-1 and KA-3 showed fewer average fruits per vine (2.50), which may limit their total yield potential.</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 xml:space="preserve">11. Total soluble </w:t>
      </w:r>
      <w:r w:rsidR="00F3410A">
        <w:rPr>
          <w:rFonts w:ascii="Times New Roman" w:hAnsi="Times New Roman"/>
          <w:b/>
          <w:bCs/>
          <w:sz w:val="24"/>
          <w:szCs w:val="24"/>
        </w:rPr>
        <w:t>s</w:t>
      </w:r>
      <w:r>
        <w:rPr>
          <w:rFonts w:ascii="Times New Roman" w:hAnsi="Times New Roman"/>
          <w:b/>
          <w:bCs/>
          <w:sz w:val="24"/>
          <w:szCs w:val="24"/>
        </w:rPr>
        <w:t>olids (TSS)</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The highest TSS values were recorded in Surabhi (3.33), IIHRAG-1 (3.22), and RP-2 (3.16), reflecting sweeter fruits that are likely to be more preferred for fresh consumption. The lowest TSS values were observed in IC548540 (2.39) and IC596985 (2.49), suggesting that these genotypes may produce fruits with lower sugar content.</w:t>
      </w:r>
    </w:p>
    <w:p w:rsidR="00900C83" w:rsidRDefault="00900C83" w:rsidP="00900C83">
      <w:pPr>
        <w:spacing w:before="280" w:after="0" w:line="360" w:lineRule="auto"/>
        <w:ind w:firstLine="720"/>
        <w:jc w:val="both"/>
        <w:rPr>
          <w:rFonts w:ascii="Times New Roman" w:hAnsi="Times New Roman"/>
          <w:sz w:val="24"/>
          <w:szCs w:val="24"/>
        </w:rPr>
      </w:pPr>
    </w:p>
    <w:p w:rsidR="00900C83" w:rsidRDefault="00900C83" w:rsidP="00900C83">
      <w:pPr>
        <w:spacing w:line="360" w:lineRule="auto"/>
        <w:jc w:val="both"/>
        <w:rPr>
          <w:rFonts w:ascii="Times New Roman" w:hAnsi="Times New Roman"/>
          <w:sz w:val="24"/>
          <w:szCs w:val="24"/>
        </w:rPr>
        <w:sectPr w:rsidR="00900C83">
          <w:headerReference w:type="even" r:id="rId13"/>
          <w:headerReference w:type="default" r:id="rId14"/>
          <w:footerReference w:type="default" r:id="rId15"/>
          <w:headerReference w:type="first" r:id="rId16"/>
          <w:pgSz w:w="12240" w:h="15840" w:code="1"/>
          <w:pgMar w:top="1440" w:right="1440" w:bottom="1440" w:left="2160" w:header="720" w:footer="720" w:gutter="0"/>
          <w:cols w:space="720"/>
          <w:docGrid w:linePitch="360"/>
        </w:sectPr>
      </w:pPr>
    </w:p>
    <w:p w:rsidR="00900C83" w:rsidRDefault="00246F99" w:rsidP="00900C83">
      <w:pPr>
        <w:spacing w:after="0" w:line="360" w:lineRule="auto"/>
        <w:jc w:val="both"/>
        <w:rPr>
          <w:rFonts w:ascii="Times New Roman" w:hAnsi="Times New Roman"/>
          <w:b/>
          <w:bCs/>
          <w:sz w:val="24"/>
          <w:szCs w:val="24"/>
        </w:rPr>
      </w:pPr>
      <w:r>
        <w:rPr>
          <w:rFonts w:ascii="Times New Roman" w:hAnsi="Times New Roman"/>
          <w:b/>
          <w:bCs/>
          <w:sz w:val="24"/>
          <w:szCs w:val="24"/>
        </w:rPr>
        <w:lastRenderedPageBreak/>
        <w:t xml:space="preserve">Table </w:t>
      </w:r>
      <w:r w:rsidR="00ED24D1">
        <w:rPr>
          <w:rFonts w:ascii="Times New Roman" w:hAnsi="Times New Roman"/>
          <w:b/>
          <w:bCs/>
          <w:sz w:val="24"/>
          <w:szCs w:val="24"/>
        </w:rPr>
        <w:t>4</w:t>
      </w:r>
      <w:r w:rsidR="00900C83">
        <w:rPr>
          <w:rFonts w:ascii="Times New Roman" w:hAnsi="Times New Roman"/>
          <w:b/>
          <w:bCs/>
          <w:sz w:val="24"/>
          <w:szCs w:val="24"/>
        </w:rPr>
        <w:t>. Mean performance of ash gourd genotypes for yield and component traits</w:t>
      </w:r>
    </w:p>
    <w:tbl>
      <w:tblPr>
        <w:tblStyle w:val="TableGrid"/>
        <w:tblW w:w="5000" w:type="pct"/>
        <w:jc w:val="center"/>
        <w:tblLook w:val="04A0" w:firstRow="1" w:lastRow="0" w:firstColumn="1" w:lastColumn="0" w:noHBand="0" w:noVBand="1"/>
      </w:tblPr>
      <w:tblGrid>
        <w:gridCol w:w="584"/>
        <w:gridCol w:w="1936"/>
        <w:gridCol w:w="899"/>
        <w:gridCol w:w="775"/>
        <w:gridCol w:w="775"/>
        <w:gridCol w:w="933"/>
        <w:gridCol w:w="851"/>
        <w:gridCol w:w="899"/>
        <w:gridCol w:w="899"/>
        <w:gridCol w:w="775"/>
        <w:gridCol w:w="791"/>
        <w:gridCol w:w="727"/>
        <w:gridCol w:w="661"/>
        <w:gridCol w:w="899"/>
        <w:gridCol w:w="772"/>
      </w:tblGrid>
      <w:tr w:rsidR="00900C83" w:rsidTr="002E2FA5">
        <w:trPr>
          <w:cantSplit/>
          <w:tblHeader/>
          <w:jc w:val="center"/>
        </w:trPr>
        <w:tc>
          <w:tcPr>
            <w:tcW w:w="222"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bookmarkStart w:id="1" w:name="_Hlk195699997"/>
            <w:r>
              <w:rPr>
                <w:rFonts w:ascii="Times New Roman" w:eastAsia="Times New Roman" w:hAnsi="Times New Roman"/>
                <w:b/>
                <w:bCs/>
                <w:sz w:val="24"/>
                <w:szCs w:val="24"/>
              </w:rPr>
              <w:t>Sl.</w:t>
            </w:r>
            <w:r>
              <w:rPr>
                <w:rFonts w:ascii="Times New Roman" w:eastAsia="Times New Roman" w:hAnsi="Times New Roman"/>
                <w:b/>
                <w:bCs/>
                <w:sz w:val="24"/>
                <w:szCs w:val="24"/>
              </w:rPr>
              <w:br/>
              <w:t>No.</w:t>
            </w:r>
          </w:p>
        </w:tc>
        <w:tc>
          <w:tcPr>
            <w:tcW w:w="735"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Genotypes</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VL </w:t>
            </w:r>
            <w:r>
              <w:rPr>
                <w:rFonts w:ascii="Times New Roman" w:eastAsia="Times New Roman" w:hAnsi="Times New Roman"/>
                <w:b/>
                <w:bCs/>
                <w:sz w:val="24"/>
                <w:szCs w:val="24"/>
              </w:rPr>
              <w:br/>
              <w:t>(cm)</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NPB</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IL </w:t>
            </w:r>
            <w:r>
              <w:rPr>
                <w:rFonts w:ascii="Times New Roman" w:eastAsia="Times New Roman" w:hAnsi="Times New Roman"/>
                <w:b/>
                <w:bCs/>
                <w:sz w:val="24"/>
                <w:szCs w:val="24"/>
              </w:rPr>
              <w:br/>
              <w:t>(cm)</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DFMF</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DFFF</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DFF </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DFH </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FD</w:t>
            </w:r>
            <w:r>
              <w:rPr>
                <w:rFonts w:ascii="Times New Roman" w:eastAsia="Times New Roman" w:hAnsi="Times New Roman"/>
                <w:b/>
                <w:bCs/>
                <w:sz w:val="24"/>
                <w:szCs w:val="24"/>
              </w:rPr>
              <w:br/>
              <w:t>(cm)</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AFW </w:t>
            </w:r>
            <w:r>
              <w:rPr>
                <w:rFonts w:ascii="Times New Roman" w:eastAsia="Times New Roman" w:hAnsi="Times New Roman"/>
                <w:b/>
                <w:bCs/>
                <w:sz w:val="24"/>
                <w:szCs w:val="24"/>
              </w:rPr>
              <w:br/>
              <w:t>(kg)</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NFV</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TSS</w:t>
            </w:r>
            <w:r>
              <w:rPr>
                <w:rFonts w:ascii="Times New Roman" w:eastAsia="Times New Roman" w:hAnsi="Times New Roman"/>
                <w:b/>
                <w:bCs/>
                <w:sz w:val="24"/>
                <w:szCs w:val="24"/>
              </w:rPr>
              <w:br/>
              <w:t>(</w:t>
            </w:r>
            <w:r>
              <w:rPr>
                <w:rFonts w:ascii="Times New Roman" w:eastAsia="Times New Roman" w:hAnsi="Times New Roman"/>
                <w:b/>
                <w:bCs/>
                <w:sz w:val="24"/>
                <w:szCs w:val="24"/>
                <w:vertAlign w:val="superscript"/>
              </w:rPr>
              <w:t>0</w:t>
            </w:r>
            <w:r>
              <w:rPr>
                <w:rFonts w:ascii="Times New Roman" w:eastAsia="Times New Roman" w:hAnsi="Times New Roman"/>
                <w:b/>
                <w:bCs/>
                <w:sz w:val="24"/>
                <w:szCs w:val="24"/>
              </w:rPr>
              <w:t>B)</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NSF</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YPP</w:t>
            </w:r>
            <w:r>
              <w:rPr>
                <w:rFonts w:ascii="Times New Roman" w:eastAsia="Times New Roman" w:hAnsi="Times New Roman"/>
                <w:b/>
                <w:bCs/>
                <w:sz w:val="24"/>
                <w:szCs w:val="24"/>
              </w:rPr>
              <w:br/>
              <w:t>(kg)</w:t>
            </w:r>
          </w:p>
        </w:tc>
      </w:tr>
      <w:bookmarkEnd w:id="1"/>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IC596984</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337.16</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9.12</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8.05</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58.92</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66.88</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85.09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129.73</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53.79</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5.32</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639.61</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13.20</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IC596988</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403.73</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11.28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6.95</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55.99</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62.06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91.07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134.84</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51.44</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5.35</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2.78</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500.00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8.73</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IC596991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317.05</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6.30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10.16</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62.22</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72.82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88.78</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128.10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62.29</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6.15</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339.00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24.67</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IC392313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463.42</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11.62</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10.37</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63.63</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69.56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90.12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126.38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58.05</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5.55</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2.61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575.50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25.38</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IC596985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259.11</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5.21</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13.05</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60.66</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68.01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70.67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129.34</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67.01</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5.75</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2.49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423.00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30.77</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IC596989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183.86</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4.81</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12.12</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68.10</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75.98</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85.83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137.28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65.79</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5.28</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320.50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21.67</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IC596993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355.45</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6.80</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60.44</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68.05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67.17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122.73</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49.16</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6.50</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609.00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22.80</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IC548540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463.00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9.01</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63.90</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74.40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88.89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130.61</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54.01</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5.78</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2.39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447.00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14.06</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IC596987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629.00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10.83</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9.16</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61.77</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72.89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85.67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133.79</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64.95</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7.85</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654.00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26.77</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IC596990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553.29</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5.40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8.05</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63.62</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68.97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63.45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127.06</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52.73</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7.28</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290.00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18.82</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IC596994</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346.78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5.22</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13.95</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55.90</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66.14</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60.20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133.95</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68.00</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6.85</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2.67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469.00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15.18</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IC613444</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429.78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5.75</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10.82</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69.57</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82.06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95.51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127.60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55.95</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6.78</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5.00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2.65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736.00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34.55</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IC613450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562.74</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7.34</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8.40</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69.44</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77.67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68.12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135.10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46.17</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6.10</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624.00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19.50</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IC613451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616.78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7.40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9.34</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40.19</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45.86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94.56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129.62</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62.90</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3.87</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665.00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11.46</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IC61452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581.56</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5.17</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10.17</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54.78</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59.02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91.58</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126.12</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52.17</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4.84</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492.50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19.33</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16</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KA-1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716.61</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5.22</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15.00</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74.78</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83.89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85.56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135.05</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53.95</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6.50</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595.50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14.13</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KA-2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637.67</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6.79</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10.95</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71.07</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78.63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95.06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130.47</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61.11</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4.28</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3.13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461.50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25.78</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KA-3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463.94</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6.89</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9.34</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58.41</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66.45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103.00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134.11</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60.33</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7.16</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2.95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484.00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13.15</w:t>
            </w:r>
          </w:p>
        </w:tc>
      </w:tr>
    </w:tbl>
    <w:p w:rsidR="00900C83" w:rsidRDefault="00900C83" w:rsidP="00900C83">
      <w:pPr>
        <w:spacing w:after="0" w:line="360" w:lineRule="auto"/>
        <w:rPr>
          <w:rFonts w:ascii="Times New Roman" w:hAnsi="Times New Roman"/>
          <w:b/>
          <w:bCs/>
          <w:i/>
          <w:iCs/>
          <w:sz w:val="24"/>
          <w:szCs w:val="24"/>
        </w:rPr>
        <w:sectPr w:rsidR="00900C83">
          <w:headerReference w:type="even" r:id="rId17"/>
          <w:headerReference w:type="default" r:id="rId18"/>
          <w:footerReference w:type="default" r:id="rId19"/>
          <w:headerReference w:type="first" r:id="rId20"/>
          <w:pgSz w:w="15840" w:h="12240" w:orient="landscape" w:code="1"/>
          <w:pgMar w:top="1440" w:right="1440" w:bottom="2160" w:left="1440" w:header="720" w:footer="720" w:gutter="0"/>
          <w:cols w:space="720"/>
          <w:docGrid w:linePitch="360"/>
        </w:sectPr>
      </w:pPr>
    </w:p>
    <w:p w:rsidR="00900C83" w:rsidRDefault="00900C83" w:rsidP="00900C83">
      <w:pPr>
        <w:spacing w:after="0" w:line="360" w:lineRule="auto"/>
        <w:rPr>
          <w:i/>
          <w:iCs/>
        </w:rPr>
      </w:pPr>
      <w:r>
        <w:rPr>
          <w:rFonts w:ascii="Times New Roman" w:hAnsi="Times New Roman"/>
          <w:b/>
          <w:bCs/>
          <w:i/>
          <w:iCs/>
          <w:sz w:val="24"/>
          <w:szCs w:val="24"/>
        </w:rPr>
        <w:lastRenderedPageBreak/>
        <w:t xml:space="preserve">Table </w:t>
      </w:r>
      <w:r w:rsidR="00114F27">
        <w:rPr>
          <w:rFonts w:ascii="Times New Roman" w:hAnsi="Times New Roman"/>
          <w:b/>
          <w:bCs/>
          <w:i/>
          <w:iCs/>
          <w:sz w:val="24"/>
          <w:szCs w:val="24"/>
        </w:rPr>
        <w:t>4</w:t>
      </w:r>
      <w:r>
        <w:rPr>
          <w:rFonts w:ascii="Times New Roman" w:hAnsi="Times New Roman"/>
          <w:b/>
          <w:bCs/>
          <w:i/>
          <w:iCs/>
          <w:sz w:val="24"/>
          <w:szCs w:val="24"/>
        </w:rPr>
        <w:t>. Contd...</w:t>
      </w:r>
    </w:p>
    <w:tbl>
      <w:tblPr>
        <w:tblStyle w:val="TableGrid"/>
        <w:tblW w:w="5000" w:type="pct"/>
        <w:jc w:val="center"/>
        <w:tblLook w:val="04A0" w:firstRow="1" w:lastRow="0" w:firstColumn="1" w:lastColumn="0" w:noHBand="0" w:noVBand="1"/>
      </w:tblPr>
      <w:tblGrid>
        <w:gridCol w:w="584"/>
        <w:gridCol w:w="1939"/>
        <w:gridCol w:w="899"/>
        <w:gridCol w:w="775"/>
        <w:gridCol w:w="775"/>
        <w:gridCol w:w="933"/>
        <w:gridCol w:w="851"/>
        <w:gridCol w:w="899"/>
        <w:gridCol w:w="899"/>
        <w:gridCol w:w="775"/>
        <w:gridCol w:w="791"/>
        <w:gridCol w:w="727"/>
        <w:gridCol w:w="661"/>
        <w:gridCol w:w="899"/>
        <w:gridCol w:w="769"/>
      </w:tblGrid>
      <w:tr w:rsidR="00900C83" w:rsidTr="002E2FA5">
        <w:trPr>
          <w:cantSplit/>
          <w:tblHeader/>
          <w:jc w:val="center"/>
        </w:trPr>
        <w:tc>
          <w:tcPr>
            <w:tcW w:w="222"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Sl.</w:t>
            </w:r>
            <w:r>
              <w:rPr>
                <w:rFonts w:ascii="Times New Roman" w:eastAsia="Times New Roman" w:hAnsi="Times New Roman"/>
                <w:b/>
                <w:bCs/>
                <w:sz w:val="24"/>
                <w:szCs w:val="24"/>
              </w:rPr>
              <w:br/>
              <w:t>No.</w:t>
            </w:r>
          </w:p>
        </w:tc>
        <w:tc>
          <w:tcPr>
            <w:tcW w:w="735"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Genotypes</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VL </w:t>
            </w:r>
            <w:r>
              <w:rPr>
                <w:rFonts w:ascii="Times New Roman" w:eastAsia="Times New Roman" w:hAnsi="Times New Roman"/>
                <w:b/>
                <w:bCs/>
                <w:sz w:val="24"/>
                <w:szCs w:val="24"/>
              </w:rPr>
              <w:br/>
              <w:t>(cm)</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NPB</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IL </w:t>
            </w:r>
            <w:r>
              <w:rPr>
                <w:rFonts w:ascii="Times New Roman" w:eastAsia="Times New Roman" w:hAnsi="Times New Roman"/>
                <w:b/>
                <w:bCs/>
                <w:sz w:val="24"/>
                <w:szCs w:val="24"/>
              </w:rPr>
              <w:br/>
              <w:t>(cm)</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DFMF</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DFFF</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DFF </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DFH </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FD</w:t>
            </w:r>
            <w:r>
              <w:rPr>
                <w:rFonts w:ascii="Times New Roman" w:eastAsia="Times New Roman" w:hAnsi="Times New Roman"/>
                <w:b/>
                <w:bCs/>
                <w:sz w:val="24"/>
                <w:szCs w:val="24"/>
              </w:rPr>
              <w:br/>
              <w:t>(cm)</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AFW </w:t>
            </w:r>
            <w:r>
              <w:rPr>
                <w:rFonts w:ascii="Times New Roman" w:eastAsia="Times New Roman" w:hAnsi="Times New Roman"/>
                <w:b/>
                <w:bCs/>
                <w:sz w:val="24"/>
                <w:szCs w:val="24"/>
              </w:rPr>
              <w:br/>
              <w:t>(kg)</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NFV</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TSS</w:t>
            </w:r>
            <w:r>
              <w:rPr>
                <w:rFonts w:ascii="Times New Roman" w:eastAsia="Times New Roman" w:hAnsi="Times New Roman"/>
                <w:b/>
                <w:bCs/>
                <w:sz w:val="24"/>
                <w:szCs w:val="24"/>
              </w:rPr>
              <w:br/>
              <w:t>(</w:t>
            </w:r>
            <w:r>
              <w:rPr>
                <w:rFonts w:ascii="Times New Roman" w:eastAsia="Times New Roman" w:hAnsi="Times New Roman"/>
                <w:b/>
                <w:bCs/>
                <w:sz w:val="24"/>
                <w:szCs w:val="24"/>
                <w:vertAlign w:val="superscript"/>
              </w:rPr>
              <w:t>0</w:t>
            </w:r>
            <w:r>
              <w:rPr>
                <w:rFonts w:ascii="Times New Roman" w:eastAsia="Times New Roman" w:hAnsi="Times New Roman"/>
                <w:b/>
                <w:bCs/>
                <w:sz w:val="24"/>
                <w:szCs w:val="24"/>
              </w:rPr>
              <w:t>B)</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NSF</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YPP</w:t>
            </w:r>
            <w:r>
              <w:rPr>
                <w:rFonts w:ascii="Times New Roman" w:eastAsia="Times New Roman" w:hAnsi="Times New Roman"/>
                <w:b/>
                <w:bCs/>
                <w:sz w:val="24"/>
                <w:szCs w:val="24"/>
              </w:rPr>
              <w:br/>
              <w:t>(kg)</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19</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KA-4</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422.50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10.95</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12.68</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35.28</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39.83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97.04</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131.92</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66.40</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8.81</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2.96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473.50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16.59</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KASHI UJWAL</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172.49</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10.49</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9.60</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59.06</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68.95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89.89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125.18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63.21</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4.41</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388.00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15.02</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21</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DHAWAL</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232.34</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6.15</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8.72</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61.70</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69.50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86.23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129.98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59.98</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7.40</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3.12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389.50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29.31</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22</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SURBHI</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205.21</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5.07</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13.45</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55.86</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61.15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90.61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127.25</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46.33</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5.11</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3.33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497.50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44.21</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23</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IIHRAG-1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174.99</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11.05</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13.79</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45.82</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52.92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96.51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132.44</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79.86</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6.33</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4.00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3.22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422.00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28.21</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IIHRAG-2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215.47</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10.79</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14.22</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73.28</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85.85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89.28</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125.16</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84.17</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5.73</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3.10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640.00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21.15</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IIHRAG-3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545.00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12.87</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10.71</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65.92</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76.11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93.89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139.27</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88.38</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8.21</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2.88</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399.50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22.61</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26</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IIHRAG-4</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607.90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10.20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14.72</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70.47</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80.89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88.29</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128.34</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99.04</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6.60</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2.54</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597.50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33.82</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RP-1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729.67</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9.70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11.79</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68.62</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79.27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87.43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134.05</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88.73</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5.05</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2.97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948.50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48.98</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28</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RP-2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620.78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7.12</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13.01</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73.62</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83.00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97.17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128.19</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66.33</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6.25</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3.16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600.00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25.58</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29</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RP-3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405.17</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9.15</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14.40</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69.41</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78.13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91.11</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124.62</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91.94</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7.90</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828.00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35.79</w:t>
            </w:r>
          </w:p>
        </w:tc>
      </w:tr>
      <w:tr w:rsidR="00900C83" w:rsidTr="002E2FA5">
        <w:trPr>
          <w:cantSplit/>
          <w:jc w:val="center"/>
        </w:trPr>
        <w:tc>
          <w:tcPr>
            <w:tcW w:w="222" w:type="pct"/>
            <w:noWrap/>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w:t>
            </w:r>
          </w:p>
        </w:tc>
        <w:tc>
          <w:tcPr>
            <w:tcW w:w="735" w:type="pct"/>
            <w:vAlign w:val="center"/>
            <w:hideMark/>
          </w:tcPr>
          <w:p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RP-4</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407.06</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7.29</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13.09</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76.90</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85.34</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106.15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124.84</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89.39</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5.00</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750.00</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13.20</w:t>
            </w:r>
          </w:p>
        </w:tc>
      </w:tr>
      <w:tr w:rsidR="00900C83" w:rsidTr="002E2FA5">
        <w:trPr>
          <w:cantSplit/>
          <w:jc w:val="center"/>
        </w:trPr>
        <w:tc>
          <w:tcPr>
            <w:tcW w:w="958" w:type="pct"/>
            <w:gridSpan w:val="2"/>
            <w:noWrap/>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Mean</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435.32</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7.91</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11.06</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62.31</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70.67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87.46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130.10</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65.45</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6.13</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3.58</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2.86</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541.97</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color w:val="000000"/>
                <w:sz w:val="24"/>
                <w:szCs w:val="24"/>
              </w:rPr>
              <w:t>23.75</w:t>
            </w:r>
          </w:p>
        </w:tc>
      </w:tr>
      <w:tr w:rsidR="00900C83" w:rsidTr="002E2FA5">
        <w:trPr>
          <w:cantSplit/>
          <w:jc w:val="center"/>
        </w:trPr>
        <w:tc>
          <w:tcPr>
            <w:tcW w:w="958" w:type="pct"/>
            <w:gridSpan w:val="2"/>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CV (%)</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6.78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7.31</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6.69</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8.18</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5.87</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2.91</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7.11</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8.65</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9.09</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7.10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6.19</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color w:val="000000"/>
                <w:sz w:val="24"/>
                <w:szCs w:val="24"/>
              </w:rPr>
              <w:t>13.74</w:t>
            </w:r>
          </w:p>
        </w:tc>
      </w:tr>
      <w:tr w:rsidR="00900C83" w:rsidTr="002E2FA5">
        <w:trPr>
          <w:cantSplit/>
          <w:jc w:val="center"/>
        </w:trPr>
        <w:tc>
          <w:tcPr>
            <w:tcW w:w="958" w:type="pct"/>
            <w:gridSpan w:val="2"/>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SEm±</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20.87</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0.41</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0.52</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3.61</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3.63</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2.67</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3.29</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0.38</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0.23</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0.14</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23.72</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color w:val="000000"/>
                <w:sz w:val="24"/>
                <w:szCs w:val="24"/>
              </w:rPr>
              <w:t>2.31</w:t>
            </w:r>
          </w:p>
        </w:tc>
      </w:tr>
      <w:tr w:rsidR="00900C83" w:rsidTr="002E2FA5">
        <w:trPr>
          <w:cantSplit/>
          <w:jc w:val="center"/>
        </w:trPr>
        <w:tc>
          <w:tcPr>
            <w:tcW w:w="958" w:type="pct"/>
            <w:gridSpan w:val="2"/>
            <w:noWrap/>
            <w:vAlign w:val="center"/>
            <w:hideMark/>
          </w:tcPr>
          <w:p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CD at 5%</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60.36</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1.18</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1.51</w:t>
            </w:r>
          </w:p>
        </w:tc>
        <w:tc>
          <w:tcPr>
            <w:tcW w:w="35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10.43</w:t>
            </w:r>
          </w:p>
        </w:tc>
        <w:tc>
          <w:tcPr>
            <w:tcW w:w="32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8.82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10.50</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7.74</w:t>
            </w:r>
          </w:p>
        </w:tc>
        <w:tc>
          <w:tcPr>
            <w:tcW w:w="294"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9.52</w:t>
            </w:r>
          </w:p>
        </w:tc>
        <w:tc>
          <w:tcPr>
            <w:tcW w:w="300"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1.08</w:t>
            </w:r>
          </w:p>
        </w:tc>
        <w:tc>
          <w:tcPr>
            <w:tcW w:w="276"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0.67</w:t>
            </w:r>
          </w:p>
        </w:tc>
        <w:tc>
          <w:tcPr>
            <w:tcW w:w="25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0.42</w:t>
            </w:r>
          </w:p>
        </w:tc>
        <w:tc>
          <w:tcPr>
            <w:tcW w:w="341"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68.61</w:t>
            </w:r>
          </w:p>
        </w:tc>
        <w:tc>
          <w:tcPr>
            <w:tcW w:w="293" w:type="pct"/>
            <w:vAlign w:val="center"/>
            <w:hideMark/>
          </w:tcPr>
          <w:p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color w:val="000000"/>
                <w:sz w:val="24"/>
                <w:szCs w:val="24"/>
              </w:rPr>
              <w:t>6.67</w:t>
            </w:r>
          </w:p>
        </w:tc>
      </w:tr>
    </w:tbl>
    <w:p w:rsidR="00900C83" w:rsidRDefault="00900C83" w:rsidP="00900C83">
      <w:pPr>
        <w:spacing w:before="240" w:after="0" w:line="240" w:lineRule="auto"/>
        <w:jc w:val="both"/>
        <w:rPr>
          <w:rFonts w:ascii="Times New Roman" w:hAnsi="Times New Roman"/>
          <w:sz w:val="20"/>
        </w:rPr>
      </w:pPr>
      <w:r>
        <w:rPr>
          <w:rFonts w:ascii="Times New Roman" w:hAnsi="Times New Roman"/>
          <w:sz w:val="20"/>
        </w:rPr>
        <w:t>VL=Vine length (cm), NPB=Number of primary branches per plant, IL=Internodal length (cm), DFMF=Days to first male flower appearance, DFFF=Days to first female flowering, DFF=Days to 50% flowering, DFH=Days to first fruit harvest, FD=Fruit Diameter(cm), AFW=Average fruit weight (Kg), NFV=Number of fruits per vine, TSS=Total soluble solids(</w:t>
      </w:r>
      <w:r>
        <w:rPr>
          <w:rFonts w:ascii="Times New Roman" w:hAnsi="Times New Roman"/>
          <w:sz w:val="20"/>
          <w:vertAlign w:val="superscript"/>
        </w:rPr>
        <w:t>O</w:t>
      </w:r>
      <w:r>
        <w:rPr>
          <w:rFonts w:ascii="Times New Roman" w:hAnsi="Times New Roman"/>
          <w:sz w:val="20"/>
        </w:rPr>
        <w:t>B), NSF=Number of seeds per fruit, YPP=Yield per plant(kg)</w:t>
      </w:r>
    </w:p>
    <w:p w:rsidR="00900C83" w:rsidRDefault="00900C83" w:rsidP="00900C83">
      <w:pPr>
        <w:spacing w:before="240" w:after="0" w:line="240" w:lineRule="auto"/>
        <w:ind w:hanging="450"/>
        <w:rPr>
          <w:rFonts w:ascii="Times New Roman" w:hAnsi="Times New Roman"/>
          <w:sz w:val="20"/>
        </w:rPr>
        <w:sectPr w:rsidR="00900C83">
          <w:pgSz w:w="15840" w:h="12240" w:orient="landscape" w:code="1"/>
          <w:pgMar w:top="2160" w:right="1440" w:bottom="1440" w:left="1440" w:header="720" w:footer="720" w:gutter="0"/>
          <w:cols w:space="720"/>
          <w:docGrid w:linePitch="360"/>
        </w:sectPr>
      </w:pPr>
    </w:p>
    <w:p w:rsidR="00900C83" w:rsidRDefault="00900C83" w:rsidP="00900C83">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4.2.12. Number of seeds per fruit</w:t>
      </w:r>
    </w:p>
    <w:p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The genotypes with the highest seed numbers per fruit were RP-1 (948.50), RP-3 (828.00), and RP-4 (750.00). These genotypes produced a higher number of seeds, which can be a trait of vigorous fruiting. The lowest seed counts per fruit were found in IC596990 (290 seeds) and IC596989 (320.50), indicating potentially lower seed-setting capacity.</w:t>
      </w:r>
    </w:p>
    <w:p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4.2.13. Yield per Plant (kg)</w:t>
      </w:r>
    </w:p>
    <w:p w:rsidR="0000543A" w:rsidRDefault="00900C83" w:rsidP="00246F99">
      <w:pPr>
        <w:spacing w:before="280" w:after="0" w:line="360" w:lineRule="auto"/>
        <w:ind w:firstLine="720"/>
        <w:jc w:val="both"/>
        <w:rPr>
          <w:rFonts w:ascii="Times New Roman" w:hAnsi="Times New Roman"/>
          <w:sz w:val="24"/>
          <w:szCs w:val="24"/>
        </w:rPr>
      </w:pPr>
      <w:r>
        <w:rPr>
          <w:rFonts w:ascii="Times New Roman" w:hAnsi="Times New Roman"/>
          <w:sz w:val="24"/>
          <w:szCs w:val="24"/>
        </w:rPr>
        <w:t>The highest yield per plant was recorded in RP-1 (48.98 kg) followed by SURBHI (44.21 kg) and RP-3 (35.79 kg). Thes</w:t>
      </w:r>
      <w:r w:rsidR="00040993">
        <w:rPr>
          <w:rFonts w:ascii="Times New Roman" w:hAnsi="Times New Roman"/>
          <w:sz w:val="24"/>
          <w:szCs w:val="24"/>
        </w:rPr>
        <w:t>e genotypes recorded</w:t>
      </w:r>
      <w:r>
        <w:rPr>
          <w:rFonts w:ascii="Times New Roman" w:hAnsi="Times New Roman"/>
          <w:sz w:val="24"/>
          <w:szCs w:val="24"/>
        </w:rPr>
        <w:t xml:space="preserve"> high productivity, which is crucial for maximizing overall yield in a given area. In contrast, IC596988 (8.73 kg) followed by IC613451 (1</w:t>
      </w:r>
      <w:r w:rsidR="00040993">
        <w:rPr>
          <w:rFonts w:ascii="Times New Roman" w:hAnsi="Times New Roman"/>
          <w:sz w:val="24"/>
          <w:szCs w:val="24"/>
        </w:rPr>
        <w:t>1.46 kg) and KA-3 (13.15 kg) recorded</w:t>
      </w:r>
      <w:r>
        <w:rPr>
          <w:rFonts w:ascii="Times New Roman" w:hAnsi="Times New Roman"/>
          <w:sz w:val="24"/>
          <w:szCs w:val="24"/>
        </w:rPr>
        <w:t xml:space="preserve"> the lowest yield per plant, indicating that they may not be the best choices for large-scale production due to their relatively lower yield.</w:t>
      </w:r>
    </w:p>
    <w:p w:rsidR="00ED24D1" w:rsidRDefault="00ED24D1" w:rsidP="00ED24D1">
      <w:pPr>
        <w:spacing w:after="0" w:line="360" w:lineRule="auto"/>
        <w:ind w:left="810" w:hanging="810"/>
        <w:rPr>
          <w:rFonts w:ascii="Times New Roman" w:hAnsi="Times New Roman"/>
          <w:b/>
          <w:bCs/>
          <w:sz w:val="24"/>
          <w:szCs w:val="24"/>
        </w:rPr>
      </w:pPr>
    </w:p>
    <w:p w:rsidR="00ED24D1" w:rsidRPr="00ED24D1" w:rsidRDefault="00ED24D1" w:rsidP="00ED24D1">
      <w:pPr>
        <w:spacing w:after="0" w:line="360" w:lineRule="auto"/>
        <w:ind w:left="810" w:hanging="810"/>
        <w:rPr>
          <w:rFonts w:ascii="Times New Roman" w:hAnsi="Times New Roman"/>
          <w:b/>
          <w:bCs/>
          <w:sz w:val="24"/>
          <w:szCs w:val="24"/>
        </w:rPr>
      </w:pPr>
      <w:r>
        <w:rPr>
          <w:rFonts w:ascii="Times New Roman" w:hAnsi="Times New Roman"/>
          <w:b/>
          <w:bCs/>
          <w:sz w:val="24"/>
          <w:szCs w:val="24"/>
        </w:rPr>
        <w:t>Table 5 Estimation of genetic variability parameters for thirteen quantitative traits among ash gourd genotypes</w:t>
      </w:r>
    </w:p>
    <w:tbl>
      <w:tblPr>
        <w:tblW w:w="5000" w:type="pct"/>
        <w:jc w:val="center"/>
        <w:tblLook w:val="04A0" w:firstRow="1" w:lastRow="0" w:firstColumn="1" w:lastColumn="0" w:noHBand="0" w:noVBand="1"/>
      </w:tblPr>
      <w:tblGrid>
        <w:gridCol w:w="570"/>
        <w:gridCol w:w="2249"/>
        <w:gridCol w:w="876"/>
        <w:gridCol w:w="876"/>
        <w:gridCol w:w="876"/>
        <w:gridCol w:w="756"/>
        <w:gridCol w:w="757"/>
        <w:gridCol w:w="937"/>
        <w:gridCol w:w="876"/>
        <w:gridCol w:w="803"/>
      </w:tblGrid>
      <w:tr w:rsidR="00ED24D1" w:rsidTr="00ED24D1">
        <w:trPr>
          <w:cantSplit/>
          <w:jc w:val="center"/>
        </w:trPr>
        <w:tc>
          <w:tcPr>
            <w:tcW w:w="298"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 xml:space="preserve">Sl. </w:t>
            </w:r>
            <w:r>
              <w:rPr>
                <w:rFonts w:ascii="Times New Roman" w:eastAsia="Times New Roman" w:hAnsi="Times New Roman"/>
                <w:b/>
                <w:bCs/>
                <w:color w:val="000000"/>
                <w:sz w:val="24"/>
                <w:szCs w:val="24"/>
                <w:lang w:bidi="kn-IN"/>
              </w:rPr>
              <w:br/>
              <w:t>No.</w:t>
            </w:r>
          </w:p>
        </w:tc>
        <w:tc>
          <w:tcPr>
            <w:tcW w:w="117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Characters</w:t>
            </w:r>
          </w:p>
        </w:tc>
        <w:tc>
          <w:tcPr>
            <w:tcW w:w="4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Mean</w:t>
            </w:r>
          </w:p>
        </w:tc>
        <w:tc>
          <w:tcPr>
            <w:tcW w:w="915" w:type="pct"/>
            <w:gridSpan w:val="2"/>
            <w:tcBorders>
              <w:top w:val="single" w:sz="8" w:space="0" w:color="auto"/>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Range</w:t>
            </w:r>
          </w:p>
        </w:tc>
        <w:tc>
          <w:tcPr>
            <w:tcW w:w="39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GCV</w:t>
            </w:r>
            <w:r>
              <w:rPr>
                <w:rFonts w:ascii="Times New Roman" w:eastAsia="Times New Roman" w:hAnsi="Times New Roman"/>
                <w:b/>
                <w:bCs/>
                <w:color w:val="000000"/>
                <w:sz w:val="24"/>
                <w:szCs w:val="24"/>
                <w:lang w:bidi="kn-IN"/>
              </w:rPr>
              <w:br/>
              <w:t>(%)</w:t>
            </w:r>
          </w:p>
        </w:tc>
        <w:tc>
          <w:tcPr>
            <w:tcW w:w="395" w:type="pct"/>
            <w:vMerge w:val="restart"/>
            <w:tcBorders>
              <w:top w:val="single" w:sz="8" w:space="0" w:color="auto"/>
              <w:left w:val="single" w:sz="4" w:space="0" w:color="auto"/>
              <w:bottom w:val="single" w:sz="8" w:space="0" w:color="000000"/>
              <w:right w:val="nil"/>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 xml:space="preserve">PCV </w:t>
            </w:r>
            <w:r>
              <w:rPr>
                <w:rFonts w:ascii="Times New Roman" w:eastAsia="Times New Roman" w:hAnsi="Times New Roman"/>
                <w:b/>
                <w:bCs/>
                <w:color w:val="000000"/>
                <w:sz w:val="24"/>
                <w:szCs w:val="24"/>
                <w:lang w:bidi="kn-IN"/>
              </w:rPr>
              <w:br/>
              <w:t>(%)</w:t>
            </w:r>
          </w:p>
        </w:tc>
        <w:tc>
          <w:tcPr>
            <w:tcW w:w="489" w:type="pct"/>
            <w:tcBorders>
              <w:top w:val="single" w:sz="8" w:space="0" w:color="auto"/>
              <w:left w:val="single" w:sz="8" w:space="0" w:color="auto"/>
              <w:bottom w:val="nil"/>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h</w:t>
            </w:r>
            <w:r>
              <w:rPr>
                <w:rFonts w:ascii="Times New Roman" w:eastAsia="Times New Roman" w:hAnsi="Times New Roman"/>
                <w:b/>
                <w:bCs/>
                <w:color w:val="000000"/>
                <w:sz w:val="24"/>
                <w:szCs w:val="24"/>
                <w:vertAlign w:val="superscript"/>
                <w:lang w:bidi="kn-IN"/>
              </w:rPr>
              <w:t>2</w:t>
            </w:r>
            <w:r>
              <w:rPr>
                <w:rFonts w:ascii="Times New Roman" w:eastAsia="Times New Roman" w:hAnsi="Times New Roman"/>
                <w:b/>
                <w:bCs/>
                <w:color w:val="000000"/>
                <w:sz w:val="24"/>
                <w:szCs w:val="24"/>
                <w:lang w:bidi="kn-IN"/>
              </w:rPr>
              <w:t xml:space="preserve"> (%)</w:t>
            </w:r>
          </w:p>
        </w:tc>
        <w:tc>
          <w:tcPr>
            <w:tcW w:w="457" w:type="pct"/>
            <w:vMerge w:val="restart"/>
            <w:tcBorders>
              <w:top w:val="single" w:sz="8" w:space="0" w:color="auto"/>
              <w:left w:val="nil"/>
              <w:bottom w:val="single" w:sz="8" w:space="0" w:color="000000"/>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 xml:space="preserve">GA </w:t>
            </w:r>
          </w:p>
        </w:tc>
        <w:tc>
          <w:tcPr>
            <w:tcW w:w="419"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 xml:space="preserve">GAM </w:t>
            </w:r>
            <w:r>
              <w:rPr>
                <w:rFonts w:ascii="Times New Roman" w:eastAsia="Times New Roman" w:hAnsi="Times New Roman"/>
                <w:b/>
                <w:bCs/>
                <w:color w:val="000000"/>
                <w:sz w:val="24"/>
                <w:szCs w:val="24"/>
                <w:lang w:bidi="kn-IN"/>
              </w:rPr>
              <w:br/>
              <w:t>(%)</w:t>
            </w:r>
          </w:p>
        </w:tc>
      </w:tr>
      <w:tr w:rsidR="00ED24D1" w:rsidTr="00ED24D1">
        <w:trPr>
          <w:cantSplit/>
          <w:jc w:val="center"/>
        </w:trPr>
        <w:tc>
          <w:tcPr>
            <w:tcW w:w="298" w:type="pct"/>
            <w:vMerge/>
            <w:tcBorders>
              <w:top w:val="single" w:sz="8" w:space="0" w:color="auto"/>
              <w:left w:val="single" w:sz="8" w:space="0" w:color="auto"/>
              <w:bottom w:val="single" w:sz="8" w:space="0" w:color="000000"/>
              <w:right w:val="single" w:sz="4" w:space="0" w:color="auto"/>
            </w:tcBorders>
            <w:vAlign w:val="center"/>
            <w:hideMark/>
          </w:tcPr>
          <w:p w:rsidR="00ED24D1" w:rsidRDefault="00ED24D1" w:rsidP="000108CD">
            <w:pPr>
              <w:spacing w:before="80" w:after="80" w:line="240" w:lineRule="auto"/>
              <w:rPr>
                <w:rFonts w:ascii="Times New Roman" w:eastAsia="Times New Roman" w:hAnsi="Times New Roman"/>
                <w:b/>
                <w:bCs/>
                <w:color w:val="000000"/>
                <w:sz w:val="24"/>
                <w:szCs w:val="24"/>
                <w:lang w:bidi="kn-IN"/>
              </w:rPr>
            </w:pPr>
          </w:p>
        </w:tc>
        <w:tc>
          <w:tcPr>
            <w:tcW w:w="1175" w:type="pct"/>
            <w:vMerge/>
            <w:tcBorders>
              <w:top w:val="single" w:sz="8" w:space="0" w:color="auto"/>
              <w:left w:val="single" w:sz="4" w:space="0" w:color="auto"/>
              <w:bottom w:val="single" w:sz="8" w:space="0" w:color="000000"/>
              <w:right w:val="single" w:sz="4" w:space="0" w:color="auto"/>
            </w:tcBorders>
            <w:vAlign w:val="center"/>
            <w:hideMark/>
          </w:tcPr>
          <w:p w:rsidR="00ED24D1" w:rsidRDefault="00ED24D1" w:rsidP="000108CD">
            <w:pPr>
              <w:spacing w:before="80" w:after="80" w:line="240" w:lineRule="auto"/>
              <w:rPr>
                <w:rFonts w:ascii="Times New Roman" w:eastAsia="Times New Roman" w:hAnsi="Times New Roman"/>
                <w:b/>
                <w:bCs/>
                <w:color w:val="000000"/>
                <w:sz w:val="24"/>
                <w:szCs w:val="24"/>
                <w:lang w:bidi="kn-IN"/>
              </w:rPr>
            </w:pPr>
          </w:p>
        </w:tc>
        <w:tc>
          <w:tcPr>
            <w:tcW w:w="457" w:type="pct"/>
            <w:vMerge/>
            <w:tcBorders>
              <w:top w:val="single" w:sz="8" w:space="0" w:color="auto"/>
              <w:left w:val="single" w:sz="4" w:space="0" w:color="auto"/>
              <w:bottom w:val="single" w:sz="8" w:space="0" w:color="000000"/>
              <w:right w:val="single" w:sz="4" w:space="0" w:color="auto"/>
            </w:tcBorders>
            <w:vAlign w:val="center"/>
            <w:hideMark/>
          </w:tcPr>
          <w:p w:rsidR="00ED24D1" w:rsidRDefault="00ED24D1" w:rsidP="000108CD">
            <w:pPr>
              <w:spacing w:before="80" w:after="80" w:line="240" w:lineRule="auto"/>
              <w:rPr>
                <w:rFonts w:ascii="Times New Roman" w:eastAsia="Times New Roman" w:hAnsi="Times New Roman"/>
                <w:b/>
                <w:bCs/>
                <w:color w:val="000000"/>
                <w:sz w:val="24"/>
                <w:szCs w:val="24"/>
                <w:lang w:bidi="kn-IN"/>
              </w:rPr>
            </w:pPr>
          </w:p>
        </w:tc>
        <w:tc>
          <w:tcPr>
            <w:tcW w:w="457" w:type="pct"/>
            <w:tcBorders>
              <w:top w:val="nil"/>
              <w:left w:val="nil"/>
              <w:bottom w:val="single" w:sz="8"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Min</w:t>
            </w:r>
          </w:p>
        </w:tc>
        <w:tc>
          <w:tcPr>
            <w:tcW w:w="457" w:type="pct"/>
            <w:tcBorders>
              <w:top w:val="nil"/>
              <w:left w:val="nil"/>
              <w:bottom w:val="single" w:sz="8"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Max</w:t>
            </w:r>
          </w:p>
        </w:tc>
        <w:tc>
          <w:tcPr>
            <w:tcW w:w="395" w:type="pct"/>
            <w:vMerge/>
            <w:tcBorders>
              <w:top w:val="single" w:sz="8" w:space="0" w:color="auto"/>
              <w:left w:val="single" w:sz="4" w:space="0" w:color="auto"/>
              <w:bottom w:val="single" w:sz="8" w:space="0" w:color="000000"/>
              <w:right w:val="single" w:sz="4" w:space="0" w:color="auto"/>
            </w:tcBorders>
            <w:vAlign w:val="center"/>
            <w:hideMark/>
          </w:tcPr>
          <w:p w:rsidR="00ED24D1" w:rsidRDefault="00ED24D1" w:rsidP="000108CD">
            <w:pPr>
              <w:spacing w:before="80" w:after="80" w:line="240" w:lineRule="auto"/>
              <w:rPr>
                <w:rFonts w:ascii="Times New Roman" w:eastAsia="Times New Roman" w:hAnsi="Times New Roman"/>
                <w:b/>
                <w:bCs/>
                <w:color w:val="000000"/>
                <w:sz w:val="24"/>
                <w:szCs w:val="24"/>
                <w:lang w:bidi="kn-IN"/>
              </w:rPr>
            </w:pPr>
          </w:p>
        </w:tc>
        <w:tc>
          <w:tcPr>
            <w:tcW w:w="395" w:type="pct"/>
            <w:vMerge/>
            <w:tcBorders>
              <w:top w:val="single" w:sz="8" w:space="0" w:color="auto"/>
              <w:left w:val="single" w:sz="4" w:space="0" w:color="auto"/>
              <w:bottom w:val="single" w:sz="8" w:space="0" w:color="000000"/>
              <w:right w:val="nil"/>
            </w:tcBorders>
            <w:vAlign w:val="center"/>
            <w:hideMark/>
          </w:tcPr>
          <w:p w:rsidR="00ED24D1" w:rsidRDefault="00ED24D1" w:rsidP="000108CD">
            <w:pPr>
              <w:spacing w:before="80" w:after="80" w:line="240" w:lineRule="auto"/>
              <w:rPr>
                <w:rFonts w:ascii="Times New Roman" w:eastAsia="Times New Roman" w:hAnsi="Times New Roman"/>
                <w:b/>
                <w:bCs/>
                <w:color w:val="000000"/>
                <w:sz w:val="24"/>
                <w:szCs w:val="24"/>
                <w:lang w:bidi="kn-IN"/>
              </w:rPr>
            </w:pPr>
          </w:p>
        </w:tc>
        <w:tc>
          <w:tcPr>
            <w:tcW w:w="489" w:type="pct"/>
            <w:tcBorders>
              <w:top w:val="nil"/>
              <w:left w:val="single" w:sz="8" w:space="0" w:color="auto"/>
              <w:bottom w:val="single" w:sz="8"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b/>
                <w:bCs/>
                <w:color w:val="000000"/>
                <w:sz w:val="24"/>
                <w:szCs w:val="24"/>
                <w:lang w:bidi="kn-IN"/>
              </w:rPr>
            </w:pPr>
            <w:r>
              <w:rPr>
                <w:rFonts w:ascii="Times New Roman" w:eastAsia="Times New Roman" w:hAnsi="Times New Roman"/>
                <w:b/>
                <w:bCs/>
                <w:color w:val="000000"/>
                <w:sz w:val="24"/>
                <w:szCs w:val="24"/>
                <w:lang w:bidi="kn-IN"/>
              </w:rPr>
              <w:t>(Broad sense)</w:t>
            </w:r>
          </w:p>
        </w:tc>
        <w:tc>
          <w:tcPr>
            <w:tcW w:w="457" w:type="pct"/>
            <w:vMerge/>
            <w:tcBorders>
              <w:top w:val="single" w:sz="8" w:space="0" w:color="auto"/>
              <w:left w:val="nil"/>
              <w:bottom w:val="single" w:sz="8" w:space="0" w:color="000000"/>
              <w:right w:val="single" w:sz="4" w:space="0" w:color="auto"/>
            </w:tcBorders>
            <w:vAlign w:val="center"/>
            <w:hideMark/>
          </w:tcPr>
          <w:p w:rsidR="00ED24D1" w:rsidRDefault="00ED24D1" w:rsidP="000108CD">
            <w:pPr>
              <w:spacing w:before="80" w:after="80" w:line="240" w:lineRule="auto"/>
              <w:rPr>
                <w:rFonts w:ascii="Times New Roman" w:eastAsia="Times New Roman" w:hAnsi="Times New Roman"/>
                <w:b/>
                <w:bCs/>
                <w:color w:val="000000"/>
                <w:sz w:val="24"/>
                <w:szCs w:val="24"/>
                <w:lang w:bidi="kn-IN"/>
              </w:rPr>
            </w:pPr>
          </w:p>
        </w:tc>
        <w:tc>
          <w:tcPr>
            <w:tcW w:w="419" w:type="pct"/>
            <w:vMerge/>
            <w:tcBorders>
              <w:top w:val="single" w:sz="8" w:space="0" w:color="auto"/>
              <w:left w:val="single" w:sz="4" w:space="0" w:color="auto"/>
              <w:bottom w:val="single" w:sz="8" w:space="0" w:color="000000"/>
              <w:right w:val="single" w:sz="8" w:space="0" w:color="auto"/>
            </w:tcBorders>
            <w:vAlign w:val="center"/>
            <w:hideMark/>
          </w:tcPr>
          <w:p w:rsidR="00ED24D1" w:rsidRDefault="00ED24D1" w:rsidP="000108CD">
            <w:pPr>
              <w:spacing w:before="80" w:after="80" w:line="240" w:lineRule="auto"/>
              <w:rPr>
                <w:rFonts w:ascii="Times New Roman" w:eastAsia="Times New Roman" w:hAnsi="Times New Roman"/>
                <w:b/>
                <w:bCs/>
                <w:color w:val="000000"/>
                <w:sz w:val="24"/>
                <w:szCs w:val="24"/>
                <w:lang w:bidi="kn-IN"/>
              </w:rPr>
            </w:pP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Vine length (cm)</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435.32</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172.49</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729.67</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38.37</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38.97</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96.98</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338.82</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77.84</w:t>
            </w: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Number of primary branches  per plant</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7.91</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4.81</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12.87</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31.00</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31.85</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94.74</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4.92</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62.16</w:t>
            </w: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Internodal length (cm)</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11.06</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6.80</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15.00</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21.49</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22.50</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91.17</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4.68</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42.26</w:t>
            </w: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Days  to first male flower appearance</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62.31</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35.28</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76.90</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14.44</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16.59</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75.68</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16.12</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25.86</w:t>
            </w: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5</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Days  to first female flowering</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70.67</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39.83</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85.85</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15.14</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16.32</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86.03</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20.44</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28.92</w:t>
            </w: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6</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Days  to 50% flowering</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87.46</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60.20</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106.15</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11.96</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13.32</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80.56</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19.33</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22.10</w:t>
            </w: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7</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Days to first fruit harvest</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130.10</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122.73</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139.27</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2.46</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3.81</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41.62</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4.25</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3.26</w:t>
            </w: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8</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Fruit diameter (cm)</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65.45</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46.17</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99.04</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21.80</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22.93</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90.39</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27.95</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42.70</w:t>
            </w: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lastRenderedPageBreak/>
              <w:t>9</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Average fruit weight (kg)</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6.13</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3.87</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8.81</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18.77</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20.67</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82.41</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2.16</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35.09</w:t>
            </w: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10</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Number of fruits per vine</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3.58</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1.50</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5.50</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25.92</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27.46</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89.12</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1.81</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50.40</w:t>
            </w: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11</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Total Soluble Solids (</w:t>
            </w:r>
            <w:r>
              <w:rPr>
                <w:rFonts w:ascii="Times New Roman" w:eastAsia="Times New Roman" w:hAnsi="Times New Roman"/>
                <w:color w:val="000000"/>
                <w:sz w:val="24"/>
                <w:szCs w:val="24"/>
                <w:vertAlign w:val="superscript"/>
                <w:lang w:bidi="kn-IN"/>
              </w:rPr>
              <w:t>0</w:t>
            </w:r>
            <w:r>
              <w:rPr>
                <w:rFonts w:ascii="Times New Roman" w:eastAsia="Times New Roman" w:hAnsi="Times New Roman"/>
                <w:color w:val="000000"/>
                <w:sz w:val="24"/>
                <w:szCs w:val="24"/>
                <w:lang w:bidi="kn-IN"/>
              </w:rPr>
              <w:t>Brix)</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2.86</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2.39</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3.33</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6.91</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9.89</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48.84</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0.29</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9.94</w:t>
            </w:r>
          </w:p>
        </w:tc>
      </w:tr>
      <w:tr w:rsidR="00ED24D1" w:rsidTr="00ED24D1">
        <w:trPr>
          <w:cantSplit/>
          <w:jc w:val="center"/>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12</w:t>
            </w:r>
          </w:p>
        </w:tc>
        <w:tc>
          <w:tcPr>
            <w:tcW w:w="117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Number of seeds per fruit</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541.97</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290.00</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948.50</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27.94</w:t>
            </w:r>
          </w:p>
        </w:tc>
        <w:tc>
          <w:tcPr>
            <w:tcW w:w="395"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28.62</w:t>
            </w:r>
          </w:p>
        </w:tc>
        <w:tc>
          <w:tcPr>
            <w:tcW w:w="489"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95.32</w:t>
            </w:r>
          </w:p>
        </w:tc>
        <w:tc>
          <w:tcPr>
            <w:tcW w:w="457" w:type="pct"/>
            <w:tcBorders>
              <w:top w:val="nil"/>
              <w:left w:val="nil"/>
              <w:bottom w:val="single" w:sz="4"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304.51</w:t>
            </w:r>
          </w:p>
        </w:tc>
        <w:tc>
          <w:tcPr>
            <w:tcW w:w="419" w:type="pct"/>
            <w:tcBorders>
              <w:top w:val="nil"/>
              <w:left w:val="nil"/>
              <w:bottom w:val="single" w:sz="4"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56.19</w:t>
            </w:r>
          </w:p>
        </w:tc>
      </w:tr>
      <w:tr w:rsidR="00ED24D1" w:rsidTr="00ED24D1">
        <w:trPr>
          <w:cantSplit/>
          <w:jc w:val="center"/>
        </w:trPr>
        <w:tc>
          <w:tcPr>
            <w:tcW w:w="298" w:type="pct"/>
            <w:tcBorders>
              <w:top w:val="nil"/>
              <w:left w:val="single" w:sz="8" w:space="0" w:color="auto"/>
              <w:bottom w:val="single" w:sz="8"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13</w:t>
            </w:r>
          </w:p>
        </w:tc>
        <w:tc>
          <w:tcPr>
            <w:tcW w:w="1175" w:type="pct"/>
            <w:tcBorders>
              <w:top w:val="nil"/>
              <w:left w:val="nil"/>
              <w:bottom w:val="single" w:sz="8" w:space="0" w:color="auto"/>
              <w:right w:val="single" w:sz="4" w:space="0" w:color="auto"/>
            </w:tcBorders>
            <w:shd w:val="clear" w:color="auto" w:fill="auto"/>
            <w:vAlign w:val="center"/>
            <w:hideMark/>
          </w:tcPr>
          <w:p w:rsidR="00ED24D1" w:rsidRDefault="00ED24D1" w:rsidP="000108CD">
            <w:pPr>
              <w:spacing w:before="80" w:after="80" w:line="240" w:lineRule="auto"/>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Yield per plant (kg)</w:t>
            </w:r>
          </w:p>
        </w:tc>
        <w:tc>
          <w:tcPr>
            <w:tcW w:w="457" w:type="pct"/>
            <w:tcBorders>
              <w:top w:val="nil"/>
              <w:left w:val="nil"/>
              <w:bottom w:val="single" w:sz="8"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23.75</w:t>
            </w:r>
          </w:p>
        </w:tc>
        <w:tc>
          <w:tcPr>
            <w:tcW w:w="457" w:type="pct"/>
            <w:tcBorders>
              <w:top w:val="nil"/>
              <w:left w:val="nil"/>
              <w:bottom w:val="single" w:sz="8"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8.73</w:t>
            </w:r>
          </w:p>
        </w:tc>
        <w:tc>
          <w:tcPr>
            <w:tcW w:w="457" w:type="pct"/>
            <w:tcBorders>
              <w:top w:val="nil"/>
              <w:left w:val="nil"/>
              <w:bottom w:val="single" w:sz="8"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48.98</w:t>
            </w:r>
          </w:p>
        </w:tc>
        <w:tc>
          <w:tcPr>
            <w:tcW w:w="395" w:type="pct"/>
            <w:tcBorders>
              <w:top w:val="nil"/>
              <w:left w:val="nil"/>
              <w:bottom w:val="single" w:sz="8"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39.14</w:t>
            </w:r>
          </w:p>
        </w:tc>
        <w:tc>
          <w:tcPr>
            <w:tcW w:w="395" w:type="pct"/>
            <w:tcBorders>
              <w:top w:val="nil"/>
              <w:left w:val="nil"/>
              <w:bottom w:val="single" w:sz="8"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41.48</w:t>
            </w:r>
          </w:p>
        </w:tc>
        <w:tc>
          <w:tcPr>
            <w:tcW w:w="489" w:type="pct"/>
            <w:tcBorders>
              <w:top w:val="nil"/>
              <w:left w:val="nil"/>
              <w:bottom w:val="single" w:sz="8"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89.04</w:t>
            </w:r>
          </w:p>
        </w:tc>
        <w:tc>
          <w:tcPr>
            <w:tcW w:w="457" w:type="pct"/>
            <w:tcBorders>
              <w:top w:val="nil"/>
              <w:left w:val="nil"/>
              <w:bottom w:val="single" w:sz="8" w:space="0" w:color="auto"/>
              <w:right w:val="single" w:sz="4"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18.07</w:t>
            </w:r>
          </w:p>
        </w:tc>
        <w:tc>
          <w:tcPr>
            <w:tcW w:w="419" w:type="pct"/>
            <w:tcBorders>
              <w:top w:val="nil"/>
              <w:left w:val="nil"/>
              <w:bottom w:val="single" w:sz="8" w:space="0" w:color="auto"/>
              <w:right w:val="single" w:sz="8" w:space="0" w:color="auto"/>
            </w:tcBorders>
            <w:shd w:val="clear" w:color="auto" w:fill="auto"/>
            <w:vAlign w:val="center"/>
            <w:hideMark/>
          </w:tcPr>
          <w:p w:rsidR="00ED24D1" w:rsidRDefault="00ED24D1" w:rsidP="000108CD">
            <w:pPr>
              <w:spacing w:before="80" w:after="80" w:line="240" w:lineRule="auto"/>
              <w:jc w:val="center"/>
              <w:rPr>
                <w:rFonts w:ascii="Times New Roman" w:eastAsia="Times New Roman" w:hAnsi="Times New Roman"/>
                <w:color w:val="000000"/>
                <w:sz w:val="24"/>
                <w:szCs w:val="24"/>
                <w:lang w:bidi="kn-IN"/>
              </w:rPr>
            </w:pPr>
            <w:r>
              <w:rPr>
                <w:rFonts w:ascii="Times New Roman" w:eastAsia="Times New Roman" w:hAnsi="Times New Roman"/>
                <w:color w:val="000000"/>
                <w:sz w:val="24"/>
                <w:szCs w:val="24"/>
                <w:lang w:bidi="kn-IN"/>
              </w:rPr>
              <w:t>76.08</w:t>
            </w:r>
          </w:p>
        </w:tc>
      </w:tr>
    </w:tbl>
    <w:p w:rsidR="00ED24D1" w:rsidRDefault="00ED24D1" w:rsidP="00ED24D1">
      <w:pPr>
        <w:spacing w:before="280" w:after="0" w:line="240" w:lineRule="auto"/>
        <w:jc w:val="both"/>
        <w:rPr>
          <w:rFonts w:ascii="Times New Roman" w:hAnsi="Times New Roman"/>
          <w:b/>
          <w:bCs/>
          <w:sz w:val="32"/>
          <w:szCs w:val="32"/>
        </w:rPr>
      </w:pPr>
      <w:r>
        <w:rPr>
          <w:rFonts w:ascii="Times New Roman" w:hAnsi="Times New Roman"/>
          <w:b/>
          <w:bCs/>
          <w:sz w:val="32"/>
          <w:szCs w:val="32"/>
        </w:rPr>
        <w:t xml:space="preserve">Genetic variability </w:t>
      </w:r>
    </w:p>
    <w:p w:rsidR="00ED24D1" w:rsidRDefault="00193CFA" w:rsidP="00ED24D1">
      <w:pPr>
        <w:spacing w:before="280" w:after="0" w:line="360" w:lineRule="auto"/>
        <w:ind w:firstLine="720"/>
        <w:jc w:val="both"/>
        <w:rPr>
          <w:rFonts w:ascii="Times New Roman" w:hAnsi="Times New Roman"/>
          <w:sz w:val="24"/>
          <w:szCs w:val="24"/>
        </w:rPr>
      </w:pPr>
      <w:r>
        <w:rPr>
          <w:rFonts w:ascii="Times New Roman" w:hAnsi="Times New Roman"/>
          <w:sz w:val="24"/>
          <w:szCs w:val="24"/>
        </w:rPr>
        <w:t>The table</w:t>
      </w:r>
      <w:r w:rsidR="001C190C">
        <w:rPr>
          <w:rFonts w:ascii="Times New Roman" w:hAnsi="Times New Roman"/>
          <w:sz w:val="24"/>
          <w:szCs w:val="24"/>
        </w:rPr>
        <w:t xml:space="preserve"> </w:t>
      </w:r>
      <w:r>
        <w:rPr>
          <w:rFonts w:ascii="Times New Roman" w:hAnsi="Times New Roman"/>
          <w:sz w:val="24"/>
          <w:szCs w:val="24"/>
        </w:rPr>
        <w:t>5 represents</w:t>
      </w:r>
      <w:r w:rsidR="00ED24D1">
        <w:rPr>
          <w:rFonts w:ascii="Times New Roman" w:hAnsi="Times New Roman"/>
          <w:sz w:val="24"/>
          <w:szCs w:val="24"/>
        </w:rPr>
        <w:t xml:space="preserve"> the genetic variability of fourteen traits, providing important variables like genotypic and phenotypic coefficients of variation.</w:t>
      </w:r>
    </w:p>
    <w:p w:rsidR="00ED24D1" w:rsidRDefault="00ED24D1" w:rsidP="00ED24D1">
      <w:pPr>
        <w:spacing w:before="280" w:after="0" w:line="240" w:lineRule="auto"/>
        <w:jc w:val="both"/>
        <w:rPr>
          <w:rFonts w:ascii="Times New Roman" w:hAnsi="Times New Roman"/>
          <w:b/>
          <w:bCs/>
          <w:sz w:val="24"/>
          <w:szCs w:val="24"/>
        </w:rPr>
      </w:pPr>
      <w:r>
        <w:rPr>
          <w:rFonts w:ascii="Times New Roman" w:hAnsi="Times New Roman"/>
          <w:b/>
          <w:bCs/>
          <w:sz w:val="24"/>
          <w:szCs w:val="24"/>
        </w:rPr>
        <w:t>1 Phenotypic coefficient of variation</w:t>
      </w:r>
    </w:p>
    <w:p w:rsidR="00ED24D1" w:rsidRDefault="00ED24D1" w:rsidP="00ED24D1">
      <w:pPr>
        <w:spacing w:before="280" w:after="0" w:line="360" w:lineRule="auto"/>
        <w:ind w:firstLine="720"/>
        <w:jc w:val="both"/>
        <w:rPr>
          <w:rFonts w:ascii="Times New Roman" w:hAnsi="Times New Roman"/>
          <w:sz w:val="24"/>
          <w:szCs w:val="24"/>
        </w:rPr>
      </w:pPr>
      <w:r>
        <w:rPr>
          <w:rFonts w:ascii="Times New Roman" w:hAnsi="Times New Roman"/>
          <w:sz w:val="24"/>
          <w:szCs w:val="24"/>
        </w:rPr>
        <w:t>The high estimates of PCV was recorded in the traits yield per plant (41.48), vine length (38.97), Number of primary branches  per plant (31.85), fruit diameter (22.93), internodal length (22.50). moderate estimates of PCV was observed in the traits days to first male flower appearance (16.59), and days to 50% flowering (13.32) while the lowest estimate of PCV was found in the total soluble solids (9.89), days to first fruit harvest (3.81).</w:t>
      </w:r>
    </w:p>
    <w:p w:rsidR="00ED24D1" w:rsidRDefault="00ED24D1" w:rsidP="00ED24D1">
      <w:pPr>
        <w:spacing w:before="280" w:after="0" w:line="240" w:lineRule="auto"/>
        <w:jc w:val="both"/>
        <w:rPr>
          <w:rFonts w:ascii="Times New Roman" w:hAnsi="Times New Roman"/>
          <w:b/>
          <w:bCs/>
          <w:sz w:val="24"/>
          <w:szCs w:val="24"/>
        </w:rPr>
      </w:pPr>
      <w:r>
        <w:rPr>
          <w:rFonts w:ascii="Times New Roman" w:hAnsi="Times New Roman"/>
          <w:b/>
          <w:bCs/>
          <w:sz w:val="24"/>
          <w:szCs w:val="24"/>
        </w:rPr>
        <w:t>2 Genotypic coefficient of variation</w:t>
      </w:r>
    </w:p>
    <w:p w:rsidR="00ED24D1" w:rsidRDefault="00ED24D1" w:rsidP="00ED24D1">
      <w:pPr>
        <w:spacing w:before="280" w:after="0" w:line="360" w:lineRule="auto"/>
        <w:ind w:firstLine="720"/>
        <w:jc w:val="both"/>
        <w:rPr>
          <w:rFonts w:ascii="Times New Roman" w:hAnsi="Times New Roman"/>
          <w:sz w:val="24"/>
          <w:szCs w:val="24"/>
        </w:rPr>
      </w:pPr>
      <w:r>
        <w:rPr>
          <w:rFonts w:ascii="Times New Roman" w:hAnsi="Times New Roman"/>
          <w:sz w:val="24"/>
          <w:szCs w:val="24"/>
        </w:rPr>
        <w:t>The yield per plant (39.14) observed the highest estimates of genotypic coefficient of variation, followed by vine length (38.37), moderate estimates of GCV were recorded in average fruit weight (18.77), days to first female flowering (15.14), days to first male flower appearance (14.44), days to 50% flowering (11.96), while the lowest estimates of variability was recorded in total soluble solids (6.91) and days to first fruit harvest (2.46).</w:t>
      </w:r>
    </w:p>
    <w:p w:rsidR="00ED24D1" w:rsidRDefault="00ED24D1" w:rsidP="00ED24D1">
      <w:pPr>
        <w:spacing w:before="280" w:after="0" w:line="240" w:lineRule="auto"/>
        <w:jc w:val="both"/>
        <w:rPr>
          <w:rFonts w:ascii="Times New Roman" w:hAnsi="Times New Roman"/>
          <w:b/>
          <w:bCs/>
          <w:sz w:val="24"/>
          <w:szCs w:val="24"/>
        </w:rPr>
      </w:pPr>
      <w:r>
        <w:rPr>
          <w:rFonts w:ascii="Times New Roman" w:hAnsi="Times New Roman"/>
          <w:b/>
          <w:bCs/>
          <w:sz w:val="24"/>
          <w:szCs w:val="24"/>
        </w:rPr>
        <w:t xml:space="preserve">3 Heritability </w:t>
      </w:r>
    </w:p>
    <w:p w:rsidR="00ED24D1" w:rsidRDefault="00ED24D1" w:rsidP="00ED24D1">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traits vine length (96.98) was recorded for highest estimates of heritability, followed by number of seeds per fruit (95.32) and days to 50% flowering (80.56) while the moderate </w:t>
      </w:r>
      <w:r>
        <w:rPr>
          <w:rFonts w:ascii="Times New Roman" w:hAnsi="Times New Roman"/>
          <w:sz w:val="24"/>
          <w:szCs w:val="24"/>
        </w:rPr>
        <w:lastRenderedPageBreak/>
        <w:t>estimates of heritability was found in days to first male flower appearance (75.68), total soluble solids (48.84) and days to first fruit harvest (41.62).</w:t>
      </w:r>
    </w:p>
    <w:p w:rsidR="00ED24D1" w:rsidRDefault="00ED24D1" w:rsidP="00ED24D1">
      <w:pPr>
        <w:spacing w:before="280" w:after="0" w:line="240" w:lineRule="auto"/>
        <w:jc w:val="both"/>
        <w:rPr>
          <w:rFonts w:ascii="Times New Roman" w:hAnsi="Times New Roman"/>
          <w:b/>
          <w:bCs/>
          <w:sz w:val="24"/>
          <w:szCs w:val="24"/>
        </w:rPr>
      </w:pPr>
      <w:r>
        <w:rPr>
          <w:rFonts w:ascii="Times New Roman" w:hAnsi="Times New Roman"/>
          <w:b/>
          <w:bCs/>
          <w:sz w:val="24"/>
          <w:szCs w:val="24"/>
        </w:rPr>
        <w:t xml:space="preserve">4 Genetic advance </w:t>
      </w:r>
    </w:p>
    <w:p w:rsidR="00ED24D1" w:rsidRDefault="00ED24D1" w:rsidP="00ED24D1">
      <w:pPr>
        <w:spacing w:before="280" w:after="0" w:line="360" w:lineRule="auto"/>
        <w:ind w:firstLine="720"/>
        <w:jc w:val="both"/>
        <w:rPr>
          <w:rFonts w:ascii="Times New Roman" w:hAnsi="Times New Roman"/>
          <w:sz w:val="24"/>
          <w:szCs w:val="24"/>
        </w:rPr>
      </w:pPr>
      <w:r>
        <w:rPr>
          <w:rFonts w:ascii="Times New Roman" w:hAnsi="Times New Roman"/>
          <w:sz w:val="24"/>
          <w:szCs w:val="24"/>
        </w:rPr>
        <w:t>Highest estimates of genetic  advance were recorded for vine length (338.82), followed by number of seeds per fruit (304.51), fruit diameter (27.95), days to first female flowering (20.44), whereas the moderate estimates of genetic advance were observed in days to 50% flowering (19.33),. While the lowest estimates were exhibited by Number of primary branches per plant (4.92), internodal length (4.68), days to first fruit harvest (4.25), average fruit weight (2.16) and total soluble solids (0.29).</w:t>
      </w:r>
    </w:p>
    <w:p w:rsidR="00ED24D1" w:rsidRDefault="00ED24D1" w:rsidP="00ED24D1">
      <w:pPr>
        <w:spacing w:before="280" w:after="0" w:line="240" w:lineRule="auto"/>
        <w:jc w:val="both"/>
        <w:rPr>
          <w:rFonts w:ascii="Times New Roman" w:hAnsi="Times New Roman"/>
          <w:b/>
          <w:bCs/>
          <w:sz w:val="24"/>
          <w:szCs w:val="24"/>
        </w:rPr>
      </w:pPr>
      <w:r>
        <w:rPr>
          <w:rFonts w:ascii="Times New Roman" w:hAnsi="Times New Roman"/>
          <w:b/>
          <w:bCs/>
          <w:sz w:val="24"/>
          <w:szCs w:val="24"/>
        </w:rPr>
        <w:t>5 Genetic advance as percent mean</w:t>
      </w:r>
    </w:p>
    <w:p w:rsidR="00ED24D1" w:rsidRDefault="00ED24D1" w:rsidP="00ED24D1">
      <w:pPr>
        <w:spacing w:before="280" w:after="0" w:line="360" w:lineRule="auto"/>
        <w:ind w:firstLine="720"/>
        <w:jc w:val="both"/>
        <w:rPr>
          <w:rFonts w:ascii="Times New Roman" w:hAnsi="Times New Roman"/>
          <w:sz w:val="24"/>
          <w:szCs w:val="24"/>
        </w:rPr>
      </w:pPr>
      <w:r>
        <w:rPr>
          <w:rFonts w:ascii="Times New Roman" w:hAnsi="Times New Roman"/>
          <w:sz w:val="24"/>
          <w:szCs w:val="24"/>
        </w:rPr>
        <w:t>The high estimates of genetic advance as percent mean was reported by vine length  (77.84), yield per plant (76.08), Number of primary branches per plant (62.16), number of seeds per fruit (56.19), number of fruits per vine (50.40), fruit diameter (42.70), internodal length (42.26), fruit yield per vine (41.85), average fruit weight (35.09), days to first female flowering (28.92), days to first male flower appearance (25.86), days to 50% flowering</w:t>
      </w:r>
    </w:p>
    <w:p w:rsidR="001C190C" w:rsidRDefault="001C190C" w:rsidP="00ED24D1">
      <w:pPr>
        <w:spacing w:before="280" w:after="0" w:line="360" w:lineRule="auto"/>
        <w:ind w:firstLine="720"/>
        <w:jc w:val="both"/>
        <w:rPr>
          <w:rFonts w:ascii="Times New Roman" w:hAnsi="Times New Roman"/>
          <w:sz w:val="24"/>
          <w:szCs w:val="24"/>
        </w:rPr>
      </w:pPr>
    </w:p>
    <w:p w:rsidR="001C190C" w:rsidRDefault="001C190C" w:rsidP="00ED24D1">
      <w:pPr>
        <w:spacing w:before="280" w:after="0" w:line="360" w:lineRule="auto"/>
        <w:ind w:firstLine="720"/>
        <w:jc w:val="both"/>
        <w:rPr>
          <w:rFonts w:ascii="Times New Roman" w:hAnsi="Times New Roman"/>
          <w:sz w:val="24"/>
          <w:szCs w:val="24"/>
        </w:rPr>
      </w:pPr>
      <w:r w:rsidRPr="001C190C">
        <w:rPr>
          <w:rFonts w:ascii="Times New Roman" w:hAnsi="Times New Roman"/>
          <w:noProof/>
          <w:sz w:val="24"/>
          <w:szCs w:val="24"/>
          <w:lang w:val="en-US" w:bidi="ar-SA"/>
        </w:rPr>
        <w:lastRenderedPageBreak/>
        <w:drawing>
          <wp:inline distT="0" distB="0" distL="0" distR="0">
            <wp:extent cx="4857750" cy="5876528"/>
            <wp:effectExtent l="19050" t="0" r="0" b="0"/>
            <wp:docPr id="1" name="Picture 45" descr="A group of melons arranged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02140" name="Picture 45" descr="A group of melons arranged in a line&#10;&#10;AI-generated content may be incorrect."/>
                    <pic:cNvPicPr/>
                  </pic:nvPicPr>
                  <pic:blipFill rotWithShape="1">
                    <a:blip r:embed="rId21" cstate="print"/>
                    <a:srcRect l="18161" t="9230" r="11922" b="25395"/>
                    <a:stretch/>
                  </pic:blipFill>
                  <pic:spPr bwMode="auto">
                    <a:xfrm>
                      <a:off x="0" y="0"/>
                      <a:ext cx="4857750" cy="5876528"/>
                    </a:xfrm>
                    <a:prstGeom prst="rect">
                      <a:avLst/>
                    </a:prstGeom>
                    <a:ln>
                      <a:noFill/>
                    </a:ln>
                    <a:extLst>
                      <a:ext uri="{53640926-AAD7-44D8-BBD7-CCE9431645EC}">
                        <a14:shadowObscured xmlns:a14="http://schemas.microsoft.com/office/drawing/2010/main"/>
                      </a:ext>
                    </a:extLst>
                  </pic:spPr>
                </pic:pic>
              </a:graphicData>
            </a:graphic>
          </wp:inline>
        </w:drawing>
      </w:r>
    </w:p>
    <w:p w:rsidR="000108CD" w:rsidRDefault="000108CD" w:rsidP="00ED24D1">
      <w:pPr>
        <w:spacing w:before="280" w:after="0" w:line="360" w:lineRule="auto"/>
        <w:ind w:firstLine="720"/>
        <w:jc w:val="both"/>
        <w:rPr>
          <w:rFonts w:ascii="Times New Roman" w:hAnsi="Times New Roman"/>
          <w:sz w:val="24"/>
          <w:szCs w:val="24"/>
        </w:rPr>
      </w:pPr>
      <w:r>
        <w:rPr>
          <w:rFonts w:ascii="Times New Roman" w:hAnsi="Times New Roman"/>
          <w:b/>
          <w:bCs/>
          <w:sz w:val="24"/>
          <w:szCs w:val="24"/>
        </w:rPr>
        <w:t xml:space="preserve">             </w:t>
      </w:r>
      <w:r w:rsidR="00114F27">
        <w:rPr>
          <w:rFonts w:ascii="Times New Roman" w:hAnsi="Times New Roman"/>
          <w:b/>
          <w:bCs/>
          <w:sz w:val="24"/>
          <w:szCs w:val="24"/>
        </w:rPr>
        <w:t>Fig 1.</w:t>
      </w:r>
      <w:bookmarkStart w:id="2" w:name="_GoBack"/>
      <w:bookmarkEnd w:id="2"/>
      <w:r>
        <w:rPr>
          <w:rFonts w:ascii="Times New Roman" w:hAnsi="Times New Roman"/>
          <w:b/>
          <w:bCs/>
          <w:sz w:val="24"/>
          <w:szCs w:val="24"/>
        </w:rPr>
        <w:t xml:space="preserve">  Variability observed for fruit characters in Ash gourd</w:t>
      </w:r>
    </w:p>
    <w:p w:rsidR="00E84680" w:rsidRDefault="00152E9D" w:rsidP="00152E9D">
      <w:pPr>
        <w:rPr>
          <w:rFonts w:ascii="Times New Roman" w:hAnsi="Times New Roman"/>
          <w:b/>
          <w:bCs/>
          <w:sz w:val="24"/>
          <w:szCs w:val="24"/>
        </w:rPr>
      </w:pPr>
      <w:r>
        <w:rPr>
          <w:rFonts w:ascii="Times New Roman" w:hAnsi="Times New Roman"/>
          <w:b/>
          <w:bCs/>
          <w:sz w:val="24"/>
          <w:szCs w:val="24"/>
        </w:rPr>
        <w:lastRenderedPageBreak/>
        <w:t xml:space="preserve">           </w:t>
      </w:r>
      <w:r w:rsidR="00E84680" w:rsidRPr="00E84680">
        <w:rPr>
          <w:rFonts w:ascii="Times New Roman" w:hAnsi="Times New Roman"/>
          <w:b/>
          <w:bCs/>
          <w:noProof/>
          <w:sz w:val="24"/>
          <w:szCs w:val="24"/>
          <w:lang w:val="en-US" w:bidi="ar-SA"/>
        </w:rPr>
        <w:drawing>
          <wp:inline distT="0" distB="0" distL="0" distR="0">
            <wp:extent cx="5303661" cy="7591647"/>
            <wp:effectExtent l="19050" t="0" r="0" b="0"/>
            <wp:docPr id="17" name="Picture 61" descr="A close-up of a mel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60581" name="Picture 61" descr="A close-up of a melon&#10;&#10;AI-generated content may be incorrect."/>
                    <pic:cNvPicPr/>
                  </pic:nvPicPr>
                  <pic:blipFill rotWithShape="1">
                    <a:blip r:embed="rId22" cstate="print"/>
                    <a:srcRect l="18411" t="8842" r="12671" b="13112"/>
                    <a:stretch/>
                  </pic:blipFill>
                  <pic:spPr bwMode="auto">
                    <a:xfrm>
                      <a:off x="0" y="0"/>
                      <a:ext cx="5303661" cy="759164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sz w:val="24"/>
          <w:szCs w:val="24"/>
        </w:rPr>
        <w:t xml:space="preserve">                         </w:t>
      </w:r>
      <w:r w:rsidR="002E2FA5">
        <w:rPr>
          <w:rFonts w:ascii="Times New Roman" w:hAnsi="Times New Roman"/>
          <w:b/>
          <w:bCs/>
          <w:sz w:val="24"/>
          <w:szCs w:val="24"/>
        </w:rPr>
        <w:t xml:space="preserve">   </w:t>
      </w:r>
      <w:r w:rsidR="00E84680">
        <w:rPr>
          <w:rFonts w:ascii="Times New Roman" w:hAnsi="Times New Roman"/>
          <w:b/>
          <w:bCs/>
          <w:sz w:val="24"/>
          <w:szCs w:val="24"/>
        </w:rPr>
        <w:t xml:space="preserve">                             </w:t>
      </w:r>
    </w:p>
    <w:p w:rsidR="00152E9D" w:rsidRPr="00246F99" w:rsidRDefault="00E84680" w:rsidP="00152E9D">
      <w:pPr>
        <w:rPr>
          <w:rFonts w:ascii="Times New Roman" w:hAnsi="Times New Roman"/>
          <w:sz w:val="24"/>
          <w:szCs w:val="24"/>
        </w:rPr>
      </w:pPr>
      <w:r>
        <w:rPr>
          <w:rFonts w:ascii="Times New Roman" w:hAnsi="Times New Roman"/>
          <w:b/>
          <w:bCs/>
          <w:sz w:val="24"/>
          <w:szCs w:val="24"/>
        </w:rPr>
        <w:t xml:space="preserve">                                    </w:t>
      </w:r>
      <w:r w:rsidR="00B83657">
        <w:rPr>
          <w:rFonts w:ascii="Times New Roman" w:hAnsi="Times New Roman"/>
          <w:b/>
          <w:bCs/>
          <w:sz w:val="24"/>
          <w:szCs w:val="24"/>
        </w:rPr>
        <w:t>Fig .</w:t>
      </w:r>
      <w:r w:rsidR="00114F27">
        <w:rPr>
          <w:rFonts w:ascii="Times New Roman" w:hAnsi="Times New Roman"/>
          <w:b/>
          <w:bCs/>
          <w:sz w:val="24"/>
          <w:szCs w:val="24"/>
        </w:rPr>
        <w:t>2</w:t>
      </w:r>
      <w:r w:rsidR="00610EC7">
        <w:rPr>
          <w:rFonts w:ascii="Times New Roman" w:hAnsi="Times New Roman"/>
          <w:b/>
          <w:bCs/>
          <w:sz w:val="24"/>
          <w:szCs w:val="24"/>
        </w:rPr>
        <w:t xml:space="preserve"> Pictorial representations</w:t>
      </w:r>
      <w:r>
        <w:rPr>
          <w:rFonts w:ascii="Times New Roman" w:hAnsi="Times New Roman"/>
          <w:b/>
          <w:bCs/>
          <w:sz w:val="24"/>
          <w:szCs w:val="24"/>
        </w:rPr>
        <w:t xml:space="preserve"> of high</w:t>
      </w:r>
      <w:r w:rsidR="00152E9D">
        <w:rPr>
          <w:rFonts w:ascii="Times New Roman" w:hAnsi="Times New Roman"/>
          <w:b/>
          <w:bCs/>
          <w:sz w:val="24"/>
          <w:szCs w:val="24"/>
        </w:rPr>
        <w:t xml:space="preserve"> yielding genotypes </w:t>
      </w:r>
    </w:p>
    <w:p w:rsidR="00830969" w:rsidRDefault="00830969" w:rsidP="00830969">
      <w:pPr>
        <w:spacing w:after="0" w:line="360" w:lineRule="auto"/>
        <w:ind w:right="52"/>
        <w:jc w:val="both"/>
        <w:rPr>
          <w:rFonts w:ascii="Times New Roman" w:eastAsiaTheme="minorEastAsia" w:hAnsi="Times New Roman" w:cs="Times New Roman"/>
          <w:b/>
          <w:sz w:val="28"/>
          <w:szCs w:val="28"/>
          <w:lang w:val="en-US" w:bidi="ar-SA"/>
        </w:rPr>
      </w:pPr>
      <w:r w:rsidRPr="00246F99">
        <w:rPr>
          <w:rFonts w:ascii="Times New Roman" w:eastAsiaTheme="minorEastAsia" w:hAnsi="Times New Roman" w:cs="Times New Roman"/>
          <w:b/>
          <w:sz w:val="28"/>
          <w:szCs w:val="28"/>
          <w:lang w:val="en-US" w:bidi="ar-SA"/>
        </w:rPr>
        <w:lastRenderedPageBreak/>
        <w:t>Discussion:</w:t>
      </w:r>
    </w:p>
    <w:p w:rsidR="00C82027" w:rsidRPr="00C82027" w:rsidRDefault="00C82027" w:rsidP="00C82027">
      <w:pPr>
        <w:spacing w:before="280" w:after="0" w:line="240" w:lineRule="auto"/>
        <w:jc w:val="both"/>
        <w:rPr>
          <w:rFonts w:ascii="Times New Roman" w:hAnsi="Times New Roman"/>
          <w:b/>
          <w:bCs/>
          <w:sz w:val="24"/>
          <w:szCs w:val="24"/>
        </w:rPr>
      </w:pPr>
      <w:r w:rsidRPr="00C82027">
        <w:rPr>
          <w:rFonts w:ascii="Times New Roman" w:hAnsi="Times New Roman"/>
          <w:b/>
          <w:bCs/>
          <w:sz w:val="24"/>
          <w:szCs w:val="24"/>
        </w:rPr>
        <w:t>Analysis of variance</w:t>
      </w:r>
    </w:p>
    <w:p w:rsidR="000108CD" w:rsidRDefault="000108CD" w:rsidP="000108CD">
      <w:pPr>
        <w:spacing w:before="280" w:after="0" w:line="360" w:lineRule="auto"/>
        <w:ind w:firstLine="720"/>
        <w:jc w:val="both"/>
        <w:rPr>
          <w:rFonts w:ascii="Times New Roman" w:hAnsi="Times New Roman"/>
          <w:sz w:val="24"/>
          <w:szCs w:val="24"/>
        </w:rPr>
      </w:pPr>
      <w:r>
        <w:rPr>
          <w:rFonts w:ascii="Times New Roman" w:hAnsi="Times New Roman"/>
          <w:sz w:val="24"/>
          <w:szCs w:val="24"/>
        </w:rPr>
        <w:t>The results revealed significant difference recorded for all the traits. These significant differences indicate substantial variation in the traits, highlighting the diverse genetic potential present among the genotypes. This variation is vital for breeding programs, as it provides a strong basis for selecting desirable traits and developing improved varieties. The existance of such variation enables breeders to target specific traits, ultimately leading to enhanced performance and productivity in future generations.</w:t>
      </w:r>
    </w:p>
    <w:p w:rsidR="000108CD" w:rsidRDefault="000108CD" w:rsidP="000108CD">
      <w:pPr>
        <w:spacing w:before="280" w:after="0" w:line="360" w:lineRule="auto"/>
        <w:ind w:firstLine="720"/>
        <w:jc w:val="both"/>
        <w:rPr>
          <w:rFonts w:ascii="Times New Roman" w:hAnsi="Times New Roman"/>
          <w:sz w:val="24"/>
          <w:szCs w:val="24"/>
        </w:rPr>
      </w:pPr>
      <w:r>
        <w:rPr>
          <w:rFonts w:ascii="Times New Roman" w:hAnsi="Times New Roman"/>
          <w:sz w:val="24"/>
          <w:szCs w:val="24"/>
        </w:rPr>
        <w:t>The results revealed significant difference recorded for all the traits. These significant differences indicate substantial variation in the traits, highlighting the diverse genetic potential present among the genotypes. This variation is vital for breeding programs, as it provides a strong basis for selecting desirable traits and developing improved varieties. The existance of such variation enables breeders to target specific traits, ultimately leading to enhanced performance and productivity in future generations.</w:t>
      </w:r>
    </w:p>
    <w:p w:rsidR="000108CD" w:rsidRDefault="000108CD" w:rsidP="000108CD">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analysis of variance (ANOVA) for various traits in ash gourd, and other related crops consistently revealed significant  differences among the genotypes. </w:t>
      </w:r>
      <w:r>
        <w:rPr>
          <w:rFonts w:ascii="Times New Roman" w:hAnsi="Times New Roman"/>
          <w:sz w:val="24"/>
          <w:szCs w:val="24"/>
          <w:lang w:val="nn-NO"/>
        </w:rPr>
        <w:t xml:space="preserve">Ram </w:t>
      </w:r>
      <w:r>
        <w:rPr>
          <w:rFonts w:ascii="Times New Roman" w:hAnsi="Times New Roman"/>
          <w:i/>
          <w:sz w:val="24"/>
          <w:szCs w:val="24"/>
          <w:lang w:val="nn-NO"/>
        </w:rPr>
        <w:t>et al</w:t>
      </w:r>
      <w:r>
        <w:rPr>
          <w:rFonts w:ascii="Times New Roman" w:hAnsi="Times New Roman"/>
          <w:sz w:val="24"/>
          <w:szCs w:val="24"/>
          <w:lang w:val="nn-NO"/>
        </w:rPr>
        <w:t xml:space="preserve">. (1999), Kumar </w:t>
      </w:r>
      <w:r>
        <w:rPr>
          <w:rFonts w:ascii="Times New Roman" w:hAnsi="Times New Roman"/>
          <w:i/>
          <w:sz w:val="24"/>
          <w:szCs w:val="24"/>
          <w:lang w:val="nn-NO"/>
        </w:rPr>
        <w:t>et al</w:t>
      </w:r>
      <w:r>
        <w:rPr>
          <w:rFonts w:ascii="Times New Roman" w:hAnsi="Times New Roman"/>
          <w:sz w:val="24"/>
          <w:szCs w:val="24"/>
          <w:lang w:val="nn-NO"/>
        </w:rPr>
        <w:t xml:space="preserve">. (2021), Radharani </w:t>
      </w:r>
      <w:r>
        <w:rPr>
          <w:rFonts w:ascii="Times New Roman" w:hAnsi="Times New Roman"/>
          <w:i/>
          <w:sz w:val="24"/>
          <w:szCs w:val="24"/>
          <w:lang w:val="nn-NO"/>
        </w:rPr>
        <w:t>et al</w:t>
      </w:r>
      <w:r>
        <w:rPr>
          <w:rFonts w:ascii="Times New Roman" w:hAnsi="Times New Roman"/>
          <w:sz w:val="24"/>
          <w:szCs w:val="24"/>
          <w:lang w:val="nn-NO"/>
        </w:rPr>
        <w:t xml:space="preserve">. (2013), and Singh </w:t>
      </w:r>
      <w:r>
        <w:rPr>
          <w:rFonts w:ascii="Times New Roman" w:hAnsi="Times New Roman"/>
          <w:i/>
          <w:sz w:val="24"/>
          <w:szCs w:val="24"/>
          <w:lang w:val="nn-NO"/>
        </w:rPr>
        <w:t>et al</w:t>
      </w:r>
      <w:r>
        <w:rPr>
          <w:rFonts w:ascii="Times New Roman" w:hAnsi="Times New Roman"/>
          <w:sz w:val="24"/>
          <w:szCs w:val="24"/>
          <w:lang w:val="nn-NO"/>
        </w:rPr>
        <w:t xml:space="preserve">. </w:t>
      </w:r>
      <w:r>
        <w:rPr>
          <w:rFonts w:ascii="Times New Roman" w:hAnsi="Times New Roman"/>
          <w:sz w:val="24"/>
          <w:szCs w:val="24"/>
        </w:rPr>
        <w:t>(2013) reported highly significant differences for traits such as flowering time, fruit size, and yield-related characteristics among different genotypes.</w:t>
      </w:r>
    </w:p>
    <w:p w:rsidR="000108CD" w:rsidRDefault="000108CD" w:rsidP="000108CD">
      <w:pPr>
        <w:spacing w:before="280" w:after="0" w:line="360" w:lineRule="auto"/>
        <w:ind w:firstLine="720"/>
        <w:jc w:val="both"/>
        <w:rPr>
          <w:rFonts w:ascii="Times New Roman" w:hAnsi="Times New Roman"/>
          <w:sz w:val="24"/>
          <w:szCs w:val="24"/>
        </w:rPr>
      </w:pPr>
      <w:r>
        <w:rPr>
          <w:rFonts w:ascii="Times New Roman" w:hAnsi="Times New Roman"/>
          <w:sz w:val="24"/>
          <w:szCs w:val="24"/>
        </w:rPr>
        <w:t>Similarly, the analysis by Dwivedi (2000) and Singh (2004) indicated substantial variability for a range of traits. These findings align with observations made by Venkatraman and Haripriya (2021), who emphasized the importance of evaluating genetic diversity to identify promising traits for breeding programs. The significant differences observed in the genotypes suggest that genetic diversity is present and could be harnessed for crop improvement.</w:t>
      </w:r>
    </w:p>
    <w:p w:rsidR="000108CD" w:rsidRDefault="000108CD"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Furthermore, Duhan </w:t>
      </w:r>
      <w:r>
        <w:rPr>
          <w:rFonts w:ascii="Times New Roman" w:hAnsi="Times New Roman"/>
          <w:i/>
          <w:sz w:val="24"/>
          <w:szCs w:val="24"/>
        </w:rPr>
        <w:t>et al</w:t>
      </w:r>
      <w:r>
        <w:rPr>
          <w:rFonts w:ascii="Times New Roman" w:hAnsi="Times New Roman"/>
          <w:sz w:val="24"/>
          <w:szCs w:val="24"/>
        </w:rPr>
        <w:t xml:space="preserve">. (2022) noted that the ANOVA for 37 bottle gourd genotypes revealed considerable genetic variability, offering an opportunity for effective selection in breeding. The ANOVA results from Rashid </w:t>
      </w:r>
      <w:r>
        <w:rPr>
          <w:rFonts w:ascii="Times New Roman" w:hAnsi="Times New Roman"/>
          <w:i/>
          <w:sz w:val="24"/>
          <w:szCs w:val="24"/>
        </w:rPr>
        <w:t>et al</w:t>
      </w:r>
      <w:r>
        <w:rPr>
          <w:rFonts w:ascii="Times New Roman" w:hAnsi="Times New Roman"/>
          <w:sz w:val="24"/>
          <w:szCs w:val="24"/>
        </w:rPr>
        <w:t xml:space="preserve">. (2020) also confirmed genetic variability for </w:t>
      </w:r>
      <w:r>
        <w:rPr>
          <w:rFonts w:ascii="Times New Roman" w:hAnsi="Times New Roman"/>
          <w:sz w:val="24"/>
          <w:szCs w:val="24"/>
        </w:rPr>
        <w:lastRenderedPageBreak/>
        <w:t>all traits, reinforcing the potential for improving key characteristics through careful selection. These findings provide a strong basis for the selection of superior genotypes for breeding programs.</w:t>
      </w:r>
    </w:p>
    <w:p w:rsidR="00C82027" w:rsidRPr="00C82027" w:rsidRDefault="00C82027" w:rsidP="00C82027">
      <w:pPr>
        <w:spacing w:before="280" w:after="0" w:line="360" w:lineRule="auto"/>
        <w:jc w:val="both"/>
        <w:rPr>
          <w:rFonts w:ascii="Times New Roman" w:hAnsi="Times New Roman"/>
          <w:sz w:val="24"/>
          <w:szCs w:val="24"/>
        </w:rPr>
      </w:pPr>
      <w:r w:rsidRPr="00C82027">
        <w:rPr>
          <w:rFonts w:ascii="Times New Roman" w:hAnsi="Times New Roman"/>
          <w:b/>
          <w:bCs/>
          <w:sz w:val="24"/>
          <w:szCs w:val="24"/>
        </w:rPr>
        <w:t>Mean performance</w:t>
      </w:r>
    </w:p>
    <w:p w:rsidR="00246F99" w:rsidRDefault="00B309BF" w:rsidP="00246F99">
      <w:pPr>
        <w:spacing w:before="280" w:after="0" w:line="360" w:lineRule="auto"/>
        <w:ind w:firstLine="720"/>
        <w:jc w:val="both"/>
        <w:rPr>
          <w:rFonts w:ascii="Times New Roman" w:hAnsi="Times New Roman"/>
          <w:sz w:val="24"/>
          <w:szCs w:val="24"/>
        </w:rPr>
      </w:pPr>
      <w:r>
        <w:rPr>
          <w:rFonts w:ascii="Times New Roman" w:eastAsia="Times New Roman" w:hAnsi="Times New Roman" w:cs="Times New Roman"/>
          <w:sz w:val="24"/>
          <w:szCs w:val="24"/>
          <w:lang w:val="en-US" w:bidi="ar-SA"/>
        </w:rPr>
        <w:t xml:space="preserve"> </w:t>
      </w:r>
      <w:r w:rsidR="00246F99">
        <w:rPr>
          <w:rFonts w:ascii="Times New Roman" w:hAnsi="Times New Roman"/>
          <w:sz w:val="24"/>
          <w:szCs w:val="24"/>
        </w:rPr>
        <w:t>The analysis of thirteen traits across 30 genotypes revealed considerable variation in performance, offering valuable insights for breeding programs. RP-1, KA-1, and KA-2 exhibited the longest vine lengths, suggesting robust growth, while KASHI UJWAL and IIHRAG-1 had the shortest vine lengths, making them suitable for compact planting in space-constrained environments. Genotypes like IIHRAG-3, and IC392313 showed the highest branching potential, which can contribute to increased fruit production. In contrast, KA-1, IIHRAG-4, and RP-3 showed the longest internodal lengths, promoting better airflow and reducing the risk of disease. Early flowering was observed in KA-4, IC613451 and IIHRAG-1, which could be advantageous for achieving early yields.</w:t>
      </w:r>
    </w:p>
    <w:p w:rsidR="00246F99" w:rsidRDefault="00246F99" w:rsidP="00246F99">
      <w:pPr>
        <w:spacing w:before="280" w:after="0" w:line="360" w:lineRule="auto"/>
        <w:ind w:firstLine="720"/>
        <w:jc w:val="both"/>
        <w:rPr>
          <w:rFonts w:ascii="Times New Roman" w:hAnsi="Times New Roman"/>
          <w:sz w:val="24"/>
          <w:szCs w:val="24"/>
        </w:rPr>
      </w:pPr>
      <w:r>
        <w:rPr>
          <w:rFonts w:ascii="Times New Roman" w:hAnsi="Times New Roman"/>
          <w:sz w:val="24"/>
          <w:szCs w:val="24"/>
        </w:rPr>
        <w:t>However, IIHRAG-3 and IC596993 exhibited delayed fruit harvest, which may be less desirable for early-season production. RP-1, Surbhi and RP-3 recorded the highest fruit yields, underscoring their superior productivity, while IC596988 and IC613451 and KA-3 yielded the least. Additionally, IIHRAG-4 and RP-3 and RP-1 demonstrated the largest fruit diameter. KA-4, IIHRAG-3 and RP-3 has highest average fruit weight. Surabhi, IIHRAG-1 and RP-2 has highest total soluble solids (TSS), indicating their strong commercial potential. These findings highlight the diversity in traits across the genotypes, providing valuable information for selecting candidates for further breeding and cultivation improvement.</w:t>
      </w:r>
    </w:p>
    <w:p w:rsidR="00246F99" w:rsidRDefault="00246F99" w:rsidP="00246F99">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mean performance of various genotypes in terms of traits such as average fruit weight, fruit length, flowering time, and yield-related characteristics highlighted specific genotypes that showed superior traits. For instance, Pusa Ujjwal was found to be superior to Sunabeda Local and Mahima in terms of Average fruit weight and length, which supports the findings of Thakur </w:t>
      </w:r>
      <w:r>
        <w:rPr>
          <w:rFonts w:ascii="Times New Roman" w:hAnsi="Times New Roman"/>
          <w:i/>
          <w:sz w:val="24"/>
          <w:szCs w:val="24"/>
        </w:rPr>
        <w:t>et al</w:t>
      </w:r>
      <w:r>
        <w:rPr>
          <w:rFonts w:ascii="Times New Roman" w:hAnsi="Times New Roman"/>
          <w:sz w:val="24"/>
          <w:szCs w:val="24"/>
        </w:rPr>
        <w:t xml:space="preserve">. (2017). In contrast, MAH-1 and Hiramandalam Local exhibited early flowering and harvesting, respectively, demonstrating their potential for early maturity (Ram </w:t>
      </w:r>
      <w:r>
        <w:rPr>
          <w:rFonts w:ascii="Times New Roman" w:hAnsi="Times New Roman"/>
          <w:i/>
          <w:sz w:val="24"/>
          <w:szCs w:val="24"/>
        </w:rPr>
        <w:t>et al</w:t>
      </w:r>
      <w:r>
        <w:rPr>
          <w:rFonts w:ascii="Times New Roman" w:hAnsi="Times New Roman"/>
          <w:sz w:val="24"/>
          <w:szCs w:val="24"/>
        </w:rPr>
        <w:t xml:space="preserve">., 2007). Other genotypes, such as Raygada Local and Kasi Surbhi, exhibited the best fruit </w:t>
      </w:r>
      <w:r>
        <w:rPr>
          <w:rFonts w:ascii="Times New Roman" w:hAnsi="Times New Roman"/>
          <w:sz w:val="24"/>
          <w:szCs w:val="24"/>
        </w:rPr>
        <w:lastRenderedPageBreak/>
        <w:t xml:space="preserve">productivity, underscoring the importance of assessing multiple traits to identify high-performing genotypes. The evaluation of fifteen ash gourd genotypes revealed significant variation, suggesting a potential for breeding improved varieties. The similar findings reported by Sharma </w:t>
      </w:r>
      <w:r>
        <w:rPr>
          <w:rFonts w:ascii="Times New Roman" w:hAnsi="Times New Roman"/>
          <w:i/>
          <w:sz w:val="24"/>
          <w:szCs w:val="24"/>
        </w:rPr>
        <w:t>et al</w:t>
      </w:r>
      <w:r>
        <w:rPr>
          <w:rFonts w:ascii="Times New Roman" w:hAnsi="Times New Roman"/>
          <w:sz w:val="24"/>
          <w:szCs w:val="24"/>
        </w:rPr>
        <w:t>. (2018) and Narayan (2011) further support the idea that genetic variation plays a crucial role in determining desirable traits in bottle gourd and related crops.</w:t>
      </w:r>
    </w:p>
    <w:p w:rsidR="00246F99" w:rsidRDefault="00246F99" w:rsidP="00246F99">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Overall, the findings underscore the importance of both genetic </w:t>
      </w:r>
      <w:r w:rsidR="00D224FA">
        <w:rPr>
          <w:rFonts w:ascii="Times New Roman" w:hAnsi="Times New Roman"/>
          <w:sz w:val="24"/>
          <w:szCs w:val="24"/>
        </w:rPr>
        <w:t xml:space="preserve">variability </w:t>
      </w:r>
      <w:r>
        <w:rPr>
          <w:rFonts w:ascii="Times New Roman" w:hAnsi="Times New Roman"/>
          <w:sz w:val="24"/>
          <w:szCs w:val="24"/>
        </w:rPr>
        <w:t xml:space="preserve">and mean performance evaluations in identifying promising genotypes for breeding programs, as evidenced by the works of Singh </w:t>
      </w:r>
      <w:r>
        <w:rPr>
          <w:rFonts w:ascii="Times New Roman" w:hAnsi="Times New Roman"/>
          <w:i/>
          <w:sz w:val="24"/>
          <w:szCs w:val="24"/>
        </w:rPr>
        <w:t>et al</w:t>
      </w:r>
      <w:r>
        <w:rPr>
          <w:rFonts w:ascii="Times New Roman" w:hAnsi="Times New Roman"/>
          <w:sz w:val="24"/>
          <w:szCs w:val="24"/>
        </w:rPr>
        <w:t xml:space="preserve">. (2000), Sundaram (2007), Behera </w:t>
      </w:r>
      <w:r>
        <w:rPr>
          <w:rFonts w:ascii="Times New Roman" w:hAnsi="Times New Roman"/>
          <w:i/>
          <w:sz w:val="24"/>
          <w:szCs w:val="24"/>
        </w:rPr>
        <w:t>et al</w:t>
      </w:r>
      <w:r>
        <w:rPr>
          <w:rFonts w:ascii="Times New Roman" w:hAnsi="Times New Roman"/>
          <w:sz w:val="24"/>
          <w:szCs w:val="24"/>
        </w:rPr>
        <w:t>. (2009), and others.</w:t>
      </w:r>
    </w:p>
    <w:p w:rsidR="00C82027" w:rsidRDefault="00C82027" w:rsidP="00C82027">
      <w:pPr>
        <w:spacing w:before="280" w:after="0" w:line="240" w:lineRule="auto"/>
        <w:jc w:val="both"/>
        <w:rPr>
          <w:rFonts w:ascii="Times New Roman" w:hAnsi="Times New Roman"/>
          <w:b/>
          <w:bCs/>
          <w:sz w:val="32"/>
          <w:szCs w:val="32"/>
        </w:rPr>
      </w:pPr>
      <w:r>
        <w:rPr>
          <w:rFonts w:ascii="Times New Roman" w:hAnsi="Times New Roman"/>
          <w:b/>
          <w:bCs/>
          <w:sz w:val="32"/>
          <w:szCs w:val="32"/>
        </w:rPr>
        <w:t>Genetic variability</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The analysis of phenotypic and  genotypic coefficients of variation (PCV and GCV) revealed significant genetic diversity across various traits. The highest variability was observed for yield per plant, vine length, Number of primary branches per plant, and number of seeds per fruit, suggesting strong genetic influence and potential for selection in breeding programs. Moderate variability was found for flowering traits such as days to first male and female flowering and days to 50% flowering, indicating a moderate degree of genetic control. Traits like total soluble solids and days to first fruit harvest showed low variability, suggesting these traits are more stable and less influenced by genetic factors. These findings highlight the importance of focusing on highly variable traits for enhancing productivity and desirable characteristics in breeding efforts.</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findings of this study are consistent with previous research on genetic variability in bottle gourd and ash gourd genotypes, highlighting the significant potential for improvement in these crops through selective breeding. Dewan </w:t>
      </w:r>
      <w:r>
        <w:rPr>
          <w:rFonts w:ascii="Times New Roman" w:hAnsi="Times New Roman"/>
          <w:i/>
          <w:sz w:val="24"/>
          <w:szCs w:val="24"/>
        </w:rPr>
        <w:t>et al</w:t>
      </w:r>
      <w:r>
        <w:rPr>
          <w:rFonts w:ascii="Times New Roman" w:hAnsi="Times New Roman"/>
          <w:sz w:val="24"/>
          <w:szCs w:val="24"/>
        </w:rPr>
        <w:t xml:space="preserve">. (2013) observed substantial variability among 46 ash gourd genotypes for key traits such as vine length, fruit size, sex ratio, number of fruits per plant, and yield per plant. Certain genotypes showed better performance in traits like fruit weight and number of fruits, suggesting that these genotypes possess desirable genetic potential. This aligns with the observations of Damor </w:t>
      </w:r>
      <w:r>
        <w:rPr>
          <w:rFonts w:ascii="Times New Roman" w:hAnsi="Times New Roman"/>
          <w:i/>
          <w:sz w:val="24"/>
          <w:szCs w:val="24"/>
        </w:rPr>
        <w:t>et al</w:t>
      </w:r>
      <w:r>
        <w:rPr>
          <w:rFonts w:ascii="Times New Roman" w:hAnsi="Times New Roman"/>
          <w:sz w:val="24"/>
          <w:szCs w:val="24"/>
        </w:rPr>
        <w:t>. (2016) and Panigrahi and Duhan (2018), who also found notable variability in similar traits. These studies reinforce the notion that genetic diversity is widespread across ash gourd genotypes, offering significant opportunities for selection and breeding.</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lastRenderedPageBreak/>
        <w:t xml:space="preserve">Similarly, Kichenaradjou &amp; Shakila (2017) observed high genetic variability  for traits like node number of the first male flower, single fruit weight, and yield per vine, while moderate variability was found for the node number of the first female flower. This moderate variability suggests that certain traits may be less influenced by genetic factors, thereby offering fewer opportunities for improvement through selection. These findings align with those of Rashid </w:t>
      </w:r>
      <w:r>
        <w:rPr>
          <w:rFonts w:ascii="Times New Roman" w:hAnsi="Times New Roman"/>
          <w:i/>
          <w:sz w:val="24"/>
          <w:szCs w:val="24"/>
        </w:rPr>
        <w:t>et al</w:t>
      </w:r>
      <w:r>
        <w:rPr>
          <w:rFonts w:ascii="Times New Roman" w:hAnsi="Times New Roman"/>
          <w:sz w:val="24"/>
          <w:szCs w:val="24"/>
        </w:rPr>
        <w:t>. (2020), who noted considerable variability for traits like fruit diameter, total chlorophyll, and fruit length. High values of both PCV and GCV for these traits suggest significant genetic potential, making them suitable for selection in breeding programs.</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Dubey </w:t>
      </w:r>
      <w:r>
        <w:rPr>
          <w:rFonts w:ascii="Times New Roman" w:hAnsi="Times New Roman"/>
          <w:i/>
          <w:sz w:val="24"/>
          <w:szCs w:val="24"/>
        </w:rPr>
        <w:t>et al</w:t>
      </w:r>
      <w:r>
        <w:rPr>
          <w:rFonts w:ascii="Times New Roman" w:hAnsi="Times New Roman"/>
          <w:sz w:val="24"/>
          <w:szCs w:val="24"/>
        </w:rPr>
        <w:t xml:space="preserve">. (2022) similarly reported high variation for traits like the number of fruits per plant and fruit yield per plant, which could be leveraged for breeding. Traits such as node number to first pistillate flowers and days to first fruit harvest showed less variation, indicating that these traits are more stable and influenced less by environmental factors. The results are consistent with those of Devi and Maurya </w:t>
      </w:r>
      <w:r>
        <w:rPr>
          <w:rFonts w:ascii="Times New Roman" w:hAnsi="Times New Roman"/>
          <w:i/>
          <w:sz w:val="24"/>
          <w:szCs w:val="24"/>
        </w:rPr>
        <w:t>et al</w:t>
      </w:r>
      <w:r>
        <w:rPr>
          <w:rFonts w:ascii="Times New Roman" w:hAnsi="Times New Roman"/>
          <w:sz w:val="24"/>
          <w:szCs w:val="24"/>
        </w:rPr>
        <w:t xml:space="preserve">. (2018), and Kumar </w:t>
      </w:r>
      <w:r>
        <w:rPr>
          <w:rFonts w:ascii="Times New Roman" w:hAnsi="Times New Roman"/>
          <w:i/>
          <w:sz w:val="24"/>
          <w:szCs w:val="24"/>
        </w:rPr>
        <w:t>et al</w:t>
      </w:r>
      <w:r>
        <w:rPr>
          <w:rFonts w:ascii="Times New Roman" w:hAnsi="Times New Roman"/>
          <w:sz w:val="24"/>
          <w:szCs w:val="24"/>
        </w:rPr>
        <w:t>. (2021) in bitter gourd, where similar high variability for fruit weight and number of fruits per vine was noted. Such results underline the potential for selecting high-yielding genotypes based on these traits.</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Several studies (Chandramouli </w:t>
      </w:r>
      <w:r>
        <w:rPr>
          <w:rFonts w:ascii="Times New Roman" w:hAnsi="Times New Roman"/>
          <w:i/>
          <w:sz w:val="24"/>
          <w:szCs w:val="24"/>
        </w:rPr>
        <w:t>et al</w:t>
      </w:r>
      <w:r>
        <w:rPr>
          <w:rFonts w:ascii="Times New Roman" w:hAnsi="Times New Roman"/>
          <w:sz w:val="24"/>
          <w:szCs w:val="24"/>
        </w:rPr>
        <w:t xml:space="preserve">., 2021; Sultana </w:t>
      </w:r>
      <w:r>
        <w:rPr>
          <w:rFonts w:ascii="Times New Roman" w:hAnsi="Times New Roman"/>
          <w:i/>
          <w:sz w:val="24"/>
          <w:szCs w:val="24"/>
        </w:rPr>
        <w:t>et al</w:t>
      </w:r>
      <w:r>
        <w:rPr>
          <w:rFonts w:ascii="Times New Roman" w:hAnsi="Times New Roman"/>
          <w:sz w:val="24"/>
          <w:szCs w:val="24"/>
        </w:rPr>
        <w:t>., 2018) reported similar findings for bottle gourd, particularly for the number  of fruits per vine, where high genetic variability was observed. Venkatraman and Haripriya (2021) found high PCV and GCV values for traits like sex ratio in bottle gourd, indicating substantial genetic variability, whereas traits like vine length and Number of primary branches per plant showed moderate variability, suggesting that environmental influences are more pronounced for these traits. These findings emphasize the importance of considering both genetic and environmental factors when selecting for improved traits.</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Further supporting the potential for selection, Singh </w:t>
      </w:r>
      <w:r>
        <w:rPr>
          <w:rFonts w:ascii="Times New Roman" w:hAnsi="Times New Roman"/>
          <w:i/>
          <w:sz w:val="24"/>
          <w:szCs w:val="24"/>
        </w:rPr>
        <w:t>et al</w:t>
      </w:r>
      <w:r>
        <w:rPr>
          <w:rFonts w:ascii="Times New Roman" w:hAnsi="Times New Roman"/>
          <w:sz w:val="24"/>
          <w:szCs w:val="24"/>
        </w:rPr>
        <w:t>. (2021) found significant genetic variability for traits such as vine length, number  of leaves, fruit length, fruit girth, and yield per hectare in bottle gourd. These traits exhibited high PCV and GCV, suggesting that they are strongly influenced by genetic factors and offer a good opportunity for improvement through selective breeding.</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lastRenderedPageBreak/>
        <w:t xml:space="preserve">Similarly, Ashwini </w:t>
      </w:r>
      <w:r>
        <w:rPr>
          <w:rFonts w:ascii="Times New Roman" w:hAnsi="Times New Roman"/>
          <w:i/>
          <w:sz w:val="24"/>
          <w:szCs w:val="24"/>
        </w:rPr>
        <w:t>et al</w:t>
      </w:r>
      <w:r>
        <w:rPr>
          <w:rFonts w:ascii="Times New Roman" w:hAnsi="Times New Roman"/>
          <w:sz w:val="24"/>
          <w:szCs w:val="24"/>
        </w:rPr>
        <w:t xml:space="preserve">. (2023) observed considerable genetic variability in traits such as seediness, fruit diameter, average fruit weight, and yield per plant in ash gourd, reinforcing the idea that these traits are suitable for selection. The studies by Venkatraman </w:t>
      </w:r>
      <w:r>
        <w:rPr>
          <w:rFonts w:ascii="Times New Roman" w:hAnsi="Times New Roman"/>
          <w:i/>
          <w:sz w:val="24"/>
          <w:szCs w:val="24"/>
        </w:rPr>
        <w:t>et al</w:t>
      </w:r>
      <w:r>
        <w:rPr>
          <w:rFonts w:ascii="Times New Roman" w:hAnsi="Times New Roman"/>
          <w:sz w:val="24"/>
          <w:szCs w:val="24"/>
        </w:rPr>
        <w:t xml:space="preserve">. (2024) and Bashir </w:t>
      </w:r>
      <w:r>
        <w:rPr>
          <w:rFonts w:ascii="Times New Roman" w:hAnsi="Times New Roman"/>
          <w:i/>
          <w:sz w:val="24"/>
          <w:szCs w:val="24"/>
        </w:rPr>
        <w:t>et al</w:t>
      </w:r>
      <w:r>
        <w:rPr>
          <w:rFonts w:ascii="Times New Roman" w:hAnsi="Times New Roman"/>
          <w:sz w:val="24"/>
          <w:szCs w:val="24"/>
        </w:rPr>
        <w:t xml:space="preserve">. (2024) also showed high PCV and GCV values for traits like fruit weight, fruit length, and number of fruits per vine in bottle gourd. These findings suggest that effective breeding programs can be developed to improve these traits based on the substantial genetic variability present in the genotypes. Moreover, Duhan </w:t>
      </w:r>
      <w:r>
        <w:rPr>
          <w:rFonts w:ascii="Times New Roman" w:hAnsi="Times New Roman"/>
          <w:i/>
          <w:sz w:val="24"/>
          <w:szCs w:val="24"/>
        </w:rPr>
        <w:t>et al</w:t>
      </w:r>
      <w:r>
        <w:rPr>
          <w:rFonts w:ascii="Times New Roman" w:hAnsi="Times New Roman"/>
          <w:sz w:val="24"/>
          <w:szCs w:val="24"/>
        </w:rPr>
        <w:t>. (2022) found that vine length exhibited the highest GCV and PCV, indicating substantial variability that could be effectively utilized for breeding efforts aimed at improving vine length and other related traits.</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The significant genetic variability observed for various traits in both bottle gourd and ash gourd provides a solid foundation for future breeding programs. The presence of high phenotypic and genotypic coefficients of variation in several traits suggests that these crops hold considerable potential for improvement. By carefully selecting genotypes with desirable traits, breeders can develop improved varieties with higher yield, better fruit quality, and other beneficial characteristics.</w:t>
      </w:r>
    </w:p>
    <w:p w:rsidR="00C82027" w:rsidRDefault="00C82027" w:rsidP="00C82027">
      <w:pPr>
        <w:spacing w:before="280" w:after="0" w:line="240" w:lineRule="auto"/>
        <w:jc w:val="both"/>
        <w:rPr>
          <w:rFonts w:ascii="Times New Roman" w:hAnsi="Times New Roman"/>
          <w:b/>
          <w:bCs/>
          <w:sz w:val="32"/>
          <w:szCs w:val="32"/>
        </w:rPr>
      </w:pPr>
      <w:r>
        <w:rPr>
          <w:rFonts w:ascii="Times New Roman" w:hAnsi="Times New Roman"/>
          <w:b/>
          <w:bCs/>
          <w:sz w:val="32"/>
          <w:szCs w:val="32"/>
        </w:rPr>
        <w:t>Genetic heritability and genetic advance</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The analysis of heritability, genetic advance, and genetic advance  as a percent of the mean revealed significant genetic potential for several traits. Traits such as vine length, number of seeds per fruit, and Number of primary branches per plant exhibited high heritability and genetic advance, indicating they are highly impacted by genetic factors and have considerable potential for improvement through selection. Moderate heritability was observed for traits like days to first male flower appearance, total soluble solids, and days to first fruit harvest, suggesting that while these traits can be improved through selection, environmental factors may play a more significant role. Conversely, traits such as total soluble solids and days to first fruit harvest showed limited genetic advance, indicating a lower potential for improvement through selection. These findings emphasize the focus on traits with high heritability and genetic advance for effective breeding strategies.</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Similarly, Dubey </w:t>
      </w:r>
      <w:r>
        <w:rPr>
          <w:rFonts w:ascii="Times New Roman" w:hAnsi="Times New Roman"/>
          <w:i/>
          <w:sz w:val="24"/>
          <w:szCs w:val="24"/>
        </w:rPr>
        <w:t>et al</w:t>
      </w:r>
      <w:r>
        <w:rPr>
          <w:rFonts w:ascii="Times New Roman" w:hAnsi="Times New Roman"/>
          <w:sz w:val="24"/>
          <w:szCs w:val="24"/>
        </w:rPr>
        <w:t xml:space="preserve">. (2022) found high heritability and genetic advance for traits such as fruit yield per plant, average fruit weight, number of fruits per plant, node number to first </w:t>
      </w:r>
      <w:r>
        <w:rPr>
          <w:rFonts w:ascii="Times New Roman" w:hAnsi="Times New Roman"/>
          <w:sz w:val="24"/>
          <w:szCs w:val="24"/>
        </w:rPr>
        <w:lastRenderedPageBreak/>
        <w:t>pistillate flower, node number to first staminate flowers, and vine length, reinforcing the conclusion that these traits are primarily governed by genetic factors, which enhances their responsiveness to selection.</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These findings align with Vaidya </w:t>
      </w:r>
      <w:r>
        <w:rPr>
          <w:rFonts w:ascii="Times New Roman" w:hAnsi="Times New Roman"/>
          <w:i/>
          <w:sz w:val="24"/>
          <w:szCs w:val="24"/>
        </w:rPr>
        <w:t>et al</w:t>
      </w:r>
      <w:r>
        <w:rPr>
          <w:rFonts w:ascii="Times New Roman" w:hAnsi="Times New Roman"/>
          <w:sz w:val="24"/>
          <w:szCs w:val="24"/>
        </w:rPr>
        <w:t xml:space="preserve">. (2016) and Damor </w:t>
      </w:r>
      <w:r>
        <w:rPr>
          <w:rFonts w:ascii="Times New Roman" w:hAnsi="Times New Roman"/>
          <w:i/>
          <w:sz w:val="24"/>
          <w:szCs w:val="24"/>
        </w:rPr>
        <w:t>et al</w:t>
      </w:r>
      <w:r>
        <w:rPr>
          <w:rFonts w:ascii="Times New Roman" w:hAnsi="Times New Roman"/>
          <w:sz w:val="24"/>
          <w:szCs w:val="24"/>
        </w:rPr>
        <w:t xml:space="preserve">. (2016), who reported high heritability and genetic advance in bottle gourd, emphasizing that such traits are likely to respond positively to selection due to additive gene effects. This pattern of high heritability is consistent across different crops, including sweet gourd (Sanwal </w:t>
      </w:r>
      <w:r>
        <w:rPr>
          <w:rFonts w:ascii="Times New Roman" w:hAnsi="Times New Roman"/>
          <w:i/>
          <w:sz w:val="24"/>
          <w:szCs w:val="24"/>
        </w:rPr>
        <w:t>et al</w:t>
      </w:r>
      <w:r>
        <w:rPr>
          <w:rFonts w:ascii="Times New Roman" w:hAnsi="Times New Roman"/>
          <w:sz w:val="24"/>
          <w:szCs w:val="24"/>
        </w:rPr>
        <w:t xml:space="preserve">., 2007), bitter gourd (Kumar </w:t>
      </w:r>
      <w:r>
        <w:rPr>
          <w:rFonts w:ascii="Times New Roman" w:hAnsi="Times New Roman"/>
          <w:i/>
          <w:sz w:val="24"/>
          <w:szCs w:val="24"/>
        </w:rPr>
        <w:t>et al</w:t>
      </w:r>
      <w:r>
        <w:rPr>
          <w:rFonts w:ascii="Times New Roman" w:hAnsi="Times New Roman"/>
          <w:sz w:val="24"/>
          <w:szCs w:val="24"/>
        </w:rPr>
        <w:t xml:space="preserve">., 2021), cucumber (Hanchinamani </w:t>
      </w:r>
      <w:r>
        <w:rPr>
          <w:rFonts w:ascii="Times New Roman" w:hAnsi="Times New Roman"/>
          <w:i/>
          <w:sz w:val="24"/>
          <w:szCs w:val="24"/>
        </w:rPr>
        <w:t>et al</w:t>
      </w:r>
      <w:r>
        <w:rPr>
          <w:rFonts w:ascii="Times New Roman" w:hAnsi="Times New Roman"/>
          <w:sz w:val="24"/>
          <w:szCs w:val="24"/>
        </w:rPr>
        <w:t xml:space="preserve">., 2011), and kakri (Samadia, 2011; Jat </w:t>
      </w:r>
      <w:r>
        <w:rPr>
          <w:rFonts w:ascii="Times New Roman" w:hAnsi="Times New Roman"/>
          <w:i/>
          <w:sz w:val="24"/>
          <w:szCs w:val="24"/>
        </w:rPr>
        <w:t>et al</w:t>
      </w:r>
      <w:r>
        <w:rPr>
          <w:rFonts w:ascii="Times New Roman" w:hAnsi="Times New Roman"/>
          <w:sz w:val="24"/>
          <w:szCs w:val="24"/>
        </w:rPr>
        <w:t>., 2014), where high heritability combined with high genetic advance suggested that selection based on these traits would be highly effective. Therefore, these results validate the idea that traits like fruit yield, fruit weight, and vine length are primarily controlled by genetic factors, further supporting their selection in breeding programs aimed at improving these traits.</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Kichenaradjou &amp; Shakila (2017) reported in the context of ash gourd, high heritability for traits such as seediness, fruit diameter, and fruit length, combined with high genetic advance, which also indicated strong genetic control over these traits. The high heritability value for seediness (99.52%) particularly suggests that this trait is genetically influenced to a large extent, making it an excellent target for selection in breeding programs (Ashwini </w:t>
      </w:r>
      <w:r>
        <w:rPr>
          <w:rFonts w:ascii="Times New Roman" w:hAnsi="Times New Roman"/>
          <w:i/>
          <w:sz w:val="24"/>
          <w:szCs w:val="24"/>
        </w:rPr>
        <w:t>et al</w:t>
      </w:r>
      <w:r>
        <w:rPr>
          <w:rFonts w:ascii="Times New Roman" w:hAnsi="Times New Roman"/>
          <w:sz w:val="24"/>
          <w:szCs w:val="24"/>
        </w:rPr>
        <w:t>., 2023).</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These conclusions are consistent with the work of Varalakshmi </w:t>
      </w:r>
      <w:r>
        <w:rPr>
          <w:rFonts w:ascii="Times New Roman" w:hAnsi="Times New Roman"/>
          <w:i/>
          <w:sz w:val="24"/>
          <w:szCs w:val="24"/>
        </w:rPr>
        <w:t>et al</w:t>
      </w:r>
      <w:r>
        <w:rPr>
          <w:rFonts w:ascii="Times New Roman" w:hAnsi="Times New Roman"/>
          <w:sz w:val="24"/>
          <w:szCs w:val="24"/>
        </w:rPr>
        <w:t xml:space="preserve">. (2018) and Shah </w:t>
      </w:r>
      <w:r>
        <w:rPr>
          <w:rFonts w:ascii="Times New Roman" w:hAnsi="Times New Roman"/>
          <w:i/>
          <w:sz w:val="24"/>
          <w:szCs w:val="24"/>
        </w:rPr>
        <w:t>et al</w:t>
      </w:r>
      <w:r>
        <w:rPr>
          <w:rFonts w:ascii="Times New Roman" w:hAnsi="Times New Roman"/>
          <w:sz w:val="24"/>
          <w:szCs w:val="24"/>
        </w:rPr>
        <w:t xml:space="preserve">. (2018) in bottle gourd, as well as Ingole </w:t>
      </w:r>
      <w:r>
        <w:rPr>
          <w:rFonts w:ascii="Times New Roman" w:hAnsi="Times New Roman"/>
          <w:i/>
          <w:sz w:val="24"/>
          <w:szCs w:val="24"/>
        </w:rPr>
        <w:t>et al</w:t>
      </w:r>
      <w:r>
        <w:rPr>
          <w:rFonts w:ascii="Times New Roman" w:hAnsi="Times New Roman"/>
          <w:sz w:val="24"/>
          <w:szCs w:val="24"/>
        </w:rPr>
        <w:t xml:space="preserve">. (2021) in ash gourd, who observed high heritability with medium genetic advance for traits like fruit length, fruit width, and fruit cavity. </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Moderate heritability with high genetic advance was observed for traits such as sex ratio and the number of fruits per vine, suggesting that these traits are also governed by additive gene action. This was supported by findings from Shahoo</w:t>
      </w:r>
      <w:r w:rsidR="00D90E48">
        <w:rPr>
          <w:rFonts w:ascii="Times New Roman" w:hAnsi="Times New Roman"/>
          <w:sz w:val="24"/>
          <w:szCs w:val="24"/>
        </w:rPr>
        <w:t xml:space="preserve"> </w:t>
      </w:r>
      <w:r w:rsidR="00D90E48">
        <w:rPr>
          <w:rFonts w:ascii="Times New Roman" w:hAnsi="Times New Roman"/>
          <w:i/>
          <w:sz w:val="24"/>
          <w:szCs w:val="24"/>
        </w:rPr>
        <w:t>et al</w:t>
      </w:r>
      <w:r w:rsidR="00D90E48">
        <w:rPr>
          <w:rFonts w:ascii="Times New Roman" w:hAnsi="Times New Roman"/>
          <w:sz w:val="24"/>
          <w:szCs w:val="24"/>
        </w:rPr>
        <w:t>. (2015</w:t>
      </w:r>
      <w:r>
        <w:rPr>
          <w:rFonts w:ascii="Times New Roman" w:hAnsi="Times New Roman"/>
          <w:sz w:val="24"/>
          <w:szCs w:val="24"/>
        </w:rPr>
        <w:t xml:space="preserve">) in cucumber and Chandramouli </w:t>
      </w:r>
      <w:r>
        <w:rPr>
          <w:rFonts w:ascii="Times New Roman" w:hAnsi="Times New Roman"/>
          <w:i/>
          <w:sz w:val="24"/>
          <w:szCs w:val="24"/>
        </w:rPr>
        <w:t>et al</w:t>
      </w:r>
      <w:r>
        <w:rPr>
          <w:rFonts w:ascii="Times New Roman" w:hAnsi="Times New Roman"/>
          <w:sz w:val="24"/>
          <w:szCs w:val="24"/>
        </w:rPr>
        <w:t xml:space="preserve">. (2021) in bottle gourd, who noted similar patterns for these traits. Moreover, traits like fruit thickness, fruit weight, and fruit yield per vine, which exhibited moderate heritability and medium genetic advance, as reported by Maurya </w:t>
      </w:r>
      <w:r>
        <w:rPr>
          <w:rFonts w:ascii="Times New Roman" w:hAnsi="Times New Roman"/>
          <w:i/>
          <w:sz w:val="24"/>
          <w:szCs w:val="24"/>
        </w:rPr>
        <w:t>et al</w:t>
      </w:r>
      <w:r>
        <w:rPr>
          <w:rFonts w:ascii="Times New Roman" w:hAnsi="Times New Roman"/>
          <w:sz w:val="24"/>
          <w:szCs w:val="24"/>
        </w:rPr>
        <w:t xml:space="preserve">. (2018) and Kanthasamy </w:t>
      </w:r>
      <w:r>
        <w:rPr>
          <w:rFonts w:ascii="Times New Roman" w:hAnsi="Times New Roman"/>
          <w:i/>
          <w:sz w:val="24"/>
          <w:szCs w:val="24"/>
        </w:rPr>
        <w:t>et al</w:t>
      </w:r>
      <w:r>
        <w:rPr>
          <w:rFonts w:ascii="Times New Roman" w:hAnsi="Times New Roman"/>
          <w:sz w:val="24"/>
          <w:szCs w:val="24"/>
        </w:rPr>
        <w:t>. (2019) in bottle gourd, further confirm that even though these traits are influenced by environmental factors, they are still amenable to genetic improvement through selection.</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lastRenderedPageBreak/>
        <w:t xml:space="preserve">The consistency of high heritability combined with high genetic advance across various studies emphasizes the importance of genetic control in traits like fruit length, fruit diameter, total sugars, and dry matter content, which are predominantly controlled by genetic factors. Rashid </w:t>
      </w:r>
      <w:r>
        <w:rPr>
          <w:rFonts w:ascii="Times New Roman" w:hAnsi="Times New Roman"/>
          <w:i/>
          <w:sz w:val="24"/>
          <w:szCs w:val="24"/>
        </w:rPr>
        <w:t>et al</w:t>
      </w:r>
      <w:r>
        <w:rPr>
          <w:rFonts w:ascii="Times New Roman" w:hAnsi="Times New Roman"/>
          <w:sz w:val="24"/>
          <w:szCs w:val="24"/>
        </w:rPr>
        <w:t xml:space="preserve">. (2020) found similar trends, further validating that trait like vine length, fruit length, fruit width, primary branches, and fruits per vine are controlled by additive gene effects and should be prioritized for genetic improvement. </w:t>
      </w:r>
    </w:p>
    <w:p w:rsidR="00C82027" w:rsidRDefault="00C82027" w:rsidP="00C82027">
      <w:pPr>
        <w:spacing w:before="280" w:after="0" w:line="360" w:lineRule="auto"/>
        <w:ind w:firstLine="720"/>
        <w:jc w:val="both"/>
        <w:rPr>
          <w:rFonts w:ascii="Times New Roman" w:hAnsi="Times New Roman"/>
          <w:sz w:val="24"/>
          <w:szCs w:val="24"/>
        </w:rPr>
      </w:pPr>
      <w:r>
        <w:rPr>
          <w:rFonts w:ascii="Times New Roman" w:hAnsi="Times New Roman"/>
          <w:sz w:val="24"/>
          <w:szCs w:val="24"/>
        </w:rPr>
        <w:t>The outcome of this study provide strong evidence that high heritability and genetic advance are present in several key traits, making them ideal candidates for selection in breeding programs aimed at improving gourd species. Traits such as fruit yield, fruit weight, vine length, and number of fruits per vine, controlled by additive gene action, offer significant potential for genetic improvement through targeted selection. These findings are consistent across multiple studies and species, reinforcing the potential of these traits for enhancing crop performance in breeding programs.</w:t>
      </w:r>
    </w:p>
    <w:p w:rsidR="00A83432" w:rsidRDefault="00A83432" w:rsidP="00A83432">
      <w:pPr>
        <w:spacing w:before="280" w:after="0" w:line="240" w:lineRule="auto"/>
        <w:jc w:val="both"/>
        <w:rPr>
          <w:rFonts w:ascii="Times New Roman" w:hAnsi="Times New Roman"/>
          <w:b/>
          <w:bCs/>
          <w:sz w:val="32"/>
          <w:szCs w:val="32"/>
        </w:rPr>
      </w:pPr>
      <w:r>
        <w:rPr>
          <w:rFonts w:ascii="Times New Roman" w:hAnsi="Times New Roman"/>
          <w:b/>
          <w:bCs/>
          <w:sz w:val="32"/>
          <w:szCs w:val="32"/>
        </w:rPr>
        <w:t>CONCLUSION</w:t>
      </w:r>
    </w:p>
    <w:p w:rsidR="00A83432" w:rsidRDefault="00A83432" w:rsidP="00A83432">
      <w:pPr>
        <w:spacing w:before="280" w:after="0" w:line="360" w:lineRule="auto"/>
        <w:ind w:firstLine="720"/>
        <w:jc w:val="both"/>
      </w:pPr>
      <w:r>
        <w:rPr>
          <w:rFonts w:ascii="Times New Roman" w:hAnsi="Times New Roman"/>
          <w:sz w:val="24"/>
          <w:szCs w:val="24"/>
        </w:rPr>
        <w:t>This study offers significant insights into the genetic variability present across the genotypes. The analysis of variance revealed considerable genetic variation for traits such as vine length, number of primary branches per plant, internodal length, and yield components,</w:t>
      </w:r>
      <w:r w:rsidRPr="00A83432">
        <w:rPr>
          <w:rFonts w:ascii="Times New Roman" w:hAnsi="Times New Roman"/>
          <w:sz w:val="24"/>
          <w:szCs w:val="24"/>
        </w:rPr>
        <w:t xml:space="preserve"> </w:t>
      </w:r>
      <w:r w:rsidR="00D224FA">
        <w:rPr>
          <w:rFonts w:ascii="Times New Roman" w:hAnsi="Times New Roman"/>
          <w:sz w:val="24"/>
          <w:szCs w:val="24"/>
        </w:rPr>
        <w:t xml:space="preserve">The </w:t>
      </w:r>
      <w:r>
        <w:rPr>
          <w:rFonts w:ascii="Times New Roman" w:hAnsi="Times New Roman"/>
          <w:sz w:val="24"/>
          <w:szCs w:val="24"/>
        </w:rPr>
        <w:t xml:space="preserve">genetic </w:t>
      </w:r>
      <w:r w:rsidR="00D224FA">
        <w:rPr>
          <w:rFonts w:ascii="Times New Roman" w:hAnsi="Times New Roman"/>
          <w:sz w:val="24"/>
          <w:szCs w:val="24"/>
        </w:rPr>
        <w:t>variability</w:t>
      </w:r>
      <w:r>
        <w:rPr>
          <w:rFonts w:ascii="Times New Roman" w:hAnsi="Times New Roman"/>
          <w:sz w:val="24"/>
          <w:szCs w:val="24"/>
        </w:rPr>
        <w:t xml:space="preserve"> provides a solid foundation for advancing breeding programs aimed at developing high-yielding, high-quality ash gourd varieties.</w:t>
      </w:r>
      <w:r>
        <w:t xml:space="preserve"> </w:t>
      </w:r>
    </w:p>
    <w:p w:rsidR="00A83432" w:rsidRDefault="00A83432" w:rsidP="00A83432">
      <w:pPr>
        <w:spacing w:before="280" w:after="0" w:line="360" w:lineRule="auto"/>
        <w:ind w:firstLine="720"/>
        <w:jc w:val="both"/>
        <w:rPr>
          <w:rFonts w:ascii="Times New Roman" w:hAnsi="Times New Roman"/>
          <w:sz w:val="24"/>
          <w:szCs w:val="24"/>
        </w:rPr>
      </w:pPr>
    </w:p>
    <w:p w:rsidR="00E30F57" w:rsidRDefault="00E30F57" w:rsidP="00246F99">
      <w:pPr>
        <w:spacing w:before="280" w:after="0" w:line="360" w:lineRule="auto"/>
        <w:ind w:firstLine="720"/>
        <w:jc w:val="both"/>
        <w:rPr>
          <w:rFonts w:ascii="Times New Roman" w:hAnsi="Times New Roman"/>
          <w:sz w:val="24"/>
          <w:szCs w:val="24"/>
        </w:rPr>
      </w:pPr>
    </w:p>
    <w:p w:rsidR="00E30F57" w:rsidRPr="00E30F57" w:rsidRDefault="00E30F57" w:rsidP="00E30F57">
      <w:pPr>
        <w:rPr>
          <w:rFonts w:ascii="Calibri" w:eastAsia="Calibri" w:hAnsi="Calibri" w:cs="Times New Roman"/>
          <w:kern w:val="2"/>
          <w:szCs w:val="22"/>
          <w:highlight w:val="yellow"/>
          <w:lang w:val="en-US" w:bidi="ar-SA"/>
        </w:rPr>
      </w:pPr>
      <w:r w:rsidRPr="00E30F57">
        <w:rPr>
          <w:rFonts w:ascii="Calibri" w:eastAsia="Calibri" w:hAnsi="Calibri" w:cs="Times New Roman"/>
          <w:kern w:val="2"/>
          <w:szCs w:val="22"/>
          <w:highlight w:val="yellow"/>
          <w:lang w:val="en-US" w:bidi="ar-SA"/>
        </w:rPr>
        <w:t>Disclaimer (Artificial intelligence)</w:t>
      </w:r>
    </w:p>
    <w:p w:rsidR="00E30F57" w:rsidRPr="00E30F57" w:rsidRDefault="00E30F57" w:rsidP="00E30F57">
      <w:pPr>
        <w:rPr>
          <w:rFonts w:ascii="Calibri" w:eastAsia="Calibri" w:hAnsi="Calibri" w:cs="Times New Roman"/>
          <w:kern w:val="2"/>
          <w:szCs w:val="22"/>
          <w:highlight w:val="yellow"/>
          <w:lang w:val="en-US" w:bidi="ar-SA"/>
        </w:rPr>
      </w:pPr>
      <w:r w:rsidRPr="00E30F57">
        <w:rPr>
          <w:rFonts w:ascii="Calibri" w:eastAsia="Calibri" w:hAnsi="Calibri" w:cs="Times New Roman"/>
          <w:kern w:val="2"/>
          <w:szCs w:val="22"/>
          <w:highlight w:val="yellow"/>
          <w:lang w:val="en-US" w:bidi="ar-SA"/>
        </w:rPr>
        <w:t xml:space="preserve">Option 1: </w:t>
      </w:r>
    </w:p>
    <w:p w:rsidR="00E30F57" w:rsidRPr="00E30F57" w:rsidRDefault="00E30F57" w:rsidP="00E30F57">
      <w:pPr>
        <w:rPr>
          <w:rFonts w:ascii="Calibri" w:eastAsia="Calibri" w:hAnsi="Calibri" w:cs="Times New Roman"/>
          <w:kern w:val="2"/>
          <w:szCs w:val="22"/>
          <w:highlight w:val="yellow"/>
          <w:lang w:val="en-US" w:bidi="ar-SA"/>
        </w:rPr>
      </w:pPr>
      <w:r w:rsidRPr="00E30F57">
        <w:rPr>
          <w:rFonts w:ascii="Calibri" w:eastAsia="Calibri" w:hAnsi="Calibri" w:cs="Times New Roman"/>
          <w:kern w:val="2"/>
          <w:szCs w:val="22"/>
          <w:highlight w:val="yellow"/>
          <w:lang w:val="en-US" w:bidi="ar-SA"/>
        </w:rPr>
        <w:t xml:space="preserve">Author(s) hereby declare that NO generative AI technologies such as Large Language Models (ChatGPT, COPILOT, etc.) and text-to-image generators have been used during the writing or editing of this manuscript. </w:t>
      </w:r>
    </w:p>
    <w:p w:rsidR="00E30F57" w:rsidRPr="00E30F57" w:rsidRDefault="00E30F57" w:rsidP="00E30F57">
      <w:pPr>
        <w:rPr>
          <w:rFonts w:ascii="Calibri" w:eastAsia="Calibri" w:hAnsi="Calibri" w:cs="Times New Roman"/>
          <w:kern w:val="2"/>
          <w:szCs w:val="22"/>
          <w:highlight w:val="yellow"/>
          <w:lang w:val="en-US" w:bidi="ar-SA"/>
        </w:rPr>
      </w:pPr>
      <w:r w:rsidRPr="00E30F57">
        <w:rPr>
          <w:rFonts w:ascii="Calibri" w:eastAsia="Calibri" w:hAnsi="Calibri" w:cs="Times New Roman"/>
          <w:kern w:val="2"/>
          <w:szCs w:val="22"/>
          <w:highlight w:val="yellow"/>
          <w:lang w:val="en-US" w:bidi="ar-SA"/>
        </w:rPr>
        <w:t xml:space="preserve">Option 2: </w:t>
      </w:r>
    </w:p>
    <w:p w:rsidR="00E30F57" w:rsidRPr="00E30F57" w:rsidRDefault="00E30F57" w:rsidP="00E30F57">
      <w:pPr>
        <w:rPr>
          <w:rFonts w:ascii="Calibri" w:eastAsia="Calibri" w:hAnsi="Calibri" w:cs="Times New Roman"/>
          <w:kern w:val="2"/>
          <w:szCs w:val="22"/>
          <w:highlight w:val="yellow"/>
          <w:lang w:val="en-US" w:bidi="ar-SA"/>
        </w:rPr>
      </w:pPr>
      <w:r w:rsidRPr="00E30F57">
        <w:rPr>
          <w:rFonts w:ascii="Calibri" w:eastAsia="Calibri" w:hAnsi="Calibri" w:cs="Times New Roman"/>
          <w:kern w:val="2"/>
          <w:szCs w:val="22"/>
          <w:highlight w:val="yellow"/>
          <w:lang w:val="en-US" w:bidi="ar-SA"/>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E30F57" w:rsidRPr="00E30F57" w:rsidRDefault="00E30F57" w:rsidP="00E30F57">
      <w:pPr>
        <w:rPr>
          <w:rFonts w:ascii="Calibri" w:eastAsia="Calibri" w:hAnsi="Calibri" w:cs="Times New Roman"/>
          <w:kern w:val="2"/>
          <w:szCs w:val="22"/>
          <w:highlight w:val="yellow"/>
          <w:lang w:val="en-US" w:bidi="ar-SA"/>
        </w:rPr>
      </w:pPr>
      <w:r w:rsidRPr="00E30F57">
        <w:rPr>
          <w:rFonts w:ascii="Calibri" w:eastAsia="Calibri" w:hAnsi="Calibri" w:cs="Times New Roman"/>
          <w:kern w:val="2"/>
          <w:szCs w:val="22"/>
          <w:highlight w:val="yellow"/>
          <w:lang w:val="en-US" w:bidi="ar-SA"/>
        </w:rPr>
        <w:t>Details of the AI usage are given below:</w:t>
      </w:r>
    </w:p>
    <w:p w:rsidR="00E30F57" w:rsidRPr="00E30F57" w:rsidRDefault="00E30F57" w:rsidP="00E30F57">
      <w:pPr>
        <w:rPr>
          <w:rFonts w:ascii="Calibri" w:eastAsia="Calibri" w:hAnsi="Calibri" w:cs="Times New Roman"/>
          <w:kern w:val="2"/>
          <w:szCs w:val="22"/>
          <w:highlight w:val="yellow"/>
          <w:lang w:val="en-US" w:bidi="ar-SA"/>
        </w:rPr>
      </w:pPr>
      <w:r w:rsidRPr="00E30F57">
        <w:rPr>
          <w:rFonts w:ascii="Calibri" w:eastAsia="Calibri" w:hAnsi="Calibri" w:cs="Times New Roman"/>
          <w:kern w:val="2"/>
          <w:szCs w:val="22"/>
          <w:highlight w:val="yellow"/>
          <w:lang w:val="en-US" w:bidi="ar-SA"/>
        </w:rPr>
        <w:t>1.</w:t>
      </w:r>
    </w:p>
    <w:p w:rsidR="00E30F57" w:rsidRPr="00E30F57" w:rsidRDefault="00E30F57" w:rsidP="00E30F57">
      <w:pPr>
        <w:rPr>
          <w:rFonts w:ascii="Calibri" w:eastAsia="Calibri" w:hAnsi="Calibri" w:cs="Times New Roman"/>
          <w:kern w:val="2"/>
          <w:szCs w:val="22"/>
          <w:highlight w:val="yellow"/>
          <w:lang w:val="en-US" w:bidi="ar-SA"/>
        </w:rPr>
      </w:pPr>
      <w:r w:rsidRPr="00E30F57">
        <w:rPr>
          <w:rFonts w:ascii="Calibri" w:eastAsia="Calibri" w:hAnsi="Calibri" w:cs="Times New Roman"/>
          <w:kern w:val="2"/>
          <w:szCs w:val="22"/>
          <w:highlight w:val="yellow"/>
          <w:lang w:val="en-US" w:bidi="ar-SA"/>
        </w:rPr>
        <w:t>2.</w:t>
      </w:r>
    </w:p>
    <w:p w:rsidR="00E30F57" w:rsidRPr="00E30F57" w:rsidRDefault="00E30F57" w:rsidP="00E30F57">
      <w:pPr>
        <w:rPr>
          <w:rFonts w:ascii="Calibri" w:eastAsia="Calibri" w:hAnsi="Calibri" w:cs="Times New Roman"/>
          <w:kern w:val="2"/>
          <w:szCs w:val="22"/>
          <w:lang w:val="en-US" w:bidi="ar-SA"/>
        </w:rPr>
      </w:pPr>
      <w:r w:rsidRPr="00E30F57">
        <w:rPr>
          <w:rFonts w:ascii="Calibri" w:eastAsia="Calibri" w:hAnsi="Calibri" w:cs="Times New Roman"/>
          <w:kern w:val="2"/>
          <w:szCs w:val="22"/>
          <w:highlight w:val="yellow"/>
          <w:lang w:val="en-US" w:bidi="ar-SA"/>
        </w:rPr>
        <w:t>3.</w:t>
      </w:r>
    </w:p>
    <w:p w:rsidR="00E30F57" w:rsidRDefault="00E30F57" w:rsidP="00246F99">
      <w:pPr>
        <w:spacing w:before="280" w:after="0" w:line="360" w:lineRule="auto"/>
        <w:ind w:firstLine="720"/>
        <w:jc w:val="both"/>
        <w:rPr>
          <w:rFonts w:ascii="Times New Roman" w:hAnsi="Times New Roman"/>
          <w:sz w:val="24"/>
          <w:szCs w:val="24"/>
        </w:rPr>
      </w:pPr>
    </w:p>
    <w:p w:rsidR="00B309BF" w:rsidRPr="00537D3E" w:rsidRDefault="00B309BF" w:rsidP="00B309BF">
      <w:pPr>
        <w:autoSpaceDE w:val="0"/>
        <w:autoSpaceDN w:val="0"/>
        <w:adjustRightInd w:val="0"/>
        <w:spacing w:after="0" w:line="360" w:lineRule="auto"/>
        <w:ind w:left="10" w:hanging="10"/>
        <w:jc w:val="both"/>
        <w:rPr>
          <w:rFonts w:ascii="Times New Roman" w:eastAsia="Times New Roman" w:hAnsi="Times New Roman" w:cs="Times New Roman"/>
          <w:sz w:val="24"/>
          <w:szCs w:val="24"/>
          <w:lang w:val="en-US" w:bidi="ar-SA"/>
        </w:rPr>
      </w:pPr>
    </w:p>
    <w:p w:rsidR="0039079A" w:rsidRDefault="0039079A" w:rsidP="00152E9D">
      <w:pPr>
        <w:tabs>
          <w:tab w:val="left" w:pos="5085"/>
        </w:tabs>
        <w:spacing w:after="0" w:line="240" w:lineRule="auto"/>
        <w:jc w:val="both"/>
        <w:rPr>
          <w:rFonts w:ascii="Times New Roman" w:hAnsi="Times New Roman" w:cs="Times New Roman"/>
          <w:b/>
          <w:color w:val="000000" w:themeColor="text1" w:themeShade="BF"/>
          <w:sz w:val="24"/>
          <w:szCs w:val="24"/>
        </w:rPr>
      </w:pPr>
    </w:p>
    <w:p w:rsidR="00537D3E" w:rsidRPr="00152E9D" w:rsidRDefault="00537D3E" w:rsidP="00152E9D">
      <w:pPr>
        <w:tabs>
          <w:tab w:val="left" w:pos="5085"/>
        </w:tabs>
        <w:spacing w:after="0" w:line="240" w:lineRule="auto"/>
        <w:jc w:val="both"/>
        <w:rPr>
          <w:rFonts w:ascii="Times New Roman" w:eastAsia="Times New Roman" w:hAnsi="Times New Roman" w:cs="Times New Roman"/>
          <w:b/>
          <w:sz w:val="24"/>
          <w:szCs w:val="24"/>
          <w:lang w:val="en-US" w:bidi="ar-SA"/>
        </w:rPr>
      </w:pPr>
      <w:r w:rsidRPr="00551406">
        <w:rPr>
          <w:rFonts w:ascii="Times New Roman" w:hAnsi="Times New Roman" w:cs="Times New Roman"/>
          <w:b/>
          <w:color w:val="000000" w:themeColor="text1" w:themeShade="BF"/>
          <w:sz w:val="24"/>
          <w:szCs w:val="24"/>
        </w:rPr>
        <w:t>References:</w:t>
      </w:r>
    </w:p>
    <w:p w:rsidR="00537D3E" w:rsidRDefault="00537D3E" w:rsidP="00537D3E">
      <w:pPr>
        <w:spacing w:after="0" w:line="259" w:lineRule="auto"/>
        <w:jc w:val="both"/>
        <w:rPr>
          <w:rFonts w:ascii="Times New Roman" w:eastAsia="Times New Roman" w:hAnsi="Times New Roman" w:cs="Times New Roman"/>
          <w:sz w:val="24"/>
          <w:szCs w:val="22"/>
          <w:lang w:val="en-US" w:bidi="ar-SA"/>
        </w:rPr>
      </w:pPr>
    </w:p>
    <w:p w:rsidR="004F437E" w:rsidRDefault="00D90E48" w:rsidP="00D90E48">
      <w:pPr>
        <w:keepLines/>
        <w:spacing w:before="280" w:after="0" w:line="360" w:lineRule="auto"/>
        <w:ind w:left="720" w:hanging="720"/>
        <w:jc w:val="both"/>
        <w:rPr>
          <w:rFonts w:ascii="Times New Roman" w:hAnsi="Times New Roman"/>
          <w:sz w:val="24"/>
          <w:szCs w:val="24"/>
        </w:rPr>
      </w:pPr>
      <w:r w:rsidRPr="008857C1">
        <w:rPr>
          <w:rFonts w:ascii="Times New Roman" w:hAnsi="Times New Roman"/>
          <w:sz w:val="24"/>
          <w:szCs w:val="24"/>
        </w:rPr>
        <w:t>Ashwini</w:t>
      </w:r>
      <w:r w:rsidRPr="00CC3AA8">
        <w:rPr>
          <w:rFonts w:ascii="Times New Roman" w:hAnsi="Times New Roman"/>
          <w:sz w:val="24"/>
          <w:szCs w:val="24"/>
        </w:rPr>
        <w:t xml:space="preserve"> A., Kanaujia S. P., Jha A., Shah P., and Walling N., 2023, Genetic variability, correlation and path coefficient analysis of ash gourd (</w:t>
      </w:r>
      <w:r w:rsidRPr="00CC3AA8">
        <w:rPr>
          <w:rFonts w:ascii="Times New Roman" w:hAnsi="Times New Roman"/>
          <w:i/>
          <w:iCs/>
          <w:sz w:val="24"/>
          <w:szCs w:val="24"/>
        </w:rPr>
        <w:t>Benincasa hispida</w:t>
      </w:r>
      <w:r w:rsidRPr="00CC3AA8">
        <w:rPr>
          <w:rFonts w:ascii="Times New Roman" w:hAnsi="Times New Roman"/>
          <w:sz w:val="24"/>
          <w:szCs w:val="24"/>
        </w:rPr>
        <w:t xml:space="preserve"> (Thunb.) Cogn.) genotypes. </w:t>
      </w:r>
      <w:r w:rsidRPr="00CC3AA8">
        <w:rPr>
          <w:rFonts w:ascii="Times New Roman" w:hAnsi="Times New Roman"/>
          <w:i/>
          <w:iCs/>
          <w:sz w:val="24"/>
          <w:szCs w:val="24"/>
        </w:rPr>
        <w:t>Environ. Ecol.</w:t>
      </w:r>
      <w:r w:rsidRPr="00CC3AA8">
        <w:rPr>
          <w:rFonts w:ascii="Times New Roman" w:hAnsi="Times New Roman"/>
          <w:sz w:val="24"/>
          <w:szCs w:val="24"/>
        </w:rPr>
        <w:t>, 41(4): 2320-2330.</w:t>
      </w:r>
    </w:p>
    <w:p w:rsidR="00D207E1" w:rsidRPr="00D90E48" w:rsidRDefault="00D207E1" w:rsidP="00D207E1">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Bashir K., Masoodi U. H., Ali G., Nazir N., Malik A. R., Nazir G., and Aftab O., 2024, Genetic variability, correlation and path coefficient analysis in bottle gourd (</w:t>
      </w:r>
      <w:r w:rsidRPr="00CC3AA8">
        <w:rPr>
          <w:rFonts w:ascii="Times New Roman" w:hAnsi="Times New Roman"/>
          <w:i/>
          <w:iCs/>
          <w:sz w:val="24"/>
          <w:szCs w:val="24"/>
        </w:rPr>
        <w:t>Lagenaria</w:t>
      </w:r>
      <w:r>
        <w:rPr>
          <w:rFonts w:ascii="Times New Roman" w:hAnsi="Times New Roman"/>
          <w:i/>
          <w:iCs/>
          <w:sz w:val="24"/>
          <w:szCs w:val="24"/>
        </w:rPr>
        <w:t xml:space="preserve"> </w:t>
      </w:r>
      <w:r w:rsidRPr="00CC3AA8">
        <w:rPr>
          <w:rFonts w:ascii="Times New Roman" w:hAnsi="Times New Roman"/>
          <w:i/>
          <w:iCs/>
          <w:sz w:val="24"/>
          <w:szCs w:val="24"/>
        </w:rPr>
        <w:t>siceraria</w:t>
      </w:r>
      <w:r w:rsidRPr="00CC3AA8">
        <w:rPr>
          <w:rFonts w:ascii="Times New Roman" w:hAnsi="Times New Roman"/>
          <w:sz w:val="24"/>
          <w:szCs w:val="24"/>
        </w:rPr>
        <w:t xml:space="preserve"> (Molina) Standl.) genotypes. </w:t>
      </w:r>
      <w:r w:rsidRPr="00CC3AA8">
        <w:rPr>
          <w:rFonts w:ascii="Times New Roman" w:hAnsi="Times New Roman"/>
          <w:i/>
          <w:iCs/>
          <w:sz w:val="24"/>
          <w:szCs w:val="24"/>
        </w:rPr>
        <w:t>J. Sci. Res. Rep.</w:t>
      </w:r>
      <w:r w:rsidRPr="00CC3AA8">
        <w:rPr>
          <w:rFonts w:ascii="Times New Roman" w:hAnsi="Times New Roman"/>
          <w:sz w:val="24"/>
          <w:szCs w:val="24"/>
        </w:rPr>
        <w:t>, 30(5): 760-771.</w:t>
      </w:r>
    </w:p>
    <w:p w:rsidR="00537D3E" w:rsidRDefault="009E2768" w:rsidP="009E2768">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Behera T. K., Dey S. S., Munshi A. D., Gaikwad A. B., Pal A., and Singh I., 2009, Sex inheritance and development of gynoecious hybrids in bitter gourd (</w:t>
      </w:r>
      <w:r w:rsidRPr="00CC3AA8">
        <w:rPr>
          <w:rFonts w:ascii="Times New Roman" w:hAnsi="Times New Roman"/>
          <w:i/>
          <w:iCs/>
          <w:sz w:val="24"/>
          <w:szCs w:val="24"/>
        </w:rPr>
        <w:t>Momordica</w:t>
      </w:r>
      <w:r>
        <w:rPr>
          <w:rFonts w:ascii="Times New Roman" w:hAnsi="Times New Roman"/>
          <w:i/>
          <w:iCs/>
          <w:sz w:val="24"/>
          <w:szCs w:val="24"/>
        </w:rPr>
        <w:t xml:space="preserve"> </w:t>
      </w:r>
      <w:r w:rsidRPr="00CC3AA8">
        <w:rPr>
          <w:rFonts w:ascii="Times New Roman" w:hAnsi="Times New Roman"/>
          <w:i/>
          <w:iCs/>
          <w:sz w:val="24"/>
          <w:szCs w:val="24"/>
        </w:rPr>
        <w:t>charantia</w:t>
      </w:r>
      <w:r w:rsidRPr="00CC3AA8">
        <w:rPr>
          <w:rFonts w:ascii="Times New Roman" w:hAnsi="Times New Roman"/>
          <w:sz w:val="24"/>
          <w:szCs w:val="24"/>
        </w:rPr>
        <w:t xml:space="preserve"> L.). </w:t>
      </w:r>
      <w:r w:rsidRPr="00CC3AA8">
        <w:rPr>
          <w:rFonts w:ascii="Times New Roman" w:hAnsi="Times New Roman"/>
          <w:i/>
          <w:iCs/>
          <w:sz w:val="24"/>
          <w:szCs w:val="24"/>
        </w:rPr>
        <w:t>Sci. Hort.</w:t>
      </w:r>
      <w:r w:rsidRPr="00CC3AA8">
        <w:rPr>
          <w:rFonts w:ascii="Times New Roman" w:hAnsi="Times New Roman"/>
          <w:sz w:val="24"/>
          <w:szCs w:val="24"/>
        </w:rPr>
        <w:t>, 120(1): 130-133.</w:t>
      </w:r>
    </w:p>
    <w:p w:rsidR="005F52AB" w:rsidRDefault="005F52AB" w:rsidP="005F52AB">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 xml:space="preserve">Burton G. W. and Devane, 1952, “Quantitative inheritance in grasses.” </w:t>
      </w:r>
      <w:r w:rsidRPr="00CC3AA8">
        <w:rPr>
          <w:rFonts w:ascii="Times New Roman" w:hAnsi="Times New Roman"/>
          <w:i/>
          <w:iCs/>
          <w:sz w:val="24"/>
          <w:szCs w:val="24"/>
        </w:rPr>
        <w:t>Proceedings of the Sixth International Grassland Congress</w:t>
      </w:r>
      <w:r w:rsidRPr="00CC3AA8">
        <w:rPr>
          <w:rFonts w:ascii="Times New Roman" w:hAnsi="Times New Roman"/>
          <w:sz w:val="24"/>
          <w:szCs w:val="24"/>
        </w:rPr>
        <w:t>, 1: 277-283.</w:t>
      </w:r>
    </w:p>
    <w:p w:rsidR="00D90E48" w:rsidRDefault="00D90E48" w:rsidP="00D90E48">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Chandramouli B., Reddy R. V. S. K., Babu M. R., Jyothi K. U., Umakrishna K., and Rao M. P., 2021, Genetic variability studies for yield and yield attributing traits in F2 generation of bottle gourd (</w:t>
      </w:r>
      <w:r w:rsidRPr="00CC3AA8">
        <w:rPr>
          <w:rFonts w:ascii="Times New Roman" w:hAnsi="Times New Roman"/>
          <w:i/>
          <w:iCs/>
          <w:sz w:val="24"/>
          <w:szCs w:val="24"/>
        </w:rPr>
        <w:t>Lagenaria siceraria</w:t>
      </w:r>
      <w:r w:rsidRPr="00CC3AA8">
        <w:rPr>
          <w:rFonts w:ascii="Times New Roman" w:hAnsi="Times New Roman"/>
          <w:sz w:val="24"/>
          <w:szCs w:val="24"/>
        </w:rPr>
        <w:t xml:space="preserve"> (Mol.) Standl.). </w:t>
      </w:r>
      <w:r w:rsidRPr="00CC3AA8">
        <w:rPr>
          <w:rFonts w:ascii="Times New Roman" w:hAnsi="Times New Roman"/>
          <w:i/>
          <w:iCs/>
          <w:sz w:val="24"/>
          <w:szCs w:val="24"/>
        </w:rPr>
        <w:t>The Pharma Innov. J.</w:t>
      </w:r>
      <w:r w:rsidRPr="00CC3AA8">
        <w:rPr>
          <w:rFonts w:ascii="Times New Roman" w:hAnsi="Times New Roman"/>
          <w:sz w:val="24"/>
          <w:szCs w:val="24"/>
        </w:rPr>
        <w:t>, 10(5): 1484-1488.</w:t>
      </w:r>
    </w:p>
    <w:p w:rsidR="00B811AA" w:rsidRDefault="00B811AA" w:rsidP="00D90E48">
      <w:pPr>
        <w:keepLines/>
        <w:spacing w:before="280" w:after="0" w:line="360" w:lineRule="auto"/>
        <w:ind w:left="720" w:hanging="720"/>
        <w:jc w:val="both"/>
        <w:rPr>
          <w:rFonts w:ascii="Times New Roman" w:hAnsi="Times New Roman"/>
          <w:sz w:val="24"/>
          <w:szCs w:val="24"/>
        </w:rPr>
      </w:pPr>
    </w:p>
    <w:p w:rsidR="00B811AA" w:rsidRDefault="00B811AA" w:rsidP="00D90E48">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Damor A. S., Patel J. N., Parmar H. K., and Vyas N. D., 2016, Studies on variability, heritability and genetic advance for yield and quality traits in bottle gourd (</w:t>
      </w:r>
      <w:r w:rsidRPr="00CC3AA8">
        <w:rPr>
          <w:rFonts w:ascii="Times New Roman" w:hAnsi="Times New Roman"/>
          <w:i/>
          <w:iCs/>
          <w:sz w:val="24"/>
          <w:szCs w:val="24"/>
        </w:rPr>
        <w:t>Lagenaria siceraria</w:t>
      </w:r>
      <w:r w:rsidRPr="00CC3AA8">
        <w:rPr>
          <w:rFonts w:ascii="Times New Roman" w:hAnsi="Times New Roman"/>
          <w:sz w:val="24"/>
          <w:szCs w:val="24"/>
        </w:rPr>
        <w:t xml:space="preserve"> (Mol.) Standl.) genotypes. </w:t>
      </w:r>
      <w:r w:rsidRPr="00CC3AA8">
        <w:rPr>
          <w:rFonts w:ascii="Times New Roman" w:hAnsi="Times New Roman"/>
          <w:i/>
          <w:iCs/>
          <w:sz w:val="24"/>
          <w:szCs w:val="24"/>
        </w:rPr>
        <w:t>Int. J. Sci. Environ. Technol.</w:t>
      </w:r>
      <w:r w:rsidRPr="00CC3AA8">
        <w:rPr>
          <w:rFonts w:ascii="Times New Roman" w:hAnsi="Times New Roman"/>
          <w:sz w:val="24"/>
          <w:szCs w:val="24"/>
        </w:rPr>
        <w:t>, 5(4): 2301-2307.</w:t>
      </w:r>
    </w:p>
    <w:p w:rsidR="00003DDF" w:rsidRDefault="00003DDF" w:rsidP="00003DDF">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Dewan M. M. R., Rabbani M. G., Naher U. A., Pramanik S., and Quais M. K., 2013, Genetic diversity of ash gourd (</w:t>
      </w:r>
      <w:r w:rsidRPr="00CC3AA8">
        <w:rPr>
          <w:rFonts w:ascii="Times New Roman" w:hAnsi="Times New Roman"/>
          <w:i/>
          <w:iCs/>
          <w:sz w:val="24"/>
          <w:szCs w:val="24"/>
        </w:rPr>
        <w:t>Benincasa hispida</w:t>
      </w:r>
      <w:r w:rsidRPr="00CC3AA8">
        <w:rPr>
          <w:rFonts w:ascii="Times New Roman" w:hAnsi="Times New Roman"/>
          <w:sz w:val="24"/>
          <w:szCs w:val="24"/>
        </w:rPr>
        <w:t xml:space="preserve">) genotypes. </w:t>
      </w:r>
      <w:r w:rsidRPr="00CC3AA8">
        <w:rPr>
          <w:rFonts w:ascii="Times New Roman" w:hAnsi="Times New Roman"/>
          <w:i/>
          <w:iCs/>
          <w:sz w:val="24"/>
          <w:szCs w:val="24"/>
        </w:rPr>
        <w:t>Bangladesh J. Pl. Breed. Genet.</w:t>
      </w:r>
      <w:r w:rsidRPr="00CC3AA8">
        <w:rPr>
          <w:rFonts w:ascii="Times New Roman" w:hAnsi="Times New Roman"/>
          <w:sz w:val="24"/>
          <w:szCs w:val="24"/>
        </w:rPr>
        <w:t>, 26(2): 01-08.</w:t>
      </w:r>
    </w:p>
    <w:p w:rsidR="00B811AA" w:rsidRPr="00CC3AA8" w:rsidRDefault="00B811AA" w:rsidP="00B811AA">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Dubey C. N., Alam K., Shukla R. and Pandey V., 2022, To study the genetic variability, heritability and genetic advance for agronomic traits of bottle gourd [</w:t>
      </w:r>
      <w:r w:rsidRPr="00CC3AA8">
        <w:rPr>
          <w:rFonts w:ascii="Times New Roman" w:hAnsi="Times New Roman"/>
          <w:i/>
          <w:iCs/>
          <w:sz w:val="24"/>
          <w:szCs w:val="24"/>
        </w:rPr>
        <w:t>Lagenaria siceraria</w:t>
      </w:r>
      <w:r w:rsidRPr="00CC3AA8">
        <w:rPr>
          <w:rFonts w:ascii="Times New Roman" w:hAnsi="Times New Roman"/>
          <w:sz w:val="24"/>
          <w:szCs w:val="24"/>
        </w:rPr>
        <w:t xml:space="preserve"> (Mol.) Standl]. </w:t>
      </w:r>
      <w:r w:rsidRPr="00CC3AA8">
        <w:rPr>
          <w:rFonts w:ascii="Times New Roman" w:hAnsi="Times New Roman"/>
          <w:i/>
          <w:iCs/>
          <w:sz w:val="24"/>
          <w:szCs w:val="24"/>
        </w:rPr>
        <w:t>The Pharma Innov. J.</w:t>
      </w:r>
      <w:r w:rsidRPr="00CC3AA8">
        <w:rPr>
          <w:rFonts w:ascii="Times New Roman" w:hAnsi="Times New Roman"/>
          <w:sz w:val="24"/>
          <w:szCs w:val="24"/>
        </w:rPr>
        <w:t>, 11(3): 1362-1366.</w:t>
      </w:r>
    </w:p>
    <w:p w:rsidR="00B811AA" w:rsidRDefault="00B811AA" w:rsidP="00B811AA">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Duhan D. S., Gill V., Panghal V. P. S. and Karande P. J., 2022, Studies on genetic variability, heritability, genetic advance and character association for various quantitative traits in bottle gourd</w:t>
      </w:r>
    </w:p>
    <w:p w:rsidR="00B27EE7" w:rsidRDefault="00B27EE7" w:rsidP="00B27EE7">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 xml:space="preserve">Dwivedi A., 2000, Documentation of germplasm and genetic studies in bottle gourd </w:t>
      </w:r>
      <w:r w:rsidRPr="00CC3AA8">
        <w:rPr>
          <w:rFonts w:ascii="Times New Roman" w:hAnsi="Times New Roman"/>
          <w:i/>
          <w:iCs/>
          <w:sz w:val="24"/>
          <w:szCs w:val="24"/>
        </w:rPr>
        <w:t>Lagenaria siceraria</w:t>
      </w:r>
      <w:r w:rsidRPr="00CC3AA8">
        <w:rPr>
          <w:rFonts w:ascii="Times New Roman" w:hAnsi="Times New Roman"/>
          <w:sz w:val="24"/>
          <w:szCs w:val="24"/>
        </w:rPr>
        <w:t xml:space="preserve"> (Mol.) Standl. M.Sc. (Ag.) Thesis, Dept. Veget. Sci., NDUA&amp;T,Kumarganj, Faizabad (U.P.).</w:t>
      </w:r>
    </w:p>
    <w:p w:rsidR="00B27EE7" w:rsidRDefault="00B27EE7" w:rsidP="00B27EE7">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 xml:space="preserve">Fisher R. A., and Yates F., 1963, Statistical Tables for Biological, Agricultural and Medical Research. </w:t>
      </w:r>
      <w:r w:rsidRPr="00CC3AA8">
        <w:rPr>
          <w:rFonts w:ascii="Times New Roman" w:hAnsi="Times New Roman"/>
          <w:i/>
          <w:iCs/>
          <w:sz w:val="24"/>
          <w:szCs w:val="24"/>
        </w:rPr>
        <w:t>Oliver and Boyd. Publishing Cooperative Pvt. Ltd. London</w:t>
      </w:r>
      <w:r w:rsidRPr="00CC3AA8">
        <w:rPr>
          <w:rFonts w:ascii="Times New Roman" w:hAnsi="Times New Roman"/>
          <w:sz w:val="24"/>
          <w:szCs w:val="24"/>
        </w:rPr>
        <w:t>. 46-63.</w:t>
      </w:r>
    </w:p>
    <w:p w:rsidR="004F437E" w:rsidRDefault="004F437E" w:rsidP="004F437E">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Ingole V. S., Bhalekar M. N., and Kshirsaagar D. B., 2021, Studies on genetic variability, heritability, genetic advance and correlation in F4 generation of ash gourd (</w:t>
      </w:r>
      <w:r w:rsidRPr="00CC3AA8">
        <w:rPr>
          <w:rFonts w:ascii="Times New Roman" w:hAnsi="Times New Roman"/>
          <w:i/>
          <w:iCs/>
          <w:sz w:val="24"/>
          <w:szCs w:val="24"/>
        </w:rPr>
        <w:t>Cucurbita moschata</w:t>
      </w:r>
      <w:r w:rsidRPr="00CC3AA8">
        <w:rPr>
          <w:rFonts w:ascii="Times New Roman" w:hAnsi="Times New Roman"/>
          <w:sz w:val="24"/>
          <w:szCs w:val="24"/>
        </w:rPr>
        <w:t xml:space="preserve"> Duch Ex. Poir). </w:t>
      </w:r>
      <w:r w:rsidRPr="00CC3AA8">
        <w:rPr>
          <w:rFonts w:ascii="Times New Roman" w:hAnsi="Times New Roman"/>
          <w:i/>
          <w:iCs/>
          <w:sz w:val="24"/>
          <w:szCs w:val="24"/>
        </w:rPr>
        <w:t>J. pharm. innov.</w:t>
      </w:r>
      <w:r w:rsidRPr="00CC3AA8">
        <w:rPr>
          <w:rFonts w:ascii="Times New Roman" w:hAnsi="Times New Roman"/>
          <w:sz w:val="24"/>
          <w:szCs w:val="24"/>
        </w:rPr>
        <w:t>, 10(7): 36-39..</w:t>
      </w:r>
    </w:p>
    <w:p w:rsidR="00D207E1" w:rsidRDefault="00D207E1" w:rsidP="00D207E1">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Jat R. K., Ameta K. D., and Choudhary R. C., 2014, Genetic variability, heritability and genetic advance for yield and yield attributing traits in valankakri (</w:t>
      </w:r>
      <w:r w:rsidRPr="00CC3AA8">
        <w:rPr>
          <w:rFonts w:ascii="Times New Roman" w:hAnsi="Times New Roman"/>
          <w:i/>
          <w:iCs/>
          <w:sz w:val="24"/>
          <w:szCs w:val="24"/>
        </w:rPr>
        <w:t>Cucumissativus</w:t>
      </w:r>
      <w:r w:rsidRPr="00CC3AA8">
        <w:rPr>
          <w:rFonts w:ascii="Times New Roman" w:hAnsi="Times New Roman"/>
          <w:sz w:val="24"/>
          <w:szCs w:val="24"/>
        </w:rPr>
        <w:t xml:space="preserve"> var. </w:t>
      </w:r>
      <w:r w:rsidRPr="00CC3AA8">
        <w:rPr>
          <w:rFonts w:ascii="Times New Roman" w:hAnsi="Times New Roman"/>
          <w:i/>
          <w:iCs/>
          <w:sz w:val="24"/>
          <w:szCs w:val="24"/>
        </w:rPr>
        <w:t>utilismus</w:t>
      </w:r>
      <w:r w:rsidRPr="00CC3AA8">
        <w:rPr>
          <w:rFonts w:ascii="Times New Roman" w:hAnsi="Times New Roman"/>
          <w:sz w:val="24"/>
          <w:szCs w:val="24"/>
        </w:rPr>
        <w:t xml:space="preserve"> L.). </w:t>
      </w:r>
      <w:r w:rsidRPr="00CC3AA8">
        <w:rPr>
          <w:rFonts w:ascii="Times New Roman" w:hAnsi="Times New Roman"/>
          <w:i/>
          <w:iCs/>
          <w:sz w:val="24"/>
          <w:szCs w:val="24"/>
        </w:rPr>
        <w:t>The Ecoscan</w:t>
      </w:r>
      <w:r w:rsidRPr="00CC3AA8">
        <w:rPr>
          <w:rFonts w:ascii="Times New Roman" w:hAnsi="Times New Roman"/>
          <w:sz w:val="24"/>
          <w:szCs w:val="24"/>
        </w:rPr>
        <w:t>, 6: 317-322.</w:t>
      </w:r>
    </w:p>
    <w:p w:rsidR="00B27EE7" w:rsidRDefault="00B27EE7" w:rsidP="00B27EE7">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lastRenderedPageBreak/>
        <w:t xml:space="preserve">Johnson H. W., Robinson H. F., and Comstock R. E., 1955, Genotypic and phenotypic correlation in soyabean and their implications in selection. </w:t>
      </w:r>
      <w:r w:rsidRPr="00CC3AA8">
        <w:rPr>
          <w:rFonts w:ascii="Times New Roman" w:hAnsi="Times New Roman"/>
          <w:i/>
          <w:iCs/>
          <w:sz w:val="24"/>
          <w:szCs w:val="24"/>
        </w:rPr>
        <w:t>Agron. J.</w:t>
      </w:r>
      <w:r w:rsidRPr="00CC3AA8">
        <w:rPr>
          <w:rFonts w:ascii="Times New Roman" w:hAnsi="Times New Roman"/>
          <w:sz w:val="24"/>
          <w:szCs w:val="24"/>
        </w:rPr>
        <w:t>, 47: 477-483.</w:t>
      </w:r>
    </w:p>
    <w:p w:rsidR="00B811AA" w:rsidRDefault="00B811AA" w:rsidP="00B811AA">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Kichenaradjou M., and Shakila A., 2017, Genetic divergence, heritability and yield traits of different ash gourd accessions (</w:t>
      </w:r>
      <w:r w:rsidRPr="00CC3AA8">
        <w:rPr>
          <w:rFonts w:ascii="Times New Roman" w:hAnsi="Times New Roman"/>
          <w:i/>
          <w:iCs/>
          <w:sz w:val="24"/>
          <w:szCs w:val="24"/>
        </w:rPr>
        <w:t>Benincasa hispida</w:t>
      </w:r>
      <w:r w:rsidRPr="00CC3AA8">
        <w:rPr>
          <w:rFonts w:ascii="Times New Roman" w:hAnsi="Times New Roman"/>
          <w:sz w:val="24"/>
          <w:szCs w:val="24"/>
        </w:rPr>
        <w:t xml:space="preserve">). </w:t>
      </w:r>
      <w:r w:rsidRPr="00CC3AA8">
        <w:rPr>
          <w:rFonts w:ascii="Times New Roman" w:hAnsi="Times New Roman"/>
          <w:i/>
          <w:iCs/>
          <w:sz w:val="24"/>
          <w:szCs w:val="24"/>
        </w:rPr>
        <w:t>Int. J. Agric. Sci. Res.</w:t>
      </w:r>
      <w:r w:rsidRPr="00CC3AA8">
        <w:rPr>
          <w:rFonts w:ascii="Times New Roman" w:hAnsi="Times New Roman"/>
          <w:sz w:val="24"/>
          <w:szCs w:val="24"/>
        </w:rPr>
        <w:t>, 7(6): 453-458.</w:t>
      </w:r>
    </w:p>
    <w:p w:rsidR="00B27EE7" w:rsidRPr="00CC3AA8" w:rsidRDefault="00B27EE7" w:rsidP="00003DDF">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Kumar H. B. H., Narayanaswamy M., Gangaprasad S., Srinivasa V., and Halingali B. I., 2021, Combining ability studies for yield-contributing traits in cucumber (</w:t>
      </w:r>
      <w:r w:rsidRPr="00CC3AA8">
        <w:rPr>
          <w:rFonts w:ascii="Times New Roman" w:hAnsi="Times New Roman"/>
          <w:i/>
          <w:iCs/>
          <w:sz w:val="24"/>
          <w:szCs w:val="24"/>
        </w:rPr>
        <w:t>Cucumis sativus</w:t>
      </w:r>
      <w:r w:rsidRPr="00CC3AA8">
        <w:rPr>
          <w:rFonts w:ascii="Times New Roman" w:hAnsi="Times New Roman"/>
          <w:sz w:val="24"/>
          <w:szCs w:val="24"/>
        </w:rPr>
        <w:t xml:space="preserve"> L.). </w:t>
      </w:r>
      <w:r w:rsidRPr="00CC3AA8">
        <w:rPr>
          <w:rFonts w:ascii="Times New Roman" w:hAnsi="Times New Roman"/>
          <w:i/>
          <w:iCs/>
          <w:sz w:val="24"/>
          <w:szCs w:val="24"/>
        </w:rPr>
        <w:t>Int. j. Ecol. Environ.,</w:t>
      </w:r>
      <w:r w:rsidRPr="00CC3AA8">
        <w:rPr>
          <w:rFonts w:ascii="Times New Roman" w:hAnsi="Times New Roman"/>
          <w:sz w:val="24"/>
          <w:szCs w:val="24"/>
        </w:rPr>
        <w:t xml:space="preserve"> 3(1): 162-164.</w:t>
      </w:r>
    </w:p>
    <w:p w:rsidR="00D207E1" w:rsidRDefault="00D207E1" w:rsidP="00D207E1">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Kumara B. S., Puttaraju T. B., Hongal S., Prakash K., Jainag K., and Sudheesh N. K., 2011, Combining ability studies in bitter gourd (</w:t>
      </w:r>
      <w:r w:rsidRPr="00CC3AA8">
        <w:rPr>
          <w:rFonts w:ascii="Times New Roman" w:hAnsi="Times New Roman"/>
          <w:i/>
          <w:iCs/>
          <w:sz w:val="24"/>
          <w:szCs w:val="24"/>
        </w:rPr>
        <w:t>Momordicacharantia</w:t>
      </w:r>
      <w:r w:rsidRPr="00CC3AA8">
        <w:rPr>
          <w:rFonts w:ascii="Times New Roman" w:hAnsi="Times New Roman"/>
          <w:sz w:val="24"/>
          <w:szCs w:val="24"/>
        </w:rPr>
        <w:t xml:space="preserve"> L.) for quantitative characters. </w:t>
      </w:r>
      <w:r w:rsidRPr="00CC3AA8">
        <w:rPr>
          <w:rFonts w:ascii="Times New Roman" w:hAnsi="Times New Roman"/>
          <w:i/>
          <w:iCs/>
          <w:sz w:val="24"/>
          <w:szCs w:val="24"/>
        </w:rPr>
        <w:t>Asian J. Hort.</w:t>
      </w:r>
      <w:r w:rsidRPr="00CC3AA8">
        <w:rPr>
          <w:rFonts w:ascii="Times New Roman" w:hAnsi="Times New Roman"/>
          <w:sz w:val="24"/>
          <w:szCs w:val="24"/>
        </w:rPr>
        <w:t>, 6(1): 135-140.</w:t>
      </w:r>
    </w:p>
    <w:p w:rsidR="005F52AB" w:rsidRDefault="005F52AB" w:rsidP="00B27EE7">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 xml:space="preserve">Lush J. L., 1940, Intra-sire correlation and regression of offspring on dams as a method of estimating heritability of characters. </w:t>
      </w:r>
      <w:r w:rsidRPr="00CC3AA8">
        <w:rPr>
          <w:rFonts w:ascii="Times New Roman" w:hAnsi="Times New Roman"/>
          <w:i/>
          <w:iCs/>
          <w:sz w:val="24"/>
          <w:szCs w:val="24"/>
        </w:rPr>
        <w:t>Proceedings of the American Society of Animal Production</w:t>
      </w:r>
      <w:r w:rsidRPr="00CC3AA8">
        <w:rPr>
          <w:rFonts w:ascii="Times New Roman" w:hAnsi="Times New Roman"/>
          <w:sz w:val="24"/>
          <w:szCs w:val="24"/>
        </w:rPr>
        <w:t>, 33: 293-301.</w:t>
      </w:r>
    </w:p>
    <w:p w:rsidR="00D207E1" w:rsidRDefault="00D207E1" w:rsidP="00D207E1">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Hanchinamani C. N., Patil M. G., Dharmatti P. R., and Mokashi A. N., 2011, Studies on heritability and genetic advance in cucumber (</w:t>
      </w:r>
      <w:r w:rsidRPr="00CC3AA8">
        <w:rPr>
          <w:rFonts w:ascii="Times New Roman" w:hAnsi="Times New Roman"/>
          <w:i/>
          <w:iCs/>
          <w:sz w:val="24"/>
          <w:szCs w:val="24"/>
        </w:rPr>
        <w:t>Cucumis sativus</w:t>
      </w:r>
      <w:r w:rsidRPr="00CC3AA8">
        <w:rPr>
          <w:rFonts w:ascii="Times New Roman" w:hAnsi="Times New Roman"/>
          <w:sz w:val="24"/>
          <w:szCs w:val="24"/>
        </w:rPr>
        <w:t xml:space="preserve"> L.). </w:t>
      </w:r>
      <w:r w:rsidRPr="00CC3AA8">
        <w:rPr>
          <w:rFonts w:ascii="Times New Roman" w:hAnsi="Times New Roman"/>
          <w:i/>
          <w:iCs/>
          <w:sz w:val="24"/>
          <w:szCs w:val="24"/>
        </w:rPr>
        <w:t>Crop Res.</w:t>
      </w:r>
      <w:r w:rsidRPr="00CC3AA8">
        <w:rPr>
          <w:rFonts w:ascii="Times New Roman" w:hAnsi="Times New Roman"/>
          <w:sz w:val="24"/>
          <w:szCs w:val="24"/>
        </w:rPr>
        <w:t>, 41(1, 2 &amp; 3): 160-163.</w:t>
      </w:r>
    </w:p>
    <w:p w:rsidR="00D90E48" w:rsidRDefault="00D90E48" w:rsidP="004F437E">
      <w:pPr>
        <w:keepLines/>
        <w:spacing w:before="280" w:after="0" w:line="360" w:lineRule="auto"/>
        <w:ind w:left="720" w:hanging="720"/>
        <w:jc w:val="both"/>
        <w:rPr>
          <w:rFonts w:ascii="Times New Roman" w:hAnsi="Times New Roman"/>
          <w:sz w:val="24"/>
          <w:szCs w:val="24"/>
        </w:rPr>
      </w:pPr>
      <w:r w:rsidRPr="00E424C1">
        <w:rPr>
          <w:rFonts w:ascii="Times New Roman" w:hAnsi="Times New Roman"/>
          <w:sz w:val="24"/>
          <w:szCs w:val="24"/>
        </w:rPr>
        <w:t>Kandasamy R., Arivazhagan E., and Bharathi S. S., 2019, Variability and heritability studies in bottle gourd [</w:t>
      </w:r>
      <w:r w:rsidRPr="00E424C1">
        <w:rPr>
          <w:rFonts w:ascii="Times New Roman" w:hAnsi="Times New Roman"/>
          <w:i/>
          <w:iCs/>
          <w:sz w:val="24"/>
          <w:szCs w:val="24"/>
        </w:rPr>
        <w:t>Lagenaria siceraria</w:t>
      </w:r>
      <w:r w:rsidRPr="00E424C1">
        <w:rPr>
          <w:rFonts w:ascii="Times New Roman" w:hAnsi="Times New Roman"/>
          <w:sz w:val="24"/>
          <w:szCs w:val="24"/>
        </w:rPr>
        <w:t xml:space="preserve"> (Mol.) Standl.]. </w:t>
      </w:r>
      <w:r w:rsidRPr="00E424C1">
        <w:rPr>
          <w:rFonts w:ascii="Times New Roman" w:hAnsi="Times New Roman"/>
          <w:i/>
          <w:iCs/>
          <w:sz w:val="24"/>
          <w:szCs w:val="24"/>
        </w:rPr>
        <w:t>Plant Arch.</w:t>
      </w:r>
      <w:r w:rsidRPr="00E424C1">
        <w:rPr>
          <w:rFonts w:ascii="Times New Roman" w:hAnsi="Times New Roman"/>
          <w:sz w:val="24"/>
          <w:szCs w:val="24"/>
        </w:rPr>
        <w:t>, 19(2): 3263-3266.</w:t>
      </w:r>
    </w:p>
    <w:p w:rsidR="00D90E48" w:rsidRDefault="00D90E48" w:rsidP="00D90E48">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Kichenaradjou M., and Shakila A., 2017, Genetic divergence, heritability and yield traits of different ash gourd accessions (</w:t>
      </w:r>
      <w:r w:rsidRPr="00CC3AA8">
        <w:rPr>
          <w:rFonts w:ascii="Times New Roman" w:hAnsi="Times New Roman"/>
          <w:i/>
          <w:iCs/>
          <w:sz w:val="24"/>
          <w:szCs w:val="24"/>
        </w:rPr>
        <w:t>Benincasa hispida</w:t>
      </w:r>
      <w:r w:rsidRPr="00CC3AA8">
        <w:rPr>
          <w:rFonts w:ascii="Times New Roman" w:hAnsi="Times New Roman"/>
          <w:sz w:val="24"/>
          <w:szCs w:val="24"/>
        </w:rPr>
        <w:t xml:space="preserve">). </w:t>
      </w:r>
      <w:r w:rsidRPr="00CC3AA8">
        <w:rPr>
          <w:rFonts w:ascii="Times New Roman" w:hAnsi="Times New Roman"/>
          <w:i/>
          <w:iCs/>
          <w:sz w:val="24"/>
          <w:szCs w:val="24"/>
        </w:rPr>
        <w:t>Int. J. Agric. Sci. Res.</w:t>
      </w:r>
      <w:r w:rsidRPr="00CC3AA8">
        <w:rPr>
          <w:rFonts w:ascii="Times New Roman" w:hAnsi="Times New Roman"/>
          <w:sz w:val="24"/>
          <w:szCs w:val="24"/>
        </w:rPr>
        <w:t>, 7(6): 453-458.</w:t>
      </w:r>
    </w:p>
    <w:p w:rsidR="00EE755A" w:rsidRDefault="00EE755A" w:rsidP="00D90E48">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Maurya D., Singh V. B., Yadav G. C. and Kumar V., 2018, Studies on genetic variability, heritability and genetic advance in bitter gourd (</w:t>
      </w:r>
      <w:r w:rsidRPr="00CC3AA8">
        <w:rPr>
          <w:rFonts w:ascii="Times New Roman" w:hAnsi="Times New Roman"/>
          <w:i/>
          <w:sz w:val="24"/>
          <w:szCs w:val="24"/>
        </w:rPr>
        <w:t>Momordicacharantia</w:t>
      </w:r>
      <w:r w:rsidRPr="00CC3AA8">
        <w:rPr>
          <w:rFonts w:ascii="Times New Roman" w:hAnsi="Times New Roman"/>
          <w:sz w:val="24"/>
          <w:szCs w:val="24"/>
        </w:rPr>
        <w:t xml:space="preserve"> L.). </w:t>
      </w:r>
      <w:r w:rsidRPr="00CC3AA8">
        <w:rPr>
          <w:rFonts w:ascii="Times New Roman" w:hAnsi="Times New Roman"/>
          <w:i/>
          <w:iCs/>
          <w:sz w:val="24"/>
          <w:szCs w:val="24"/>
        </w:rPr>
        <w:t>J. Pharmacog. Phytochem.</w:t>
      </w:r>
      <w:r w:rsidRPr="00CC3AA8">
        <w:rPr>
          <w:rFonts w:ascii="Times New Roman" w:hAnsi="Times New Roman"/>
          <w:sz w:val="24"/>
          <w:szCs w:val="24"/>
        </w:rPr>
        <w:t>, 7(5): 1925-1928.</w:t>
      </w:r>
    </w:p>
    <w:p w:rsidR="004F437E" w:rsidRDefault="004F437E" w:rsidP="004F437E">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lastRenderedPageBreak/>
        <w:t>Nagaraju K., Saraswathi T., Saravanapriya M., Bommesh J. C., Rakesh Sharma V., Padiyaraj P., Yadav R. K. and Iyannar R., 2016, Diversity analysis in scented and non-scented ash gourd (</w:t>
      </w:r>
      <w:r w:rsidRPr="00CC3AA8">
        <w:rPr>
          <w:rFonts w:ascii="Times New Roman" w:hAnsi="Times New Roman"/>
          <w:i/>
          <w:sz w:val="24"/>
          <w:szCs w:val="24"/>
        </w:rPr>
        <w:t>Benincasa hispida</w:t>
      </w:r>
      <w:r w:rsidRPr="00CC3AA8">
        <w:rPr>
          <w:rFonts w:ascii="Times New Roman" w:hAnsi="Times New Roman"/>
          <w:sz w:val="24"/>
          <w:szCs w:val="24"/>
        </w:rPr>
        <w:t xml:space="preserve"> (Thunb.) Cogn.) genotypes. </w:t>
      </w:r>
      <w:r w:rsidRPr="00CC3AA8">
        <w:rPr>
          <w:rStyle w:val="Emphasis"/>
          <w:rFonts w:ascii="Times New Roman" w:hAnsi="Times New Roman"/>
          <w:bCs/>
          <w:sz w:val="24"/>
          <w:szCs w:val="24"/>
          <w:shd w:val="clear" w:color="auto" w:fill="FFFFFF"/>
        </w:rPr>
        <w:t>Plant Arch</w:t>
      </w:r>
      <w:r w:rsidRPr="00CC3AA8">
        <w:rPr>
          <w:rFonts w:ascii="Times New Roman" w:hAnsi="Times New Roman"/>
          <w:sz w:val="24"/>
          <w:szCs w:val="24"/>
        </w:rPr>
        <w:t>, 16(1): 23-30.</w:t>
      </w:r>
    </w:p>
    <w:p w:rsidR="009E2768" w:rsidRDefault="009E2768" w:rsidP="009E2768">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 xml:space="preserve">Narayan K., Verma L. S., Agrawal S., Paikra M. S. and Kar S., 2011, Evaluation of ash gourd genotypes grown as an intercrop in coconut garden under Bastar (Chhattisgarh) condition. </w:t>
      </w:r>
      <w:r w:rsidRPr="00CC3AA8">
        <w:rPr>
          <w:rFonts w:ascii="Times New Roman" w:hAnsi="Times New Roman"/>
          <w:i/>
          <w:iCs/>
          <w:sz w:val="24"/>
          <w:szCs w:val="24"/>
        </w:rPr>
        <w:t>Asian J. Hort.</w:t>
      </w:r>
      <w:r w:rsidRPr="00CC3AA8">
        <w:rPr>
          <w:rFonts w:ascii="Times New Roman" w:hAnsi="Times New Roman"/>
          <w:sz w:val="24"/>
          <w:szCs w:val="24"/>
        </w:rPr>
        <w:t>, 6(2): 439-441.</w:t>
      </w:r>
    </w:p>
    <w:p w:rsidR="00B811AA" w:rsidRDefault="00B811AA" w:rsidP="00B811AA">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Panigrahi I. and Duhan D. S., 2018, Study of variability and morphological characterization of cultivated genotypes of bottle gourd [</w:t>
      </w:r>
      <w:r w:rsidRPr="00CC3AA8">
        <w:rPr>
          <w:rFonts w:ascii="Times New Roman" w:hAnsi="Times New Roman"/>
          <w:i/>
          <w:sz w:val="24"/>
          <w:szCs w:val="24"/>
        </w:rPr>
        <w:t>Lagenaria siceraria</w:t>
      </w:r>
      <w:r w:rsidRPr="00CC3AA8">
        <w:rPr>
          <w:rFonts w:ascii="Times New Roman" w:hAnsi="Times New Roman"/>
          <w:sz w:val="24"/>
          <w:szCs w:val="24"/>
        </w:rPr>
        <w:t xml:space="preserve"> (Mol.) Stdl.]. </w:t>
      </w:r>
      <w:r w:rsidRPr="00CC3AA8">
        <w:rPr>
          <w:rFonts w:ascii="Times New Roman" w:hAnsi="Times New Roman"/>
          <w:i/>
          <w:iCs/>
          <w:sz w:val="24"/>
          <w:szCs w:val="24"/>
        </w:rPr>
        <w:t>Int. J. Chem. Stud.</w:t>
      </w:r>
      <w:r w:rsidRPr="00CC3AA8">
        <w:rPr>
          <w:rFonts w:ascii="Times New Roman" w:hAnsi="Times New Roman"/>
          <w:sz w:val="24"/>
          <w:szCs w:val="24"/>
        </w:rPr>
        <w:t>, 6(1): 1863-1866.</w:t>
      </w:r>
    </w:p>
    <w:p w:rsidR="00B811AA" w:rsidRDefault="00B811AA" w:rsidP="00B811AA">
      <w:pPr>
        <w:spacing w:line="360" w:lineRule="auto"/>
        <w:ind w:left="540" w:hanging="540"/>
        <w:jc w:val="both"/>
        <w:rPr>
          <w:rFonts w:ascii="Times New Roman" w:hAnsi="Times New Roman"/>
          <w:sz w:val="24"/>
          <w:szCs w:val="24"/>
        </w:rPr>
      </w:pPr>
      <w:r w:rsidRPr="00E424C1">
        <w:rPr>
          <w:rFonts w:ascii="Times New Roman" w:hAnsi="Times New Roman"/>
          <w:sz w:val="24"/>
          <w:szCs w:val="24"/>
        </w:rPr>
        <w:t>Ram D., Rai M., and Yadav D. S., 2007, Characterization and evaluation of winter fruited bottle gourd (</w:t>
      </w:r>
      <w:r w:rsidRPr="009277C0">
        <w:rPr>
          <w:rFonts w:ascii="Times New Roman" w:hAnsi="Times New Roman"/>
          <w:i/>
          <w:sz w:val="24"/>
          <w:szCs w:val="24"/>
        </w:rPr>
        <w:t>Lagenaria siceraria</w:t>
      </w:r>
      <w:r w:rsidRPr="00E424C1">
        <w:rPr>
          <w:rFonts w:ascii="Times New Roman" w:hAnsi="Times New Roman"/>
          <w:sz w:val="24"/>
          <w:szCs w:val="24"/>
        </w:rPr>
        <w:t xml:space="preserve"> (Mol.) Standl). </w:t>
      </w:r>
      <w:r w:rsidRPr="00E424C1">
        <w:rPr>
          <w:rFonts w:ascii="Times New Roman" w:hAnsi="Times New Roman"/>
          <w:i/>
          <w:iCs/>
          <w:sz w:val="24"/>
          <w:szCs w:val="24"/>
        </w:rPr>
        <w:t>Acta Hort.</w:t>
      </w:r>
      <w:r w:rsidRPr="00E424C1">
        <w:rPr>
          <w:rFonts w:ascii="Times New Roman" w:hAnsi="Times New Roman"/>
          <w:sz w:val="24"/>
          <w:szCs w:val="24"/>
        </w:rPr>
        <w:t>, 752: 231-237.</w:t>
      </w:r>
    </w:p>
    <w:p w:rsidR="00B811AA" w:rsidRDefault="00B811AA" w:rsidP="00B811AA">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Radharani K., Reddy K., and Raju C., 2013, Heterosis and combining ability for quantitative traits in bitter gourd (</w:t>
      </w:r>
      <w:r w:rsidRPr="00CC3AA8">
        <w:rPr>
          <w:rFonts w:ascii="Times New Roman" w:hAnsi="Times New Roman"/>
          <w:i/>
          <w:sz w:val="24"/>
          <w:szCs w:val="24"/>
        </w:rPr>
        <w:t>Momordicacharantia</w:t>
      </w:r>
      <w:r w:rsidRPr="00CC3AA8">
        <w:rPr>
          <w:rFonts w:ascii="Times New Roman" w:hAnsi="Times New Roman"/>
          <w:sz w:val="24"/>
          <w:szCs w:val="24"/>
        </w:rPr>
        <w:t xml:space="preserve"> L.). </w:t>
      </w:r>
      <w:r w:rsidRPr="00CC3AA8">
        <w:rPr>
          <w:rFonts w:ascii="Times New Roman" w:hAnsi="Times New Roman"/>
          <w:i/>
          <w:iCs/>
          <w:sz w:val="24"/>
          <w:szCs w:val="24"/>
        </w:rPr>
        <w:t>Curr. Adv. Agric. Sci.</w:t>
      </w:r>
      <w:r w:rsidRPr="00CC3AA8">
        <w:rPr>
          <w:rFonts w:ascii="Times New Roman" w:hAnsi="Times New Roman"/>
          <w:sz w:val="24"/>
          <w:szCs w:val="24"/>
        </w:rPr>
        <w:t>, 5(2): 184-188.</w:t>
      </w:r>
    </w:p>
    <w:p w:rsidR="00D90E48" w:rsidRDefault="00D90E48" w:rsidP="00D90E48">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Rashid M., Wani K. P., Hussain K., Dar Z. A., Singh P. K., Khalil A., Ali G., Farwah S., Hussain S. M., and Rizvi S., 2020, Studies on genetic variability, heritability and genetic advance in bottle gourd [</w:t>
      </w:r>
      <w:r w:rsidRPr="00CC3AA8">
        <w:rPr>
          <w:rFonts w:ascii="Times New Roman" w:hAnsi="Times New Roman"/>
          <w:i/>
          <w:sz w:val="24"/>
          <w:szCs w:val="24"/>
        </w:rPr>
        <w:t>Lagenariasiceraria</w:t>
      </w:r>
      <w:r w:rsidRPr="00CC3AA8">
        <w:rPr>
          <w:rFonts w:ascii="Times New Roman" w:hAnsi="Times New Roman"/>
          <w:sz w:val="24"/>
          <w:szCs w:val="24"/>
        </w:rPr>
        <w:t xml:space="preserve"> (Molina) Standl.] genotypes. </w:t>
      </w:r>
      <w:r w:rsidRPr="00CC3AA8">
        <w:rPr>
          <w:rFonts w:ascii="Times New Roman" w:hAnsi="Times New Roman"/>
          <w:i/>
          <w:iCs/>
          <w:sz w:val="24"/>
          <w:szCs w:val="24"/>
        </w:rPr>
        <w:t>Int. J. Chem. Stud.</w:t>
      </w:r>
      <w:r w:rsidRPr="00CC3AA8">
        <w:rPr>
          <w:rFonts w:ascii="Times New Roman" w:hAnsi="Times New Roman"/>
          <w:sz w:val="24"/>
          <w:szCs w:val="24"/>
        </w:rPr>
        <w:t>, 8(3): 455-458.</w:t>
      </w:r>
    </w:p>
    <w:p w:rsidR="00B811AA" w:rsidRDefault="00B811AA" w:rsidP="00B811AA">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Sanwal S. K., Yadav R. K., Rai N., Yadav D. S., and Singh P. K., 2007, Genetic diversity and interrelation analysis in sweet gourd (</w:t>
      </w:r>
      <w:r w:rsidRPr="00CC3AA8">
        <w:rPr>
          <w:rFonts w:ascii="Times New Roman" w:hAnsi="Times New Roman"/>
          <w:i/>
          <w:sz w:val="24"/>
          <w:szCs w:val="24"/>
        </w:rPr>
        <w:t>Momordicacochinchinensis</w:t>
      </w:r>
      <w:r w:rsidRPr="00CC3AA8">
        <w:rPr>
          <w:rFonts w:ascii="Times New Roman" w:hAnsi="Times New Roman"/>
          <w:sz w:val="24"/>
          <w:szCs w:val="24"/>
        </w:rPr>
        <w:t xml:space="preserve">) genotypes of Northeast India. </w:t>
      </w:r>
      <w:r w:rsidRPr="00CC3AA8">
        <w:rPr>
          <w:rFonts w:ascii="Times New Roman" w:hAnsi="Times New Roman"/>
          <w:i/>
          <w:iCs/>
          <w:sz w:val="24"/>
          <w:szCs w:val="24"/>
        </w:rPr>
        <w:t>Veg. Sci.</w:t>
      </w:r>
      <w:r w:rsidRPr="00CC3AA8">
        <w:rPr>
          <w:rFonts w:ascii="Times New Roman" w:hAnsi="Times New Roman"/>
          <w:sz w:val="24"/>
          <w:szCs w:val="24"/>
        </w:rPr>
        <w:t>, 34(1): 64-66.</w:t>
      </w:r>
    </w:p>
    <w:p w:rsidR="00D207E1" w:rsidRDefault="00D207E1" w:rsidP="00D207E1">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 xml:space="preserve">Samadia D. K., 2011, Genetic variability studies in ridge gourd under arid environment. </w:t>
      </w:r>
      <w:r w:rsidRPr="00CC3AA8">
        <w:rPr>
          <w:rFonts w:ascii="Times New Roman" w:hAnsi="Times New Roman"/>
          <w:i/>
          <w:iCs/>
          <w:sz w:val="24"/>
          <w:szCs w:val="24"/>
        </w:rPr>
        <w:t>Indian J. Hortic.</w:t>
      </w:r>
      <w:r w:rsidRPr="00CC3AA8">
        <w:rPr>
          <w:rFonts w:ascii="Times New Roman" w:hAnsi="Times New Roman"/>
          <w:sz w:val="24"/>
          <w:szCs w:val="24"/>
        </w:rPr>
        <w:t>, 68(2): 275-277.</w:t>
      </w:r>
    </w:p>
    <w:p w:rsidR="00D90E48" w:rsidRPr="00CC3AA8" w:rsidRDefault="00D90E48" w:rsidP="00D90E48">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Shah K. N., Rana D. K., and Singh V., 2018, Evaluation of genetic variability, heritability and genetic advance in cucumber (</w:t>
      </w:r>
      <w:r w:rsidRPr="00CC3AA8">
        <w:rPr>
          <w:rFonts w:ascii="Times New Roman" w:hAnsi="Times New Roman"/>
          <w:i/>
          <w:sz w:val="24"/>
          <w:szCs w:val="24"/>
        </w:rPr>
        <w:t>Cucumis sativus</w:t>
      </w:r>
      <w:r w:rsidRPr="00CC3AA8">
        <w:rPr>
          <w:rFonts w:ascii="Times New Roman" w:hAnsi="Times New Roman"/>
          <w:sz w:val="24"/>
          <w:szCs w:val="24"/>
        </w:rPr>
        <w:t xml:space="preserve"> L.) for various quantitative, qualitative and seed characters. </w:t>
      </w:r>
      <w:r w:rsidRPr="00CC3AA8">
        <w:rPr>
          <w:rFonts w:ascii="Times New Roman" w:hAnsi="Times New Roman"/>
          <w:i/>
          <w:iCs/>
          <w:sz w:val="24"/>
          <w:szCs w:val="24"/>
        </w:rPr>
        <w:t>Int. J. Curr. Microbiol. Appl. Sci.</w:t>
      </w:r>
      <w:r w:rsidRPr="00CC3AA8">
        <w:rPr>
          <w:rFonts w:ascii="Times New Roman" w:hAnsi="Times New Roman"/>
          <w:sz w:val="24"/>
          <w:szCs w:val="24"/>
        </w:rPr>
        <w:t>, 7: 3296-3303.</w:t>
      </w:r>
    </w:p>
    <w:p w:rsidR="009E2768" w:rsidRDefault="009E2768" w:rsidP="009E2768">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lastRenderedPageBreak/>
        <w:t>Sharma M., Kaur J., and Singh D., 2018, Analysis of gene action and heterosis for yield and quality traits in bitter gourd (</w:t>
      </w:r>
      <w:r w:rsidRPr="00CC3AA8">
        <w:rPr>
          <w:rFonts w:ascii="Times New Roman" w:hAnsi="Times New Roman"/>
          <w:i/>
          <w:sz w:val="24"/>
          <w:szCs w:val="24"/>
        </w:rPr>
        <w:t>Momordicacharantia</w:t>
      </w:r>
      <w:r w:rsidRPr="00CC3AA8">
        <w:rPr>
          <w:rFonts w:ascii="Times New Roman" w:hAnsi="Times New Roman"/>
          <w:sz w:val="24"/>
          <w:szCs w:val="24"/>
        </w:rPr>
        <w:t xml:space="preserve"> L.). </w:t>
      </w:r>
      <w:r w:rsidRPr="00CC3AA8">
        <w:rPr>
          <w:rFonts w:ascii="Times New Roman" w:hAnsi="Times New Roman"/>
          <w:i/>
          <w:iCs/>
          <w:sz w:val="24"/>
          <w:szCs w:val="24"/>
        </w:rPr>
        <w:t>J. Plant Breed. Genet.</w:t>
      </w:r>
      <w:r w:rsidRPr="00CC3AA8">
        <w:rPr>
          <w:rFonts w:ascii="Times New Roman" w:hAnsi="Times New Roman"/>
          <w:sz w:val="24"/>
          <w:szCs w:val="24"/>
        </w:rPr>
        <w:t>, 46(1): 58-64.</w:t>
      </w:r>
    </w:p>
    <w:p w:rsidR="00B811AA" w:rsidRDefault="00B811AA" w:rsidP="00B811AA">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 xml:space="preserve">Singh A. K., 2004, Genetic variability in races of bottle gourd in Eastern Uttar Pradesh. M.Sc. (Ag.) Thesis, </w:t>
      </w:r>
      <w:r w:rsidRPr="00CC3AA8">
        <w:rPr>
          <w:rFonts w:ascii="Times New Roman" w:hAnsi="Times New Roman"/>
          <w:i/>
          <w:iCs/>
          <w:sz w:val="24"/>
          <w:szCs w:val="24"/>
        </w:rPr>
        <w:t xml:space="preserve">Dept. Veg. Sci., </w:t>
      </w:r>
      <w:r w:rsidRPr="00CC3AA8">
        <w:rPr>
          <w:rFonts w:ascii="Times New Roman" w:hAnsi="Times New Roman"/>
          <w:sz w:val="24"/>
          <w:szCs w:val="24"/>
        </w:rPr>
        <w:t>NDUA&amp;T, Kumarganj, Ayodhya (U.P.).</w:t>
      </w:r>
    </w:p>
    <w:p w:rsidR="00B811AA" w:rsidRPr="00CC3AA8" w:rsidRDefault="00B811AA" w:rsidP="00B811AA">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Singh A. K., Pandey U. B., and Mamta S., 2000, Studies on heterosis in bitter gourd (</w:t>
      </w:r>
      <w:r w:rsidRPr="00CC3AA8">
        <w:rPr>
          <w:rFonts w:ascii="Times New Roman" w:hAnsi="Times New Roman"/>
          <w:i/>
          <w:sz w:val="24"/>
          <w:szCs w:val="24"/>
        </w:rPr>
        <w:t>Momordicacharantia</w:t>
      </w:r>
      <w:r w:rsidRPr="00CC3AA8">
        <w:rPr>
          <w:rFonts w:ascii="Times New Roman" w:hAnsi="Times New Roman"/>
          <w:sz w:val="24"/>
          <w:szCs w:val="24"/>
        </w:rPr>
        <w:t xml:space="preserve"> L.). </w:t>
      </w:r>
      <w:r w:rsidRPr="00CC3AA8">
        <w:rPr>
          <w:rFonts w:ascii="Times New Roman" w:hAnsi="Times New Roman"/>
          <w:i/>
          <w:iCs/>
          <w:sz w:val="24"/>
          <w:szCs w:val="24"/>
        </w:rPr>
        <w:t>Veg. Sci.</w:t>
      </w:r>
      <w:r w:rsidRPr="00CC3AA8">
        <w:rPr>
          <w:rFonts w:ascii="Times New Roman" w:hAnsi="Times New Roman"/>
          <w:sz w:val="24"/>
          <w:szCs w:val="24"/>
        </w:rPr>
        <w:t>, 27(2): 158-161.</w:t>
      </w:r>
    </w:p>
    <w:p w:rsidR="00B811AA" w:rsidRDefault="00B811AA" w:rsidP="00B811AA">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Singh A. K., Pan R. S., and Bhavana P., 2013, Heterosis and combining ability analysis in bitter gourd (</w:t>
      </w:r>
      <w:r w:rsidRPr="00CC3AA8">
        <w:rPr>
          <w:rFonts w:ascii="Times New Roman" w:hAnsi="Times New Roman"/>
          <w:i/>
          <w:iCs/>
          <w:sz w:val="24"/>
          <w:szCs w:val="24"/>
        </w:rPr>
        <w:t>Momordicacharantia</w:t>
      </w:r>
      <w:r w:rsidRPr="00CC3AA8">
        <w:rPr>
          <w:rFonts w:ascii="Times New Roman" w:hAnsi="Times New Roman"/>
          <w:sz w:val="24"/>
          <w:szCs w:val="24"/>
        </w:rPr>
        <w:t xml:space="preserve"> L.). </w:t>
      </w:r>
      <w:r w:rsidRPr="00CC3AA8">
        <w:rPr>
          <w:rFonts w:ascii="Times New Roman" w:hAnsi="Times New Roman"/>
          <w:i/>
          <w:iCs/>
          <w:sz w:val="24"/>
          <w:szCs w:val="24"/>
        </w:rPr>
        <w:t>The Bioscan</w:t>
      </w:r>
      <w:r w:rsidRPr="00CC3AA8">
        <w:rPr>
          <w:rFonts w:ascii="Times New Roman" w:hAnsi="Times New Roman"/>
          <w:sz w:val="24"/>
          <w:szCs w:val="24"/>
        </w:rPr>
        <w:t>, 8(4): 1533-1536.</w:t>
      </w:r>
    </w:p>
    <w:p w:rsidR="00B811AA" w:rsidRDefault="00B811AA" w:rsidP="00B811AA">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Singh R., Singh B., Prakash S., Kumar M., Kumar V., Chand P., and Vaishali, 2021, Genetic variability, heritability and genetic advance in bottle gourd (</w:t>
      </w:r>
      <w:r w:rsidRPr="00CC3AA8">
        <w:rPr>
          <w:rFonts w:ascii="Times New Roman" w:hAnsi="Times New Roman"/>
          <w:i/>
          <w:sz w:val="24"/>
          <w:szCs w:val="24"/>
        </w:rPr>
        <w:t>Lagenaria siceraria</w:t>
      </w:r>
      <w:r w:rsidRPr="00CC3AA8">
        <w:rPr>
          <w:rFonts w:ascii="Times New Roman" w:hAnsi="Times New Roman"/>
          <w:sz w:val="24"/>
          <w:szCs w:val="24"/>
        </w:rPr>
        <w:t xml:space="preserve">). </w:t>
      </w:r>
      <w:r w:rsidRPr="00CC3AA8">
        <w:rPr>
          <w:rFonts w:ascii="Times New Roman" w:hAnsi="Times New Roman"/>
          <w:i/>
          <w:iCs/>
          <w:sz w:val="24"/>
          <w:szCs w:val="24"/>
        </w:rPr>
        <w:t>Ann. Hort.</w:t>
      </w:r>
      <w:r w:rsidRPr="00CC3AA8">
        <w:rPr>
          <w:rFonts w:ascii="Times New Roman" w:hAnsi="Times New Roman"/>
          <w:sz w:val="24"/>
          <w:szCs w:val="24"/>
        </w:rPr>
        <w:t>, 14(1): 72-78.</w:t>
      </w:r>
    </w:p>
    <w:p w:rsidR="00003DDF" w:rsidRPr="009E2768" w:rsidRDefault="00003DDF" w:rsidP="00003DDF">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shd w:val="clear" w:color="auto" w:fill="FFFFFF"/>
        </w:rPr>
        <w:t>Sultana, S., Rahman, M.S., Ferdous, J., Ahamed, F. and Chowdhury, A.K., 2018. Studies on genetic variability and interrelationship in bottle gourd [Lagenaria siceraria (Mol.) Standl]. </w:t>
      </w:r>
      <w:r w:rsidRPr="00CC3AA8">
        <w:rPr>
          <w:rFonts w:ascii="Times New Roman" w:hAnsi="Times New Roman"/>
          <w:i/>
          <w:iCs/>
          <w:sz w:val="24"/>
          <w:szCs w:val="24"/>
          <w:shd w:val="clear" w:color="auto" w:fill="FFFFFF"/>
        </w:rPr>
        <w:t>International Journal of Agricultural Research, Innovation and Technology</w:t>
      </w:r>
      <w:r w:rsidRPr="00CC3AA8">
        <w:rPr>
          <w:rFonts w:ascii="Times New Roman" w:hAnsi="Times New Roman"/>
          <w:sz w:val="24"/>
          <w:szCs w:val="24"/>
          <w:shd w:val="clear" w:color="auto" w:fill="FFFFFF"/>
        </w:rPr>
        <w:t>, </w:t>
      </w:r>
      <w:r w:rsidRPr="00CC3AA8">
        <w:rPr>
          <w:rFonts w:ascii="Times New Roman" w:hAnsi="Times New Roman"/>
          <w:i/>
          <w:iCs/>
          <w:sz w:val="24"/>
          <w:szCs w:val="24"/>
          <w:shd w:val="clear" w:color="auto" w:fill="FFFFFF"/>
        </w:rPr>
        <w:t>8</w:t>
      </w:r>
      <w:r w:rsidRPr="00CC3AA8">
        <w:rPr>
          <w:rFonts w:ascii="Times New Roman" w:hAnsi="Times New Roman"/>
          <w:sz w:val="24"/>
          <w:szCs w:val="24"/>
          <w:shd w:val="clear" w:color="auto" w:fill="FFFFFF"/>
        </w:rPr>
        <w:t>(1), pp.14-17.</w:t>
      </w:r>
    </w:p>
    <w:p w:rsidR="009E2768" w:rsidRDefault="009E2768" w:rsidP="009E2768">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Sundaram V., 2007, Studies on hybrid vigour in bitter gourd (</w:t>
      </w:r>
      <w:r w:rsidRPr="00CC3AA8">
        <w:rPr>
          <w:rFonts w:ascii="Times New Roman" w:hAnsi="Times New Roman"/>
          <w:i/>
          <w:sz w:val="24"/>
          <w:szCs w:val="24"/>
        </w:rPr>
        <w:t>Momordicacharantia</w:t>
      </w:r>
      <w:r w:rsidRPr="00CC3AA8">
        <w:rPr>
          <w:rFonts w:ascii="Times New Roman" w:hAnsi="Times New Roman"/>
          <w:sz w:val="24"/>
          <w:szCs w:val="24"/>
        </w:rPr>
        <w:t xml:space="preserve"> L.) under salinity. </w:t>
      </w:r>
      <w:r w:rsidRPr="00CC3AA8">
        <w:rPr>
          <w:rFonts w:ascii="Times New Roman" w:hAnsi="Times New Roman"/>
          <w:i/>
          <w:iCs/>
          <w:sz w:val="24"/>
          <w:szCs w:val="24"/>
        </w:rPr>
        <w:t>Asian J. Hort.</w:t>
      </w:r>
      <w:r w:rsidRPr="00CC3AA8">
        <w:rPr>
          <w:rFonts w:ascii="Times New Roman" w:hAnsi="Times New Roman"/>
          <w:sz w:val="24"/>
          <w:szCs w:val="24"/>
        </w:rPr>
        <w:t>, 2(2): 151-156.</w:t>
      </w:r>
    </w:p>
    <w:p w:rsidR="009E2768" w:rsidRDefault="009E2768" w:rsidP="009E2768">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Thakur P., Singh J., Nair S. K. and Dash S. P., 2017, Correlation and path analysis in bottle gourd [</w:t>
      </w:r>
      <w:r w:rsidRPr="00CC3AA8">
        <w:rPr>
          <w:rFonts w:ascii="Times New Roman" w:hAnsi="Times New Roman"/>
          <w:i/>
          <w:sz w:val="24"/>
          <w:szCs w:val="24"/>
        </w:rPr>
        <w:t>Lagenariasiceraria</w:t>
      </w:r>
      <w:r w:rsidRPr="00CC3AA8">
        <w:rPr>
          <w:rFonts w:ascii="Times New Roman" w:hAnsi="Times New Roman"/>
          <w:sz w:val="24"/>
          <w:szCs w:val="24"/>
        </w:rPr>
        <w:t xml:space="preserve"> (Molina) Standl.]. </w:t>
      </w:r>
      <w:r w:rsidRPr="00CC3AA8">
        <w:rPr>
          <w:rFonts w:ascii="Times New Roman" w:hAnsi="Times New Roman"/>
          <w:i/>
          <w:iCs/>
          <w:sz w:val="24"/>
          <w:szCs w:val="24"/>
        </w:rPr>
        <w:t>Int. J. Curr. Microbiol. Appl. Sci.</w:t>
      </w:r>
      <w:r w:rsidRPr="00CC3AA8">
        <w:rPr>
          <w:rFonts w:ascii="Times New Roman" w:hAnsi="Times New Roman"/>
          <w:sz w:val="24"/>
          <w:szCs w:val="24"/>
        </w:rPr>
        <w:t>, 6(12): 1478-1485.</w:t>
      </w:r>
    </w:p>
    <w:p w:rsidR="00B811AA" w:rsidRDefault="00B811AA" w:rsidP="00B811AA">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Vaidya A. V., Wani K. P., Mallikarjunarao K., Singh P. K. and Saran R., 2016, Correlation and path coefficient analysis studies in bottle gourd [</w:t>
      </w:r>
      <w:r w:rsidRPr="00CC3AA8">
        <w:rPr>
          <w:rFonts w:ascii="Times New Roman" w:hAnsi="Times New Roman"/>
          <w:i/>
          <w:sz w:val="24"/>
          <w:szCs w:val="24"/>
        </w:rPr>
        <w:t>Lagenariasiceraria</w:t>
      </w:r>
      <w:r w:rsidRPr="00CC3AA8">
        <w:rPr>
          <w:rFonts w:ascii="Times New Roman" w:hAnsi="Times New Roman"/>
          <w:sz w:val="24"/>
          <w:szCs w:val="24"/>
        </w:rPr>
        <w:t xml:space="preserve"> (Molina) Standl.]. </w:t>
      </w:r>
      <w:r w:rsidRPr="00CC3AA8">
        <w:rPr>
          <w:rFonts w:ascii="Times New Roman" w:hAnsi="Times New Roman"/>
          <w:i/>
          <w:iCs/>
          <w:sz w:val="24"/>
          <w:szCs w:val="24"/>
        </w:rPr>
        <w:t>Ecol. Environ. Conserv.</w:t>
      </w:r>
      <w:r w:rsidRPr="00CC3AA8">
        <w:rPr>
          <w:rFonts w:ascii="Times New Roman" w:hAnsi="Times New Roman"/>
          <w:sz w:val="24"/>
          <w:szCs w:val="24"/>
        </w:rPr>
        <w:t>, 22: 81-86.</w:t>
      </w:r>
    </w:p>
    <w:p w:rsidR="00D90E48" w:rsidRDefault="00D90E48" w:rsidP="00D90E48">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lastRenderedPageBreak/>
        <w:t>Varalakshmi B., Pitchaimuthu M. and Rao E. S., 2018, Genetic variability, correlation and path analysis in bottle gourd (</w:t>
      </w:r>
      <w:r w:rsidRPr="00CC3AA8">
        <w:rPr>
          <w:rFonts w:ascii="Times New Roman" w:hAnsi="Times New Roman"/>
          <w:i/>
          <w:sz w:val="24"/>
          <w:szCs w:val="24"/>
        </w:rPr>
        <w:t>Lagenaria siceraria</w:t>
      </w:r>
      <w:r w:rsidRPr="00CC3AA8">
        <w:rPr>
          <w:rFonts w:ascii="Times New Roman" w:hAnsi="Times New Roman"/>
          <w:sz w:val="24"/>
          <w:szCs w:val="24"/>
        </w:rPr>
        <w:t xml:space="preserve"> (Mol.) Standl.) germplasm. </w:t>
      </w:r>
      <w:r w:rsidRPr="00CC3AA8">
        <w:rPr>
          <w:rFonts w:ascii="Times New Roman" w:hAnsi="Times New Roman"/>
          <w:i/>
          <w:sz w:val="24"/>
          <w:szCs w:val="24"/>
          <w:shd w:val="clear" w:color="auto" w:fill="FFFFFF"/>
        </w:rPr>
        <w:t>J. Hortic. Sci.</w:t>
      </w:r>
      <w:r w:rsidRPr="00CC3AA8">
        <w:rPr>
          <w:rFonts w:ascii="Times New Roman" w:hAnsi="Times New Roman"/>
          <w:sz w:val="24"/>
          <w:szCs w:val="24"/>
        </w:rPr>
        <w:t>, 13(2): 131-136.</w:t>
      </w:r>
    </w:p>
    <w:p w:rsidR="00B811AA" w:rsidRDefault="00B811AA" w:rsidP="00B811AA">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Venkatraman M. and Haripriya K., 2021, Genetic variability, heritability and genetic advance in bottle gourd [</w:t>
      </w:r>
      <w:r w:rsidRPr="00CC3AA8">
        <w:rPr>
          <w:rFonts w:ascii="Times New Roman" w:hAnsi="Times New Roman"/>
          <w:i/>
          <w:sz w:val="24"/>
          <w:szCs w:val="24"/>
        </w:rPr>
        <w:t>Lagenariasiceraria</w:t>
      </w:r>
      <w:r w:rsidRPr="00CC3AA8">
        <w:rPr>
          <w:rFonts w:ascii="Times New Roman" w:hAnsi="Times New Roman"/>
          <w:sz w:val="24"/>
          <w:szCs w:val="24"/>
        </w:rPr>
        <w:t xml:space="preserve"> (Molina) Standl.] genotypes. </w:t>
      </w:r>
      <w:r w:rsidRPr="00CC3AA8">
        <w:rPr>
          <w:rFonts w:ascii="Times New Roman" w:hAnsi="Times New Roman"/>
          <w:i/>
          <w:iCs/>
          <w:sz w:val="24"/>
          <w:szCs w:val="24"/>
        </w:rPr>
        <w:t>Ann. Plant Soil Res.</w:t>
      </w:r>
      <w:r w:rsidRPr="00CC3AA8">
        <w:rPr>
          <w:rFonts w:ascii="Times New Roman" w:hAnsi="Times New Roman"/>
          <w:sz w:val="24"/>
          <w:szCs w:val="24"/>
        </w:rPr>
        <w:t>, 23(2): 200-203.</w:t>
      </w:r>
    </w:p>
    <w:p w:rsidR="00B811AA" w:rsidRDefault="00B811AA" w:rsidP="00B811AA">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Venkatraman M., Anbarasi D. and Haripriya K., 2024, Evaluation of genetic variability, heritability and genetic advance in thirty-five bottle gourd (</w:t>
      </w:r>
      <w:r w:rsidRPr="00CC3AA8">
        <w:rPr>
          <w:rFonts w:ascii="Times New Roman" w:hAnsi="Times New Roman"/>
          <w:i/>
          <w:sz w:val="24"/>
          <w:szCs w:val="24"/>
        </w:rPr>
        <w:t>Lagenaria siceraria</w:t>
      </w:r>
      <w:r w:rsidRPr="00CC3AA8">
        <w:rPr>
          <w:rFonts w:ascii="Times New Roman" w:hAnsi="Times New Roman"/>
          <w:sz w:val="24"/>
          <w:szCs w:val="24"/>
        </w:rPr>
        <w:t xml:space="preserve">) varieties for yield and yield-related traits. </w:t>
      </w:r>
      <w:r w:rsidRPr="00CC3AA8">
        <w:rPr>
          <w:rFonts w:ascii="Times New Roman" w:hAnsi="Times New Roman"/>
          <w:i/>
          <w:iCs/>
          <w:sz w:val="24"/>
          <w:szCs w:val="24"/>
        </w:rPr>
        <w:t>Plant Arch.</w:t>
      </w:r>
      <w:r w:rsidRPr="00CC3AA8">
        <w:rPr>
          <w:rFonts w:ascii="Times New Roman" w:hAnsi="Times New Roman"/>
          <w:sz w:val="24"/>
          <w:szCs w:val="24"/>
        </w:rPr>
        <w:t>, 24(1): 1203-1210.</w:t>
      </w:r>
    </w:p>
    <w:p w:rsidR="009E2768" w:rsidRPr="00CC3AA8" w:rsidRDefault="009E2768" w:rsidP="009E2768">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 xml:space="preserve">Yang S. L. and Walters T. W., 1992. Ethnobotany and the economic role of the Cucurbitaceae of China. </w:t>
      </w:r>
      <w:r w:rsidRPr="00CC3AA8">
        <w:rPr>
          <w:rFonts w:ascii="Times New Roman" w:hAnsi="Times New Roman"/>
          <w:i/>
          <w:iCs/>
          <w:sz w:val="24"/>
          <w:szCs w:val="24"/>
        </w:rPr>
        <w:t>Ecn.c Bot.</w:t>
      </w:r>
      <w:r w:rsidRPr="00CC3AA8">
        <w:rPr>
          <w:rFonts w:ascii="Times New Roman" w:hAnsi="Times New Roman"/>
          <w:sz w:val="24"/>
          <w:szCs w:val="24"/>
        </w:rPr>
        <w:t>, 46(4): 349–367.</w:t>
      </w:r>
    </w:p>
    <w:p w:rsidR="009E2768" w:rsidRPr="00CC3AA8" w:rsidRDefault="009E2768" w:rsidP="009E2768">
      <w:pPr>
        <w:keepLines/>
        <w:spacing w:before="280" w:after="0" w:line="360" w:lineRule="auto"/>
        <w:ind w:left="720" w:hanging="720"/>
        <w:jc w:val="both"/>
        <w:rPr>
          <w:rFonts w:ascii="Times New Roman" w:hAnsi="Times New Roman"/>
          <w:sz w:val="24"/>
          <w:szCs w:val="24"/>
        </w:rPr>
      </w:pPr>
    </w:p>
    <w:p w:rsidR="009E2768" w:rsidRPr="00CC3AA8" w:rsidRDefault="009E2768" w:rsidP="009E2768">
      <w:pPr>
        <w:keepLines/>
        <w:spacing w:before="280" w:after="0" w:line="360" w:lineRule="auto"/>
        <w:ind w:left="720" w:hanging="720"/>
        <w:jc w:val="both"/>
        <w:rPr>
          <w:rFonts w:ascii="Times New Roman" w:hAnsi="Times New Roman"/>
          <w:sz w:val="24"/>
          <w:szCs w:val="24"/>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rsidR="00B7512C" w:rsidRPr="00B7512C" w:rsidRDefault="00B7512C" w:rsidP="00B7512C">
      <w:pPr>
        <w:spacing w:after="0" w:line="360" w:lineRule="auto"/>
        <w:jc w:val="both"/>
        <w:rPr>
          <w:rFonts w:ascii="Times New Roman" w:eastAsia="Times New Roman" w:hAnsi="Times New Roman" w:cs="Times New Roman"/>
          <w:sz w:val="24"/>
          <w:szCs w:val="22"/>
          <w:lang w:val="en-US" w:bidi="ar-SA"/>
        </w:rPr>
      </w:pPr>
    </w:p>
    <w:p w:rsidR="00B7512C" w:rsidRPr="00551406" w:rsidRDefault="00B7512C" w:rsidP="00B7512C">
      <w:pPr>
        <w:widowControl w:val="0"/>
        <w:autoSpaceDE w:val="0"/>
        <w:autoSpaceDN w:val="0"/>
        <w:adjustRightInd w:val="0"/>
        <w:spacing w:after="0" w:line="360" w:lineRule="auto"/>
        <w:jc w:val="both"/>
        <w:rPr>
          <w:rFonts w:ascii="Times New Roman" w:hAnsi="Times New Roman" w:cs="Times New Roman"/>
          <w:color w:val="000000" w:themeColor="text1" w:themeShade="BF"/>
          <w:sz w:val="24"/>
          <w:szCs w:val="24"/>
        </w:rPr>
      </w:pPr>
    </w:p>
    <w:p w:rsidR="00B7512C" w:rsidRPr="001C7BBE" w:rsidRDefault="00B7512C" w:rsidP="001C7BBE">
      <w:pPr>
        <w:spacing w:after="0" w:line="360" w:lineRule="auto"/>
        <w:ind w:firstLine="720"/>
        <w:jc w:val="both"/>
        <w:rPr>
          <w:rFonts w:ascii="Times New Roman" w:eastAsia="Times New Roman" w:hAnsi="Times New Roman" w:cs="Times New Roman"/>
          <w:sz w:val="24"/>
          <w:szCs w:val="22"/>
          <w:lang w:val="en-US" w:bidi="ar-SA"/>
        </w:rPr>
      </w:pPr>
    </w:p>
    <w:p w:rsidR="00140E9C" w:rsidRPr="00256C7C" w:rsidRDefault="00140E9C">
      <w:pPr>
        <w:rPr>
          <w:lang w:val="en-US"/>
        </w:rPr>
      </w:pPr>
    </w:p>
    <w:sectPr w:rsidR="00140E9C" w:rsidRPr="00256C7C" w:rsidSect="00F412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252" w:rsidRDefault="00853252" w:rsidP="00537D3E">
      <w:pPr>
        <w:spacing w:after="0" w:line="240" w:lineRule="auto"/>
      </w:pPr>
      <w:r>
        <w:separator/>
      </w:r>
    </w:p>
  </w:endnote>
  <w:endnote w:type="continuationSeparator" w:id="0">
    <w:p w:rsidR="00853252" w:rsidRDefault="00853252" w:rsidP="00537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unga">
    <w:panose1 w:val="00000400000000000000"/>
    <w:charset w:val="01"/>
    <w:family w:val="roman"/>
    <w:notTrueType/>
    <w:pitch w:val="variable"/>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F18" w:rsidRDefault="00F62F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F18" w:rsidRDefault="00F62F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F18" w:rsidRDefault="00F62F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F18" w:rsidRDefault="00F62F18">
    <w:pPr>
      <w:pStyle w:val="Foote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114F27">
      <w:rPr>
        <w:rFonts w:ascii="Times New Roman" w:hAnsi="Times New Roman"/>
        <w:noProof/>
        <w:sz w:val="24"/>
        <w:szCs w:val="24"/>
      </w:rPr>
      <w:t>11</w:t>
    </w:r>
    <w:r>
      <w:rPr>
        <w:rFonts w:ascii="Times New Roman" w:hAnsi="Times New Roman"/>
        <w:noProof/>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F18" w:rsidRDefault="00F62F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252" w:rsidRDefault="00853252" w:rsidP="00537D3E">
      <w:pPr>
        <w:spacing w:after="0" w:line="240" w:lineRule="auto"/>
      </w:pPr>
      <w:r>
        <w:separator/>
      </w:r>
    </w:p>
  </w:footnote>
  <w:footnote w:type="continuationSeparator" w:id="0">
    <w:p w:rsidR="00853252" w:rsidRDefault="00853252" w:rsidP="00537D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F18" w:rsidRDefault="008532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19" o:spid="_x0000_s2054" type="#_x0000_t136" style="position:absolute;margin-left:0;margin-top:0;width:555.6pt;height:104.15pt;rotation:315;z-index:-25165004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F18" w:rsidRDefault="008532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20" o:spid="_x0000_s2055" type="#_x0000_t136" style="position:absolute;margin-left:0;margin-top:0;width:555.6pt;height:104.15pt;rotation:315;z-index:-25164800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Pr>
        <w:noProof/>
      </w:rPr>
      <w:pict>
        <v:rect id="4097" o:spid="_x0000_s2049" style="position:absolute;margin-left:-46.8pt;margin-top:0;width:28.55pt;height:19.25pt;z-index:251660288;visibility:visible;mso-wrap-style:none;mso-wrap-distance-left:0;mso-wrap-distance-right:0;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" o:allowincell="f" stroked="f">
          <v:textbox style="layout-flow:vertical;mso-next-textbox:#4097;mso-fit-shape-to-text:t">
            <w:txbxContent>
              <w:p w:rsidR="00F62F18" w:rsidRDefault="00F62F18">
                <w:pPr>
                  <w:spacing w:after="0" w:line="240" w:lineRule="auto"/>
                  <w:jc w:val="center"/>
                  <w:rPr>
                    <w:rFonts w:ascii="Times New Roman" w:eastAsia="SimSun" w:hAnsi="Times New Roman"/>
                    <w:sz w:val="24"/>
                    <w:szCs w:val="24"/>
                  </w:rPr>
                </w:pPr>
                <w:r>
                  <w:rPr>
                    <w:rFonts w:ascii="Times New Roman" w:eastAsia="SimSun" w:hAnsi="Times New Roman"/>
                    <w:sz w:val="24"/>
                    <w:szCs w:val="24"/>
                  </w:rPr>
                  <w:fldChar w:fldCharType="begin"/>
                </w:r>
                <w:r>
                  <w:rPr>
                    <w:rFonts w:ascii="Times New Roman" w:hAnsi="Times New Roman"/>
                    <w:sz w:val="24"/>
                    <w:szCs w:val="24"/>
                  </w:rPr>
                  <w:instrText xml:space="preserve"> PAGE   \* MERGEFORMAT </w:instrText>
                </w:r>
                <w:r>
                  <w:rPr>
                    <w:rFonts w:ascii="Times New Roman" w:eastAsia="SimSun" w:hAnsi="Times New Roman"/>
                    <w:sz w:val="24"/>
                    <w:szCs w:val="24"/>
                  </w:rPr>
                  <w:fldChar w:fldCharType="separate"/>
                </w:r>
                <w:r w:rsidR="00114F27" w:rsidRPr="00114F27">
                  <w:rPr>
                    <w:rFonts w:ascii="Times New Roman" w:eastAsia="SimSun" w:hAnsi="Times New Roman"/>
                    <w:noProof/>
                    <w:sz w:val="24"/>
                    <w:szCs w:val="24"/>
                  </w:rPr>
                  <w:t>8</w:t>
                </w:r>
                <w:r>
                  <w:rPr>
                    <w:rFonts w:ascii="Times New Roman" w:eastAsia="SimSun" w:hAnsi="Times New Roman"/>
                    <w:noProof/>
                    <w:sz w:val="24"/>
                    <w:szCs w:val="24"/>
                  </w:rPr>
                  <w:fldChar w:fldCharType="end"/>
                </w:r>
              </w:p>
            </w:txbxContent>
          </v:textbox>
          <w10:wrap anchory="margin"/>
        </v:rect>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F18" w:rsidRDefault="008532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18" o:spid="_x0000_s2053" type="#_x0000_t136" style="position:absolute;margin-left:0;margin-top:0;width:555.6pt;height:104.15pt;rotation:315;z-index:-25165209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F18" w:rsidRDefault="008532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22" o:spid="_x0000_s2057" type="#_x0000_t136" style="position:absolute;margin-left:0;margin-top:0;width:555.6pt;height:104.15pt;rotation:315;z-index:-25164390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F18" w:rsidRDefault="008532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23" o:spid="_x0000_s2058" type="#_x0000_t136" style="position:absolute;margin-left:0;margin-top:0;width:555.6pt;height:104.15pt;rotation:315;z-index:-25164185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F18" w:rsidRDefault="008532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21" o:spid="_x0000_s2056" type="#_x0000_t136" style="position:absolute;margin-left:0;margin-top:0;width:555.6pt;height:104.15pt;rotation:315;z-index:-2516459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F18" w:rsidRDefault="008532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25" o:spid="_x0000_s2060" type="#_x0000_t136" style="position:absolute;margin-left:0;margin-top:0;width:555.6pt;height:104.15pt;rotation:315;z-index:-25163776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F18" w:rsidRDefault="008532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26" o:spid="_x0000_s2061" type="#_x0000_t136" style="position:absolute;margin-left:0;margin-top:0;width:555.6pt;height:104.15pt;rotation:315;z-index:-25163571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Pr>
        <w:noProof/>
      </w:rPr>
      <w:pict>
        <v:rect id="4098" o:spid="_x0000_s2050" style="position:absolute;margin-left:-46.8pt;margin-top:0;width:28.55pt;height:19.25pt;z-index:251662336;visibility:visible;mso-wrap-style:none;mso-wrap-distance-left:0;mso-wrap-distance-right:0;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" o:allowincell="f" stroked="f">
          <v:textbox style="layout-flow:vertical;mso-fit-shape-to-text:t">
            <w:txbxContent>
              <w:p w:rsidR="00F62F18" w:rsidRDefault="00F62F18">
                <w:pPr>
                  <w:spacing w:after="0" w:line="240" w:lineRule="auto"/>
                  <w:jc w:val="center"/>
                  <w:rPr>
                    <w:rFonts w:ascii="Times New Roman" w:eastAsia="SimSun" w:hAnsi="Times New Roman"/>
                    <w:sz w:val="24"/>
                    <w:szCs w:val="24"/>
                  </w:rPr>
                </w:pPr>
                <w:r>
                  <w:rPr>
                    <w:rFonts w:ascii="Times New Roman" w:eastAsia="SimSun" w:hAnsi="Times New Roman"/>
                    <w:sz w:val="24"/>
                    <w:szCs w:val="24"/>
                  </w:rPr>
                  <w:fldChar w:fldCharType="begin"/>
                </w:r>
                <w:r>
                  <w:rPr>
                    <w:rFonts w:ascii="Times New Roman" w:hAnsi="Times New Roman"/>
                    <w:sz w:val="24"/>
                    <w:szCs w:val="24"/>
                  </w:rPr>
                  <w:instrText xml:space="preserve"> PAGE   \* MERGEFORMAT </w:instrText>
                </w:r>
                <w:r>
                  <w:rPr>
                    <w:rFonts w:ascii="Times New Roman" w:eastAsia="SimSun" w:hAnsi="Times New Roman"/>
                    <w:sz w:val="24"/>
                    <w:szCs w:val="24"/>
                  </w:rPr>
                  <w:fldChar w:fldCharType="separate"/>
                </w:r>
                <w:r w:rsidR="00114F27" w:rsidRPr="00114F27">
                  <w:rPr>
                    <w:rFonts w:ascii="Times New Roman" w:eastAsia="SimSun" w:hAnsi="Times New Roman"/>
                    <w:noProof/>
                    <w:sz w:val="24"/>
                    <w:szCs w:val="24"/>
                  </w:rPr>
                  <w:t>18</w:t>
                </w:r>
                <w:r>
                  <w:rPr>
                    <w:rFonts w:ascii="Times New Roman" w:eastAsia="SimSun" w:hAnsi="Times New Roman"/>
                    <w:noProof/>
                    <w:sz w:val="24"/>
                    <w:szCs w:val="24"/>
                  </w:rPr>
                  <w:fldChar w:fldCharType="end"/>
                </w:r>
              </w:p>
            </w:txbxContent>
          </v:textbox>
          <w10:wrap anchory="margin"/>
        </v:rect>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F18" w:rsidRDefault="008532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24" o:spid="_x0000_s2059" type="#_x0000_t136" style="position:absolute;margin-left:0;margin-top:0;width:555.6pt;height:104.15pt;rotation:315;z-index:-25163980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5575F"/>
    <w:multiLevelType w:val="multilevel"/>
    <w:tmpl w:val="55FAE78E"/>
    <w:lvl w:ilvl="0">
      <w:start w:val="1"/>
      <w:numFmt w:val="bullet"/>
      <w:lvlText w:val="⮚"/>
      <w:lvlJc w:val="left"/>
      <w:pPr>
        <w:ind w:left="720" w:hanging="360"/>
      </w:pPr>
      <w:rPr>
        <w:rFonts w:ascii="Noto Sans Symbols" w:eastAsia="Noto Sans Symbols" w:hAnsi="Noto Sans Symbols" w:cs="Noto Sans Symbols"/>
      </w:rPr>
    </w:lvl>
    <w:lvl w:ilvl="1">
      <w:start w:val="719"/>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drawingGridHorizontalSpacing w:val="11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E00F3"/>
    <w:rsid w:val="00003DDF"/>
    <w:rsid w:val="0000543A"/>
    <w:rsid w:val="0000621D"/>
    <w:rsid w:val="000108CD"/>
    <w:rsid w:val="00040993"/>
    <w:rsid w:val="00092399"/>
    <w:rsid w:val="001111E0"/>
    <w:rsid w:val="00114F27"/>
    <w:rsid w:val="00140E9C"/>
    <w:rsid w:val="00152E9D"/>
    <w:rsid w:val="0018517D"/>
    <w:rsid w:val="00193CFA"/>
    <w:rsid w:val="00194E14"/>
    <w:rsid w:val="001A59D5"/>
    <w:rsid w:val="001B045A"/>
    <w:rsid w:val="001C190C"/>
    <w:rsid w:val="001C7BBE"/>
    <w:rsid w:val="001E0227"/>
    <w:rsid w:val="00240C3C"/>
    <w:rsid w:val="00246F99"/>
    <w:rsid w:val="00256C7C"/>
    <w:rsid w:val="002572D4"/>
    <w:rsid w:val="00293D00"/>
    <w:rsid w:val="002961A7"/>
    <w:rsid w:val="002D2F71"/>
    <w:rsid w:val="002E2FA5"/>
    <w:rsid w:val="00313DE9"/>
    <w:rsid w:val="00372DCF"/>
    <w:rsid w:val="0039079A"/>
    <w:rsid w:val="003A12D4"/>
    <w:rsid w:val="003B1ECC"/>
    <w:rsid w:val="003E00F3"/>
    <w:rsid w:val="003F24F5"/>
    <w:rsid w:val="00404679"/>
    <w:rsid w:val="00411B7B"/>
    <w:rsid w:val="00497AB7"/>
    <w:rsid w:val="004E4197"/>
    <w:rsid w:val="004F03BE"/>
    <w:rsid w:val="004F437E"/>
    <w:rsid w:val="00520206"/>
    <w:rsid w:val="00537D3E"/>
    <w:rsid w:val="005A1642"/>
    <w:rsid w:val="005B6579"/>
    <w:rsid w:val="005C21D5"/>
    <w:rsid w:val="005F52AB"/>
    <w:rsid w:val="00610EC7"/>
    <w:rsid w:val="00665777"/>
    <w:rsid w:val="006666F3"/>
    <w:rsid w:val="006C0234"/>
    <w:rsid w:val="006C50CA"/>
    <w:rsid w:val="006E033E"/>
    <w:rsid w:val="006F262B"/>
    <w:rsid w:val="00717B7E"/>
    <w:rsid w:val="00722C02"/>
    <w:rsid w:val="007458C1"/>
    <w:rsid w:val="00793F9A"/>
    <w:rsid w:val="007946F5"/>
    <w:rsid w:val="007A0CB3"/>
    <w:rsid w:val="008175AB"/>
    <w:rsid w:val="00830969"/>
    <w:rsid w:val="00853252"/>
    <w:rsid w:val="0087110C"/>
    <w:rsid w:val="008805B2"/>
    <w:rsid w:val="008A083E"/>
    <w:rsid w:val="008D6FC0"/>
    <w:rsid w:val="00900C83"/>
    <w:rsid w:val="00922328"/>
    <w:rsid w:val="00923D0F"/>
    <w:rsid w:val="0096291B"/>
    <w:rsid w:val="009B546E"/>
    <w:rsid w:val="009D2596"/>
    <w:rsid w:val="009D7FDE"/>
    <w:rsid w:val="009E2768"/>
    <w:rsid w:val="009F5073"/>
    <w:rsid w:val="00A13577"/>
    <w:rsid w:val="00A25938"/>
    <w:rsid w:val="00A308D9"/>
    <w:rsid w:val="00A34132"/>
    <w:rsid w:val="00A62159"/>
    <w:rsid w:val="00A83432"/>
    <w:rsid w:val="00AD5CA4"/>
    <w:rsid w:val="00B27EE7"/>
    <w:rsid w:val="00B309BF"/>
    <w:rsid w:val="00B7512C"/>
    <w:rsid w:val="00B811AA"/>
    <w:rsid w:val="00B823DC"/>
    <w:rsid w:val="00B83657"/>
    <w:rsid w:val="00B959FB"/>
    <w:rsid w:val="00BC5109"/>
    <w:rsid w:val="00C23F69"/>
    <w:rsid w:val="00C60C51"/>
    <w:rsid w:val="00C615FA"/>
    <w:rsid w:val="00C82027"/>
    <w:rsid w:val="00CA7750"/>
    <w:rsid w:val="00CE3692"/>
    <w:rsid w:val="00CF530C"/>
    <w:rsid w:val="00D16F4B"/>
    <w:rsid w:val="00D207E1"/>
    <w:rsid w:val="00D224FA"/>
    <w:rsid w:val="00D427D1"/>
    <w:rsid w:val="00D6339C"/>
    <w:rsid w:val="00D90E48"/>
    <w:rsid w:val="00DD7A75"/>
    <w:rsid w:val="00E202BF"/>
    <w:rsid w:val="00E30F57"/>
    <w:rsid w:val="00E53B15"/>
    <w:rsid w:val="00E84680"/>
    <w:rsid w:val="00EA728A"/>
    <w:rsid w:val="00ED23CA"/>
    <w:rsid w:val="00ED24D1"/>
    <w:rsid w:val="00EE755A"/>
    <w:rsid w:val="00EF2531"/>
    <w:rsid w:val="00F3410A"/>
    <w:rsid w:val="00F41294"/>
    <w:rsid w:val="00F42A75"/>
    <w:rsid w:val="00F62F18"/>
    <w:rsid w:val="00F84565"/>
    <w:rsid w:val="00F91A90"/>
    <w:rsid w:val="00FD1C4D"/>
    <w:rsid w:val="00FE1D01"/>
    <w:rsid w:val="00FE7E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47A87371"/>
  <w15:docId w15:val="{D46E2B5C-A26D-457B-85CD-32E36BFB8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C7C"/>
    <w:pPr>
      <w:spacing w:after="200" w:line="276" w:lineRule="auto"/>
    </w:pPr>
    <w:rPr>
      <w:szCs w:val="20"/>
      <w:lang w:val="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59D5"/>
    <w:rPr>
      <w:color w:val="0563C1" w:themeColor="hyperlink"/>
      <w:u w:val="single"/>
    </w:rPr>
  </w:style>
  <w:style w:type="paragraph" w:styleId="Header">
    <w:name w:val="header"/>
    <w:basedOn w:val="Normal"/>
    <w:link w:val="HeaderChar"/>
    <w:unhideWhenUsed/>
    <w:rsid w:val="00537D3E"/>
    <w:pPr>
      <w:tabs>
        <w:tab w:val="center" w:pos="4680"/>
        <w:tab w:val="right" w:pos="9360"/>
      </w:tabs>
      <w:spacing w:after="0" w:line="240" w:lineRule="auto"/>
    </w:pPr>
    <w:rPr>
      <w:rFonts w:cs="Mangal"/>
    </w:rPr>
  </w:style>
  <w:style w:type="character" w:customStyle="1" w:styleId="HeaderChar">
    <w:name w:val="Header Char"/>
    <w:basedOn w:val="DefaultParagraphFont"/>
    <w:link w:val="Header"/>
    <w:rsid w:val="00537D3E"/>
    <w:rPr>
      <w:rFonts w:cs="Mangal"/>
      <w:szCs w:val="20"/>
      <w:lang w:val="en-IN" w:bidi="hi-IN"/>
    </w:rPr>
  </w:style>
  <w:style w:type="paragraph" w:styleId="Footer">
    <w:name w:val="footer"/>
    <w:basedOn w:val="Normal"/>
    <w:link w:val="FooterChar"/>
    <w:unhideWhenUsed/>
    <w:rsid w:val="00537D3E"/>
    <w:pPr>
      <w:tabs>
        <w:tab w:val="center" w:pos="4680"/>
        <w:tab w:val="right" w:pos="9360"/>
      </w:tabs>
      <w:spacing w:after="0" w:line="240" w:lineRule="auto"/>
    </w:pPr>
    <w:rPr>
      <w:rFonts w:cs="Mangal"/>
    </w:rPr>
  </w:style>
  <w:style w:type="character" w:customStyle="1" w:styleId="FooterChar">
    <w:name w:val="Footer Char"/>
    <w:basedOn w:val="DefaultParagraphFont"/>
    <w:link w:val="Footer"/>
    <w:rsid w:val="00537D3E"/>
    <w:rPr>
      <w:rFonts w:cs="Mangal"/>
      <w:szCs w:val="20"/>
      <w:lang w:val="en-IN" w:bidi="hi-IN"/>
    </w:rPr>
  </w:style>
  <w:style w:type="table" w:customStyle="1" w:styleId="TableGrid4">
    <w:name w:val="Table Grid4"/>
    <w:basedOn w:val="TableNormal"/>
    <w:next w:val="TableGrid"/>
    <w:uiPriority w:val="39"/>
    <w:rsid w:val="00537D3E"/>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rsid w:val="00537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666F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39"/>
    <w:rsid w:val="006666F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
    <w:name w:val="Normal1"/>
    <w:rsid w:val="00A308D9"/>
    <w:pPr>
      <w:spacing w:after="200" w:line="276" w:lineRule="auto"/>
    </w:pPr>
    <w:rPr>
      <w:rFonts w:ascii="Calibri" w:eastAsia="Calibri" w:hAnsi="Calibri" w:cs="Calibri"/>
    </w:rPr>
  </w:style>
  <w:style w:type="paragraph" w:styleId="BalloonText">
    <w:name w:val="Balloon Text"/>
    <w:basedOn w:val="Normal"/>
    <w:link w:val="BalloonTextChar"/>
    <w:uiPriority w:val="99"/>
    <w:semiHidden/>
    <w:unhideWhenUsed/>
    <w:rsid w:val="00E8468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84680"/>
    <w:rPr>
      <w:rFonts w:ascii="Tahoma" w:hAnsi="Tahoma" w:cs="Mangal"/>
      <w:sz w:val="16"/>
      <w:szCs w:val="14"/>
      <w:lang w:val="en-IN" w:bidi="hi-IN"/>
    </w:rPr>
  </w:style>
  <w:style w:type="character" w:customStyle="1" w:styleId="UnresolvedMention">
    <w:name w:val="Unresolved Mention"/>
    <w:basedOn w:val="DefaultParagraphFont"/>
    <w:uiPriority w:val="99"/>
    <w:semiHidden/>
    <w:unhideWhenUsed/>
    <w:rsid w:val="00B83657"/>
    <w:rPr>
      <w:color w:val="605E5C"/>
      <w:shd w:val="clear" w:color="auto" w:fill="E1DFDD"/>
    </w:rPr>
  </w:style>
  <w:style w:type="paragraph" w:styleId="ListParagraph">
    <w:name w:val="List Paragraph"/>
    <w:basedOn w:val="Normal"/>
    <w:uiPriority w:val="34"/>
    <w:qFormat/>
    <w:rsid w:val="00B83657"/>
    <w:pPr>
      <w:ind w:left="720"/>
      <w:contextualSpacing/>
    </w:pPr>
    <w:rPr>
      <w:rFonts w:cs="Mangal"/>
    </w:rPr>
  </w:style>
  <w:style w:type="character" w:styleId="Emphasis">
    <w:name w:val="Emphasis"/>
    <w:qFormat/>
    <w:rsid w:val="004F437E"/>
    <w:rPr>
      <w:rFonts w:ascii="Calibri" w:eastAsia="Calibri" w:hAnsi="Calibri"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image" Target="media/image1.tif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32</Pages>
  <Words>7171</Words>
  <Characters>40875</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rekha</dc:creator>
  <cp:lastModifiedBy>CPU SDI 1080</cp:lastModifiedBy>
  <cp:revision>3</cp:revision>
  <dcterms:created xsi:type="dcterms:W3CDTF">2025-06-20T04:53:00Z</dcterms:created>
  <dcterms:modified xsi:type="dcterms:W3CDTF">2025-06-23T06:13:00Z</dcterms:modified>
</cp:coreProperties>
</file>