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F1F7" w14:textId="77777777" w:rsidR="000B2500" w:rsidRPr="00645BD2" w:rsidRDefault="00DA4167" w:rsidP="000B2500">
      <w:pPr>
        <w:spacing w:line="240" w:lineRule="auto"/>
        <w:jc w:val="right"/>
        <w:rPr>
          <w:rFonts w:ascii="Arial Black" w:hAnsi="Arial Black" w:cs="Times New Roman"/>
          <w:b/>
        </w:rPr>
      </w:pPr>
      <w:r w:rsidRPr="00645BD2">
        <w:rPr>
          <w:rFonts w:ascii="Arial Black" w:hAnsi="Arial Black" w:cs="Times New Roman"/>
          <w:b/>
        </w:rPr>
        <w:t>Oxidative Lipid Peroxidation in Petroleum Pump Attendants: Possible Predisposing Factors for Familial Cardiovascular Diseases</w:t>
      </w:r>
    </w:p>
    <w:p w14:paraId="35479A99" w14:textId="77777777" w:rsidR="000B2500" w:rsidRPr="00645BD2" w:rsidRDefault="000B2500" w:rsidP="000B2500">
      <w:pPr>
        <w:spacing w:line="240" w:lineRule="auto"/>
        <w:rPr>
          <w:rFonts w:ascii="Arial Black" w:hAnsi="Arial Black" w:cs="Times New Roman"/>
          <w:b/>
        </w:rPr>
      </w:pPr>
    </w:p>
    <w:p w14:paraId="5FEEF53D" w14:textId="77777777" w:rsidR="007F7A00" w:rsidRDefault="007F7A00" w:rsidP="007F7A00">
      <w:pPr>
        <w:spacing w:line="240" w:lineRule="auto"/>
        <w:rPr>
          <w:rFonts w:ascii="Times New Roman" w:hAnsi="Times New Roman" w:cs="Times New Roman"/>
          <w:b/>
          <w:sz w:val="24"/>
          <w:szCs w:val="24"/>
        </w:rPr>
      </w:pPr>
    </w:p>
    <w:p w14:paraId="6D431E64" w14:textId="77777777" w:rsidR="003F1C38" w:rsidRPr="007F7A00" w:rsidRDefault="003F1C38" w:rsidP="007F7A00">
      <w:pPr>
        <w:spacing w:line="240" w:lineRule="auto"/>
        <w:rPr>
          <w:rFonts w:ascii="Times New Roman" w:hAnsi="Times New Roman" w:cs="Times New Roman"/>
          <w:b/>
          <w:sz w:val="24"/>
          <w:szCs w:val="24"/>
        </w:rPr>
      </w:pPr>
      <w:r w:rsidRPr="00645BD2">
        <w:rPr>
          <w:rFonts w:ascii="Arial Black" w:hAnsi="Arial Black" w:cs="Times New Roman"/>
          <w:b/>
          <w:szCs w:val="24"/>
        </w:rPr>
        <w:t xml:space="preserve">Abstract </w:t>
      </w:r>
    </w:p>
    <w:p w14:paraId="42F1DE7C" w14:textId="77777777"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Objective</w:t>
      </w:r>
      <w:r w:rsidRPr="000B2500">
        <w:rPr>
          <w:rFonts w:ascii="Arial Rounded MT Bold" w:hAnsi="Arial Rounded MT Bold" w:cs="Times New Roman"/>
        </w:rPr>
        <w:t>: Petroleum pump attendants are constantly exposed to petroleum-derived toxicants, like aromatic hydrocarbons, released into the ambient air during dispensing</w:t>
      </w:r>
      <w:r w:rsidR="00D57968" w:rsidRPr="000B2500">
        <w:rPr>
          <w:rFonts w:ascii="Arial Rounded MT Bold" w:hAnsi="Arial Rounded MT Bold" w:cs="Times New Roman"/>
        </w:rPr>
        <w:t>,</w:t>
      </w:r>
      <w:r w:rsidRPr="000B2500">
        <w:rPr>
          <w:rFonts w:ascii="Arial Rounded MT Bold" w:hAnsi="Arial Rounded MT Bold" w:cs="Times New Roman"/>
        </w:rPr>
        <w:t xml:space="preserve"> and these cause some biochemical changes</w:t>
      </w:r>
      <w:r w:rsidR="00D74007" w:rsidRPr="000B2500">
        <w:rPr>
          <w:rFonts w:ascii="Arial Rounded MT Bold" w:hAnsi="Arial Rounded MT Bold" w:cs="Times New Roman"/>
        </w:rPr>
        <w:t>, including lipid peroxidation</w:t>
      </w:r>
      <w:r w:rsidRPr="000B2500">
        <w:rPr>
          <w:rFonts w:ascii="Arial Rounded MT Bold" w:hAnsi="Arial Rounded MT Bold" w:cs="Times New Roman"/>
        </w:rPr>
        <w:t>. This study investigated possible effects of these toxicants on the lipid profile of petroleum pump attendants in Enugu metropolis, Nigeria.</w:t>
      </w:r>
    </w:p>
    <w:p w14:paraId="53F11423" w14:textId="77777777"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Method</w:t>
      </w:r>
      <w:r w:rsidR="000B2500" w:rsidRPr="000B2500">
        <w:rPr>
          <w:rFonts w:ascii="Arial Rounded MT Bold" w:hAnsi="Arial Rounded MT Bold" w:cs="Times New Roman"/>
          <w:b/>
        </w:rPr>
        <w:t>ology</w:t>
      </w:r>
      <w:r w:rsidRPr="000B2500">
        <w:rPr>
          <w:rFonts w:ascii="Arial Rounded MT Bold" w:hAnsi="Arial Rounded MT Bold" w:cs="Times New Roman"/>
        </w:rPr>
        <w:t>: The cross-sectional study was undertaken between June and December, 2024 and involved 60 adult male and female (22 males and 38 females</w:t>
      </w:r>
      <w:r w:rsidR="00A04E11" w:rsidRPr="000B2500">
        <w:rPr>
          <w:rFonts w:ascii="Arial Rounded MT Bold" w:hAnsi="Arial Rounded MT Bold" w:cs="Times New Roman"/>
        </w:rPr>
        <w:t>, age range was 18 to 35 years</w:t>
      </w:r>
      <w:r w:rsidRPr="000B2500">
        <w:rPr>
          <w:rFonts w:ascii="Arial Rounded MT Bold" w:hAnsi="Arial Rounded MT Bold" w:cs="Times New Roman"/>
        </w:rPr>
        <w:t>) petroleum pump attendants and another 60 sex and age-matched non-attendants (26 males and 34 females)</w:t>
      </w:r>
      <w:r w:rsidR="00D74007" w:rsidRPr="000B2500">
        <w:rPr>
          <w:rFonts w:ascii="Arial Rounded MT Bold" w:hAnsi="Arial Rounded MT Bold" w:cs="Times New Roman"/>
        </w:rPr>
        <w:t xml:space="preserve"> as </w:t>
      </w:r>
      <w:r w:rsidRPr="000B2500">
        <w:rPr>
          <w:rFonts w:ascii="Arial Rounded MT Bold" w:hAnsi="Arial Rounded MT Bold" w:cs="Times New Roman"/>
        </w:rPr>
        <w:t>control subjects. Structured questionnaires was given to each participant and retrieved prior to sample collection. Total cholesterol, HDL and Triglycerides were estimated using enzymatic methods while VLDL and LDL were calculated using Friedwald formula.</w:t>
      </w:r>
    </w:p>
    <w:p w14:paraId="629E5B6E" w14:textId="4DCA1FED"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Results</w:t>
      </w:r>
      <w:r w:rsidRPr="000B2500">
        <w:rPr>
          <w:rFonts w:ascii="Arial Rounded MT Bold" w:hAnsi="Arial Rounded MT Bold" w:cs="Times New Roman"/>
        </w:rPr>
        <w:t xml:space="preserve">: The results showed that petroleum pump attendants in the study area do not use protective measures. 53% of them work for more than 8 hours daily and 80% of them consume more fried foods. There were </w:t>
      </w:r>
      <w:r w:rsidR="005C22DC">
        <w:rPr>
          <w:rFonts w:ascii="Arial Rounded MT Bold" w:hAnsi="Arial Rounded MT Bold" w:cs="Times New Roman"/>
        </w:rPr>
        <w:t>statistically</w:t>
      </w:r>
      <w:r w:rsidRPr="000B2500">
        <w:rPr>
          <w:rFonts w:ascii="Arial Rounded MT Bold" w:hAnsi="Arial Rounded MT Bold" w:cs="Times New Roman"/>
        </w:rPr>
        <w:t xml:space="preserve"> significant increases (p&lt;0.05 each) of all lipid parameters in pump attendants when compared with control groups</w:t>
      </w:r>
      <w:r w:rsidR="005C22DC">
        <w:rPr>
          <w:rFonts w:ascii="Arial Rounded MT Bold" w:hAnsi="Arial Rounded MT Bold" w:cs="Times New Roman"/>
        </w:rPr>
        <w:t>, except HDL</w:t>
      </w:r>
      <w:r w:rsidRPr="000B2500">
        <w:rPr>
          <w:rFonts w:ascii="Arial Rounded MT Bold" w:hAnsi="Arial Rounded MT Bold" w:cs="Times New Roman"/>
        </w:rPr>
        <w:t>. There was positive correlation between work duration and levels of VLDL and Triglycerides, negative correlation between work duration and HDL, but no significant correlation between work duration and Total cholesterol and LDL. The results did not show any statistical difference between male and female attendants.</w:t>
      </w:r>
    </w:p>
    <w:p w14:paraId="70266732" w14:textId="4C1C6CE6" w:rsidR="003F1C38" w:rsidRPr="000B2500" w:rsidRDefault="003F1C38" w:rsidP="00EA53EB">
      <w:pPr>
        <w:spacing w:line="240" w:lineRule="auto"/>
        <w:jc w:val="both"/>
        <w:rPr>
          <w:rFonts w:ascii="Arial Rounded MT Bold" w:hAnsi="Arial Rounded MT Bold" w:cs="Times New Roman"/>
        </w:rPr>
      </w:pPr>
      <w:r w:rsidRPr="000B2500">
        <w:rPr>
          <w:rFonts w:ascii="Arial Rounded MT Bold" w:hAnsi="Arial Rounded MT Bold" w:cs="Times New Roman"/>
          <w:b/>
        </w:rPr>
        <w:t>Conclusion</w:t>
      </w:r>
      <w:r w:rsidRPr="000B2500">
        <w:rPr>
          <w:rFonts w:ascii="Arial Rounded MT Bold" w:hAnsi="Arial Rounded MT Bold" w:cs="Times New Roman"/>
        </w:rPr>
        <w:t xml:space="preserve">: </w:t>
      </w:r>
      <w:r w:rsidRPr="008D39D7">
        <w:rPr>
          <w:rFonts w:ascii="Arial Rounded MT Bold" w:hAnsi="Arial Rounded MT Bold" w:cs="Times New Roman"/>
        </w:rPr>
        <w:t xml:space="preserve">Despite the nutritional habit of most of the petroleum pump attendants, the aromatic hydrocarbons inhaled from the petroleum fume </w:t>
      </w:r>
      <w:r w:rsidR="008B4222">
        <w:rPr>
          <w:rFonts w:ascii="Arial Rounded MT Bold" w:hAnsi="Arial Rounded MT Bold" w:cs="Times New Roman"/>
        </w:rPr>
        <w:t xml:space="preserve">is suspected to have </w:t>
      </w:r>
      <w:r w:rsidRPr="008D39D7">
        <w:rPr>
          <w:rFonts w:ascii="Arial Rounded MT Bold" w:hAnsi="Arial Rounded MT Bold" w:cs="Times New Roman"/>
        </w:rPr>
        <w:t xml:space="preserve">contributed significantly to the lipid derangements, implying the possibility of development of </w:t>
      </w:r>
      <w:r w:rsidR="00C7092C" w:rsidRPr="008D39D7">
        <w:rPr>
          <w:rFonts w:ascii="Arial Rounded MT Bold" w:hAnsi="Arial Rounded MT Bold" w:cs="Times New Roman"/>
        </w:rPr>
        <w:t xml:space="preserve">inheritable </w:t>
      </w:r>
      <w:r w:rsidRPr="008D39D7">
        <w:rPr>
          <w:rFonts w:ascii="Arial Rounded MT Bold" w:hAnsi="Arial Rounded MT Bold" w:cs="Times New Roman"/>
        </w:rPr>
        <w:t>cardiovascular disease</w:t>
      </w:r>
      <w:r w:rsidR="00C7092C" w:rsidRPr="008D39D7">
        <w:rPr>
          <w:rFonts w:ascii="Arial Rounded MT Bold" w:hAnsi="Arial Rounded MT Bold" w:cs="Times New Roman"/>
        </w:rPr>
        <w:t>s</w:t>
      </w:r>
      <w:r w:rsidRPr="008D39D7">
        <w:rPr>
          <w:rFonts w:ascii="Arial Rounded MT Bold" w:hAnsi="Arial Rounded MT Bold" w:cs="Times New Roman"/>
        </w:rPr>
        <w:t xml:space="preserve"> as work duration increases. Use of personal protective equipment, regular health monitoring, and good workplace policies are imperative.</w:t>
      </w:r>
    </w:p>
    <w:p w14:paraId="0C51DA02" w14:textId="25ADC201" w:rsidR="003F1C38" w:rsidRPr="00FA69B9" w:rsidRDefault="003F1C38" w:rsidP="00EA53EB">
      <w:pPr>
        <w:spacing w:line="240" w:lineRule="auto"/>
        <w:jc w:val="both"/>
        <w:rPr>
          <w:rFonts w:ascii="Arial" w:hAnsi="Arial" w:cs="Arial"/>
          <w:sz w:val="20"/>
        </w:rPr>
      </w:pPr>
      <w:r w:rsidRPr="00DA09BA">
        <w:rPr>
          <w:rFonts w:ascii="Arial" w:hAnsi="Arial" w:cs="Arial"/>
          <w:b/>
        </w:rPr>
        <w:t>Keywords</w:t>
      </w:r>
      <w:r w:rsidRPr="00DA09BA">
        <w:rPr>
          <w:rFonts w:ascii="Arial" w:hAnsi="Arial" w:cs="Arial"/>
        </w:rPr>
        <w:t xml:space="preserve">: Petroleum attendants, Lipid </w:t>
      </w:r>
      <w:r w:rsidR="00D74007" w:rsidRPr="00DA09BA">
        <w:rPr>
          <w:rFonts w:ascii="Arial" w:hAnsi="Arial" w:cs="Arial"/>
        </w:rPr>
        <w:t>peroxidation</w:t>
      </w:r>
      <w:r w:rsidRPr="00DA09BA">
        <w:rPr>
          <w:rFonts w:ascii="Arial" w:hAnsi="Arial" w:cs="Arial"/>
        </w:rPr>
        <w:t>, Cardiovascular diseases</w:t>
      </w:r>
      <w:r w:rsidR="00FA69B9">
        <w:rPr>
          <w:rFonts w:ascii="Arial" w:hAnsi="Arial" w:cs="Arial"/>
        </w:rPr>
        <w:t xml:space="preserve">, </w:t>
      </w:r>
      <w:r w:rsidR="00FA69B9" w:rsidRPr="00FA69B9">
        <w:rPr>
          <w:rFonts w:ascii="Arial Black" w:hAnsi="Arial Black" w:cs="Times New Roman"/>
          <w:sz w:val="20"/>
        </w:rPr>
        <w:t>Predisposing Factors</w:t>
      </w:r>
    </w:p>
    <w:p w14:paraId="3B25477C" w14:textId="77777777" w:rsidR="003F1C38" w:rsidRPr="00DA09BA" w:rsidRDefault="003F1C38" w:rsidP="00EA53EB">
      <w:pPr>
        <w:pStyle w:val="ListParagraph"/>
        <w:numPr>
          <w:ilvl w:val="0"/>
          <w:numId w:val="4"/>
        </w:numPr>
        <w:spacing w:line="240" w:lineRule="auto"/>
        <w:jc w:val="both"/>
        <w:rPr>
          <w:rFonts w:ascii="Arial Rounded MT Bold" w:hAnsi="Arial Rounded MT Bold" w:cs="Arial"/>
          <w:b/>
        </w:rPr>
      </w:pPr>
      <w:r w:rsidRPr="00DA09BA">
        <w:rPr>
          <w:rFonts w:ascii="Arial Rounded MT Bold" w:hAnsi="Arial Rounded MT Bold" w:cs="Arial"/>
          <w:b/>
        </w:rPr>
        <w:t xml:space="preserve">Introduction </w:t>
      </w:r>
    </w:p>
    <w:p w14:paraId="203421D6" w14:textId="21E83CF9"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Petroleum attendants are low </w:t>
      </w:r>
      <w:r w:rsidR="00CC5EDB" w:rsidRPr="00DA09BA">
        <w:rPr>
          <w:rFonts w:ascii="Arial" w:hAnsi="Arial" w:cs="Arial"/>
          <w:sz w:val="20"/>
          <w:szCs w:val="20"/>
        </w:rPr>
        <w:t>level</w:t>
      </w:r>
      <w:r w:rsidRPr="00DA09BA">
        <w:rPr>
          <w:rFonts w:ascii="Arial" w:hAnsi="Arial" w:cs="Arial"/>
          <w:sz w:val="20"/>
          <w:szCs w:val="20"/>
        </w:rPr>
        <w:t xml:space="preserve"> workforce in oil and gas industry. Like some other oil and gas workers, they are frequently exposed to unique occupational hazards that may impact their health, and one of the critical areas of concern is the effect of prolonged exposure to petroleum products on their lipid profiles – strong indicators of cardiovascular health and metabolic status. The chemical compositions of petroleum vary, depending on its source</w:t>
      </w:r>
      <w:r w:rsidR="00F85BCC">
        <w:rPr>
          <w:rFonts w:ascii="Arial" w:hAnsi="Arial" w:cs="Arial"/>
          <w:sz w:val="20"/>
          <w:szCs w:val="20"/>
        </w:rPr>
        <w:t xml:space="preserve"> (Helmenstine, 2019)</w:t>
      </w:r>
      <w:r w:rsidRPr="00DA09BA">
        <w:rPr>
          <w:rFonts w:ascii="Arial" w:hAnsi="Arial" w:cs="Arial"/>
          <w:sz w:val="20"/>
          <w:szCs w:val="20"/>
        </w:rPr>
        <w:t>. Generally, they include a significant proportion of saturated hydrocarbons (alkanes) such as methane, ethane, and propane; unsaturated hydrocarbons (alkenes and alkynes), and aromatic hydrocarbons like benzene, toluene, and xylene (</w:t>
      </w:r>
      <w:r w:rsidR="00644C3C">
        <w:rPr>
          <w:rFonts w:ascii="Arial" w:hAnsi="Arial" w:cs="Arial"/>
          <w:sz w:val="20"/>
          <w:szCs w:val="20"/>
        </w:rPr>
        <w:t>Saranya et al, 2019</w:t>
      </w:r>
      <w:r w:rsidRPr="00DA09BA">
        <w:rPr>
          <w:rFonts w:ascii="Arial" w:hAnsi="Arial" w:cs="Arial"/>
          <w:sz w:val="20"/>
          <w:szCs w:val="20"/>
        </w:rPr>
        <w:t>). Therefore, the occupational environment for petroleum attendants involves consistent exposure to hydrocarbons (through inhalation and body contacts), which are known to have various health effects</w:t>
      </w:r>
      <w:r w:rsidR="000325A1">
        <w:rPr>
          <w:rFonts w:ascii="Arial" w:hAnsi="Arial" w:cs="Arial"/>
          <w:sz w:val="20"/>
          <w:szCs w:val="20"/>
        </w:rPr>
        <w:t>. These include relatively minor effects that range from nose irritation to breathing difficulties (</w:t>
      </w:r>
      <w:proofErr w:type="spellStart"/>
      <w:r w:rsidR="000325A1">
        <w:rPr>
          <w:rFonts w:ascii="Arial" w:hAnsi="Arial" w:cs="Arial"/>
          <w:sz w:val="20"/>
          <w:szCs w:val="20"/>
        </w:rPr>
        <w:t>Abou-EIWafa</w:t>
      </w:r>
      <w:proofErr w:type="spellEnd"/>
      <w:r w:rsidR="009C29CC">
        <w:rPr>
          <w:rFonts w:ascii="Arial" w:hAnsi="Arial" w:cs="Arial"/>
          <w:sz w:val="20"/>
          <w:szCs w:val="20"/>
        </w:rPr>
        <w:t xml:space="preserve"> </w:t>
      </w:r>
      <w:r w:rsidR="009C29CC">
        <w:rPr>
          <w:rFonts w:ascii="Arial" w:hAnsi="Arial" w:cs="Arial"/>
          <w:sz w:val="20"/>
          <w:szCs w:val="20"/>
        </w:rPr>
        <w:lastRenderedPageBreak/>
        <w:t>et al, 201</w:t>
      </w:r>
      <w:r w:rsidR="000325A1">
        <w:rPr>
          <w:rFonts w:ascii="Arial" w:hAnsi="Arial" w:cs="Arial"/>
          <w:sz w:val="20"/>
          <w:szCs w:val="20"/>
        </w:rPr>
        <w:t>5)</w:t>
      </w:r>
      <w:r w:rsidR="00CC7136">
        <w:rPr>
          <w:rFonts w:ascii="Arial" w:hAnsi="Arial" w:cs="Arial"/>
          <w:sz w:val="20"/>
          <w:szCs w:val="20"/>
        </w:rPr>
        <w:t>,</w:t>
      </w:r>
      <w:r w:rsidR="005A28D1">
        <w:rPr>
          <w:rFonts w:ascii="Arial" w:hAnsi="Arial" w:cs="Arial"/>
          <w:sz w:val="20"/>
          <w:szCs w:val="20"/>
        </w:rPr>
        <w:t xml:space="preserve"> </w:t>
      </w:r>
      <w:r w:rsidR="00CC7136">
        <w:rPr>
          <w:rFonts w:ascii="Arial" w:hAnsi="Arial" w:cs="Arial"/>
          <w:sz w:val="20"/>
          <w:szCs w:val="20"/>
        </w:rPr>
        <w:t xml:space="preserve">hematological and </w:t>
      </w:r>
      <w:r w:rsidR="000325A1">
        <w:rPr>
          <w:rFonts w:ascii="Arial" w:hAnsi="Arial" w:cs="Arial"/>
          <w:sz w:val="20"/>
          <w:szCs w:val="20"/>
        </w:rPr>
        <w:t>biochemical changes</w:t>
      </w:r>
      <w:r w:rsidRPr="00DA09BA">
        <w:rPr>
          <w:rFonts w:ascii="Arial" w:hAnsi="Arial" w:cs="Arial"/>
          <w:sz w:val="20"/>
          <w:szCs w:val="20"/>
        </w:rPr>
        <w:t>, including alterations in lipid metabolism (</w:t>
      </w:r>
      <w:proofErr w:type="spellStart"/>
      <w:r w:rsidR="00F6633D">
        <w:rPr>
          <w:rFonts w:ascii="Arial" w:hAnsi="Arial" w:cs="Arial"/>
          <w:sz w:val="20"/>
          <w:szCs w:val="20"/>
        </w:rPr>
        <w:t>Brotoboh</w:t>
      </w:r>
      <w:proofErr w:type="spellEnd"/>
      <w:r w:rsidRPr="00DA09BA">
        <w:rPr>
          <w:rFonts w:ascii="Arial" w:hAnsi="Arial" w:cs="Arial"/>
          <w:sz w:val="20"/>
          <w:szCs w:val="20"/>
        </w:rPr>
        <w:t xml:space="preserve"> et al, 202</w:t>
      </w:r>
      <w:r w:rsidR="00F6633D">
        <w:rPr>
          <w:rFonts w:ascii="Arial" w:hAnsi="Arial" w:cs="Arial"/>
          <w:sz w:val="20"/>
          <w:szCs w:val="20"/>
        </w:rPr>
        <w:t>5</w:t>
      </w:r>
      <w:r w:rsidRPr="00DA09BA">
        <w:rPr>
          <w:rFonts w:ascii="Arial" w:hAnsi="Arial" w:cs="Arial"/>
          <w:sz w:val="20"/>
          <w:szCs w:val="20"/>
        </w:rPr>
        <w:t>)</w:t>
      </w:r>
      <w:r w:rsidR="005E745D">
        <w:rPr>
          <w:rFonts w:ascii="Arial" w:hAnsi="Arial" w:cs="Arial"/>
          <w:sz w:val="20"/>
          <w:szCs w:val="20"/>
        </w:rPr>
        <w:t>, mainly as a result of oxidative stress (</w:t>
      </w:r>
      <w:proofErr w:type="spellStart"/>
      <w:r w:rsidR="005E745D">
        <w:rPr>
          <w:rFonts w:ascii="Arial" w:hAnsi="Arial" w:cs="Arial"/>
          <w:sz w:val="20"/>
          <w:szCs w:val="20"/>
        </w:rPr>
        <w:t>Shabil</w:t>
      </w:r>
      <w:proofErr w:type="spellEnd"/>
      <w:r w:rsidR="005E745D">
        <w:rPr>
          <w:rFonts w:ascii="Arial" w:hAnsi="Arial" w:cs="Arial"/>
          <w:sz w:val="20"/>
          <w:szCs w:val="20"/>
        </w:rPr>
        <w:t xml:space="preserve"> et al, 2025)</w:t>
      </w:r>
      <w:r w:rsidR="005A28D1">
        <w:rPr>
          <w:rFonts w:ascii="Arial" w:hAnsi="Arial" w:cs="Arial"/>
          <w:sz w:val="20"/>
          <w:szCs w:val="20"/>
        </w:rPr>
        <w:t>, and neurological and carcinogenic effects (Elshaer et al, 2022)</w:t>
      </w:r>
      <w:r w:rsidRPr="00DA09BA">
        <w:rPr>
          <w:rFonts w:ascii="Arial" w:hAnsi="Arial" w:cs="Arial"/>
          <w:sz w:val="20"/>
          <w:szCs w:val="20"/>
        </w:rPr>
        <w:t>. For instance, hydrocarbon exposure has been associated with increased levels of total cholesterol and low density lipoproteins, both of which are risk factors for cardiovascular diseases (</w:t>
      </w:r>
      <w:r w:rsidR="00B26931">
        <w:rPr>
          <w:rFonts w:ascii="Arial" w:hAnsi="Arial" w:cs="Arial"/>
          <w:sz w:val="20"/>
          <w:szCs w:val="20"/>
        </w:rPr>
        <w:t>NHS, 2021</w:t>
      </w:r>
      <w:r w:rsidRPr="00DA09BA">
        <w:rPr>
          <w:rFonts w:ascii="Arial" w:hAnsi="Arial" w:cs="Arial"/>
          <w:sz w:val="20"/>
          <w:szCs w:val="20"/>
        </w:rPr>
        <w:t>). Other studies have also opined that hydrocarbons have toxic effect on lipid metabolism, increasing total cholesterol and triglycerides while decreasing high density lipoproteins (</w:t>
      </w:r>
      <w:proofErr w:type="spellStart"/>
      <w:r w:rsidR="005E14F1">
        <w:rPr>
          <w:rFonts w:ascii="Arial" w:hAnsi="Arial" w:cs="Arial"/>
          <w:sz w:val="20"/>
          <w:szCs w:val="20"/>
        </w:rPr>
        <w:t>Brotoboh</w:t>
      </w:r>
      <w:proofErr w:type="spellEnd"/>
      <w:r w:rsidR="000927C3" w:rsidRPr="00DA09BA">
        <w:rPr>
          <w:rFonts w:ascii="Arial" w:hAnsi="Arial" w:cs="Arial"/>
          <w:sz w:val="20"/>
          <w:szCs w:val="20"/>
        </w:rPr>
        <w:t xml:space="preserve"> et al, 202</w:t>
      </w:r>
      <w:r w:rsidR="005E14F1">
        <w:rPr>
          <w:rFonts w:ascii="Arial" w:hAnsi="Arial" w:cs="Arial"/>
          <w:sz w:val="20"/>
          <w:szCs w:val="20"/>
        </w:rPr>
        <w:t>5</w:t>
      </w:r>
      <w:r w:rsidR="000927C3" w:rsidRPr="00DA09BA">
        <w:rPr>
          <w:rFonts w:ascii="Arial" w:hAnsi="Arial" w:cs="Arial"/>
          <w:sz w:val="20"/>
          <w:szCs w:val="20"/>
        </w:rPr>
        <w:t>)</w:t>
      </w:r>
      <w:r w:rsidRPr="00DA09BA">
        <w:rPr>
          <w:rFonts w:ascii="Arial" w:hAnsi="Arial" w:cs="Arial"/>
          <w:sz w:val="20"/>
          <w:szCs w:val="20"/>
        </w:rPr>
        <w:t>. Yet others</w:t>
      </w:r>
      <w:r w:rsidR="00CC5EDB" w:rsidRPr="00DA09BA">
        <w:rPr>
          <w:rFonts w:ascii="Arial" w:hAnsi="Arial" w:cs="Arial"/>
          <w:sz w:val="20"/>
          <w:szCs w:val="20"/>
        </w:rPr>
        <w:t>, in addition to</w:t>
      </w:r>
      <w:r w:rsidRPr="00DA09BA">
        <w:rPr>
          <w:rFonts w:ascii="Arial" w:hAnsi="Arial" w:cs="Arial"/>
          <w:sz w:val="20"/>
          <w:szCs w:val="20"/>
        </w:rPr>
        <w:t xml:space="preserve"> highlight</w:t>
      </w:r>
      <w:r w:rsidR="00CD59DD" w:rsidRPr="00DA09BA">
        <w:rPr>
          <w:rFonts w:ascii="Arial" w:hAnsi="Arial" w:cs="Arial"/>
          <w:sz w:val="20"/>
          <w:szCs w:val="20"/>
        </w:rPr>
        <w:t>ing</w:t>
      </w:r>
      <w:r w:rsidRPr="00DA09BA">
        <w:rPr>
          <w:rFonts w:ascii="Arial" w:hAnsi="Arial" w:cs="Arial"/>
          <w:sz w:val="20"/>
          <w:szCs w:val="20"/>
        </w:rPr>
        <w:t xml:space="preserve"> that petroleum workers often exhibit higher levels of triglycerides and lower levels of high density lipoproteins compared to non-exposed populations, also established a positive correlation between lipids and occupational exposure levels </w:t>
      </w:r>
      <w:r w:rsidR="000927C3" w:rsidRPr="00DA09BA">
        <w:rPr>
          <w:rFonts w:ascii="Arial" w:hAnsi="Arial" w:cs="Arial"/>
          <w:sz w:val="20"/>
          <w:szCs w:val="20"/>
        </w:rPr>
        <w:t>(</w:t>
      </w:r>
      <w:r w:rsidR="007571FC">
        <w:rPr>
          <w:rFonts w:ascii="Arial" w:hAnsi="Arial" w:cs="Arial"/>
          <w:sz w:val="20"/>
          <w:szCs w:val="20"/>
        </w:rPr>
        <w:t>Ali</w:t>
      </w:r>
      <w:r w:rsidR="000927C3" w:rsidRPr="00DA09BA">
        <w:rPr>
          <w:rFonts w:ascii="Arial" w:hAnsi="Arial" w:cs="Arial"/>
          <w:sz w:val="20"/>
          <w:szCs w:val="20"/>
        </w:rPr>
        <w:t xml:space="preserve"> et al, 20</w:t>
      </w:r>
      <w:r w:rsidR="007571FC">
        <w:rPr>
          <w:rFonts w:ascii="Arial" w:hAnsi="Arial" w:cs="Arial"/>
          <w:sz w:val="20"/>
          <w:szCs w:val="20"/>
        </w:rPr>
        <w:t>22</w:t>
      </w:r>
      <w:r w:rsidR="000927C3" w:rsidRPr="00DA09BA">
        <w:rPr>
          <w:rFonts w:ascii="Arial" w:hAnsi="Arial" w:cs="Arial"/>
          <w:sz w:val="20"/>
          <w:szCs w:val="20"/>
        </w:rPr>
        <w:t>)</w:t>
      </w:r>
      <w:r w:rsidRPr="00DA09BA">
        <w:rPr>
          <w:rFonts w:ascii="Arial" w:hAnsi="Arial" w:cs="Arial"/>
          <w:sz w:val="20"/>
          <w:szCs w:val="20"/>
        </w:rPr>
        <w:t>. Incidentally, low levels of high density lipoproteins accompanied by high levels of triglycerides are high indicators of cardiovascular diseases.</w:t>
      </w:r>
    </w:p>
    <w:p w14:paraId="0B02D4A7" w14:textId="07CB247F" w:rsidR="00732FCD"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Cardiovascular disease is a collective name ascribed to all the disease conditions affecting the heart and the blood vessels. In 2021, WHO reported that in their survey of 2019, cardiovascular disease accounted for 32% of total death and 38% of deaths due to non-communicable diseases </w:t>
      </w:r>
      <w:r w:rsidR="000927C3" w:rsidRPr="00DA09BA">
        <w:rPr>
          <w:rFonts w:ascii="Arial" w:hAnsi="Arial" w:cs="Arial"/>
          <w:sz w:val="20"/>
          <w:szCs w:val="20"/>
        </w:rPr>
        <w:t>(WHO, 2021)</w:t>
      </w:r>
      <w:r w:rsidR="00A90124" w:rsidRPr="00DA09BA">
        <w:rPr>
          <w:rFonts w:ascii="Arial" w:hAnsi="Arial" w:cs="Arial"/>
          <w:sz w:val="20"/>
          <w:szCs w:val="20"/>
        </w:rPr>
        <w:t>.</w:t>
      </w:r>
      <w:r w:rsidRPr="00DA09BA">
        <w:rPr>
          <w:rFonts w:ascii="Arial" w:hAnsi="Arial" w:cs="Arial"/>
          <w:sz w:val="20"/>
          <w:szCs w:val="20"/>
        </w:rPr>
        <w:t xml:space="preserve"> Among the major known risk factors for development of cardiovascular diseases include high blood cholesterol, reduced physical activities, smoking, obesity and family history of it</w:t>
      </w:r>
      <w:r w:rsidR="00922FDB">
        <w:rPr>
          <w:rFonts w:ascii="Arial" w:hAnsi="Arial" w:cs="Arial"/>
          <w:sz w:val="20"/>
          <w:szCs w:val="20"/>
        </w:rPr>
        <w:t>, and particularly hydrocarbons known to impair circulation by interfering with some vascular pathways (</w:t>
      </w:r>
      <w:proofErr w:type="spellStart"/>
      <w:r w:rsidR="00C8533A">
        <w:rPr>
          <w:rFonts w:ascii="Arial" w:hAnsi="Arial" w:cs="Arial"/>
          <w:sz w:val="20"/>
          <w:szCs w:val="20"/>
        </w:rPr>
        <w:t>Langrish</w:t>
      </w:r>
      <w:proofErr w:type="spellEnd"/>
      <w:r w:rsidR="00C8533A">
        <w:rPr>
          <w:rFonts w:ascii="Arial" w:hAnsi="Arial" w:cs="Arial"/>
          <w:sz w:val="20"/>
          <w:szCs w:val="20"/>
        </w:rPr>
        <w:t xml:space="preserve"> et al, 2013; </w:t>
      </w:r>
      <w:proofErr w:type="spellStart"/>
      <w:r w:rsidR="00922FDB">
        <w:rPr>
          <w:rFonts w:ascii="Arial" w:hAnsi="Arial" w:cs="Arial"/>
          <w:sz w:val="20"/>
          <w:szCs w:val="20"/>
        </w:rPr>
        <w:t>Shabil</w:t>
      </w:r>
      <w:proofErr w:type="spellEnd"/>
      <w:r w:rsidR="00922FDB">
        <w:rPr>
          <w:rFonts w:ascii="Arial" w:hAnsi="Arial" w:cs="Arial"/>
          <w:sz w:val="20"/>
          <w:szCs w:val="20"/>
        </w:rPr>
        <w:t xml:space="preserve"> et al, 2025)</w:t>
      </w:r>
      <w:r w:rsidRPr="00DA09BA">
        <w:rPr>
          <w:rFonts w:ascii="Arial" w:hAnsi="Arial" w:cs="Arial"/>
          <w:sz w:val="20"/>
          <w:szCs w:val="20"/>
        </w:rPr>
        <w:t xml:space="preserve">. Petroleum attendants work in environments that influence their dietary habits and physical activities. They are low income earners and most of them work round the clock and depend mainly on pre-formed foods for their meals due to lack of time and fund to prepare alternative foods. However, most of them are young and energetic, and usually work extra hours in the day and come to work on daily basis to meet their daily needs. Therefore, reduced physical activity as possible cause of cardiovascular disease in these workers will be virtually non-existent. Thus dietary patterns, common among these petroleum workers </w:t>
      </w:r>
      <w:r w:rsidR="00CD59DD" w:rsidRPr="00DA09BA">
        <w:rPr>
          <w:rFonts w:ascii="Arial" w:hAnsi="Arial" w:cs="Arial"/>
          <w:sz w:val="20"/>
          <w:szCs w:val="20"/>
        </w:rPr>
        <w:t>can be</w:t>
      </w:r>
      <w:r w:rsidRPr="00DA09BA">
        <w:rPr>
          <w:rFonts w:ascii="Arial" w:hAnsi="Arial" w:cs="Arial"/>
          <w:sz w:val="20"/>
          <w:szCs w:val="20"/>
        </w:rPr>
        <w:t xml:space="preserve"> easily implicated. </w:t>
      </w:r>
      <w:r w:rsidR="00CD59DD" w:rsidRPr="00DA09BA">
        <w:rPr>
          <w:rFonts w:ascii="Arial" w:hAnsi="Arial" w:cs="Arial"/>
          <w:sz w:val="20"/>
          <w:szCs w:val="20"/>
        </w:rPr>
        <w:t>But fortunately too, the nature of their work, physical exertion, impl</w:t>
      </w:r>
      <w:r w:rsidR="00334719" w:rsidRPr="00DA09BA">
        <w:rPr>
          <w:rFonts w:ascii="Arial" w:hAnsi="Arial" w:cs="Arial"/>
          <w:sz w:val="20"/>
          <w:szCs w:val="20"/>
        </w:rPr>
        <w:t>ies</w:t>
      </w:r>
      <w:r w:rsidR="00CD59DD" w:rsidRPr="00DA09BA">
        <w:rPr>
          <w:rFonts w:ascii="Arial" w:hAnsi="Arial" w:cs="Arial"/>
          <w:sz w:val="20"/>
          <w:szCs w:val="20"/>
        </w:rPr>
        <w:t xml:space="preserve"> continuous burn-out of these dietary materials. </w:t>
      </w:r>
      <w:r w:rsidRPr="00DA09BA">
        <w:rPr>
          <w:rFonts w:ascii="Arial" w:hAnsi="Arial" w:cs="Arial"/>
          <w:sz w:val="20"/>
          <w:szCs w:val="20"/>
        </w:rPr>
        <w:t xml:space="preserve">Thus, effect of occupational exposure </w:t>
      </w:r>
      <w:r w:rsidR="00334719" w:rsidRPr="00DA09BA">
        <w:rPr>
          <w:rFonts w:ascii="Arial" w:hAnsi="Arial" w:cs="Arial"/>
          <w:sz w:val="20"/>
          <w:szCs w:val="20"/>
        </w:rPr>
        <w:t xml:space="preserve">becomes the principal risk factor </w:t>
      </w:r>
      <w:r w:rsidRPr="00DA09BA">
        <w:rPr>
          <w:rFonts w:ascii="Arial" w:hAnsi="Arial" w:cs="Arial"/>
          <w:sz w:val="20"/>
          <w:szCs w:val="20"/>
        </w:rPr>
        <w:t>for cardiovascular diseases</w:t>
      </w:r>
      <w:r w:rsidR="00334719" w:rsidRPr="00DA09BA">
        <w:rPr>
          <w:rFonts w:ascii="Arial" w:hAnsi="Arial" w:cs="Arial"/>
          <w:sz w:val="20"/>
          <w:szCs w:val="20"/>
        </w:rPr>
        <w:t xml:space="preserve"> for this group of people</w:t>
      </w:r>
      <w:r w:rsidRPr="00DA09BA">
        <w:rPr>
          <w:rFonts w:ascii="Arial" w:hAnsi="Arial" w:cs="Arial"/>
          <w:sz w:val="20"/>
          <w:szCs w:val="20"/>
        </w:rPr>
        <w:t xml:space="preserve">. The mechanism of this toxic effects that cause dyslipidemia may be attributed to induction of oxidative stress and inflammation by the mentioned contents of petroleum </w:t>
      </w:r>
      <w:r w:rsidR="00D57968" w:rsidRPr="00DA09BA">
        <w:rPr>
          <w:rFonts w:ascii="Arial" w:hAnsi="Arial" w:cs="Arial"/>
          <w:sz w:val="20"/>
          <w:szCs w:val="20"/>
        </w:rPr>
        <w:t>(</w:t>
      </w:r>
      <w:proofErr w:type="spellStart"/>
      <w:r w:rsidR="00066C35">
        <w:rPr>
          <w:rFonts w:ascii="Arial" w:hAnsi="Arial" w:cs="Arial"/>
          <w:sz w:val="20"/>
          <w:szCs w:val="20"/>
        </w:rPr>
        <w:t>Elshaer</w:t>
      </w:r>
      <w:proofErr w:type="spellEnd"/>
      <w:r w:rsidR="00066C35">
        <w:rPr>
          <w:rFonts w:ascii="Arial" w:hAnsi="Arial" w:cs="Arial"/>
          <w:sz w:val="20"/>
          <w:szCs w:val="20"/>
        </w:rPr>
        <w:t xml:space="preserve"> et al, 2022</w:t>
      </w:r>
      <w:r w:rsidR="00373A97">
        <w:rPr>
          <w:rFonts w:ascii="Arial" w:hAnsi="Arial" w:cs="Arial"/>
          <w:sz w:val="20"/>
          <w:szCs w:val="20"/>
        </w:rPr>
        <w:t>; Jelena et al, 2023</w:t>
      </w:r>
      <w:r w:rsidR="00D57968" w:rsidRPr="00DA09BA">
        <w:rPr>
          <w:rFonts w:ascii="Arial" w:hAnsi="Arial" w:cs="Arial"/>
          <w:sz w:val="20"/>
          <w:szCs w:val="20"/>
        </w:rPr>
        <w:t>)</w:t>
      </w:r>
      <w:r w:rsidRPr="00DA09BA">
        <w:rPr>
          <w:rFonts w:ascii="Arial" w:hAnsi="Arial" w:cs="Arial"/>
          <w:sz w:val="20"/>
          <w:szCs w:val="20"/>
        </w:rPr>
        <w:t xml:space="preserve">, and other metal contaminants such as vanadium and nickel </w:t>
      </w:r>
      <w:r w:rsidR="00D57968" w:rsidRPr="00DA09BA">
        <w:rPr>
          <w:rFonts w:ascii="Arial" w:hAnsi="Arial" w:cs="Arial"/>
          <w:sz w:val="20"/>
          <w:szCs w:val="20"/>
        </w:rPr>
        <w:t>(Speight, 2014)</w:t>
      </w:r>
      <w:r w:rsidRPr="00DA09BA">
        <w:rPr>
          <w:rFonts w:ascii="Arial" w:hAnsi="Arial" w:cs="Arial"/>
          <w:sz w:val="20"/>
          <w:szCs w:val="20"/>
        </w:rPr>
        <w:t xml:space="preserve">. Hydrocarbons are known to induce oxidative stress by generating free radicals in the body, leading to lipid peroxidation </w:t>
      </w:r>
      <w:r w:rsidR="008D7F49">
        <w:rPr>
          <w:rFonts w:ascii="Arial" w:hAnsi="Arial" w:cs="Arial"/>
          <w:sz w:val="20"/>
          <w:szCs w:val="20"/>
        </w:rPr>
        <w:t>(</w:t>
      </w:r>
      <w:proofErr w:type="spellStart"/>
      <w:r w:rsidR="008D7F49">
        <w:rPr>
          <w:rFonts w:ascii="Arial" w:hAnsi="Arial" w:cs="Arial"/>
          <w:sz w:val="20"/>
          <w:szCs w:val="20"/>
        </w:rPr>
        <w:t>Nwanjo</w:t>
      </w:r>
      <w:proofErr w:type="spellEnd"/>
      <w:r w:rsidR="008D7F49">
        <w:rPr>
          <w:rFonts w:ascii="Arial" w:hAnsi="Arial" w:cs="Arial"/>
          <w:sz w:val="20"/>
          <w:szCs w:val="20"/>
        </w:rPr>
        <w:t xml:space="preserve"> and </w:t>
      </w:r>
      <w:proofErr w:type="spellStart"/>
      <w:r w:rsidR="008D7F49">
        <w:rPr>
          <w:rFonts w:ascii="Arial" w:hAnsi="Arial" w:cs="Arial"/>
          <w:sz w:val="20"/>
          <w:szCs w:val="20"/>
        </w:rPr>
        <w:t>Ojiako</w:t>
      </w:r>
      <w:proofErr w:type="spellEnd"/>
      <w:r w:rsidR="008D7F49">
        <w:rPr>
          <w:rFonts w:ascii="Arial" w:hAnsi="Arial" w:cs="Arial"/>
          <w:sz w:val="20"/>
          <w:szCs w:val="20"/>
        </w:rPr>
        <w:t>, 2010</w:t>
      </w:r>
      <w:r w:rsidR="00D57968" w:rsidRPr="00DA09BA">
        <w:rPr>
          <w:rFonts w:ascii="Arial" w:hAnsi="Arial" w:cs="Arial"/>
          <w:sz w:val="20"/>
          <w:szCs w:val="20"/>
        </w:rPr>
        <w:t>)</w:t>
      </w:r>
      <w:r w:rsidRPr="00DA09BA">
        <w:rPr>
          <w:rFonts w:ascii="Arial" w:hAnsi="Arial" w:cs="Arial"/>
          <w:sz w:val="20"/>
          <w:szCs w:val="20"/>
        </w:rPr>
        <w:t>.</w:t>
      </w:r>
    </w:p>
    <w:p w14:paraId="06A4D035" w14:textId="65515434" w:rsidR="003F1C38"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Lipid peroxidation leads to an imbalance in the production and clearance of lipids, resulting in altered serum levels of cholesterol, triglycerides, and lipoproteins. </w:t>
      </w:r>
      <w:r w:rsidRPr="00DA09BA">
        <w:rPr>
          <w:rFonts w:ascii="Arial" w:hAnsi="Arial" w:cs="Arial"/>
          <w:color w:val="1F1F1F"/>
          <w:sz w:val="20"/>
          <w:szCs w:val="20"/>
          <w:shd w:val="clear" w:color="auto" w:fill="FFFFFF"/>
        </w:rPr>
        <w:t xml:space="preserve">Again, hydrocarbons are proven inhibitors of DNA, causing genetic damage, abnormal gene expression and metabolic disorders </w:t>
      </w:r>
      <w:r w:rsidR="00A90124" w:rsidRPr="00DA09BA">
        <w:rPr>
          <w:rFonts w:ascii="Arial" w:hAnsi="Arial" w:cs="Arial"/>
          <w:color w:val="1F1F1F"/>
          <w:sz w:val="20"/>
          <w:szCs w:val="20"/>
          <w:shd w:val="clear" w:color="auto" w:fill="FFFFFF"/>
        </w:rPr>
        <w:t>(Liu et al, 2024)</w:t>
      </w:r>
      <w:r w:rsidRPr="00DA09BA">
        <w:rPr>
          <w:rFonts w:ascii="Arial" w:hAnsi="Arial" w:cs="Arial"/>
          <w:color w:val="1F1F1F"/>
          <w:sz w:val="20"/>
          <w:szCs w:val="20"/>
          <w:shd w:val="clear" w:color="auto" w:fill="FFFFFF"/>
        </w:rPr>
        <w:t>.</w:t>
      </w:r>
      <w:r w:rsidR="00732FCD" w:rsidRPr="00DA09BA">
        <w:rPr>
          <w:rFonts w:ascii="Arial" w:hAnsi="Arial" w:cs="Arial"/>
          <w:sz w:val="20"/>
          <w:szCs w:val="20"/>
        </w:rPr>
        <w:t xml:space="preserve"> </w:t>
      </w:r>
      <w:r w:rsidRPr="00DA09BA">
        <w:rPr>
          <w:rFonts w:ascii="Arial" w:hAnsi="Arial" w:cs="Arial"/>
          <w:sz w:val="20"/>
          <w:szCs w:val="20"/>
        </w:rPr>
        <w:t xml:space="preserve">Other incriminating factors include environmental factors like temperature. Earlier study found that higher environmental temperatures during the summer months correlated with increased lipid peroxidation markers in pump attendants </w:t>
      </w:r>
      <w:r w:rsidR="00A90124" w:rsidRPr="00DA09BA">
        <w:rPr>
          <w:rFonts w:ascii="Arial" w:hAnsi="Arial" w:cs="Arial"/>
          <w:sz w:val="20"/>
          <w:szCs w:val="20"/>
        </w:rPr>
        <w:t>(</w:t>
      </w:r>
      <w:proofErr w:type="spellStart"/>
      <w:r w:rsidR="00A90124" w:rsidRPr="00DA09BA">
        <w:rPr>
          <w:rFonts w:ascii="Arial" w:hAnsi="Arial" w:cs="Arial"/>
          <w:sz w:val="20"/>
          <w:szCs w:val="20"/>
        </w:rPr>
        <w:t>Awosan</w:t>
      </w:r>
      <w:proofErr w:type="spellEnd"/>
      <w:r w:rsidR="00A90124" w:rsidRPr="00DA09BA">
        <w:rPr>
          <w:rFonts w:ascii="Arial" w:hAnsi="Arial" w:cs="Arial"/>
          <w:sz w:val="20"/>
          <w:szCs w:val="20"/>
        </w:rPr>
        <w:t xml:space="preserve"> et al, 2017)</w:t>
      </w:r>
      <w:r w:rsidRPr="00DA09BA">
        <w:rPr>
          <w:rFonts w:ascii="Arial" w:hAnsi="Arial" w:cs="Arial"/>
          <w:sz w:val="20"/>
          <w:szCs w:val="20"/>
        </w:rPr>
        <w:t xml:space="preserve">. This implies that prolonged high temperatures can exacerbate the health impacts of exposure. Furthermore, petroleum pump attendants are low income earners, and cannot provide personal protective equipment by themselves. Yet their employers hardly provide such necessary working tools for them. This means that most of them work without these necessary equipment. </w:t>
      </w:r>
      <w:r w:rsidR="007F3EB9">
        <w:rPr>
          <w:rFonts w:ascii="Arial" w:hAnsi="Arial" w:cs="Arial"/>
          <w:sz w:val="20"/>
          <w:szCs w:val="20"/>
        </w:rPr>
        <w:t xml:space="preserve">The question that props up is “if these workers are not properly protected by their employers, are they liable to oxidative lipid derangements and if so, to what extent?” </w:t>
      </w:r>
      <w:r w:rsidR="001961E6">
        <w:rPr>
          <w:rFonts w:ascii="Arial" w:hAnsi="Arial" w:cs="Arial"/>
          <w:sz w:val="20"/>
          <w:szCs w:val="20"/>
        </w:rPr>
        <w:t>Again</w:t>
      </w:r>
      <w:r w:rsidR="007F3EB9">
        <w:rPr>
          <w:rFonts w:ascii="Arial" w:hAnsi="Arial" w:cs="Arial"/>
          <w:sz w:val="20"/>
          <w:szCs w:val="20"/>
        </w:rPr>
        <w:t xml:space="preserve">, if the hydrocarbons that cause the oxidative damage </w:t>
      </w:r>
      <w:r w:rsidR="001961E6">
        <w:rPr>
          <w:rFonts w:ascii="Arial" w:hAnsi="Arial" w:cs="Arial"/>
          <w:sz w:val="20"/>
          <w:szCs w:val="20"/>
        </w:rPr>
        <w:t xml:space="preserve">can </w:t>
      </w:r>
      <w:r w:rsidR="007F3EB9">
        <w:rPr>
          <w:rFonts w:ascii="Arial" w:hAnsi="Arial" w:cs="Arial"/>
          <w:sz w:val="20"/>
          <w:szCs w:val="20"/>
        </w:rPr>
        <w:t xml:space="preserve">also cause genetic damage, then there is possibility of inheritance of the consequences of oxidative peroxidation and genetic damage. </w:t>
      </w:r>
      <w:r w:rsidRPr="00DA09BA">
        <w:rPr>
          <w:rFonts w:ascii="Arial" w:hAnsi="Arial" w:cs="Arial"/>
          <w:sz w:val="20"/>
          <w:szCs w:val="20"/>
        </w:rPr>
        <w:t xml:space="preserve">This study investigated the </w:t>
      </w:r>
      <w:r w:rsidR="00066C35">
        <w:rPr>
          <w:rFonts w:ascii="Arial" w:hAnsi="Arial" w:cs="Arial"/>
          <w:sz w:val="20"/>
          <w:szCs w:val="20"/>
        </w:rPr>
        <w:t>oxidative</w:t>
      </w:r>
      <w:r w:rsidRPr="00DA09BA">
        <w:rPr>
          <w:rFonts w:ascii="Arial" w:hAnsi="Arial" w:cs="Arial"/>
          <w:sz w:val="20"/>
          <w:szCs w:val="20"/>
        </w:rPr>
        <w:t xml:space="preserve"> modifications of lipids and lipoproteins in these petroleum workers and reasoned that prolonged stay in the job can cause familial cardiovascular diseases in the offspring of such workers.</w:t>
      </w:r>
      <w:r w:rsidR="001961E6">
        <w:rPr>
          <w:rFonts w:ascii="Arial" w:hAnsi="Arial" w:cs="Arial"/>
          <w:sz w:val="20"/>
          <w:szCs w:val="20"/>
        </w:rPr>
        <w:t xml:space="preserve"> This will help the government to enact appropriate legislation to monitor the health and welfare of these petroleum pump attendants to avoid health issues for themselves and younger ones yet unborn.</w:t>
      </w:r>
    </w:p>
    <w:p w14:paraId="7BD423F1" w14:textId="77777777" w:rsidR="00974784" w:rsidRPr="00B42239" w:rsidRDefault="00974784" w:rsidP="00EA53EB">
      <w:pPr>
        <w:spacing w:line="240" w:lineRule="auto"/>
        <w:jc w:val="both"/>
        <w:rPr>
          <w:rFonts w:ascii="Times New Roman" w:hAnsi="Times New Roman" w:cs="Times New Roman"/>
          <w:sz w:val="24"/>
          <w:szCs w:val="24"/>
        </w:rPr>
      </w:pPr>
    </w:p>
    <w:p w14:paraId="1473D894" w14:textId="77777777" w:rsidR="003F1C38" w:rsidRPr="00DA09BA" w:rsidRDefault="003F1C38" w:rsidP="00EA53EB">
      <w:pPr>
        <w:pStyle w:val="ListParagraph"/>
        <w:numPr>
          <w:ilvl w:val="0"/>
          <w:numId w:val="4"/>
        </w:numPr>
        <w:spacing w:line="240" w:lineRule="auto"/>
        <w:jc w:val="both"/>
        <w:rPr>
          <w:rFonts w:ascii="Arial Rounded MT Bold" w:hAnsi="Arial Rounded MT Bold" w:cs="Times New Roman"/>
          <w:b/>
        </w:rPr>
      </w:pPr>
      <w:r w:rsidRPr="00DA09BA">
        <w:rPr>
          <w:rFonts w:ascii="Arial Rounded MT Bold" w:hAnsi="Arial Rounded MT Bold" w:cs="Times New Roman"/>
          <w:b/>
        </w:rPr>
        <w:t>Materials and Methods</w:t>
      </w:r>
    </w:p>
    <w:p w14:paraId="3B485B57"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sz w:val="20"/>
          <w:szCs w:val="20"/>
        </w:rPr>
        <w:t>2.2. Study Area</w:t>
      </w:r>
      <w:r w:rsidRPr="00DA09BA">
        <w:rPr>
          <w:rFonts w:ascii="Arial" w:hAnsi="Arial" w:cs="Arial"/>
          <w:sz w:val="20"/>
          <w:szCs w:val="20"/>
        </w:rPr>
        <w:t xml:space="preserve">: The study was carried out in Enugu metropolis, Enugu State of Nigeria, </w:t>
      </w:r>
      <w:r w:rsidR="00732FCD" w:rsidRPr="00DA09BA">
        <w:rPr>
          <w:rFonts w:ascii="Arial" w:hAnsi="Arial" w:cs="Arial"/>
          <w:sz w:val="20"/>
          <w:szCs w:val="20"/>
        </w:rPr>
        <w:t>between June and December, 2024. Enugu State has</w:t>
      </w:r>
      <w:r w:rsidRPr="00DA09BA">
        <w:rPr>
          <w:rFonts w:ascii="Arial" w:hAnsi="Arial" w:cs="Arial"/>
          <w:sz w:val="20"/>
          <w:szCs w:val="20"/>
        </w:rPr>
        <w:t xml:space="preserve"> 2025 population estimate of 907,000 and growth rate of 3.54% from the previous year </w:t>
      </w:r>
      <w:r w:rsidR="00A90124" w:rsidRPr="00DA09BA">
        <w:rPr>
          <w:rFonts w:ascii="Arial" w:hAnsi="Arial" w:cs="Arial"/>
          <w:sz w:val="20"/>
          <w:szCs w:val="20"/>
        </w:rPr>
        <w:t>(UN, 2025)</w:t>
      </w:r>
      <w:r w:rsidRPr="00DA09BA">
        <w:rPr>
          <w:rFonts w:ascii="Arial" w:hAnsi="Arial" w:cs="Arial"/>
          <w:sz w:val="20"/>
          <w:szCs w:val="20"/>
        </w:rPr>
        <w:t>.</w:t>
      </w:r>
    </w:p>
    <w:p w14:paraId="61E4ED93"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sz w:val="20"/>
          <w:szCs w:val="20"/>
        </w:rPr>
        <w:lastRenderedPageBreak/>
        <w:t>2.3. Subjects</w:t>
      </w:r>
      <w:r w:rsidRPr="00DA09BA">
        <w:rPr>
          <w:rFonts w:ascii="Arial" w:hAnsi="Arial" w:cs="Arial"/>
          <w:sz w:val="20"/>
          <w:szCs w:val="20"/>
        </w:rPr>
        <w:t xml:space="preserve">: Participants for this study included 60 active petroleum pump attendants </w:t>
      </w:r>
      <w:r w:rsidR="003E4FC0" w:rsidRPr="00DA09BA">
        <w:rPr>
          <w:rFonts w:ascii="Arial" w:hAnsi="Arial" w:cs="Arial"/>
          <w:sz w:val="20"/>
          <w:szCs w:val="20"/>
        </w:rPr>
        <w:t xml:space="preserve">(22 males and 38 females) </w:t>
      </w:r>
      <w:r w:rsidRPr="00DA09BA">
        <w:rPr>
          <w:rFonts w:ascii="Arial" w:hAnsi="Arial" w:cs="Arial"/>
          <w:sz w:val="20"/>
          <w:szCs w:val="20"/>
        </w:rPr>
        <w:t>within the study area, aged between 18 and 35 years of age</w:t>
      </w:r>
      <w:r w:rsidR="003E4FC0" w:rsidRPr="00DA09BA">
        <w:rPr>
          <w:rFonts w:ascii="Arial" w:hAnsi="Arial" w:cs="Arial"/>
          <w:sz w:val="20"/>
          <w:szCs w:val="20"/>
        </w:rPr>
        <w:t>.</w:t>
      </w:r>
      <w:r w:rsidRPr="00DA09BA">
        <w:rPr>
          <w:rFonts w:ascii="Arial" w:hAnsi="Arial" w:cs="Arial"/>
          <w:sz w:val="20"/>
          <w:szCs w:val="20"/>
        </w:rPr>
        <w:t xml:space="preserve"> </w:t>
      </w:r>
      <w:r w:rsidR="003E4FC0" w:rsidRPr="00DA09BA">
        <w:rPr>
          <w:rFonts w:ascii="Arial" w:hAnsi="Arial" w:cs="Arial"/>
          <w:sz w:val="20"/>
          <w:szCs w:val="20"/>
        </w:rPr>
        <w:t>A</w:t>
      </w:r>
      <w:r w:rsidRPr="00DA09BA">
        <w:rPr>
          <w:rFonts w:ascii="Arial" w:hAnsi="Arial" w:cs="Arial"/>
          <w:sz w:val="20"/>
          <w:szCs w:val="20"/>
        </w:rPr>
        <w:t>nother 60 age and sex</w:t>
      </w:r>
      <w:r w:rsidR="003E4FC0" w:rsidRPr="00DA09BA">
        <w:rPr>
          <w:rFonts w:ascii="Arial" w:hAnsi="Arial" w:cs="Arial"/>
          <w:sz w:val="20"/>
          <w:szCs w:val="20"/>
        </w:rPr>
        <w:t>-</w:t>
      </w:r>
      <w:r w:rsidRPr="00DA09BA">
        <w:rPr>
          <w:rFonts w:ascii="Arial" w:hAnsi="Arial" w:cs="Arial"/>
          <w:sz w:val="20"/>
          <w:szCs w:val="20"/>
        </w:rPr>
        <w:t xml:space="preserve">matched subjects </w:t>
      </w:r>
      <w:r w:rsidR="003E4FC0" w:rsidRPr="00DA09BA">
        <w:rPr>
          <w:rFonts w:ascii="Arial" w:hAnsi="Arial" w:cs="Arial"/>
          <w:sz w:val="20"/>
          <w:szCs w:val="20"/>
        </w:rPr>
        <w:t xml:space="preserve">(26 males and 34 females) </w:t>
      </w:r>
      <w:r w:rsidRPr="00DA09BA">
        <w:rPr>
          <w:rFonts w:ascii="Arial" w:hAnsi="Arial" w:cs="Arial"/>
          <w:sz w:val="20"/>
          <w:szCs w:val="20"/>
        </w:rPr>
        <w:t>who have never been involved in petroleum dispensary served as controls.</w:t>
      </w:r>
    </w:p>
    <w:p w14:paraId="267AF97E" w14:textId="77777777" w:rsidR="003F1C38" w:rsidRDefault="003F1C38" w:rsidP="00EA53EB">
      <w:pPr>
        <w:spacing w:line="240" w:lineRule="auto"/>
        <w:jc w:val="both"/>
        <w:rPr>
          <w:rFonts w:ascii="Arial" w:hAnsi="Arial" w:cs="Arial"/>
          <w:sz w:val="20"/>
          <w:szCs w:val="20"/>
        </w:rPr>
      </w:pPr>
      <w:r w:rsidRPr="00DA09BA">
        <w:rPr>
          <w:rFonts w:ascii="Arial" w:hAnsi="Arial" w:cs="Arial"/>
          <w:b/>
          <w:sz w:val="20"/>
          <w:szCs w:val="20"/>
        </w:rPr>
        <w:t>2.4. Questionnaire</w:t>
      </w:r>
      <w:r w:rsidRPr="00DA09BA">
        <w:rPr>
          <w:rFonts w:ascii="Arial" w:hAnsi="Arial" w:cs="Arial"/>
          <w:sz w:val="20"/>
          <w:szCs w:val="20"/>
        </w:rPr>
        <w:t>: A structured questionnaire was served to all participants to obtain data on their socio-demographic characteristics such as age, gender, lifestyle, family history, educational status, medical history and occupational history/work duration.</w:t>
      </w:r>
    </w:p>
    <w:p w14:paraId="52AE4526" w14:textId="230FC8B0" w:rsidR="007B0E18" w:rsidRDefault="007B0E18" w:rsidP="00EA53EB">
      <w:pPr>
        <w:spacing w:line="240" w:lineRule="auto"/>
        <w:jc w:val="both"/>
        <w:rPr>
          <w:rFonts w:ascii="Arial" w:hAnsi="Arial" w:cs="Arial"/>
          <w:sz w:val="20"/>
          <w:szCs w:val="20"/>
        </w:rPr>
      </w:pPr>
      <w:r w:rsidRPr="007B0E18">
        <w:rPr>
          <w:rFonts w:ascii="Arial" w:hAnsi="Arial" w:cs="Arial"/>
          <w:b/>
          <w:sz w:val="20"/>
          <w:szCs w:val="20"/>
        </w:rPr>
        <w:t>2.5. Sample size determination</w:t>
      </w:r>
      <w:r>
        <w:rPr>
          <w:rFonts w:ascii="Arial" w:hAnsi="Arial" w:cs="Arial"/>
          <w:sz w:val="20"/>
          <w:szCs w:val="20"/>
        </w:rPr>
        <w:t>: Cohen’s formula of 1988 was used to determine the number of samples used.</w:t>
      </w:r>
    </w:p>
    <w:p w14:paraId="2F92D0B2" w14:textId="6B7C6306" w:rsidR="007B0E18" w:rsidRPr="007B0E18" w:rsidRDefault="007B0E18" w:rsidP="007B0E18">
      <w:pPr>
        <w:spacing w:after="0" w:line="240" w:lineRule="auto"/>
        <w:jc w:val="both"/>
        <w:rPr>
          <w:rFonts w:ascii="Arial" w:hAnsi="Arial" w:cs="Arial"/>
          <w:sz w:val="20"/>
          <w:szCs w:val="20"/>
        </w:rPr>
      </w:pPr>
      <w:r w:rsidRPr="007B0E18">
        <w:rPr>
          <w:rFonts w:ascii="Arial" w:hAnsi="Arial" w:cs="Arial"/>
          <w:sz w:val="20"/>
          <w:szCs w:val="20"/>
        </w:rPr>
        <w:tab/>
      </w:r>
      <w:r w:rsidRPr="007B0E18">
        <w:rPr>
          <w:rFonts w:ascii="Arial" w:hAnsi="Arial" w:cs="Arial"/>
          <w:sz w:val="20"/>
          <w:szCs w:val="20"/>
        </w:rPr>
        <w:tab/>
        <w:t>n = (Zα/2) + Zᵦ</w:t>
      </w:r>
      <w:proofErr w:type="gramStart"/>
      <w:r w:rsidRPr="007B0E18">
        <w:rPr>
          <w:rFonts w:ascii="Arial" w:hAnsi="Arial" w:cs="Arial"/>
          <w:sz w:val="20"/>
          <w:szCs w:val="20"/>
        </w:rPr>
        <w:t>)²</w:t>
      </w:r>
      <w:proofErr w:type="gramEnd"/>
      <w:r w:rsidRPr="007B0E18">
        <w:rPr>
          <w:rFonts w:ascii="Arial" w:hAnsi="Arial" w:cs="Arial"/>
          <w:sz w:val="20"/>
          <w:szCs w:val="20"/>
        </w:rPr>
        <w:t xml:space="preserve"> (σ² / d²)</w:t>
      </w:r>
    </w:p>
    <w:p w14:paraId="3DC5C468" w14:textId="130E260A" w:rsidR="007B0E18" w:rsidRPr="007B0E18" w:rsidRDefault="007B0E18" w:rsidP="00714D53">
      <w:pPr>
        <w:pStyle w:val="NormalWeb"/>
        <w:shd w:val="clear" w:color="auto" w:fill="FFFFFF"/>
        <w:spacing w:before="0" w:beforeAutospacing="0" w:after="0" w:afterAutospacing="0"/>
        <w:jc w:val="both"/>
        <w:rPr>
          <w:rFonts w:ascii="Arial" w:hAnsi="Arial" w:cs="Arial"/>
          <w:sz w:val="20"/>
          <w:szCs w:val="20"/>
        </w:rPr>
      </w:pPr>
      <w:r w:rsidRPr="007B0E18">
        <w:rPr>
          <w:rFonts w:ascii="Arial" w:hAnsi="Arial" w:cs="Arial"/>
          <w:sz w:val="20"/>
          <w:szCs w:val="20"/>
        </w:rPr>
        <w:t>Where</w:t>
      </w:r>
    </w:p>
    <w:p w14:paraId="4240BFF2" w14:textId="77777777" w:rsidR="007B0E18" w:rsidRP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sidRPr="007B0E18">
        <w:rPr>
          <w:rFonts w:ascii="Arial" w:hAnsi="Arial" w:cs="Arial"/>
          <w:sz w:val="20"/>
          <w:szCs w:val="20"/>
        </w:rPr>
        <w:t>n = sample size per group</w:t>
      </w:r>
    </w:p>
    <w:p w14:paraId="49107225" w14:textId="77777777" w:rsidR="007B0E18" w:rsidRP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sidRPr="007B0E18">
        <w:rPr>
          <w:rFonts w:ascii="Arial" w:hAnsi="Arial" w:cs="Arial"/>
          <w:sz w:val="20"/>
          <w:szCs w:val="20"/>
        </w:rPr>
        <w:t>Zα/2 = Desired significance level (1.96 for 95% confidence level)</w:t>
      </w:r>
    </w:p>
    <w:p w14:paraId="16F7C278" w14:textId="77777777" w:rsidR="007B0E18" w:rsidRP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sidRPr="007B0E18">
        <w:rPr>
          <w:rFonts w:ascii="Arial" w:hAnsi="Arial" w:cs="Arial"/>
          <w:sz w:val="20"/>
          <w:szCs w:val="20"/>
        </w:rPr>
        <w:t>Zᵦ = Desired power (usually 0.84 for 80% power)</w:t>
      </w:r>
    </w:p>
    <w:p w14:paraId="39EC44F2" w14:textId="5B33D6DC" w:rsidR="007B0E18" w:rsidRP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sidRPr="007B0E18">
        <w:rPr>
          <w:rFonts w:ascii="Arial" w:hAnsi="Arial" w:cs="Arial"/>
          <w:sz w:val="20"/>
          <w:szCs w:val="20"/>
        </w:rPr>
        <w:t>σ</w:t>
      </w:r>
      <w:r w:rsidRPr="007B0E18">
        <w:rPr>
          <w:rFonts w:ascii="Arial" w:hAnsi="Arial" w:cs="Arial"/>
          <w:b/>
          <w:bCs/>
          <w:sz w:val="20"/>
          <w:szCs w:val="20"/>
        </w:rPr>
        <w:t xml:space="preserve"> </w:t>
      </w:r>
      <w:r w:rsidRPr="007B0E18">
        <w:rPr>
          <w:rFonts w:ascii="Arial" w:hAnsi="Arial" w:cs="Arial"/>
          <w:sz w:val="20"/>
          <w:szCs w:val="20"/>
        </w:rPr>
        <w:t>= estimated standard d</w:t>
      </w:r>
      <w:r>
        <w:rPr>
          <w:rFonts w:ascii="Arial" w:hAnsi="Arial" w:cs="Arial"/>
          <w:sz w:val="20"/>
          <w:szCs w:val="20"/>
        </w:rPr>
        <w:t>eviation from pilot study (0.912</w:t>
      </w:r>
      <w:r w:rsidRPr="007B0E18">
        <w:rPr>
          <w:rFonts w:ascii="Arial" w:hAnsi="Arial" w:cs="Arial"/>
          <w:sz w:val="20"/>
          <w:szCs w:val="20"/>
        </w:rPr>
        <w:t>)</w:t>
      </w:r>
    </w:p>
    <w:p w14:paraId="381DB91A" w14:textId="0262EC67" w:rsidR="007B0E18" w:rsidRP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sidRPr="007B0E18">
        <w:rPr>
          <w:rFonts w:ascii="Arial" w:hAnsi="Arial" w:cs="Arial"/>
          <w:sz w:val="20"/>
          <w:szCs w:val="20"/>
        </w:rPr>
        <w:t xml:space="preserve"> d = estimated eff</w:t>
      </w:r>
      <w:r>
        <w:rPr>
          <w:rFonts w:ascii="Arial" w:hAnsi="Arial" w:cs="Arial"/>
          <w:sz w:val="20"/>
          <w:szCs w:val="20"/>
        </w:rPr>
        <w:t>ect size from pilot study (0.335</w:t>
      </w:r>
      <w:r w:rsidRPr="007B0E18">
        <w:rPr>
          <w:rFonts w:ascii="Arial" w:hAnsi="Arial" w:cs="Arial"/>
          <w:sz w:val="20"/>
          <w:szCs w:val="20"/>
        </w:rPr>
        <w:t>)</w:t>
      </w:r>
    </w:p>
    <w:p w14:paraId="6752F555" w14:textId="53F51F30" w:rsidR="007B0E18" w:rsidRPr="007B0E18" w:rsidRDefault="007B0E18" w:rsidP="00714D53">
      <w:pPr>
        <w:pStyle w:val="NormalWeb"/>
        <w:shd w:val="clear" w:color="auto" w:fill="FFFFFF"/>
        <w:spacing w:before="0" w:beforeAutospacing="0" w:after="0" w:afterAutospacing="0"/>
        <w:jc w:val="both"/>
        <w:rPr>
          <w:rFonts w:ascii="Arial" w:hAnsi="Arial" w:cs="Arial"/>
          <w:sz w:val="20"/>
          <w:szCs w:val="20"/>
        </w:rPr>
      </w:pPr>
      <w:r w:rsidRPr="007B0E18">
        <w:rPr>
          <w:rFonts w:ascii="Arial" w:hAnsi="Arial" w:cs="Arial"/>
          <w:sz w:val="20"/>
          <w:szCs w:val="20"/>
        </w:rPr>
        <w:t>Extrapolating the values:</w:t>
      </w:r>
    </w:p>
    <w:p w14:paraId="749AA461" w14:textId="62508998" w:rsid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sidRPr="007B0E18">
        <w:rPr>
          <w:rFonts w:ascii="Arial" w:hAnsi="Arial" w:cs="Arial"/>
          <w:sz w:val="20"/>
          <w:szCs w:val="20"/>
        </w:rPr>
        <w:t xml:space="preserve">n = </w:t>
      </w:r>
      <w:r>
        <w:rPr>
          <w:rFonts w:ascii="Arial" w:hAnsi="Arial" w:cs="Arial"/>
          <w:sz w:val="20"/>
          <w:szCs w:val="20"/>
        </w:rPr>
        <w:t>(1.96 + 0.84)²</w:t>
      </w:r>
      <w:proofErr w:type="gramStart"/>
      <w:r>
        <w:rPr>
          <w:rFonts w:ascii="Arial" w:hAnsi="Arial" w:cs="Arial"/>
          <w:sz w:val="20"/>
          <w:szCs w:val="20"/>
        </w:rPr>
        <w:t>)  (</w:t>
      </w:r>
      <w:proofErr w:type="gramEnd"/>
      <w:r>
        <w:rPr>
          <w:rFonts w:ascii="Arial" w:hAnsi="Arial" w:cs="Arial"/>
          <w:sz w:val="20"/>
          <w:szCs w:val="20"/>
        </w:rPr>
        <w:t>0.912²/0.335</w:t>
      </w:r>
      <w:r w:rsidRPr="007B0E18">
        <w:rPr>
          <w:rFonts w:ascii="Arial" w:hAnsi="Arial" w:cs="Arial"/>
          <w:sz w:val="20"/>
          <w:szCs w:val="20"/>
        </w:rPr>
        <w:t>²)</w:t>
      </w:r>
    </w:p>
    <w:p w14:paraId="78B27109" w14:textId="6DD7311E" w:rsidR="007B0E18" w:rsidRP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Pr>
          <w:rFonts w:ascii="Arial" w:hAnsi="Arial" w:cs="Arial"/>
          <w:sz w:val="20"/>
          <w:szCs w:val="20"/>
        </w:rPr>
        <w:t>n = (7.84</w:t>
      </w:r>
      <w:proofErr w:type="gramStart"/>
      <w:r>
        <w:rPr>
          <w:rFonts w:ascii="Arial" w:hAnsi="Arial" w:cs="Arial"/>
          <w:sz w:val="20"/>
          <w:szCs w:val="20"/>
        </w:rPr>
        <w:t>)(</w:t>
      </w:r>
      <w:proofErr w:type="gramEnd"/>
      <w:r>
        <w:rPr>
          <w:rFonts w:ascii="Arial" w:hAnsi="Arial" w:cs="Arial"/>
          <w:sz w:val="20"/>
          <w:szCs w:val="20"/>
        </w:rPr>
        <w:t>7.41</w:t>
      </w:r>
    </w:p>
    <w:p w14:paraId="6BA109A8" w14:textId="71BBE80D" w:rsidR="007B0E18" w:rsidRDefault="007B0E18" w:rsidP="00714D53">
      <w:pPr>
        <w:pStyle w:val="NormalWeb"/>
        <w:shd w:val="clear" w:color="auto" w:fill="FFFFFF"/>
        <w:spacing w:before="0" w:beforeAutospacing="0" w:after="0" w:afterAutospacing="0"/>
        <w:ind w:left="720" w:firstLine="720"/>
        <w:jc w:val="both"/>
        <w:rPr>
          <w:rFonts w:ascii="Arial" w:hAnsi="Arial" w:cs="Arial"/>
          <w:sz w:val="20"/>
          <w:szCs w:val="20"/>
        </w:rPr>
      </w:pPr>
      <w:r>
        <w:rPr>
          <w:rFonts w:ascii="Arial" w:hAnsi="Arial" w:cs="Arial"/>
          <w:sz w:val="20"/>
          <w:szCs w:val="20"/>
        </w:rPr>
        <w:t xml:space="preserve">n </w:t>
      </w:r>
      <w:r w:rsidR="00714D53">
        <w:rPr>
          <w:rFonts w:ascii="Arial" w:hAnsi="Arial" w:cs="Arial"/>
          <w:sz w:val="20"/>
          <w:szCs w:val="20"/>
        </w:rPr>
        <w:t>=</w:t>
      </w:r>
      <w:r>
        <w:rPr>
          <w:rFonts w:ascii="Arial" w:hAnsi="Arial" w:cs="Arial"/>
          <w:sz w:val="20"/>
          <w:szCs w:val="20"/>
        </w:rPr>
        <w:t xml:space="preserve"> </w:t>
      </w:r>
      <w:r w:rsidR="00714D53">
        <w:rPr>
          <w:rFonts w:ascii="Arial" w:hAnsi="Arial" w:cs="Arial"/>
          <w:sz w:val="20"/>
          <w:szCs w:val="20"/>
        </w:rPr>
        <w:t>58.09</w:t>
      </w:r>
    </w:p>
    <w:p w14:paraId="50C23CCC" w14:textId="494FF714" w:rsidR="00714D53" w:rsidRPr="007B0E18" w:rsidRDefault="00714D53" w:rsidP="00714D53">
      <w:pPr>
        <w:pStyle w:val="NormalWeb"/>
        <w:shd w:val="clear" w:color="auto" w:fill="FFFFFF"/>
        <w:spacing w:before="0" w:beforeAutospacing="0" w:after="0" w:afterAutospacing="0"/>
        <w:ind w:left="720" w:firstLine="720"/>
        <w:jc w:val="both"/>
        <w:rPr>
          <w:rFonts w:ascii="Arial" w:hAnsi="Arial" w:cs="Arial"/>
          <w:sz w:val="20"/>
          <w:szCs w:val="20"/>
        </w:rPr>
      </w:pPr>
      <w:r>
        <w:rPr>
          <w:rFonts w:ascii="Arial" w:hAnsi="Arial" w:cs="Arial"/>
          <w:sz w:val="20"/>
          <w:szCs w:val="20"/>
        </w:rPr>
        <w:t xml:space="preserve">   ≈ 60</w:t>
      </w:r>
    </w:p>
    <w:p w14:paraId="1BC6887E" w14:textId="77777777" w:rsidR="00714D53" w:rsidRDefault="00714D53" w:rsidP="00EA53EB">
      <w:pPr>
        <w:spacing w:line="240" w:lineRule="auto"/>
        <w:jc w:val="both"/>
        <w:rPr>
          <w:rFonts w:ascii="Arial" w:hAnsi="Arial" w:cs="Arial"/>
          <w:b/>
          <w:sz w:val="20"/>
          <w:szCs w:val="20"/>
        </w:rPr>
      </w:pPr>
    </w:p>
    <w:p w14:paraId="56C22F7D" w14:textId="77F96AAF" w:rsidR="003F1C38" w:rsidRPr="00DA09BA" w:rsidRDefault="00714D53" w:rsidP="00EA53EB">
      <w:pPr>
        <w:spacing w:line="240" w:lineRule="auto"/>
        <w:jc w:val="both"/>
        <w:rPr>
          <w:rFonts w:ascii="Arial" w:hAnsi="Arial" w:cs="Arial"/>
          <w:sz w:val="20"/>
          <w:szCs w:val="20"/>
        </w:rPr>
      </w:pPr>
      <w:r>
        <w:rPr>
          <w:rFonts w:ascii="Arial" w:hAnsi="Arial" w:cs="Arial"/>
          <w:b/>
          <w:sz w:val="20"/>
          <w:szCs w:val="20"/>
        </w:rPr>
        <w:t>2.6</w:t>
      </w:r>
      <w:r w:rsidR="003F1C38" w:rsidRPr="00DA09BA">
        <w:rPr>
          <w:rFonts w:ascii="Arial" w:hAnsi="Arial" w:cs="Arial"/>
          <w:b/>
          <w:sz w:val="20"/>
          <w:szCs w:val="20"/>
        </w:rPr>
        <w:t>. Sample collection</w:t>
      </w:r>
      <w:r w:rsidR="003F1C38" w:rsidRPr="00DA09BA">
        <w:rPr>
          <w:rFonts w:ascii="Arial" w:hAnsi="Arial" w:cs="Arial"/>
          <w:sz w:val="20"/>
          <w:szCs w:val="20"/>
        </w:rPr>
        <w:t>: A total of 5.0ml of fasting blood sample was taken from a peripheral vein of the arm of each participant, using a sterile syringe and immediately transferred to a pre-labeled sterile plain glass test tube. This was allowed to stand at room temperature to clot and retract before centrifugation at 5,000 rpm for 5 minutes. The serum was then separated into a plain plastic container and stored frozen till needed for analysis.</w:t>
      </w:r>
    </w:p>
    <w:p w14:paraId="72A4AAA5" w14:textId="4E1C4C62" w:rsidR="003F1C38" w:rsidRPr="00DA09BA" w:rsidRDefault="00714D53" w:rsidP="00EA53EB">
      <w:pPr>
        <w:spacing w:line="240" w:lineRule="auto"/>
        <w:jc w:val="both"/>
        <w:rPr>
          <w:rFonts w:ascii="Arial" w:hAnsi="Arial" w:cs="Arial"/>
          <w:sz w:val="20"/>
          <w:szCs w:val="20"/>
        </w:rPr>
      </w:pPr>
      <w:r>
        <w:rPr>
          <w:rFonts w:ascii="Arial" w:hAnsi="Arial" w:cs="Arial"/>
          <w:b/>
          <w:sz w:val="20"/>
          <w:szCs w:val="20"/>
        </w:rPr>
        <w:t>2.7</w:t>
      </w:r>
      <w:r w:rsidR="003F1C38" w:rsidRPr="00DA09BA">
        <w:rPr>
          <w:rFonts w:ascii="Arial" w:hAnsi="Arial" w:cs="Arial"/>
          <w:b/>
          <w:sz w:val="20"/>
          <w:szCs w:val="20"/>
        </w:rPr>
        <w:t>. Laboratory analysis</w:t>
      </w:r>
      <w:r w:rsidR="003F1C38" w:rsidRPr="00DA09BA">
        <w:rPr>
          <w:rFonts w:ascii="Arial" w:hAnsi="Arial" w:cs="Arial"/>
          <w:sz w:val="20"/>
          <w:szCs w:val="20"/>
        </w:rPr>
        <w:t xml:space="preserve">: Lipid profile parameters, total cholesterol (TC), high density lipoprotein (HDL), low density lipoprotein (LDL), very low density lipoprotein (VLDL) and triglycerides (TG) were estimated as earlier reported </w:t>
      </w:r>
      <w:r w:rsidR="00A90124" w:rsidRPr="00DA09BA">
        <w:rPr>
          <w:rFonts w:ascii="Arial" w:hAnsi="Arial" w:cs="Arial"/>
          <w:sz w:val="20"/>
          <w:szCs w:val="20"/>
        </w:rPr>
        <w:t>(</w:t>
      </w:r>
      <w:r w:rsidR="000A3CFF" w:rsidRPr="00DA09BA">
        <w:rPr>
          <w:rFonts w:ascii="Arial" w:hAnsi="Arial" w:cs="Arial"/>
          <w:sz w:val="20"/>
          <w:szCs w:val="20"/>
        </w:rPr>
        <w:t>Ogbodo et al, 2018)</w:t>
      </w:r>
      <w:r w:rsidR="003F1C38" w:rsidRPr="00DA09BA">
        <w:rPr>
          <w:rFonts w:ascii="Arial" w:hAnsi="Arial" w:cs="Arial"/>
          <w:sz w:val="20"/>
          <w:szCs w:val="20"/>
        </w:rPr>
        <w:t>.</w:t>
      </w:r>
    </w:p>
    <w:p w14:paraId="32336CC9" w14:textId="69B304DF" w:rsidR="003F1C38" w:rsidRPr="00B42239" w:rsidRDefault="00714D53" w:rsidP="00EA53EB">
      <w:pPr>
        <w:spacing w:line="240" w:lineRule="auto"/>
        <w:jc w:val="both"/>
        <w:rPr>
          <w:rFonts w:ascii="Times New Roman" w:eastAsia="Times New Roman" w:hAnsi="Times New Roman" w:cs="Times New Roman"/>
          <w:sz w:val="24"/>
          <w:szCs w:val="24"/>
        </w:rPr>
      </w:pPr>
      <w:r>
        <w:rPr>
          <w:rFonts w:ascii="Arial" w:hAnsi="Arial" w:cs="Arial"/>
          <w:b/>
          <w:sz w:val="20"/>
          <w:szCs w:val="20"/>
        </w:rPr>
        <w:t>2.8</w:t>
      </w:r>
      <w:r w:rsidR="003F1C38" w:rsidRPr="00DA09BA">
        <w:rPr>
          <w:rFonts w:ascii="Arial" w:hAnsi="Arial" w:cs="Arial"/>
          <w:b/>
          <w:sz w:val="20"/>
          <w:szCs w:val="20"/>
        </w:rPr>
        <w:t>. Statistical analysis</w:t>
      </w:r>
      <w:r w:rsidR="003F1C38" w:rsidRPr="00DA09BA">
        <w:rPr>
          <w:rFonts w:ascii="Arial" w:hAnsi="Arial" w:cs="Arial"/>
          <w:sz w:val="20"/>
          <w:szCs w:val="20"/>
        </w:rPr>
        <w:t xml:space="preserve">: </w:t>
      </w:r>
      <w:r w:rsidR="003F1C38" w:rsidRPr="00DA09BA">
        <w:rPr>
          <w:rFonts w:ascii="Arial" w:eastAsia="Times New Roman" w:hAnsi="Arial" w:cs="Arial"/>
          <w:sz w:val="20"/>
          <w:szCs w:val="20"/>
        </w:rPr>
        <w:t xml:space="preserve">Statistical analysis was done using </w:t>
      </w:r>
      <w:r w:rsidR="003E4FC0" w:rsidRPr="00DA09BA">
        <w:rPr>
          <w:rFonts w:ascii="Arial" w:eastAsia="Times New Roman" w:hAnsi="Arial" w:cs="Arial"/>
          <w:sz w:val="20"/>
          <w:szCs w:val="20"/>
        </w:rPr>
        <w:t>Statistical Package</w:t>
      </w:r>
      <w:r w:rsidR="003F1C38" w:rsidRPr="00DA09BA">
        <w:rPr>
          <w:rFonts w:ascii="Arial" w:eastAsia="Times New Roman" w:hAnsi="Arial" w:cs="Arial"/>
          <w:sz w:val="20"/>
          <w:szCs w:val="20"/>
        </w:rPr>
        <w:t xml:space="preserve"> for </w:t>
      </w:r>
      <w:r w:rsidR="003E4FC0" w:rsidRPr="00DA09BA">
        <w:rPr>
          <w:rFonts w:ascii="Arial" w:eastAsia="Times New Roman" w:hAnsi="Arial" w:cs="Arial"/>
          <w:sz w:val="20"/>
          <w:szCs w:val="20"/>
        </w:rPr>
        <w:t>Social Sciences</w:t>
      </w:r>
      <w:r w:rsidR="003F1C38" w:rsidRPr="00DA09BA">
        <w:rPr>
          <w:rFonts w:ascii="Arial" w:eastAsia="Times New Roman" w:hAnsi="Arial" w:cs="Arial"/>
          <w:sz w:val="20"/>
          <w:szCs w:val="20"/>
        </w:rPr>
        <w:t xml:space="preserve"> (SPSS) version 23. Values were expressed as plus or minus standard deviation</w:t>
      </w:r>
      <w:r w:rsidR="003E4FC0" w:rsidRPr="00DA09BA">
        <w:rPr>
          <w:rFonts w:ascii="Arial" w:eastAsia="Times New Roman" w:hAnsi="Arial" w:cs="Arial"/>
          <w:sz w:val="20"/>
          <w:szCs w:val="20"/>
        </w:rPr>
        <w:t>,</w:t>
      </w:r>
      <w:r w:rsidR="003F1C38" w:rsidRPr="00DA09BA">
        <w:rPr>
          <w:rFonts w:ascii="Arial" w:eastAsia="Times New Roman" w:hAnsi="Arial" w:cs="Arial"/>
          <w:sz w:val="20"/>
          <w:szCs w:val="20"/>
        </w:rPr>
        <w:t xml:space="preserve"> while statistical significance was taken at p</w:t>
      </w:r>
      <w:r w:rsidR="003E4FC0" w:rsidRPr="00DA09BA">
        <w:rPr>
          <w:rFonts w:ascii="Arial" w:eastAsia="Times New Roman" w:hAnsi="Arial" w:cs="Arial"/>
          <w:sz w:val="20"/>
          <w:szCs w:val="20"/>
        </w:rPr>
        <w:t>≤</w:t>
      </w:r>
      <w:r w:rsidR="003F1C38" w:rsidRPr="00DA09BA">
        <w:rPr>
          <w:rFonts w:ascii="Arial" w:eastAsia="Times New Roman" w:hAnsi="Arial" w:cs="Arial"/>
          <w:sz w:val="20"/>
          <w:szCs w:val="20"/>
        </w:rPr>
        <w:t>0.05.</w:t>
      </w:r>
    </w:p>
    <w:p w14:paraId="79E123C6" w14:textId="77777777" w:rsidR="00974784" w:rsidRDefault="00974784" w:rsidP="00EA53EB">
      <w:pPr>
        <w:spacing w:line="240" w:lineRule="auto"/>
        <w:jc w:val="both"/>
        <w:rPr>
          <w:rFonts w:ascii="Arial Rounded MT Bold" w:hAnsi="Arial Rounded MT Bold" w:cs="Times New Roman"/>
          <w:b/>
        </w:rPr>
      </w:pPr>
    </w:p>
    <w:p w14:paraId="4D264B14" w14:textId="77777777" w:rsidR="003F1C38" w:rsidRPr="00DA09BA" w:rsidRDefault="003F1C38" w:rsidP="00EA53EB">
      <w:pPr>
        <w:spacing w:line="240" w:lineRule="auto"/>
        <w:jc w:val="both"/>
        <w:rPr>
          <w:rFonts w:ascii="Arial Rounded MT Bold" w:hAnsi="Arial Rounded MT Bold" w:cs="Times New Roman"/>
          <w:b/>
        </w:rPr>
      </w:pPr>
      <w:r w:rsidRPr="00DA09BA">
        <w:rPr>
          <w:rFonts w:ascii="Arial Rounded MT Bold" w:hAnsi="Arial Rounded MT Bold" w:cs="Times New Roman"/>
          <w:b/>
        </w:rPr>
        <w:t xml:space="preserve">3. </w:t>
      </w:r>
      <w:r w:rsidR="003E4FC0" w:rsidRPr="00DA09BA">
        <w:rPr>
          <w:rFonts w:ascii="Arial Rounded MT Bold" w:hAnsi="Arial Rounded MT Bold" w:cs="Times New Roman"/>
          <w:b/>
        </w:rPr>
        <w:t>Results</w:t>
      </w:r>
    </w:p>
    <w:p w14:paraId="511B2AB0"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Table 1 represents the demographic data of the petroleum pump attendants and the controls. It revealed that both the petroleum pump attendants and the control group </w:t>
      </w:r>
      <w:r w:rsidR="003E4FC0" w:rsidRPr="00DA09BA">
        <w:rPr>
          <w:rFonts w:ascii="Arial" w:hAnsi="Arial" w:cs="Arial"/>
          <w:sz w:val="20"/>
          <w:szCs w:val="20"/>
        </w:rPr>
        <w:t>had</w:t>
      </w:r>
      <w:r w:rsidRPr="00DA09BA">
        <w:rPr>
          <w:rFonts w:ascii="Arial" w:hAnsi="Arial" w:cs="Arial"/>
          <w:sz w:val="20"/>
          <w:szCs w:val="20"/>
        </w:rPr>
        <w:t xml:space="preserve"> more females than males, and the majority of the participants were between 18 and 29 years of age. The table also shows that </w:t>
      </w:r>
      <w:r w:rsidR="003E4FC0" w:rsidRPr="00DA09BA">
        <w:rPr>
          <w:rFonts w:ascii="Arial" w:hAnsi="Arial" w:cs="Arial"/>
          <w:sz w:val="20"/>
          <w:szCs w:val="20"/>
        </w:rPr>
        <w:t xml:space="preserve">the </w:t>
      </w:r>
      <w:r w:rsidRPr="00DA09BA">
        <w:rPr>
          <w:rFonts w:ascii="Arial" w:hAnsi="Arial" w:cs="Arial"/>
          <w:sz w:val="20"/>
          <w:szCs w:val="20"/>
        </w:rPr>
        <w:t xml:space="preserve">majority of pump attendants (53%) work more than 8 hours per day, while the remaining (47%) work for less than 8 </w:t>
      </w:r>
      <w:r w:rsidR="003E4FC0" w:rsidRPr="00DA09BA">
        <w:rPr>
          <w:rFonts w:ascii="Arial" w:hAnsi="Arial" w:cs="Arial"/>
          <w:sz w:val="20"/>
          <w:szCs w:val="20"/>
        </w:rPr>
        <w:t>hours</w:t>
      </w:r>
      <w:r w:rsidRPr="00DA09BA">
        <w:rPr>
          <w:rFonts w:ascii="Arial" w:hAnsi="Arial" w:cs="Arial"/>
          <w:sz w:val="20"/>
          <w:szCs w:val="20"/>
        </w:rPr>
        <w:t xml:space="preserve"> per day, and none of these attendants use any personal protective equipment (PPE).</w:t>
      </w:r>
    </w:p>
    <w:p w14:paraId="1A417569" w14:textId="77777777" w:rsidR="003F1C38" w:rsidRDefault="003F1C38" w:rsidP="00EA53EB">
      <w:pPr>
        <w:spacing w:line="240" w:lineRule="auto"/>
        <w:jc w:val="both"/>
        <w:rPr>
          <w:rFonts w:ascii="Arial" w:hAnsi="Arial" w:cs="Arial"/>
          <w:sz w:val="20"/>
          <w:szCs w:val="20"/>
        </w:rPr>
      </w:pPr>
    </w:p>
    <w:p w14:paraId="5C41FDF5" w14:textId="77777777" w:rsidR="00974784" w:rsidRDefault="00974784" w:rsidP="00EA53EB">
      <w:pPr>
        <w:spacing w:line="240" w:lineRule="auto"/>
        <w:jc w:val="both"/>
        <w:rPr>
          <w:rFonts w:ascii="Arial" w:hAnsi="Arial" w:cs="Arial"/>
          <w:sz w:val="20"/>
          <w:szCs w:val="20"/>
        </w:rPr>
      </w:pPr>
    </w:p>
    <w:p w14:paraId="6AB87E69" w14:textId="77777777" w:rsidR="00974784" w:rsidRDefault="00974784" w:rsidP="00EA53EB">
      <w:pPr>
        <w:spacing w:line="240" w:lineRule="auto"/>
        <w:jc w:val="both"/>
        <w:rPr>
          <w:rFonts w:ascii="Arial" w:hAnsi="Arial" w:cs="Arial"/>
          <w:sz w:val="20"/>
          <w:szCs w:val="20"/>
        </w:rPr>
      </w:pPr>
    </w:p>
    <w:p w14:paraId="42D67D40" w14:textId="77777777" w:rsidR="00974784" w:rsidRDefault="00974784" w:rsidP="00EA53EB">
      <w:pPr>
        <w:spacing w:line="240" w:lineRule="auto"/>
        <w:jc w:val="both"/>
        <w:rPr>
          <w:rFonts w:ascii="Arial" w:hAnsi="Arial" w:cs="Arial"/>
          <w:sz w:val="20"/>
          <w:szCs w:val="20"/>
        </w:rPr>
      </w:pPr>
    </w:p>
    <w:p w14:paraId="398FEACC" w14:textId="77777777" w:rsidR="00974784" w:rsidRDefault="00974784" w:rsidP="00EA53EB">
      <w:pPr>
        <w:spacing w:line="240" w:lineRule="auto"/>
        <w:jc w:val="both"/>
        <w:rPr>
          <w:rFonts w:ascii="Arial" w:hAnsi="Arial" w:cs="Arial"/>
          <w:sz w:val="20"/>
          <w:szCs w:val="20"/>
        </w:rPr>
      </w:pPr>
    </w:p>
    <w:p w14:paraId="177E1C6D"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bCs/>
          <w:sz w:val="20"/>
          <w:szCs w:val="20"/>
        </w:rPr>
        <w:lastRenderedPageBreak/>
        <w:t>Table 1: Demographic data of petroleum pump attendants and controls</w:t>
      </w:r>
      <w:r w:rsidRPr="00DA09BA">
        <w:rPr>
          <w:rFonts w:ascii="Arial" w:hAnsi="Arial" w:cs="Arial"/>
          <w:sz w:val="20"/>
          <w:szCs w:val="20"/>
        </w:rPr>
        <w:tab/>
      </w:r>
    </w:p>
    <w:tbl>
      <w:tblPr>
        <w:tblStyle w:val="TableGrid"/>
        <w:tblW w:w="0" w:type="auto"/>
        <w:tblLook w:val="04A0" w:firstRow="1" w:lastRow="0" w:firstColumn="1" w:lastColumn="0" w:noHBand="0" w:noVBand="1"/>
      </w:tblPr>
      <w:tblGrid>
        <w:gridCol w:w="2605"/>
        <w:gridCol w:w="2160"/>
        <w:gridCol w:w="1800"/>
      </w:tblGrid>
      <w:tr w:rsidR="003F1C38" w:rsidRPr="00DA09BA" w14:paraId="5B74288A" w14:textId="77777777" w:rsidTr="008346A8">
        <w:tc>
          <w:tcPr>
            <w:tcW w:w="2605" w:type="dxa"/>
          </w:tcPr>
          <w:p w14:paraId="5C15391E"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Variables</w:t>
            </w:r>
          </w:p>
        </w:tc>
        <w:tc>
          <w:tcPr>
            <w:tcW w:w="2160" w:type="dxa"/>
          </w:tcPr>
          <w:p w14:paraId="353D2497"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Pump attendants</w:t>
            </w:r>
          </w:p>
          <w:p w14:paraId="05B195E4"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N=60</w:t>
            </w:r>
          </w:p>
        </w:tc>
        <w:tc>
          <w:tcPr>
            <w:tcW w:w="1800" w:type="dxa"/>
          </w:tcPr>
          <w:p w14:paraId="08D007ED"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Controls</w:t>
            </w:r>
          </w:p>
          <w:p w14:paraId="2FCCB623" w14:textId="77777777" w:rsidR="003F1C38" w:rsidRPr="00DA09BA" w:rsidRDefault="003F1C38" w:rsidP="00EA53EB">
            <w:pPr>
              <w:jc w:val="center"/>
              <w:rPr>
                <w:rFonts w:ascii="Arial" w:hAnsi="Arial" w:cs="Arial"/>
                <w:b/>
                <w:sz w:val="20"/>
                <w:szCs w:val="20"/>
              </w:rPr>
            </w:pPr>
            <w:r w:rsidRPr="00DA09BA">
              <w:rPr>
                <w:rFonts w:ascii="Arial" w:hAnsi="Arial" w:cs="Arial"/>
                <w:b/>
                <w:sz w:val="20"/>
                <w:szCs w:val="20"/>
              </w:rPr>
              <w:t>N=60</w:t>
            </w:r>
          </w:p>
        </w:tc>
      </w:tr>
      <w:tr w:rsidR="003F1C38" w:rsidRPr="00DA09BA" w14:paraId="64464A8C" w14:textId="77777777" w:rsidTr="008346A8">
        <w:tc>
          <w:tcPr>
            <w:tcW w:w="2605" w:type="dxa"/>
          </w:tcPr>
          <w:p w14:paraId="12442F72" w14:textId="77777777" w:rsidR="003F1C38" w:rsidRPr="00DA09BA" w:rsidRDefault="003F1C38" w:rsidP="00EA53EB">
            <w:pPr>
              <w:rPr>
                <w:rFonts w:ascii="Arial" w:hAnsi="Arial" w:cs="Arial"/>
                <w:b/>
                <w:sz w:val="20"/>
                <w:szCs w:val="20"/>
              </w:rPr>
            </w:pPr>
            <w:r w:rsidRPr="00DA09BA">
              <w:rPr>
                <w:rFonts w:ascii="Arial" w:hAnsi="Arial" w:cs="Arial"/>
                <w:b/>
                <w:sz w:val="20"/>
                <w:szCs w:val="20"/>
              </w:rPr>
              <w:t>Age (years)</w:t>
            </w:r>
          </w:p>
          <w:p w14:paraId="5CDCDED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18 – 23</w:t>
            </w:r>
          </w:p>
          <w:p w14:paraId="205CA675"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 29</w:t>
            </w:r>
          </w:p>
          <w:p w14:paraId="1D6AA8A1"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30 – 35</w:t>
            </w:r>
          </w:p>
        </w:tc>
        <w:tc>
          <w:tcPr>
            <w:tcW w:w="2160" w:type="dxa"/>
          </w:tcPr>
          <w:p w14:paraId="1FD3DEF7" w14:textId="77777777" w:rsidR="003F1C38" w:rsidRPr="00DA09BA" w:rsidRDefault="003F1C38" w:rsidP="00EA53EB">
            <w:pPr>
              <w:jc w:val="center"/>
              <w:rPr>
                <w:rFonts w:ascii="Arial" w:hAnsi="Arial" w:cs="Arial"/>
                <w:sz w:val="20"/>
                <w:szCs w:val="20"/>
              </w:rPr>
            </w:pPr>
          </w:p>
          <w:p w14:paraId="1E1D5F3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(40%)</w:t>
            </w:r>
          </w:p>
          <w:p w14:paraId="67DB286F"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(40%)</w:t>
            </w:r>
          </w:p>
          <w:p w14:paraId="5DAB0789"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12 (20%)</w:t>
            </w:r>
          </w:p>
        </w:tc>
        <w:tc>
          <w:tcPr>
            <w:tcW w:w="1800" w:type="dxa"/>
          </w:tcPr>
          <w:p w14:paraId="054CEB1D" w14:textId="77777777" w:rsidR="003F1C38" w:rsidRPr="00DA09BA" w:rsidRDefault="003F1C38" w:rsidP="00EA53EB">
            <w:pPr>
              <w:jc w:val="center"/>
              <w:rPr>
                <w:rFonts w:ascii="Arial" w:hAnsi="Arial" w:cs="Arial"/>
                <w:sz w:val="20"/>
                <w:szCs w:val="20"/>
              </w:rPr>
            </w:pPr>
          </w:p>
          <w:p w14:paraId="72E470E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22 (37%)</w:t>
            </w:r>
          </w:p>
          <w:p w14:paraId="40CD398C"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24 (40%)</w:t>
            </w:r>
          </w:p>
          <w:p w14:paraId="1C2576A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14 (23%)</w:t>
            </w:r>
          </w:p>
        </w:tc>
      </w:tr>
      <w:tr w:rsidR="003F1C38" w:rsidRPr="00DA09BA" w14:paraId="1510844C" w14:textId="77777777" w:rsidTr="008346A8">
        <w:tc>
          <w:tcPr>
            <w:tcW w:w="2605" w:type="dxa"/>
          </w:tcPr>
          <w:p w14:paraId="77A6C12F" w14:textId="77777777" w:rsidR="003F1C38" w:rsidRPr="00DA09BA" w:rsidRDefault="003F1C38" w:rsidP="00EA53EB">
            <w:pPr>
              <w:rPr>
                <w:rFonts w:ascii="Arial" w:hAnsi="Arial" w:cs="Arial"/>
                <w:b/>
                <w:sz w:val="20"/>
                <w:szCs w:val="20"/>
              </w:rPr>
            </w:pPr>
            <w:r w:rsidRPr="00DA09BA">
              <w:rPr>
                <w:rFonts w:ascii="Arial" w:hAnsi="Arial" w:cs="Arial"/>
                <w:b/>
                <w:sz w:val="20"/>
                <w:szCs w:val="20"/>
              </w:rPr>
              <w:t>Gender</w:t>
            </w:r>
          </w:p>
          <w:p w14:paraId="534E3098"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Male</w:t>
            </w:r>
          </w:p>
          <w:p w14:paraId="79AB0F42"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Female</w:t>
            </w:r>
          </w:p>
        </w:tc>
        <w:tc>
          <w:tcPr>
            <w:tcW w:w="2160" w:type="dxa"/>
          </w:tcPr>
          <w:p w14:paraId="3275413A" w14:textId="77777777" w:rsidR="003F1C38" w:rsidRPr="00DA09BA" w:rsidRDefault="003F1C38" w:rsidP="00EA53EB">
            <w:pPr>
              <w:jc w:val="center"/>
              <w:rPr>
                <w:rFonts w:ascii="Arial" w:hAnsi="Arial" w:cs="Arial"/>
                <w:sz w:val="20"/>
                <w:szCs w:val="20"/>
              </w:rPr>
            </w:pPr>
          </w:p>
          <w:p w14:paraId="5754176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22 (37%)</w:t>
            </w:r>
          </w:p>
          <w:p w14:paraId="501383C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38 (63%)</w:t>
            </w:r>
          </w:p>
        </w:tc>
        <w:tc>
          <w:tcPr>
            <w:tcW w:w="1800" w:type="dxa"/>
          </w:tcPr>
          <w:p w14:paraId="17B2E7DF" w14:textId="77777777" w:rsidR="003F1C38" w:rsidRPr="00DA09BA" w:rsidRDefault="003F1C38" w:rsidP="00EA53EB">
            <w:pPr>
              <w:jc w:val="center"/>
              <w:rPr>
                <w:rFonts w:ascii="Arial" w:hAnsi="Arial" w:cs="Arial"/>
                <w:sz w:val="20"/>
                <w:szCs w:val="20"/>
              </w:rPr>
            </w:pPr>
          </w:p>
          <w:p w14:paraId="45761E8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26 (43%)</w:t>
            </w:r>
          </w:p>
          <w:p w14:paraId="5F7E8DB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34 (57%)</w:t>
            </w:r>
          </w:p>
        </w:tc>
      </w:tr>
      <w:tr w:rsidR="003F1C38" w:rsidRPr="00DA09BA" w14:paraId="37079825" w14:textId="77777777" w:rsidTr="00974784">
        <w:trPr>
          <w:trHeight w:val="737"/>
        </w:trPr>
        <w:tc>
          <w:tcPr>
            <w:tcW w:w="2605" w:type="dxa"/>
          </w:tcPr>
          <w:p w14:paraId="35B01C05" w14:textId="77777777" w:rsidR="003F1C38" w:rsidRPr="00DA09BA" w:rsidRDefault="003F1C38" w:rsidP="00EA53EB">
            <w:pPr>
              <w:rPr>
                <w:rFonts w:ascii="Arial" w:hAnsi="Arial" w:cs="Arial"/>
                <w:b/>
                <w:sz w:val="20"/>
                <w:szCs w:val="20"/>
              </w:rPr>
            </w:pPr>
            <w:r w:rsidRPr="00DA09BA">
              <w:rPr>
                <w:rFonts w:ascii="Arial" w:hAnsi="Arial" w:cs="Arial"/>
                <w:b/>
                <w:sz w:val="20"/>
                <w:szCs w:val="20"/>
              </w:rPr>
              <w:t>Working hours</w:t>
            </w:r>
          </w:p>
          <w:p w14:paraId="402FBF7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&lt;8hrs</w:t>
            </w:r>
          </w:p>
          <w:p w14:paraId="02CFFA71"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&gt;8hrs</w:t>
            </w:r>
          </w:p>
        </w:tc>
        <w:tc>
          <w:tcPr>
            <w:tcW w:w="2160" w:type="dxa"/>
          </w:tcPr>
          <w:p w14:paraId="7FC770DA" w14:textId="77777777" w:rsidR="003F1C38" w:rsidRPr="00DA09BA" w:rsidRDefault="003F1C38" w:rsidP="00EA53EB">
            <w:pPr>
              <w:jc w:val="center"/>
              <w:rPr>
                <w:rFonts w:ascii="Arial" w:hAnsi="Arial" w:cs="Arial"/>
                <w:sz w:val="20"/>
                <w:szCs w:val="20"/>
              </w:rPr>
            </w:pPr>
          </w:p>
          <w:p w14:paraId="2141570E"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28 (47%)</w:t>
            </w:r>
          </w:p>
          <w:p w14:paraId="62B5883B"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32 (53%)</w:t>
            </w:r>
          </w:p>
        </w:tc>
        <w:tc>
          <w:tcPr>
            <w:tcW w:w="1800" w:type="dxa"/>
          </w:tcPr>
          <w:p w14:paraId="69381899" w14:textId="77777777" w:rsidR="003F1C38" w:rsidRPr="00DA09BA" w:rsidRDefault="003F1C38" w:rsidP="00EA53EB">
            <w:pPr>
              <w:jc w:val="center"/>
              <w:rPr>
                <w:rFonts w:ascii="Arial" w:hAnsi="Arial" w:cs="Arial"/>
                <w:sz w:val="20"/>
                <w:szCs w:val="20"/>
              </w:rPr>
            </w:pPr>
          </w:p>
          <w:p w14:paraId="2814854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364959D2"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tc>
      </w:tr>
      <w:tr w:rsidR="003F1C38" w:rsidRPr="00DA09BA" w14:paraId="7FDB7A8F" w14:textId="77777777" w:rsidTr="00974784">
        <w:trPr>
          <w:trHeight w:val="1430"/>
        </w:trPr>
        <w:tc>
          <w:tcPr>
            <w:tcW w:w="2605" w:type="dxa"/>
          </w:tcPr>
          <w:p w14:paraId="39648887" w14:textId="77777777" w:rsidR="003F1C38" w:rsidRDefault="003F1C38" w:rsidP="00EA53EB">
            <w:pPr>
              <w:rPr>
                <w:rFonts w:ascii="Arial" w:hAnsi="Arial" w:cs="Arial"/>
                <w:b/>
                <w:sz w:val="20"/>
                <w:szCs w:val="20"/>
              </w:rPr>
            </w:pPr>
            <w:r w:rsidRPr="00DA09BA">
              <w:rPr>
                <w:rFonts w:ascii="Arial" w:hAnsi="Arial" w:cs="Arial"/>
                <w:b/>
                <w:sz w:val="20"/>
                <w:szCs w:val="20"/>
              </w:rPr>
              <w:t>Work duration (months)</w:t>
            </w:r>
          </w:p>
          <w:p w14:paraId="60D668A6" w14:textId="77777777" w:rsidR="00974784" w:rsidRPr="00DA09BA" w:rsidRDefault="00974784" w:rsidP="00EA53EB">
            <w:pPr>
              <w:rPr>
                <w:rFonts w:ascii="Arial" w:hAnsi="Arial" w:cs="Arial"/>
                <w:b/>
                <w:sz w:val="20"/>
                <w:szCs w:val="20"/>
              </w:rPr>
            </w:pPr>
          </w:p>
          <w:p w14:paraId="1C799EB2"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6 – 12</w:t>
            </w:r>
          </w:p>
          <w:p w14:paraId="00C9C5D8"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13 – 19</w:t>
            </w:r>
          </w:p>
          <w:p w14:paraId="57B7A54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20 – 25</w:t>
            </w:r>
          </w:p>
          <w:p w14:paraId="3B4C0B9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27 – 33</w:t>
            </w:r>
          </w:p>
          <w:p w14:paraId="6F6504F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34 – 40</w:t>
            </w:r>
          </w:p>
        </w:tc>
        <w:tc>
          <w:tcPr>
            <w:tcW w:w="2160" w:type="dxa"/>
          </w:tcPr>
          <w:p w14:paraId="117BFCD4" w14:textId="77777777" w:rsidR="003F1C38" w:rsidRPr="00DA09BA" w:rsidRDefault="003F1C38" w:rsidP="00EA53EB">
            <w:pPr>
              <w:jc w:val="center"/>
              <w:rPr>
                <w:rFonts w:ascii="Arial" w:hAnsi="Arial" w:cs="Arial"/>
                <w:sz w:val="20"/>
                <w:szCs w:val="20"/>
              </w:rPr>
            </w:pPr>
          </w:p>
          <w:p w14:paraId="5C9F11FA" w14:textId="77777777" w:rsidR="003F1C38" w:rsidRPr="00DA09BA" w:rsidRDefault="003F1C38" w:rsidP="00EA53EB">
            <w:pPr>
              <w:jc w:val="center"/>
              <w:rPr>
                <w:rFonts w:ascii="Arial" w:hAnsi="Arial" w:cs="Arial"/>
                <w:sz w:val="20"/>
                <w:szCs w:val="20"/>
              </w:rPr>
            </w:pPr>
          </w:p>
          <w:p w14:paraId="5D81902A"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22 (37%)</w:t>
            </w:r>
          </w:p>
          <w:p w14:paraId="4E848E1F"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16 (26%)</w:t>
            </w:r>
          </w:p>
          <w:p w14:paraId="4E4D268F"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10 (17%)</w:t>
            </w:r>
          </w:p>
          <w:p w14:paraId="00CD19F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8 (13%)</w:t>
            </w:r>
          </w:p>
          <w:p w14:paraId="576AB0D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4 (7%)</w:t>
            </w:r>
          </w:p>
        </w:tc>
        <w:tc>
          <w:tcPr>
            <w:tcW w:w="1800" w:type="dxa"/>
          </w:tcPr>
          <w:p w14:paraId="330DF45B" w14:textId="77777777" w:rsidR="003F1C38" w:rsidRPr="00DA09BA" w:rsidRDefault="003F1C38" w:rsidP="00EA53EB">
            <w:pPr>
              <w:jc w:val="center"/>
              <w:rPr>
                <w:rFonts w:ascii="Arial" w:hAnsi="Arial" w:cs="Arial"/>
                <w:sz w:val="20"/>
                <w:szCs w:val="20"/>
              </w:rPr>
            </w:pPr>
          </w:p>
          <w:p w14:paraId="39640F5D" w14:textId="77777777" w:rsidR="003F1C38" w:rsidRPr="00DA09BA" w:rsidRDefault="003F1C38" w:rsidP="00EA53EB">
            <w:pPr>
              <w:jc w:val="center"/>
              <w:rPr>
                <w:rFonts w:ascii="Arial" w:hAnsi="Arial" w:cs="Arial"/>
                <w:sz w:val="20"/>
                <w:szCs w:val="20"/>
              </w:rPr>
            </w:pPr>
          </w:p>
          <w:p w14:paraId="4EAE477D"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0EF9650C"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10A640A6"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550AD820"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p w14:paraId="1C1229D4"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tc>
      </w:tr>
      <w:tr w:rsidR="003F1C38" w:rsidRPr="00DA09BA" w14:paraId="6C1C9384" w14:textId="77777777" w:rsidTr="00974784">
        <w:trPr>
          <w:trHeight w:val="440"/>
        </w:trPr>
        <w:tc>
          <w:tcPr>
            <w:tcW w:w="2605" w:type="dxa"/>
          </w:tcPr>
          <w:p w14:paraId="21F9CA45" w14:textId="77777777" w:rsidR="003F1C38" w:rsidRPr="00DA09BA" w:rsidRDefault="003F1C38" w:rsidP="00EA53EB">
            <w:pPr>
              <w:rPr>
                <w:rFonts w:ascii="Arial" w:hAnsi="Arial" w:cs="Arial"/>
                <w:b/>
                <w:sz w:val="20"/>
                <w:szCs w:val="20"/>
              </w:rPr>
            </w:pPr>
            <w:r w:rsidRPr="00DA09BA">
              <w:rPr>
                <w:rFonts w:ascii="Arial" w:hAnsi="Arial" w:cs="Arial"/>
                <w:b/>
                <w:sz w:val="20"/>
                <w:szCs w:val="20"/>
              </w:rPr>
              <w:t>Protective measures</w:t>
            </w:r>
          </w:p>
        </w:tc>
        <w:tc>
          <w:tcPr>
            <w:tcW w:w="2160" w:type="dxa"/>
          </w:tcPr>
          <w:p w14:paraId="06D17889"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0 (0%)</w:t>
            </w:r>
          </w:p>
        </w:tc>
        <w:tc>
          <w:tcPr>
            <w:tcW w:w="1800" w:type="dxa"/>
          </w:tcPr>
          <w:p w14:paraId="2D09CD7A" w14:textId="77777777" w:rsidR="003F1C38" w:rsidRPr="00DA09BA" w:rsidRDefault="003F1C38" w:rsidP="00EA53EB">
            <w:pPr>
              <w:jc w:val="center"/>
              <w:rPr>
                <w:rFonts w:ascii="Arial" w:hAnsi="Arial" w:cs="Arial"/>
                <w:sz w:val="20"/>
                <w:szCs w:val="20"/>
              </w:rPr>
            </w:pPr>
            <w:r w:rsidRPr="00DA09BA">
              <w:rPr>
                <w:rFonts w:ascii="Arial" w:hAnsi="Arial" w:cs="Arial"/>
                <w:sz w:val="20"/>
                <w:szCs w:val="20"/>
              </w:rPr>
              <w:t>NA</w:t>
            </w:r>
          </w:p>
        </w:tc>
      </w:tr>
    </w:tbl>
    <w:p w14:paraId="1F5412C3" w14:textId="77777777" w:rsidR="003F1C38" w:rsidRPr="00DA09BA" w:rsidRDefault="003F1C38" w:rsidP="00EA53EB">
      <w:pPr>
        <w:spacing w:line="240" w:lineRule="auto"/>
        <w:jc w:val="both"/>
        <w:rPr>
          <w:rFonts w:ascii="Arial" w:hAnsi="Arial" w:cs="Arial"/>
          <w:sz w:val="20"/>
          <w:szCs w:val="20"/>
        </w:rPr>
      </w:pPr>
    </w:p>
    <w:p w14:paraId="77607437"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Table 2 shows that the petroleum pump attendants had more smokers (27%) and </w:t>
      </w:r>
      <w:r w:rsidR="003E4FC0" w:rsidRPr="00DA09BA">
        <w:rPr>
          <w:rFonts w:ascii="Arial" w:hAnsi="Arial" w:cs="Arial"/>
          <w:sz w:val="20"/>
          <w:szCs w:val="20"/>
        </w:rPr>
        <w:t>consumed</w:t>
      </w:r>
      <w:r w:rsidRPr="00DA09BA">
        <w:rPr>
          <w:rFonts w:ascii="Arial" w:hAnsi="Arial" w:cs="Arial"/>
          <w:sz w:val="20"/>
          <w:szCs w:val="20"/>
        </w:rPr>
        <w:t xml:space="preserve"> more fatty foods (80%) than the control group (17% and 63%</w:t>
      </w:r>
      <w:r w:rsidR="003E4FC0" w:rsidRPr="00DA09BA">
        <w:rPr>
          <w:rFonts w:ascii="Arial" w:hAnsi="Arial" w:cs="Arial"/>
          <w:sz w:val="20"/>
          <w:szCs w:val="20"/>
        </w:rPr>
        <w:t>,</w:t>
      </w:r>
      <w:r w:rsidRPr="00DA09BA">
        <w:rPr>
          <w:rFonts w:ascii="Arial" w:hAnsi="Arial" w:cs="Arial"/>
          <w:sz w:val="20"/>
          <w:szCs w:val="20"/>
        </w:rPr>
        <w:t xml:space="preserve"> respectively).  However, less number of petroleum pump attendants (37%) drink alcoholic beverages than the control group (63%), implying that many attendants depend on soft (carbonated) drinks for their daily intake. Likewise, less number of petroleum pump attendants (33%) </w:t>
      </w:r>
      <w:r w:rsidR="003E4FC0" w:rsidRPr="00DA09BA">
        <w:rPr>
          <w:rFonts w:ascii="Arial" w:hAnsi="Arial" w:cs="Arial"/>
          <w:sz w:val="20"/>
          <w:szCs w:val="20"/>
        </w:rPr>
        <w:t>engage in physical exercise</w:t>
      </w:r>
      <w:r w:rsidRPr="00DA09BA">
        <w:rPr>
          <w:rFonts w:ascii="Arial" w:hAnsi="Arial" w:cs="Arial"/>
          <w:sz w:val="20"/>
          <w:szCs w:val="20"/>
        </w:rPr>
        <w:t xml:space="preserve"> than the control group (53%).</w:t>
      </w:r>
    </w:p>
    <w:p w14:paraId="4A5756B8" w14:textId="77777777" w:rsidR="003F1C38" w:rsidRPr="00DA09BA" w:rsidRDefault="003F1C38" w:rsidP="00EA53EB">
      <w:pPr>
        <w:pStyle w:val="NormalWeb"/>
        <w:shd w:val="clear" w:color="auto" w:fill="FFFFFF"/>
        <w:jc w:val="both"/>
        <w:rPr>
          <w:rFonts w:ascii="Arial" w:hAnsi="Arial" w:cs="Arial"/>
          <w:b/>
          <w:bCs/>
          <w:sz w:val="20"/>
          <w:szCs w:val="20"/>
        </w:rPr>
      </w:pPr>
      <w:r w:rsidRPr="00DA09BA">
        <w:rPr>
          <w:rFonts w:ascii="Arial" w:hAnsi="Arial" w:cs="Arial"/>
          <w:b/>
          <w:bCs/>
          <w:sz w:val="20"/>
          <w:szCs w:val="20"/>
        </w:rPr>
        <w:t>Table 2: Comparison of lifestyles of petroleum pump attendants and controls</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5"/>
        <w:gridCol w:w="2549"/>
        <w:gridCol w:w="1861"/>
      </w:tblGrid>
      <w:tr w:rsidR="003F1C38" w:rsidRPr="00DA09BA" w14:paraId="5438E6E8" w14:textId="77777777" w:rsidTr="0019641D">
        <w:trPr>
          <w:trHeight w:val="602"/>
        </w:trPr>
        <w:tc>
          <w:tcPr>
            <w:tcW w:w="3685" w:type="dxa"/>
            <w:tcBorders>
              <w:top w:val="single" w:sz="4" w:space="0" w:color="auto"/>
              <w:left w:val="single" w:sz="4" w:space="0" w:color="auto"/>
              <w:bottom w:val="single" w:sz="4" w:space="0" w:color="auto"/>
              <w:right w:val="single" w:sz="4" w:space="0" w:color="auto"/>
            </w:tcBorders>
          </w:tcPr>
          <w:p w14:paraId="13A6AAB0"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Variables</w:t>
            </w:r>
          </w:p>
        </w:tc>
        <w:tc>
          <w:tcPr>
            <w:tcW w:w="2549" w:type="dxa"/>
            <w:tcBorders>
              <w:top w:val="single" w:sz="4" w:space="0" w:color="auto"/>
              <w:left w:val="single" w:sz="4" w:space="0" w:color="auto"/>
              <w:bottom w:val="single" w:sz="4" w:space="0" w:color="auto"/>
              <w:right w:val="single" w:sz="4" w:space="0" w:color="auto"/>
            </w:tcBorders>
          </w:tcPr>
          <w:p w14:paraId="7BEECD3E"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Pump attendants</w:t>
            </w:r>
          </w:p>
          <w:p w14:paraId="1344C34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N=60</w:t>
            </w:r>
          </w:p>
        </w:tc>
        <w:tc>
          <w:tcPr>
            <w:tcW w:w="1861" w:type="dxa"/>
            <w:tcBorders>
              <w:top w:val="single" w:sz="4" w:space="0" w:color="auto"/>
              <w:left w:val="single" w:sz="4" w:space="0" w:color="auto"/>
              <w:bottom w:val="single" w:sz="4" w:space="0" w:color="auto"/>
              <w:right w:val="single" w:sz="4" w:space="0" w:color="auto"/>
            </w:tcBorders>
          </w:tcPr>
          <w:p w14:paraId="50044918"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Control</w:t>
            </w:r>
          </w:p>
          <w:p w14:paraId="4F74F070"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N=60</w:t>
            </w:r>
          </w:p>
        </w:tc>
      </w:tr>
      <w:tr w:rsidR="003F1C38" w:rsidRPr="00DA09BA" w14:paraId="7F813ABF" w14:textId="77777777" w:rsidTr="00974784">
        <w:trPr>
          <w:trHeight w:val="818"/>
        </w:trPr>
        <w:tc>
          <w:tcPr>
            <w:tcW w:w="3685" w:type="dxa"/>
            <w:tcBorders>
              <w:top w:val="single" w:sz="4" w:space="0" w:color="auto"/>
              <w:left w:val="single" w:sz="4" w:space="0" w:color="auto"/>
              <w:bottom w:val="single" w:sz="4" w:space="0" w:color="auto"/>
              <w:right w:val="single" w:sz="4" w:space="0" w:color="auto"/>
            </w:tcBorders>
          </w:tcPr>
          <w:p w14:paraId="25FF338A" w14:textId="77777777" w:rsidR="003F1C38" w:rsidRPr="00DA09BA" w:rsidRDefault="003F1C38" w:rsidP="00EA53EB">
            <w:pPr>
              <w:pStyle w:val="NormalWeb"/>
              <w:shd w:val="clear" w:color="FFFFFF" w:fill="FFFFFF"/>
              <w:spacing w:before="0" w:beforeAutospacing="0" w:after="0" w:afterAutospacing="0"/>
              <w:rPr>
                <w:rFonts w:ascii="Arial" w:hAnsi="Arial" w:cs="Arial"/>
                <w:b/>
                <w:bCs/>
                <w:sz w:val="20"/>
                <w:szCs w:val="20"/>
              </w:rPr>
            </w:pPr>
            <w:r w:rsidRPr="00DA09BA">
              <w:rPr>
                <w:rFonts w:ascii="Arial" w:hAnsi="Arial" w:cs="Arial"/>
                <w:b/>
                <w:bCs/>
                <w:sz w:val="20"/>
                <w:szCs w:val="20"/>
              </w:rPr>
              <w:t>Smoking habits</w:t>
            </w:r>
          </w:p>
          <w:p w14:paraId="4A690621"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Smokers</w:t>
            </w:r>
          </w:p>
          <w:p w14:paraId="3A1D0764"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Non-smokers</w:t>
            </w:r>
          </w:p>
        </w:tc>
        <w:tc>
          <w:tcPr>
            <w:tcW w:w="2549" w:type="dxa"/>
            <w:tcBorders>
              <w:top w:val="single" w:sz="4" w:space="0" w:color="auto"/>
              <w:left w:val="single" w:sz="4" w:space="0" w:color="auto"/>
              <w:bottom w:val="single" w:sz="4" w:space="0" w:color="auto"/>
              <w:right w:val="single" w:sz="4" w:space="0" w:color="auto"/>
            </w:tcBorders>
          </w:tcPr>
          <w:p w14:paraId="06B15449"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5BFB1689"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16(27%)</w:t>
            </w:r>
          </w:p>
          <w:p w14:paraId="4A9C7171"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44(73%)</w:t>
            </w:r>
          </w:p>
        </w:tc>
        <w:tc>
          <w:tcPr>
            <w:tcW w:w="1861" w:type="dxa"/>
            <w:tcBorders>
              <w:top w:val="single" w:sz="4" w:space="0" w:color="auto"/>
              <w:left w:val="single" w:sz="4" w:space="0" w:color="auto"/>
              <w:bottom w:val="single" w:sz="4" w:space="0" w:color="auto"/>
              <w:right w:val="single" w:sz="4" w:space="0" w:color="auto"/>
            </w:tcBorders>
          </w:tcPr>
          <w:p w14:paraId="6EB8D690"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p>
          <w:p w14:paraId="440C3C56"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10(17%)</w:t>
            </w:r>
          </w:p>
          <w:p w14:paraId="247389FB"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50(83%)</w:t>
            </w:r>
          </w:p>
        </w:tc>
      </w:tr>
      <w:tr w:rsidR="003F1C38" w:rsidRPr="00DA09BA" w14:paraId="402577DD" w14:textId="77777777" w:rsidTr="008346A8">
        <w:tc>
          <w:tcPr>
            <w:tcW w:w="3685" w:type="dxa"/>
            <w:tcBorders>
              <w:top w:val="single" w:sz="4" w:space="0" w:color="auto"/>
              <w:left w:val="single" w:sz="4" w:space="0" w:color="auto"/>
              <w:bottom w:val="single" w:sz="4" w:space="0" w:color="auto"/>
              <w:right w:val="single" w:sz="4" w:space="0" w:color="auto"/>
            </w:tcBorders>
          </w:tcPr>
          <w:p w14:paraId="1BB7A60D" w14:textId="77777777" w:rsidR="003F1C38" w:rsidRPr="00DA09BA" w:rsidRDefault="003F1C38" w:rsidP="00EA53EB">
            <w:pPr>
              <w:pStyle w:val="NormalWeb"/>
              <w:shd w:val="clear" w:color="FFFFFF" w:fill="FFFFFF"/>
              <w:spacing w:before="0" w:beforeAutospacing="0" w:after="0" w:afterAutospacing="0"/>
              <w:rPr>
                <w:rFonts w:ascii="Arial" w:hAnsi="Arial" w:cs="Arial"/>
                <w:b/>
                <w:bCs/>
                <w:sz w:val="20"/>
                <w:szCs w:val="20"/>
              </w:rPr>
            </w:pPr>
            <w:r w:rsidRPr="00DA09BA">
              <w:rPr>
                <w:rFonts w:ascii="Arial" w:hAnsi="Arial" w:cs="Arial"/>
                <w:b/>
                <w:bCs/>
                <w:sz w:val="20"/>
                <w:szCs w:val="20"/>
              </w:rPr>
              <w:t>Drinking habits</w:t>
            </w:r>
          </w:p>
          <w:p w14:paraId="6F6A1384"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 xml:space="preserve"> Drinkers (Alcohol)</w:t>
            </w:r>
          </w:p>
          <w:p w14:paraId="537BA424"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Non-Drinkers</w:t>
            </w:r>
          </w:p>
        </w:tc>
        <w:tc>
          <w:tcPr>
            <w:tcW w:w="2549" w:type="dxa"/>
            <w:tcBorders>
              <w:top w:val="single" w:sz="4" w:space="0" w:color="auto"/>
              <w:left w:val="single" w:sz="4" w:space="0" w:color="auto"/>
              <w:bottom w:val="single" w:sz="4" w:space="0" w:color="auto"/>
              <w:right w:val="single" w:sz="4" w:space="0" w:color="auto"/>
            </w:tcBorders>
          </w:tcPr>
          <w:p w14:paraId="4954D63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56AACD5A"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22(37%)</w:t>
            </w:r>
          </w:p>
          <w:p w14:paraId="7194D992"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38(63%)</w:t>
            </w:r>
          </w:p>
        </w:tc>
        <w:tc>
          <w:tcPr>
            <w:tcW w:w="1861" w:type="dxa"/>
            <w:tcBorders>
              <w:top w:val="single" w:sz="4" w:space="0" w:color="auto"/>
              <w:left w:val="single" w:sz="4" w:space="0" w:color="auto"/>
              <w:bottom w:val="single" w:sz="4" w:space="0" w:color="auto"/>
              <w:right w:val="single" w:sz="4" w:space="0" w:color="auto"/>
            </w:tcBorders>
          </w:tcPr>
          <w:p w14:paraId="766BBB1C"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1DF611CB"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32(53%)</w:t>
            </w:r>
          </w:p>
          <w:p w14:paraId="04154C8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28(47%)</w:t>
            </w:r>
          </w:p>
        </w:tc>
      </w:tr>
      <w:tr w:rsidR="003F1C38" w:rsidRPr="00DA09BA" w14:paraId="35F52C18" w14:textId="77777777" w:rsidTr="00974784">
        <w:trPr>
          <w:trHeight w:val="998"/>
        </w:trPr>
        <w:tc>
          <w:tcPr>
            <w:tcW w:w="3685" w:type="dxa"/>
            <w:tcBorders>
              <w:top w:val="single" w:sz="4" w:space="0" w:color="auto"/>
              <w:left w:val="single" w:sz="4" w:space="0" w:color="auto"/>
              <w:bottom w:val="single" w:sz="4" w:space="0" w:color="auto"/>
              <w:right w:val="single" w:sz="4" w:space="0" w:color="auto"/>
            </w:tcBorders>
          </w:tcPr>
          <w:p w14:paraId="78742230" w14:textId="77777777" w:rsidR="003F1C38" w:rsidRPr="00DA09BA" w:rsidRDefault="003F1C38" w:rsidP="00EA53EB">
            <w:pPr>
              <w:pStyle w:val="NormalWeb"/>
              <w:shd w:val="clear" w:color="FFFFFF" w:fill="FFFFFF"/>
              <w:spacing w:before="0" w:beforeAutospacing="0" w:after="0" w:afterAutospacing="0"/>
              <w:rPr>
                <w:rFonts w:ascii="Arial" w:hAnsi="Arial" w:cs="Arial"/>
                <w:b/>
                <w:bCs/>
                <w:sz w:val="20"/>
                <w:szCs w:val="20"/>
              </w:rPr>
            </w:pPr>
            <w:r w:rsidRPr="00DA09BA">
              <w:rPr>
                <w:rFonts w:ascii="Arial" w:hAnsi="Arial" w:cs="Arial"/>
                <w:b/>
                <w:bCs/>
                <w:sz w:val="20"/>
                <w:szCs w:val="20"/>
              </w:rPr>
              <w:t>Diet</w:t>
            </w:r>
          </w:p>
          <w:p w14:paraId="1A50818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Snacks and fried food</w:t>
            </w:r>
          </w:p>
          <w:p w14:paraId="1D85D5B6"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Vegetarian</w:t>
            </w:r>
          </w:p>
          <w:p w14:paraId="32646D67" w14:textId="77777777" w:rsidR="003F1C38" w:rsidRPr="00DA09BA" w:rsidRDefault="003F1C38" w:rsidP="00EA53EB">
            <w:pPr>
              <w:pStyle w:val="NormalWeb"/>
              <w:shd w:val="clear" w:color="FFFFFF" w:fill="FFFFFF"/>
              <w:spacing w:before="0" w:beforeAutospacing="0" w:after="0" w:afterAutospacing="0"/>
              <w:rPr>
                <w:rFonts w:ascii="Arial" w:hAnsi="Arial" w:cs="Arial"/>
                <w:sz w:val="20"/>
                <w:szCs w:val="20"/>
              </w:rPr>
            </w:pPr>
            <w:r w:rsidRPr="00DA09BA">
              <w:rPr>
                <w:rFonts w:ascii="Arial" w:hAnsi="Arial" w:cs="Arial"/>
                <w:sz w:val="20"/>
                <w:szCs w:val="20"/>
              </w:rPr>
              <w:t xml:space="preserve">           Balanced meal</w:t>
            </w:r>
          </w:p>
        </w:tc>
        <w:tc>
          <w:tcPr>
            <w:tcW w:w="2549" w:type="dxa"/>
            <w:tcBorders>
              <w:top w:val="single" w:sz="4" w:space="0" w:color="auto"/>
              <w:left w:val="single" w:sz="4" w:space="0" w:color="auto"/>
              <w:bottom w:val="single" w:sz="4" w:space="0" w:color="auto"/>
              <w:right w:val="single" w:sz="4" w:space="0" w:color="auto"/>
            </w:tcBorders>
          </w:tcPr>
          <w:p w14:paraId="51C5CA6E"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2BF3B8C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48(80%)</w:t>
            </w:r>
          </w:p>
          <w:p w14:paraId="40046377"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6(10%)</w:t>
            </w:r>
          </w:p>
          <w:p w14:paraId="0368966A"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6(10%)</w:t>
            </w:r>
          </w:p>
        </w:tc>
        <w:tc>
          <w:tcPr>
            <w:tcW w:w="1861" w:type="dxa"/>
            <w:tcBorders>
              <w:top w:val="single" w:sz="4" w:space="0" w:color="auto"/>
              <w:left w:val="single" w:sz="4" w:space="0" w:color="auto"/>
              <w:bottom w:val="single" w:sz="4" w:space="0" w:color="auto"/>
              <w:right w:val="single" w:sz="4" w:space="0" w:color="auto"/>
            </w:tcBorders>
          </w:tcPr>
          <w:p w14:paraId="5E5F0D3D"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p>
          <w:p w14:paraId="7F8BC7DB"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38(63%)</w:t>
            </w:r>
          </w:p>
          <w:p w14:paraId="307F0F93"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14(23%)</w:t>
            </w:r>
          </w:p>
          <w:p w14:paraId="15854D5A"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8(14%)</w:t>
            </w:r>
          </w:p>
        </w:tc>
      </w:tr>
      <w:tr w:rsidR="003F1C38" w:rsidRPr="00DA09BA" w14:paraId="0B0B943E" w14:textId="77777777" w:rsidTr="008346A8">
        <w:trPr>
          <w:trHeight w:val="350"/>
        </w:trPr>
        <w:tc>
          <w:tcPr>
            <w:tcW w:w="3685" w:type="dxa"/>
            <w:tcBorders>
              <w:top w:val="single" w:sz="4" w:space="0" w:color="auto"/>
              <w:left w:val="single" w:sz="4" w:space="0" w:color="auto"/>
              <w:bottom w:val="single" w:sz="4" w:space="0" w:color="auto"/>
              <w:right w:val="single" w:sz="4" w:space="0" w:color="auto"/>
            </w:tcBorders>
          </w:tcPr>
          <w:p w14:paraId="19A9699D"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r w:rsidRPr="00DA09BA">
              <w:rPr>
                <w:rFonts w:ascii="Arial" w:hAnsi="Arial" w:cs="Arial"/>
                <w:b/>
                <w:bCs/>
                <w:sz w:val="20"/>
                <w:szCs w:val="20"/>
              </w:rPr>
              <w:t>Physical exercise</w:t>
            </w:r>
          </w:p>
          <w:p w14:paraId="13457E29"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b/>
                <w:bCs/>
                <w:sz w:val="20"/>
                <w:szCs w:val="20"/>
              </w:rPr>
            </w:pPr>
          </w:p>
        </w:tc>
        <w:tc>
          <w:tcPr>
            <w:tcW w:w="2549" w:type="dxa"/>
            <w:tcBorders>
              <w:top w:val="single" w:sz="4" w:space="0" w:color="auto"/>
              <w:left w:val="single" w:sz="4" w:space="0" w:color="auto"/>
              <w:bottom w:val="single" w:sz="4" w:space="0" w:color="auto"/>
              <w:right w:val="single" w:sz="4" w:space="0" w:color="auto"/>
            </w:tcBorders>
          </w:tcPr>
          <w:p w14:paraId="6C05A15D"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20(33%)</w:t>
            </w:r>
          </w:p>
        </w:tc>
        <w:tc>
          <w:tcPr>
            <w:tcW w:w="1861" w:type="dxa"/>
            <w:tcBorders>
              <w:top w:val="single" w:sz="4" w:space="0" w:color="auto"/>
              <w:left w:val="single" w:sz="4" w:space="0" w:color="auto"/>
              <w:bottom w:val="single" w:sz="4" w:space="0" w:color="auto"/>
              <w:right w:val="single" w:sz="4" w:space="0" w:color="auto"/>
            </w:tcBorders>
          </w:tcPr>
          <w:p w14:paraId="2F0C6F03" w14:textId="77777777" w:rsidR="003F1C38" w:rsidRPr="00DA09BA" w:rsidRDefault="003F1C38" w:rsidP="00EA53EB">
            <w:pPr>
              <w:pStyle w:val="NormalWeb"/>
              <w:shd w:val="clear" w:color="FFFFFF" w:fill="FFFFFF"/>
              <w:spacing w:before="0" w:beforeAutospacing="0" w:after="0" w:afterAutospacing="0"/>
              <w:jc w:val="center"/>
              <w:rPr>
                <w:rFonts w:ascii="Arial" w:hAnsi="Arial" w:cs="Arial"/>
                <w:sz w:val="20"/>
                <w:szCs w:val="20"/>
              </w:rPr>
            </w:pPr>
            <w:r w:rsidRPr="00DA09BA">
              <w:rPr>
                <w:rFonts w:ascii="Arial" w:hAnsi="Arial" w:cs="Arial"/>
                <w:sz w:val="20"/>
                <w:szCs w:val="20"/>
              </w:rPr>
              <w:t>32(53%)</w:t>
            </w:r>
          </w:p>
        </w:tc>
      </w:tr>
    </w:tbl>
    <w:p w14:paraId="5642D34E" w14:textId="77777777" w:rsidR="003F1C38" w:rsidRDefault="003F1C38" w:rsidP="00EA53EB">
      <w:pPr>
        <w:pStyle w:val="NormalWeb"/>
        <w:shd w:val="clear" w:color="auto" w:fill="FFFFFF"/>
        <w:jc w:val="both"/>
        <w:rPr>
          <w:rFonts w:ascii="Arial" w:hAnsi="Arial" w:cs="Arial"/>
          <w:sz w:val="20"/>
          <w:szCs w:val="20"/>
        </w:rPr>
      </w:pPr>
      <w:r w:rsidRPr="00DA09BA">
        <w:rPr>
          <w:rFonts w:ascii="Arial" w:hAnsi="Arial" w:cs="Arial"/>
          <w:sz w:val="20"/>
          <w:szCs w:val="20"/>
        </w:rPr>
        <w:t xml:space="preserve">Table 3 shows </w:t>
      </w:r>
      <w:r w:rsidR="006249AF" w:rsidRPr="00DA09BA">
        <w:rPr>
          <w:rFonts w:ascii="Arial" w:hAnsi="Arial" w:cs="Arial"/>
          <w:sz w:val="20"/>
          <w:szCs w:val="20"/>
        </w:rPr>
        <w:t xml:space="preserve">the </w:t>
      </w:r>
      <w:r w:rsidRPr="00DA09BA">
        <w:rPr>
          <w:rFonts w:ascii="Arial" w:hAnsi="Arial" w:cs="Arial"/>
          <w:sz w:val="20"/>
          <w:szCs w:val="20"/>
        </w:rPr>
        <w:t xml:space="preserve">lipid profile of the petroleum pump attendants compared with </w:t>
      </w:r>
      <w:r w:rsidR="006249AF" w:rsidRPr="00DA09BA">
        <w:rPr>
          <w:rFonts w:ascii="Arial" w:hAnsi="Arial" w:cs="Arial"/>
          <w:sz w:val="20"/>
          <w:szCs w:val="20"/>
        </w:rPr>
        <w:t>that</w:t>
      </w:r>
      <w:r w:rsidRPr="00DA09BA">
        <w:rPr>
          <w:rFonts w:ascii="Arial" w:hAnsi="Arial" w:cs="Arial"/>
          <w:sz w:val="20"/>
          <w:szCs w:val="20"/>
        </w:rPr>
        <w:t xml:space="preserve"> of the control group. It shows that total cholesterol, triglycerides, </w:t>
      </w:r>
      <w:r w:rsidR="006249AF" w:rsidRPr="00DA09BA">
        <w:rPr>
          <w:rFonts w:ascii="Arial" w:hAnsi="Arial" w:cs="Arial"/>
          <w:sz w:val="20"/>
          <w:szCs w:val="20"/>
        </w:rPr>
        <w:t>low-density</w:t>
      </w:r>
      <w:r w:rsidRPr="00DA09BA">
        <w:rPr>
          <w:rFonts w:ascii="Arial" w:hAnsi="Arial" w:cs="Arial"/>
          <w:sz w:val="20"/>
          <w:szCs w:val="20"/>
        </w:rPr>
        <w:t xml:space="preserve"> lipoproteins, and very </w:t>
      </w:r>
      <w:r w:rsidR="006249AF" w:rsidRPr="00DA09BA">
        <w:rPr>
          <w:rFonts w:ascii="Arial" w:hAnsi="Arial" w:cs="Arial"/>
          <w:sz w:val="20"/>
          <w:szCs w:val="20"/>
        </w:rPr>
        <w:t>low-density</w:t>
      </w:r>
      <w:r w:rsidRPr="00DA09BA">
        <w:rPr>
          <w:rFonts w:ascii="Arial" w:hAnsi="Arial" w:cs="Arial"/>
          <w:sz w:val="20"/>
          <w:szCs w:val="20"/>
        </w:rPr>
        <w:t xml:space="preserve"> lipoproteins were significantly higher (</w:t>
      </w:r>
      <w:r w:rsidR="006249AF" w:rsidRPr="00DA09BA">
        <w:rPr>
          <w:rFonts w:ascii="Arial" w:hAnsi="Arial" w:cs="Arial"/>
          <w:sz w:val="20"/>
          <w:szCs w:val="20"/>
        </w:rPr>
        <w:t xml:space="preserve">p </w:t>
      </w:r>
      <w:r w:rsidRPr="00DA09BA">
        <w:rPr>
          <w:rFonts w:ascii="Arial" w:hAnsi="Arial" w:cs="Arial"/>
          <w:sz w:val="20"/>
          <w:szCs w:val="20"/>
        </w:rPr>
        <w:t>&lt;0.001, 0.030, 0.014, 0.001</w:t>
      </w:r>
      <w:r w:rsidR="006249AF" w:rsidRPr="00DA09BA">
        <w:rPr>
          <w:rFonts w:ascii="Arial" w:hAnsi="Arial" w:cs="Arial"/>
          <w:sz w:val="20"/>
          <w:szCs w:val="20"/>
        </w:rPr>
        <w:t>,</w:t>
      </w:r>
      <w:r w:rsidRPr="00DA09BA">
        <w:rPr>
          <w:rFonts w:ascii="Arial" w:hAnsi="Arial" w:cs="Arial"/>
          <w:sz w:val="20"/>
          <w:szCs w:val="20"/>
        </w:rPr>
        <w:t xml:space="preserve"> respectively), while </w:t>
      </w:r>
      <w:r w:rsidR="006249AF" w:rsidRPr="00DA09BA">
        <w:rPr>
          <w:rFonts w:ascii="Arial" w:hAnsi="Arial" w:cs="Arial"/>
          <w:sz w:val="20"/>
          <w:szCs w:val="20"/>
        </w:rPr>
        <w:t>high-density</w:t>
      </w:r>
      <w:r w:rsidRPr="00DA09BA">
        <w:rPr>
          <w:rFonts w:ascii="Arial" w:hAnsi="Arial" w:cs="Arial"/>
          <w:sz w:val="20"/>
          <w:szCs w:val="20"/>
        </w:rPr>
        <w:t xml:space="preserve"> lipoproteins </w:t>
      </w:r>
      <w:r w:rsidR="006249AF" w:rsidRPr="00DA09BA">
        <w:rPr>
          <w:rFonts w:ascii="Arial" w:hAnsi="Arial" w:cs="Arial"/>
          <w:sz w:val="20"/>
          <w:szCs w:val="20"/>
        </w:rPr>
        <w:t>were</w:t>
      </w:r>
      <w:r w:rsidRPr="00DA09BA">
        <w:rPr>
          <w:rFonts w:ascii="Arial" w:hAnsi="Arial" w:cs="Arial"/>
          <w:sz w:val="20"/>
          <w:szCs w:val="20"/>
        </w:rPr>
        <w:t xml:space="preserve"> significantly lower (p=0.049) in petroleum pump attendants when compared with the values from the control group.</w:t>
      </w:r>
    </w:p>
    <w:p w14:paraId="5CB14DCC" w14:textId="77777777" w:rsidR="003F1C38" w:rsidRPr="00DA09BA" w:rsidRDefault="003F1C38" w:rsidP="00EA53EB">
      <w:pPr>
        <w:pStyle w:val="NormalWeb"/>
        <w:shd w:val="clear" w:color="auto" w:fill="FFFFFF"/>
        <w:jc w:val="both"/>
        <w:rPr>
          <w:rFonts w:ascii="Arial" w:hAnsi="Arial" w:cs="Arial"/>
          <w:b/>
          <w:bCs/>
          <w:sz w:val="20"/>
          <w:szCs w:val="20"/>
        </w:rPr>
      </w:pPr>
      <w:r w:rsidRPr="00DA09BA">
        <w:rPr>
          <w:rFonts w:ascii="Arial" w:hAnsi="Arial" w:cs="Arial"/>
          <w:b/>
          <w:bCs/>
          <w:sz w:val="20"/>
          <w:szCs w:val="20"/>
        </w:rPr>
        <w:lastRenderedPageBreak/>
        <w:t>Table 3 Comparison of lipid profile of petroleum pump attendants and controls.</w:t>
      </w:r>
    </w:p>
    <w:tbl>
      <w:tblPr>
        <w:tblStyle w:val="TableGrid"/>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5"/>
        <w:gridCol w:w="2130"/>
        <w:gridCol w:w="1620"/>
        <w:gridCol w:w="1260"/>
      </w:tblGrid>
      <w:tr w:rsidR="003F1C38" w:rsidRPr="00DA09BA" w14:paraId="6F8A21B8" w14:textId="77777777" w:rsidTr="0019641D">
        <w:trPr>
          <w:trHeight w:val="575"/>
        </w:trPr>
        <w:tc>
          <w:tcPr>
            <w:tcW w:w="2545" w:type="dxa"/>
            <w:tcBorders>
              <w:top w:val="single" w:sz="4" w:space="0" w:color="auto"/>
              <w:left w:val="single" w:sz="4" w:space="0" w:color="auto"/>
              <w:bottom w:val="single" w:sz="4" w:space="0" w:color="auto"/>
              <w:right w:val="single" w:sz="4" w:space="0" w:color="auto"/>
            </w:tcBorders>
          </w:tcPr>
          <w:p w14:paraId="19026B9F"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 xml:space="preserve">Variables </w:t>
            </w:r>
          </w:p>
        </w:tc>
        <w:tc>
          <w:tcPr>
            <w:tcW w:w="2130" w:type="dxa"/>
            <w:tcBorders>
              <w:top w:val="single" w:sz="4" w:space="0" w:color="auto"/>
              <w:left w:val="single" w:sz="4" w:space="0" w:color="auto"/>
              <w:bottom w:val="single" w:sz="4" w:space="0" w:color="auto"/>
              <w:right w:val="single" w:sz="4" w:space="0" w:color="auto"/>
            </w:tcBorders>
          </w:tcPr>
          <w:p w14:paraId="0CE76471"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Pump attendants</w:t>
            </w:r>
          </w:p>
          <w:p w14:paraId="240506F0"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N = 60</w:t>
            </w:r>
          </w:p>
        </w:tc>
        <w:tc>
          <w:tcPr>
            <w:tcW w:w="1620" w:type="dxa"/>
            <w:tcBorders>
              <w:top w:val="single" w:sz="4" w:space="0" w:color="auto"/>
              <w:left w:val="single" w:sz="4" w:space="0" w:color="auto"/>
              <w:bottom w:val="single" w:sz="4" w:space="0" w:color="auto"/>
              <w:right w:val="single" w:sz="4" w:space="0" w:color="auto"/>
            </w:tcBorders>
          </w:tcPr>
          <w:p w14:paraId="6FE7EE64"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Control</w:t>
            </w:r>
          </w:p>
          <w:p w14:paraId="2FB15DED"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N = 60</w:t>
            </w:r>
          </w:p>
        </w:tc>
        <w:tc>
          <w:tcPr>
            <w:tcW w:w="1260" w:type="dxa"/>
            <w:tcBorders>
              <w:top w:val="single" w:sz="4" w:space="0" w:color="auto"/>
              <w:left w:val="single" w:sz="4" w:space="0" w:color="auto"/>
              <w:bottom w:val="single" w:sz="4" w:space="0" w:color="auto"/>
              <w:right w:val="single" w:sz="4" w:space="0" w:color="auto"/>
            </w:tcBorders>
          </w:tcPr>
          <w:p w14:paraId="426D20A5" w14:textId="77777777" w:rsidR="003F1C38" w:rsidRPr="00DA09BA" w:rsidRDefault="003F1C38" w:rsidP="00EA53EB">
            <w:pPr>
              <w:pStyle w:val="NormalWeb"/>
              <w:shd w:val="clear" w:color="FFFFFF" w:fill="FFFFFF"/>
              <w:spacing w:after="0" w:afterAutospacing="0"/>
              <w:jc w:val="both"/>
              <w:rPr>
                <w:rFonts w:ascii="Arial" w:hAnsi="Arial" w:cs="Arial"/>
                <w:b/>
                <w:bCs/>
                <w:sz w:val="20"/>
                <w:szCs w:val="20"/>
              </w:rPr>
            </w:pPr>
            <w:r w:rsidRPr="00DA09BA">
              <w:rPr>
                <w:rFonts w:ascii="Arial" w:hAnsi="Arial" w:cs="Arial"/>
                <w:b/>
                <w:bCs/>
                <w:sz w:val="20"/>
                <w:szCs w:val="20"/>
              </w:rPr>
              <w:t xml:space="preserve">P-value </w:t>
            </w:r>
          </w:p>
        </w:tc>
      </w:tr>
      <w:tr w:rsidR="003F1C38" w:rsidRPr="00DA09BA" w14:paraId="734C18FC" w14:textId="77777777" w:rsidTr="0019641D">
        <w:trPr>
          <w:trHeight w:val="368"/>
        </w:trPr>
        <w:tc>
          <w:tcPr>
            <w:tcW w:w="2545" w:type="dxa"/>
            <w:tcBorders>
              <w:top w:val="single" w:sz="4" w:space="0" w:color="auto"/>
              <w:left w:val="single" w:sz="4" w:space="0" w:color="auto"/>
              <w:bottom w:val="single" w:sz="4" w:space="0" w:color="auto"/>
              <w:right w:val="single" w:sz="4" w:space="0" w:color="auto"/>
            </w:tcBorders>
          </w:tcPr>
          <w:p w14:paraId="213C907F"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T- Chol (mmol/L)</w:t>
            </w:r>
          </w:p>
        </w:tc>
        <w:tc>
          <w:tcPr>
            <w:tcW w:w="2130" w:type="dxa"/>
            <w:tcBorders>
              <w:top w:val="single" w:sz="4" w:space="0" w:color="auto"/>
              <w:left w:val="single" w:sz="4" w:space="0" w:color="auto"/>
              <w:bottom w:val="single" w:sz="4" w:space="0" w:color="auto"/>
              <w:right w:val="single" w:sz="4" w:space="0" w:color="auto"/>
            </w:tcBorders>
          </w:tcPr>
          <w:p w14:paraId="2B802D55"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5.80±1.63</w:t>
            </w:r>
          </w:p>
        </w:tc>
        <w:tc>
          <w:tcPr>
            <w:tcW w:w="1620" w:type="dxa"/>
            <w:tcBorders>
              <w:top w:val="single" w:sz="4" w:space="0" w:color="auto"/>
              <w:left w:val="single" w:sz="4" w:space="0" w:color="auto"/>
              <w:bottom w:val="single" w:sz="4" w:space="0" w:color="auto"/>
              <w:right w:val="single" w:sz="4" w:space="0" w:color="auto"/>
            </w:tcBorders>
          </w:tcPr>
          <w:p w14:paraId="6F57DD82"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5.27±0.73</w:t>
            </w:r>
          </w:p>
        </w:tc>
        <w:tc>
          <w:tcPr>
            <w:tcW w:w="1260" w:type="dxa"/>
            <w:tcBorders>
              <w:top w:val="single" w:sz="4" w:space="0" w:color="auto"/>
              <w:left w:val="single" w:sz="4" w:space="0" w:color="auto"/>
              <w:bottom w:val="single" w:sz="4" w:space="0" w:color="auto"/>
              <w:right w:val="single" w:sz="4" w:space="0" w:color="auto"/>
            </w:tcBorders>
          </w:tcPr>
          <w:p w14:paraId="18D9B6F2"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&lt;0.001***</w:t>
            </w:r>
          </w:p>
        </w:tc>
      </w:tr>
      <w:tr w:rsidR="003F1C38" w:rsidRPr="00DA09BA" w14:paraId="023E5E94" w14:textId="77777777" w:rsidTr="0019641D">
        <w:trPr>
          <w:trHeight w:val="350"/>
        </w:trPr>
        <w:tc>
          <w:tcPr>
            <w:tcW w:w="2545" w:type="dxa"/>
            <w:tcBorders>
              <w:top w:val="single" w:sz="4" w:space="0" w:color="auto"/>
              <w:left w:val="single" w:sz="4" w:space="0" w:color="auto"/>
              <w:bottom w:val="single" w:sz="4" w:space="0" w:color="auto"/>
              <w:right w:val="single" w:sz="4" w:space="0" w:color="auto"/>
            </w:tcBorders>
          </w:tcPr>
          <w:p w14:paraId="496768CB"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HDL (mmol/L)</w:t>
            </w:r>
          </w:p>
        </w:tc>
        <w:tc>
          <w:tcPr>
            <w:tcW w:w="2130" w:type="dxa"/>
            <w:tcBorders>
              <w:top w:val="single" w:sz="4" w:space="0" w:color="auto"/>
              <w:left w:val="single" w:sz="4" w:space="0" w:color="auto"/>
              <w:bottom w:val="single" w:sz="4" w:space="0" w:color="auto"/>
              <w:right w:val="single" w:sz="4" w:space="0" w:color="auto"/>
            </w:tcBorders>
          </w:tcPr>
          <w:p w14:paraId="1F2C074B"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1.26±0.32</w:t>
            </w:r>
          </w:p>
        </w:tc>
        <w:tc>
          <w:tcPr>
            <w:tcW w:w="1620" w:type="dxa"/>
            <w:tcBorders>
              <w:top w:val="single" w:sz="4" w:space="0" w:color="auto"/>
              <w:left w:val="single" w:sz="4" w:space="0" w:color="auto"/>
              <w:bottom w:val="single" w:sz="4" w:space="0" w:color="auto"/>
              <w:right w:val="single" w:sz="4" w:space="0" w:color="auto"/>
            </w:tcBorders>
          </w:tcPr>
          <w:p w14:paraId="7720900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1.43±0.69</w:t>
            </w:r>
          </w:p>
        </w:tc>
        <w:tc>
          <w:tcPr>
            <w:tcW w:w="1260" w:type="dxa"/>
            <w:tcBorders>
              <w:top w:val="single" w:sz="4" w:space="0" w:color="auto"/>
              <w:left w:val="single" w:sz="4" w:space="0" w:color="auto"/>
              <w:bottom w:val="single" w:sz="4" w:space="0" w:color="auto"/>
              <w:right w:val="single" w:sz="4" w:space="0" w:color="auto"/>
            </w:tcBorders>
          </w:tcPr>
          <w:p w14:paraId="374236D5"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0.049*</w:t>
            </w:r>
          </w:p>
        </w:tc>
      </w:tr>
      <w:tr w:rsidR="003F1C38" w:rsidRPr="00DA09BA" w14:paraId="1FB7B816" w14:textId="77777777" w:rsidTr="0019641D">
        <w:trPr>
          <w:trHeight w:val="350"/>
        </w:trPr>
        <w:tc>
          <w:tcPr>
            <w:tcW w:w="2545" w:type="dxa"/>
            <w:tcBorders>
              <w:top w:val="single" w:sz="4" w:space="0" w:color="auto"/>
              <w:left w:val="single" w:sz="4" w:space="0" w:color="auto"/>
              <w:bottom w:val="single" w:sz="4" w:space="0" w:color="auto"/>
              <w:right w:val="single" w:sz="4" w:space="0" w:color="auto"/>
            </w:tcBorders>
          </w:tcPr>
          <w:p w14:paraId="2DBEF509"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LDL (mmol/L)</w:t>
            </w:r>
          </w:p>
        </w:tc>
        <w:tc>
          <w:tcPr>
            <w:tcW w:w="2130" w:type="dxa"/>
            <w:tcBorders>
              <w:top w:val="single" w:sz="4" w:space="0" w:color="auto"/>
              <w:left w:val="single" w:sz="4" w:space="0" w:color="auto"/>
              <w:bottom w:val="single" w:sz="4" w:space="0" w:color="auto"/>
              <w:right w:val="single" w:sz="4" w:space="0" w:color="auto"/>
            </w:tcBorders>
          </w:tcPr>
          <w:p w14:paraId="11CB26A0"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3.64±1.23</w:t>
            </w:r>
          </w:p>
        </w:tc>
        <w:tc>
          <w:tcPr>
            <w:tcW w:w="1620" w:type="dxa"/>
            <w:tcBorders>
              <w:top w:val="single" w:sz="4" w:space="0" w:color="auto"/>
              <w:left w:val="single" w:sz="4" w:space="0" w:color="auto"/>
              <w:bottom w:val="single" w:sz="4" w:space="0" w:color="auto"/>
              <w:right w:val="single" w:sz="4" w:space="0" w:color="auto"/>
            </w:tcBorders>
          </w:tcPr>
          <w:p w14:paraId="39959620"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3.13±0.51</w:t>
            </w:r>
          </w:p>
        </w:tc>
        <w:tc>
          <w:tcPr>
            <w:tcW w:w="1260" w:type="dxa"/>
            <w:tcBorders>
              <w:top w:val="single" w:sz="4" w:space="0" w:color="auto"/>
              <w:left w:val="single" w:sz="4" w:space="0" w:color="auto"/>
              <w:bottom w:val="single" w:sz="4" w:space="0" w:color="auto"/>
              <w:right w:val="single" w:sz="4" w:space="0" w:color="auto"/>
            </w:tcBorders>
          </w:tcPr>
          <w:p w14:paraId="3AAD26D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0.014**</w:t>
            </w:r>
          </w:p>
        </w:tc>
      </w:tr>
      <w:tr w:rsidR="003F1C38" w:rsidRPr="00DA09BA" w14:paraId="7704F5D0" w14:textId="77777777" w:rsidTr="0019641D">
        <w:trPr>
          <w:trHeight w:val="350"/>
        </w:trPr>
        <w:tc>
          <w:tcPr>
            <w:tcW w:w="2545" w:type="dxa"/>
            <w:tcBorders>
              <w:top w:val="single" w:sz="4" w:space="0" w:color="auto"/>
              <w:left w:val="single" w:sz="4" w:space="0" w:color="auto"/>
              <w:bottom w:val="single" w:sz="4" w:space="0" w:color="auto"/>
              <w:right w:val="single" w:sz="4" w:space="0" w:color="auto"/>
            </w:tcBorders>
          </w:tcPr>
          <w:p w14:paraId="661DDD63"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VLDL (mmol/L)</w:t>
            </w:r>
          </w:p>
        </w:tc>
        <w:tc>
          <w:tcPr>
            <w:tcW w:w="2130" w:type="dxa"/>
            <w:tcBorders>
              <w:top w:val="single" w:sz="4" w:space="0" w:color="auto"/>
              <w:left w:val="single" w:sz="4" w:space="0" w:color="auto"/>
              <w:bottom w:val="single" w:sz="4" w:space="0" w:color="auto"/>
              <w:right w:val="single" w:sz="4" w:space="0" w:color="auto"/>
            </w:tcBorders>
          </w:tcPr>
          <w:p w14:paraId="22C2FE0D"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0.73±0.24</w:t>
            </w:r>
          </w:p>
        </w:tc>
        <w:tc>
          <w:tcPr>
            <w:tcW w:w="1620" w:type="dxa"/>
            <w:tcBorders>
              <w:top w:val="single" w:sz="4" w:space="0" w:color="auto"/>
              <w:left w:val="single" w:sz="4" w:space="0" w:color="auto"/>
              <w:bottom w:val="single" w:sz="4" w:space="0" w:color="auto"/>
              <w:right w:val="single" w:sz="4" w:space="0" w:color="auto"/>
            </w:tcBorders>
          </w:tcPr>
          <w:p w14:paraId="2D98FF75"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0.61±0.15</w:t>
            </w:r>
          </w:p>
        </w:tc>
        <w:tc>
          <w:tcPr>
            <w:tcW w:w="1260" w:type="dxa"/>
            <w:tcBorders>
              <w:top w:val="single" w:sz="4" w:space="0" w:color="auto"/>
              <w:left w:val="single" w:sz="4" w:space="0" w:color="auto"/>
              <w:bottom w:val="single" w:sz="4" w:space="0" w:color="auto"/>
              <w:right w:val="single" w:sz="4" w:space="0" w:color="auto"/>
            </w:tcBorders>
          </w:tcPr>
          <w:p w14:paraId="618CF0F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0.001***</w:t>
            </w:r>
          </w:p>
        </w:tc>
      </w:tr>
      <w:tr w:rsidR="003F1C38" w:rsidRPr="00DA09BA" w14:paraId="6AE83407" w14:textId="77777777" w:rsidTr="0019641D">
        <w:trPr>
          <w:trHeight w:val="260"/>
        </w:trPr>
        <w:tc>
          <w:tcPr>
            <w:tcW w:w="2545" w:type="dxa"/>
            <w:tcBorders>
              <w:top w:val="single" w:sz="4" w:space="0" w:color="auto"/>
              <w:left w:val="single" w:sz="4" w:space="0" w:color="auto"/>
              <w:bottom w:val="single" w:sz="4" w:space="0" w:color="auto"/>
              <w:right w:val="single" w:sz="4" w:space="0" w:color="auto"/>
            </w:tcBorders>
          </w:tcPr>
          <w:p w14:paraId="145734B6"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Triglycerides (mmol/L)</w:t>
            </w:r>
          </w:p>
        </w:tc>
        <w:tc>
          <w:tcPr>
            <w:tcW w:w="2130" w:type="dxa"/>
            <w:tcBorders>
              <w:top w:val="single" w:sz="4" w:space="0" w:color="auto"/>
              <w:left w:val="single" w:sz="4" w:space="0" w:color="auto"/>
              <w:bottom w:val="single" w:sz="4" w:space="0" w:color="auto"/>
              <w:right w:val="single" w:sz="4" w:space="0" w:color="auto"/>
            </w:tcBorders>
          </w:tcPr>
          <w:p w14:paraId="708DDF3D"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1.51±0.63</w:t>
            </w:r>
          </w:p>
        </w:tc>
        <w:tc>
          <w:tcPr>
            <w:tcW w:w="1620" w:type="dxa"/>
            <w:tcBorders>
              <w:top w:val="single" w:sz="4" w:space="0" w:color="auto"/>
              <w:left w:val="single" w:sz="4" w:space="0" w:color="auto"/>
              <w:bottom w:val="single" w:sz="4" w:space="0" w:color="auto"/>
              <w:right w:val="single" w:sz="4" w:space="0" w:color="auto"/>
            </w:tcBorders>
          </w:tcPr>
          <w:p w14:paraId="0DBA1F0C"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1.39±0.44</w:t>
            </w:r>
          </w:p>
        </w:tc>
        <w:tc>
          <w:tcPr>
            <w:tcW w:w="1260" w:type="dxa"/>
            <w:tcBorders>
              <w:top w:val="single" w:sz="4" w:space="0" w:color="auto"/>
              <w:left w:val="single" w:sz="4" w:space="0" w:color="auto"/>
              <w:bottom w:val="single" w:sz="4" w:space="0" w:color="auto"/>
              <w:right w:val="single" w:sz="4" w:space="0" w:color="auto"/>
            </w:tcBorders>
          </w:tcPr>
          <w:p w14:paraId="3845DAD0" w14:textId="77777777" w:rsidR="003F1C38" w:rsidRPr="00DA09BA" w:rsidRDefault="003F1C38" w:rsidP="00EA53EB">
            <w:pPr>
              <w:pStyle w:val="NormalWeb"/>
              <w:shd w:val="clear" w:color="FFFFFF" w:fill="FFFFFF"/>
              <w:jc w:val="both"/>
              <w:rPr>
                <w:rFonts w:ascii="Arial" w:hAnsi="Arial" w:cs="Arial"/>
                <w:sz w:val="20"/>
                <w:szCs w:val="20"/>
              </w:rPr>
            </w:pPr>
            <w:r w:rsidRPr="00DA09BA">
              <w:rPr>
                <w:rFonts w:ascii="Arial" w:hAnsi="Arial" w:cs="Arial"/>
                <w:sz w:val="20"/>
                <w:szCs w:val="20"/>
              </w:rPr>
              <w:t>0.030*</w:t>
            </w:r>
          </w:p>
        </w:tc>
      </w:tr>
    </w:tbl>
    <w:p w14:paraId="6920E1E8" w14:textId="77777777" w:rsidR="003F1C38" w:rsidRPr="00DA09BA" w:rsidRDefault="003F1C38" w:rsidP="00EA53EB">
      <w:pPr>
        <w:pStyle w:val="NormalWeb"/>
        <w:shd w:val="clear" w:color="auto" w:fill="FFFFFF"/>
        <w:spacing w:before="0" w:beforeAutospacing="0" w:after="0" w:afterAutospacing="0"/>
        <w:jc w:val="both"/>
        <w:rPr>
          <w:rFonts w:ascii="Arial" w:hAnsi="Arial" w:cs="Arial"/>
          <w:sz w:val="20"/>
          <w:szCs w:val="20"/>
        </w:rPr>
      </w:pPr>
      <w:r w:rsidRPr="00DA09BA">
        <w:rPr>
          <w:rFonts w:ascii="Arial" w:hAnsi="Arial" w:cs="Arial"/>
          <w:sz w:val="20"/>
          <w:szCs w:val="20"/>
        </w:rPr>
        <w:t>*Significant (p&lt;0.05), **highly significant (p&lt;0.01), ***very highly significant (p&lt;0.001).</w:t>
      </w:r>
    </w:p>
    <w:p w14:paraId="2D877ABE" w14:textId="77777777" w:rsidR="006249AF" w:rsidRPr="00DA09BA" w:rsidRDefault="006249AF" w:rsidP="00EA53EB">
      <w:pPr>
        <w:pStyle w:val="NormalWeb"/>
        <w:shd w:val="clear" w:color="auto" w:fill="FFFFFF"/>
        <w:spacing w:before="0" w:beforeAutospacing="0" w:after="0" w:afterAutospacing="0"/>
        <w:jc w:val="both"/>
        <w:rPr>
          <w:rFonts w:ascii="Arial" w:hAnsi="Arial" w:cs="Arial"/>
          <w:sz w:val="20"/>
          <w:szCs w:val="20"/>
        </w:rPr>
      </w:pPr>
    </w:p>
    <w:p w14:paraId="417C8F5C"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Table 4 shows that </w:t>
      </w:r>
      <w:r w:rsidR="006249AF" w:rsidRPr="00DA09BA">
        <w:rPr>
          <w:rFonts w:ascii="Arial" w:hAnsi="Arial" w:cs="Arial"/>
          <w:sz w:val="20"/>
          <w:szCs w:val="20"/>
        </w:rPr>
        <w:t>very low-</w:t>
      </w:r>
      <w:r w:rsidRPr="00DA09BA">
        <w:rPr>
          <w:rFonts w:ascii="Arial" w:hAnsi="Arial" w:cs="Arial"/>
          <w:sz w:val="20"/>
          <w:szCs w:val="20"/>
        </w:rPr>
        <w:t xml:space="preserve">density lipoproteins and triglycerides increased with </w:t>
      </w:r>
      <w:r w:rsidR="006249AF" w:rsidRPr="00DA09BA">
        <w:rPr>
          <w:rFonts w:ascii="Arial" w:hAnsi="Arial" w:cs="Arial"/>
          <w:sz w:val="20"/>
          <w:szCs w:val="20"/>
        </w:rPr>
        <w:t xml:space="preserve">an </w:t>
      </w:r>
      <w:r w:rsidRPr="00DA09BA">
        <w:rPr>
          <w:rFonts w:ascii="Arial" w:hAnsi="Arial" w:cs="Arial"/>
          <w:sz w:val="20"/>
          <w:szCs w:val="20"/>
        </w:rPr>
        <w:t xml:space="preserve">increase in work duration, implying </w:t>
      </w:r>
      <w:r w:rsidR="006249AF" w:rsidRPr="00DA09BA">
        <w:rPr>
          <w:rFonts w:ascii="Arial" w:hAnsi="Arial" w:cs="Arial"/>
          <w:sz w:val="20"/>
          <w:szCs w:val="20"/>
        </w:rPr>
        <w:t xml:space="preserve">a </w:t>
      </w:r>
      <w:r w:rsidRPr="00DA09BA">
        <w:rPr>
          <w:rFonts w:ascii="Arial" w:hAnsi="Arial" w:cs="Arial"/>
          <w:sz w:val="20"/>
          <w:szCs w:val="20"/>
        </w:rPr>
        <w:t>statistically significant positive correlation between the paramet</w:t>
      </w:r>
      <w:r w:rsidR="006249AF" w:rsidRPr="00DA09BA">
        <w:rPr>
          <w:rFonts w:ascii="Arial" w:hAnsi="Arial" w:cs="Arial"/>
          <w:sz w:val="20"/>
          <w:szCs w:val="20"/>
        </w:rPr>
        <w:t xml:space="preserve">ers and work duration (p </w:t>
      </w:r>
      <w:r w:rsidRPr="00DA09BA">
        <w:rPr>
          <w:rFonts w:ascii="Arial" w:hAnsi="Arial" w:cs="Arial"/>
          <w:sz w:val="20"/>
          <w:szCs w:val="20"/>
        </w:rPr>
        <w:t xml:space="preserve">0.01 and 0.05, respectively). However, though total cholesterol and </w:t>
      </w:r>
      <w:r w:rsidR="006249AF" w:rsidRPr="00DA09BA">
        <w:rPr>
          <w:rFonts w:ascii="Arial" w:hAnsi="Arial" w:cs="Arial"/>
          <w:sz w:val="20"/>
          <w:szCs w:val="20"/>
        </w:rPr>
        <w:t>low-density</w:t>
      </w:r>
      <w:r w:rsidRPr="00DA09BA">
        <w:rPr>
          <w:rFonts w:ascii="Arial" w:hAnsi="Arial" w:cs="Arial"/>
          <w:sz w:val="20"/>
          <w:szCs w:val="20"/>
        </w:rPr>
        <w:t xml:space="preserve"> lipoproteins increased relatively with </w:t>
      </w:r>
      <w:r w:rsidR="006249AF" w:rsidRPr="00DA09BA">
        <w:rPr>
          <w:rFonts w:ascii="Arial" w:hAnsi="Arial" w:cs="Arial"/>
          <w:sz w:val="20"/>
          <w:szCs w:val="20"/>
        </w:rPr>
        <w:t xml:space="preserve">an </w:t>
      </w:r>
      <w:r w:rsidRPr="00DA09BA">
        <w:rPr>
          <w:rFonts w:ascii="Arial" w:hAnsi="Arial" w:cs="Arial"/>
          <w:sz w:val="20"/>
          <w:szCs w:val="20"/>
        </w:rPr>
        <w:t xml:space="preserve">increase in work duration, there was no significant correlation between the parameters and work duration. On the other hand, </w:t>
      </w:r>
      <w:r w:rsidR="006249AF" w:rsidRPr="00DA09BA">
        <w:rPr>
          <w:rFonts w:ascii="Arial" w:hAnsi="Arial" w:cs="Arial"/>
          <w:sz w:val="20"/>
          <w:szCs w:val="20"/>
        </w:rPr>
        <w:t>high-density</w:t>
      </w:r>
      <w:r w:rsidRPr="00DA09BA">
        <w:rPr>
          <w:rFonts w:ascii="Arial" w:hAnsi="Arial" w:cs="Arial"/>
          <w:sz w:val="20"/>
          <w:szCs w:val="20"/>
        </w:rPr>
        <w:t xml:space="preserve"> lipoproteins showed </w:t>
      </w:r>
      <w:r w:rsidR="006249AF" w:rsidRPr="00DA09BA">
        <w:rPr>
          <w:rFonts w:ascii="Arial" w:hAnsi="Arial" w:cs="Arial"/>
          <w:sz w:val="20"/>
          <w:szCs w:val="20"/>
        </w:rPr>
        <w:t xml:space="preserve">a </w:t>
      </w:r>
      <w:r w:rsidRPr="00DA09BA">
        <w:rPr>
          <w:rFonts w:ascii="Arial" w:hAnsi="Arial" w:cs="Arial"/>
          <w:sz w:val="20"/>
          <w:szCs w:val="20"/>
        </w:rPr>
        <w:t>strong</w:t>
      </w:r>
      <w:r w:rsidR="006249AF" w:rsidRPr="00DA09BA">
        <w:rPr>
          <w:rFonts w:ascii="Arial" w:hAnsi="Arial" w:cs="Arial"/>
          <w:sz w:val="20"/>
          <w:szCs w:val="20"/>
        </w:rPr>
        <w:t>,</w:t>
      </w:r>
      <w:r w:rsidRPr="00DA09BA">
        <w:rPr>
          <w:rFonts w:ascii="Arial" w:hAnsi="Arial" w:cs="Arial"/>
          <w:sz w:val="20"/>
          <w:szCs w:val="20"/>
        </w:rPr>
        <w:t xml:space="preserve"> significant negative correlation with work duration (p&lt;0.001).</w:t>
      </w:r>
    </w:p>
    <w:p w14:paraId="62948912" w14:textId="77777777" w:rsidR="003F1C38" w:rsidRPr="00DA09BA" w:rsidRDefault="003F1C38" w:rsidP="00EA53EB">
      <w:pPr>
        <w:spacing w:line="240" w:lineRule="auto"/>
        <w:jc w:val="both"/>
        <w:rPr>
          <w:rFonts w:ascii="Arial" w:hAnsi="Arial" w:cs="Arial"/>
          <w:sz w:val="20"/>
          <w:szCs w:val="20"/>
        </w:rPr>
      </w:pPr>
      <w:r w:rsidRPr="00DA09BA">
        <w:rPr>
          <w:rFonts w:ascii="Arial" w:hAnsi="Arial" w:cs="Arial"/>
          <w:b/>
          <w:bCs/>
          <w:sz w:val="20"/>
          <w:szCs w:val="20"/>
        </w:rPr>
        <w:t>Table 4: Correlation between work duration of petroleum pump attendants and lipid levels</w:t>
      </w:r>
    </w:p>
    <w:tbl>
      <w:tblPr>
        <w:tblStyle w:val="TableGrid"/>
        <w:tblW w:w="0" w:type="auto"/>
        <w:tblLook w:val="04A0" w:firstRow="1" w:lastRow="0" w:firstColumn="1" w:lastColumn="0" w:noHBand="0" w:noVBand="1"/>
      </w:tblPr>
      <w:tblGrid>
        <w:gridCol w:w="2057"/>
        <w:gridCol w:w="1106"/>
        <w:gridCol w:w="1106"/>
        <w:gridCol w:w="1106"/>
        <w:gridCol w:w="1106"/>
        <w:gridCol w:w="1164"/>
        <w:gridCol w:w="1170"/>
      </w:tblGrid>
      <w:tr w:rsidR="003F1C38" w:rsidRPr="00DA09BA" w14:paraId="2253CC52" w14:textId="77777777" w:rsidTr="008346A8">
        <w:tc>
          <w:tcPr>
            <w:tcW w:w="2057" w:type="dxa"/>
          </w:tcPr>
          <w:p w14:paraId="775B70C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Duration (months)</w:t>
            </w:r>
          </w:p>
          <w:p w14:paraId="0A0231BA" w14:textId="77777777" w:rsidR="003F1C38" w:rsidRPr="00DA09BA" w:rsidRDefault="003F1C38" w:rsidP="00EA53EB">
            <w:pPr>
              <w:jc w:val="both"/>
              <w:rPr>
                <w:rFonts w:ascii="Arial" w:hAnsi="Arial" w:cs="Arial"/>
                <w:sz w:val="20"/>
                <w:szCs w:val="20"/>
              </w:rPr>
            </w:pPr>
          </w:p>
        </w:tc>
        <w:tc>
          <w:tcPr>
            <w:tcW w:w="1106" w:type="dxa"/>
          </w:tcPr>
          <w:p w14:paraId="113A5F4D"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6 – 12</w:t>
            </w:r>
          </w:p>
          <w:p w14:paraId="0766BF5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22</w:t>
            </w:r>
          </w:p>
        </w:tc>
        <w:tc>
          <w:tcPr>
            <w:tcW w:w="1106" w:type="dxa"/>
          </w:tcPr>
          <w:p w14:paraId="0BC6AF6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13 – 19</w:t>
            </w:r>
          </w:p>
          <w:p w14:paraId="604359C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16</w:t>
            </w:r>
          </w:p>
        </w:tc>
        <w:tc>
          <w:tcPr>
            <w:tcW w:w="1106" w:type="dxa"/>
          </w:tcPr>
          <w:p w14:paraId="12D922C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20 – 26</w:t>
            </w:r>
          </w:p>
          <w:p w14:paraId="2F19130D"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10</w:t>
            </w:r>
          </w:p>
        </w:tc>
        <w:tc>
          <w:tcPr>
            <w:tcW w:w="1106" w:type="dxa"/>
          </w:tcPr>
          <w:p w14:paraId="6FFCA7D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27 – 33</w:t>
            </w:r>
          </w:p>
          <w:p w14:paraId="4AC1012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8</w:t>
            </w:r>
          </w:p>
        </w:tc>
        <w:tc>
          <w:tcPr>
            <w:tcW w:w="1164" w:type="dxa"/>
          </w:tcPr>
          <w:p w14:paraId="6956522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34 – 40</w:t>
            </w:r>
          </w:p>
          <w:p w14:paraId="2F9A1D8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N = 4</w:t>
            </w:r>
          </w:p>
        </w:tc>
        <w:tc>
          <w:tcPr>
            <w:tcW w:w="1170" w:type="dxa"/>
          </w:tcPr>
          <w:p w14:paraId="466B6D7A"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P value</w:t>
            </w:r>
          </w:p>
        </w:tc>
      </w:tr>
      <w:tr w:rsidR="003F1C38" w:rsidRPr="00DA09BA" w14:paraId="7DF8A0E9" w14:textId="77777777" w:rsidTr="0019641D">
        <w:trPr>
          <w:trHeight w:val="368"/>
        </w:trPr>
        <w:tc>
          <w:tcPr>
            <w:tcW w:w="2057" w:type="dxa"/>
          </w:tcPr>
          <w:p w14:paraId="03D227F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Total Chol</w:t>
            </w:r>
          </w:p>
        </w:tc>
        <w:tc>
          <w:tcPr>
            <w:tcW w:w="1106" w:type="dxa"/>
          </w:tcPr>
          <w:p w14:paraId="30537E07"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5.58±1.00</w:t>
            </w:r>
          </w:p>
        </w:tc>
        <w:tc>
          <w:tcPr>
            <w:tcW w:w="1106" w:type="dxa"/>
          </w:tcPr>
          <w:p w14:paraId="0E16A9D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5.65±1.01</w:t>
            </w:r>
          </w:p>
        </w:tc>
        <w:tc>
          <w:tcPr>
            <w:tcW w:w="1106" w:type="dxa"/>
          </w:tcPr>
          <w:p w14:paraId="167E41A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5.82±1.04</w:t>
            </w:r>
          </w:p>
        </w:tc>
        <w:tc>
          <w:tcPr>
            <w:tcW w:w="1106" w:type="dxa"/>
          </w:tcPr>
          <w:p w14:paraId="04AA2F8A"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5.95±2.00</w:t>
            </w:r>
          </w:p>
        </w:tc>
        <w:tc>
          <w:tcPr>
            <w:tcW w:w="1164" w:type="dxa"/>
          </w:tcPr>
          <w:p w14:paraId="0FEE82A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6.00±3.10</w:t>
            </w:r>
          </w:p>
        </w:tc>
        <w:tc>
          <w:tcPr>
            <w:tcW w:w="1170" w:type="dxa"/>
          </w:tcPr>
          <w:p w14:paraId="4C15DE2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0.30</w:t>
            </w:r>
          </w:p>
        </w:tc>
      </w:tr>
      <w:tr w:rsidR="003F1C38" w:rsidRPr="00DA09BA" w14:paraId="2CE5F611" w14:textId="77777777" w:rsidTr="0019641D">
        <w:trPr>
          <w:trHeight w:val="332"/>
        </w:trPr>
        <w:tc>
          <w:tcPr>
            <w:tcW w:w="2057" w:type="dxa"/>
          </w:tcPr>
          <w:p w14:paraId="4641F89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HDL</w:t>
            </w:r>
          </w:p>
        </w:tc>
        <w:tc>
          <w:tcPr>
            <w:tcW w:w="1106" w:type="dxa"/>
          </w:tcPr>
          <w:p w14:paraId="6BE99822"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1.80±0.54</w:t>
            </w:r>
          </w:p>
        </w:tc>
        <w:tc>
          <w:tcPr>
            <w:tcW w:w="1106" w:type="dxa"/>
          </w:tcPr>
          <w:p w14:paraId="7B7E38C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1.29±0.29</w:t>
            </w:r>
          </w:p>
        </w:tc>
        <w:tc>
          <w:tcPr>
            <w:tcW w:w="1106" w:type="dxa"/>
          </w:tcPr>
          <w:p w14:paraId="3455F268"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1.20±0.27</w:t>
            </w:r>
          </w:p>
        </w:tc>
        <w:tc>
          <w:tcPr>
            <w:tcW w:w="1106" w:type="dxa"/>
          </w:tcPr>
          <w:p w14:paraId="604142D7"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1.01±0.30</w:t>
            </w:r>
          </w:p>
        </w:tc>
        <w:tc>
          <w:tcPr>
            <w:tcW w:w="1164" w:type="dxa"/>
          </w:tcPr>
          <w:p w14:paraId="42AE21C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1.00±0.20</w:t>
            </w:r>
          </w:p>
        </w:tc>
        <w:tc>
          <w:tcPr>
            <w:tcW w:w="1170" w:type="dxa"/>
          </w:tcPr>
          <w:p w14:paraId="2D518EF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&lt;0.001***</w:t>
            </w:r>
          </w:p>
        </w:tc>
      </w:tr>
      <w:tr w:rsidR="003F1C38" w:rsidRPr="00DA09BA" w14:paraId="106B13E3" w14:textId="77777777" w:rsidTr="0019641D">
        <w:trPr>
          <w:trHeight w:val="368"/>
        </w:trPr>
        <w:tc>
          <w:tcPr>
            <w:tcW w:w="2057" w:type="dxa"/>
          </w:tcPr>
          <w:p w14:paraId="0D1DB25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LDL</w:t>
            </w:r>
          </w:p>
        </w:tc>
        <w:tc>
          <w:tcPr>
            <w:tcW w:w="1106" w:type="dxa"/>
          </w:tcPr>
          <w:p w14:paraId="474F3DA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3.10±0.97</w:t>
            </w:r>
          </w:p>
        </w:tc>
        <w:tc>
          <w:tcPr>
            <w:tcW w:w="1106" w:type="dxa"/>
          </w:tcPr>
          <w:p w14:paraId="45FCC9D1"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3.50±1.03</w:t>
            </w:r>
          </w:p>
        </w:tc>
        <w:tc>
          <w:tcPr>
            <w:tcW w:w="1106" w:type="dxa"/>
          </w:tcPr>
          <w:p w14:paraId="0DD73FD4"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3.76±1.05</w:t>
            </w:r>
          </w:p>
        </w:tc>
        <w:tc>
          <w:tcPr>
            <w:tcW w:w="1106" w:type="dxa"/>
          </w:tcPr>
          <w:p w14:paraId="15B866E2"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3.84±1.10</w:t>
            </w:r>
          </w:p>
        </w:tc>
        <w:tc>
          <w:tcPr>
            <w:tcW w:w="1164" w:type="dxa"/>
          </w:tcPr>
          <w:p w14:paraId="5E4FAEC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4.00±2.00</w:t>
            </w:r>
          </w:p>
        </w:tc>
        <w:tc>
          <w:tcPr>
            <w:tcW w:w="1170" w:type="dxa"/>
          </w:tcPr>
          <w:p w14:paraId="31F1482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0.068</w:t>
            </w:r>
          </w:p>
        </w:tc>
      </w:tr>
      <w:tr w:rsidR="003F1C38" w:rsidRPr="00DA09BA" w14:paraId="52295499" w14:textId="77777777" w:rsidTr="0019641D">
        <w:trPr>
          <w:trHeight w:val="332"/>
        </w:trPr>
        <w:tc>
          <w:tcPr>
            <w:tcW w:w="2057" w:type="dxa"/>
          </w:tcPr>
          <w:p w14:paraId="76E692A6"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VLDL</w:t>
            </w:r>
          </w:p>
        </w:tc>
        <w:tc>
          <w:tcPr>
            <w:tcW w:w="1106" w:type="dxa"/>
          </w:tcPr>
          <w:p w14:paraId="0694EA70"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0.40±0.02</w:t>
            </w:r>
          </w:p>
        </w:tc>
        <w:tc>
          <w:tcPr>
            <w:tcW w:w="1106" w:type="dxa"/>
          </w:tcPr>
          <w:p w14:paraId="19F26F2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0.60±0.03</w:t>
            </w:r>
          </w:p>
        </w:tc>
        <w:tc>
          <w:tcPr>
            <w:tcW w:w="1106" w:type="dxa"/>
          </w:tcPr>
          <w:p w14:paraId="049FFCC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0.69±0.04</w:t>
            </w:r>
          </w:p>
        </w:tc>
        <w:tc>
          <w:tcPr>
            <w:tcW w:w="1106" w:type="dxa"/>
          </w:tcPr>
          <w:p w14:paraId="08B1E3B9"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0.90±0.07</w:t>
            </w:r>
          </w:p>
        </w:tc>
        <w:tc>
          <w:tcPr>
            <w:tcW w:w="1164" w:type="dxa"/>
          </w:tcPr>
          <w:p w14:paraId="2B79D9D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1.06±0.08</w:t>
            </w:r>
          </w:p>
        </w:tc>
        <w:tc>
          <w:tcPr>
            <w:tcW w:w="1170" w:type="dxa"/>
          </w:tcPr>
          <w:p w14:paraId="7CA7F32F"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0.01**</w:t>
            </w:r>
          </w:p>
        </w:tc>
      </w:tr>
      <w:tr w:rsidR="003F1C38" w:rsidRPr="00DA09BA" w14:paraId="3B22702D" w14:textId="77777777" w:rsidTr="0019641D">
        <w:trPr>
          <w:trHeight w:val="368"/>
        </w:trPr>
        <w:tc>
          <w:tcPr>
            <w:tcW w:w="2057" w:type="dxa"/>
          </w:tcPr>
          <w:p w14:paraId="169F5B9C"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Triglycerides</w:t>
            </w:r>
          </w:p>
        </w:tc>
        <w:tc>
          <w:tcPr>
            <w:tcW w:w="1106" w:type="dxa"/>
          </w:tcPr>
          <w:p w14:paraId="7A8A23F8"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0.55±0.30</w:t>
            </w:r>
          </w:p>
        </w:tc>
        <w:tc>
          <w:tcPr>
            <w:tcW w:w="1106" w:type="dxa"/>
          </w:tcPr>
          <w:p w14:paraId="2092D90E"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0.80±0.50</w:t>
            </w:r>
          </w:p>
        </w:tc>
        <w:tc>
          <w:tcPr>
            <w:tcW w:w="1106" w:type="dxa"/>
          </w:tcPr>
          <w:p w14:paraId="3C9DC095"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1.20±0.55</w:t>
            </w:r>
          </w:p>
        </w:tc>
        <w:tc>
          <w:tcPr>
            <w:tcW w:w="1106" w:type="dxa"/>
          </w:tcPr>
          <w:p w14:paraId="0AF1ED72"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2.20±0.70</w:t>
            </w:r>
          </w:p>
        </w:tc>
        <w:tc>
          <w:tcPr>
            <w:tcW w:w="1164" w:type="dxa"/>
          </w:tcPr>
          <w:p w14:paraId="7E2EF5AB"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2.80±1.10</w:t>
            </w:r>
          </w:p>
        </w:tc>
        <w:tc>
          <w:tcPr>
            <w:tcW w:w="1170" w:type="dxa"/>
          </w:tcPr>
          <w:p w14:paraId="6A93975B" w14:textId="77777777" w:rsidR="003F1C38" w:rsidRPr="00DA09BA" w:rsidRDefault="003F1C38" w:rsidP="00EA53EB">
            <w:pPr>
              <w:jc w:val="both"/>
              <w:rPr>
                <w:rFonts w:ascii="Arial" w:hAnsi="Arial" w:cs="Arial"/>
                <w:sz w:val="20"/>
                <w:szCs w:val="20"/>
              </w:rPr>
            </w:pPr>
            <w:r w:rsidRPr="00DA09BA">
              <w:rPr>
                <w:rFonts w:ascii="Arial" w:hAnsi="Arial" w:cs="Arial"/>
                <w:sz w:val="20"/>
                <w:szCs w:val="20"/>
              </w:rPr>
              <w:t>0.05*</w:t>
            </w:r>
          </w:p>
        </w:tc>
      </w:tr>
    </w:tbl>
    <w:p w14:paraId="33363A53" w14:textId="77777777" w:rsidR="003F1C38" w:rsidRDefault="003F1C38" w:rsidP="00EA53EB">
      <w:pPr>
        <w:spacing w:line="240" w:lineRule="auto"/>
        <w:jc w:val="both"/>
        <w:rPr>
          <w:rFonts w:ascii="Arial" w:hAnsi="Arial" w:cs="Arial"/>
          <w:sz w:val="20"/>
          <w:szCs w:val="20"/>
        </w:rPr>
      </w:pPr>
    </w:p>
    <w:p w14:paraId="42686309" w14:textId="77777777" w:rsidR="00974784" w:rsidRPr="00DA09BA" w:rsidRDefault="00974784" w:rsidP="00EA53EB">
      <w:pPr>
        <w:spacing w:line="240" w:lineRule="auto"/>
        <w:jc w:val="both"/>
        <w:rPr>
          <w:rFonts w:ascii="Arial" w:hAnsi="Arial" w:cs="Arial"/>
          <w:sz w:val="20"/>
          <w:szCs w:val="20"/>
        </w:rPr>
      </w:pPr>
    </w:p>
    <w:p w14:paraId="39AC24CA" w14:textId="77777777" w:rsidR="003F1C38" w:rsidRPr="00DA09BA" w:rsidRDefault="003F1C38" w:rsidP="00EA53EB">
      <w:pPr>
        <w:pStyle w:val="ListParagraph"/>
        <w:numPr>
          <w:ilvl w:val="0"/>
          <w:numId w:val="5"/>
        </w:numPr>
        <w:spacing w:line="240" w:lineRule="auto"/>
        <w:jc w:val="both"/>
        <w:rPr>
          <w:rFonts w:ascii="Arial" w:hAnsi="Arial" w:cs="Arial"/>
          <w:b/>
          <w:sz w:val="20"/>
          <w:szCs w:val="20"/>
        </w:rPr>
      </w:pPr>
      <w:r w:rsidRPr="00DA09BA">
        <w:rPr>
          <w:rFonts w:ascii="Arial" w:hAnsi="Arial" w:cs="Arial"/>
          <w:b/>
          <w:sz w:val="20"/>
          <w:szCs w:val="20"/>
        </w:rPr>
        <w:t xml:space="preserve">Discussion </w:t>
      </w:r>
    </w:p>
    <w:p w14:paraId="1C0C2F07" w14:textId="7D6B8C78"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The results of the socio-demographic characteristics of the subjects showed that </w:t>
      </w:r>
      <w:r w:rsidR="004D2291" w:rsidRPr="00DA09BA">
        <w:rPr>
          <w:rFonts w:ascii="Arial" w:hAnsi="Arial" w:cs="Arial"/>
          <w:sz w:val="20"/>
          <w:szCs w:val="20"/>
        </w:rPr>
        <w:t xml:space="preserve">the </w:t>
      </w:r>
      <w:r w:rsidRPr="00DA09BA">
        <w:rPr>
          <w:rFonts w:ascii="Arial" w:hAnsi="Arial" w:cs="Arial"/>
          <w:sz w:val="20"/>
          <w:szCs w:val="20"/>
        </w:rPr>
        <w:t xml:space="preserve">majority of the petroleum pump attendants in the study area were </w:t>
      </w:r>
      <w:r w:rsidR="004D2291" w:rsidRPr="00DA09BA">
        <w:rPr>
          <w:rFonts w:ascii="Arial" w:hAnsi="Arial" w:cs="Arial"/>
          <w:sz w:val="20"/>
          <w:szCs w:val="20"/>
        </w:rPr>
        <w:t>post-primary</w:t>
      </w:r>
      <w:r w:rsidRPr="00DA09BA">
        <w:rPr>
          <w:rFonts w:ascii="Arial" w:hAnsi="Arial" w:cs="Arial"/>
          <w:sz w:val="20"/>
          <w:szCs w:val="20"/>
        </w:rPr>
        <w:t xml:space="preserve"> school leavers and were </w:t>
      </w:r>
      <w:r w:rsidR="004D2291" w:rsidRPr="00DA09BA">
        <w:rPr>
          <w:rFonts w:ascii="Arial" w:hAnsi="Arial" w:cs="Arial"/>
          <w:sz w:val="20"/>
          <w:szCs w:val="20"/>
        </w:rPr>
        <w:t>between</w:t>
      </w:r>
      <w:r w:rsidRPr="00DA09BA">
        <w:rPr>
          <w:rFonts w:ascii="Arial" w:hAnsi="Arial" w:cs="Arial"/>
          <w:sz w:val="20"/>
          <w:szCs w:val="20"/>
        </w:rPr>
        <w:t xml:space="preserve"> 18 </w:t>
      </w:r>
      <w:r w:rsidR="004D2291" w:rsidRPr="00DA09BA">
        <w:rPr>
          <w:rFonts w:ascii="Arial" w:hAnsi="Arial" w:cs="Arial"/>
          <w:sz w:val="20"/>
          <w:szCs w:val="20"/>
        </w:rPr>
        <w:t>and</w:t>
      </w:r>
      <w:r w:rsidRPr="00DA09BA">
        <w:rPr>
          <w:rFonts w:ascii="Arial" w:hAnsi="Arial" w:cs="Arial"/>
          <w:sz w:val="20"/>
          <w:szCs w:val="20"/>
        </w:rPr>
        <w:t xml:space="preserve"> 29 years of age. </w:t>
      </w:r>
      <w:r w:rsidR="004D2291" w:rsidRPr="00DA09BA">
        <w:rPr>
          <w:rFonts w:ascii="Arial" w:hAnsi="Arial" w:cs="Arial"/>
          <w:sz w:val="20"/>
          <w:szCs w:val="20"/>
        </w:rPr>
        <w:t>A very</w:t>
      </w:r>
      <w:r w:rsidRPr="00DA09BA">
        <w:rPr>
          <w:rFonts w:ascii="Arial" w:hAnsi="Arial" w:cs="Arial"/>
          <w:sz w:val="20"/>
          <w:szCs w:val="20"/>
        </w:rPr>
        <w:t xml:space="preserve"> insignificant number had post-secondary education and such individuals were on their industrial training </w:t>
      </w:r>
      <w:proofErr w:type="spellStart"/>
      <w:r w:rsidRPr="00DA09BA">
        <w:rPr>
          <w:rFonts w:ascii="Arial" w:hAnsi="Arial" w:cs="Arial"/>
          <w:sz w:val="20"/>
          <w:szCs w:val="20"/>
        </w:rPr>
        <w:t>progammes</w:t>
      </w:r>
      <w:proofErr w:type="spellEnd"/>
      <w:r w:rsidRPr="00DA09BA">
        <w:rPr>
          <w:rFonts w:ascii="Arial" w:hAnsi="Arial" w:cs="Arial"/>
          <w:sz w:val="20"/>
          <w:szCs w:val="20"/>
        </w:rPr>
        <w:t>, preparatory</w:t>
      </w:r>
      <w:r w:rsidR="004D2291" w:rsidRPr="00DA09BA">
        <w:rPr>
          <w:rFonts w:ascii="Arial" w:hAnsi="Arial" w:cs="Arial"/>
          <w:sz w:val="20"/>
          <w:szCs w:val="20"/>
        </w:rPr>
        <w:t xml:space="preserve"> to rounding off their tertiary </w:t>
      </w:r>
      <w:r w:rsidRPr="00DA09BA">
        <w:rPr>
          <w:rFonts w:ascii="Arial" w:hAnsi="Arial" w:cs="Arial"/>
          <w:sz w:val="20"/>
          <w:szCs w:val="20"/>
        </w:rPr>
        <w:t xml:space="preserve">education. The </w:t>
      </w:r>
      <w:r w:rsidR="004D2291" w:rsidRPr="00DA09BA">
        <w:rPr>
          <w:rFonts w:ascii="Arial" w:hAnsi="Arial" w:cs="Arial"/>
          <w:sz w:val="20"/>
          <w:szCs w:val="20"/>
        </w:rPr>
        <w:t>latter</w:t>
      </w:r>
      <w:r w:rsidRPr="00DA09BA">
        <w:rPr>
          <w:rFonts w:ascii="Arial" w:hAnsi="Arial" w:cs="Arial"/>
          <w:sz w:val="20"/>
          <w:szCs w:val="20"/>
        </w:rPr>
        <w:t xml:space="preserve"> were not included in the study because none had stayed up to six months on the job. Also</w:t>
      </w:r>
      <w:r w:rsidR="004D2291" w:rsidRPr="00DA09BA">
        <w:rPr>
          <w:rFonts w:ascii="Arial" w:hAnsi="Arial" w:cs="Arial"/>
          <w:sz w:val="20"/>
          <w:szCs w:val="20"/>
        </w:rPr>
        <w:t>,</w:t>
      </w:r>
      <w:r w:rsidRPr="00DA09BA">
        <w:rPr>
          <w:rFonts w:ascii="Arial" w:hAnsi="Arial" w:cs="Arial"/>
          <w:sz w:val="20"/>
          <w:szCs w:val="20"/>
        </w:rPr>
        <w:t xml:space="preserve"> the results showed that 53% of the subjects work for more than eight (8) hours per day</w:t>
      </w:r>
      <w:r w:rsidR="004D2291" w:rsidRPr="00DA09BA">
        <w:rPr>
          <w:rFonts w:ascii="Arial" w:hAnsi="Arial" w:cs="Arial"/>
          <w:sz w:val="20"/>
          <w:szCs w:val="20"/>
        </w:rPr>
        <w:t>,</w:t>
      </w:r>
      <w:r w:rsidRPr="00DA09BA">
        <w:rPr>
          <w:rFonts w:ascii="Arial" w:hAnsi="Arial" w:cs="Arial"/>
          <w:sz w:val="20"/>
          <w:szCs w:val="20"/>
        </w:rPr>
        <w:t xml:space="preserve"> while the remaining work for less than that. Incidentally, most of the </w:t>
      </w:r>
      <w:r w:rsidR="004D2291" w:rsidRPr="00DA09BA">
        <w:rPr>
          <w:rFonts w:ascii="Arial" w:hAnsi="Arial" w:cs="Arial"/>
          <w:sz w:val="20"/>
          <w:szCs w:val="20"/>
        </w:rPr>
        <w:t>latter</w:t>
      </w:r>
      <w:r w:rsidRPr="00DA09BA">
        <w:rPr>
          <w:rFonts w:ascii="Arial" w:hAnsi="Arial" w:cs="Arial"/>
          <w:sz w:val="20"/>
          <w:szCs w:val="20"/>
        </w:rPr>
        <w:t xml:space="preserve"> had worked for longer periods, implying that newly employed pump attendants work longer hours than the older ones. Furthermore, none of the subjects were using personal protective equipment like overall coats, aprons</w:t>
      </w:r>
      <w:r w:rsidR="004D2291" w:rsidRPr="00DA09BA">
        <w:rPr>
          <w:rFonts w:ascii="Arial" w:hAnsi="Arial" w:cs="Arial"/>
          <w:sz w:val="20"/>
          <w:szCs w:val="20"/>
        </w:rPr>
        <w:t>,</w:t>
      </w:r>
      <w:r w:rsidRPr="00DA09BA">
        <w:rPr>
          <w:rFonts w:ascii="Arial" w:hAnsi="Arial" w:cs="Arial"/>
          <w:sz w:val="20"/>
          <w:szCs w:val="20"/>
        </w:rPr>
        <w:t xml:space="preserve"> and nose masks. </w:t>
      </w:r>
      <w:r w:rsidR="00382B28">
        <w:rPr>
          <w:rFonts w:ascii="Arial" w:hAnsi="Arial" w:cs="Arial"/>
          <w:sz w:val="20"/>
          <w:szCs w:val="20"/>
        </w:rPr>
        <w:t xml:space="preserve">This </w:t>
      </w:r>
      <w:r w:rsidR="00545EAE">
        <w:rPr>
          <w:rFonts w:ascii="Arial" w:hAnsi="Arial" w:cs="Arial"/>
          <w:sz w:val="20"/>
          <w:szCs w:val="20"/>
        </w:rPr>
        <w:t>corroborates</w:t>
      </w:r>
      <w:r w:rsidR="00382B28">
        <w:rPr>
          <w:rFonts w:ascii="Arial" w:hAnsi="Arial" w:cs="Arial"/>
          <w:sz w:val="20"/>
          <w:szCs w:val="20"/>
        </w:rPr>
        <w:t xml:space="preserve"> earlier finding in another part of the country (Adekunle et al, 2023), which reported among other shortcomings, poor </w:t>
      </w:r>
      <w:r w:rsidR="00545EAE">
        <w:rPr>
          <w:rFonts w:ascii="Arial" w:hAnsi="Arial" w:cs="Arial"/>
          <w:sz w:val="20"/>
          <w:szCs w:val="20"/>
        </w:rPr>
        <w:t>personal protective equipment (</w:t>
      </w:r>
      <w:r w:rsidR="00382B28">
        <w:rPr>
          <w:rFonts w:ascii="Arial" w:hAnsi="Arial" w:cs="Arial"/>
          <w:sz w:val="20"/>
          <w:szCs w:val="20"/>
        </w:rPr>
        <w:t>PPE</w:t>
      </w:r>
      <w:r w:rsidR="00545EAE">
        <w:rPr>
          <w:rFonts w:ascii="Arial" w:hAnsi="Arial" w:cs="Arial"/>
          <w:sz w:val="20"/>
          <w:szCs w:val="20"/>
        </w:rPr>
        <w:t>)</w:t>
      </w:r>
      <w:r w:rsidR="00382B28">
        <w:rPr>
          <w:rFonts w:ascii="Arial" w:hAnsi="Arial" w:cs="Arial"/>
          <w:sz w:val="20"/>
          <w:szCs w:val="20"/>
        </w:rPr>
        <w:t xml:space="preserve"> awareness and use. </w:t>
      </w:r>
      <w:r w:rsidRPr="00DA09BA">
        <w:rPr>
          <w:rFonts w:ascii="Arial" w:hAnsi="Arial" w:cs="Arial"/>
          <w:sz w:val="20"/>
          <w:szCs w:val="20"/>
        </w:rPr>
        <w:t>This makes them more vulnerable to petroleum fumes</w:t>
      </w:r>
      <w:r w:rsidR="004D2291" w:rsidRPr="00DA09BA">
        <w:rPr>
          <w:rFonts w:ascii="Arial" w:hAnsi="Arial" w:cs="Arial"/>
          <w:sz w:val="20"/>
          <w:szCs w:val="20"/>
        </w:rPr>
        <w:t>,</w:t>
      </w:r>
      <w:r w:rsidRPr="00DA09BA">
        <w:rPr>
          <w:rFonts w:ascii="Arial" w:hAnsi="Arial" w:cs="Arial"/>
          <w:sz w:val="20"/>
          <w:szCs w:val="20"/>
        </w:rPr>
        <w:t xml:space="preserve"> which jeopardize their health.</w:t>
      </w:r>
    </w:p>
    <w:p w14:paraId="1A74EAA0" w14:textId="15E95A04"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Laboratory analyses showed that all the lipid parameters increased significantly in petroleum pump attendants when compared with the controls, except </w:t>
      </w:r>
      <w:r w:rsidR="004D2291" w:rsidRPr="00DA09BA">
        <w:rPr>
          <w:rFonts w:ascii="Arial" w:hAnsi="Arial" w:cs="Arial"/>
          <w:sz w:val="20"/>
          <w:szCs w:val="20"/>
        </w:rPr>
        <w:t>high-density</w:t>
      </w:r>
      <w:r w:rsidRPr="00DA09BA">
        <w:rPr>
          <w:rFonts w:ascii="Arial" w:hAnsi="Arial" w:cs="Arial"/>
          <w:sz w:val="20"/>
          <w:szCs w:val="20"/>
        </w:rPr>
        <w:t xml:space="preserve"> lipoproteins which decreased significantly, painting a picture of results in cardiovascular diseases, leading causes of death globally </w:t>
      </w:r>
      <w:r w:rsidR="00990F80" w:rsidRPr="00DA09BA">
        <w:rPr>
          <w:rFonts w:ascii="Arial" w:hAnsi="Arial" w:cs="Arial"/>
          <w:sz w:val="20"/>
          <w:szCs w:val="20"/>
        </w:rPr>
        <w:t>(WHO, 2021)</w:t>
      </w:r>
      <w:r w:rsidRPr="00DA09BA">
        <w:rPr>
          <w:rFonts w:ascii="Arial" w:hAnsi="Arial" w:cs="Arial"/>
          <w:sz w:val="20"/>
          <w:szCs w:val="20"/>
        </w:rPr>
        <w:t xml:space="preserve">. High blood cholesterol, particularly </w:t>
      </w:r>
      <w:r w:rsidR="004D2291" w:rsidRPr="00DA09BA">
        <w:rPr>
          <w:rFonts w:ascii="Arial" w:hAnsi="Arial" w:cs="Arial"/>
          <w:sz w:val="20"/>
          <w:szCs w:val="20"/>
        </w:rPr>
        <w:t>low-density</w:t>
      </w:r>
      <w:r w:rsidRPr="00DA09BA">
        <w:rPr>
          <w:rFonts w:ascii="Arial" w:hAnsi="Arial" w:cs="Arial"/>
          <w:sz w:val="20"/>
          <w:szCs w:val="20"/>
        </w:rPr>
        <w:t xml:space="preserve"> lipoprotein, often referred to as bad cholesterol, smoking</w:t>
      </w:r>
      <w:r w:rsidR="00944967" w:rsidRPr="00DA09BA">
        <w:rPr>
          <w:rFonts w:ascii="Arial" w:hAnsi="Arial" w:cs="Arial"/>
          <w:sz w:val="20"/>
          <w:szCs w:val="20"/>
        </w:rPr>
        <w:t>,</w:t>
      </w:r>
      <w:r w:rsidRPr="00DA09BA">
        <w:rPr>
          <w:rFonts w:ascii="Arial" w:hAnsi="Arial" w:cs="Arial"/>
          <w:sz w:val="20"/>
          <w:szCs w:val="20"/>
        </w:rPr>
        <w:t xml:space="preserve"> and reduced physical activities have been identified as risk factors for </w:t>
      </w:r>
      <w:r w:rsidR="00944967" w:rsidRPr="00DA09BA">
        <w:rPr>
          <w:rFonts w:ascii="Arial" w:hAnsi="Arial" w:cs="Arial"/>
          <w:sz w:val="20"/>
          <w:szCs w:val="20"/>
        </w:rPr>
        <w:t xml:space="preserve">the </w:t>
      </w:r>
      <w:r w:rsidRPr="00DA09BA">
        <w:rPr>
          <w:rFonts w:ascii="Arial" w:hAnsi="Arial" w:cs="Arial"/>
          <w:sz w:val="20"/>
          <w:szCs w:val="20"/>
        </w:rPr>
        <w:lastRenderedPageBreak/>
        <w:t xml:space="preserve">development of cardiovascular diseases </w:t>
      </w:r>
      <w:r w:rsidR="00990F80" w:rsidRPr="00DA09BA">
        <w:rPr>
          <w:rFonts w:ascii="Arial" w:hAnsi="Arial" w:cs="Arial"/>
          <w:sz w:val="20"/>
          <w:szCs w:val="20"/>
        </w:rPr>
        <w:t>(Beckerman, 2020; CDC, 2020; NHS, 2021; Avci et al, 2021)</w:t>
      </w:r>
      <w:r w:rsidRPr="00DA09BA">
        <w:rPr>
          <w:rFonts w:ascii="Arial" w:hAnsi="Arial" w:cs="Arial"/>
          <w:sz w:val="20"/>
          <w:szCs w:val="20"/>
        </w:rPr>
        <w:t xml:space="preserve">. Likewise, increased triglyceride </w:t>
      </w:r>
      <w:r w:rsidR="00944967" w:rsidRPr="00DA09BA">
        <w:rPr>
          <w:rFonts w:ascii="Arial" w:hAnsi="Arial" w:cs="Arial"/>
          <w:sz w:val="20"/>
          <w:szCs w:val="20"/>
        </w:rPr>
        <w:t>levels</w:t>
      </w:r>
      <w:r w:rsidRPr="00DA09BA">
        <w:rPr>
          <w:rFonts w:ascii="Arial" w:hAnsi="Arial" w:cs="Arial"/>
          <w:sz w:val="20"/>
          <w:szCs w:val="20"/>
        </w:rPr>
        <w:t xml:space="preserve"> and low level of </w:t>
      </w:r>
      <w:r w:rsidR="00944967" w:rsidRPr="00DA09BA">
        <w:rPr>
          <w:rFonts w:ascii="Arial" w:hAnsi="Arial" w:cs="Arial"/>
          <w:sz w:val="20"/>
          <w:szCs w:val="20"/>
        </w:rPr>
        <w:t>high-density</w:t>
      </w:r>
      <w:r w:rsidRPr="00DA09BA">
        <w:rPr>
          <w:rFonts w:ascii="Arial" w:hAnsi="Arial" w:cs="Arial"/>
          <w:sz w:val="20"/>
          <w:szCs w:val="20"/>
        </w:rPr>
        <w:t xml:space="preserve"> lipoprotein are known risk factors for cardiovascular diseases </w:t>
      </w:r>
      <w:r w:rsidR="00990F80" w:rsidRPr="00DA09BA">
        <w:rPr>
          <w:rFonts w:ascii="Arial" w:hAnsi="Arial" w:cs="Arial"/>
          <w:sz w:val="20"/>
          <w:szCs w:val="20"/>
        </w:rPr>
        <w:t>(McBride, 2008; Nordestgaard and Varbo, 2014)</w:t>
      </w:r>
      <w:r w:rsidRPr="00DA09BA">
        <w:rPr>
          <w:rFonts w:ascii="Arial" w:hAnsi="Arial" w:cs="Arial"/>
          <w:sz w:val="20"/>
          <w:szCs w:val="20"/>
        </w:rPr>
        <w:t xml:space="preserve">, with triglycerides as an independent risk factor for the disease </w:t>
      </w:r>
      <w:r w:rsidR="00990F80" w:rsidRPr="00DA09BA">
        <w:rPr>
          <w:rFonts w:ascii="Arial" w:hAnsi="Arial" w:cs="Arial"/>
          <w:sz w:val="20"/>
          <w:szCs w:val="20"/>
        </w:rPr>
        <w:t>(McBride, 2008; Xia et al, 2019)</w:t>
      </w:r>
      <w:r w:rsidRPr="00DA09BA">
        <w:rPr>
          <w:rFonts w:ascii="Arial" w:hAnsi="Arial" w:cs="Arial"/>
          <w:sz w:val="20"/>
          <w:szCs w:val="20"/>
        </w:rPr>
        <w:t xml:space="preserve">. Unfortunately, in addition to exposure to the petroleum hydrocarbons, </w:t>
      </w:r>
      <w:r w:rsidR="00944967" w:rsidRPr="00DA09BA">
        <w:rPr>
          <w:rFonts w:ascii="Arial" w:hAnsi="Arial" w:cs="Arial"/>
          <w:sz w:val="20"/>
          <w:szCs w:val="20"/>
        </w:rPr>
        <w:t xml:space="preserve">the </w:t>
      </w:r>
      <w:r w:rsidRPr="00DA09BA">
        <w:rPr>
          <w:rFonts w:ascii="Arial" w:hAnsi="Arial" w:cs="Arial"/>
          <w:sz w:val="20"/>
          <w:szCs w:val="20"/>
        </w:rPr>
        <w:t xml:space="preserve">majority of the subjects have reduced physical activities and depend on pre-formed foods (mainly fried foods that contain saturated fatty acids) for their daily meals. Since the work involves more standing and walking around, reduced physical </w:t>
      </w:r>
      <w:r w:rsidR="00944967" w:rsidRPr="00DA09BA">
        <w:rPr>
          <w:rFonts w:ascii="Arial" w:hAnsi="Arial" w:cs="Arial"/>
          <w:sz w:val="20"/>
          <w:szCs w:val="20"/>
        </w:rPr>
        <w:t>activity</w:t>
      </w:r>
      <w:r w:rsidRPr="00DA09BA">
        <w:rPr>
          <w:rFonts w:ascii="Arial" w:hAnsi="Arial" w:cs="Arial"/>
          <w:sz w:val="20"/>
          <w:szCs w:val="20"/>
        </w:rPr>
        <w:t xml:space="preserve"> will have little or no part to play in hyperlipidemia. Thus, consumption of saturated fatty acids and other factors will account for the hyperlipidemia. These factors include oxidative stress caused by the hydrocarbons and other lifestyles of the pump attendants</w:t>
      </w:r>
      <w:r w:rsidR="00944967" w:rsidRPr="00DA09BA">
        <w:rPr>
          <w:rFonts w:ascii="Arial" w:hAnsi="Arial" w:cs="Arial"/>
          <w:sz w:val="20"/>
          <w:szCs w:val="20"/>
        </w:rPr>
        <w:t>,</w:t>
      </w:r>
      <w:r w:rsidRPr="00DA09BA">
        <w:rPr>
          <w:rFonts w:ascii="Arial" w:hAnsi="Arial" w:cs="Arial"/>
          <w:sz w:val="20"/>
          <w:szCs w:val="20"/>
        </w:rPr>
        <w:t xml:space="preserve"> smoking</w:t>
      </w:r>
      <w:r w:rsidR="00944967" w:rsidRPr="00DA09BA">
        <w:rPr>
          <w:rFonts w:ascii="Arial" w:hAnsi="Arial" w:cs="Arial"/>
          <w:sz w:val="20"/>
          <w:szCs w:val="20"/>
        </w:rPr>
        <w:t>,</w:t>
      </w:r>
      <w:r w:rsidRPr="00DA09BA">
        <w:rPr>
          <w:rFonts w:ascii="Arial" w:hAnsi="Arial" w:cs="Arial"/>
          <w:sz w:val="20"/>
          <w:szCs w:val="20"/>
        </w:rPr>
        <w:t xml:space="preserve"> and alcohol consumption that contribute significantly to lipid peroxidation. While smoking is known to significantly increase total cholesterol and low-density lipoprotein levels in the blood </w:t>
      </w:r>
      <w:r w:rsidR="00FC091D" w:rsidRPr="00DA09BA">
        <w:rPr>
          <w:rFonts w:ascii="Arial" w:hAnsi="Arial" w:cs="Arial"/>
          <w:sz w:val="20"/>
          <w:szCs w:val="20"/>
        </w:rPr>
        <w:t>(Afshan et al, 2012)</w:t>
      </w:r>
      <w:r w:rsidRPr="00DA09BA">
        <w:rPr>
          <w:rFonts w:ascii="Arial" w:hAnsi="Arial" w:cs="Arial"/>
          <w:sz w:val="20"/>
          <w:szCs w:val="20"/>
        </w:rPr>
        <w:t>,</w:t>
      </w:r>
      <w:r w:rsidRPr="00DA09BA">
        <w:rPr>
          <w:rFonts w:ascii="Arial" w:hAnsi="Arial" w:cs="Arial"/>
          <w:sz w:val="20"/>
          <w:szCs w:val="20"/>
          <w:vertAlign w:val="superscript"/>
        </w:rPr>
        <w:t xml:space="preserve"> </w:t>
      </w:r>
      <w:r w:rsidRPr="00DA09BA">
        <w:rPr>
          <w:rFonts w:ascii="Arial" w:hAnsi="Arial" w:cs="Arial"/>
          <w:sz w:val="20"/>
          <w:szCs w:val="20"/>
        </w:rPr>
        <w:t xml:space="preserve">alcohol consumption, on the other hand, lowers </w:t>
      </w:r>
      <w:r w:rsidR="00944967" w:rsidRPr="00DA09BA">
        <w:rPr>
          <w:rFonts w:ascii="Arial" w:hAnsi="Arial" w:cs="Arial"/>
          <w:sz w:val="20"/>
          <w:szCs w:val="20"/>
        </w:rPr>
        <w:t>high-density</w:t>
      </w:r>
      <w:r w:rsidRPr="00DA09BA">
        <w:rPr>
          <w:rFonts w:ascii="Arial" w:hAnsi="Arial" w:cs="Arial"/>
          <w:sz w:val="20"/>
          <w:szCs w:val="20"/>
        </w:rPr>
        <w:t xml:space="preserve"> lipoprotein in the blood </w:t>
      </w:r>
      <w:r w:rsidR="00FC091D" w:rsidRPr="00DA09BA">
        <w:rPr>
          <w:rFonts w:ascii="Arial" w:hAnsi="Arial" w:cs="Arial"/>
          <w:sz w:val="20"/>
          <w:szCs w:val="20"/>
        </w:rPr>
        <w:t>(</w:t>
      </w:r>
      <w:proofErr w:type="spellStart"/>
      <w:r w:rsidR="00FC091D" w:rsidRPr="00DA09BA">
        <w:rPr>
          <w:rFonts w:ascii="Arial" w:hAnsi="Arial" w:cs="Arial"/>
          <w:sz w:val="20"/>
          <w:szCs w:val="20"/>
        </w:rPr>
        <w:t>Egbuonu</w:t>
      </w:r>
      <w:proofErr w:type="spellEnd"/>
      <w:r w:rsidR="00FC091D" w:rsidRPr="00DA09BA">
        <w:rPr>
          <w:rFonts w:ascii="Arial" w:hAnsi="Arial" w:cs="Arial"/>
          <w:sz w:val="20"/>
          <w:szCs w:val="20"/>
        </w:rPr>
        <w:t xml:space="preserve"> and </w:t>
      </w:r>
      <w:proofErr w:type="spellStart"/>
      <w:r w:rsidR="00FC091D" w:rsidRPr="00DA09BA">
        <w:rPr>
          <w:rFonts w:ascii="Arial" w:hAnsi="Arial" w:cs="Arial"/>
          <w:sz w:val="20"/>
          <w:szCs w:val="20"/>
        </w:rPr>
        <w:t>Ezeanyika</w:t>
      </w:r>
      <w:proofErr w:type="spellEnd"/>
      <w:r w:rsidR="00FC091D" w:rsidRPr="00DA09BA">
        <w:rPr>
          <w:rFonts w:ascii="Arial" w:hAnsi="Arial" w:cs="Arial"/>
          <w:sz w:val="20"/>
          <w:szCs w:val="20"/>
        </w:rPr>
        <w:t>, 2012)</w:t>
      </w:r>
      <w:r w:rsidRPr="00DA09BA">
        <w:rPr>
          <w:rFonts w:ascii="Arial" w:hAnsi="Arial" w:cs="Arial"/>
          <w:sz w:val="20"/>
          <w:szCs w:val="20"/>
        </w:rPr>
        <w:t xml:space="preserve">, all leading to </w:t>
      </w:r>
      <w:r w:rsidR="00944967" w:rsidRPr="00DA09BA">
        <w:rPr>
          <w:rFonts w:ascii="Arial" w:hAnsi="Arial" w:cs="Arial"/>
          <w:sz w:val="20"/>
          <w:szCs w:val="20"/>
        </w:rPr>
        <w:t xml:space="preserve">the </w:t>
      </w:r>
      <w:r w:rsidRPr="00DA09BA">
        <w:rPr>
          <w:rFonts w:ascii="Arial" w:hAnsi="Arial" w:cs="Arial"/>
          <w:sz w:val="20"/>
          <w:szCs w:val="20"/>
        </w:rPr>
        <w:t xml:space="preserve">development of cardiovascular disease. Again, the health implications of altered lipid profiles in petroleum pump attendants extend beyond dyslipidemia and cardiovascular diseases. Chronic exposure to toxic hydrocarbons also poses a risk </w:t>
      </w:r>
      <w:r w:rsidR="00944967" w:rsidRPr="00DA09BA">
        <w:rPr>
          <w:rFonts w:ascii="Arial" w:hAnsi="Arial" w:cs="Arial"/>
          <w:sz w:val="20"/>
          <w:szCs w:val="20"/>
        </w:rPr>
        <w:t>to</w:t>
      </w:r>
      <w:r w:rsidRPr="00DA09BA">
        <w:rPr>
          <w:rFonts w:ascii="Arial" w:hAnsi="Arial" w:cs="Arial"/>
          <w:sz w:val="20"/>
          <w:szCs w:val="20"/>
        </w:rPr>
        <w:t xml:space="preserve"> liver function since the liver is directly involved in lipid metabolism and detoxification </w:t>
      </w:r>
      <w:r w:rsidR="00FC091D" w:rsidRPr="00DA09BA">
        <w:rPr>
          <w:rFonts w:ascii="Arial" w:hAnsi="Arial" w:cs="Arial"/>
          <w:sz w:val="20"/>
          <w:szCs w:val="20"/>
        </w:rPr>
        <w:t>(</w:t>
      </w:r>
      <w:proofErr w:type="spellStart"/>
      <w:r w:rsidR="00F6633D">
        <w:rPr>
          <w:rFonts w:ascii="Arial" w:hAnsi="Arial" w:cs="Arial"/>
          <w:sz w:val="20"/>
          <w:szCs w:val="20"/>
        </w:rPr>
        <w:t>Asefaw</w:t>
      </w:r>
      <w:proofErr w:type="spellEnd"/>
      <w:r w:rsidR="00F6633D">
        <w:rPr>
          <w:rFonts w:ascii="Arial" w:hAnsi="Arial" w:cs="Arial"/>
          <w:sz w:val="20"/>
          <w:szCs w:val="20"/>
        </w:rPr>
        <w:t xml:space="preserve"> et al, 2020</w:t>
      </w:r>
      <w:r w:rsidR="00FC091D" w:rsidRPr="00DA09BA">
        <w:rPr>
          <w:rFonts w:ascii="Arial" w:hAnsi="Arial" w:cs="Arial"/>
          <w:sz w:val="20"/>
          <w:szCs w:val="20"/>
        </w:rPr>
        <w:t>)</w:t>
      </w:r>
      <w:r w:rsidRPr="00DA09BA">
        <w:rPr>
          <w:rFonts w:ascii="Arial" w:hAnsi="Arial" w:cs="Arial"/>
          <w:sz w:val="20"/>
          <w:szCs w:val="20"/>
        </w:rPr>
        <w:t xml:space="preserve">. Moreover, disrupted lipid metabolism can increase the likelihood of metabolic syndrome, which includes a cluster of conditions such as hypertension, insulin resistance, and central obesity </w:t>
      </w:r>
      <w:r w:rsidR="00FC091D" w:rsidRPr="00DA09BA">
        <w:rPr>
          <w:rFonts w:ascii="Arial" w:hAnsi="Arial" w:cs="Arial"/>
          <w:sz w:val="20"/>
          <w:szCs w:val="20"/>
        </w:rPr>
        <w:t>(Denisenko et al, 2020)</w:t>
      </w:r>
      <w:r w:rsidRPr="00DA09BA">
        <w:rPr>
          <w:rFonts w:ascii="Arial" w:hAnsi="Arial" w:cs="Arial"/>
          <w:sz w:val="20"/>
          <w:szCs w:val="20"/>
        </w:rPr>
        <w:t>.</w:t>
      </w:r>
    </w:p>
    <w:p w14:paraId="1259AFC1" w14:textId="4E30D054"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Correlation studies showed that while triglycerides and very </w:t>
      </w:r>
      <w:r w:rsidR="00944967" w:rsidRPr="00DA09BA">
        <w:rPr>
          <w:rFonts w:ascii="Arial" w:hAnsi="Arial" w:cs="Arial"/>
          <w:sz w:val="20"/>
          <w:szCs w:val="20"/>
        </w:rPr>
        <w:t>low-density</w:t>
      </w:r>
      <w:r w:rsidRPr="00DA09BA">
        <w:rPr>
          <w:rFonts w:ascii="Arial" w:hAnsi="Arial" w:cs="Arial"/>
          <w:sz w:val="20"/>
          <w:szCs w:val="20"/>
        </w:rPr>
        <w:t xml:space="preserve"> lipoproteins have </w:t>
      </w:r>
      <w:r w:rsidR="00944967" w:rsidRPr="00DA09BA">
        <w:rPr>
          <w:rFonts w:ascii="Arial" w:hAnsi="Arial" w:cs="Arial"/>
          <w:sz w:val="20"/>
          <w:szCs w:val="20"/>
        </w:rPr>
        <w:t xml:space="preserve">a </w:t>
      </w:r>
      <w:r w:rsidRPr="00DA09BA">
        <w:rPr>
          <w:rFonts w:ascii="Arial" w:hAnsi="Arial" w:cs="Arial"/>
          <w:sz w:val="20"/>
          <w:szCs w:val="20"/>
        </w:rPr>
        <w:t xml:space="preserve">positive correlation with work duration, </w:t>
      </w:r>
      <w:r w:rsidR="00944967" w:rsidRPr="00DA09BA">
        <w:rPr>
          <w:rFonts w:ascii="Arial" w:hAnsi="Arial" w:cs="Arial"/>
          <w:sz w:val="20"/>
          <w:szCs w:val="20"/>
        </w:rPr>
        <w:t>high-density</w:t>
      </w:r>
      <w:r w:rsidRPr="00DA09BA">
        <w:rPr>
          <w:rFonts w:ascii="Arial" w:hAnsi="Arial" w:cs="Arial"/>
          <w:sz w:val="20"/>
          <w:szCs w:val="20"/>
        </w:rPr>
        <w:t xml:space="preserve"> lipoprotein had </w:t>
      </w:r>
      <w:r w:rsidR="00944967" w:rsidRPr="00DA09BA">
        <w:rPr>
          <w:rFonts w:ascii="Arial" w:hAnsi="Arial" w:cs="Arial"/>
          <w:sz w:val="20"/>
          <w:szCs w:val="20"/>
        </w:rPr>
        <w:t xml:space="preserve">a </w:t>
      </w:r>
      <w:r w:rsidRPr="00DA09BA">
        <w:rPr>
          <w:rFonts w:ascii="Arial" w:hAnsi="Arial" w:cs="Arial"/>
          <w:sz w:val="20"/>
          <w:szCs w:val="20"/>
        </w:rPr>
        <w:t>negative correlation with work duration. How</w:t>
      </w:r>
      <w:r w:rsidR="00944967" w:rsidRPr="00DA09BA">
        <w:rPr>
          <w:rFonts w:ascii="Arial" w:hAnsi="Arial" w:cs="Arial"/>
          <w:sz w:val="20"/>
          <w:szCs w:val="20"/>
        </w:rPr>
        <w:t>ever, total cholesterol and low-</w:t>
      </w:r>
      <w:r w:rsidRPr="00DA09BA">
        <w:rPr>
          <w:rFonts w:ascii="Arial" w:hAnsi="Arial" w:cs="Arial"/>
          <w:sz w:val="20"/>
          <w:szCs w:val="20"/>
        </w:rPr>
        <w:t xml:space="preserve">density lipoprotein did not change significantly with work duration, but this may </w:t>
      </w:r>
      <w:r w:rsidR="006F56B1">
        <w:rPr>
          <w:rFonts w:ascii="Arial" w:hAnsi="Arial" w:cs="Arial"/>
          <w:sz w:val="20"/>
          <w:szCs w:val="20"/>
        </w:rPr>
        <w:t xml:space="preserve">probably </w:t>
      </w:r>
      <w:r w:rsidRPr="00DA09BA">
        <w:rPr>
          <w:rFonts w:ascii="Arial" w:hAnsi="Arial" w:cs="Arial"/>
          <w:sz w:val="20"/>
          <w:szCs w:val="20"/>
        </w:rPr>
        <w:t xml:space="preserve">change as work duration increases further. Moreover, because of their lipophilic nature, hydrocarbons are found in all internal organs, particularly adipose tissues </w:t>
      </w:r>
      <w:r w:rsidR="00FC091D" w:rsidRPr="00DA09BA">
        <w:rPr>
          <w:rFonts w:ascii="Arial" w:hAnsi="Arial" w:cs="Arial"/>
          <w:sz w:val="20"/>
          <w:szCs w:val="20"/>
        </w:rPr>
        <w:t>(Mallah et al, 2021)</w:t>
      </w:r>
      <w:r w:rsidRPr="00DA09BA">
        <w:rPr>
          <w:rFonts w:ascii="Arial" w:hAnsi="Arial" w:cs="Arial"/>
          <w:sz w:val="20"/>
          <w:szCs w:val="20"/>
        </w:rPr>
        <w:t xml:space="preserve">, and lipophilic substances are not easily excreted from the body and therefore </w:t>
      </w:r>
      <w:r w:rsidR="00944967" w:rsidRPr="00DA09BA">
        <w:rPr>
          <w:rFonts w:ascii="Arial" w:hAnsi="Arial" w:cs="Arial"/>
          <w:sz w:val="20"/>
          <w:szCs w:val="20"/>
        </w:rPr>
        <w:t>stay</w:t>
      </w:r>
      <w:r w:rsidRPr="00DA09BA">
        <w:rPr>
          <w:rFonts w:ascii="Arial" w:hAnsi="Arial" w:cs="Arial"/>
          <w:sz w:val="20"/>
          <w:szCs w:val="20"/>
        </w:rPr>
        <w:t xml:space="preserve"> long enough to perpetuate their adverse effects. These hydrocarbons are known to activate estrogen receptors and inhibit thyroid receptors </w:t>
      </w:r>
      <w:r w:rsidR="00FC091D" w:rsidRPr="00DA09BA">
        <w:rPr>
          <w:rFonts w:ascii="Arial" w:hAnsi="Arial" w:cs="Arial"/>
          <w:sz w:val="20"/>
          <w:szCs w:val="20"/>
        </w:rPr>
        <w:t>(Sun et al, 2008)</w:t>
      </w:r>
      <w:r w:rsidRPr="00DA09BA">
        <w:rPr>
          <w:rFonts w:ascii="Arial" w:hAnsi="Arial" w:cs="Arial"/>
          <w:sz w:val="20"/>
          <w:szCs w:val="20"/>
        </w:rPr>
        <w:t xml:space="preserve">, and can be regarded as environmental disruptors. They also inhibit DNA synthesis and expression, causing DNA derangements, including double-strand DNA distortion </w:t>
      </w:r>
      <w:r w:rsidR="00944967" w:rsidRPr="00DA09BA">
        <w:rPr>
          <w:rFonts w:ascii="Arial" w:hAnsi="Arial" w:cs="Arial"/>
          <w:sz w:val="20"/>
          <w:szCs w:val="20"/>
        </w:rPr>
        <w:t>(Bai et al, 2017; Liu et al, 2024</w:t>
      </w:r>
      <w:r w:rsidR="00FC091D" w:rsidRPr="00DA09BA">
        <w:rPr>
          <w:rFonts w:ascii="Arial" w:hAnsi="Arial" w:cs="Arial"/>
          <w:sz w:val="20"/>
          <w:szCs w:val="20"/>
        </w:rPr>
        <w:t>)</w:t>
      </w:r>
      <w:r w:rsidRPr="00DA09BA">
        <w:rPr>
          <w:rFonts w:ascii="Arial" w:hAnsi="Arial" w:cs="Arial"/>
          <w:sz w:val="20"/>
          <w:szCs w:val="20"/>
        </w:rPr>
        <w:t xml:space="preserve">. The positive correlation between work duration and these cardiovascular disease biomarkers places petroleum pump attendants </w:t>
      </w:r>
      <w:r w:rsidR="00944967" w:rsidRPr="00DA09BA">
        <w:rPr>
          <w:rFonts w:ascii="Arial" w:hAnsi="Arial" w:cs="Arial"/>
          <w:sz w:val="20"/>
          <w:szCs w:val="20"/>
        </w:rPr>
        <w:t>at</w:t>
      </w:r>
      <w:r w:rsidRPr="00DA09BA">
        <w:rPr>
          <w:rFonts w:ascii="Arial" w:hAnsi="Arial" w:cs="Arial"/>
          <w:sz w:val="20"/>
          <w:szCs w:val="20"/>
        </w:rPr>
        <w:t xml:space="preserve"> </w:t>
      </w:r>
      <w:r w:rsidR="00944967" w:rsidRPr="00DA09BA">
        <w:rPr>
          <w:rFonts w:ascii="Arial" w:hAnsi="Arial" w:cs="Arial"/>
          <w:sz w:val="20"/>
          <w:szCs w:val="20"/>
        </w:rPr>
        <w:t xml:space="preserve">a </w:t>
      </w:r>
      <w:r w:rsidRPr="00DA09BA">
        <w:rPr>
          <w:rFonts w:ascii="Arial" w:hAnsi="Arial" w:cs="Arial"/>
          <w:sz w:val="20"/>
          <w:szCs w:val="20"/>
        </w:rPr>
        <w:t xml:space="preserve">health disadvantage. </w:t>
      </w:r>
      <w:r w:rsidRPr="00DA09BA">
        <w:rPr>
          <w:rFonts w:ascii="Arial" w:hAnsi="Arial" w:cs="Arial"/>
          <w:sz w:val="20"/>
          <w:szCs w:val="20"/>
          <w:shd w:val="clear" w:color="auto" w:fill="FFFFFF"/>
        </w:rPr>
        <w:t xml:space="preserve">If DNA </w:t>
      </w:r>
      <w:r w:rsidR="00944967" w:rsidRPr="00DA09BA">
        <w:rPr>
          <w:rFonts w:ascii="Arial" w:hAnsi="Arial" w:cs="Arial"/>
          <w:sz w:val="20"/>
          <w:szCs w:val="20"/>
          <w:shd w:val="clear" w:color="auto" w:fill="FFFFFF"/>
        </w:rPr>
        <w:t>double-strand</w:t>
      </w:r>
      <w:r w:rsidRPr="00DA09BA">
        <w:rPr>
          <w:rFonts w:ascii="Arial" w:hAnsi="Arial" w:cs="Arial"/>
          <w:sz w:val="20"/>
          <w:szCs w:val="20"/>
          <w:shd w:val="clear" w:color="auto" w:fill="FFFFFF"/>
        </w:rPr>
        <w:t xml:space="preserve"> </w:t>
      </w:r>
      <w:r w:rsidR="00944967" w:rsidRPr="00DA09BA">
        <w:rPr>
          <w:rFonts w:ascii="Arial" w:hAnsi="Arial" w:cs="Arial"/>
          <w:sz w:val="20"/>
          <w:szCs w:val="20"/>
          <w:shd w:val="clear" w:color="auto" w:fill="FFFFFF"/>
        </w:rPr>
        <w:t>breaks</w:t>
      </w:r>
      <w:r w:rsidRPr="00DA09BA">
        <w:rPr>
          <w:rFonts w:ascii="Arial" w:hAnsi="Arial" w:cs="Arial"/>
          <w:sz w:val="20"/>
          <w:szCs w:val="20"/>
          <w:shd w:val="clear" w:color="auto" w:fill="FFFFFF"/>
        </w:rPr>
        <w:t xml:space="preserve"> </w:t>
      </w:r>
      <w:r w:rsidR="00944967" w:rsidRPr="00DA09BA">
        <w:rPr>
          <w:rFonts w:ascii="Arial" w:hAnsi="Arial" w:cs="Arial"/>
          <w:sz w:val="20"/>
          <w:szCs w:val="20"/>
          <w:shd w:val="clear" w:color="auto" w:fill="FFFFFF"/>
        </w:rPr>
        <w:t>are</w:t>
      </w:r>
      <w:r w:rsidRPr="00DA09BA">
        <w:rPr>
          <w:rFonts w:ascii="Arial" w:hAnsi="Arial" w:cs="Arial"/>
          <w:sz w:val="20"/>
          <w:szCs w:val="20"/>
          <w:shd w:val="clear" w:color="auto" w:fill="FFFFFF"/>
        </w:rPr>
        <w:t xml:space="preserve"> one of the mechanisms through which hydrocarbons can cause cardiovascular disease, then hydrocarbon toxicity will be one of the causes of familial cardiovascular disease. </w:t>
      </w:r>
      <w:r w:rsidRPr="00DA09BA">
        <w:rPr>
          <w:rFonts w:ascii="Arial" w:hAnsi="Arial" w:cs="Arial"/>
          <w:sz w:val="20"/>
          <w:szCs w:val="20"/>
        </w:rPr>
        <w:t xml:space="preserve">Not only that these workers have </w:t>
      </w:r>
      <w:r w:rsidR="00944967" w:rsidRPr="00DA09BA">
        <w:rPr>
          <w:rFonts w:ascii="Arial" w:hAnsi="Arial" w:cs="Arial"/>
          <w:sz w:val="20"/>
          <w:szCs w:val="20"/>
        </w:rPr>
        <w:t xml:space="preserve">a </w:t>
      </w:r>
      <w:r w:rsidRPr="00DA09BA">
        <w:rPr>
          <w:rFonts w:ascii="Arial" w:hAnsi="Arial" w:cs="Arial"/>
          <w:sz w:val="20"/>
          <w:szCs w:val="20"/>
        </w:rPr>
        <w:t xml:space="preserve">high probability of developing cardiovascular diseases later in life, especially if they work under such conditions till late adult life, but their offspring may inherit the distorted DNA and therefore the disease. This is possible </w:t>
      </w:r>
      <w:r w:rsidR="00FE1AF7" w:rsidRPr="00DA09BA">
        <w:rPr>
          <w:rFonts w:ascii="Arial" w:hAnsi="Arial" w:cs="Arial"/>
          <w:sz w:val="20"/>
          <w:szCs w:val="20"/>
        </w:rPr>
        <w:t>because earlier reviews of various studies have established a positive relationship between polycyclic aromatic hydrocarbons and cardiovascular disease risks, particularly</w:t>
      </w:r>
      <w:r w:rsidR="00944967" w:rsidRPr="00DA09BA">
        <w:rPr>
          <w:rFonts w:ascii="Arial" w:hAnsi="Arial" w:cs="Arial"/>
          <w:sz w:val="20"/>
          <w:szCs w:val="20"/>
        </w:rPr>
        <w:t xml:space="preserve"> in the elderly (Jia et al., 2012; Mallah et al., 2021</w:t>
      </w:r>
      <w:r w:rsidR="00FC091D" w:rsidRPr="00DA09BA">
        <w:rPr>
          <w:rFonts w:ascii="Arial" w:hAnsi="Arial" w:cs="Arial"/>
          <w:sz w:val="20"/>
          <w:szCs w:val="20"/>
        </w:rPr>
        <w:t>)</w:t>
      </w:r>
      <w:r w:rsidRPr="00DA09BA">
        <w:rPr>
          <w:rFonts w:ascii="Arial" w:hAnsi="Arial" w:cs="Arial"/>
          <w:sz w:val="20"/>
          <w:szCs w:val="20"/>
        </w:rPr>
        <w:t>. Therefore, if DNA damage is inheritable, then it is possible that the cause of DNA damage can cause inheritable diseases</w:t>
      </w:r>
      <w:r w:rsidR="00FE1AF7" w:rsidRPr="00DA09BA">
        <w:rPr>
          <w:rFonts w:ascii="Arial" w:hAnsi="Arial" w:cs="Arial"/>
          <w:sz w:val="20"/>
          <w:szCs w:val="20"/>
        </w:rPr>
        <w:t>,</w:t>
      </w:r>
      <w:r w:rsidRPr="00DA09BA">
        <w:rPr>
          <w:rFonts w:ascii="Arial" w:hAnsi="Arial" w:cs="Arial"/>
          <w:sz w:val="20"/>
          <w:szCs w:val="20"/>
        </w:rPr>
        <w:t xml:space="preserve"> familial cardiovascular diseases.</w:t>
      </w:r>
    </w:p>
    <w:p w14:paraId="15B8385D" w14:textId="77777777" w:rsidR="003F1C38" w:rsidRPr="00EE197C" w:rsidRDefault="003F1C38" w:rsidP="00EA53EB">
      <w:pPr>
        <w:pStyle w:val="ListParagraph"/>
        <w:numPr>
          <w:ilvl w:val="0"/>
          <w:numId w:val="5"/>
        </w:numPr>
        <w:spacing w:line="240" w:lineRule="auto"/>
        <w:jc w:val="both"/>
        <w:rPr>
          <w:rFonts w:ascii="Arial Rounded MT Bold" w:hAnsi="Arial Rounded MT Bold" w:cs="Arial"/>
          <w:b/>
        </w:rPr>
      </w:pPr>
      <w:r w:rsidRPr="00EE197C">
        <w:rPr>
          <w:rFonts w:ascii="Arial Rounded MT Bold" w:hAnsi="Arial Rounded MT Bold" w:cs="Arial"/>
          <w:b/>
        </w:rPr>
        <w:t>Conclusion</w:t>
      </w:r>
    </w:p>
    <w:p w14:paraId="5756F291" w14:textId="6296F84C" w:rsidR="003F1C38" w:rsidRPr="00DA09BA" w:rsidRDefault="003F1C38" w:rsidP="00EA53EB">
      <w:pPr>
        <w:spacing w:line="240" w:lineRule="auto"/>
        <w:jc w:val="both"/>
        <w:rPr>
          <w:rFonts w:ascii="Arial" w:hAnsi="Arial" w:cs="Arial"/>
          <w:sz w:val="20"/>
          <w:szCs w:val="20"/>
        </w:rPr>
      </w:pPr>
      <w:r w:rsidRPr="00DA09BA">
        <w:rPr>
          <w:rFonts w:ascii="Arial" w:hAnsi="Arial" w:cs="Arial"/>
          <w:sz w:val="20"/>
          <w:szCs w:val="20"/>
        </w:rPr>
        <w:t xml:space="preserve">There is </w:t>
      </w:r>
      <w:r w:rsidR="00FE1AF7" w:rsidRPr="00DA09BA">
        <w:rPr>
          <w:rFonts w:ascii="Arial" w:hAnsi="Arial" w:cs="Arial"/>
          <w:sz w:val="20"/>
          <w:szCs w:val="20"/>
        </w:rPr>
        <w:t xml:space="preserve">a </w:t>
      </w:r>
      <w:r w:rsidRPr="00DA09BA">
        <w:rPr>
          <w:rFonts w:ascii="Arial" w:hAnsi="Arial" w:cs="Arial"/>
          <w:sz w:val="20"/>
          <w:szCs w:val="20"/>
        </w:rPr>
        <w:t>significant increase in the levels of lipids and lipoprotei</w:t>
      </w:r>
      <w:r w:rsidR="00FA7810">
        <w:rPr>
          <w:rFonts w:ascii="Arial" w:hAnsi="Arial" w:cs="Arial"/>
          <w:sz w:val="20"/>
          <w:szCs w:val="20"/>
        </w:rPr>
        <w:t>ns in petroleum pump attendants</w:t>
      </w:r>
      <w:r w:rsidRPr="00DA09BA">
        <w:rPr>
          <w:rFonts w:ascii="Arial" w:hAnsi="Arial" w:cs="Arial"/>
          <w:sz w:val="20"/>
          <w:szCs w:val="20"/>
        </w:rPr>
        <w:t xml:space="preserve"> </w:t>
      </w:r>
      <w:r w:rsidR="00FA7810">
        <w:rPr>
          <w:rFonts w:ascii="Arial" w:hAnsi="Arial" w:cs="Arial"/>
          <w:sz w:val="20"/>
          <w:szCs w:val="20"/>
        </w:rPr>
        <w:t xml:space="preserve">(except HDL), </w:t>
      </w:r>
      <w:r w:rsidRPr="00DA09BA">
        <w:rPr>
          <w:rFonts w:ascii="Arial" w:hAnsi="Arial" w:cs="Arial"/>
          <w:sz w:val="20"/>
          <w:szCs w:val="20"/>
        </w:rPr>
        <w:t xml:space="preserve">which could be caused by different constituents of petroleum, especially the hydrocarbons. The effect of exposure to these petroleum contents increased with increasing frequency and duration of exposure. This can lead to many health complications affecting various body systems, especially the Heart and Liver. Unfortunately, these workers hardly use personal protective equipment while discharging their duties. It is pertinent that employers of this category of workers provide them with protective equipment like </w:t>
      </w:r>
      <w:r w:rsidR="00FE1AF7" w:rsidRPr="00DA09BA">
        <w:rPr>
          <w:rFonts w:ascii="Arial" w:hAnsi="Arial" w:cs="Arial"/>
          <w:sz w:val="20"/>
          <w:szCs w:val="20"/>
        </w:rPr>
        <w:t>overalls</w:t>
      </w:r>
      <w:r w:rsidRPr="00DA09BA">
        <w:rPr>
          <w:rFonts w:ascii="Arial" w:hAnsi="Arial" w:cs="Arial"/>
          <w:sz w:val="20"/>
          <w:szCs w:val="20"/>
        </w:rPr>
        <w:t>, aprons, nose masks</w:t>
      </w:r>
      <w:r w:rsidR="00FE1AF7" w:rsidRPr="00DA09BA">
        <w:rPr>
          <w:rFonts w:ascii="Arial" w:hAnsi="Arial" w:cs="Arial"/>
          <w:sz w:val="20"/>
          <w:szCs w:val="20"/>
        </w:rPr>
        <w:t>,</w:t>
      </w:r>
      <w:r w:rsidRPr="00DA09BA">
        <w:rPr>
          <w:rFonts w:ascii="Arial" w:hAnsi="Arial" w:cs="Arial"/>
          <w:sz w:val="20"/>
          <w:szCs w:val="20"/>
        </w:rPr>
        <w:t xml:space="preserve"> and gloves in addition to periodic health </w:t>
      </w:r>
      <w:r w:rsidR="00FE1AF7" w:rsidRPr="00DA09BA">
        <w:rPr>
          <w:rFonts w:ascii="Arial" w:hAnsi="Arial" w:cs="Arial"/>
          <w:sz w:val="20"/>
          <w:szCs w:val="20"/>
        </w:rPr>
        <w:t>assessments</w:t>
      </w:r>
      <w:r w:rsidRPr="00DA09BA">
        <w:rPr>
          <w:rFonts w:ascii="Arial" w:hAnsi="Arial" w:cs="Arial"/>
          <w:sz w:val="20"/>
          <w:szCs w:val="20"/>
        </w:rPr>
        <w:t xml:space="preserve"> of the workers for adequate monitoring of their health situation.</w:t>
      </w:r>
    </w:p>
    <w:p w14:paraId="3E6DCE98" w14:textId="2A2EEC39" w:rsidR="00EE197C" w:rsidRDefault="00EE197C" w:rsidP="00EE197C">
      <w:pPr>
        <w:spacing w:line="240" w:lineRule="auto"/>
        <w:jc w:val="both"/>
        <w:rPr>
          <w:rFonts w:ascii="Arial" w:hAnsi="Arial" w:cs="Arial"/>
          <w:sz w:val="20"/>
          <w:szCs w:val="20"/>
        </w:rPr>
      </w:pPr>
      <w:r w:rsidRPr="00DA09BA">
        <w:rPr>
          <w:rFonts w:ascii="Arial" w:hAnsi="Arial" w:cs="Arial"/>
          <w:b/>
          <w:sz w:val="20"/>
          <w:szCs w:val="20"/>
        </w:rPr>
        <w:t>Ethical clearance</w:t>
      </w:r>
      <w:r w:rsidR="00F65A9C">
        <w:rPr>
          <w:rFonts w:ascii="Arial" w:hAnsi="Arial" w:cs="Arial"/>
          <w:b/>
          <w:sz w:val="20"/>
          <w:szCs w:val="20"/>
        </w:rPr>
        <w:t xml:space="preserve"> and </w:t>
      </w:r>
      <w:r w:rsidR="00F65A9C" w:rsidRPr="00DA09BA">
        <w:rPr>
          <w:rFonts w:ascii="Arial" w:hAnsi="Arial" w:cs="Arial"/>
          <w:sz w:val="20"/>
          <w:szCs w:val="20"/>
        </w:rPr>
        <w:t>consents</w:t>
      </w:r>
      <w:r w:rsidRPr="00DA09BA">
        <w:rPr>
          <w:rFonts w:ascii="Arial" w:hAnsi="Arial" w:cs="Arial"/>
          <w:sz w:val="20"/>
          <w:szCs w:val="20"/>
        </w:rPr>
        <w:t>: Ethical clearance for this study was obtained from the Ethical Committee of the Faculty of Basic Medical Sciences, College of Medicine, Enugu State University of Science and Technology, Enugu, Nigeria</w:t>
      </w:r>
      <w:r w:rsidR="00BB49DA">
        <w:rPr>
          <w:rFonts w:ascii="Arial" w:hAnsi="Arial" w:cs="Arial"/>
          <w:sz w:val="20"/>
          <w:szCs w:val="20"/>
        </w:rPr>
        <w:t xml:space="preserve"> (ESUT/FBMS/EC/2024/078)</w:t>
      </w:r>
      <w:r w:rsidRPr="00DA09BA">
        <w:rPr>
          <w:rFonts w:ascii="Arial" w:hAnsi="Arial" w:cs="Arial"/>
          <w:sz w:val="20"/>
          <w:szCs w:val="20"/>
        </w:rPr>
        <w:t>. Subsequently, informed consents of the participants were sought and obtained from each subject after explaining the essence and procedure for the study.</w:t>
      </w:r>
    </w:p>
    <w:p w14:paraId="51ED4BFA" w14:textId="090C020B" w:rsidR="00C221F4" w:rsidRPr="00625540" w:rsidRDefault="00C221F4" w:rsidP="00C221F4">
      <w:pPr>
        <w:rPr>
          <w:rFonts w:ascii="Arial" w:eastAsia="Calibri" w:hAnsi="Arial" w:cs="Arial"/>
          <w:kern w:val="2"/>
          <w:sz w:val="20"/>
          <w:szCs w:val="20"/>
        </w:rPr>
      </w:pPr>
      <w:bookmarkStart w:id="0" w:name="_Hlk197682619"/>
      <w:bookmarkStart w:id="1" w:name="_Hlk180402183"/>
      <w:bookmarkStart w:id="2" w:name="_Hlk183680988"/>
      <w:r w:rsidRPr="00625540">
        <w:rPr>
          <w:rFonts w:ascii="Arial" w:eastAsia="Calibri" w:hAnsi="Arial" w:cs="Arial"/>
          <w:b/>
          <w:kern w:val="2"/>
          <w:sz w:val="20"/>
          <w:szCs w:val="20"/>
        </w:rPr>
        <w:lastRenderedPageBreak/>
        <w:t>Disclaimer (Artificial intelligence)</w:t>
      </w:r>
      <w:r w:rsidR="00625540" w:rsidRPr="00625540">
        <w:rPr>
          <w:rFonts w:ascii="Arial" w:eastAsia="Calibri" w:hAnsi="Arial" w:cs="Arial"/>
          <w:kern w:val="2"/>
          <w:sz w:val="20"/>
          <w:szCs w:val="20"/>
        </w:rPr>
        <w:t>: Author(s) hereby declare that NO generative AI technologies such as Large Language Models (</w:t>
      </w:r>
      <w:proofErr w:type="spellStart"/>
      <w:r w:rsidR="00625540" w:rsidRPr="00625540">
        <w:rPr>
          <w:rFonts w:ascii="Arial" w:eastAsia="Calibri" w:hAnsi="Arial" w:cs="Arial"/>
          <w:kern w:val="2"/>
          <w:sz w:val="20"/>
          <w:szCs w:val="20"/>
        </w:rPr>
        <w:t>ChatGPT</w:t>
      </w:r>
      <w:proofErr w:type="spellEnd"/>
      <w:r w:rsidR="00625540" w:rsidRPr="00625540">
        <w:rPr>
          <w:rFonts w:ascii="Arial" w:eastAsia="Calibri" w:hAnsi="Arial" w:cs="Arial"/>
          <w:kern w:val="2"/>
          <w:sz w:val="20"/>
          <w:szCs w:val="20"/>
        </w:rPr>
        <w:t>, COPILOT, etc.) and text-to-image generators have been used during the writing or editing of this manuscript.</w:t>
      </w:r>
    </w:p>
    <w:bookmarkEnd w:id="0"/>
    <w:bookmarkEnd w:id="1"/>
    <w:bookmarkEnd w:id="2"/>
    <w:p w14:paraId="11465310" w14:textId="77777777" w:rsidR="00C221F4" w:rsidRPr="00DA09BA" w:rsidRDefault="00C221F4" w:rsidP="00EE197C">
      <w:pPr>
        <w:spacing w:line="240" w:lineRule="auto"/>
        <w:jc w:val="both"/>
        <w:rPr>
          <w:rFonts w:ascii="Arial" w:hAnsi="Arial" w:cs="Arial"/>
          <w:b/>
          <w:sz w:val="20"/>
          <w:szCs w:val="20"/>
        </w:rPr>
      </w:pPr>
    </w:p>
    <w:p w14:paraId="159B74E3" w14:textId="77777777" w:rsidR="00DA09BA" w:rsidRPr="00DA09BA" w:rsidRDefault="00DA09BA" w:rsidP="00EA53EB">
      <w:pPr>
        <w:spacing w:line="240" w:lineRule="auto"/>
        <w:jc w:val="both"/>
        <w:rPr>
          <w:rFonts w:ascii="Arial" w:hAnsi="Arial" w:cs="Arial"/>
          <w:sz w:val="20"/>
          <w:szCs w:val="20"/>
        </w:rPr>
      </w:pPr>
    </w:p>
    <w:p w14:paraId="07DFEFE0" w14:textId="77777777" w:rsidR="003F1C38" w:rsidRPr="0019641D" w:rsidRDefault="003F1C38" w:rsidP="00EA53EB">
      <w:pPr>
        <w:spacing w:line="240" w:lineRule="auto"/>
        <w:jc w:val="both"/>
        <w:rPr>
          <w:rFonts w:ascii="Arial Rounded MT Bold" w:hAnsi="Arial Rounded MT Bold" w:cs="Times New Roman"/>
          <w:b/>
        </w:rPr>
      </w:pPr>
      <w:r w:rsidRPr="0019641D">
        <w:rPr>
          <w:rFonts w:ascii="Arial Rounded MT Bold" w:hAnsi="Arial Rounded MT Bold" w:cs="Times New Roman"/>
          <w:b/>
        </w:rPr>
        <w:t>References</w:t>
      </w:r>
    </w:p>
    <w:p w14:paraId="35021BD3" w14:textId="0336A6B0" w:rsidR="009C29CC" w:rsidRPr="008F735B" w:rsidRDefault="009C29CC" w:rsidP="008F735B">
      <w:pPr>
        <w:spacing w:line="240" w:lineRule="auto"/>
        <w:ind w:left="360"/>
        <w:jc w:val="both"/>
        <w:rPr>
          <w:rFonts w:ascii="Arial" w:hAnsi="Arial" w:cs="Arial"/>
          <w:sz w:val="20"/>
          <w:szCs w:val="20"/>
        </w:rPr>
      </w:pPr>
      <w:proofErr w:type="spellStart"/>
      <w:r w:rsidRPr="008F735B">
        <w:rPr>
          <w:rFonts w:ascii="Arial" w:hAnsi="Arial" w:cs="Arial"/>
          <w:sz w:val="20"/>
          <w:szCs w:val="20"/>
        </w:rPr>
        <w:t>Abou-ElWafa</w:t>
      </w:r>
      <w:proofErr w:type="spellEnd"/>
      <w:r w:rsidRPr="008F735B">
        <w:rPr>
          <w:rFonts w:ascii="Arial" w:hAnsi="Arial" w:cs="Arial"/>
          <w:sz w:val="20"/>
          <w:szCs w:val="20"/>
        </w:rPr>
        <w:t xml:space="preserve">, H. S., </w:t>
      </w:r>
      <w:proofErr w:type="spellStart"/>
      <w:r w:rsidRPr="008F735B">
        <w:rPr>
          <w:rFonts w:ascii="Arial" w:hAnsi="Arial" w:cs="Arial"/>
          <w:sz w:val="20"/>
          <w:szCs w:val="20"/>
        </w:rPr>
        <w:t>Albadry</w:t>
      </w:r>
      <w:proofErr w:type="spellEnd"/>
      <w:r w:rsidRPr="008F735B">
        <w:rPr>
          <w:rFonts w:ascii="Arial" w:hAnsi="Arial" w:cs="Arial"/>
          <w:sz w:val="20"/>
          <w:szCs w:val="20"/>
        </w:rPr>
        <w:t>, A. A., El-</w:t>
      </w:r>
      <w:proofErr w:type="spellStart"/>
      <w:r w:rsidRPr="008F735B">
        <w:rPr>
          <w:rFonts w:ascii="Arial" w:hAnsi="Arial" w:cs="Arial"/>
          <w:sz w:val="20"/>
          <w:szCs w:val="20"/>
        </w:rPr>
        <w:t>Gilany</w:t>
      </w:r>
      <w:proofErr w:type="spellEnd"/>
      <w:r w:rsidRPr="008F735B">
        <w:rPr>
          <w:rFonts w:ascii="Arial" w:hAnsi="Arial" w:cs="Arial"/>
          <w:sz w:val="20"/>
          <w:szCs w:val="20"/>
        </w:rPr>
        <w:t xml:space="preserve">, A. &amp; </w:t>
      </w:r>
      <w:proofErr w:type="spellStart"/>
      <w:r w:rsidRPr="008F735B">
        <w:rPr>
          <w:rFonts w:ascii="Arial" w:hAnsi="Arial" w:cs="Arial"/>
          <w:sz w:val="20"/>
          <w:szCs w:val="20"/>
        </w:rPr>
        <w:t>Fagr</w:t>
      </w:r>
      <w:proofErr w:type="spellEnd"/>
      <w:r w:rsidRPr="008F735B">
        <w:rPr>
          <w:rFonts w:ascii="Arial" w:hAnsi="Arial" w:cs="Arial"/>
          <w:sz w:val="20"/>
          <w:szCs w:val="20"/>
        </w:rPr>
        <w:t xml:space="preserve"> B. </w:t>
      </w:r>
      <w:proofErr w:type="spellStart"/>
      <w:r w:rsidRPr="008F735B">
        <w:rPr>
          <w:rFonts w:ascii="Arial" w:hAnsi="Arial" w:cs="Arial"/>
          <w:sz w:val="20"/>
          <w:szCs w:val="20"/>
        </w:rPr>
        <w:t>Bazeed</w:t>
      </w:r>
      <w:proofErr w:type="spellEnd"/>
      <w:r w:rsidRPr="008F735B">
        <w:rPr>
          <w:rFonts w:ascii="Arial" w:hAnsi="Arial" w:cs="Arial"/>
          <w:sz w:val="20"/>
          <w:szCs w:val="20"/>
        </w:rPr>
        <w:t xml:space="preserve">, F. B. (2015). Some Biochemical and </w:t>
      </w:r>
      <w:r w:rsidRPr="008F735B">
        <w:rPr>
          <w:rFonts w:ascii="Arial" w:hAnsi="Arial" w:cs="Arial"/>
          <w:sz w:val="20"/>
          <w:szCs w:val="20"/>
        </w:rPr>
        <w:tab/>
        <w:t xml:space="preserve">Hematological Parameters among Petrol Station Attendants: A Comparative Study. BioMed </w:t>
      </w:r>
      <w:r w:rsidRPr="008F735B">
        <w:rPr>
          <w:rFonts w:ascii="Arial" w:hAnsi="Arial" w:cs="Arial"/>
          <w:sz w:val="20"/>
          <w:szCs w:val="20"/>
        </w:rPr>
        <w:tab/>
        <w:t xml:space="preserve">Research International, Article ID 418724. </w:t>
      </w:r>
      <w:hyperlink r:id="rId7" w:history="1">
        <w:r w:rsidR="00382B28" w:rsidRPr="008F735B">
          <w:rPr>
            <w:rStyle w:val="Hyperlink"/>
            <w:rFonts w:ascii="Arial" w:hAnsi="Arial" w:cs="Arial"/>
            <w:color w:val="auto"/>
            <w:sz w:val="20"/>
            <w:szCs w:val="20"/>
            <w:u w:val="none"/>
          </w:rPr>
          <w:t>http://dx.doi.org/10.1155/2015/418724</w:t>
        </w:r>
      </w:hyperlink>
    </w:p>
    <w:p w14:paraId="7D6E9A79" w14:textId="50217711" w:rsidR="00382B28" w:rsidRPr="008F735B" w:rsidRDefault="00382B28" w:rsidP="008F735B">
      <w:pPr>
        <w:spacing w:line="240" w:lineRule="auto"/>
        <w:ind w:left="360"/>
        <w:jc w:val="both"/>
        <w:rPr>
          <w:rFonts w:ascii="Arial" w:hAnsi="Arial" w:cs="Arial"/>
          <w:sz w:val="20"/>
          <w:szCs w:val="20"/>
        </w:rPr>
      </w:pPr>
      <w:r w:rsidRPr="008F735B">
        <w:rPr>
          <w:rFonts w:ascii="Arial" w:hAnsi="Arial" w:cs="Arial"/>
          <w:sz w:val="20"/>
          <w:szCs w:val="20"/>
          <w:lang w:val="en-GB"/>
        </w:rPr>
        <w:t xml:space="preserve">Adekunle, E. D., Alex, O. T., &amp; </w:t>
      </w:r>
      <w:proofErr w:type="spellStart"/>
      <w:r w:rsidRPr="008F735B">
        <w:rPr>
          <w:rFonts w:ascii="Arial" w:hAnsi="Arial" w:cs="Arial"/>
          <w:sz w:val="20"/>
          <w:szCs w:val="20"/>
          <w:lang w:val="en-GB"/>
        </w:rPr>
        <w:t>Adedayo</w:t>
      </w:r>
      <w:proofErr w:type="spellEnd"/>
      <w:r w:rsidRPr="008F735B">
        <w:rPr>
          <w:rFonts w:ascii="Arial" w:hAnsi="Arial" w:cs="Arial"/>
          <w:sz w:val="20"/>
          <w:szCs w:val="20"/>
          <w:lang w:val="en-GB"/>
        </w:rPr>
        <w:t xml:space="preserve">, O. J. (2023). Occupational Health Hazards among Petrol Station </w:t>
      </w:r>
      <w:r w:rsidRPr="008F735B">
        <w:rPr>
          <w:rFonts w:ascii="Arial" w:hAnsi="Arial" w:cs="Arial"/>
          <w:sz w:val="20"/>
          <w:szCs w:val="20"/>
          <w:lang w:val="en-GB"/>
        </w:rPr>
        <w:tab/>
        <w:t xml:space="preserve">Workers in Ibadan, Oyo State, Nigeria. Asian Journal of Chemical Sciences, 13(6), 248–258. </w:t>
      </w:r>
      <w:r w:rsidRPr="008F735B">
        <w:rPr>
          <w:rFonts w:ascii="Arial" w:hAnsi="Arial" w:cs="Arial"/>
          <w:sz w:val="20"/>
          <w:szCs w:val="20"/>
          <w:lang w:val="en-GB"/>
        </w:rPr>
        <w:tab/>
        <w:t>https://doi.org/10.9734/ajocs/2023/v13i6278</w:t>
      </w:r>
    </w:p>
    <w:p w14:paraId="2CF23104"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Afshan, A., </w:t>
      </w:r>
      <w:proofErr w:type="spellStart"/>
      <w:r w:rsidRPr="008F735B">
        <w:rPr>
          <w:rFonts w:ascii="Arial" w:hAnsi="Arial" w:cs="Arial"/>
          <w:sz w:val="20"/>
          <w:szCs w:val="20"/>
        </w:rPr>
        <w:t>Sugoor</w:t>
      </w:r>
      <w:proofErr w:type="spellEnd"/>
      <w:r w:rsidRPr="008F735B">
        <w:rPr>
          <w:rFonts w:ascii="Arial" w:hAnsi="Arial" w:cs="Arial"/>
          <w:sz w:val="20"/>
          <w:szCs w:val="20"/>
        </w:rPr>
        <w:t xml:space="preserve">, M., Swati, I. A., </w:t>
      </w:r>
      <w:r w:rsidR="006C5ADD" w:rsidRPr="008F735B">
        <w:rPr>
          <w:rFonts w:ascii="Arial" w:hAnsi="Arial" w:cs="Arial"/>
          <w:sz w:val="20"/>
          <w:szCs w:val="20"/>
        </w:rPr>
        <w:t xml:space="preserve">&amp; </w:t>
      </w:r>
      <w:r w:rsidRPr="008F735B">
        <w:rPr>
          <w:rFonts w:ascii="Arial" w:hAnsi="Arial" w:cs="Arial"/>
          <w:sz w:val="20"/>
          <w:szCs w:val="20"/>
        </w:rPr>
        <w:t xml:space="preserve">Patil, R. B. (2012). A hospital based study on lipid profile in </w:t>
      </w:r>
      <w:r w:rsidR="0039293B" w:rsidRPr="008F735B">
        <w:rPr>
          <w:rFonts w:ascii="Arial" w:hAnsi="Arial" w:cs="Arial"/>
          <w:sz w:val="20"/>
          <w:szCs w:val="20"/>
        </w:rPr>
        <w:tab/>
      </w:r>
      <w:r w:rsidRPr="008F735B">
        <w:rPr>
          <w:rFonts w:ascii="Arial" w:hAnsi="Arial" w:cs="Arial"/>
          <w:sz w:val="20"/>
          <w:szCs w:val="20"/>
        </w:rPr>
        <w:t xml:space="preserve">smokers and non-smokers. </w:t>
      </w:r>
      <w:r w:rsidRPr="008F735B">
        <w:rPr>
          <w:rFonts w:ascii="Arial" w:hAnsi="Arial" w:cs="Arial"/>
          <w:iCs/>
          <w:sz w:val="20"/>
          <w:szCs w:val="20"/>
        </w:rPr>
        <w:t>J</w:t>
      </w:r>
      <w:r w:rsidR="006C5ADD" w:rsidRPr="008F735B">
        <w:rPr>
          <w:rFonts w:ascii="Arial" w:hAnsi="Arial" w:cs="Arial"/>
          <w:iCs/>
          <w:sz w:val="20"/>
          <w:szCs w:val="20"/>
        </w:rPr>
        <w:t>ournal of</w:t>
      </w:r>
      <w:r w:rsidRPr="008F735B">
        <w:rPr>
          <w:rFonts w:ascii="Arial" w:hAnsi="Arial" w:cs="Arial"/>
          <w:iCs/>
          <w:sz w:val="20"/>
          <w:szCs w:val="20"/>
        </w:rPr>
        <w:t xml:space="preserve"> Evolut</w:t>
      </w:r>
      <w:r w:rsidR="006C5ADD" w:rsidRPr="008F735B">
        <w:rPr>
          <w:rFonts w:ascii="Arial" w:hAnsi="Arial" w:cs="Arial"/>
          <w:iCs/>
          <w:sz w:val="20"/>
          <w:szCs w:val="20"/>
        </w:rPr>
        <w:t xml:space="preserve">ion </w:t>
      </w:r>
      <w:r w:rsidR="00F36C96" w:rsidRPr="008F735B">
        <w:rPr>
          <w:rFonts w:ascii="Arial" w:hAnsi="Arial" w:cs="Arial"/>
          <w:iCs/>
          <w:sz w:val="20"/>
          <w:szCs w:val="20"/>
        </w:rPr>
        <w:t>of</w:t>
      </w:r>
      <w:r w:rsidRPr="008F735B">
        <w:rPr>
          <w:rFonts w:ascii="Arial" w:hAnsi="Arial" w:cs="Arial"/>
          <w:iCs/>
          <w:sz w:val="20"/>
          <w:szCs w:val="20"/>
        </w:rPr>
        <w:t xml:space="preserve"> Med</w:t>
      </w:r>
      <w:r w:rsidR="006C5ADD" w:rsidRPr="008F735B">
        <w:rPr>
          <w:rFonts w:ascii="Arial" w:hAnsi="Arial" w:cs="Arial"/>
          <w:iCs/>
          <w:sz w:val="20"/>
          <w:szCs w:val="20"/>
        </w:rPr>
        <w:t>ical and</w:t>
      </w:r>
      <w:r w:rsidRPr="008F735B">
        <w:rPr>
          <w:rFonts w:ascii="Arial" w:hAnsi="Arial" w:cs="Arial"/>
          <w:iCs/>
          <w:sz w:val="20"/>
          <w:szCs w:val="20"/>
        </w:rPr>
        <w:t xml:space="preserve"> Dental Sci</w:t>
      </w:r>
      <w:r w:rsidR="006C5ADD" w:rsidRPr="008F735B">
        <w:rPr>
          <w:rFonts w:ascii="Arial" w:hAnsi="Arial" w:cs="Arial"/>
          <w:iCs/>
          <w:sz w:val="20"/>
          <w:szCs w:val="20"/>
        </w:rPr>
        <w:t>ence</w:t>
      </w:r>
      <w:r w:rsidR="00F36C96" w:rsidRPr="008F735B">
        <w:rPr>
          <w:rFonts w:ascii="Arial" w:hAnsi="Arial" w:cs="Arial"/>
          <w:iCs/>
          <w:sz w:val="20"/>
          <w:szCs w:val="20"/>
        </w:rPr>
        <w:t>s</w:t>
      </w:r>
      <w:r w:rsidR="006C5ADD" w:rsidRPr="008F735B">
        <w:rPr>
          <w:rFonts w:ascii="Arial" w:hAnsi="Arial" w:cs="Arial"/>
          <w:iCs/>
          <w:sz w:val="20"/>
          <w:szCs w:val="20"/>
        </w:rPr>
        <w:t>,</w:t>
      </w:r>
      <w:r w:rsidRPr="008F735B">
        <w:rPr>
          <w:rFonts w:ascii="Arial" w:hAnsi="Arial" w:cs="Arial"/>
          <w:iCs/>
          <w:sz w:val="20"/>
          <w:szCs w:val="20"/>
        </w:rPr>
        <w:t xml:space="preserve"> </w:t>
      </w:r>
      <w:r w:rsidRPr="008F735B">
        <w:rPr>
          <w:rFonts w:ascii="Arial" w:hAnsi="Arial" w:cs="Arial"/>
          <w:sz w:val="20"/>
          <w:szCs w:val="20"/>
        </w:rPr>
        <w:t>1:662-</w:t>
      </w:r>
      <w:r w:rsidR="00F36C96" w:rsidRPr="008F735B">
        <w:rPr>
          <w:rFonts w:ascii="Arial" w:hAnsi="Arial" w:cs="Arial"/>
          <w:sz w:val="20"/>
          <w:szCs w:val="20"/>
        </w:rPr>
        <w:t>66</w:t>
      </w:r>
      <w:r w:rsidRPr="008F735B">
        <w:rPr>
          <w:rFonts w:ascii="Arial" w:hAnsi="Arial" w:cs="Arial"/>
          <w:sz w:val="20"/>
          <w:szCs w:val="20"/>
        </w:rPr>
        <w:t>7.</w:t>
      </w:r>
      <w:r w:rsidR="00DE5F79" w:rsidRPr="008F735B">
        <w:rPr>
          <w:rFonts w:ascii="Arial" w:hAnsi="Arial" w:cs="Arial"/>
          <w:sz w:val="20"/>
          <w:szCs w:val="20"/>
        </w:rPr>
        <w:t xml:space="preserve"> </w:t>
      </w:r>
      <w:r w:rsidR="00DE5F79" w:rsidRPr="008F735B">
        <w:rPr>
          <w:rFonts w:ascii="Arial" w:hAnsi="Arial" w:cs="Arial"/>
          <w:sz w:val="20"/>
          <w:szCs w:val="20"/>
        </w:rPr>
        <w:tab/>
      </w:r>
      <w:hyperlink r:id="rId8" w:history="1">
        <w:r w:rsidR="00882F46" w:rsidRPr="008F735B">
          <w:rPr>
            <w:rStyle w:val="Hyperlink"/>
            <w:rFonts w:ascii="Arial" w:hAnsi="Arial" w:cs="Arial"/>
            <w:color w:val="auto"/>
            <w:sz w:val="20"/>
            <w:szCs w:val="20"/>
            <w:u w:val="none"/>
          </w:rPr>
          <w:t>https://jemds.com/data_pdf/1_Afroz</w:t>
        </w:r>
      </w:hyperlink>
      <w:r w:rsidR="00882F46" w:rsidRPr="008F735B">
        <w:rPr>
          <w:rFonts w:ascii="Arial" w:hAnsi="Arial" w:cs="Arial"/>
          <w:sz w:val="20"/>
          <w:szCs w:val="20"/>
        </w:rPr>
        <w:t xml:space="preserve"> </w:t>
      </w:r>
    </w:p>
    <w:p w14:paraId="5C682E34" w14:textId="5516EDE7" w:rsidR="00B26931" w:rsidRPr="008F735B" w:rsidRDefault="00B26931" w:rsidP="008F735B">
      <w:pPr>
        <w:spacing w:line="240" w:lineRule="auto"/>
        <w:ind w:left="360"/>
        <w:jc w:val="both"/>
        <w:rPr>
          <w:rFonts w:ascii="Arial" w:hAnsi="Arial" w:cs="Arial"/>
          <w:sz w:val="20"/>
          <w:szCs w:val="20"/>
        </w:rPr>
      </w:pPr>
      <w:r w:rsidRPr="008F735B">
        <w:rPr>
          <w:rStyle w:val="citation-doi"/>
          <w:rFonts w:ascii="Arial" w:hAnsi="Arial" w:cs="Arial"/>
          <w:color w:val="5B616B"/>
          <w:sz w:val="20"/>
          <w:szCs w:val="20"/>
          <w:shd w:val="clear" w:color="auto" w:fill="FFFFFF"/>
        </w:rPr>
        <w:t xml:space="preserve">Ali, F., Samira, R., </w:t>
      </w:r>
      <w:proofErr w:type="spellStart"/>
      <w:r w:rsidRPr="008F735B">
        <w:rPr>
          <w:rStyle w:val="citation-doi"/>
          <w:rFonts w:ascii="Arial" w:hAnsi="Arial" w:cs="Arial"/>
          <w:color w:val="5B616B"/>
          <w:sz w:val="20"/>
          <w:szCs w:val="20"/>
          <w:shd w:val="clear" w:color="auto" w:fill="FFFFFF"/>
        </w:rPr>
        <w:t>Abdolrasoul</w:t>
      </w:r>
      <w:proofErr w:type="spellEnd"/>
      <w:r w:rsidRPr="008F735B">
        <w:rPr>
          <w:rStyle w:val="citation-doi"/>
          <w:rFonts w:ascii="Arial" w:hAnsi="Arial" w:cs="Arial"/>
          <w:color w:val="5B616B"/>
          <w:sz w:val="20"/>
          <w:szCs w:val="20"/>
          <w:shd w:val="clear" w:color="auto" w:fill="FFFFFF"/>
        </w:rPr>
        <w:t xml:space="preserve">, R., Ali, P., Abbas, A &amp; </w:t>
      </w:r>
      <w:proofErr w:type="spellStart"/>
      <w:r w:rsidRPr="008F735B">
        <w:rPr>
          <w:rStyle w:val="citation-doi"/>
          <w:rFonts w:ascii="Arial" w:hAnsi="Arial" w:cs="Arial"/>
          <w:color w:val="5B616B"/>
          <w:sz w:val="20"/>
          <w:szCs w:val="20"/>
          <w:shd w:val="clear" w:color="auto" w:fill="FFFFFF"/>
        </w:rPr>
        <w:t>Razzzagh</w:t>
      </w:r>
      <w:proofErr w:type="spellEnd"/>
      <w:r w:rsidRPr="008F735B">
        <w:rPr>
          <w:rStyle w:val="citation-doi"/>
          <w:rFonts w:ascii="Arial" w:hAnsi="Arial" w:cs="Arial"/>
          <w:color w:val="5B616B"/>
          <w:sz w:val="20"/>
          <w:szCs w:val="20"/>
          <w:shd w:val="clear" w:color="auto" w:fill="FFFFFF"/>
        </w:rPr>
        <w:t xml:space="preserve"> R. (2022). </w:t>
      </w:r>
      <w:r w:rsidRPr="008F735B">
        <w:rPr>
          <w:rFonts w:ascii="Arial" w:hAnsi="Arial" w:cs="Arial"/>
          <w:color w:val="212121"/>
          <w:sz w:val="20"/>
          <w:szCs w:val="20"/>
        </w:rPr>
        <w:t xml:space="preserve">Effect of occupational exposure </w:t>
      </w:r>
      <w:r w:rsidRPr="008F735B">
        <w:rPr>
          <w:rFonts w:ascii="Arial" w:hAnsi="Arial" w:cs="Arial"/>
          <w:color w:val="212121"/>
          <w:sz w:val="20"/>
          <w:szCs w:val="20"/>
        </w:rPr>
        <w:tab/>
        <w:t xml:space="preserve">to lead on serum levels of lipid profile and liver enzymes: An occupational cohort study. </w:t>
      </w:r>
      <w:proofErr w:type="spellStart"/>
      <w:r w:rsidRPr="008F735B">
        <w:rPr>
          <w:rFonts w:ascii="Arial" w:hAnsi="Arial" w:cs="Arial"/>
          <w:color w:val="5B616B"/>
          <w:sz w:val="20"/>
          <w:szCs w:val="20"/>
        </w:rPr>
        <w:t>Toxicol</w:t>
      </w:r>
      <w:proofErr w:type="spellEnd"/>
      <w:r w:rsidRPr="008F735B">
        <w:rPr>
          <w:rFonts w:ascii="Arial" w:hAnsi="Arial" w:cs="Arial"/>
          <w:color w:val="5B616B"/>
          <w:sz w:val="20"/>
          <w:szCs w:val="20"/>
        </w:rPr>
        <w:t xml:space="preserve"> </w:t>
      </w:r>
      <w:r w:rsidRPr="008F735B">
        <w:rPr>
          <w:rFonts w:ascii="Arial" w:hAnsi="Arial" w:cs="Arial"/>
          <w:color w:val="5B616B"/>
          <w:sz w:val="20"/>
          <w:szCs w:val="20"/>
        </w:rPr>
        <w:tab/>
        <w:t>Rep</w:t>
      </w:r>
      <w:r w:rsidRPr="008F735B">
        <w:rPr>
          <w:rStyle w:val="period"/>
          <w:rFonts w:ascii="Arial" w:hAnsi="Arial" w:cs="Arial"/>
          <w:color w:val="0071BC"/>
          <w:sz w:val="20"/>
          <w:szCs w:val="20"/>
        </w:rPr>
        <w:t>,</w:t>
      </w:r>
      <w:r w:rsidRPr="008F735B">
        <w:rPr>
          <w:rStyle w:val="cit"/>
          <w:rFonts w:ascii="Arial" w:hAnsi="Arial" w:cs="Arial"/>
          <w:color w:val="5B616B"/>
          <w:sz w:val="20"/>
          <w:szCs w:val="20"/>
        </w:rPr>
        <w:t xml:space="preserve"> 26(9): 269-275. </w:t>
      </w:r>
      <w:r w:rsidRPr="008F735B">
        <w:rPr>
          <w:rFonts w:ascii="Arial" w:hAnsi="Arial" w:cs="Arial"/>
          <w:color w:val="212121"/>
          <w:sz w:val="20"/>
          <w:szCs w:val="20"/>
          <w:shd w:val="clear" w:color="auto" w:fill="FFFFFF"/>
        </w:rPr>
        <w:t> </w:t>
      </w:r>
      <w:proofErr w:type="spellStart"/>
      <w:proofErr w:type="gramStart"/>
      <w:r w:rsidRPr="008F735B">
        <w:rPr>
          <w:rStyle w:val="citation-doi"/>
          <w:rFonts w:ascii="Arial" w:hAnsi="Arial" w:cs="Arial"/>
          <w:color w:val="5B616B"/>
          <w:sz w:val="20"/>
          <w:szCs w:val="20"/>
          <w:shd w:val="clear" w:color="auto" w:fill="FFFFFF"/>
        </w:rPr>
        <w:t>doi</w:t>
      </w:r>
      <w:proofErr w:type="spellEnd"/>
      <w:proofErr w:type="gramEnd"/>
      <w:r w:rsidRPr="008F735B">
        <w:rPr>
          <w:rStyle w:val="citation-doi"/>
          <w:rFonts w:ascii="Arial" w:hAnsi="Arial" w:cs="Arial"/>
          <w:color w:val="5B616B"/>
          <w:sz w:val="20"/>
          <w:szCs w:val="20"/>
          <w:shd w:val="clear" w:color="auto" w:fill="FFFFFF"/>
        </w:rPr>
        <w:t>: 10.1016/j.toxrep.2022.02.009.</w:t>
      </w:r>
    </w:p>
    <w:p w14:paraId="342EFFC1" w14:textId="10ED7211" w:rsidR="00F6633D" w:rsidRPr="008F735B" w:rsidRDefault="00F6633D" w:rsidP="008F735B">
      <w:pPr>
        <w:shd w:val="clear" w:color="auto" w:fill="FFFFFF"/>
        <w:ind w:left="360"/>
        <w:jc w:val="both"/>
        <w:rPr>
          <w:rFonts w:ascii="Arial" w:hAnsi="Arial" w:cs="Arial"/>
          <w:sz w:val="20"/>
          <w:szCs w:val="20"/>
        </w:rPr>
      </w:pPr>
      <w:proofErr w:type="spellStart"/>
      <w:r w:rsidRPr="008F735B">
        <w:rPr>
          <w:rFonts w:ascii="Arial" w:hAnsi="Arial" w:cs="Arial"/>
          <w:sz w:val="20"/>
          <w:szCs w:val="20"/>
          <w:shd w:val="clear" w:color="auto" w:fill="FFFFFF"/>
        </w:rPr>
        <w:t>Asefaw</w:t>
      </w:r>
      <w:proofErr w:type="spellEnd"/>
      <w:r w:rsidRPr="008F735B">
        <w:rPr>
          <w:rFonts w:ascii="Arial" w:hAnsi="Arial" w:cs="Arial"/>
          <w:sz w:val="20"/>
          <w:szCs w:val="20"/>
          <w:shd w:val="clear" w:color="auto" w:fill="FFFFFF"/>
        </w:rPr>
        <w:t xml:space="preserve">, T., </w:t>
      </w:r>
      <w:proofErr w:type="spellStart"/>
      <w:r w:rsidRPr="008F735B">
        <w:rPr>
          <w:rFonts w:ascii="Arial" w:hAnsi="Arial" w:cs="Arial"/>
          <w:sz w:val="20"/>
          <w:szCs w:val="20"/>
          <w:shd w:val="clear" w:color="auto" w:fill="FFFFFF"/>
        </w:rPr>
        <w:t>Wolde</w:t>
      </w:r>
      <w:proofErr w:type="spellEnd"/>
      <w:r w:rsidRPr="008F735B">
        <w:rPr>
          <w:rFonts w:ascii="Arial" w:hAnsi="Arial" w:cs="Arial"/>
          <w:sz w:val="20"/>
          <w:szCs w:val="20"/>
          <w:shd w:val="clear" w:color="auto" w:fill="FFFFFF"/>
        </w:rPr>
        <w:t xml:space="preserve">, M., </w:t>
      </w:r>
      <w:proofErr w:type="spellStart"/>
      <w:r w:rsidRPr="008F735B">
        <w:rPr>
          <w:rFonts w:ascii="Arial" w:hAnsi="Arial" w:cs="Arial"/>
          <w:sz w:val="20"/>
          <w:szCs w:val="20"/>
          <w:shd w:val="clear" w:color="auto" w:fill="FFFFFF"/>
        </w:rPr>
        <w:t>Edao</w:t>
      </w:r>
      <w:proofErr w:type="spellEnd"/>
      <w:r w:rsidRPr="008F735B">
        <w:rPr>
          <w:rFonts w:ascii="Arial" w:hAnsi="Arial" w:cs="Arial"/>
          <w:sz w:val="20"/>
          <w:szCs w:val="20"/>
          <w:shd w:val="clear" w:color="auto" w:fill="FFFFFF"/>
        </w:rPr>
        <w:t xml:space="preserve">, A., </w:t>
      </w:r>
      <w:proofErr w:type="spellStart"/>
      <w:r w:rsidRPr="008F735B">
        <w:rPr>
          <w:rFonts w:ascii="Arial" w:hAnsi="Arial" w:cs="Arial"/>
          <w:sz w:val="20"/>
          <w:szCs w:val="20"/>
          <w:shd w:val="clear" w:color="auto" w:fill="FFFFFF"/>
        </w:rPr>
        <w:t>Tsegaye</w:t>
      </w:r>
      <w:proofErr w:type="spellEnd"/>
      <w:r w:rsidRPr="008F735B">
        <w:rPr>
          <w:rFonts w:ascii="Arial" w:hAnsi="Arial" w:cs="Arial"/>
          <w:sz w:val="20"/>
          <w:szCs w:val="20"/>
          <w:shd w:val="clear" w:color="auto" w:fill="FFFFFF"/>
        </w:rPr>
        <w:t xml:space="preserve">, A., </w:t>
      </w:r>
      <w:proofErr w:type="spellStart"/>
      <w:r w:rsidRPr="008F735B">
        <w:rPr>
          <w:rFonts w:ascii="Arial" w:hAnsi="Arial" w:cs="Arial"/>
          <w:sz w:val="20"/>
          <w:szCs w:val="20"/>
          <w:shd w:val="clear" w:color="auto" w:fill="FFFFFF"/>
        </w:rPr>
        <w:t>Teklu</w:t>
      </w:r>
      <w:proofErr w:type="spellEnd"/>
      <w:r w:rsidRPr="008F735B">
        <w:rPr>
          <w:rFonts w:ascii="Arial" w:hAnsi="Arial" w:cs="Arial"/>
          <w:sz w:val="20"/>
          <w:szCs w:val="20"/>
          <w:shd w:val="clear" w:color="auto" w:fill="FFFFFF"/>
        </w:rPr>
        <w:t xml:space="preserve">, G., </w:t>
      </w:r>
      <w:proofErr w:type="spellStart"/>
      <w:r w:rsidRPr="008F735B">
        <w:rPr>
          <w:rFonts w:ascii="Arial" w:hAnsi="Arial" w:cs="Arial"/>
          <w:sz w:val="20"/>
          <w:szCs w:val="20"/>
          <w:shd w:val="clear" w:color="auto" w:fill="FFFFFF"/>
        </w:rPr>
        <w:t>Tesfay</w:t>
      </w:r>
      <w:proofErr w:type="spellEnd"/>
      <w:r w:rsidRPr="008F735B">
        <w:rPr>
          <w:rFonts w:ascii="Arial" w:hAnsi="Arial" w:cs="Arial"/>
          <w:sz w:val="20"/>
          <w:szCs w:val="20"/>
          <w:shd w:val="clear" w:color="auto" w:fill="FFFFFF"/>
        </w:rPr>
        <w:t xml:space="preserve">, F. et al (2020). </w:t>
      </w:r>
      <w:r w:rsidRPr="008F735B">
        <w:rPr>
          <w:rFonts w:ascii="Arial" w:hAnsi="Arial" w:cs="Arial"/>
          <w:sz w:val="20"/>
          <w:szCs w:val="20"/>
        </w:rPr>
        <w:t xml:space="preserve">Assessment of liver and </w:t>
      </w:r>
      <w:r w:rsidRPr="008F735B">
        <w:rPr>
          <w:rFonts w:ascii="Arial" w:hAnsi="Arial" w:cs="Arial"/>
          <w:sz w:val="20"/>
          <w:szCs w:val="20"/>
        </w:rPr>
        <w:tab/>
        <w:t xml:space="preserve">renal function tests among gasoline exposed gas station workers in Mekelle city, Tigray region, </w:t>
      </w:r>
      <w:r w:rsidRPr="008F735B">
        <w:rPr>
          <w:rFonts w:ascii="Arial" w:hAnsi="Arial" w:cs="Arial"/>
          <w:sz w:val="20"/>
          <w:szCs w:val="20"/>
        </w:rPr>
        <w:tab/>
        <w:t xml:space="preserve">Northern Ethiopia. </w:t>
      </w:r>
      <w:proofErr w:type="spellStart"/>
      <w:r w:rsidRPr="008F735B">
        <w:rPr>
          <w:rFonts w:ascii="Arial" w:hAnsi="Arial" w:cs="Arial"/>
          <w:sz w:val="20"/>
          <w:szCs w:val="20"/>
        </w:rPr>
        <w:t>PLoS</w:t>
      </w:r>
      <w:proofErr w:type="spellEnd"/>
      <w:r w:rsidRPr="008F735B">
        <w:rPr>
          <w:rFonts w:ascii="Arial" w:hAnsi="Arial" w:cs="Arial"/>
          <w:sz w:val="20"/>
          <w:szCs w:val="20"/>
        </w:rPr>
        <w:t xml:space="preserve"> One, </w:t>
      </w:r>
      <w:r w:rsidRPr="008F735B">
        <w:rPr>
          <w:rFonts w:ascii="Arial" w:hAnsi="Arial" w:cs="Arial"/>
          <w:sz w:val="20"/>
          <w:szCs w:val="20"/>
          <w:shd w:val="clear" w:color="auto" w:fill="FFFFFF"/>
        </w:rPr>
        <w:t xml:space="preserve">9: 15(10):e0239716. </w:t>
      </w:r>
      <w:proofErr w:type="spellStart"/>
      <w:proofErr w:type="gramStart"/>
      <w:r w:rsidRPr="008F735B">
        <w:rPr>
          <w:rFonts w:ascii="Arial" w:hAnsi="Arial" w:cs="Arial"/>
          <w:sz w:val="20"/>
          <w:szCs w:val="20"/>
          <w:shd w:val="clear" w:color="auto" w:fill="FFFFFF"/>
        </w:rPr>
        <w:t>doi</w:t>
      </w:r>
      <w:proofErr w:type="spellEnd"/>
      <w:proofErr w:type="gramEnd"/>
      <w:r w:rsidRPr="008F735B">
        <w:rPr>
          <w:rFonts w:ascii="Arial" w:hAnsi="Arial" w:cs="Arial"/>
          <w:sz w:val="20"/>
          <w:szCs w:val="20"/>
          <w:shd w:val="clear" w:color="auto" w:fill="FFFFFF"/>
        </w:rPr>
        <w:t>: </w:t>
      </w:r>
      <w:hyperlink r:id="rId9" w:tgtFrame="_blank" w:history="1">
        <w:r w:rsidRPr="008F735B">
          <w:rPr>
            <w:rStyle w:val="Hyperlink"/>
            <w:rFonts w:ascii="Arial" w:hAnsi="Arial" w:cs="Arial"/>
            <w:color w:val="auto"/>
            <w:sz w:val="20"/>
            <w:szCs w:val="20"/>
            <w:u w:val="none"/>
            <w:shd w:val="clear" w:color="auto" w:fill="FFFFFF"/>
          </w:rPr>
          <w:t>10.1371/journal.pone.0239716</w:t>
        </w:r>
      </w:hyperlink>
    </w:p>
    <w:p w14:paraId="624F253E"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Avci, E., </w:t>
      </w:r>
      <w:proofErr w:type="spellStart"/>
      <w:r w:rsidRPr="008F735B">
        <w:rPr>
          <w:rFonts w:ascii="Arial" w:hAnsi="Arial" w:cs="Arial"/>
          <w:sz w:val="20"/>
          <w:szCs w:val="20"/>
        </w:rPr>
        <w:t>Dolapoglu</w:t>
      </w:r>
      <w:proofErr w:type="spellEnd"/>
      <w:r w:rsidRPr="008F735B">
        <w:rPr>
          <w:rFonts w:ascii="Arial" w:hAnsi="Arial" w:cs="Arial"/>
          <w:sz w:val="20"/>
          <w:szCs w:val="20"/>
        </w:rPr>
        <w:t xml:space="preserve">, A., </w:t>
      </w:r>
      <w:r w:rsidR="006C5ADD" w:rsidRPr="008F735B">
        <w:rPr>
          <w:rFonts w:ascii="Arial" w:hAnsi="Arial" w:cs="Arial"/>
          <w:sz w:val="20"/>
          <w:szCs w:val="20"/>
        </w:rPr>
        <w:t xml:space="preserve">&amp; </w:t>
      </w:r>
      <w:r w:rsidRPr="008F735B">
        <w:rPr>
          <w:rFonts w:ascii="Arial" w:hAnsi="Arial" w:cs="Arial"/>
          <w:sz w:val="20"/>
          <w:szCs w:val="20"/>
        </w:rPr>
        <w:t xml:space="preserve">Akgun, D. E. (2021). Role of cholesterol as a risk factor in cardiovascular </w:t>
      </w:r>
      <w:r w:rsidR="0039293B" w:rsidRPr="008F735B">
        <w:rPr>
          <w:rFonts w:ascii="Arial" w:hAnsi="Arial" w:cs="Arial"/>
          <w:sz w:val="20"/>
          <w:szCs w:val="20"/>
        </w:rPr>
        <w:tab/>
      </w:r>
      <w:r w:rsidRPr="008F735B">
        <w:rPr>
          <w:rFonts w:ascii="Arial" w:hAnsi="Arial" w:cs="Arial"/>
          <w:sz w:val="20"/>
          <w:szCs w:val="20"/>
        </w:rPr>
        <w:t xml:space="preserve">diseases. </w:t>
      </w:r>
      <w:proofErr w:type="spellStart"/>
      <w:proofErr w:type="gramStart"/>
      <w:r w:rsidRPr="008F735B">
        <w:rPr>
          <w:rFonts w:ascii="Arial" w:hAnsi="Arial" w:cs="Arial"/>
          <w:sz w:val="20"/>
          <w:szCs w:val="20"/>
        </w:rPr>
        <w:t>intechOpen</w:t>
      </w:r>
      <w:proofErr w:type="spellEnd"/>
      <w:proofErr w:type="gramEnd"/>
      <w:r w:rsidRPr="008F735B">
        <w:rPr>
          <w:rFonts w:ascii="Arial" w:hAnsi="Arial" w:cs="Arial"/>
          <w:sz w:val="20"/>
          <w:szCs w:val="20"/>
        </w:rPr>
        <w:t xml:space="preserve"> Book Series, November 05, 2018, </w:t>
      </w:r>
      <w:r w:rsidR="0039293B" w:rsidRPr="008F735B">
        <w:rPr>
          <w:rFonts w:ascii="Arial" w:hAnsi="Arial" w:cs="Arial"/>
          <w:sz w:val="20"/>
          <w:szCs w:val="20"/>
        </w:rPr>
        <w:tab/>
      </w:r>
      <w:hyperlink r:id="rId10" w:history="1">
        <w:r w:rsidRPr="008F735B">
          <w:rPr>
            <w:rStyle w:val="Hyperlink"/>
            <w:rFonts w:ascii="Arial" w:hAnsi="Arial" w:cs="Arial"/>
            <w:color w:val="auto"/>
            <w:sz w:val="20"/>
            <w:szCs w:val="20"/>
            <w:u w:val="none"/>
          </w:rPr>
          <w:t>https://www.intechopen.com/chapters/61333</w:t>
        </w:r>
      </w:hyperlink>
      <w:r w:rsidRPr="008F735B">
        <w:rPr>
          <w:rFonts w:ascii="Arial" w:hAnsi="Arial" w:cs="Arial"/>
          <w:sz w:val="20"/>
          <w:szCs w:val="20"/>
        </w:rPr>
        <w:t xml:space="preserve"> (accessed 5/11/2021)</w:t>
      </w:r>
    </w:p>
    <w:p w14:paraId="11549D9C" w14:textId="77777777" w:rsidR="00DF1102" w:rsidRPr="008F735B" w:rsidRDefault="00DF1102" w:rsidP="008F735B">
      <w:pPr>
        <w:spacing w:line="240" w:lineRule="auto"/>
        <w:ind w:left="360"/>
        <w:jc w:val="both"/>
        <w:rPr>
          <w:rFonts w:ascii="Arial" w:hAnsi="Arial" w:cs="Arial"/>
          <w:sz w:val="20"/>
          <w:szCs w:val="20"/>
        </w:rPr>
      </w:pPr>
      <w:proofErr w:type="spellStart"/>
      <w:r w:rsidRPr="008F735B">
        <w:rPr>
          <w:rFonts w:ascii="Arial" w:hAnsi="Arial" w:cs="Arial"/>
          <w:sz w:val="20"/>
          <w:szCs w:val="20"/>
        </w:rPr>
        <w:t>Awosan</w:t>
      </w:r>
      <w:proofErr w:type="spellEnd"/>
      <w:r w:rsidRPr="008F735B">
        <w:rPr>
          <w:rFonts w:ascii="Arial" w:hAnsi="Arial" w:cs="Arial"/>
          <w:sz w:val="20"/>
          <w:szCs w:val="20"/>
        </w:rPr>
        <w:t xml:space="preserve">, K. J., Ibrahim, M. T., </w:t>
      </w:r>
      <w:r w:rsidR="006C5ADD" w:rsidRPr="008F735B">
        <w:rPr>
          <w:rFonts w:ascii="Arial" w:hAnsi="Arial" w:cs="Arial"/>
          <w:sz w:val="20"/>
          <w:szCs w:val="20"/>
        </w:rPr>
        <w:t xml:space="preserve">&amp; </w:t>
      </w:r>
      <w:r w:rsidRPr="008F735B">
        <w:rPr>
          <w:rFonts w:ascii="Arial" w:hAnsi="Arial" w:cs="Arial"/>
          <w:sz w:val="20"/>
          <w:szCs w:val="20"/>
        </w:rPr>
        <w:t xml:space="preserve">Yunusa, U. (2017). Dyslipidemia among petrol station workers in </w:t>
      </w:r>
      <w:r w:rsidR="0039293B" w:rsidRPr="008F735B">
        <w:rPr>
          <w:rFonts w:ascii="Arial" w:hAnsi="Arial" w:cs="Arial"/>
          <w:sz w:val="20"/>
          <w:szCs w:val="20"/>
        </w:rPr>
        <w:tab/>
      </w:r>
      <w:r w:rsidRPr="008F735B">
        <w:rPr>
          <w:rFonts w:ascii="Arial" w:hAnsi="Arial" w:cs="Arial"/>
          <w:sz w:val="20"/>
          <w:szCs w:val="20"/>
        </w:rPr>
        <w:t xml:space="preserve">Sokoto, </w:t>
      </w:r>
      <w:r w:rsidR="00882F46" w:rsidRPr="008F735B">
        <w:rPr>
          <w:rFonts w:ascii="Arial" w:hAnsi="Arial" w:cs="Arial"/>
          <w:sz w:val="20"/>
          <w:szCs w:val="20"/>
        </w:rPr>
        <w:tab/>
      </w:r>
      <w:r w:rsidRPr="008F735B">
        <w:rPr>
          <w:rFonts w:ascii="Arial" w:hAnsi="Arial" w:cs="Arial"/>
          <w:sz w:val="20"/>
          <w:szCs w:val="20"/>
        </w:rPr>
        <w:t xml:space="preserve">Nigeria. </w:t>
      </w:r>
      <w:r w:rsidRPr="008F735B">
        <w:rPr>
          <w:rFonts w:ascii="Arial" w:hAnsi="Arial" w:cs="Arial"/>
          <w:iCs/>
          <w:sz w:val="20"/>
          <w:szCs w:val="20"/>
        </w:rPr>
        <w:t>J</w:t>
      </w:r>
      <w:r w:rsidR="006C5ADD" w:rsidRPr="008F735B">
        <w:rPr>
          <w:rFonts w:ascii="Arial" w:hAnsi="Arial" w:cs="Arial"/>
          <w:iCs/>
          <w:sz w:val="20"/>
          <w:szCs w:val="20"/>
        </w:rPr>
        <w:t xml:space="preserve">ournal of </w:t>
      </w:r>
      <w:r w:rsidRPr="008F735B">
        <w:rPr>
          <w:rFonts w:ascii="Arial" w:hAnsi="Arial" w:cs="Arial"/>
          <w:iCs/>
          <w:sz w:val="20"/>
          <w:szCs w:val="20"/>
        </w:rPr>
        <w:t>Clin</w:t>
      </w:r>
      <w:r w:rsidR="006C5ADD" w:rsidRPr="008F735B">
        <w:rPr>
          <w:rFonts w:ascii="Arial" w:hAnsi="Arial" w:cs="Arial"/>
          <w:iCs/>
          <w:sz w:val="20"/>
          <w:szCs w:val="20"/>
        </w:rPr>
        <w:t>ical</w:t>
      </w:r>
      <w:r w:rsidRPr="008F735B">
        <w:rPr>
          <w:rFonts w:ascii="Arial" w:hAnsi="Arial" w:cs="Arial"/>
          <w:iCs/>
          <w:sz w:val="20"/>
          <w:szCs w:val="20"/>
        </w:rPr>
        <w:t xml:space="preserve"> Lipidol</w:t>
      </w:r>
      <w:r w:rsidR="006C5ADD" w:rsidRPr="008F735B">
        <w:rPr>
          <w:rFonts w:ascii="Arial" w:hAnsi="Arial" w:cs="Arial"/>
          <w:iCs/>
          <w:sz w:val="20"/>
          <w:szCs w:val="20"/>
        </w:rPr>
        <w:t>ogy,</w:t>
      </w:r>
      <w:r w:rsidRPr="008F735B">
        <w:rPr>
          <w:rFonts w:ascii="Arial" w:hAnsi="Arial" w:cs="Arial"/>
          <w:sz w:val="20"/>
          <w:szCs w:val="20"/>
        </w:rPr>
        <w:t xml:space="preserve"> 11(2):362-371.</w:t>
      </w:r>
    </w:p>
    <w:p w14:paraId="762F143A"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color w:val="444444"/>
          <w:sz w:val="20"/>
          <w:szCs w:val="20"/>
          <w:highlight w:val="yellow"/>
        </w:rPr>
        <w:t xml:space="preserve">Bai, H., Wu, M., Zhang, H., </w:t>
      </w:r>
      <w:r w:rsidR="006C5ADD" w:rsidRPr="008F735B">
        <w:rPr>
          <w:rFonts w:ascii="Arial" w:hAnsi="Arial" w:cs="Arial"/>
          <w:color w:val="444444"/>
          <w:sz w:val="20"/>
          <w:szCs w:val="20"/>
          <w:highlight w:val="yellow"/>
        </w:rPr>
        <w:t xml:space="preserve">&amp; </w:t>
      </w:r>
      <w:r w:rsidRPr="008F735B">
        <w:rPr>
          <w:rFonts w:ascii="Arial" w:hAnsi="Arial" w:cs="Arial"/>
          <w:color w:val="444444"/>
          <w:sz w:val="20"/>
          <w:szCs w:val="20"/>
          <w:highlight w:val="yellow"/>
        </w:rPr>
        <w:t xml:space="preserve">Tang, G. (2017). Chronic polycyclic aromatic hydrocarbon exposure </w:t>
      </w:r>
      <w:r w:rsidR="0039293B" w:rsidRPr="008F735B">
        <w:rPr>
          <w:rFonts w:ascii="Arial" w:hAnsi="Arial" w:cs="Arial"/>
          <w:color w:val="444444"/>
          <w:sz w:val="20"/>
          <w:szCs w:val="20"/>
          <w:highlight w:val="yellow"/>
        </w:rPr>
        <w:tab/>
      </w:r>
      <w:r w:rsidRPr="008F735B">
        <w:rPr>
          <w:rFonts w:ascii="Arial" w:hAnsi="Arial" w:cs="Arial"/>
          <w:color w:val="444444"/>
          <w:sz w:val="20"/>
          <w:szCs w:val="20"/>
          <w:highlight w:val="yellow"/>
        </w:rPr>
        <w:t xml:space="preserve">causes DNA damage and genomic instability in lung epithelial cells. </w:t>
      </w:r>
      <w:proofErr w:type="spellStart"/>
      <w:r w:rsidRPr="008F735B">
        <w:rPr>
          <w:rFonts w:ascii="Arial" w:hAnsi="Arial" w:cs="Arial"/>
          <w:color w:val="444444"/>
          <w:sz w:val="20"/>
          <w:szCs w:val="20"/>
          <w:highlight w:val="yellow"/>
        </w:rPr>
        <w:t>Oncotarget</w:t>
      </w:r>
      <w:proofErr w:type="spellEnd"/>
      <w:r w:rsidR="006C5ADD" w:rsidRPr="008F735B">
        <w:rPr>
          <w:rFonts w:ascii="Arial" w:hAnsi="Arial" w:cs="Arial"/>
          <w:color w:val="444444"/>
          <w:sz w:val="20"/>
          <w:szCs w:val="20"/>
          <w:highlight w:val="yellow"/>
        </w:rPr>
        <w:t>,</w:t>
      </w:r>
      <w:r w:rsidRPr="008F735B">
        <w:rPr>
          <w:rFonts w:ascii="Arial" w:hAnsi="Arial" w:cs="Arial"/>
          <w:color w:val="444444"/>
          <w:sz w:val="20"/>
          <w:szCs w:val="20"/>
          <w:highlight w:val="yellow"/>
        </w:rPr>
        <w:t xml:space="preserve"> 8(15): </w:t>
      </w:r>
      <w:r w:rsidR="0039293B" w:rsidRPr="008F735B">
        <w:rPr>
          <w:rFonts w:ascii="Arial" w:hAnsi="Arial" w:cs="Arial"/>
          <w:color w:val="444444"/>
          <w:sz w:val="20"/>
          <w:szCs w:val="20"/>
          <w:highlight w:val="yellow"/>
        </w:rPr>
        <w:tab/>
      </w:r>
      <w:r w:rsidRPr="008F735B">
        <w:rPr>
          <w:rFonts w:ascii="Arial" w:hAnsi="Arial" w:cs="Arial"/>
          <w:color w:val="444444"/>
          <w:sz w:val="20"/>
          <w:szCs w:val="20"/>
          <w:highlight w:val="yellow"/>
        </w:rPr>
        <w:t>79034-</w:t>
      </w:r>
      <w:r w:rsidR="00CF38BB" w:rsidRPr="008F735B">
        <w:rPr>
          <w:rFonts w:ascii="Arial" w:hAnsi="Arial" w:cs="Arial"/>
          <w:color w:val="444444"/>
          <w:sz w:val="20"/>
          <w:szCs w:val="20"/>
          <w:highlight w:val="yellow"/>
        </w:rPr>
        <w:tab/>
      </w:r>
      <w:r w:rsidRPr="008F735B">
        <w:rPr>
          <w:rFonts w:ascii="Arial" w:hAnsi="Arial" w:cs="Arial"/>
          <w:color w:val="444444"/>
          <w:sz w:val="20"/>
          <w:szCs w:val="20"/>
          <w:highlight w:val="yellow"/>
        </w:rPr>
        <w:t>79045.</w:t>
      </w:r>
      <w:r w:rsidR="00CF38BB" w:rsidRPr="008F735B">
        <w:rPr>
          <w:rFonts w:ascii="Arial" w:hAnsi="Arial" w:cs="Arial"/>
          <w:color w:val="444444"/>
          <w:sz w:val="20"/>
          <w:szCs w:val="20"/>
          <w:highlight w:val="yellow"/>
        </w:rPr>
        <w:t xml:space="preserve"> </w:t>
      </w:r>
      <w:proofErr w:type="spellStart"/>
      <w:proofErr w:type="gramStart"/>
      <w:r w:rsidR="00CF38BB" w:rsidRPr="008F735B">
        <w:rPr>
          <w:rFonts w:ascii="Arial" w:hAnsi="Arial" w:cs="Arial"/>
          <w:color w:val="5B616B"/>
          <w:sz w:val="20"/>
          <w:szCs w:val="20"/>
          <w:highlight w:val="yellow"/>
          <w:shd w:val="clear" w:color="auto" w:fill="FFFFFF"/>
        </w:rPr>
        <w:t>doi</w:t>
      </w:r>
      <w:proofErr w:type="spellEnd"/>
      <w:proofErr w:type="gramEnd"/>
      <w:r w:rsidR="00CF38BB" w:rsidRPr="008F735B">
        <w:rPr>
          <w:rFonts w:ascii="Arial" w:hAnsi="Arial" w:cs="Arial"/>
          <w:color w:val="5B616B"/>
          <w:sz w:val="20"/>
          <w:szCs w:val="20"/>
          <w:highlight w:val="yellow"/>
          <w:shd w:val="clear" w:color="auto" w:fill="FFFFFF"/>
        </w:rPr>
        <w:t>: 10.18632/oncotarget.20891</w:t>
      </w:r>
    </w:p>
    <w:p w14:paraId="0727FBDF"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Beckerman, J. (2020). Heart disease and lowering cholesterol. Heart Disease, July 02, 2020. </w:t>
      </w:r>
      <w:r w:rsidR="0039293B" w:rsidRPr="008F735B">
        <w:rPr>
          <w:rFonts w:ascii="Arial" w:hAnsi="Arial" w:cs="Arial"/>
          <w:sz w:val="20"/>
          <w:szCs w:val="20"/>
        </w:rPr>
        <w:tab/>
      </w:r>
      <w:hyperlink r:id="rId11" w:history="1">
        <w:r w:rsidRPr="008F735B">
          <w:rPr>
            <w:rStyle w:val="Hyperlink"/>
            <w:rFonts w:ascii="Arial" w:hAnsi="Arial" w:cs="Arial"/>
            <w:color w:val="auto"/>
            <w:sz w:val="20"/>
            <w:szCs w:val="20"/>
            <w:u w:val="none"/>
          </w:rPr>
          <w:t>https://www.webmd.com/heart-disease/guide/heart-disease-lower-cholesterol-risk</w:t>
        </w:r>
      </w:hyperlink>
      <w:r w:rsidRPr="008F735B">
        <w:rPr>
          <w:rFonts w:ascii="Arial" w:hAnsi="Arial" w:cs="Arial"/>
          <w:sz w:val="20"/>
          <w:szCs w:val="20"/>
        </w:rPr>
        <w:t xml:space="preserve"> </w:t>
      </w:r>
      <w:r w:rsidR="0039293B" w:rsidRPr="008F735B">
        <w:rPr>
          <w:rFonts w:ascii="Arial" w:hAnsi="Arial" w:cs="Arial"/>
          <w:sz w:val="20"/>
          <w:szCs w:val="20"/>
        </w:rPr>
        <w:tab/>
      </w:r>
      <w:r w:rsidRPr="008F735B">
        <w:rPr>
          <w:rFonts w:ascii="Arial" w:hAnsi="Arial" w:cs="Arial"/>
          <w:sz w:val="20"/>
          <w:szCs w:val="20"/>
        </w:rPr>
        <w:t>(accessed 5/11/2021).</w:t>
      </w:r>
    </w:p>
    <w:p w14:paraId="3DA2AF5D" w14:textId="071B6C5B" w:rsidR="00F6633D" w:rsidRPr="008F735B" w:rsidRDefault="00F6633D" w:rsidP="008F735B">
      <w:pPr>
        <w:spacing w:line="240" w:lineRule="auto"/>
        <w:ind w:left="360"/>
        <w:jc w:val="both"/>
        <w:rPr>
          <w:rFonts w:ascii="Arial" w:hAnsi="Arial" w:cs="Arial"/>
          <w:sz w:val="20"/>
          <w:szCs w:val="20"/>
        </w:rPr>
      </w:pPr>
      <w:proofErr w:type="spellStart"/>
      <w:r w:rsidRPr="008F735B">
        <w:rPr>
          <w:rFonts w:ascii="Arial" w:hAnsi="Arial" w:cs="Arial"/>
          <w:sz w:val="20"/>
          <w:szCs w:val="20"/>
        </w:rPr>
        <w:t>Brotoboh</w:t>
      </w:r>
      <w:proofErr w:type="spellEnd"/>
      <w:r w:rsidRPr="008F735B">
        <w:rPr>
          <w:rFonts w:ascii="Arial" w:hAnsi="Arial" w:cs="Arial"/>
          <w:sz w:val="20"/>
          <w:szCs w:val="20"/>
        </w:rPr>
        <w:t xml:space="preserve">, K. E., </w:t>
      </w:r>
      <w:proofErr w:type="spellStart"/>
      <w:r w:rsidRPr="008F735B">
        <w:rPr>
          <w:rFonts w:ascii="Arial" w:hAnsi="Arial" w:cs="Arial"/>
          <w:sz w:val="20"/>
          <w:szCs w:val="20"/>
        </w:rPr>
        <w:t>Ogunbiyi</w:t>
      </w:r>
      <w:proofErr w:type="spellEnd"/>
      <w:r w:rsidRPr="008F735B">
        <w:rPr>
          <w:rFonts w:ascii="Arial" w:hAnsi="Arial" w:cs="Arial"/>
          <w:sz w:val="20"/>
          <w:szCs w:val="20"/>
        </w:rPr>
        <w:t xml:space="preserve"> O. J., </w:t>
      </w:r>
      <w:proofErr w:type="spellStart"/>
      <w:r w:rsidRPr="008F735B">
        <w:rPr>
          <w:rFonts w:ascii="Arial" w:hAnsi="Arial" w:cs="Arial"/>
          <w:sz w:val="20"/>
          <w:szCs w:val="20"/>
        </w:rPr>
        <w:t>Iyare</w:t>
      </w:r>
      <w:proofErr w:type="spellEnd"/>
      <w:r w:rsidRPr="008F735B">
        <w:rPr>
          <w:rFonts w:ascii="Arial" w:hAnsi="Arial" w:cs="Arial"/>
          <w:sz w:val="20"/>
          <w:szCs w:val="20"/>
        </w:rPr>
        <w:t xml:space="preserve">, H. E. &amp; </w:t>
      </w:r>
      <w:proofErr w:type="spellStart"/>
      <w:r w:rsidRPr="008F735B">
        <w:rPr>
          <w:rFonts w:ascii="Arial" w:hAnsi="Arial" w:cs="Arial"/>
          <w:sz w:val="20"/>
          <w:szCs w:val="20"/>
        </w:rPr>
        <w:t>Owoh-Etete</w:t>
      </w:r>
      <w:proofErr w:type="spellEnd"/>
      <w:r w:rsidRPr="008F735B">
        <w:rPr>
          <w:rFonts w:ascii="Arial" w:hAnsi="Arial" w:cs="Arial"/>
          <w:sz w:val="20"/>
          <w:szCs w:val="20"/>
        </w:rPr>
        <w:t xml:space="preserve">, U. (2025). Lipid Profile Alterations and </w:t>
      </w:r>
      <w:r w:rsidRPr="008F735B">
        <w:rPr>
          <w:rFonts w:ascii="Arial" w:hAnsi="Arial" w:cs="Arial"/>
          <w:sz w:val="20"/>
          <w:szCs w:val="20"/>
        </w:rPr>
        <w:tab/>
        <w:t xml:space="preserve">Cardiovascular Risk among Automobile Mechanics Chronically Exposed To Petroleum Products. </w:t>
      </w:r>
      <w:r w:rsidRPr="008F735B">
        <w:rPr>
          <w:rFonts w:ascii="Arial" w:hAnsi="Arial" w:cs="Arial"/>
          <w:sz w:val="20"/>
          <w:szCs w:val="20"/>
        </w:rPr>
        <w:tab/>
        <w:t xml:space="preserve">SM J Environ </w:t>
      </w:r>
      <w:proofErr w:type="spellStart"/>
      <w:r w:rsidRPr="008F735B">
        <w:rPr>
          <w:rFonts w:ascii="Arial" w:hAnsi="Arial" w:cs="Arial"/>
          <w:sz w:val="20"/>
          <w:szCs w:val="20"/>
        </w:rPr>
        <w:t>Toxicol</w:t>
      </w:r>
      <w:proofErr w:type="spellEnd"/>
      <w:r w:rsidRPr="008F735B">
        <w:rPr>
          <w:rFonts w:ascii="Arial" w:hAnsi="Arial" w:cs="Arial"/>
          <w:sz w:val="20"/>
          <w:szCs w:val="20"/>
        </w:rPr>
        <w:t>, 8:5 https://www.jsmcentral.org/assets/articles/smjet-v8-1019.pdf</w:t>
      </w:r>
    </w:p>
    <w:p w14:paraId="23F644CC"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highlight w:val="red"/>
        </w:rPr>
        <w:t xml:space="preserve">Center for Disease Control (CDC, 2020). LDL and HDL cholesterol: Bad and good cholesterol. Centers for </w:t>
      </w:r>
      <w:r w:rsidR="00CF38BB" w:rsidRPr="008F735B">
        <w:rPr>
          <w:rFonts w:ascii="Arial" w:hAnsi="Arial" w:cs="Arial"/>
          <w:sz w:val="20"/>
          <w:szCs w:val="20"/>
          <w:highlight w:val="red"/>
        </w:rPr>
        <w:tab/>
      </w:r>
      <w:r w:rsidRPr="008F735B">
        <w:rPr>
          <w:rFonts w:ascii="Arial" w:hAnsi="Arial" w:cs="Arial"/>
          <w:sz w:val="20"/>
          <w:szCs w:val="20"/>
          <w:highlight w:val="red"/>
        </w:rPr>
        <w:t>disease control and prevention 2020.</w:t>
      </w:r>
      <w:r w:rsidR="009769BA" w:rsidRPr="008F735B">
        <w:rPr>
          <w:rFonts w:ascii="Arial" w:hAnsi="Arial" w:cs="Arial"/>
          <w:sz w:val="20"/>
          <w:szCs w:val="20"/>
          <w:highlight w:val="red"/>
        </w:rPr>
        <w:t xml:space="preserve"> </w:t>
      </w:r>
      <w:hyperlink r:id="rId12" w:history="1">
        <w:r w:rsidR="009769BA" w:rsidRPr="008F735B">
          <w:rPr>
            <w:rStyle w:val="Hyperlink"/>
            <w:rFonts w:ascii="Arial" w:hAnsi="Arial" w:cs="Arial"/>
            <w:color w:val="auto"/>
            <w:sz w:val="20"/>
            <w:szCs w:val="20"/>
            <w:highlight w:val="red"/>
            <w:u w:val="none"/>
          </w:rPr>
          <w:t>https://www.cdc.gov/cholesterol/ldl_hdl.htm</w:t>
        </w:r>
      </w:hyperlink>
      <w:r w:rsidR="009769BA" w:rsidRPr="008F735B">
        <w:rPr>
          <w:rFonts w:ascii="Arial" w:hAnsi="Arial" w:cs="Arial"/>
          <w:sz w:val="20"/>
          <w:szCs w:val="20"/>
          <w:highlight w:val="red"/>
        </w:rPr>
        <w:t xml:space="preserve"> (accessed </w:t>
      </w:r>
      <w:r w:rsidR="009769BA" w:rsidRPr="008F735B">
        <w:rPr>
          <w:rFonts w:ascii="Arial" w:hAnsi="Arial" w:cs="Arial"/>
          <w:sz w:val="20"/>
          <w:szCs w:val="20"/>
          <w:highlight w:val="red"/>
        </w:rPr>
        <w:tab/>
        <w:t>5/11/2021</w:t>
      </w:r>
      <w:r w:rsidR="009769BA" w:rsidRPr="008F735B">
        <w:rPr>
          <w:rFonts w:ascii="Arial" w:hAnsi="Arial" w:cs="Arial"/>
          <w:sz w:val="20"/>
          <w:szCs w:val="20"/>
        </w:rPr>
        <w:t>).</w:t>
      </w:r>
    </w:p>
    <w:p w14:paraId="39BA1516"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Denisenko, Y. K., </w:t>
      </w:r>
      <w:proofErr w:type="spellStart"/>
      <w:r w:rsidRPr="008F735B">
        <w:rPr>
          <w:rFonts w:ascii="Arial" w:hAnsi="Arial" w:cs="Arial"/>
          <w:sz w:val="20"/>
          <w:szCs w:val="20"/>
        </w:rPr>
        <w:t>Kytikova</w:t>
      </w:r>
      <w:proofErr w:type="spellEnd"/>
      <w:r w:rsidRPr="008F735B">
        <w:rPr>
          <w:rFonts w:ascii="Arial" w:hAnsi="Arial" w:cs="Arial"/>
          <w:sz w:val="20"/>
          <w:szCs w:val="20"/>
        </w:rPr>
        <w:t xml:space="preserve">, O. Y., </w:t>
      </w:r>
      <w:proofErr w:type="spellStart"/>
      <w:r w:rsidRPr="008F735B">
        <w:rPr>
          <w:rFonts w:ascii="Arial" w:hAnsi="Arial" w:cs="Arial"/>
          <w:sz w:val="20"/>
          <w:szCs w:val="20"/>
        </w:rPr>
        <w:t>Novgorodtseva</w:t>
      </w:r>
      <w:proofErr w:type="spellEnd"/>
      <w:r w:rsidRPr="008F735B">
        <w:rPr>
          <w:rFonts w:ascii="Arial" w:hAnsi="Arial" w:cs="Arial"/>
          <w:sz w:val="20"/>
          <w:szCs w:val="20"/>
        </w:rPr>
        <w:t xml:space="preserve">, T. P., Antonyuk, M. V., </w:t>
      </w:r>
      <w:proofErr w:type="spellStart"/>
      <w:r w:rsidRPr="008F735B">
        <w:rPr>
          <w:rFonts w:ascii="Arial" w:hAnsi="Arial" w:cs="Arial"/>
          <w:sz w:val="20"/>
          <w:szCs w:val="20"/>
        </w:rPr>
        <w:t>Gvozdenko</w:t>
      </w:r>
      <w:proofErr w:type="spellEnd"/>
      <w:r w:rsidRPr="008F735B">
        <w:rPr>
          <w:rFonts w:ascii="Arial" w:hAnsi="Arial" w:cs="Arial"/>
          <w:sz w:val="20"/>
          <w:szCs w:val="20"/>
        </w:rPr>
        <w:t xml:space="preserve">, T. A., </w:t>
      </w:r>
      <w:r w:rsidR="006C5ADD" w:rsidRPr="008F735B">
        <w:rPr>
          <w:rFonts w:ascii="Arial" w:hAnsi="Arial" w:cs="Arial"/>
          <w:sz w:val="20"/>
          <w:szCs w:val="20"/>
        </w:rPr>
        <w:t xml:space="preserve">&amp; </w:t>
      </w:r>
      <w:r w:rsidRPr="008F735B">
        <w:rPr>
          <w:rFonts w:ascii="Arial" w:hAnsi="Arial" w:cs="Arial"/>
          <w:sz w:val="20"/>
          <w:szCs w:val="20"/>
        </w:rPr>
        <w:t xml:space="preserve">Kantur, T. </w:t>
      </w:r>
      <w:r w:rsidR="00CF38BB" w:rsidRPr="008F735B">
        <w:rPr>
          <w:rFonts w:ascii="Arial" w:hAnsi="Arial" w:cs="Arial"/>
          <w:sz w:val="20"/>
          <w:szCs w:val="20"/>
        </w:rPr>
        <w:tab/>
      </w:r>
      <w:r w:rsidRPr="008F735B">
        <w:rPr>
          <w:rFonts w:ascii="Arial" w:hAnsi="Arial" w:cs="Arial"/>
          <w:sz w:val="20"/>
          <w:szCs w:val="20"/>
        </w:rPr>
        <w:t>A. (2020). Lipid-induced mechanism of metabolic syndrome. J</w:t>
      </w:r>
      <w:r w:rsidR="006C5ADD" w:rsidRPr="008F735B">
        <w:rPr>
          <w:rFonts w:ascii="Arial" w:hAnsi="Arial" w:cs="Arial"/>
          <w:sz w:val="20"/>
          <w:szCs w:val="20"/>
        </w:rPr>
        <w:t>ournal of</w:t>
      </w:r>
      <w:r w:rsidRPr="008F735B">
        <w:rPr>
          <w:rFonts w:ascii="Arial" w:hAnsi="Arial" w:cs="Arial"/>
          <w:sz w:val="20"/>
          <w:szCs w:val="20"/>
        </w:rPr>
        <w:t xml:space="preserve"> Obesity</w:t>
      </w:r>
      <w:r w:rsidR="006C5ADD" w:rsidRPr="008F735B">
        <w:rPr>
          <w:rFonts w:ascii="Arial" w:hAnsi="Arial" w:cs="Arial"/>
          <w:sz w:val="20"/>
          <w:szCs w:val="20"/>
        </w:rPr>
        <w:t>,</w:t>
      </w:r>
      <w:r w:rsidRPr="008F735B">
        <w:rPr>
          <w:rFonts w:ascii="Arial" w:hAnsi="Arial" w:cs="Arial"/>
          <w:sz w:val="20"/>
          <w:szCs w:val="20"/>
        </w:rPr>
        <w:t xml:space="preserve"> 5762395.</w:t>
      </w:r>
      <w:r w:rsidR="00CF38BB" w:rsidRPr="008F735B">
        <w:rPr>
          <w:rFonts w:ascii="Arial" w:hAnsi="Arial" w:cs="Arial"/>
          <w:sz w:val="20"/>
          <w:szCs w:val="20"/>
        </w:rPr>
        <w:t xml:space="preserve"> </w:t>
      </w:r>
      <w:r w:rsidR="00CF38BB" w:rsidRPr="008F735B">
        <w:rPr>
          <w:rFonts w:ascii="Arial" w:hAnsi="Arial" w:cs="Arial"/>
          <w:sz w:val="20"/>
          <w:szCs w:val="20"/>
        </w:rPr>
        <w:tab/>
      </w:r>
      <w:proofErr w:type="spellStart"/>
      <w:proofErr w:type="gramStart"/>
      <w:r w:rsidR="00CF38BB" w:rsidRPr="008F735B">
        <w:rPr>
          <w:rFonts w:ascii="Arial" w:hAnsi="Arial" w:cs="Arial"/>
          <w:sz w:val="20"/>
          <w:szCs w:val="20"/>
          <w:shd w:val="clear" w:color="auto" w:fill="FFFFFF"/>
        </w:rPr>
        <w:t>doi</w:t>
      </w:r>
      <w:proofErr w:type="spellEnd"/>
      <w:proofErr w:type="gramEnd"/>
      <w:r w:rsidR="00CF38BB" w:rsidRPr="008F735B">
        <w:rPr>
          <w:rFonts w:ascii="Arial" w:hAnsi="Arial" w:cs="Arial"/>
          <w:sz w:val="20"/>
          <w:szCs w:val="20"/>
          <w:shd w:val="clear" w:color="auto" w:fill="FFFFFF"/>
        </w:rPr>
        <w:t>: </w:t>
      </w:r>
      <w:hyperlink r:id="rId13" w:tgtFrame="_blank" w:history="1">
        <w:r w:rsidR="00CF38BB" w:rsidRPr="008F735B">
          <w:rPr>
            <w:rStyle w:val="Hyperlink"/>
            <w:rFonts w:ascii="Arial" w:hAnsi="Arial" w:cs="Arial"/>
            <w:color w:val="auto"/>
            <w:sz w:val="20"/>
            <w:szCs w:val="20"/>
            <w:u w:val="none"/>
            <w:shd w:val="clear" w:color="auto" w:fill="FFFFFF"/>
          </w:rPr>
          <w:t>10.1155/2020/5762395</w:t>
        </w:r>
      </w:hyperlink>
    </w:p>
    <w:p w14:paraId="32C7B1B4" w14:textId="77777777" w:rsidR="00DF1102" w:rsidRPr="008F735B" w:rsidRDefault="00DF1102" w:rsidP="008F735B">
      <w:pPr>
        <w:spacing w:line="240" w:lineRule="auto"/>
        <w:ind w:left="360"/>
        <w:jc w:val="both"/>
        <w:rPr>
          <w:rFonts w:ascii="Arial" w:hAnsi="Arial" w:cs="Arial"/>
          <w:color w:val="000000" w:themeColor="text1"/>
          <w:sz w:val="20"/>
          <w:szCs w:val="20"/>
        </w:rPr>
      </w:pPr>
      <w:proofErr w:type="spellStart"/>
      <w:r w:rsidRPr="008F735B">
        <w:rPr>
          <w:rFonts w:ascii="Arial" w:hAnsi="Arial" w:cs="Arial"/>
          <w:sz w:val="20"/>
          <w:szCs w:val="20"/>
        </w:rPr>
        <w:t>Egbuonu</w:t>
      </w:r>
      <w:proofErr w:type="spellEnd"/>
      <w:r w:rsidRPr="008F735B">
        <w:rPr>
          <w:rFonts w:ascii="Arial" w:hAnsi="Arial" w:cs="Arial"/>
          <w:sz w:val="20"/>
          <w:szCs w:val="20"/>
        </w:rPr>
        <w:t xml:space="preserve">, A. C. C., </w:t>
      </w:r>
      <w:r w:rsidR="006C5ADD" w:rsidRPr="008F735B">
        <w:rPr>
          <w:rFonts w:ascii="Arial" w:hAnsi="Arial" w:cs="Arial"/>
          <w:sz w:val="20"/>
          <w:szCs w:val="20"/>
        </w:rPr>
        <w:t xml:space="preserve">&amp; </w:t>
      </w:r>
      <w:proofErr w:type="spellStart"/>
      <w:r w:rsidRPr="008F735B">
        <w:rPr>
          <w:rFonts w:ascii="Arial" w:hAnsi="Arial" w:cs="Arial"/>
          <w:sz w:val="20"/>
          <w:szCs w:val="20"/>
        </w:rPr>
        <w:t>Ezeanyika</w:t>
      </w:r>
      <w:proofErr w:type="spellEnd"/>
      <w:r w:rsidRPr="008F735B">
        <w:rPr>
          <w:rFonts w:ascii="Arial" w:hAnsi="Arial" w:cs="Arial"/>
          <w:sz w:val="20"/>
          <w:szCs w:val="20"/>
        </w:rPr>
        <w:t xml:space="preserve">, L. U. S. (2012). Effect of L-arginine on markers of metabolic </w:t>
      </w:r>
      <w:r w:rsidR="0039293B" w:rsidRPr="008F735B">
        <w:rPr>
          <w:rFonts w:ascii="Arial" w:hAnsi="Arial" w:cs="Arial"/>
          <w:sz w:val="20"/>
          <w:szCs w:val="20"/>
        </w:rPr>
        <w:tab/>
      </w:r>
      <w:r w:rsidRPr="008F735B">
        <w:rPr>
          <w:rFonts w:ascii="Arial" w:hAnsi="Arial" w:cs="Arial"/>
          <w:sz w:val="20"/>
          <w:szCs w:val="20"/>
        </w:rPr>
        <w:t xml:space="preserve">syndrome related to abdominal obesity and disorder of lipid metabolism in female Wistar </w:t>
      </w:r>
      <w:r w:rsidR="0039293B" w:rsidRPr="008F735B">
        <w:rPr>
          <w:rFonts w:ascii="Arial" w:hAnsi="Arial" w:cs="Arial"/>
          <w:sz w:val="20"/>
          <w:szCs w:val="20"/>
        </w:rPr>
        <w:tab/>
      </w:r>
      <w:r w:rsidRPr="008F735B">
        <w:rPr>
          <w:rFonts w:ascii="Arial" w:hAnsi="Arial" w:cs="Arial"/>
          <w:sz w:val="20"/>
          <w:szCs w:val="20"/>
        </w:rPr>
        <w:t xml:space="preserve">Albino </w:t>
      </w:r>
      <w:r w:rsidR="00411EAA" w:rsidRPr="008F735B">
        <w:rPr>
          <w:rFonts w:ascii="Arial" w:hAnsi="Arial" w:cs="Arial"/>
          <w:sz w:val="20"/>
          <w:szCs w:val="20"/>
        </w:rPr>
        <w:tab/>
      </w:r>
      <w:r w:rsidRPr="008F735B">
        <w:rPr>
          <w:rFonts w:ascii="Arial" w:hAnsi="Arial" w:cs="Arial"/>
          <w:sz w:val="20"/>
          <w:szCs w:val="20"/>
        </w:rPr>
        <w:t>rats. Am</w:t>
      </w:r>
      <w:r w:rsidR="006C5ADD" w:rsidRPr="008F735B">
        <w:rPr>
          <w:rFonts w:ascii="Arial" w:hAnsi="Arial" w:cs="Arial"/>
          <w:sz w:val="20"/>
          <w:szCs w:val="20"/>
        </w:rPr>
        <w:t>erican</w:t>
      </w:r>
      <w:r w:rsidRPr="008F735B">
        <w:rPr>
          <w:rFonts w:ascii="Arial" w:hAnsi="Arial" w:cs="Arial"/>
          <w:sz w:val="20"/>
          <w:szCs w:val="20"/>
        </w:rPr>
        <w:t xml:space="preserve"> </w:t>
      </w:r>
      <w:r w:rsidRPr="008F735B">
        <w:rPr>
          <w:rFonts w:ascii="Arial" w:hAnsi="Arial" w:cs="Arial"/>
          <w:iCs/>
          <w:sz w:val="20"/>
          <w:szCs w:val="20"/>
        </w:rPr>
        <w:t>J</w:t>
      </w:r>
      <w:r w:rsidR="006C5ADD" w:rsidRPr="008F735B">
        <w:rPr>
          <w:rFonts w:ascii="Arial" w:hAnsi="Arial" w:cs="Arial"/>
          <w:iCs/>
          <w:sz w:val="20"/>
          <w:szCs w:val="20"/>
        </w:rPr>
        <w:t>ournal of Biochemistry,</w:t>
      </w:r>
      <w:r w:rsidRPr="008F735B">
        <w:rPr>
          <w:rFonts w:ascii="Arial" w:hAnsi="Arial" w:cs="Arial"/>
          <w:sz w:val="20"/>
          <w:szCs w:val="20"/>
        </w:rPr>
        <w:t xml:space="preserve"> 2:7-13.</w:t>
      </w:r>
      <w:r w:rsidR="00411EAA" w:rsidRPr="008F735B">
        <w:rPr>
          <w:rFonts w:ascii="Arial" w:hAnsi="Arial" w:cs="Arial"/>
          <w:sz w:val="20"/>
          <w:szCs w:val="20"/>
        </w:rPr>
        <w:t xml:space="preserve"> </w:t>
      </w:r>
      <w:r w:rsidR="00411EAA" w:rsidRPr="008F735B">
        <w:rPr>
          <w:rFonts w:ascii="Arial" w:hAnsi="Arial" w:cs="Arial"/>
          <w:color w:val="000000" w:themeColor="text1"/>
          <w:sz w:val="20"/>
          <w:szCs w:val="20"/>
        </w:rPr>
        <w:t>doi:10.5923/J.AJB.201202.02</w:t>
      </w:r>
    </w:p>
    <w:p w14:paraId="31F90F86" w14:textId="2F87633C" w:rsidR="005A28D1" w:rsidRPr="008F735B" w:rsidRDefault="005A28D1" w:rsidP="008F735B">
      <w:pPr>
        <w:spacing w:line="240" w:lineRule="auto"/>
        <w:ind w:left="360"/>
        <w:jc w:val="both"/>
        <w:rPr>
          <w:rFonts w:ascii="Arial" w:hAnsi="Arial" w:cs="Arial"/>
          <w:sz w:val="20"/>
          <w:szCs w:val="20"/>
        </w:rPr>
      </w:pPr>
      <w:r w:rsidRPr="008F735B">
        <w:rPr>
          <w:rFonts w:ascii="Arial" w:hAnsi="Arial" w:cs="Arial"/>
          <w:sz w:val="20"/>
          <w:szCs w:val="20"/>
        </w:rPr>
        <w:lastRenderedPageBreak/>
        <w:t xml:space="preserve">Elshaer, N., Daoud, B., </w:t>
      </w:r>
      <w:proofErr w:type="spellStart"/>
      <w:r w:rsidRPr="008F735B">
        <w:rPr>
          <w:rFonts w:ascii="Arial" w:hAnsi="Arial" w:cs="Arial"/>
          <w:sz w:val="20"/>
          <w:szCs w:val="20"/>
        </w:rPr>
        <w:t>Foda</w:t>
      </w:r>
      <w:proofErr w:type="spellEnd"/>
      <w:r w:rsidRPr="008F735B">
        <w:rPr>
          <w:rFonts w:ascii="Arial" w:hAnsi="Arial" w:cs="Arial"/>
          <w:sz w:val="20"/>
          <w:szCs w:val="20"/>
        </w:rPr>
        <w:t xml:space="preserve">, N., </w:t>
      </w:r>
      <w:proofErr w:type="spellStart"/>
      <w:r w:rsidRPr="008F735B">
        <w:rPr>
          <w:rFonts w:ascii="Arial" w:hAnsi="Arial" w:cs="Arial"/>
          <w:sz w:val="20"/>
          <w:szCs w:val="20"/>
        </w:rPr>
        <w:t>Mannaa</w:t>
      </w:r>
      <w:proofErr w:type="spellEnd"/>
      <w:r w:rsidRPr="008F735B">
        <w:rPr>
          <w:rFonts w:ascii="Arial" w:hAnsi="Arial" w:cs="Arial"/>
          <w:sz w:val="20"/>
          <w:szCs w:val="20"/>
        </w:rPr>
        <w:t xml:space="preserve">, H. &amp; Hussain, E. (2022). Evaluation of Oxidative Stress among </w:t>
      </w:r>
      <w:r w:rsidRPr="008F735B">
        <w:rPr>
          <w:rFonts w:ascii="Arial" w:hAnsi="Arial" w:cs="Arial"/>
          <w:sz w:val="20"/>
          <w:szCs w:val="20"/>
        </w:rPr>
        <w:tab/>
        <w:t xml:space="preserve">Petroleum Workers Exposed to Benzene, Toluene, Ethylbenzene, and Xylene in Alexandria, Egypt. </w:t>
      </w:r>
      <w:r w:rsidRPr="008F735B">
        <w:rPr>
          <w:rFonts w:ascii="Arial" w:hAnsi="Arial" w:cs="Arial"/>
          <w:sz w:val="20"/>
          <w:szCs w:val="20"/>
        </w:rPr>
        <w:tab/>
      </w:r>
      <w:proofErr w:type="spellStart"/>
      <w:r w:rsidRPr="008F735B">
        <w:rPr>
          <w:rFonts w:ascii="Arial" w:hAnsi="Arial" w:cs="Arial"/>
          <w:sz w:val="20"/>
          <w:szCs w:val="20"/>
        </w:rPr>
        <w:t>Teikyo</w:t>
      </w:r>
      <w:proofErr w:type="spellEnd"/>
      <w:r w:rsidRPr="008F735B">
        <w:rPr>
          <w:rFonts w:ascii="Arial" w:hAnsi="Arial" w:cs="Arial"/>
          <w:sz w:val="20"/>
          <w:szCs w:val="20"/>
        </w:rPr>
        <w:t xml:space="preserve"> Med</w:t>
      </w:r>
      <w:r w:rsidR="00373A97" w:rsidRPr="008F735B">
        <w:rPr>
          <w:rFonts w:ascii="Arial" w:hAnsi="Arial" w:cs="Arial"/>
          <w:sz w:val="20"/>
          <w:szCs w:val="20"/>
        </w:rPr>
        <w:t>ical Journal, 45(7): 7127-7142.</w:t>
      </w:r>
    </w:p>
    <w:p w14:paraId="209C50E2" w14:textId="169519FC" w:rsidR="006C2076" w:rsidRPr="008F735B" w:rsidRDefault="006C2076" w:rsidP="008F735B">
      <w:pPr>
        <w:spacing w:line="240" w:lineRule="auto"/>
        <w:ind w:left="360"/>
        <w:jc w:val="both"/>
        <w:rPr>
          <w:rFonts w:ascii="Arial" w:hAnsi="Arial" w:cs="Arial"/>
          <w:sz w:val="20"/>
          <w:szCs w:val="20"/>
        </w:rPr>
      </w:pPr>
      <w:r w:rsidRPr="008F735B">
        <w:rPr>
          <w:rFonts w:ascii="Arial" w:hAnsi="Arial" w:cs="Arial"/>
          <w:sz w:val="20"/>
          <w:szCs w:val="20"/>
        </w:rPr>
        <w:t xml:space="preserve">Helmenstine, A. M (2019). </w:t>
      </w:r>
      <w:r w:rsidRPr="008F735B">
        <w:rPr>
          <w:rFonts w:ascii="Arial" w:hAnsi="Arial" w:cs="Arial"/>
          <w:color w:val="282828"/>
          <w:sz w:val="20"/>
          <w:szCs w:val="20"/>
        </w:rPr>
        <w:t xml:space="preserve">Chemical Composition of Petroleum. ThoughtCo. </w:t>
      </w:r>
      <w:r w:rsidRPr="008F735B">
        <w:rPr>
          <w:rFonts w:ascii="Arial" w:hAnsi="Arial" w:cs="Arial"/>
          <w:color w:val="282828"/>
          <w:sz w:val="20"/>
          <w:szCs w:val="20"/>
        </w:rPr>
        <w:tab/>
      </w:r>
      <w:hyperlink r:id="rId14" w:history="1">
        <w:r w:rsidRPr="008F735B">
          <w:rPr>
            <w:rStyle w:val="Hyperlink"/>
            <w:rFonts w:ascii="Arial" w:hAnsi="Arial" w:cs="Arial"/>
            <w:color w:val="auto"/>
            <w:sz w:val="20"/>
            <w:szCs w:val="20"/>
            <w:u w:val="none"/>
          </w:rPr>
          <w:t>https://www.thoughtco.com/chemical-composition-of-petroleum-607575</w:t>
        </w:r>
      </w:hyperlink>
      <w:r w:rsidRPr="008F735B">
        <w:rPr>
          <w:rFonts w:ascii="Arial" w:hAnsi="Arial" w:cs="Arial"/>
          <w:color w:val="282828"/>
          <w:sz w:val="20"/>
          <w:szCs w:val="20"/>
        </w:rPr>
        <w:t xml:space="preserve"> </w:t>
      </w:r>
    </w:p>
    <w:p w14:paraId="1DF3DD8E" w14:textId="26306457" w:rsidR="00373A97" w:rsidRPr="008F735B" w:rsidRDefault="007E53E3" w:rsidP="008F735B">
      <w:pPr>
        <w:spacing w:line="240" w:lineRule="auto"/>
        <w:ind w:left="360"/>
        <w:jc w:val="both"/>
        <w:rPr>
          <w:rFonts w:ascii="Arial" w:hAnsi="Arial" w:cs="Arial"/>
          <w:sz w:val="20"/>
          <w:szCs w:val="20"/>
        </w:rPr>
      </w:pPr>
      <w:hyperlink r:id="rId15" w:history="1">
        <w:r w:rsidR="00373A97" w:rsidRPr="008F735B">
          <w:rPr>
            <w:rStyle w:val="name"/>
            <w:rFonts w:ascii="Arial" w:hAnsi="Arial" w:cs="Arial"/>
            <w:sz w:val="20"/>
            <w:szCs w:val="20"/>
            <w:shd w:val="clear" w:color="auto" w:fill="FFFFFF"/>
          </w:rPr>
          <w:t>Jelena, V.,</w:t>
        </w:r>
      </w:hyperlink>
      <w:r w:rsidR="00373A97" w:rsidRPr="008F735B">
        <w:rPr>
          <w:rFonts w:ascii="Arial" w:hAnsi="Arial" w:cs="Arial"/>
          <w:sz w:val="20"/>
          <w:szCs w:val="20"/>
          <w:shd w:val="clear" w:color="auto" w:fill="FFFFFF"/>
        </w:rPr>
        <w:t> </w:t>
      </w:r>
      <w:hyperlink r:id="rId16" w:history="1">
        <w:r w:rsidR="00373A97" w:rsidRPr="008F735B">
          <w:rPr>
            <w:rStyle w:val="name"/>
            <w:rFonts w:ascii="Arial" w:hAnsi="Arial" w:cs="Arial"/>
            <w:sz w:val="20"/>
            <w:szCs w:val="20"/>
            <w:shd w:val="clear" w:color="auto" w:fill="FFFFFF"/>
          </w:rPr>
          <w:t>Kristine, S.,</w:t>
        </w:r>
      </w:hyperlink>
      <w:r w:rsidR="00373A97" w:rsidRPr="008F735B">
        <w:rPr>
          <w:rFonts w:ascii="Arial" w:hAnsi="Arial" w:cs="Arial"/>
          <w:sz w:val="20"/>
          <w:szCs w:val="20"/>
          <w:shd w:val="clear" w:color="auto" w:fill="FFFFFF"/>
        </w:rPr>
        <w:t> </w:t>
      </w:r>
      <w:hyperlink r:id="rId17" w:history="1">
        <w:r w:rsidR="00373A97" w:rsidRPr="008F735B">
          <w:rPr>
            <w:rStyle w:val="name"/>
            <w:rFonts w:ascii="Arial" w:hAnsi="Arial" w:cs="Arial"/>
            <w:sz w:val="20"/>
            <w:szCs w:val="20"/>
            <w:shd w:val="clear" w:color="auto" w:fill="FFFFFF"/>
          </w:rPr>
          <w:t>Stefania, M.,</w:t>
        </w:r>
      </w:hyperlink>
      <w:r w:rsidR="00373A97" w:rsidRPr="008F735B">
        <w:rPr>
          <w:rFonts w:ascii="Arial" w:hAnsi="Arial" w:cs="Arial"/>
          <w:sz w:val="20"/>
          <w:szCs w:val="20"/>
          <w:shd w:val="clear" w:color="auto" w:fill="FFFFFF"/>
        </w:rPr>
        <w:t> </w:t>
      </w:r>
      <w:hyperlink r:id="rId18" w:history="1">
        <w:r w:rsidR="00373A97" w:rsidRPr="008F735B">
          <w:rPr>
            <w:rStyle w:val="name"/>
            <w:rFonts w:ascii="Arial" w:hAnsi="Arial" w:cs="Arial"/>
            <w:sz w:val="20"/>
            <w:szCs w:val="20"/>
            <w:shd w:val="clear" w:color="auto" w:fill="FFFFFF"/>
          </w:rPr>
          <w:t>Aleksandra, Z.,</w:t>
        </w:r>
      </w:hyperlink>
      <w:r w:rsidR="00373A97" w:rsidRPr="008F735B">
        <w:rPr>
          <w:rFonts w:ascii="Arial" w:hAnsi="Arial" w:cs="Arial"/>
          <w:sz w:val="20"/>
          <w:szCs w:val="20"/>
          <w:shd w:val="clear" w:color="auto" w:fill="FFFFFF"/>
        </w:rPr>
        <w:t> </w:t>
      </w:r>
      <w:hyperlink r:id="rId19" w:history="1">
        <w:r w:rsidR="00373A97" w:rsidRPr="008F735B">
          <w:rPr>
            <w:rStyle w:val="name"/>
            <w:rFonts w:ascii="Arial" w:hAnsi="Arial" w:cs="Arial"/>
            <w:sz w:val="20"/>
            <w:szCs w:val="20"/>
            <w:shd w:val="clear" w:color="auto" w:fill="FFFFFF"/>
          </w:rPr>
          <w:t>Manfredi, R.</w:t>
        </w:r>
      </w:hyperlink>
      <w:r w:rsidR="00373A97" w:rsidRPr="008F735B">
        <w:rPr>
          <w:rFonts w:ascii="Arial" w:hAnsi="Arial" w:cs="Arial"/>
          <w:sz w:val="20"/>
          <w:szCs w:val="20"/>
        </w:rPr>
        <w:t xml:space="preserve"> &amp;</w:t>
      </w:r>
      <w:r w:rsidR="00373A97" w:rsidRPr="008F735B">
        <w:rPr>
          <w:rFonts w:ascii="Arial" w:hAnsi="Arial" w:cs="Arial"/>
          <w:sz w:val="20"/>
          <w:szCs w:val="20"/>
          <w:shd w:val="clear" w:color="auto" w:fill="FFFFFF"/>
        </w:rPr>
        <w:t> </w:t>
      </w:r>
      <w:hyperlink r:id="rId20" w:history="1">
        <w:r w:rsidR="00373A97" w:rsidRPr="008F735B">
          <w:rPr>
            <w:rStyle w:val="name"/>
            <w:rFonts w:ascii="Arial" w:hAnsi="Arial" w:cs="Arial"/>
            <w:sz w:val="20"/>
            <w:szCs w:val="20"/>
            <w:shd w:val="clear" w:color="auto" w:fill="FFFFFF"/>
          </w:rPr>
          <w:t>Juan, G.</w:t>
        </w:r>
      </w:hyperlink>
      <w:r w:rsidR="00373A97" w:rsidRPr="008F735B">
        <w:rPr>
          <w:rFonts w:ascii="Arial" w:hAnsi="Arial" w:cs="Arial"/>
          <w:sz w:val="20"/>
          <w:szCs w:val="20"/>
        </w:rPr>
        <w:t xml:space="preserve"> (2023). Oxidative Stress, </w:t>
      </w:r>
      <w:r w:rsidR="00373A97" w:rsidRPr="008F735B">
        <w:rPr>
          <w:rFonts w:ascii="Arial" w:hAnsi="Arial" w:cs="Arial"/>
          <w:sz w:val="20"/>
          <w:szCs w:val="20"/>
        </w:rPr>
        <w:tab/>
        <w:t xml:space="preserve">Atherogenic Dyslipidemia, and Cardiovascular Risk. Biomedicines, </w:t>
      </w:r>
      <w:r w:rsidR="00373A97" w:rsidRPr="008F735B">
        <w:rPr>
          <w:rFonts w:ascii="Arial" w:hAnsi="Arial" w:cs="Arial"/>
          <w:sz w:val="20"/>
          <w:szCs w:val="20"/>
          <w:shd w:val="clear" w:color="auto" w:fill="FFFFFF"/>
        </w:rPr>
        <w:t>26</w:t>
      </w:r>
      <w:proofErr w:type="gramStart"/>
      <w:r w:rsidR="00373A97" w:rsidRPr="008F735B">
        <w:rPr>
          <w:rFonts w:ascii="Arial" w:hAnsi="Arial" w:cs="Arial"/>
          <w:sz w:val="20"/>
          <w:szCs w:val="20"/>
          <w:shd w:val="clear" w:color="auto" w:fill="FFFFFF"/>
        </w:rPr>
        <w:t>;11</w:t>
      </w:r>
      <w:proofErr w:type="gramEnd"/>
      <w:r w:rsidR="00373A97" w:rsidRPr="008F735B">
        <w:rPr>
          <w:rFonts w:ascii="Arial" w:hAnsi="Arial" w:cs="Arial"/>
          <w:sz w:val="20"/>
          <w:szCs w:val="20"/>
          <w:shd w:val="clear" w:color="auto" w:fill="FFFFFF"/>
        </w:rPr>
        <w:t xml:space="preserve">(11):2897. </w:t>
      </w:r>
      <w:r w:rsidR="00373A97" w:rsidRPr="008F735B">
        <w:rPr>
          <w:rFonts w:ascii="Arial" w:hAnsi="Arial" w:cs="Arial"/>
          <w:sz w:val="20"/>
          <w:szCs w:val="20"/>
          <w:shd w:val="clear" w:color="auto" w:fill="FFFFFF"/>
        </w:rPr>
        <w:tab/>
      </w:r>
      <w:proofErr w:type="spellStart"/>
      <w:proofErr w:type="gramStart"/>
      <w:r w:rsidR="00373A97" w:rsidRPr="008F735B">
        <w:rPr>
          <w:rFonts w:ascii="Arial" w:hAnsi="Arial" w:cs="Arial"/>
          <w:sz w:val="20"/>
          <w:szCs w:val="20"/>
          <w:shd w:val="clear" w:color="auto" w:fill="FFFFFF"/>
        </w:rPr>
        <w:t>doi</w:t>
      </w:r>
      <w:proofErr w:type="spellEnd"/>
      <w:proofErr w:type="gramEnd"/>
      <w:r w:rsidR="00373A97" w:rsidRPr="008F735B">
        <w:rPr>
          <w:rFonts w:ascii="Arial" w:hAnsi="Arial" w:cs="Arial"/>
          <w:sz w:val="20"/>
          <w:szCs w:val="20"/>
          <w:shd w:val="clear" w:color="auto" w:fill="FFFFFF"/>
        </w:rPr>
        <w:t>: </w:t>
      </w:r>
      <w:hyperlink r:id="rId21" w:tgtFrame="_blank" w:history="1">
        <w:r w:rsidR="00373A97" w:rsidRPr="008F735B">
          <w:rPr>
            <w:rStyle w:val="Hyperlink"/>
            <w:rFonts w:ascii="Arial" w:hAnsi="Arial" w:cs="Arial"/>
            <w:color w:val="auto"/>
            <w:sz w:val="20"/>
            <w:szCs w:val="20"/>
            <w:u w:val="none"/>
            <w:shd w:val="clear" w:color="auto" w:fill="FFFFFF"/>
          </w:rPr>
          <w:t>10.3390/biomedicines11112897</w:t>
        </w:r>
      </w:hyperlink>
    </w:p>
    <w:p w14:paraId="0F73C095" w14:textId="77777777" w:rsidR="00DF1102" w:rsidRPr="008F735B" w:rsidRDefault="00DF1102" w:rsidP="008F735B">
      <w:pPr>
        <w:spacing w:line="240" w:lineRule="auto"/>
        <w:ind w:left="360"/>
        <w:jc w:val="both"/>
        <w:rPr>
          <w:rFonts w:ascii="Arial" w:hAnsi="Arial" w:cs="Arial"/>
          <w:color w:val="000000" w:themeColor="text1"/>
          <w:sz w:val="20"/>
          <w:szCs w:val="20"/>
        </w:rPr>
      </w:pPr>
      <w:r w:rsidRPr="008F735B">
        <w:rPr>
          <w:rFonts w:ascii="Arial" w:hAnsi="Arial" w:cs="Arial"/>
          <w:color w:val="444444"/>
          <w:sz w:val="20"/>
          <w:szCs w:val="20"/>
        </w:rPr>
        <w:t xml:space="preserve">Jia, X., Song, X., Shima, M., Tamura, K., Deng, F., </w:t>
      </w:r>
      <w:r w:rsidR="006C5ADD" w:rsidRPr="008F735B">
        <w:rPr>
          <w:rFonts w:ascii="Arial" w:hAnsi="Arial" w:cs="Arial"/>
          <w:color w:val="444444"/>
          <w:sz w:val="20"/>
          <w:szCs w:val="20"/>
        </w:rPr>
        <w:t xml:space="preserve">&amp; </w:t>
      </w:r>
      <w:r w:rsidRPr="008F735B">
        <w:rPr>
          <w:rFonts w:ascii="Arial" w:hAnsi="Arial" w:cs="Arial"/>
          <w:color w:val="444444"/>
          <w:sz w:val="20"/>
          <w:szCs w:val="20"/>
        </w:rPr>
        <w:t xml:space="preserve">Guo, X. (2012). Effect of fine particulate on </w:t>
      </w:r>
      <w:r w:rsidR="0039293B" w:rsidRPr="008F735B">
        <w:rPr>
          <w:rFonts w:ascii="Arial" w:hAnsi="Arial" w:cs="Arial"/>
          <w:color w:val="444444"/>
          <w:sz w:val="20"/>
          <w:szCs w:val="20"/>
        </w:rPr>
        <w:tab/>
      </w:r>
      <w:r w:rsidRPr="008F735B">
        <w:rPr>
          <w:rFonts w:ascii="Arial" w:hAnsi="Arial" w:cs="Arial"/>
          <w:color w:val="444444"/>
          <w:sz w:val="20"/>
          <w:szCs w:val="20"/>
        </w:rPr>
        <w:t xml:space="preserve">heart </w:t>
      </w:r>
      <w:r w:rsidR="00882F46" w:rsidRPr="008F735B">
        <w:rPr>
          <w:rFonts w:ascii="Arial" w:hAnsi="Arial" w:cs="Arial"/>
          <w:color w:val="444444"/>
          <w:sz w:val="20"/>
          <w:szCs w:val="20"/>
        </w:rPr>
        <w:tab/>
      </w:r>
      <w:r w:rsidRPr="008F735B">
        <w:rPr>
          <w:rFonts w:ascii="Arial" w:hAnsi="Arial" w:cs="Arial"/>
          <w:color w:val="444444"/>
          <w:sz w:val="20"/>
          <w:szCs w:val="20"/>
        </w:rPr>
        <w:t xml:space="preserve">rate variability in </w:t>
      </w:r>
      <w:proofErr w:type="spellStart"/>
      <w:r w:rsidRPr="008F735B">
        <w:rPr>
          <w:rFonts w:ascii="Arial" w:hAnsi="Arial" w:cs="Arial"/>
          <w:color w:val="444444"/>
          <w:sz w:val="20"/>
          <w:szCs w:val="20"/>
        </w:rPr>
        <w:t>Benjing</w:t>
      </w:r>
      <w:proofErr w:type="spellEnd"/>
      <w:r w:rsidRPr="008F735B">
        <w:rPr>
          <w:rFonts w:ascii="Arial" w:hAnsi="Arial" w:cs="Arial"/>
          <w:color w:val="444444"/>
          <w:sz w:val="20"/>
          <w:szCs w:val="20"/>
        </w:rPr>
        <w:t>: a panel study of healthy elderly subjects. Int</w:t>
      </w:r>
      <w:r w:rsidR="006C5ADD" w:rsidRPr="008F735B">
        <w:rPr>
          <w:rFonts w:ascii="Arial" w:hAnsi="Arial" w:cs="Arial"/>
          <w:color w:val="444444"/>
          <w:sz w:val="20"/>
          <w:szCs w:val="20"/>
        </w:rPr>
        <w:t>ernational</w:t>
      </w:r>
      <w:r w:rsidRPr="008F735B">
        <w:rPr>
          <w:rFonts w:ascii="Arial" w:hAnsi="Arial" w:cs="Arial"/>
          <w:color w:val="444444"/>
          <w:sz w:val="20"/>
          <w:szCs w:val="20"/>
        </w:rPr>
        <w:t xml:space="preserve"> Arch</w:t>
      </w:r>
      <w:r w:rsidR="006C5ADD" w:rsidRPr="008F735B">
        <w:rPr>
          <w:rFonts w:ascii="Arial" w:hAnsi="Arial" w:cs="Arial"/>
          <w:color w:val="444444"/>
          <w:sz w:val="20"/>
          <w:szCs w:val="20"/>
        </w:rPr>
        <w:t>ives of</w:t>
      </w:r>
      <w:r w:rsidRPr="008F735B">
        <w:rPr>
          <w:rFonts w:ascii="Arial" w:hAnsi="Arial" w:cs="Arial"/>
          <w:color w:val="444444"/>
          <w:sz w:val="20"/>
          <w:szCs w:val="20"/>
        </w:rPr>
        <w:t xml:space="preserve"> </w:t>
      </w:r>
      <w:r w:rsidR="00882F46" w:rsidRPr="008F735B">
        <w:rPr>
          <w:rFonts w:ascii="Arial" w:hAnsi="Arial" w:cs="Arial"/>
          <w:color w:val="444444"/>
          <w:sz w:val="20"/>
          <w:szCs w:val="20"/>
        </w:rPr>
        <w:tab/>
      </w:r>
      <w:r w:rsidRPr="008F735B">
        <w:rPr>
          <w:rFonts w:ascii="Arial" w:hAnsi="Arial" w:cs="Arial"/>
          <w:color w:val="444444"/>
          <w:sz w:val="20"/>
          <w:szCs w:val="20"/>
        </w:rPr>
        <w:t>Occup</w:t>
      </w:r>
      <w:r w:rsidR="006C5ADD" w:rsidRPr="008F735B">
        <w:rPr>
          <w:rFonts w:ascii="Arial" w:hAnsi="Arial" w:cs="Arial"/>
          <w:color w:val="444444"/>
          <w:sz w:val="20"/>
          <w:szCs w:val="20"/>
        </w:rPr>
        <w:t>ational</w:t>
      </w:r>
      <w:r w:rsidRPr="008F735B">
        <w:rPr>
          <w:rFonts w:ascii="Arial" w:hAnsi="Arial" w:cs="Arial"/>
          <w:color w:val="444444"/>
          <w:sz w:val="20"/>
          <w:szCs w:val="20"/>
        </w:rPr>
        <w:t xml:space="preserve"> </w:t>
      </w:r>
      <w:r w:rsidR="006C5ADD" w:rsidRPr="008F735B">
        <w:rPr>
          <w:rFonts w:ascii="Arial" w:hAnsi="Arial" w:cs="Arial"/>
          <w:color w:val="444444"/>
          <w:sz w:val="20"/>
          <w:szCs w:val="20"/>
        </w:rPr>
        <w:t xml:space="preserve">and </w:t>
      </w:r>
      <w:r w:rsidRPr="008F735B">
        <w:rPr>
          <w:rFonts w:ascii="Arial" w:hAnsi="Arial" w:cs="Arial"/>
          <w:color w:val="444444"/>
          <w:sz w:val="20"/>
          <w:szCs w:val="20"/>
        </w:rPr>
        <w:t>Environ</w:t>
      </w:r>
      <w:r w:rsidR="006C5ADD" w:rsidRPr="008F735B">
        <w:rPr>
          <w:rFonts w:ascii="Arial" w:hAnsi="Arial" w:cs="Arial"/>
          <w:color w:val="444444"/>
          <w:sz w:val="20"/>
          <w:szCs w:val="20"/>
        </w:rPr>
        <w:t>mental Health,</w:t>
      </w:r>
      <w:r w:rsidRPr="008F735B">
        <w:rPr>
          <w:rFonts w:ascii="Arial" w:hAnsi="Arial" w:cs="Arial"/>
          <w:color w:val="444444"/>
          <w:sz w:val="20"/>
          <w:szCs w:val="20"/>
        </w:rPr>
        <w:t xml:space="preserve"> 85: 97-107.</w:t>
      </w:r>
      <w:r w:rsidR="00D35A82" w:rsidRPr="008F735B">
        <w:rPr>
          <w:rFonts w:ascii="Arial" w:hAnsi="Arial" w:cs="Arial"/>
          <w:color w:val="444444"/>
          <w:sz w:val="20"/>
          <w:szCs w:val="20"/>
        </w:rPr>
        <w:t xml:space="preserve"> </w:t>
      </w:r>
      <w:proofErr w:type="spellStart"/>
      <w:proofErr w:type="gramStart"/>
      <w:r w:rsidR="00D35A82" w:rsidRPr="008F735B">
        <w:rPr>
          <w:rFonts w:ascii="Arial" w:hAnsi="Arial" w:cs="Arial"/>
          <w:color w:val="5B616B"/>
          <w:sz w:val="20"/>
          <w:szCs w:val="20"/>
          <w:shd w:val="clear" w:color="auto" w:fill="FFFFFF"/>
        </w:rPr>
        <w:t>doi</w:t>
      </w:r>
      <w:proofErr w:type="spellEnd"/>
      <w:proofErr w:type="gramEnd"/>
      <w:r w:rsidR="00D35A82" w:rsidRPr="008F735B">
        <w:rPr>
          <w:rFonts w:ascii="Arial" w:hAnsi="Arial" w:cs="Arial"/>
          <w:color w:val="5B616B"/>
          <w:sz w:val="20"/>
          <w:szCs w:val="20"/>
          <w:shd w:val="clear" w:color="auto" w:fill="FFFFFF"/>
        </w:rPr>
        <w:t>: 10.1007/s00420-011-0646-3</w:t>
      </w:r>
    </w:p>
    <w:p w14:paraId="022A6566" w14:textId="77777777" w:rsidR="00C8533A" w:rsidRPr="008F735B" w:rsidRDefault="00C8533A" w:rsidP="008F735B">
      <w:pPr>
        <w:spacing w:line="240" w:lineRule="auto"/>
        <w:ind w:left="360"/>
        <w:jc w:val="both"/>
        <w:rPr>
          <w:rFonts w:ascii="Arial" w:hAnsi="Arial" w:cs="Arial"/>
          <w:sz w:val="20"/>
          <w:szCs w:val="20"/>
        </w:rPr>
      </w:pPr>
      <w:proofErr w:type="spellStart"/>
      <w:r w:rsidRPr="008F735B">
        <w:rPr>
          <w:rFonts w:ascii="Arial" w:hAnsi="Arial" w:cs="Arial"/>
          <w:sz w:val="20"/>
          <w:szCs w:val="20"/>
        </w:rPr>
        <w:t>Langrish</w:t>
      </w:r>
      <w:proofErr w:type="spellEnd"/>
      <w:r w:rsidRPr="008F735B">
        <w:rPr>
          <w:rFonts w:ascii="Arial" w:hAnsi="Arial" w:cs="Arial"/>
          <w:sz w:val="20"/>
          <w:szCs w:val="20"/>
        </w:rPr>
        <w:t xml:space="preserve"> JP, </w:t>
      </w:r>
      <w:proofErr w:type="spellStart"/>
      <w:r w:rsidRPr="008F735B">
        <w:rPr>
          <w:rFonts w:ascii="Arial" w:hAnsi="Arial" w:cs="Arial"/>
          <w:sz w:val="20"/>
          <w:szCs w:val="20"/>
        </w:rPr>
        <w:t>Unosson</w:t>
      </w:r>
      <w:proofErr w:type="spellEnd"/>
      <w:r w:rsidRPr="008F735B">
        <w:rPr>
          <w:rFonts w:ascii="Arial" w:hAnsi="Arial" w:cs="Arial"/>
          <w:sz w:val="20"/>
          <w:szCs w:val="20"/>
        </w:rPr>
        <w:t xml:space="preserve"> J, </w:t>
      </w:r>
      <w:proofErr w:type="spellStart"/>
      <w:r w:rsidRPr="008F735B">
        <w:rPr>
          <w:rFonts w:ascii="Arial" w:hAnsi="Arial" w:cs="Arial"/>
          <w:sz w:val="20"/>
          <w:szCs w:val="20"/>
        </w:rPr>
        <w:t>Bosson</w:t>
      </w:r>
      <w:proofErr w:type="spellEnd"/>
      <w:r w:rsidRPr="008F735B">
        <w:rPr>
          <w:rFonts w:ascii="Arial" w:hAnsi="Arial" w:cs="Arial"/>
          <w:sz w:val="20"/>
          <w:szCs w:val="20"/>
        </w:rPr>
        <w:t xml:space="preserve"> J, </w:t>
      </w:r>
      <w:proofErr w:type="spellStart"/>
      <w:r w:rsidRPr="008F735B">
        <w:rPr>
          <w:rFonts w:ascii="Arial" w:hAnsi="Arial" w:cs="Arial"/>
          <w:sz w:val="20"/>
          <w:szCs w:val="20"/>
        </w:rPr>
        <w:t>Barath</w:t>
      </w:r>
      <w:proofErr w:type="spellEnd"/>
      <w:r w:rsidRPr="008F735B">
        <w:rPr>
          <w:rFonts w:ascii="Arial" w:hAnsi="Arial" w:cs="Arial"/>
          <w:sz w:val="20"/>
          <w:szCs w:val="20"/>
        </w:rPr>
        <w:t xml:space="preserve"> S, </w:t>
      </w:r>
      <w:proofErr w:type="spellStart"/>
      <w:r w:rsidRPr="008F735B">
        <w:rPr>
          <w:rFonts w:ascii="Arial" w:hAnsi="Arial" w:cs="Arial"/>
          <w:sz w:val="20"/>
          <w:szCs w:val="20"/>
        </w:rPr>
        <w:t>Muala</w:t>
      </w:r>
      <w:proofErr w:type="spellEnd"/>
      <w:r w:rsidRPr="008F735B">
        <w:rPr>
          <w:rFonts w:ascii="Arial" w:hAnsi="Arial" w:cs="Arial"/>
          <w:sz w:val="20"/>
          <w:szCs w:val="20"/>
        </w:rPr>
        <w:t xml:space="preserve"> A, Blackwell S, et al. (2013). Altered nitric oxide </w:t>
      </w:r>
      <w:r w:rsidRPr="008F735B">
        <w:rPr>
          <w:rFonts w:ascii="Arial" w:hAnsi="Arial" w:cs="Arial"/>
          <w:sz w:val="20"/>
          <w:szCs w:val="20"/>
        </w:rPr>
        <w:tab/>
        <w:t xml:space="preserve">bioavailability contributes to diesel exhaust inhalation induced cardiovascular dysfunction in man. </w:t>
      </w:r>
      <w:r w:rsidRPr="008F735B">
        <w:rPr>
          <w:rFonts w:ascii="Arial" w:hAnsi="Arial" w:cs="Arial"/>
          <w:sz w:val="20"/>
          <w:szCs w:val="20"/>
        </w:rPr>
        <w:tab/>
        <w:t>Journal of American Heart Association, 2(1):e004309.</w:t>
      </w:r>
    </w:p>
    <w:p w14:paraId="2F80A49E"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Liu, X., Wu, J., He, S., Ge, F., </w:t>
      </w:r>
      <w:r w:rsidR="004A3E5E" w:rsidRPr="008F735B">
        <w:rPr>
          <w:rFonts w:ascii="Arial" w:hAnsi="Arial" w:cs="Arial"/>
          <w:sz w:val="20"/>
          <w:szCs w:val="20"/>
        </w:rPr>
        <w:t xml:space="preserve">&amp; </w:t>
      </w:r>
      <w:r w:rsidRPr="008F735B">
        <w:rPr>
          <w:rFonts w:ascii="Arial" w:hAnsi="Arial" w:cs="Arial"/>
          <w:sz w:val="20"/>
          <w:szCs w:val="20"/>
        </w:rPr>
        <w:t xml:space="preserve">Liu, N. (2024). Interaction between polycyclic aromatic hydrocarbons and </w:t>
      </w:r>
      <w:r w:rsidR="004A3E5E" w:rsidRPr="008F735B">
        <w:rPr>
          <w:rFonts w:ascii="Arial" w:hAnsi="Arial" w:cs="Arial"/>
          <w:sz w:val="20"/>
          <w:szCs w:val="20"/>
        </w:rPr>
        <w:tab/>
      </w:r>
      <w:r w:rsidRPr="008F735B">
        <w:rPr>
          <w:rFonts w:ascii="Arial" w:hAnsi="Arial" w:cs="Arial"/>
          <w:sz w:val="20"/>
          <w:szCs w:val="20"/>
        </w:rPr>
        <w:t>thymine (T)-base induces double-strand DNA distortion in different species. Sci</w:t>
      </w:r>
      <w:r w:rsidR="004A3E5E" w:rsidRPr="008F735B">
        <w:rPr>
          <w:rFonts w:ascii="Arial" w:hAnsi="Arial" w:cs="Arial"/>
          <w:sz w:val="20"/>
          <w:szCs w:val="20"/>
        </w:rPr>
        <w:t>ence of</w:t>
      </w:r>
      <w:r w:rsidRPr="008F735B">
        <w:rPr>
          <w:rFonts w:ascii="Arial" w:hAnsi="Arial" w:cs="Arial"/>
          <w:sz w:val="20"/>
          <w:szCs w:val="20"/>
        </w:rPr>
        <w:t xml:space="preserve"> </w:t>
      </w:r>
      <w:proofErr w:type="gramStart"/>
      <w:r w:rsidR="00090317" w:rsidRPr="008F735B">
        <w:rPr>
          <w:rFonts w:ascii="Arial" w:hAnsi="Arial" w:cs="Arial"/>
          <w:sz w:val="20"/>
          <w:szCs w:val="20"/>
        </w:rPr>
        <w:t>The</w:t>
      </w:r>
      <w:proofErr w:type="gramEnd"/>
      <w:r w:rsidR="00090317" w:rsidRPr="008F735B">
        <w:rPr>
          <w:rFonts w:ascii="Arial" w:hAnsi="Arial" w:cs="Arial"/>
          <w:sz w:val="20"/>
          <w:szCs w:val="20"/>
        </w:rPr>
        <w:t xml:space="preserve"> </w:t>
      </w:r>
      <w:r w:rsidRPr="008F735B">
        <w:rPr>
          <w:rFonts w:ascii="Arial" w:hAnsi="Arial" w:cs="Arial"/>
          <w:sz w:val="20"/>
          <w:szCs w:val="20"/>
        </w:rPr>
        <w:t xml:space="preserve">Total </w:t>
      </w:r>
      <w:r w:rsidR="004A3E5E" w:rsidRPr="008F735B">
        <w:rPr>
          <w:rFonts w:ascii="Arial" w:hAnsi="Arial" w:cs="Arial"/>
          <w:sz w:val="20"/>
          <w:szCs w:val="20"/>
        </w:rPr>
        <w:tab/>
      </w:r>
      <w:r w:rsidRPr="008F735B">
        <w:rPr>
          <w:rFonts w:ascii="Arial" w:hAnsi="Arial" w:cs="Arial"/>
          <w:sz w:val="20"/>
          <w:szCs w:val="20"/>
        </w:rPr>
        <w:t>Environ</w:t>
      </w:r>
      <w:r w:rsidR="004A3E5E" w:rsidRPr="008F735B">
        <w:rPr>
          <w:rFonts w:ascii="Arial" w:hAnsi="Arial" w:cs="Arial"/>
          <w:sz w:val="20"/>
          <w:szCs w:val="20"/>
        </w:rPr>
        <w:t>ment,</w:t>
      </w:r>
      <w:r w:rsidRPr="008F735B">
        <w:rPr>
          <w:rFonts w:ascii="Arial" w:hAnsi="Arial" w:cs="Arial"/>
          <w:sz w:val="20"/>
          <w:szCs w:val="20"/>
        </w:rPr>
        <w:t xml:space="preserve"> 950: 175338.</w:t>
      </w:r>
      <w:r w:rsidR="00090317" w:rsidRPr="008F735B">
        <w:rPr>
          <w:rFonts w:ascii="Arial" w:hAnsi="Arial" w:cs="Arial"/>
          <w:sz w:val="20"/>
          <w:szCs w:val="20"/>
        </w:rPr>
        <w:t xml:space="preserve"> </w:t>
      </w:r>
      <w:hyperlink r:id="rId22" w:tgtFrame="_blank" w:tooltip="Persistent link using digital object identifier" w:history="1">
        <w:r w:rsidR="00090317" w:rsidRPr="008F735B">
          <w:rPr>
            <w:rStyle w:val="anchor-text"/>
            <w:rFonts w:ascii="Arial" w:hAnsi="Arial" w:cs="Arial"/>
            <w:sz w:val="20"/>
            <w:szCs w:val="20"/>
          </w:rPr>
          <w:t>https://doi.org/10.1016/j.scitotenv.2024.175338</w:t>
        </w:r>
      </w:hyperlink>
    </w:p>
    <w:p w14:paraId="75381277"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color w:val="444444"/>
          <w:sz w:val="20"/>
          <w:szCs w:val="20"/>
        </w:rPr>
        <w:t>Mallah, M. A., Mallah, M. A., Liu, Y., Xi, H., Wang, W., Feng, F.</w:t>
      </w:r>
      <w:r w:rsidR="004A3E5E" w:rsidRPr="008F735B">
        <w:rPr>
          <w:rFonts w:ascii="Arial" w:hAnsi="Arial" w:cs="Arial"/>
          <w:color w:val="444444"/>
          <w:sz w:val="20"/>
          <w:szCs w:val="20"/>
        </w:rPr>
        <w:t xml:space="preserve"> et al.</w:t>
      </w:r>
      <w:r w:rsidRPr="008F735B">
        <w:rPr>
          <w:rFonts w:ascii="Arial" w:hAnsi="Arial" w:cs="Arial"/>
          <w:color w:val="444444"/>
          <w:sz w:val="20"/>
          <w:szCs w:val="20"/>
        </w:rPr>
        <w:t xml:space="preserve"> (2021). Relationship </w:t>
      </w:r>
      <w:r w:rsidR="0039293B" w:rsidRPr="008F735B">
        <w:rPr>
          <w:rFonts w:ascii="Arial" w:hAnsi="Arial" w:cs="Arial"/>
          <w:color w:val="444444"/>
          <w:sz w:val="20"/>
          <w:szCs w:val="20"/>
        </w:rPr>
        <w:tab/>
      </w:r>
      <w:r w:rsidRPr="008F735B">
        <w:rPr>
          <w:rFonts w:ascii="Arial" w:hAnsi="Arial" w:cs="Arial"/>
          <w:color w:val="444444"/>
          <w:sz w:val="20"/>
          <w:szCs w:val="20"/>
        </w:rPr>
        <w:t xml:space="preserve">between polycyclic aromatic hydrocarbons and cardiovascular diseases: A systematic review. </w:t>
      </w:r>
      <w:r w:rsidR="004A3E5E" w:rsidRPr="008F735B">
        <w:rPr>
          <w:rFonts w:ascii="Arial" w:hAnsi="Arial" w:cs="Arial"/>
          <w:color w:val="444444"/>
          <w:sz w:val="20"/>
          <w:szCs w:val="20"/>
        </w:rPr>
        <w:tab/>
      </w:r>
      <w:r w:rsidRPr="008F735B">
        <w:rPr>
          <w:rFonts w:ascii="Arial" w:hAnsi="Arial" w:cs="Arial"/>
          <w:color w:val="444444"/>
          <w:sz w:val="20"/>
          <w:szCs w:val="20"/>
        </w:rPr>
        <w:t>Front</w:t>
      </w:r>
      <w:r w:rsidR="004A3E5E" w:rsidRPr="008F735B">
        <w:rPr>
          <w:rFonts w:ascii="Arial" w:hAnsi="Arial" w:cs="Arial"/>
          <w:color w:val="444444"/>
          <w:sz w:val="20"/>
          <w:szCs w:val="20"/>
        </w:rPr>
        <w:t>iers in Public Health,</w:t>
      </w:r>
      <w:r w:rsidRPr="008F735B">
        <w:rPr>
          <w:rFonts w:ascii="Arial" w:hAnsi="Arial" w:cs="Arial"/>
          <w:color w:val="444444"/>
          <w:sz w:val="20"/>
          <w:szCs w:val="20"/>
        </w:rPr>
        <w:t xml:space="preserve"> 9:763706.</w:t>
      </w:r>
      <w:r w:rsidR="00C64931" w:rsidRPr="008F735B">
        <w:rPr>
          <w:rFonts w:ascii="Arial" w:hAnsi="Arial" w:cs="Arial"/>
          <w:color w:val="444444"/>
          <w:sz w:val="20"/>
          <w:szCs w:val="20"/>
        </w:rPr>
        <w:t xml:space="preserve"> </w:t>
      </w:r>
      <w:proofErr w:type="spellStart"/>
      <w:proofErr w:type="gramStart"/>
      <w:r w:rsidR="00C64931" w:rsidRPr="008F735B">
        <w:rPr>
          <w:rFonts w:ascii="Arial" w:hAnsi="Arial" w:cs="Arial"/>
          <w:sz w:val="20"/>
          <w:szCs w:val="20"/>
          <w:shd w:val="clear" w:color="auto" w:fill="FFFFFF"/>
        </w:rPr>
        <w:t>doi</w:t>
      </w:r>
      <w:proofErr w:type="spellEnd"/>
      <w:proofErr w:type="gramEnd"/>
      <w:r w:rsidR="00C64931" w:rsidRPr="008F735B">
        <w:rPr>
          <w:rFonts w:ascii="Arial" w:hAnsi="Arial" w:cs="Arial"/>
          <w:sz w:val="20"/>
          <w:szCs w:val="20"/>
          <w:shd w:val="clear" w:color="auto" w:fill="FFFFFF"/>
        </w:rPr>
        <w:t>: </w:t>
      </w:r>
      <w:hyperlink r:id="rId23" w:tgtFrame="_blank" w:history="1">
        <w:r w:rsidR="00C64931" w:rsidRPr="008F735B">
          <w:rPr>
            <w:rStyle w:val="Hyperlink"/>
            <w:rFonts w:ascii="Arial" w:hAnsi="Arial" w:cs="Arial"/>
            <w:color w:val="auto"/>
            <w:sz w:val="20"/>
            <w:szCs w:val="20"/>
            <w:u w:val="none"/>
            <w:shd w:val="clear" w:color="auto" w:fill="FFFFFF"/>
          </w:rPr>
          <w:t>10.3389/fpubh.2021.763706</w:t>
        </w:r>
      </w:hyperlink>
    </w:p>
    <w:p w14:paraId="032945F6"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McBride, P. (2008). Triglycerides and risk for coronary artery disease. Curr</w:t>
      </w:r>
      <w:r w:rsidR="004A3E5E" w:rsidRPr="008F735B">
        <w:rPr>
          <w:rFonts w:ascii="Arial" w:hAnsi="Arial" w:cs="Arial"/>
          <w:sz w:val="20"/>
          <w:szCs w:val="20"/>
        </w:rPr>
        <w:t>ent</w:t>
      </w:r>
      <w:r w:rsidRPr="008F735B">
        <w:rPr>
          <w:rFonts w:ascii="Arial" w:hAnsi="Arial" w:cs="Arial"/>
          <w:sz w:val="20"/>
          <w:szCs w:val="20"/>
        </w:rPr>
        <w:t xml:space="preserve"> Atheroscler</w:t>
      </w:r>
      <w:r w:rsidR="004A3E5E" w:rsidRPr="008F735B">
        <w:rPr>
          <w:rFonts w:ascii="Arial" w:hAnsi="Arial" w:cs="Arial"/>
          <w:sz w:val="20"/>
          <w:szCs w:val="20"/>
        </w:rPr>
        <w:t>osis</w:t>
      </w:r>
      <w:r w:rsidRPr="008F735B">
        <w:rPr>
          <w:rFonts w:ascii="Arial" w:hAnsi="Arial" w:cs="Arial"/>
          <w:sz w:val="20"/>
          <w:szCs w:val="20"/>
        </w:rPr>
        <w:t xml:space="preserve"> Rep</w:t>
      </w:r>
      <w:r w:rsidR="004A3E5E" w:rsidRPr="008F735B">
        <w:rPr>
          <w:rFonts w:ascii="Arial" w:hAnsi="Arial" w:cs="Arial"/>
          <w:sz w:val="20"/>
          <w:szCs w:val="20"/>
        </w:rPr>
        <w:t>ort,</w:t>
      </w:r>
      <w:r w:rsidRPr="008F735B">
        <w:rPr>
          <w:rFonts w:ascii="Arial" w:hAnsi="Arial" w:cs="Arial"/>
          <w:sz w:val="20"/>
          <w:szCs w:val="20"/>
        </w:rPr>
        <w:t xml:space="preserve"> </w:t>
      </w:r>
      <w:r w:rsidR="0039293B" w:rsidRPr="008F735B">
        <w:rPr>
          <w:rFonts w:ascii="Arial" w:hAnsi="Arial" w:cs="Arial"/>
          <w:sz w:val="20"/>
          <w:szCs w:val="20"/>
        </w:rPr>
        <w:tab/>
      </w:r>
      <w:r w:rsidR="00C64931" w:rsidRPr="008F735B">
        <w:rPr>
          <w:rFonts w:ascii="Arial" w:hAnsi="Arial" w:cs="Arial"/>
          <w:sz w:val="20"/>
          <w:szCs w:val="20"/>
        </w:rPr>
        <w:t xml:space="preserve">10(5): 386-390. </w:t>
      </w:r>
      <w:proofErr w:type="spellStart"/>
      <w:proofErr w:type="gramStart"/>
      <w:r w:rsidR="00C64931" w:rsidRPr="008F735B">
        <w:rPr>
          <w:rFonts w:ascii="Arial" w:hAnsi="Arial" w:cs="Arial"/>
          <w:color w:val="5B616B"/>
          <w:sz w:val="20"/>
          <w:szCs w:val="20"/>
          <w:shd w:val="clear" w:color="auto" w:fill="FFFFFF"/>
        </w:rPr>
        <w:t>doi</w:t>
      </w:r>
      <w:proofErr w:type="spellEnd"/>
      <w:proofErr w:type="gramEnd"/>
      <w:r w:rsidR="00C64931" w:rsidRPr="008F735B">
        <w:rPr>
          <w:rFonts w:ascii="Arial" w:hAnsi="Arial" w:cs="Arial"/>
          <w:color w:val="5B616B"/>
          <w:sz w:val="20"/>
          <w:szCs w:val="20"/>
          <w:shd w:val="clear" w:color="auto" w:fill="FFFFFF"/>
        </w:rPr>
        <w:t>: 10.1007/s11883-008-0060-9</w:t>
      </w:r>
    </w:p>
    <w:p w14:paraId="616DA30A" w14:textId="77777777" w:rsidR="00DF1102" w:rsidRPr="008F735B" w:rsidRDefault="00DF1102" w:rsidP="008F735B">
      <w:pPr>
        <w:spacing w:line="240" w:lineRule="auto"/>
        <w:ind w:left="360"/>
        <w:jc w:val="both"/>
        <w:rPr>
          <w:rFonts w:ascii="Arial" w:hAnsi="Arial" w:cs="Arial"/>
          <w:sz w:val="20"/>
          <w:szCs w:val="20"/>
        </w:rPr>
      </w:pPr>
      <w:r w:rsidRPr="000654A4">
        <w:rPr>
          <w:rFonts w:ascii="Arial" w:hAnsi="Arial" w:cs="Arial"/>
          <w:sz w:val="20"/>
          <w:szCs w:val="20"/>
          <w:highlight w:val="red"/>
        </w:rPr>
        <w:t xml:space="preserve">Mohapatra, P., Patel, S., </w:t>
      </w:r>
      <w:r w:rsidR="004A3E5E" w:rsidRPr="000654A4">
        <w:rPr>
          <w:rFonts w:ascii="Arial" w:hAnsi="Arial" w:cs="Arial"/>
          <w:sz w:val="20"/>
          <w:szCs w:val="20"/>
          <w:highlight w:val="red"/>
        </w:rPr>
        <w:t xml:space="preserve">&amp; </w:t>
      </w:r>
      <w:r w:rsidRPr="000654A4">
        <w:rPr>
          <w:rFonts w:ascii="Arial" w:hAnsi="Arial" w:cs="Arial"/>
          <w:sz w:val="20"/>
          <w:szCs w:val="20"/>
          <w:highlight w:val="red"/>
        </w:rPr>
        <w:t>Roy, P. (2020). Lipid profile alterations in petroleum refinery workers.</w:t>
      </w:r>
      <w:r w:rsidRPr="000654A4">
        <w:rPr>
          <w:rFonts w:ascii="Arial" w:hAnsi="Arial" w:cs="Arial"/>
          <w:iCs/>
          <w:sz w:val="20"/>
          <w:szCs w:val="20"/>
          <w:highlight w:val="red"/>
        </w:rPr>
        <w:t xml:space="preserve"> Asian </w:t>
      </w:r>
      <w:r w:rsidR="004A3E5E" w:rsidRPr="000654A4">
        <w:rPr>
          <w:rFonts w:ascii="Arial" w:hAnsi="Arial" w:cs="Arial"/>
          <w:iCs/>
          <w:sz w:val="20"/>
          <w:szCs w:val="20"/>
          <w:highlight w:val="red"/>
        </w:rPr>
        <w:tab/>
      </w:r>
      <w:r w:rsidRPr="000654A4">
        <w:rPr>
          <w:rFonts w:ascii="Arial" w:hAnsi="Arial" w:cs="Arial"/>
          <w:iCs/>
          <w:sz w:val="20"/>
          <w:szCs w:val="20"/>
          <w:highlight w:val="red"/>
        </w:rPr>
        <w:t>Pac</w:t>
      </w:r>
      <w:r w:rsidR="004A3E5E" w:rsidRPr="000654A4">
        <w:rPr>
          <w:rFonts w:ascii="Arial" w:hAnsi="Arial" w:cs="Arial"/>
          <w:iCs/>
          <w:sz w:val="20"/>
          <w:szCs w:val="20"/>
          <w:highlight w:val="red"/>
        </w:rPr>
        <w:t>ific</w:t>
      </w:r>
      <w:r w:rsidRPr="000654A4">
        <w:rPr>
          <w:rFonts w:ascii="Arial" w:hAnsi="Arial" w:cs="Arial"/>
          <w:iCs/>
          <w:sz w:val="20"/>
          <w:szCs w:val="20"/>
          <w:highlight w:val="red"/>
        </w:rPr>
        <w:t xml:space="preserve"> J</w:t>
      </w:r>
      <w:r w:rsidR="004A3E5E" w:rsidRPr="000654A4">
        <w:rPr>
          <w:rFonts w:ascii="Arial" w:hAnsi="Arial" w:cs="Arial"/>
          <w:iCs/>
          <w:sz w:val="20"/>
          <w:szCs w:val="20"/>
          <w:highlight w:val="red"/>
        </w:rPr>
        <w:t>ournal of</w:t>
      </w:r>
      <w:r w:rsidRPr="000654A4">
        <w:rPr>
          <w:rFonts w:ascii="Arial" w:hAnsi="Arial" w:cs="Arial"/>
          <w:iCs/>
          <w:sz w:val="20"/>
          <w:szCs w:val="20"/>
          <w:highlight w:val="red"/>
        </w:rPr>
        <w:t xml:space="preserve"> Cancer Prev</w:t>
      </w:r>
      <w:r w:rsidR="004A3E5E" w:rsidRPr="000654A4">
        <w:rPr>
          <w:rFonts w:ascii="Arial" w:hAnsi="Arial" w:cs="Arial"/>
          <w:iCs/>
          <w:sz w:val="20"/>
          <w:szCs w:val="20"/>
          <w:highlight w:val="red"/>
        </w:rPr>
        <w:t>ention,</w:t>
      </w:r>
      <w:r w:rsidRPr="000654A4">
        <w:rPr>
          <w:rFonts w:ascii="Arial" w:hAnsi="Arial" w:cs="Arial"/>
          <w:sz w:val="20"/>
          <w:szCs w:val="20"/>
          <w:highlight w:val="red"/>
        </w:rPr>
        <w:t xml:space="preserve"> 21(1):135-142.</w:t>
      </w:r>
    </w:p>
    <w:p w14:paraId="4614AB13"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National Health Service (NHS, 2021). Cardiovascular disease. National Health Service, 17 </w:t>
      </w:r>
      <w:r w:rsidR="0039293B" w:rsidRPr="008F735B">
        <w:rPr>
          <w:rFonts w:ascii="Arial" w:hAnsi="Arial" w:cs="Arial"/>
          <w:sz w:val="20"/>
          <w:szCs w:val="20"/>
        </w:rPr>
        <w:tab/>
      </w:r>
      <w:proofErr w:type="gramStart"/>
      <w:r w:rsidRPr="008F735B">
        <w:rPr>
          <w:rFonts w:ascii="Arial" w:hAnsi="Arial" w:cs="Arial"/>
          <w:sz w:val="20"/>
          <w:szCs w:val="20"/>
        </w:rPr>
        <w:t>September,</w:t>
      </w:r>
      <w:proofErr w:type="gramEnd"/>
      <w:r w:rsidRPr="008F735B">
        <w:rPr>
          <w:rFonts w:ascii="Arial" w:hAnsi="Arial" w:cs="Arial"/>
          <w:sz w:val="20"/>
          <w:szCs w:val="20"/>
        </w:rPr>
        <w:t xml:space="preserve"> 2021. </w:t>
      </w:r>
      <w:hyperlink r:id="rId24" w:history="1">
        <w:r w:rsidRPr="008F735B">
          <w:rPr>
            <w:rStyle w:val="Hyperlink"/>
            <w:rFonts w:ascii="Arial" w:hAnsi="Arial" w:cs="Arial"/>
            <w:color w:val="auto"/>
            <w:sz w:val="20"/>
            <w:szCs w:val="20"/>
            <w:u w:val="none"/>
          </w:rPr>
          <w:t>https://www.nhs.uk/conditions/cardiovascular-disease/</w:t>
        </w:r>
      </w:hyperlink>
      <w:r w:rsidRPr="008F735B">
        <w:rPr>
          <w:rFonts w:ascii="Arial" w:hAnsi="Arial" w:cs="Arial"/>
          <w:sz w:val="20"/>
          <w:szCs w:val="20"/>
        </w:rPr>
        <w:t xml:space="preserve"> (accessed </w:t>
      </w:r>
      <w:r w:rsidR="0039293B" w:rsidRPr="008F735B">
        <w:rPr>
          <w:rFonts w:ascii="Arial" w:hAnsi="Arial" w:cs="Arial"/>
          <w:sz w:val="20"/>
          <w:szCs w:val="20"/>
        </w:rPr>
        <w:tab/>
      </w:r>
      <w:r w:rsidRPr="008F735B">
        <w:rPr>
          <w:rFonts w:ascii="Arial" w:hAnsi="Arial" w:cs="Arial"/>
          <w:sz w:val="20"/>
          <w:szCs w:val="20"/>
        </w:rPr>
        <w:t>4/10/2021)</w:t>
      </w:r>
    </w:p>
    <w:p w14:paraId="21F3CCB9"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Nordestgaard, B. G., </w:t>
      </w:r>
      <w:r w:rsidR="004A3E5E" w:rsidRPr="008F735B">
        <w:rPr>
          <w:rFonts w:ascii="Arial" w:hAnsi="Arial" w:cs="Arial"/>
          <w:sz w:val="20"/>
          <w:szCs w:val="20"/>
        </w:rPr>
        <w:t xml:space="preserve">&amp; </w:t>
      </w:r>
      <w:r w:rsidRPr="008F735B">
        <w:rPr>
          <w:rFonts w:ascii="Arial" w:hAnsi="Arial" w:cs="Arial"/>
          <w:sz w:val="20"/>
          <w:szCs w:val="20"/>
        </w:rPr>
        <w:t>Varbo, A. (2014). Triglycerides and cardiovascular disease. Lancet</w:t>
      </w:r>
      <w:proofErr w:type="gramStart"/>
      <w:r w:rsidRPr="008F735B">
        <w:rPr>
          <w:rFonts w:ascii="Arial" w:hAnsi="Arial" w:cs="Arial"/>
          <w:sz w:val="20"/>
          <w:szCs w:val="20"/>
        </w:rPr>
        <w:t>;</w:t>
      </w:r>
      <w:proofErr w:type="gramEnd"/>
      <w:r w:rsidRPr="008F735B">
        <w:rPr>
          <w:rFonts w:ascii="Arial" w:hAnsi="Arial" w:cs="Arial"/>
          <w:sz w:val="20"/>
          <w:szCs w:val="20"/>
        </w:rPr>
        <w:t xml:space="preserve"> </w:t>
      </w:r>
      <w:r w:rsidR="0039293B" w:rsidRPr="008F735B">
        <w:rPr>
          <w:rFonts w:ascii="Arial" w:hAnsi="Arial" w:cs="Arial"/>
          <w:sz w:val="20"/>
          <w:szCs w:val="20"/>
        </w:rPr>
        <w:tab/>
      </w:r>
      <w:r w:rsidRPr="008F735B">
        <w:rPr>
          <w:rFonts w:ascii="Arial" w:hAnsi="Arial" w:cs="Arial"/>
          <w:sz w:val="20"/>
          <w:szCs w:val="20"/>
        </w:rPr>
        <w:t>384(9943): 626-635.</w:t>
      </w:r>
    </w:p>
    <w:p w14:paraId="2101A05D" w14:textId="2A4F90F2" w:rsidR="00DF1102" w:rsidRPr="008F735B" w:rsidRDefault="008D7F49" w:rsidP="008F735B">
      <w:pPr>
        <w:spacing w:line="240" w:lineRule="auto"/>
        <w:ind w:left="360"/>
        <w:jc w:val="both"/>
        <w:rPr>
          <w:rFonts w:ascii="Arial" w:hAnsi="Arial" w:cs="Arial"/>
          <w:sz w:val="20"/>
          <w:szCs w:val="20"/>
        </w:rPr>
      </w:pPr>
      <w:proofErr w:type="spellStart"/>
      <w:r w:rsidRPr="008F735B">
        <w:rPr>
          <w:rFonts w:ascii="Arial" w:hAnsi="Arial" w:cs="Arial"/>
          <w:sz w:val="20"/>
          <w:szCs w:val="20"/>
        </w:rPr>
        <w:t>Nwanjo</w:t>
      </w:r>
      <w:proofErr w:type="spellEnd"/>
      <w:r w:rsidRPr="008F735B">
        <w:rPr>
          <w:rFonts w:ascii="Arial" w:hAnsi="Arial" w:cs="Arial"/>
          <w:sz w:val="20"/>
          <w:szCs w:val="20"/>
        </w:rPr>
        <w:t xml:space="preserve">, H. U. &amp; </w:t>
      </w:r>
      <w:proofErr w:type="spellStart"/>
      <w:r w:rsidRPr="008F735B">
        <w:rPr>
          <w:rFonts w:ascii="Arial" w:hAnsi="Arial" w:cs="Arial"/>
          <w:sz w:val="20"/>
          <w:szCs w:val="20"/>
        </w:rPr>
        <w:t>Ojiako</w:t>
      </w:r>
      <w:proofErr w:type="spellEnd"/>
      <w:r w:rsidRPr="008F735B">
        <w:rPr>
          <w:rFonts w:ascii="Arial" w:hAnsi="Arial" w:cs="Arial"/>
          <w:sz w:val="20"/>
          <w:szCs w:val="20"/>
        </w:rPr>
        <w:t xml:space="preserve">, O. A. (2010). </w:t>
      </w:r>
      <w:r w:rsidRPr="008F735B">
        <w:rPr>
          <w:rFonts w:ascii="Arial" w:hAnsi="Arial" w:cs="Arial"/>
          <w:bCs/>
          <w:sz w:val="20"/>
          <w:szCs w:val="20"/>
          <w:shd w:val="clear" w:color="auto" w:fill="FFFFFF"/>
        </w:rPr>
        <w:t xml:space="preserve">Investigation of the Potential Health Hazards of Petrol Station </w:t>
      </w:r>
      <w:r w:rsidRPr="008F735B">
        <w:rPr>
          <w:rFonts w:ascii="Arial" w:hAnsi="Arial" w:cs="Arial"/>
          <w:bCs/>
          <w:sz w:val="20"/>
          <w:szCs w:val="20"/>
          <w:shd w:val="clear" w:color="auto" w:fill="FFFFFF"/>
        </w:rPr>
        <w:tab/>
        <w:t xml:space="preserve">Attendants in Owerri Nigeria. </w:t>
      </w:r>
      <w:hyperlink r:id="rId25" w:history="1">
        <w:r w:rsidRPr="008F735B">
          <w:rPr>
            <w:rFonts w:ascii="Arial" w:eastAsia="Times New Roman" w:hAnsi="Arial" w:cs="Arial"/>
            <w:sz w:val="20"/>
            <w:szCs w:val="20"/>
            <w:bdr w:val="none" w:sz="0" w:space="0" w:color="auto" w:frame="1"/>
          </w:rPr>
          <w:t xml:space="preserve">J </w:t>
        </w:r>
        <w:proofErr w:type="spellStart"/>
        <w:r w:rsidRPr="008F735B">
          <w:rPr>
            <w:rFonts w:ascii="Arial" w:eastAsia="Times New Roman" w:hAnsi="Arial" w:cs="Arial"/>
            <w:sz w:val="20"/>
            <w:szCs w:val="20"/>
            <w:bdr w:val="none" w:sz="0" w:space="0" w:color="auto" w:frame="1"/>
          </w:rPr>
          <w:t>Appl</w:t>
        </w:r>
        <w:proofErr w:type="spellEnd"/>
        <w:r w:rsidRPr="008F735B">
          <w:rPr>
            <w:rFonts w:ascii="Arial" w:eastAsia="Times New Roman" w:hAnsi="Arial" w:cs="Arial"/>
            <w:sz w:val="20"/>
            <w:szCs w:val="20"/>
            <w:bdr w:val="none" w:sz="0" w:space="0" w:color="auto" w:frame="1"/>
          </w:rPr>
          <w:t xml:space="preserve"> </w:t>
        </w:r>
        <w:proofErr w:type="spellStart"/>
        <w:r w:rsidRPr="008F735B">
          <w:rPr>
            <w:rFonts w:ascii="Arial" w:eastAsia="Times New Roman" w:hAnsi="Arial" w:cs="Arial"/>
            <w:sz w:val="20"/>
            <w:szCs w:val="20"/>
            <w:bdr w:val="none" w:sz="0" w:space="0" w:color="auto" w:frame="1"/>
          </w:rPr>
          <w:t>Sci</w:t>
        </w:r>
        <w:proofErr w:type="spellEnd"/>
        <w:r w:rsidRPr="008F735B">
          <w:rPr>
            <w:rFonts w:ascii="Arial" w:eastAsia="Times New Roman" w:hAnsi="Arial" w:cs="Arial"/>
            <w:sz w:val="20"/>
            <w:szCs w:val="20"/>
            <w:bdr w:val="none" w:sz="0" w:space="0" w:color="auto" w:frame="1"/>
          </w:rPr>
          <w:t xml:space="preserve"> Environ </w:t>
        </w:r>
        <w:proofErr w:type="spellStart"/>
        <w:r w:rsidRPr="008F735B">
          <w:rPr>
            <w:rFonts w:ascii="Arial" w:eastAsia="Times New Roman" w:hAnsi="Arial" w:cs="Arial"/>
            <w:sz w:val="20"/>
            <w:szCs w:val="20"/>
            <w:bdr w:val="none" w:sz="0" w:space="0" w:color="auto" w:frame="1"/>
          </w:rPr>
          <w:t>Manag</w:t>
        </w:r>
        <w:proofErr w:type="spellEnd"/>
      </w:hyperlink>
      <w:r w:rsidRPr="008F735B">
        <w:rPr>
          <w:rFonts w:ascii="Arial" w:eastAsia="Times New Roman" w:hAnsi="Arial" w:cs="Arial"/>
          <w:sz w:val="20"/>
          <w:szCs w:val="20"/>
        </w:rPr>
        <w:t xml:space="preserve">, 11(2): DOI: </w:t>
      </w:r>
      <w:hyperlink r:id="rId26" w:tgtFrame="_blank" w:history="1">
        <w:r w:rsidRPr="008F735B">
          <w:rPr>
            <w:rFonts w:ascii="Arial" w:eastAsia="Times New Roman" w:hAnsi="Arial" w:cs="Arial"/>
            <w:sz w:val="20"/>
            <w:szCs w:val="20"/>
            <w:bdr w:val="none" w:sz="0" w:space="0" w:color="auto" w:frame="1"/>
          </w:rPr>
          <w:t>10.4314/jasem.v11i2.55040</w:t>
        </w:r>
      </w:hyperlink>
    </w:p>
    <w:p w14:paraId="5671CA61"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Ogbodo, S. O., Eke, B. C., Nwobodo, E. I., Chukwurah, E. F., </w:t>
      </w:r>
      <w:r w:rsidR="004A3E5E" w:rsidRPr="008F735B">
        <w:rPr>
          <w:rFonts w:ascii="Arial" w:hAnsi="Arial" w:cs="Arial"/>
          <w:sz w:val="20"/>
          <w:szCs w:val="20"/>
        </w:rPr>
        <w:t xml:space="preserve">&amp; </w:t>
      </w:r>
      <w:r w:rsidRPr="008F735B">
        <w:rPr>
          <w:rFonts w:ascii="Arial" w:hAnsi="Arial" w:cs="Arial"/>
          <w:sz w:val="20"/>
          <w:szCs w:val="20"/>
        </w:rPr>
        <w:t xml:space="preserve">Agama, V. O. (2018). Oxidative </w:t>
      </w:r>
      <w:r w:rsidR="0039293B" w:rsidRPr="008F735B">
        <w:rPr>
          <w:rFonts w:ascii="Arial" w:hAnsi="Arial" w:cs="Arial"/>
          <w:sz w:val="20"/>
          <w:szCs w:val="20"/>
        </w:rPr>
        <w:tab/>
      </w:r>
      <w:r w:rsidRPr="008F735B">
        <w:rPr>
          <w:rFonts w:ascii="Arial" w:hAnsi="Arial" w:cs="Arial"/>
          <w:sz w:val="20"/>
          <w:szCs w:val="20"/>
        </w:rPr>
        <w:t xml:space="preserve">Modification of Lipids and Lipoproteins in Steady State Sickle Cell Anemic Patients from </w:t>
      </w:r>
      <w:r w:rsidR="0039293B" w:rsidRPr="008F735B">
        <w:rPr>
          <w:rFonts w:ascii="Arial" w:hAnsi="Arial" w:cs="Arial"/>
          <w:sz w:val="20"/>
          <w:szCs w:val="20"/>
        </w:rPr>
        <w:tab/>
      </w:r>
      <w:r w:rsidRPr="008F735B">
        <w:rPr>
          <w:rFonts w:ascii="Arial" w:hAnsi="Arial" w:cs="Arial"/>
          <w:sz w:val="20"/>
          <w:szCs w:val="20"/>
        </w:rPr>
        <w:t>South-</w:t>
      </w:r>
      <w:r w:rsidR="004A3E5E" w:rsidRPr="008F735B">
        <w:rPr>
          <w:rFonts w:ascii="Arial" w:hAnsi="Arial" w:cs="Arial"/>
          <w:sz w:val="20"/>
          <w:szCs w:val="20"/>
        </w:rPr>
        <w:tab/>
      </w:r>
      <w:r w:rsidRPr="008F735B">
        <w:rPr>
          <w:rFonts w:ascii="Arial" w:hAnsi="Arial" w:cs="Arial"/>
          <w:sz w:val="20"/>
          <w:szCs w:val="20"/>
        </w:rPr>
        <w:t>Eastern Nigeria. Am</w:t>
      </w:r>
      <w:r w:rsidR="004A3E5E" w:rsidRPr="008F735B">
        <w:rPr>
          <w:rFonts w:ascii="Arial" w:hAnsi="Arial" w:cs="Arial"/>
          <w:sz w:val="20"/>
          <w:szCs w:val="20"/>
        </w:rPr>
        <w:t>erican</w:t>
      </w:r>
      <w:r w:rsidRPr="008F735B">
        <w:rPr>
          <w:rFonts w:ascii="Arial" w:hAnsi="Arial" w:cs="Arial"/>
          <w:sz w:val="20"/>
          <w:szCs w:val="20"/>
        </w:rPr>
        <w:t xml:space="preserve"> J</w:t>
      </w:r>
      <w:r w:rsidR="004A3E5E" w:rsidRPr="008F735B">
        <w:rPr>
          <w:rFonts w:ascii="Arial" w:hAnsi="Arial" w:cs="Arial"/>
          <w:sz w:val="20"/>
          <w:szCs w:val="20"/>
        </w:rPr>
        <w:t>ournal of</w:t>
      </w:r>
      <w:r w:rsidRPr="008F735B">
        <w:rPr>
          <w:rFonts w:ascii="Arial" w:hAnsi="Arial" w:cs="Arial"/>
          <w:sz w:val="20"/>
          <w:szCs w:val="20"/>
        </w:rPr>
        <w:t xml:space="preserve"> Pediatr</w:t>
      </w:r>
      <w:r w:rsidR="004A3E5E" w:rsidRPr="008F735B">
        <w:rPr>
          <w:rFonts w:ascii="Arial" w:hAnsi="Arial" w:cs="Arial"/>
          <w:sz w:val="20"/>
          <w:szCs w:val="20"/>
        </w:rPr>
        <w:t>ics,</w:t>
      </w:r>
      <w:r w:rsidRPr="008F735B">
        <w:rPr>
          <w:rFonts w:ascii="Arial" w:hAnsi="Arial" w:cs="Arial"/>
          <w:sz w:val="20"/>
          <w:szCs w:val="20"/>
        </w:rPr>
        <w:t xml:space="preserve"> 4 (4): 84-88.</w:t>
      </w:r>
      <w:r w:rsidR="00A51A16" w:rsidRPr="008F735B">
        <w:rPr>
          <w:rFonts w:ascii="Arial" w:hAnsi="Arial" w:cs="Arial"/>
          <w:sz w:val="20"/>
          <w:szCs w:val="20"/>
        </w:rPr>
        <w:t xml:space="preserve"> </w:t>
      </w:r>
      <w:proofErr w:type="spellStart"/>
      <w:proofErr w:type="gramStart"/>
      <w:r w:rsidR="00A51A16" w:rsidRPr="008F735B">
        <w:rPr>
          <w:rFonts w:ascii="Arial" w:hAnsi="Arial" w:cs="Arial"/>
          <w:sz w:val="20"/>
          <w:szCs w:val="20"/>
        </w:rPr>
        <w:t>doi</w:t>
      </w:r>
      <w:proofErr w:type="spellEnd"/>
      <w:proofErr w:type="gramEnd"/>
      <w:r w:rsidR="00A51A16" w:rsidRPr="008F735B">
        <w:rPr>
          <w:rFonts w:ascii="Arial" w:hAnsi="Arial" w:cs="Arial"/>
          <w:sz w:val="20"/>
          <w:szCs w:val="20"/>
        </w:rPr>
        <w:t>: 10.11648/j.ajp.20180404.12</w:t>
      </w:r>
    </w:p>
    <w:p w14:paraId="5E9B87D5" w14:textId="757E0D92" w:rsidR="00644C3C" w:rsidRPr="008F735B" w:rsidRDefault="00644C3C" w:rsidP="008F735B">
      <w:pPr>
        <w:spacing w:line="240" w:lineRule="auto"/>
        <w:ind w:left="360"/>
        <w:jc w:val="both"/>
        <w:rPr>
          <w:rFonts w:ascii="Arial" w:hAnsi="Arial" w:cs="Arial"/>
          <w:sz w:val="20"/>
          <w:szCs w:val="20"/>
        </w:rPr>
      </w:pPr>
      <w:r w:rsidRPr="008F735B">
        <w:rPr>
          <w:rFonts w:ascii="Arial" w:hAnsi="Arial" w:cs="Arial"/>
          <w:sz w:val="20"/>
          <w:szCs w:val="20"/>
        </w:rPr>
        <w:t xml:space="preserve">Saranya, K., Naga, R. M., </w:t>
      </w:r>
      <w:proofErr w:type="spellStart"/>
      <w:r w:rsidRPr="008F735B">
        <w:rPr>
          <w:rFonts w:ascii="Arial" w:hAnsi="Arial" w:cs="Arial"/>
          <w:sz w:val="20"/>
          <w:szCs w:val="20"/>
        </w:rPr>
        <w:t>Mallavarapu</w:t>
      </w:r>
      <w:proofErr w:type="spellEnd"/>
      <w:r w:rsidRPr="008F735B">
        <w:rPr>
          <w:rFonts w:ascii="Arial" w:hAnsi="Arial" w:cs="Arial"/>
          <w:sz w:val="20"/>
          <w:szCs w:val="20"/>
        </w:rPr>
        <w:t xml:space="preserve">, M., &amp; </w:t>
      </w:r>
      <w:proofErr w:type="spellStart"/>
      <w:r w:rsidRPr="008F735B">
        <w:rPr>
          <w:rFonts w:ascii="Arial" w:hAnsi="Arial" w:cs="Arial"/>
          <w:sz w:val="20"/>
          <w:szCs w:val="20"/>
        </w:rPr>
        <w:t>Kadiyala</w:t>
      </w:r>
      <w:proofErr w:type="spellEnd"/>
      <w:r w:rsidRPr="008F735B">
        <w:rPr>
          <w:rFonts w:ascii="Arial" w:hAnsi="Arial" w:cs="Arial"/>
          <w:sz w:val="20"/>
          <w:szCs w:val="20"/>
        </w:rPr>
        <w:t xml:space="preserve">, V. (2019). An overview of total Petroleum </w:t>
      </w:r>
      <w:r w:rsidRPr="008F735B">
        <w:rPr>
          <w:rFonts w:ascii="Arial" w:hAnsi="Arial" w:cs="Arial"/>
          <w:sz w:val="20"/>
          <w:szCs w:val="20"/>
        </w:rPr>
        <w:tab/>
        <w:t>Hydrocarbons. https://link.springer.com/chapter/10.1007/978-3-030-24035-6_1</w:t>
      </w:r>
    </w:p>
    <w:p w14:paraId="088FC226" w14:textId="455850D2" w:rsidR="00DF1102" w:rsidRPr="008F735B" w:rsidRDefault="00FE6957" w:rsidP="008F735B">
      <w:pPr>
        <w:spacing w:line="240" w:lineRule="auto"/>
        <w:ind w:left="360"/>
        <w:jc w:val="both"/>
        <w:rPr>
          <w:rFonts w:ascii="Arial" w:hAnsi="Arial" w:cs="Arial"/>
          <w:sz w:val="20"/>
          <w:szCs w:val="20"/>
        </w:rPr>
      </w:pPr>
      <w:proofErr w:type="spellStart"/>
      <w:r w:rsidRPr="008F735B">
        <w:rPr>
          <w:rFonts w:ascii="Arial" w:hAnsi="Arial" w:cs="Arial"/>
          <w:sz w:val="20"/>
          <w:szCs w:val="20"/>
        </w:rPr>
        <w:t>Shabil</w:t>
      </w:r>
      <w:proofErr w:type="spellEnd"/>
      <w:r w:rsidRPr="008F735B">
        <w:rPr>
          <w:rFonts w:ascii="Arial" w:hAnsi="Arial" w:cs="Arial"/>
          <w:sz w:val="20"/>
          <w:szCs w:val="20"/>
        </w:rPr>
        <w:t xml:space="preserve">, M., </w:t>
      </w:r>
      <w:proofErr w:type="spellStart"/>
      <w:r w:rsidRPr="008F735B">
        <w:rPr>
          <w:rFonts w:ascii="Arial" w:hAnsi="Arial" w:cs="Arial"/>
          <w:sz w:val="20"/>
          <w:szCs w:val="20"/>
        </w:rPr>
        <w:t>Gaidhane</w:t>
      </w:r>
      <w:proofErr w:type="spellEnd"/>
      <w:r w:rsidRPr="008F735B">
        <w:rPr>
          <w:rFonts w:ascii="Arial" w:hAnsi="Arial" w:cs="Arial"/>
          <w:sz w:val="20"/>
          <w:szCs w:val="20"/>
        </w:rPr>
        <w:t xml:space="preserve"> A. M., Vadia, N., Menon, S. V., </w:t>
      </w:r>
      <w:proofErr w:type="spellStart"/>
      <w:r w:rsidRPr="008F735B">
        <w:rPr>
          <w:rFonts w:ascii="Arial" w:hAnsi="Arial" w:cs="Arial"/>
          <w:sz w:val="20"/>
          <w:szCs w:val="20"/>
        </w:rPr>
        <w:t>Chennakesavulu</w:t>
      </w:r>
      <w:proofErr w:type="spellEnd"/>
      <w:r w:rsidRPr="008F735B">
        <w:rPr>
          <w:rFonts w:ascii="Arial" w:hAnsi="Arial" w:cs="Arial"/>
          <w:sz w:val="20"/>
          <w:szCs w:val="20"/>
        </w:rPr>
        <w:t xml:space="preserve">, K., Panigrahi, R. et al. (2025). </w:t>
      </w:r>
      <w:r w:rsidRPr="008F735B">
        <w:rPr>
          <w:rFonts w:ascii="Arial" w:hAnsi="Arial" w:cs="Arial"/>
          <w:sz w:val="20"/>
          <w:szCs w:val="20"/>
        </w:rPr>
        <w:tab/>
        <w:t xml:space="preserve">Association between hydrocarbon exposure and risk of stroke: a systematic literature review. BMC </w:t>
      </w:r>
      <w:r w:rsidRPr="008F735B">
        <w:rPr>
          <w:rFonts w:ascii="Arial" w:hAnsi="Arial" w:cs="Arial"/>
          <w:sz w:val="20"/>
          <w:szCs w:val="20"/>
        </w:rPr>
        <w:tab/>
        <w:t>Neurology, 25:71-80. https://doi.org/10.1186/s12883-025-04083-x</w:t>
      </w:r>
    </w:p>
    <w:p w14:paraId="0E17D877" w14:textId="77777777" w:rsidR="00DF1102" w:rsidRPr="008F735B" w:rsidRDefault="00DF1102" w:rsidP="008F735B">
      <w:pPr>
        <w:spacing w:line="240" w:lineRule="auto"/>
        <w:ind w:left="360"/>
        <w:jc w:val="both"/>
        <w:rPr>
          <w:rFonts w:ascii="Arial" w:hAnsi="Arial" w:cs="Arial"/>
          <w:sz w:val="20"/>
          <w:szCs w:val="20"/>
        </w:rPr>
      </w:pPr>
      <w:r w:rsidRPr="000654A4">
        <w:rPr>
          <w:rFonts w:ascii="Arial" w:hAnsi="Arial" w:cs="Arial"/>
          <w:color w:val="232323"/>
          <w:sz w:val="20"/>
          <w:szCs w:val="20"/>
          <w:highlight w:val="yellow"/>
          <w:shd w:val="clear" w:color="auto" w:fill="FFFFFF"/>
        </w:rPr>
        <w:t xml:space="preserve">Speight J. G. (2014). The Chemistry and Technology of Petroleum. </w:t>
      </w:r>
      <w:proofErr w:type="gramStart"/>
      <w:r w:rsidRPr="000654A4">
        <w:rPr>
          <w:rFonts w:ascii="Arial" w:hAnsi="Arial" w:cs="Arial"/>
          <w:color w:val="232323"/>
          <w:sz w:val="20"/>
          <w:szCs w:val="20"/>
          <w:highlight w:val="yellow"/>
          <w:shd w:val="clear" w:color="auto" w:fill="FFFFFF"/>
        </w:rPr>
        <w:t>5th</w:t>
      </w:r>
      <w:proofErr w:type="gramEnd"/>
      <w:r w:rsidRPr="000654A4">
        <w:rPr>
          <w:rFonts w:ascii="Arial" w:hAnsi="Arial" w:cs="Arial"/>
          <w:color w:val="232323"/>
          <w:sz w:val="20"/>
          <w:szCs w:val="20"/>
          <w:highlight w:val="yellow"/>
          <w:shd w:val="clear" w:color="auto" w:fill="FFFFFF"/>
        </w:rPr>
        <w:t xml:space="preserve"> Edition, CRC Press, Taylor </w:t>
      </w:r>
      <w:r w:rsidR="0039293B" w:rsidRPr="000654A4">
        <w:rPr>
          <w:rFonts w:ascii="Arial" w:hAnsi="Arial" w:cs="Arial"/>
          <w:color w:val="232323"/>
          <w:sz w:val="20"/>
          <w:szCs w:val="20"/>
          <w:highlight w:val="yellow"/>
          <w:shd w:val="clear" w:color="auto" w:fill="FFFFFF"/>
        </w:rPr>
        <w:tab/>
      </w:r>
      <w:r w:rsidRPr="000654A4">
        <w:rPr>
          <w:rFonts w:ascii="Arial" w:hAnsi="Arial" w:cs="Arial"/>
          <w:color w:val="232323"/>
          <w:sz w:val="20"/>
          <w:szCs w:val="20"/>
          <w:highlight w:val="yellow"/>
          <w:shd w:val="clear" w:color="auto" w:fill="FFFFFF"/>
        </w:rPr>
        <w:t>&amp; Francis Group, Boca Raton, FL, pp234</w:t>
      </w:r>
    </w:p>
    <w:p w14:paraId="43D80A99"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color w:val="444444"/>
          <w:sz w:val="20"/>
          <w:szCs w:val="20"/>
        </w:rPr>
        <w:t xml:space="preserve">Sun, Q., Yue, P., Ying, Z., </w:t>
      </w:r>
      <w:proofErr w:type="spellStart"/>
      <w:r w:rsidRPr="008F735B">
        <w:rPr>
          <w:rFonts w:ascii="Arial" w:hAnsi="Arial" w:cs="Arial"/>
          <w:color w:val="444444"/>
          <w:sz w:val="20"/>
          <w:szCs w:val="20"/>
        </w:rPr>
        <w:t>Cardounel</w:t>
      </w:r>
      <w:proofErr w:type="spellEnd"/>
      <w:r w:rsidRPr="008F735B">
        <w:rPr>
          <w:rFonts w:ascii="Arial" w:hAnsi="Arial" w:cs="Arial"/>
          <w:color w:val="444444"/>
          <w:sz w:val="20"/>
          <w:szCs w:val="20"/>
        </w:rPr>
        <w:t xml:space="preserve">, A. J., Brook, R. D., Devlin, R. et al. (2008). Air pollution </w:t>
      </w:r>
      <w:r w:rsidR="0039293B" w:rsidRPr="008F735B">
        <w:rPr>
          <w:rFonts w:ascii="Arial" w:hAnsi="Arial" w:cs="Arial"/>
          <w:color w:val="444444"/>
          <w:sz w:val="20"/>
          <w:szCs w:val="20"/>
        </w:rPr>
        <w:tab/>
      </w:r>
      <w:r w:rsidRPr="008F735B">
        <w:rPr>
          <w:rFonts w:ascii="Arial" w:hAnsi="Arial" w:cs="Arial"/>
          <w:color w:val="444444"/>
          <w:sz w:val="20"/>
          <w:szCs w:val="20"/>
        </w:rPr>
        <w:t xml:space="preserve">exposure potentiates hypertension through reactive oxygen species-mediated activation of </w:t>
      </w:r>
      <w:r w:rsidR="0039293B" w:rsidRPr="008F735B">
        <w:rPr>
          <w:rFonts w:ascii="Arial" w:hAnsi="Arial" w:cs="Arial"/>
          <w:color w:val="444444"/>
          <w:sz w:val="20"/>
          <w:szCs w:val="20"/>
        </w:rPr>
        <w:tab/>
      </w:r>
      <w:r w:rsidRPr="008F735B">
        <w:rPr>
          <w:rFonts w:ascii="Arial" w:hAnsi="Arial" w:cs="Arial"/>
          <w:color w:val="444444"/>
          <w:sz w:val="20"/>
          <w:szCs w:val="20"/>
        </w:rPr>
        <w:t>Rho/ROCK. Arterioscler</w:t>
      </w:r>
      <w:r w:rsidR="00506F1A" w:rsidRPr="008F735B">
        <w:rPr>
          <w:rFonts w:ascii="Arial" w:hAnsi="Arial" w:cs="Arial"/>
          <w:color w:val="444444"/>
          <w:sz w:val="20"/>
          <w:szCs w:val="20"/>
        </w:rPr>
        <w:t>osis and</w:t>
      </w:r>
      <w:r w:rsidRPr="008F735B">
        <w:rPr>
          <w:rFonts w:ascii="Arial" w:hAnsi="Arial" w:cs="Arial"/>
          <w:color w:val="444444"/>
          <w:sz w:val="20"/>
          <w:szCs w:val="20"/>
        </w:rPr>
        <w:t xml:space="preserve"> Thromb</w:t>
      </w:r>
      <w:r w:rsidR="00506F1A" w:rsidRPr="008F735B">
        <w:rPr>
          <w:rFonts w:ascii="Arial" w:hAnsi="Arial" w:cs="Arial"/>
          <w:color w:val="444444"/>
          <w:sz w:val="20"/>
          <w:szCs w:val="20"/>
        </w:rPr>
        <w:t>otic</w:t>
      </w:r>
      <w:r w:rsidRPr="008F735B">
        <w:rPr>
          <w:rFonts w:ascii="Arial" w:hAnsi="Arial" w:cs="Arial"/>
          <w:color w:val="444444"/>
          <w:sz w:val="20"/>
          <w:szCs w:val="20"/>
        </w:rPr>
        <w:t xml:space="preserve"> Vasc</w:t>
      </w:r>
      <w:r w:rsidR="00506F1A" w:rsidRPr="008F735B">
        <w:rPr>
          <w:rFonts w:ascii="Arial" w:hAnsi="Arial" w:cs="Arial"/>
          <w:color w:val="444444"/>
          <w:sz w:val="20"/>
          <w:szCs w:val="20"/>
        </w:rPr>
        <w:t>ular</w:t>
      </w:r>
      <w:r w:rsidRPr="008F735B">
        <w:rPr>
          <w:rFonts w:ascii="Arial" w:hAnsi="Arial" w:cs="Arial"/>
          <w:color w:val="444444"/>
          <w:sz w:val="20"/>
          <w:szCs w:val="20"/>
        </w:rPr>
        <w:t xml:space="preserve"> Biol</w:t>
      </w:r>
      <w:r w:rsidR="00506F1A" w:rsidRPr="008F735B">
        <w:rPr>
          <w:rFonts w:ascii="Arial" w:hAnsi="Arial" w:cs="Arial"/>
          <w:color w:val="444444"/>
          <w:sz w:val="20"/>
          <w:szCs w:val="20"/>
        </w:rPr>
        <w:t>ogy,</w:t>
      </w:r>
      <w:r w:rsidRPr="008F735B">
        <w:rPr>
          <w:rFonts w:ascii="Arial" w:hAnsi="Arial" w:cs="Arial"/>
          <w:color w:val="444444"/>
          <w:sz w:val="20"/>
          <w:szCs w:val="20"/>
        </w:rPr>
        <w:t xml:space="preserve"> 28:1760-1766</w:t>
      </w:r>
      <w:r w:rsidR="00695B2B" w:rsidRPr="008F735B">
        <w:rPr>
          <w:rFonts w:ascii="Arial" w:hAnsi="Arial" w:cs="Arial"/>
          <w:color w:val="444444"/>
          <w:sz w:val="20"/>
          <w:szCs w:val="20"/>
        </w:rPr>
        <w:t xml:space="preserve">. </w:t>
      </w:r>
      <w:proofErr w:type="spellStart"/>
      <w:proofErr w:type="gramStart"/>
      <w:r w:rsidR="00695B2B" w:rsidRPr="008F735B">
        <w:rPr>
          <w:rStyle w:val="citation-doi"/>
          <w:rFonts w:ascii="Arial" w:hAnsi="Arial" w:cs="Arial"/>
          <w:color w:val="5B616B"/>
          <w:sz w:val="20"/>
          <w:szCs w:val="20"/>
          <w:shd w:val="clear" w:color="auto" w:fill="FFFFFF"/>
        </w:rPr>
        <w:t>doi</w:t>
      </w:r>
      <w:proofErr w:type="spellEnd"/>
      <w:proofErr w:type="gramEnd"/>
      <w:r w:rsidR="00695B2B" w:rsidRPr="008F735B">
        <w:rPr>
          <w:rStyle w:val="citation-doi"/>
          <w:rFonts w:ascii="Arial" w:hAnsi="Arial" w:cs="Arial"/>
          <w:color w:val="5B616B"/>
          <w:sz w:val="20"/>
          <w:szCs w:val="20"/>
          <w:shd w:val="clear" w:color="auto" w:fill="FFFFFF"/>
        </w:rPr>
        <w:t xml:space="preserve">: </w:t>
      </w:r>
      <w:r w:rsidR="00695B2B" w:rsidRPr="008F735B">
        <w:rPr>
          <w:rStyle w:val="citation-doi"/>
          <w:rFonts w:ascii="Arial" w:hAnsi="Arial" w:cs="Arial"/>
          <w:color w:val="5B616B"/>
          <w:sz w:val="20"/>
          <w:szCs w:val="20"/>
          <w:shd w:val="clear" w:color="auto" w:fill="FFFFFF"/>
        </w:rPr>
        <w:tab/>
        <w:t>10.1161/ATVBAHA.108.166967</w:t>
      </w:r>
    </w:p>
    <w:p w14:paraId="521B605B"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lastRenderedPageBreak/>
        <w:t xml:space="preserve">United Nations (UN 2025). </w:t>
      </w:r>
      <w:r w:rsidRPr="008F735B">
        <w:rPr>
          <w:rFonts w:ascii="Arial" w:hAnsi="Arial" w:cs="Arial"/>
          <w:color w:val="444444"/>
          <w:sz w:val="20"/>
          <w:szCs w:val="20"/>
        </w:rPr>
        <w:t xml:space="preserve">Enugu, Nigeria Metro Area Population 1950-2025. </w:t>
      </w:r>
      <w:r w:rsidR="0039293B" w:rsidRPr="008F735B">
        <w:rPr>
          <w:rFonts w:ascii="Arial" w:hAnsi="Arial" w:cs="Arial"/>
          <w:color w:val="444444"/>
          <w:sz w:val="20"/>
          <w:szCs w:val="20"/>
        </w:rPr>
        <w:tab/>
      </w:r>
      <w:hyperlink r:id="rId27" w:history="1">
        <w:r w:rsidRPr="008F735B">
          <w:rPr>
            <w:rStyle w:val="Hyperlink"/>
            <w:rFonts w:ascii="Arial" w:hAnsi="Arial" w:cs="Arial"/>
            <w:color w:val="auto"/>
            <w:sz w:val="20"/>
            <w:szCs w:val="20"/>
            <w:u w:val="none"/>
          </w:rPr>
          <w:t>https://www.macrotrends.net/cities/21986/enugu/population</w:t>
        </w:r>
      </w:hyperlink>
      <w:r w:rsidRPr="008F735B">
        <w:rPr>
          <w:rFonts w:ascii="Arial" w:hAnsi="Arial" w:cs="Arial"/>
          <w:color w:val="444444"/>
          <w:sz w:val="20"/>
          <w:szCs w:val="20"/>
        </w:rPr>
        <w:t xml:space="preserve">  (</w:t>
      </w:r>
      <w:r w:rsidR="009769BA" w:rsidRPr="008F735B">
        <w:rPr>
          <w:rFonts w:ascii="Arial" w:hAnsi="Arial" w:cs="Arial"/>
          <w:color w:val="444444"/>
          <w:sz w:val="20"/>
          <w:szCs w:val="20"/>
        </w:rPr>
        <w:t>accessed 16/2/2025</w:t>
      </w:r>
      <w:r w:rsidRPr="008F735B">
        <w:rPr>
          <w:rFonts w:ascii="Arial" w:hAnsi="Arial" w:cs="Arial"/>
          <w:color w:val="444444"/>
          <w:sz w:val="20"/>
          <w:szCs w:val="20"/>
        </w:rPr>
        <w:t>)</w:t>
      </w:r>
    </w:p>
    <w:p w14:paraId="2E7B01E7" w14:textId="77777777" w:rsidR="00DF1102" w:rsidRPr="008F735B" w:rsidRDefault="00DF1102" w:rsidP="008F735B">
      <w:pPr>
        <w:spacing w:line="240" w:lineRule="auto"/>
        <w:ind w:left="360"/>
        <w:jc w:val="both"/>
        <w:rPr>
          <w:rFonts w:ascii="Arial" w:hAnsi="Arial" w:cs="Arial"/>
          <w:sz w:val="20"/>
          <w:szCs w:val="20"/>
        </w:rPr>
      </w:pPr>
      <w:r w:rsidRPr="008F735B">
        <w:rPr>
          <w:rFonts w:ascii="Arial" w:hAnsi="Arial" w:cs="Arial"/>
          <w:sz w:val="20"/>
          <w:szCs w:val="20"/>
        </w:rPr>
        <w:t xml:space="preserve">WHO (2021). Cardiovascular diseases (CVDs). World Health Organization, 11 June 2021. </w:t>
      </w:r>
      <w:r w:rsidR="0039293B" w:rsidRPr="008F735B">
        <w:rPr>
          <w:rFonts w:ascii="Arial" w:hAnsi="Arial" w:cs="Arial"/>
          <w:sz w:val="20"/>
          <w:szCs w:val="20"/>
        </w:rPr>
        <w:tab/>
      </w:r>
      <w:hyperlink r:id="rId28" w:history="1">
        <w:r w:rsidRPr="008F735B">
          <w:rPr>
            <w:rStyle w:val="Hyperlink"/>
            <w:rFonts w:ascii="Arial" w:hAnsi="Arial" w:cs="Arial"/>
            <w:color w:val="auto"/>
            <w:sz w:val="20"/>
            <w:szCs w:val="20"/>
            <w:u w:val="none"/>
          </w:rPr>
          <w:t>https://www.who.int/news-room/fact-sheets/detail/cardiovascular-diseases-(cvds)</w:t>
        </w:r>
      </w:hyperlink>
      <w:r w:rsidRPr="008F735B">
        <w:rPr>
          <w:rFonts w:ascii="Arial" w:hAnsi="Arial" w:cs="Arial"/>
          <w:sz w:val="20"/>
          <w:szCs w:val="20"/>
        </w:rPr>
        <w:t xml:space="preserve"> (accessed </w:t>
      </w:r>
      <w:r w:rsidR="0039293B" w:rsidRPr="008F735B">
        <w:rPr>
          <w:rFonts w:ascii="Arial" w:hAnsi="Arial" w:cs="Arial"/>
          <w:sz w:val="20"/>
          <w:szCs w:val="20"/>
        </w:rPr>
        <w:tab/>
      </w:r>
      <w:r w:rsidRPr="008F735B">
        <w:rPr>
          <w:rFonts w:ascii="Arial" w:hAnsi="Arial" w:cs="Arial"/>
          <w:sz w:val="20"/>
          <w:szCs w:val="20"/>
        </w:rPr>
        <w:t>4/10/2021).</w:t>
      </w:r>
    </w:p>
    <w:p w14:paraId="5D3A3E4F" w14:textId="1E084D51" w:rsidR="000325A1" w:rsidRPr="008F735B" w:rsidRDefault="00DF1102" w:rsidP="008F735B">
      <w:pPr>
        <w:spacing w:line="240" w:lineRule="auto"/>
        <w:ind w:left="360"/>
        <w:jc w:val="both"/>
        <w:rPr>
          <w:rFonts w:ascii="Arial" w:hAnsi="Arial" w:cs="Arial"/>
          <w:color w:val="5B616B"/>
          <w:sz w:val="20"/>
          <w:szCs w:val="20"/>
          <w:shd w:val="clear" w:color="auto" w:fill="FFFFFF"/>
        </w:rPr>
      </w:pPr>
      <w:bookmarkStart w:id="3" w:name="_GoBack"/>
      <w:r w:rsidRPr="008F735B">
        <w:rPr>
          <w:rFonts w:ascii="Arial" w:hAnsi="Arial" w:cs="Arial"/>
          <w:color w:val="000000" w:themeColor="text1"/>
          <w:sz w:val="20"/>
          <w:szCs w:val="20"/>
        </w:rPr>
        <w:t xml:space="preserve">Xia, T., Li, Y., Huang, F., Chai, H., Huang, B., Li, Q., et al. (2019). The triglyceride paradox in the mortality </w:t>
      </w:r>
      <w:r w:rsidR="00882F46" w:rsidRPr="008F735B">
        <w:rPr>
          <w:rFonts w:ascii="Arial" w:hAnsi="Arial" w:cs="Arial"/>
          <w:color w:val="000000" w:themeColor="text1"/>
          <w:sz w:val="20"/>
          <w:szCs w:val="20"/>
        </w:rPr>
        <w:tab/>
      </w:r>
      <w:r w:rsidRPr="008F735B">
        <w:rPr>
          <w:rFonts w:ascii="Arial" w:hAnsi="Arial" w:cs="Arial"/>
          <w:color w:val="000000" w:themeColor="text1"/>
          <w:sz w:val="20"/>
          <w:szCs w:val="20"/>
        </w:rPr>
        <w:t xml:space="preserve">of coronary artery disease. Lipids </w:t>
      </w:r>
      <w:r w:rsidR="00506F1A" w:rsidRPr="008F735B">
        <w:rPr>
          <w:rFonts w:ascii="Arial" w:hAnsi="Arial" w:cs="Arial"/>
          <w:color w:val="000000" w:themeColor="text1"/>
          <w:sz w:val="20"/>
          <w:szCs w:val="20"/>
        </w:rPr>
        <w:t xml:space="preserve">in </w:t>
      </w:r>
      <w:r w:rsidRPr="008F735B">
        <w:rPr>
          <w:rFonts w:ascii="Arial" w:hAnsi="Arial" w:cs="Arial"/>
          <w:color w:val="000000" w:themeColor="text1"/>
          <w:sz w:val="20"/>
          <w:szCs w:val="20"/>
        </w:rPr>
        <w:t xml:space="preserve">Health </w:t>
      </w:r>
      <w:r w:rsidR="00506F1A" w:rsidRPr="008F735B">
        <w:rPr>
          <w:rFonts w:ascii="Arial" w:hAnsi="Arial" w:cs="Arial"/>
          <w:color w:val="000000" w:themeColor="text1"/>
          <w:sz w:val="20"/>
          <w:szCs w:val="20"/>
        </w:rPr>
        <w:t xml:space="preserve">and </w:t>
      </w:r>
      <w:r w:rsidRPr="008F735B">
        <w:rPr>
          <w:rFonts w:ascii="Arial" w:hAnsi="Arial" w:cs="Arial"/>
          <w:color w:val="000000" w:themeColor="text1"/>
          <w:sz w:val="20"/>
          <w:szCs w:val="20"/>
        </w:rPr>
        <w:t>Dis</w:t>
      </w:r>
      <w:r w:rsidR="00506F1A" w:rsidRPr="008F735B">
        <w:rPr>
          <w:rFonts w:ascii="Arial" w:hAnsi="Arial" w:cs="Arial"/>
          <w:color w:val="000000" w:themeColor="text1"/>
          <w:sz w:val="20"/>
          <w:szCs w:val="20"/>
        </w:rPr>
        <w:t>eases,</w:t>
      </w:r>
      <w:r w:rsidRPr="008F735B">
        <w:rPr>
          <w:rFonts w:ascii="Arial" w:hAnsi="Arial" w:cs="Arial"/>
          <w:color w:val="000000" w:themeColor="text1"/>
          <w:sz w:val="20"/>
          <w:szCs w:val="20"/>
        </w:rPr>
        <w:t xml:space="preserve"> 18: 21.</w:t>
      </w:r>
      <w:r w:rsidR="009A5FFA" w:rsidRPr="008F735B">
        <w:rPr>
          <w:rFonts w:ascii="Arial" w:hAnsi="Arial" w:cs="Arial"/>
          <w:color w:val="000000" w:themeColor="text1"/>
          <w:sz w:val="20"/>
          <w:szCs w:val="20"/>
        </w:rPr>
        <w:t xml:space="preserve"> </w:t>
      </w:r>
      <w:proofErr w:type="spellStart"/>
      <w:proofErr w:type="gramStart"/>
      <w:r w:rsidR="009A5FFA" w:rsidRPr="008F735B">
        <w:rPr>
          <w:rFonts w:ascii="Arial" w:hAnsi="Arial" w:cs="Arial"/>
          <w:color w:val="5B616B"/>
          <w:sz w:val="20"/>
          <w:szCs w:val="20"/>
          <w:shd w:val="clear" w:color="auto" w:fill="FFFFFF"/>
        </w:rPr>
        <w:t>doi</w:t>
      </w:r>
      <w:proofErr w:type="spellEnd"/>
      <w:proofErr w:type="gramEnd"/>
      <w:r w:rsidR="009A5FFA" w:rsidRPr="008F735B">
        <w:rPr>
          <w:rFonts w:ascii="Arial" w:hAnsi="Arial" w:cs="Arial"/>
          <w:color w:val="5B616B"/>
          <w:sz w:val="20"/>
          <w:szCs w:val="20"/>
          <w:shd w:val="clear" w:color="auto" w:fill="FFFFFF"/>
        </w:rPr>
        <w:t>: 10.1186/s12944-019-0972-</w:t>
      </w:r>
      <w:r w:rsidR="00882F46" w:rsidRPr="008F735B">
        <w:rPr>
          <w:rFonts w:ascii="Arial" w:hAnsi="Arial" w:cs="Arial"/>
          <w:color w:val="5B616B"/>
          <w:sz w:val="20"/>
          <w:szCs w:val="20"/>
          <w:shd w:val="clear" w:color="auto" w:fill="FFFFFF"/>
        </w:rPr>
        <w:tab/>
      </w:r>
      <w:r w:rsidR="009A5FFA" w:rsidRPr="008F735B">
        <w:rPr>
          <w:rFonts w:ascii="Arial" w:hAnsi="Arial" w:cs="Arial"/>
          <w:color w:val="5B616B"/>
          <w:sz w:val="20"/>
          <w:szCs w:val="20"/>
          <w:shd w:val="clear" w:color="auto" w:fill="FFFFFF"/>
        </w:rPr>
        <w:t>0</w:t>
      </w:r>
      <w:bookmarkEnd w:id="3"/>
    </w:p>
    <w:sectPr w:rsidR="000325A1" w:rsidRPr="008F735B">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9183" w14:textId="77777777" w:rsidR="007E53E3" w:rsidRDefault="007E53E3" w:rsidP="00DD2976">
      <w:pPr>
        <w:spacing w:after="0" w:line="240" w:lineRule="auto"/>
      </w:pPr>
      <w:r>
        <w:separator/>
      </w:r>
    </w:p>
  </w:endnote>
  <w:endnote w:type="continuationSeparator" w:id="0">
    <w:p w14:paraId="1D2F7D69" w14:textId="77777777" w:rsidR="007E53E3" w:rsidRDefault="007E53E3" w:rsidP="00DD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B4EA5" w14:textId="77777777" w:rsidR="00DD2976" w:rsidRDefault="00DD2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CA5F" w14:textId="77777777" w:rsidR="00DD2976" w:rsidRDefault="00DD2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CE03" w14:textId="77777777" w:rsidR="00DD2976" w:rsidRDefault="00DD2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3423" w14:textId="77777777" w:rsidR="007E53E3" w:rsidRDefault="007E53E3" w:rsidP="00DD2976">
      <w:pPr>
        <w:spacing w:after="0" w:line="240" w:lineRule="auto"/>
      </w:pPr>
      <w:r>
        <w:separator/>
      </w:r>
    </w:p>
  </w:footnote>
  <w:footnote w:type="continuationSeparator" w:id="0">
    <w:p w14:paraId="39D56C4C" w14:textId="77777777" w:rsidR="007E53E3" w:rsidRDefault="007E53E3" w:rsidP="00DD2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B285" w14:textId="35569549" w:rsidR="00DD2976" w:rsidRDefault="007E53E3">
    <w:pPr>
      <w:pStyle w:val="Header"/>
    </w:pPr>
    <w:r>
      <w:rPr>
        <w:noProof/>
      </w:rPr>
      <w:pict w14:anchorId="185FF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D38D" w14:textId="020829C8" w:rsidR="00DD2976" w:rsidRDefault="007E53E3">
    <w:pPr>
      <w:pStyle w:val="Header"/>
    </w:pPr>
    <w:r>
      <w:rPr>
        <w:noProof/>
      </w:rPr>
      <w:pict w14:anchorId="4F657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29EC" w14:textId="4892F3FB" w:rsidR="00DD2976" w:rsidRDefault="007E53E3">
    <w:pPr>
      <w:pStyle w:val="Header"/>
    </w:pPr>
    <w:r>
      <w:rPr>
        <w:noProof/>
      </w:rPr>
      <w:pict w14:anchorId="1FF9A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3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3DEF"/>
    <w:multiLevelType w:val="multilevel"/>
    <w:tmpl w:val="47223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CB26E7E"/>
    <w:multiLevelType w:val="multilevel"/>
    <w:tmpl w:val="2C6E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258F0"/>
    <w:multiLevelType w:val="hybridMultilevel"/>
    <w:tmpl w:val="BF74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BE1686"/>
    <w:multiLevelType w:val="multilevel"/>
    <w:tmpl w:val="97C4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F31613"/>
    <w:multiLevelType w:val="multilevel"/>
    <w:tmpl w:val="3AE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E757AC"/>
    <w:multiLevelType w:val="hybridMultilevel"/>
    <w:tmpl w:val="5F1E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38"/>
    <w:rsid w:val="00002A57"/>
    <w:rsid w:val="000325A1"/>
    <w:rsid w:val="000654A4"/>
    <w:rsid w:val="00066C35"/>
    <w:rsid w:val="00090317"/>
    <w:rsid w:val="000927C3"/>
    <w:rsid w:val="000A3CFF"/>
    <w:rsid w:val="000B2500"/>
    <w:rsid w:val="001961E6"/>
    <w:rsid w:val="0019641D"/>
    <w:rsid w:val="00255FEF"/>
    <w:rsid w:val="003113B6"/>
    <w:rsid w:val="0031507B"/>
    <w:rsid w:val="00334719"/>
    <w:rsid w:val="00373A97"/>
    <w:rsid w:val="00382B28"/>
    <w:rsid w:val="0039293B"/>
    <w:rsid w:val="003D682E"/>
    <w:rsid w:val="003D68FF"/>
    <w:rsid w:val="003E4FC0"/>
    <w:rsid w:val="003F1C38"/>
    <w:rsid w:val="00411EAA"/>
    <w:rsid w:val="00415563"/>
    <w:rsid w:val="00433F0E"/>
    <w:rsid w:val="0044028E"/>
    <w:rsid w:val="00444A7F"/>
    <w:rsid w:val="0048729A"/>
    <w:rsid w:val="004A3E5E"/>
    <w:rsid w:val="004D2291"/>
    <w:rsid w:val="00506F1A"/>
    <w:rsid w:val="005073A7"/>
    <w:rsid w:val="00510291"/>
    <w:rsid w:val="005420A1"/>
    <w:rsid w:val="00545EAE"/>
    <w:rsid w:val="005A28D1"/>
    <w:rsid w:val="005A746D"/>
    <w:rsid w:val="005C22DC"/>
    <w:rsid w:val="005E14F1"/>
    <w:rsid w:val="005E745D"/>
    <w:rsid w:val="006249AF"/>
    <w:rsid w:val="00625540"/>
    <w:rsid w:val="00644C3C"/>
    <w:rsid w:val="00645BD2"/>
    <w:rsid w:val="00695B2B"/>
    <w:rsid w:val="006C2076"/>
    <w:rsid w:val="006C5ADD"/>
    <w:rsid w:val="006F56B1"/>
    <w:rsid w:val="00714D53"/>
    <w:rsid w:val="00732FCD"/>
    <w:rsid w:val="007571FC"/>
    <w:rsid w:val="00796883"/>
    <w:rsid w:val="007B0E18"/>
    <w:rsid w:val="007C2127"/>
    <w:rsid w:val="007E2CE4"/>
    <w:rsid w:val="007E53E3"/>
    <w:rsid w:val="007E6B43"/>
    <w:rsid w:val="007F03A1"/>
    <w:rsid w:val="007F3EB9"/>
    <w:rsid w:val="007F7A00"/>
    <w:rsid w:val="00827C60"/>
    <w:rsid w:val="00882F46"/>
    <w:rsid w:val="008B4222"/>
    <w:rsid w:val="008D39D7"/>
    <w:rsid w:val="008D7F49"/>
    <w:rsid w:val="008F735B"/>
    <w:rsid w:val="0090331E"/>
    <w:rsid w:val="00922FDB"/>
    <w:rsid w:val="00923FED"/>
    <w:rsid w:val="00944967"/>
    <w:rsid w:val="00974784"/>
    <w:rsid w:val="009769BA"/>
    <w:rsid w:val="00990F80"/>
    <w:rsid w:val="009A5FFA"/>
    <w:rsid w:val="009C29CC"/>
    <w:rsid w:val="009F1F85"/>
    <w:rsid w:val="00A04E11"/>
    <w:rsid w:val="00A37835"/>
    <w:rsid w:val="00A51A16"/>
    <w:rsid w:val="00A60DAC"/>
    <w:rsid w:val="00A90124"/>
    <w:rsid w:val="00B26931"/>
    <w:rsid w:val="00BB49DA"/>
    <w:rsid w:val="00C221F4"/>
    <w:rsid w:val="00C53046"/>
    <w:rsid w:val="00C64931"/>
    <w:rsid w:val="00C65F48"/>
    <w:rsid w:val="00C7092C"/>
    <w:rsid w:val="00C8533A"/>
    <w:rsid w:val="00CC5EDB"/>
    <w:rsid w:val="00CC7136"/>
    <w:rsid w:val="00CD59DD"/>
    <w:rsid w:val="00CF38BB"/>
    <w:rsid w:val="00D35A82"/>
    <w:rsid w:val="00D40AEA"/>
    <w:rsid w:val="00D57968"/>
    <w:rsid w:val="00D74007"/>
    <w:rsid w:val="00D76B8C"/>
    <w:rsid w:val="00D82827"/>
    <w:rsid w:val="00DA09BA"/>
    <w:rsid w:val="00DA4167"/>
    <w:rsid w:val="00DD2976"/>
    <w:rsid w:val="00DE5F79"/>
    <w:rsid w:val="00DF1102"/>
    <w:rsid w:val="00E44CCF"/>
    <w:rsid w:val="00E54FCC"/>
    <w:rsid w:val="00EA53EB"/>
    <w:rsid w:val="00EE197C"/>
    <w:rsid w:val="00F36C96"/>
    <w:rsid w:val="00F65A9C"/>
    <w:rsid w:val="00F6633D"/>
    <w:rsid w:val="00F85BCC"/>
    <w:rsid w:val="00FA69B9"/>
    <w:rsid w:val="00FA7810"/>
    <w:rsid w:val="00FB59BA"/>
    <w:rsid w:val="00FC091D"/>
    <w:rsid w:val="00FE1AF7"/>
    <w:rsid w:val="00FE6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DE93CF"/>
  <w15:chartTrackingRefBased/>
  <w15:docId w15:val="{D8A97F6D-79C4-4F9C-9E26-BD8EAA26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38"/>
  </w:style>
  <w:style w:type="paragraph" w:styleId="Heading1">
    <w:name w:val="heading 1"/>
    <w:basedOn w:val="Normal"/>
    <w:link w:val="Heading1Char"/>
    <w:uiPriority w:val="9"/>
    <w:qFormat/>
    <w:rsid w:val="003F1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C3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F1C38"/>
    <w:rPr>
      <w:color w:val="0563C1" w:themeColor="hyperlink"/>
      <w:u w:val="single"/>
    </w:rPr>
  </w:style>
  <w:style w:type="table" w:styleId="TableGrid">
    <w:name w:val="Table Grid"/>
    <w:basedOn w:val="TableNormal"/>
    <w:uiPriority w:val="59"/>
    <w:rsid w:val="003F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F1C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C38"/>
    <w:pPr>
      <w:ind w:left="720"/>
      <w:contextualSpacing/>
    </w:pPr>
  </w:style>
  <w:style w:type="character" w:customStyle="1" w:styleId="name">
    <w:name w:val="name"/>
    <w:basedOn w:val="DefaultParagraphFont"/>
    <w:rsid w:val="003F1C38"/>
  </w:style>
  <w:style w:type="character" w:customStyle="1" w:styleId="identifier">
    <w:name w:val="identifier"/>
    <w:basedOn w:val="DefaultParagraphFont"/>
    <w:rsid w:val="003F1C38"/>
  </w:style>
  <w:style w:type="character" w:customStyle="1" w:styleId="id-label">
    <w:name w:val="id-label"/>
    <w:basedOn w:val="DefaultParagraphFont"/>
    <w:rsid w:val="003F1C38"/>
  </w:style>
  <w:style w:type="character" w:customStyle="1" w:styleId="citation-doi">
    <w:name w:val="citation-doi"/>
    <w:basedOn w:val="DefaultParagraphFont"/>
    <w:rsid w:val="003F1C38"/>
  </w:style>
  <w:style w:type="paragraph" w:styleId="Header">
    <w:name w:val="header"/>
    <w:basedOn w:val="Normal"/>
    <w:link w:val="HeaderChar"/>
    <w:uiPriority w:val="99"/>
    <w:unhideWhenUsed/>
    <w:rsid w:val="003F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C38"/>
  </w:style>
  <w:style w:type="paragraph" w:styleId="Footer">
    <w:name w:val="footer"/>
    <w:basedOn w:val="Normal"/>
    <w:link w:val="FooterChar"/>
    <w:uiPriority w:val="99"/>
    <w:unhideWhenUsed/>
    <w:rsid w:val="003F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C38"/>
  </w:style>
  <w:style w:type="character" w:customStyle="1" w:styleId="anchor-text">
    <w:name w:val="anchor-text"/>
    <w:basedOn w:val="DefaultParagraphFont"/>
    <w:rsid w:val="00090317"/>
  </w:style>
  <w:style w:type="character" w:customStyle="1" w:styleId="doilabel">
    <w:name w:val="doi__label"/>
    <w:basedOn w:val="DefaultParagraphFont"/>
    <w:rsid w:val="00411EAA"/>
  </w:style>
  <w:style w:type="character" w:customStyle="1" w:styleId="period">
    <w:name w:val="period"/>
    <w:basedOn w:val="DefaultParagraphFont"/>
    <w:rsid w:val="00B26931"/>
  </w:style>
  <w:style w:type="character" w:customStyle="1" w:styleId="cit">
    <w:name w:val="cit"/>
    <w:basedOn w:val="DefaultParagraphFont"/>
    <w:rsid w:val="00B2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40962">
      <w:bodyDiv w:val="1"/>
      <w:marLeft w:val="0"/>
      <w:marRight w:val="0"/>
      <w:marTop w:val="0"/>
      <w:marBottom w:val="0"/>
      <w:divBdr>
        <w:top w:val="none" w:sz="0" w:space="0" w:color="auto"/>
        <w:left w:val="none" w:sz="0" w:space="0" w:color="auto"/>
        <w:bottom w:val="none" w:sz="0" w:space="0" w:color="auto"/>
        <w:right w:val="none" w:sz="0" w:space="0" w:color="auto"/>
      </w:divBdr>
    </w:div>
    <w:div w:id="716440919">
      <w:bodyDiv w:val="1"/>
      <w:marLeft w:val="0"/>
      <w:marRight w:val="0"/>
      <w:marTop w:val="0"/>
      <w:marBottom w:val="0"/>
      <w:divBdr>
        <w:top w:val="none" w:sz="0" w:space="0" w:color="auto"/>
        <w:left w:val="none" w:sz="0" w:space="0" w:color="auto"/>
        <w:bottom w:val="none" w:sz="0" w:space="0" w:color="auto"/>
        <w:right w:val="none" w:sz="0" w:space="0" w:color="auto"/>
      </w:divBdr>
      <w:divsChild>
        <w:div w:id="850342129">
          <w:marLeft w:val="0"/>
          <w:marRight w:val="0"/>
          <w:marTop w:val="0"/>
          <w:marBottom w:val="0"/>
          <w:divBdr>
            <w:top w:val="none" w:sz="0" w:space="0" w:color="auto"/>
            <w:left w:val="none" w:sz="0" w:space="0" w:color="auto"/>
            <w:bottom w:val="none" w:sz="0" w:space="0" w:color="auto"/>
            <w:right w:val="none" w:sz="0" w:space="0" w:color="auto"/>
          </w:divBdr>
          <w:divsChild>
            <w:div w:id="126094792">
              <w:marLeft w:val="0"/>
              <w:marRight w:val="0"/>
              <w:marTop w:val="0"/>
              <w:marBottom w:val="0"/>
              <w:divBdr>
                <w:top w:val="none" w:sz="0" w:space="0" w:color="auto"/>
                <w:left w:val="none" w:sz="0" w:space="0" w:color="auto"/>
                <w:bottom w:val="none" w:sz="0" w:space="0" w:color="auto"/>
                <w:right w:val="none" w:sz="0" w:space="0" w:color="auto"/>
              </w:divBdr>
              <w:divsChild>
                <w:div w:id="9075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5/2020/5762395" TargetMode="External"/><Relationship Id="rId18" Type="http://schemas.openxmlformats.org/officeDocument/2006/relationships/hyperlink" Target="https://pubmed.ncbi.nlm.nih.gov/?term=%22Zeljkovic%20A%22%5BAuthor%5D" TargetMode="External"/><Relationship Id="rId26" Type="http://schemas.openxmlformats.org/officeDocument/2006/relationships/hyperlink" Target="http://dx.doi.org/10.4314/jasem.v11i2.55040" TargetMode="External"/><Relationship Id="rId3" Type="http://schemas.openxmlformats.org/officeDocument/2006/relationships/settings" Target="settings.xml"/><Relationship Id="rId21" Type="http://schemas.openxmlformats.org/officeDocument/2006/relationships/hyperlink" Target="https://doi.org/10.3390/biomedicines11112897" TargetMode="External"/><Relationship Id="rId34" Type="http://schemas.openxmlformats.org/officeDocument/2006/relationships/footer" Target="footer3.xml"/><Relationship Id="rId7" Type="http://schemas.openxmlformats.org/officeDocument/2006/relationships/hyperlink" Target="http://dx.doi.org/10.1155/2015/418724" TargetMode="External"/><Relationship Id="rId12" Type="http://schemas.openxmlformats.org/officeDocument/2006/relationships/hyperlink" Target="https://www.cdc.gov/cholesterol/ldl_hdl.htm" TargetMode="External"/><Relationship Id="rId17" Type="http://schemas.openxmlformats.org/officeDocument/2006/relationships/hyperlink" Target="https://pubmed.ncbi.nlm.nih.gov/?term=%22Mazzalai%20S%22%5BAuthor%5D" TargetMode="External"/><Relationship Id="rId25" Type="http://schemas.openxmlformats.org/officeDocument/2006/relationships/hyperlink" Target="https://www.researchgate.net/journal/Journal-of-Applied-Sciences-and-Environmental-Management-1119-8362?_tp=eyJjb250ZXh0Ijp7ImZpcnN0UGFnZSI6InB1YmxpY2F0aW9uIiwicGFnZSI6InB1YmxpY2F0aW9uIiwicG9zaXRpb24iOiJwYWdlSGVhZGVyIn19"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ubmed.ncbi.nlm.nih.gov/?term=%22Stromsnes%20K%22%5BAuthor%5D" TargetMode="External"/><Relationship Id="rId20" Type="http://schemas.openxmlformats.org/officeDocument/2006/relationships/hyperlink" Target="https://pubmed.ncbi.nlm.nih.gov/?term=%22Gambini%20J%22%5BAuthor%5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md.com/heart-disease/guide/heart-disease-lower-cholesterol-risk" TargetMode="External"/><Relationship Id="rId24" Type="http://schemas.openxmlformats.org/officeDocument/2006/relationships/hyperlink" Target="https://www.nhs.uk/conditions/cardiovascular-diseas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ubmed.ncbi.nlm.nih.gov/?term=%22Vekic%20J%22%5BAuthor%5D" TargetMode="External"/><Relationship Id="rId23" Type="http://schemas.openxmlformats.org/officeDocument/2006/relationships/hyperlink" Target="https://doi.org/10.3389/fpubh.2021.763706" TargetMode="External"/><Relationship Id="rId28" Type="http://schemas.openxmlformats.org/officeDocument/2006/relationships/hyperlink" Target="https://www.who.int/news-room/fact-sheets/detail/cardiovascular-diseases-(cvds)" TargetMode="External"/><Relationship Id="rId36" Type="http://schemas.openxmlformats.org/officeDocument/2006/relationships/theme" Target="theme/theme1.xml"/><Relationship Id="rId10" Type="http://schemas.openxmlformats.org/officeDocument/2006/relationships/hyperlink" Target="https://www.intechopen.com/chapters/61333" TargetMode="External"/><Relationship Id="rId19" Type="http://schemas.openxmlformats.org/officeDocument/2006/relationships/hyperlink" Target="https://pubmed.ncbi.nlm.nih.gov/?term=%22Rizzo%20M%22%5BAuthor%5D"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371/journal.pone.0239716" TargetMode="External"/><Relationship Id="rId14" Type="http://schemas.openxmlformats.org/officeDocument/2006/relationships/hyperlink" Target="https://www.thoughtco.com/chemical-composition-of-petroleum-607575" TargetMode="External"/><Relationship Id="rId22" Type="http://schemas.openxmlformats.org/officeDocument/2006/relationships/hyperlink" Target="https://doi.org/10.1016/j.scitotenv.2024.175338" TargetMode="External"/><Relationship Id="rId27" Type="http://schemas.openxmlformats.org/officeDocument/2006/relationships/hyperlink" Target="https://www.macrotrends.net/cities/21986/enugu/populatio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jemds.com/data_pdf/1_Afr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9</Pages>
  <Words>4538</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PRM 01</cp:lastModifiedBy>
  <cp:revision>27</cp:revision>
  <dcterms:created xsi:type="dcterms:W3CDTF">2025-06-24T02:39:00Z</dcterms:created>
  <dcterms:modified xsi:type="dcterms:W3CDTF">2025-06-28T10:20:00Z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fa8a947c-476f-4b59-b37d-bf2c8a0b5867</vt:lpwstr>
  </property>
</Properties>
</file>