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88B0E" w14:textId="77777777" w:rsidR="00EE656B" w:rsidRPr="00D00949" w:rsidRDefault="00EE656B" w:rsidP="00EE656B">
      <w:pPr>
        <w:jc w:val="center"/>
        <w:rPr>
          <w:rFonts w:ascii="Times New Roman" w:hAnsi="Times New Roman" w:cs="Times New Roman"/>
          <w:sz w:val="24"/>
          <w:szCs w:val="24"/>
        </w:rPr>
      </w:pPr>
      <w:r w:rsidRPr="00D00949">
        <w:rPr>
          <w:rFonts w:ascii="Times New Roman" w:hAnsi="Times New Roman" w:cs="Times New Roman"/>
          <w:b/>
          <w:bCs/>
          <w:sz w:val="24"/>
          <w:szCs w:val="24"/>
        </w:rPr>
        <w:t>Type of article:</w:t>
      </w:r>
      <w:r w:rsidRPr="00D00949">
        <w:rPr>
          <w:rFonts w:ascii="Times New Roman" w:hAnsi="Times New Roman" w:cs="Times New Roman"/>
          <w:sz w:val="24"/>
          <w:szCs w:val="24"/>
        </w:rPr>
        <w:t xml:space="preserve"> Case report</w:t>
      </w:r>
    </w:p>
    <w:p w14:paraId="10EB6DF5" w14:textId="77777777" w:rsidR="00EE656B" w:rsidRPr="00D00949" w:rsidRDefault="00EE656B" w:rsidP="00EE656B">
      <w:pPr>
        <w:jc w:val="center"/>
        <w:rPr>
          <w:rFonts w:ascii="Times New Roman" w:hAnsi="Times New Roman" w:cs="Times New Roman"/>
          <w:sz w:val="24"/>
          <w:szCs w:val="24"/>
        </w:rPr>
      </w:pPr>
    </w:p>
    <w:p w14:paraId="32E61517" w14:textId="77777777" w:rsidR="00EE656B" w:rsidRPr="00D00949" w:rsidRDefault="00EE656B" w:rsidP="00EE656B">
      <w:pPr>
        <w:jc w:val="center"/>
        <w:rPr>
          <w:rFonts w:ascii="Times New Roman" w:hAnsi="Times New Roman" w:cs="Times New Roman"/>
          <w:b/>
          <w:bCs/>
          <w:sz w:val="24"/>
          <w:szCs w:val="24"/>
        </w:rPr>
      </w:pPr>
    </w:p>
    <w:p w14:paraId="3FC3D8F7" w14:textId="77777777" w:rsidR="00EE656B" w:rsidRPr="00D00949" w:rsidRDefault="00EE656B" w:rsidP="00EE656B">
      <w:pPr>
        <w:jc w:val="center"/>
        <w:rPr>
          <w:rFonts w:ascii="Times New Roman" w:hAnsi="Times New Roman" w:cs="Times New Roman"/>
          <w:b/>
          <w:bCs/>
          <w:sz w:val="24"/>
          <w:szCs w:val="24"/>
        </w:rPr>
      </w:pPr>
    </w:p>
    <w:p w14:paraId="57674BC1" w14:textId="07A21CD8" w:rsidR="00EE656B" w:rsidRPr="00D00949" w:rsidRDefault="00EE656B" w:rsidP="00EE656B">
      <w:pPr>
        <w:jc w:val="center"/>
        <w:rPr>
          <w:rFonts w:ascii="Times New Roman" w:hAnsi="Times New Roman" w:cs="Times New Roman"/>
          <w:b/>
          <w:bCs/>
          <w:sz w:val="24"/>
          <w:szCs w:val="24"/>
        </w:rPr>
      </w:pPr>
      <w:r w:rsidRPr="00D00949">
        <w:rPr>
          <w:rFonts w:ascii="Times New Roman" w:hAnsi="Times New Roman" w:cs="Times New Roman"/>
          <w:b/>
          <w:bCs/>
          <w:sz w:val="24"/>
          <w:szCs w:val="24"/>
        </w:rPr>
        <w:t>“</w:t>
      </w:r>
      <w:r>
        <w:rPr>
          <w:rFonts w:ascii="Times New Roman" w:hAnsi="Times New Roman" w:cs="Times New Roman"/>
          <w:b/>
          <w:bCs/>
          <w:sz w:val="24"/>
          <w:szCs w:val="24"/>
        </w:rPr>
        <w:t>Intracranial hemorrhage with ventricular ex</w:t>
      </w:r>
      <w:r w:rsidR="00345110">
        <w:rPr>
          <w:rFonts w:ascii="Times New Roman" w:hAnsi="Times New Roman" w:cs="Times New Roman"/>
          <w:b/>
          <w:bCs/>
          <w:sz w:val="24"/>
          <w:szCs w:val="24"/>
        </w:rPr>
        <w:t>tension</w:t>
      </w:r>
      <w:r w:rsidRPr="00D00949">
        <w:rPr>
          <w:rFonts w:ascii="Times New Roman" w:hAnsi="Times New Roman" w:cs="Times New Roman"/>
          <w:b/>
          <w:bCs/>
          <w:sz w:val="24"/>
          <w:szCs w:val="24"/>
        </w:rPr>
        <w:t>: A case report”</w:t>
      </w:r>
    </w:p>
    <w:p w14:paraId="30D204A7" w14:textId="77777777" w:rsidR="00EE656B" w:rsidRPr="00D00949" w:rsidRDefault="00EE656B" w:rsidP="00EE656B">
      <w:pPr>
        <w:jc w:val="center"/>
        <w:rPr>
          <w:rFonts w:ascii="Times New Roman" w:hAnsi="Times New Roman" w:cs="Times New Roman"/>
          <w:sz w:val="24"/>
          <w:szCs w:val="24"/>
        </w:rPr>
      </w:pPr>
    </w:p>
    <w:p w14:paraId="040956D5" w14:textId="77777777" w:rsidR="00EE656B" w:rsidRPr="00D00949" w:rsidRDefault="00EE656B" w:rsidP="00EE656B">
      <w:pPr>
        <w:jc w:val="center"/>
        <w:rPr>
          <w:rFonts w:ascii="Times New Roman" w:hAnsi="Times New Roman" w:cs="Times New Roman"/>
          <w:sz w:val="24"/>
          <w:szCs w:val="24"/>
        </w:rPr>
      </w:pPr>
    </w:p>
    <w:p w14:paraId="23988275" w14:textId="77777777" w:rsidR="00EE656B" w:rsidRPr="00674FE7" w:rsidRDefault="00EE656B" w:rsidP="00EE656B">
      <w:pPr>
        <w:spacing w:line="360" w:lineRule="auto"/>
        <w:rPr>
          <w:rFonts w:ascii="Times New Roman" w:hAnsi="Times New Roman" w:cs="Times New Roman"/>
          <w:b/>
          <w:bCs/>
          <w:color w:val="000000" w:themeColor="text1"/>
          <w:sz w:val="40"/>
          <w:szCs w:val="40"/>
        </w:rPr>
      </w:pPr>
    </w:p>
    <w:p w14:paraId="316A8413" w14:textId="77777777" w:rsidR="00EE656B" w:rsidRDefault="00EE656B" w:rsidP="00D240EF">
      <w:pPr>
        <w:spacing w:line="360" w:lineRule="auto"/>
        <w:rPr>
          <w:rFonts w:ascii="Times New Roman" w:hAnsi="Times New Roman" w:cs="Times New Roman"/>
          <w:b/>
          <w:bCs/>
          <w:sz w:val="24"/>
          <w:szCs w:val="24"/>
        </w:rPr>
      </w:pPr>
      <w:bookmarkStart w:id="0" w:name="_GoBack"/>
      <w:bookmarkEnd w:id="0"/>
    </w:p>
    <w:p w14:paraId="2F6D238F" w14:textId="77777777" w:rsidR="00EE656B" w:rsidRDefault="00EE656B" w:rsidP="00D240EF">
      <w:pPr>
        <w:spacing w:line="360" w:lineRule="auto"/>
        <w:rPr>
          <w:rFonts w:ascii="Times New Roman" w:hAnsi="Times New Roman" w:cs="Times New Roman"/>
          <w:b/>
          <w:bCs/>
          <w:sz w:val="24"/>
          <w:szCs w:val="24"/>
        </w:rPr>
      </w:pPr>
    </w:p>
    <w:p w14:paraId="79C19C47" w14:textId="77777777" w:rsidR="00EE656B" w:rsidRDefault="00EE656B" w:rsidP="00D240EF">
      <w:pPr>
        <w:spacing w:line="360" w:lineRule="auto"/>
        <w:rPr>
          <w:rFonts w:ascii="Times New Roman" w:hAnsi="Times New Roman" w:cs="Times New Roman"/>
          <w:b/>
          <w:bCs/>
          <w:sz w:val="24"/>
          <w:szCs w:val="24"/>
        </w:rPr>
      </w:pPr>
    </w:p>
    <w:p w14:paraId="5E64E6D6" w14:textId="77777777" w:rsidR="00EE656B" w:rsidRDefault="00EE656B" w:rsidP="00D240EF">
      <w:pPr>
        <w:spacing w:line="360" w:lineRule="auto"/>
        <w:rPr>
          <w:rFonts w:ascii="Times New Roman" w:hAnsi="Times New Roman" w:cs="Times New Roman"/>
          <w:b/>
          <w:bCs/>
          <w:sz w:val="24"/>
          <w:szCs w:val="24"/>
        </w:rPr>
      </w:pPr>
    </w:p>
    <w:p w14:paraId="5BE12957" w14:textId="77777777" w:rsidR="00EE656B" w:rsidRDefault="00EE656B" w:rsidP="00D240EF">
      <w:pPr>
        <w:spacing w:line="360" w:lineRule="auto"/>
        <w:rPr>
          <w:rFonts w:ascii="Times New Roman" w:hAnsi="Times New Roman" w:cs="Times New Roman"/>
          <w:b/>
          <w:bCs/>
          <w:sz w:val="24"/>
          <w:szCs w:val="24"/>
        </w:rPr>
      </w:pPr>
    </w:p>
    <w:p w14:paraId="38413CEE" w14:textId="5FF883B2" w:rsidR="00D2735A" w:rsidRDefault="00D2735A" w:rsidP="00D240EF">
      <w:pPr>
        <w:spacing w:line="360" w:lineRule="auto"/>
        <w:rPr>
          <w:rFonts w:ascii="Times New Roman" w:hAnsi="Times New Roman" w:cs="Times New Roman"/>
          <w:b/>
          <w:bCs/>
          <w:sz w:val="24"/>
          <w:szCs w:val="24"/>
        </w:rPr>
      </w:pPr>
      <w:r w:rsidRPr="0006509E">
        <w:rPr>
          <w:rFonts w:ascii="Times New Roman" w:hAnsi="Times New Roman" w:cs="Times New Roman"/>
          <w:b/>
          <w:bCs/>
          <w:sz w:val="24"/>
          <w:szCs w:val="24"/>
        </w:rPr>
        <w:t>ABSTRACT:</w:t>
      </w:r>
    </w:p>
    <w:p w14:paraId="71FB5484" w14:textId="1EC00148" w:rsidR="00490331" w:rsidRPr="001241F9" w:rsidRDefault="001241F9" w:rsidP="001241F9">
      <w:pPr>
        <w:spacing w:line="360" w:lineRule="auto"/>
        <w:jc w:val="both"/>
        <w:rPr>
          <w:rFonts w:ascii="Times New Roman" w:hAnsi="Times New Roman" w:cs="Times New Roman"/>
          <w:sz w:val="24"/>
          <w:szCs w:val="24"/>
        </w:rPr>
      </w:pPr>
      <w:r w:rsidRPr="001241F9">
        <w:rPr>
          <w:rFonts w:ascii="Times New Roman" w:hAnsi="Times New Roman" w:cs="Times New Roman"/>
          <w:sz w:val="24"/>
          <w:szCs w:val="24"/>
        </w:rPr>
        <w:t>Intracranial hemorrhage stands as a profoundly devastating condition characterized by exceptionally high mortality rates. In the absence of clinically validated therapeutic interventions, the management of this condition is predominantly supportive. Given the unfavorable prognosis, numerous families make the difficult decision to restrict or discontinue hospital care, thereby exposing the patient to a substantial health risk. In this case report, we present a case of a 72-year-old male patient diagnosed with intracranial hemorrhage accompanied by ventricular ex</w:t>
      </w:r>
      <w:r w:rsidR="00345110">
        <w:rPr>
          <w:rFonts w:ascii="Times New Roman" w:hAnsi="Times New Roman" w:cs="Times New Roman"/>
          <w:sz w:val="24"/>
          <w:szCs w:val="24"/>
        </w:rPr>
        <w:t>tension</w:t>
      </w:r>
      <w:r w:rsidRPr="001241F9">
        <w:rPr>
          <w:rFonts w:ascii="Times New Roman" w:hAnsi="Times New Roman" w:cs="Times New Roman"/>
          <w:sz w:val="24"/>
          <w:szCs w:val="24"/>
        </w:rPr>
        <w:t>. Following comprehensive examination and diagnostic procedures, the patient was advised</w:t>
      </w:r>
      <w:r w:rsidR="0035782B">
        <w:rPr>
          <w:rFonts w:ascii="Times New Roman" w:hAnsi="Times New Roman" w:cs="Times New Roman"/>
          <w:sz w:val="24"/>
          <w:szCs w:val="24"/>
        </w:rPr>
        <w:t xml:space="preserve"> initially</w:t>
      </w:r>
      <w:r w:rsidRPr="001241F9">
        <w:rPr>
          <w:rFonts w:ascii="Times New Roman" w:hAnsi="Times New Roman" w:cs="Times New Roman"/>
          <w:sz w:val="24"/>
          <w:szCs w:val="24"/>
        </w:rPr>
        <w:t xml:space="preserve"> to undergo craniotomy surgery</w:t>
      </w:r>
      <w:r w:rsidR="00101031">
        <w:rPr>
          <w:rFonts w:ascii="Times New Roman" w:hAnsi="Times New Roman" w:cs="Times New Roman"/>
          <w:sz w:val="24"/>
          <w:szCs w:val="24"/>
        </w:rPr>
        <w:t xml:space="preserve"> but ultimately received only conservative treatment.</w:t>
      </w:r>
    </w:p>
    <w:p w14:paraId="23D6FA68" w14:textId="77777777" w:rsidR="001241F9" w:rsidRDefault="001241F9" w:rsidP="00D240EF">
      <w:pPr>
        <w:spacing w:line="360" w:lineRule="auto"/>
        <w:rPr>
          <w:rFonts w:ascii="Times New Roman" w:hAnsi="Times New Roman" w:cs="Times New Roman"/>
          <w:b/>
          <w:bCs/>
          <w:sz w:val="24"/>
          <w:szCs w:val="24"/>
        </w:rPr>
      </w:pPr>
    </w:p>
    <w:p w14:paraId="7830DBEB" w14:textId="3F6BC0FA" w:rsidR="00D2735A" w:rsidRPr="0006509E" w:rsidRDefault="00D2735A" w:rsidP="00D240EF">
      <w:pPr>
        <w:spacing w:line="360" w:lineRule="auto"/>
        <w:rPr>
          <w:rFonts w:ascii="Times New Roman" w:hAnsi="Times New Roman" w:cs="Times New Roman"/>
          <w:b/>
          <w:bCs/>
          <w:sz w:val="24"/>
          <w:szCs w:val="24"/>
        </w:rPr>
      </w:pPr>
      <w:r w:rsidRPr="0006509E">
        <w:rPr>
          <w:rFonts w:ascii="Times New Roman" w:hAnsi="Times New Roman" w:cs="Times New Roman"/>
          <w:b/>
          <w:bCs/>
          <w:sz w:val="24"/>
          <w:szCs w:val="24"/>
        </w:rPr>
        <w:t>KEYWORDS:</w:t>
      </w:r>
    </w:p>
    <w:p w14:paraId="7738E4C6" w14:textId="4BC33EC2" w:rsidR="00D2735A" w:rsidRPr="00660076" w:rsidRDefault="00660076" w:rsidP="00D240EF">
      <w:pPr>
        <w:spacing w:line="360" w:lineRule="auto"/>
        <w:rPr>
          <w:rFonts w:ascii="Times New Roman" w:hAnsi="Times New Roman" w:cs="Times New Roman"/>
          <w:sz w:val="24"/>
          <w:szCs w:val="24"/>
        </w:rPr>
      </w:pPr>
      <w:r w:rsidRPr="00660076">
        <w:rPr>
          <w:rFonts w:ascii="Times New Roman" w:hAnsi="Times New Roman" w:cs="Times New Roman"/>
          <w:sz w:val="24"/>
          <w:szCs w:val="24"/>
        </w:rPr>
        <w:t xml:space="preserve">Intracranial hemorrhage, Blood pressure, Craniotomy, Stroke, </w:t>
      </w:r>
      <w:r w:rsidR="008F2112">
        <w:rPr>
          <w:rFonts w:ascii="Times New Roman" w:hAnsi="Times New Roman" w:cs="Times New Roman"/>
          <w:sz w:val="24"/>
          <w:szCs w:val="24"/>
        </w:rPr>
        <w:t>Aneurysm</w:t>
      </w:r>
      <w:r w:rsidRPr="00660076">
        <w:rPr>
          <w:rFonts w:ascii="Times New Roman" w:hAnsi="Times New Roman" w:cs="Times New Roman"/>
          <w:sz w:val="24"/>
          <w:szCs w:val="24"/>
        </w:rPr>
        <w:t>.</w:t>
      </w:r>
    </w:p>
    <w:p w14:paraId="226A8B3A" w14:textId="77777777" w:rsidR="002D40FB" w:rsidRPr="0006509E" w:rsidRDefault="002D40FB" w:rsidP="00D240EF">
      <w:pPr>
        <w:spacing w:line="360" w:lineRule="auto"/>
        <w:rPr>
          <w:rFonts w:ascii="Times New Roman" w:hAnsi="Times New Roman" w:cs="Times New Roman"/>
          <w:b/>
          <w:bCs/>
          <w:sz w:val="24"/>
          <w:szCs w:val="24"/>
        </w:rPr>
      </w:pPr>
    </w:p>
    <w:p w14:paraId="0519C11F" w14:textId="6C6BFAFF" w:rsidR="00D2735A" w:rsidRPr="0006509E" w:rsidRDefault="00D2735A" w:rsidP="00D240EF">
      <w:pPr>
        <w:spacing w:line="360" w:lineRule="auto"/>
        <w:rPr>
          <w:rFonts w:ascii="Times New Roman" w:hAnsi="Times New Roman" w:cs="Times New Roman"/>
          <w:b/>
          <w:bCs/>
          <w:sz w:val="24"/>
          <w:szCs w:val="24"/>
        </w:rPr>
      </w:pPr>
      <w:r w:rsidRPr="0006509E">
        <w:rPr>
          <w:rFonts w:ascii="Times New Roman" w:hAnsi="Times New Roman" w:cs="Times New Roman"/>
          <w:b/>
          <w:bCs/>
          <w:sz w:val="24"/>
          <w:szCs w:val="24"/>
        </w:rPr>
        <w:t xml:space="preserve">INTRODUCTION: </w:t>
      </w:r>
    </w:p>
    <w:p w14:paraId="1350C3E8" w14:textId="1F191FAC" w:rsidR="008E02E2" w:rsidRPr="001241F9" w:rsidRDefault="001241F9" w:rsidP="001241F9">
      <w:pPr>
        <w:spacing w:line="360" w:lineRule="auto"/>
        <w:jc w:val="both"/>
        <w:rPr>
          <w:rFonts w:ascii="Times New Roman" w:hAnsi="Times New Roman" w:cs="Times New Roman"/>
          <w:sz w:val="24"/>
          <w:szCs w:val="24"/>
        </w:rPr>
      </w:pPr>
      <w:r w:rsidRPr="001241F9">
        <w:rPr>
          <w:rFonts w:ascii="Times New Roman" w:hAnsi="Times New Roman" w:cs="Times New Roman"/>
          <w:sz w:val="24"/>
          <w:szCs w:val="24"/>
        </w:rPr>
        <w:t xml:space="preserve">Intracranial hemorrhage is defined as any bleeding within the intracranial space, including the brain parenchyma and surrounding meningeal spaces. Generally, ICH is a life-threatening disease if prompt treatment has not been given, with an incidence of 24.6 per 100,000 people (1). ICH has four broad types, such as epidural hemorrhage, subdural hemorrhage, subarachnoid hemorrhage, and intraparenchymal hemorrhage, which may occur due to any blunt trauma in the head, skull fracture, cerebral aneurysm, hypertension, tumor, vasculitis, etc. (2). In recent decades, the incidence and mortality of ICH have increased in Asia, Europe, </w:t>
      </w:r>
      <w:r w:rsidRPr="001241F9">
        <w:rPr>
          <w:rFonts w:ascii="Times New Roman" w:hAnsi="Times New Roman" w:cs="Times New Roman"/>
          <w:sz w:val="24"/>
          <w:szCs w:val="24"/>
        </w:rPr>
        <w:lastRenderedPageBreak/>
        <w:t>America, and other regions. Generally, ICH has different risk factors, such as alcoholism, smoking, previous medical problems, antithrombotic medication, and the involvement of different sites of bleeding, which may have a different impact on the general prognosis of the patient (3). Generally, there are no proven medical treatments for ICH present; therefore, the patients are frequently referred to surgery. But the roles of different surgical methods and the timings remain controversial (4). In this study, we report a case of a 72-year-old man who presented with weakness of the right side of the body, which was sudden onset and gradually progressing.</w:t>
      </w:r>
    </w:p>
    <w:p w14:paraId="47F44190" w14:textId="77777777" w:rsidR="001241F9" w:rsidRDefault="001241F9" w:rsidP="00D240EF">
      <w:pPr>
        <w:spacing w:line="360" w:lineRule="auto"/>
        <w:rPr>
          <w:rFonts w:ascii="Times New Roman" w:hAnsi="Times New Roman" w:cs="Times New Roman"/>
          <w:b/>
          <w:bCs/>
          <w:sz w:val="24"/>
          <w:szCs w:val="24"/>
        </w:rPr>
      </w:pPr>
    </w:p>
    <w:p w14:paraId="4608FCB5" w14:textId="21E0CBB9" w:rsidR="00852FD9" w:rsidRPr="00EC1FEC" w:rsidRDefault="0006509E" w:rsidP="00D240EF">
      <w:pPr>
        <w:spacing w:line="360" w:lineRule="auto"/>
        <w:rPr>
          <w:rFonts w:ascii="Times New Roman" w:hAnsi="Times New Roman" w:cs="Times New Roman"/>
          <w:b/>
          <w:bCs/>
          <w:sz w:val="24"/>
          <w:szCs w:val="24"/>
        </w:rPr>
      </w:pPr>
      <w:r w:rsidRPr="00EC1FEC">
        <w:rPr>
          <w:rFonts w:ascii="Times New Roman" w:hAnsi="Times New Roman" w:cs="Times New Roman"/>
          <w:b/>
          <w:bCs/>
          <w:sz w:val="24"/>
          <w:szCs w:val="24"/>
        </w:rPr>
        <w:t>CASE REPORT:</w:t>
      </w:r>
    </w:p>
    <w:p w14:paraId="5B911FE3" w14:textId="317473DF" w:rsidR="004118F9" w:rsidRDefault="00054A92" w:rsidP="007B1F6F">
      <w:pPr>
        <w:spacing w:line="360" w:lineRule="auto"/>
        <w:jc w:val="both"/>
        <w:rPr>
          <w:rFonts w:ascii="Times New Roman" w:hAnsi="Times New Roman" w:cs="Times New Roman"/>
          <w:sz w:val="24"/>
          <w:szCs w:val="24"/>
        </w:rPr>
      </w:pPr>
      <w:r w:rsidRPr="008E02E2">
        <w:rPr>
          <w:rFonts w:ascii="Times New Roman" w:hAnsi="Times New Roman" w:cs="Times New Roman"/>
          <w:sz w:val="24"/>
          <w:szCs w:val="24"/>
        </w:rPr>
        <w:t xml:space="preserve">A 72-year-old male was admitted to the neurosurgery department </w:t>
      </w:r>
      <w:r w:rsidR="008E02E2" w:rsidRPr="008E02E2">
        <w:rPr>
          <w:rFonts w:ascii="Times New Roman" w:hAnsi="Times New Roman" w:cs="Times New Roman"/>
          <w:sz w:val="24"/>
          <w:szCs w:val="24"/>
        </w:rPr>
        <w:t>on February 2025 with the complaint of right-side hemiparesis, which was gradually increasing</w:t>
      </w:r>
      <w:r w:rsidR="008E02E2">
        <w:rPr>
          <w:rFonts w:ascii="Times New Roman" w:hAnsi="Times New Roman" w:cs="Times New Roman"/>
          <w:sz w:val="24"/>
          <w:szCs w:val="24"/>
        </w:rPr>
        <w:t>.</w:t>
      </w:r>
      <w:r w:rsidR="0035596E">
        <w:rPr>
          <w:rFonts w:ascii="Times New Roman" w:hAnsi="Times New Roman" w:cs="Times New Roman"/>
          <w:sz w:val="24"/>
          <w:szCs w:val="24"/>
        </w:rPr>
        <w:t xml:space="preserve"> </w:t>
      </w:r>
      <w:r w:rsidR="007B1F6F" w:rsidRPr="007B1F6F">
        <w:rPr>
          <w:rFonts w:ascii="Times New Roman" w:hAnsi="Times New Roman" w:cs="Times New Roman"/>
          <w:sz w:val="24"/>
          <w:szCs w:val="24"/>
        </w:rPr>
        <w:t xml:space="preserve">On </w:t>
      </w:r>
      <w:r w:rsidR="0035596E">
        <w:rPr>
          <w:rFonts w:ascii="Times New Roman" w:hAnsi="Times New Roman" w:cs="Times New Roman"/>
          <w:sz w:val="24"/>
          <w:szCs w:val="24"/>
        </w:rPr>
        <w:t xml:space="preserve">initial </w:t>
      </w:r>
      <w:r w:rsidR="007B1F6F" w:rsidRPr="007B1F6F">
        <w:rPr>
          <w:rFonts w:ascii="Times New Roman" w:hAnsi="Times New Roman" w:cs="Times New Roman"/>
          <w:sz w:val="24"/>
          <w:szCs w:val="24"/>
        </w:rPr>
        <w:t>examination, the patient complained of mild generalized pain, which was present with weakness and an inability to sit for long durations. However, the patient had a long history of smoking for 25 years, had hypertension, and was suspected of having COPD. There were no signs of tingling or numbness of the limbs. CVS: S1 S2 positive, P/A: soft and nontender, HMF: intact, CN: intact, and GCS: E4 V4 M6. Furthermore, the patient did not have a history of falls or previous episodes of vomiting or any other comorbidities.</w:t>
      </w:r>
      <w:r w:rsidR="0035596E">
        <w:rPr>
          <w:rFonts w:ascii="Times New Roman" w:hAnsi="Times New Roman" w:cs="Times New Roman"/>
          <w:sz w:val="24"/>
          <w:szCs w:val="24"/>
        </w:rPr>
        <w:t xml:space="preserve"> </w:t>
      </w:r>
      <w:r w:rsidR="007B1F6F" w:rsidRPr="007B1F6F">
        <w:rPr>
          <w:rFonts w:ascii="Times New Roman" w:hAnsi="Times New Roman" w:cs="Times New Roman"/>
          <w:sz w:val="24"/>
          <w:szCs w:val="24"/>
        </w:rPr>
        <w:t>Relevant investigations were done on the arrival of the patient. Hematology results show HB%: 12.4 g/dl, RBC count: 4.50 million/</w:t>
      </w:r>
      <w:proofErr w:type="spellStart"/>
      <w:r w:rsidR="007B1F6F" w:rsidRPr="007B1F6F">
        <w:rPr>
          <w:rFonts w:ascii="Times New Roman" w:hAnsi="Times New Roman" w:cs="Times New Roman"/>
          <w:sz w:val="24"/>
          <w:szCs w:val="24"/>
        </w:rPr>
        <w:t>cumm</w:t>
      </w:r>
      <w:proofErr w:type="spellEnd"/>
      <w:r w:rsidR="007B1F6F" w:rsidRPr="007B1F6F">
        <w:rPr>
          <w:rFonts w:ascii="Times New Roman" w:hAnsi="Times New Roman" w:cs="Times New Roman"/>
          <w:sz w:val="24"/>
          <w:szCs w:val="24"/>
        </w:rPr>
        <w:t>, total WBC count: 10170 cells/</w:t>
      </w:r>
      <w:proofErr w:type="spellStart"/>
      <w:r w:rsidR="007B1F6F" w:rsidRPr="007B1F6F">
        <w:rPr>
          <w:rFonts w:ascii="Times New Roman" w:hAnsi="Times New Roman" w:cs="Times New Roman"/>
          <w:sz w:val="24"/>
          <w:szCs w:val="24"/>
        </w:rPr>
        <w:t>cumm</w:t>
      </w:r>
      <w:proofErr w:type="spellEnd"/>
      <w:r w:rsidR="007B1F6F" w:rsidRPr="007B1F6F">
        <w:rPr>
          <w:rFonts w:ascii="Times New Roman" w:hAnsi="Times New Roman" w:cs="Times New Roman"/>
          <w:sz w:val="24"/>
          <w:szCs w:val="24"/>
        </w:rPr>
        <w:t xml:space="preserve">, neutrophils: 92%, lymphocytes: 05%, monocytes: 03%, eosinophils: 0%, and basophils: 0%. 2D echo shows rhythm abnormalities, mild MR, and mild concave LVH. However, there was adequate LV systolic function, which was 50%. Furthermore, a CT brain reveals </w:t>
      </w:r>
      <w:proofErr w:type="spellStart"/>
      <w:r w:rsidR="007B1F6F" w:rsidRPr="007B1F6F">
        <w:rPr>
          <w:rFonts w:ascii="Times New Roman" w:hAnsi="Times New Roman" w:cs="Times New Roman"/>
          <w:sz w:val="24"/>
          <w:szCs w:val="24"/>
        </w:rPr>
        <w:t>hyperdensity</w:t>
      </w:r>
      <w:proofErr w:type="spellEnd"/>
      <w:r w:rsidR="007B1F6F" w:rsidRPr="007B1F6F">
        <w:rPr>
          <w:rFonts w:ascii="Times New Roman" w:hAnsi="Times New Roman" w:cs="Times New Roman"/>
          <w:sz w:val="24"/>
          <w:szCs w:val="24"/>
        </w:rPr>
        <w:t xml:space="preserve"> of hemorrhagic attenuation with surrounding edema measuring 2.79x2.99x2.71 cm (</w:t>
      </w:r>
      <w:proofErr w:type="spellStart"/>
      <w:r w:rsidR="007B1F6F" w:rsidRPr="007B1F6F">
        <w:rPr>
          <w:rFonts w:ascii="Times New Roman" w:hAnsi="Times New Roman" w:cs="Times New Roman"/>
          <w:sz w:val="24"/>
          <w:szCs w:val="24"/>
        </w:rPr>
        <w:t>APxTRxCC</w:t>
      </w:r>
      <w:proofErr w:type="spellEnd"/>
      <w:r w:rsidR="007B1F6F" w:rsidRPr="007B1F6F">
        <w:rPr>
          <w:rFonts w:ascii="Times New Roman" w:hAnsi="Times New Roman" w:cs="Times New Roman"/>
          <w:sz w:val="24"/>
          <w:szCs w:val="24"/>
        </w:rPr>
        <w:t>) in the left thalamus, corona radiata causing a mass effect in form compression and displacement of left lateral ventricle, third ventricle, midline shift of 5.6 mm to the right, and there is an extension of bleeding into left lateral ventricle. Furthermore, there was a suspicious rounded hyperdense lesion in the anterior interhemispheric fissure along the course of the ACA with a suspected thrombosed aneurysm.</w:t>
      </w:r>
    </w:p>
    <w:p w14:paraId="7CB4DAAC" w14:textId="77777777" w:rsidR="007B1F6F" w:rsidRDefault="007B1F6F" w:rsidP="00D240EF">
      <w:pPr>
        <w:spacing w:line="360" w:lineRule="auto"/>
        <w:rPr>
          <w:rFonts w:ascii="Times New Roman" w:hAnsi="Times New Roman" w:cs="Times New Roman"/>
        </w:rPr>
      </w:pPr>
    </w:p>
    <w:p w14:paraId="1E56EBED" w14:textId="5FA124DA" w:rsidR="004118F9" w:rsidRDefault="00597876" w:rsidP="00D240EF">
      <w:pPr>
        <w:spacing w:line="36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440FA147" wp14:editId="7483121F">
                <wp:simplePos x="0" y="0"/>
                <wp:positionH relativeFrom="column">
                  <wp:posOffset>3291839</wp:posOffset>
                </wp:positionH>
                <wp:positionV relativeFrom="paragraph">
                  <wp:posOffset>2273068</wp:posOffset>
                </wp:positionV>
                <wp:extent cx="155055" cy="212898"/>
                <wp:effectExtent l="12700" t="25400" r="22860" b="15875"/>
                <wp:wrapNone/>
                <wp:docPr id="2" name="Straight Arrow Connector 2"/>
                <wp:cNvGraphicFramePr/>
                <a:graphic xmlns:a="http://schemas.openxmlformats.org/drawingml/2006/main">
                  <a:graphicData uri="http://schemas.microsoft.com/office/word/2010/wordprocessingShape">
                    <wps:wsp>
                      <wps:cNvCnPr/>
                      <wps:spPr>
                        <a:xfrm flipV="1">
                          <a:off x="0" y="0"/>
                          <a:ext cx="155055" cy="21289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00133CB" id="_x0000_t32" coordsize="21600,21600" o:spt="32" o:oned="t" path="m,l21600,21600e" filled="f">
                <v:path arrowok="t" fillok="f" o:connecttype="none"/>
                <o:lock v:ext="edit" shapetype="t"/>
              </v:shapetype>
              <v:shape id="Straight Arrow Connector 2" o:spid="_x0000_s1026" type="#_x0000_t32" style="position:absolute;margin-left:259.2pt;margin-top:179pt;width:12.2pt;height:16.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" strokecolor="black [3200]" strokeweight="1.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C5E2283" wp14:editId="0707D9EB">
                <wp:simplePos x="0" y="0"/>
                <wp:positionH relativeFrom="column">
                  <wp:posOffset>1318256</wp:posOffset>
                </wp:positionH>
                <wp:positionV relativeFrom="paragraph">
                  <wp:posOffset>2178054</wp:posOffset>
                </wp:positionV>
                <wp:extent cx="95367" cy="145856"/>
                <wp:effectExtent l="12700" t="25400" r="31750" b="6985"/>
                <wp:wrapNone/>
                <wp:docPr id="1" name="Straight Arrow Connector 1"/>
                <wp:cNvGraphicFramePr/>
                <a:graphic xmlns:a="http://schemas.openxmlformats.org/drawingml/2006/main">
                  <a:graphicData uri="http://schemas.microsoft.com/office/word/2010/wordprocessingShape">
                    <wps:wsp>
                      <wps:cNvCnPr/>
                      <wps:spPr>
                        <a:xfrm flipV="1">
                          <a:off x="0" y="0"/>
                          <a:ext cx="95367" cy="14585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BA6837E" id="Straight Arrow Connector 1" o:spid="_x0000_s1026" type="#_x0000_t32" style="position:absolute;margin-left:103.8pt;margin-top:171.5pt;width:7.5pt;height:11.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" strokecolor="black [3200]" strokeweight="1.5pt">
                <v:stroke endarrow="block" joinstyle="miter"/>
              </v:shape>
            </w:pict>
          </mc:Fallback>
        </mc:AlternateContent>
      </w:r>
      <w:r w:rsidR="00D151DC">
        <w:rPr>
          <w:rFonts w:ascii="Times New Roman" w:hAnsi="Times New Roman" w:cs="Times New Roman"/>
          <w:noProof/>
        </w:rPr>
        <w:drawing>
          <wp:inline distT="0" distB="0" distL="0" distR="0" wp14:anchorId="6C326164" wp14:editId="60F02689">
            <wp:extent cx="2731135" cy="35216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90047" cy="3597617"/>
                    </a:xfrm>
                    <a:prstGeom prst="rect">
                      <a:avLst/>
                    </a:prstGeom>
                  </pic:spPr>
                </pic:pic>
              </a:graphicData>
            </a:graphic>
          </wp:inline>
        </w:drawing>
      </w:r>
      <w:r w:rsidR="00D151DC">
        <w:rPr>
          <w:rFonts w:ascii="Times New Roman" w:hAnsi="Times New Roman" w:cs="Times New Roman"/>
        </w:rPr>
        <w:t xml:space="preserve">   </w:t>
      </w:r>
      <w:r w:rsidR="00D151DC">
        <w:rPr>
          <w:rFonts w:ascii="Times New Roman" w:hAnsi="Times New Roman" w:cs="Times New Roman"/>
          <w:noProof/>
        </w:rPr>
        <w:drawing>
          <wp:inline distT="0" distB="0" distL="0" distR="0" wp14:anchorId="70873C1E" wp14:editId="55E0A0E6">
            <wp:extent cx="2878174" cy="352058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69602" cy="3632416"/>
                    </a:xfrm>
                    <a:prstGeom prst="rect">
                      <a:avLst/>
                    </a:prstGeom>
                  </pic:spPr>
                </pic:pic>
              </a:graphicData>
            </a:graphic>
          </wp:inline>
        </w:drawing>
      </w:r>
    </w:p>
    <w:p w14:paraId="0D6E7008" w14:textId="5372AC37" w:rsidR="0006509E" w:rsidRDefault="00C3442C" w:rsidP="00D240EF">
      <w:pPr>
        <w:spacing w:line="360" w:lineRule="auto"/>
        <w:rPr>
          <w:rFonts w:ascii="Times New Roman" w:hAnsi="Times New Roman" w:cs="Times New Roman"/>
          <w:sz w:val="24"/>
          <w:szCs w:val="24"/>
        </w:rPr>
      </w:pPr>
      <w:r w:rsidRPr="0006509E">
        <w:rPr>
          <w:rFonts w:ascii="Times New Roman" w:hAnsi="Times New Roman" w:cs="Times New Roman"/>
          <w:sz w:val="24"/>
          <w:szCs w:val="24"/>
        </w:rPr>
        <w:t xml:space="preserve">Figure 1: Intraparenchymal bleed in left </w:t>
      </w:r>
      <w:r w:rsidR="0006509E">
        <w:rPr>
          <w:rFonts w:ascii="Times New Roman" w:hAnsi="Times New Roman" w:cs="Times New Roman"/>
          <w:sz w:val="24"/>
          <w:szCs w:val="24"/>
        </w:rPr>
        <w:t xml:space="preserve">         </w:t>
      </w:r>
      <w:r w:rsidR="0006509E" w:rsidRPr="0006509E">
        <w:rPr>
          <w:rFonts w:ascii="Times New Roman" w:hAnsi="Times New Roman" w:cs="Times New Roman"/>
          <w:sz w:val="24"/>
          <w:szCs w:val="24"/>
        </w:rPr>
        <w:t xml:space="preserve">Figure 2: Right lower lobe consolidation. </w:t>
      </w:r>
    </w:p>
    <w:p w14:paraId="7F81EFF1" w14:textId="77777777" w:rsidR="00395A63" w:rsidRDefault="00C3442C" w:rsidP="00395A63">
      <w:pPr>
        <w:spacing w:line="360" w:lineRule="auto"/>
        <w:rPr>
          <w:rFonts w:ascii="Times New Roman" w:hAnsi="Times New Roman" w:cs="Times New Roman"/>
          <w:sz w:val="24"/>
          <w:szCs w:val="24"/>
        </w:rPr>
      </w:pPr>
      <w:r w:rsidRPr="0006509E">
        <w:rPr>
          <w:rFonts w:ascii="Times New Roman" w:hAnsi="Times New Roman" w:cs="Times New Roman"/>
          <w:sz w:val="24"/>
          <w:szCs w:val="24"/>
        </w:rPr>
        <w:t>thalamus with</w:t>
      </w:r>
      <w:r w:rsidR="0006509E">
        <w:rPr>
          <w:rFonts w:ascii="Times New Roman" w:hAnsi="Times New Roman" w:cs="Times New Roman"/>
          <w:sz w:val="24"/>
          <w:szCs w:val="24"/>
        </w:rPr>
        <w:t xml:space="preserve"> </w:t>
      </w:r>
      <w:r w:rsidRPr="0006509E">
        <w:rPr>
          <w:rFonts w:ascii="Times New Roman" w:hAnsi="Times New Roman" w:cs="Times New Roman"/>
          <w:sz w:val="24"/>
          <w:szCs w:val="24"/>
        </w:rPr>
        <w:t>mass effect</w:t>
      </w:r>
      <w:r w:rsidR="0006509E">
        <w:rPr>
          <w:rFonts w:ascii="Times New Roman" w:hAnsi="Times New Roman" w:cs="Times New Roman"/>
          <w:sz w:val="24"/>
          <w:szCs w:val="24"/>
        </w:rPr>
        <w:t xml:space="preserve">                               </w:t>
      </w:r>
    </w:p>
    <w:p w14:paraId="016BB925" w14:textId="73863A92" w:rsidR="0006509E" w:rsidRPr="00867B98" w:rsidRDefault="0006509E" w:rsidP="00395A63">
      <w:pPr>
        <w:spacing w:line="360" w:lineRule="auto"/>
        <w:rPr>
          <w:rFonts w:ascii="Times New Roman" w:hAnsi="Times New Roman" w:cs="Times New Roman"/>
          <w:sz w:val="24"/>
          <w:szCs w:val="24"/>
        </w:rPr>
      </w:pPr>
      <w:r w:rsidRPr="00EB689F">
        <w:rPr>
          <w:rFonts w:ascii="Times New Roman" w:hAnsi="Times New Roman" w:cs="Times New Roman"/>
          <w:b/>
          <w:bCs/>
          <w:sz w:val="24"/>
          <w:szCs w:val="24"/>
        </w:rPr>
        <w:t xml:space="preserve">THERAPEUTIC INTERVENTION: </w:t>
      </w:r>
    </w:p>
    <w:p w14:paraId="611E5374" w14:textId="409FF109" w:rsidR="00901F58" w:rsidRDefault="007B1F6F" w:rsidP="007B1F6F">
      <w:pPr>
        <w:spacing w:line="360" w:lineRule="auto"/>
        <w:jc w:val="both"/>
        <w:rPr>
          <w:rFonts w:ascii="Times New Roman" w:hAnsi="Times New Roman" w:cs="Times New Roman"/>
          <w:sz w:val="24"/>
          <w:szCs w:val="24"/>
        </w:rPr>
      </w:pPr>
      <w:r w:rsidRPr="007B1F6F">
        <w:rPr>
          <w:rFonts w:ascii="Times New Roman" w:hAnsi="Times New Roman" w:cs="Times New Roman"/>
          <w:sz w:val="24"/>
          <w:szCs w:val="24"/>
        </w:rPr>
        <w:t>After the confirmation of intracranial hemorrhage, the patient was advised for decompression surgery, and all the pre-operative procedures were done. Furthermore, the patient was prescribed inj</w:t>
      </w:r>
      <w:r w:rsidR="00395A63">
        <w:rPr>
          <w:rFonts w:ascii="Times New Roman" w:hAnsi="Times New Roman" w:cs="Times New Roman"/>
          <w:sz w:val="24"/>
          <w:szCs w:val="24"/>
        </w:rPr>
        <w:t>ection</w:t>
      </w:r>
      <w:r w:rsidRPr="007B1F6F">
        <w:rPr>
          <w:rFonts w:ascii="Times New Roman" w:hAnsi="Times New Roman" w:cs="Times New Roman"/>
          <w:sz w:val="24"/>
          <w:szCs w:val="24"/>
        </w:rPr>
        <w:t xml:space="preserve"> </w:t>
      </w:r>
      <w:r w:rsidR="0081220A">
        <w:rPr>
          <w:rFonts w:ascii="Times New Roman" w:hAnsi="Times New Roman" w:cs="Times New Roman"/>
          <w:sz w:val="24"/>
          <w:szCs w:val="24"/>
        </w:rPr>
        <w:t>ceftriaxone</w:t>
      </w:r>
      <w:r w:rsidRPr="007B1F6F">
        <w:rPr>
          <w:rFonts w:ascii="Times New Roman" w:hAnsi="Times New Roman" w:cs="Times New Roman"/>
          <w:sz w:val="24"/>
          <w:szCs w:val="24"/>
        </w:rPr>
        <w:t xml:space="preserve"> 1g IV x BD, Inj</w:t>
      </w:r>
      <w:r w:rsidR="00395A63">
        <w:rPr>
          <w:rFonts w:ascii="Times New Roman" w:hAnsi="Times New Roman" w:cs="Times New Roman"/>
          <w:sz w:val="24"/>
          <w:szCs w:val="24"/>
        </w:rPr>
        <w:t>ection</w:t>
      </w:r>
      <w:r w:rsidRPr="007B1F6F">
        <w:rPr>
          <w:rFonts w:ascii="Times New Roman" w:hAnsi="Times New Roman" w:cs="Times New Roman"/>
          <w:sz w:val="24"/>
          <w:szCs w:val="24"/>
        </w:rPr>
        <w:t xml:space="preserve"> pan</w:t>
      </w:r>
      <w:r w:rsidR="0081220A">
        <w:rPr>
          <w:rFonts w:ascii="Times New Roman" w:hAnsi="Times New Roman" w:cs="Times New Roman"/>
          <w:sz w:val="24"/>
          <w:szCs w:val="24"/>
        </w:rPr>
        <w:t>toprazole</w:t>
      </w:r>
      <w:r w:rsidRPr="007B1F6F">
        <w:rPr>
          <w:rFonts w:ascii="Times New Roman" w:hAnsi="Times New Roman" w:cs="Times New Roman"/>
          <w:sz w:val="24"/>
          <w:szCs w:val="24"/>
        </w:rPr>
        <w:t xml:space="preserve"> 40 mg IV X OD, Inj</w:t>
      </w:r>
      <w:r w:rsidR="00395A63">
        <w:rPr>
          <w:rFonts w:ascii="Times New Roman" w:hAnsi="Times New Roman" w:cs="Times New Roman"/>
          <w:sz w:val="24"/>
          <w:szCs w:val="24"/>
        </w:rPr>
        <w:t>ection</w:t>
      </w:r>
      <w:r w:rsidRPr="007B1F6F">
        <w:rPr>
          <w:rFonts w:ascii="Times New Roman" w:hAnsi="Times New Roman" w:cs="Times New Roman"/>
          <w:sz w:val="24"/>
          <w:szCs w:val="24"/>
        </w:rPr>
        <w:t xml:space="preserve"> </w:t>
      </w:r>
      <w:r w:rsidR="0081220A">
        <w:rPr>
          <w:rFonts w:ascii="Times New Roman" w:hAnsi="Times New Roman" w:cs="Times New Roman"/>
          <w:sz w:val="24"/>
          <w:szCs w:val="24"/>
        </w:rPr>
        <w:t>ondansetron</w:t>
      </w:r>
      <w:r w:rsidRPr="007B1F6F">
        <w:rPr>
          <w:rFonts w:ascii="Times New Roman" w:hAnsi="Times New Roman" w:cs="Times New Roman"/>
          <w:sz w:val="24"/>
          <w:szCs w:val="24"/>
        </w:rPr>
        <w:t xml:space="preserve"> 4 mg IV X BD, Inj</w:t>
      </w:r>
      <w:r w:rsidR="00395A63">
        <w:rPr>
          <w:rFonts w:ascii="Times New Roman" w:hAnsi="Times New Roman" w:cs="Times New Roman"/>
          <w:sz w:val="24"/>
          <w:szCs w:val="24"/>
        </w:rPr>
        <w:t>ection</w:t>
      </w:r>
      <w:r w:rsidRPr="007B1F6F">
        <w:rPr>
          <w:rFonts w:ascii="Times New Roman" w:hAnsi="Times New Roman" w:cs="Times New Roman"/>
          <w:sz w:val="24"/>
          <w:szCs w:val="24"/>
        </w:rPr>
        <w:t xml:space="preserve"> labetalol</w:t>
      </w:r>
      <w:r w:rsidR="0081220A">
        <w:rPr>
          <w:rFonts w:ascii="Times New Roman" w:hAnsi="Times New Roman" w:cs="Times New Roman"/>
          <w:sz w:val="24"/>
          <w:szCs w:val="24"/>
        </w:rPr>
        <w:t xml:space="preserve"> hydrochloride</w:t>
      </w:r>
      <w:r w:rsidRPr="007B1F6F">
        <w:rPr>
          <w:rFonts w:ascii="Times New Roman" w:hAnsi="Times New Roman" w:cs="Times New Roman"/>
          <w:sz w:val="24"/>
          <w:szCs w:val="24"/>
        </w:rPr>
        <w:t xml:space="preserve"> 20 mg IV SOS, Inj</w:t>
      </w:r>
      <w:r w:rsidR="00395A63">
        <w:rPr>
          <w:rFonts w:ascii="Times New Roman" w:hAnsi="Times New Roman" w:cs="Times New Roman"/>
          <w:sz w:val="24"/>
          <w:szCs w:val="24"/>
        </w:rPr>
        <w:t>ection</w:t>
      </w:r>
      <w:r w:rsidRPr="007B1F6F">
        <w:rPr>
          <w:rFonts w:ascii="Times New Roman" w:hAnsi="Times New Roman" w:cs="Times New Roman"/>
          <w:sz w:val="24"/>
          <w:szCs w:val="24"/>
        </w:rPr>
        <w:t xml:space="preserve"> mannitol 100 ml infusion X TDS, Tab telm</w:t>
      </w:r>
      <w:r w:rsidR="0081220A">
        <w:rPr>
          <w:rFonts w:ascii="Times New Roman" w:hAnsi="Times New Roman" w:cs="Times New Roman"/>
          <w:sz w:val="24"/>
          <w:szCs w:val="24"/>
        </w:rPr>
        <w:t>isartan</w:t>
      </w:r>
      <w:r w:rsidRPr="007B1F6F">
        <w:rPr>
          <w:rFonts w:ascii="Times New Roman" w:hAnsi="Times New Roman" w:cs="Times New Roman"/>
          <w:sz w:val="24"/>
          <w:szCs w:val="24"/>
        </w:rPr>
        <w:t xml:space="preserve"> 40 mg x BD, Inj</w:t>
      </w:r>
      <w:r w:rsidR="00395A63">
        <w:rPr>
          <w:rFonts w:ascii="Times New Roman" w:hAnsi="Times New Roman" w:cs="Times New Roman"/>
          <w:sz w:val="24"/>
          <w:szCs w:val="24"/>
        </w:rPr>
        <w:t>ection</w:t>
      </w:r>
      <w:r w:rsidRPr="007B1F6F">
        <w:rPr>
          <w:rFonts w:ascii="Times New Roman" w:hAnsi="Times New Roman" w:cs="Times New Roman"/>
          <w:sz w:val="24"/>
          <w:szCs w:val="24"/>
        </w:rPr>
        <w:t xml:space="preserve"> hydrocort</w:t>
      </w:r>
      <w:r w:rsidR="0081220A">
        <w:rPr>
          <w:rFonts w:ascii="Times New Roman" w:hAnsi="Times New Roman" w:cs="Times New Roman"/>
          <w:sz w:val="24"/>
          <w:szCs w:val="24"/>
        </w:rPr>
        <w:t>isone</w:t>
      </w:r>
      <w:r w:rsidRPr="007B1F6F">
        <w:rPr>
          <w:rFonts w:ascii="Times New Roman" w:hAnsi="Times New Roman" w:cs="Times New Roman"/>
          <w:sz w:val="24"/>
          <w:szCs w:val="24"/>
        </w:rPr>
        <w:t xml:space="preserve"> 100 mg IV stat. Also, it was advised to perform intubation SOS in case of any drop in GCS score or respiratory arrest.</w:t>
      </w:r>
    </w:p>
    <w:p w14:paraId="2F13904C" w14:textId="77777777" w:rsidR="007B1F6F" w:rsidRDefault="007B1F6F" w:rsidP="00D240EF">
      <w:pPr>
        <w:spacing w:line="360" w:lineRule="auto"/>
        <w:rPr>
          <w:rFonts w:ascii="Times New Roman" w:hAnsi="Times New Roman" w:cs="Times New Roman"/>
        </w:rPr>
      </w:pPr>
    </w:p>
    <w:p w14:paraId="52954B63" w14:textId="62F160E0" w:rsidR="0006509E" w:rsidRPr="00901F58" w:rsidRDefault="00901F58" w:rsidP="00D240EF">
      <w:pPr>
        <w:spacing w:line="360" w:lineRule="auto"/>
        <w:rPr>
          <w:rFonts w:ascii="Times New Roman" w:hAnsi="Times New Roman" w:cs="Times New Roman"/>
          <w:b/>
          <w:bCs/>
          <w:sz w:val="24"/>
          <w:szCs w:val="24"/>
        </w:rPr>
      </w:pPr>
      <w:r w:rsidRPr="00901F58">
        <w:rPr>
          <w:rFonts w:ascii="Times New Roman" w:hAnsi="Times New Roman" w:cs="Times New Roman"/>
          <w:b/>
          <w:bCs/>
          <w:sz w:val="24"/>
          <w:szCs w:val="24"/>
        </w:rPr>
        <w:t>DISCUSSION:</w:t>
      </w:r>
    </w:p>
    <w:p w14:paraId="4B53B1A5" w14:textId="5171CDC0" w:rsidR="00597039" w:rsidRPr="00597039" w:rsidRDefault="00032712" w:rsidP="00597039">
      <w:pPr>
        <w:autoSpaceDE w:val="0"/>
        <w:autoSpaceDN w:val="0"/>
        <w:adjustRightInd w:val="0"/>
        <w:spacing w:line="360" w:lineRule="auto"/>
        <w:jc w:val="both"/>
        <w:rPr>
          <w:rFonts w:ascii="Times New Roman" w:eastAsiaTheme="minorHAnsi" w:hAnsi="Times New Roman" w:cs="Times New Roman"/>
          <w:sz w:val="24"/>
          <w:szCs w:val="24"/>
          <w:lang w:eastAsia="en-US"/>
        </w:rPr>
      </w:pPr>
      <w:r w:rsidRPr="00032712">
        <w:rPr>
          <w:rFonts w:ascii="Times New Roman" w:hAnsi="Times New Roman" w:cs="Times New Roman"/>
          <w:sz w:val="24"/>
          <w:szCs w:val="24"/>
        </w:rPr>
        <w:t xml:space="preserve">Intracranial hemorrhage (ICH) constitutes a medical emergency that necessitates prompt and appropriate management according to the guidelines established by the American Heart Association (AHA) and the American Society of Anesthesiologists (ASA). The initial management of ICH should prioritize the restoration of airway patency, breathing, and circulation, the verification of neuroimaging findings, the utilization of standardized assessment scales such as the National Institute of Health Stroke Scale (NIHSS) and the Glasgow Coma Scale (GCS), blood pressure management, the reversal of coagulopathy, and surgical intervention. Frequent neurological examinations are conducted to monitor the signs </w:t>
      </w:r>
      <w:r w:rsidRPr="00032712">
        <w:rPr>
          <w:rFonts w:ascii="Times New Roman" w:hAnsi="Times New Roman" w:cs="Times New Roman"/>
          <w:sz w:val="24"/>
          <w:szCs w:val="24"/>
        </w:rPr>
        <w:lastRenderedPageBreak/>
        <w:t>of intracranial pressure (ICP). (5)</w:t>
      </w:r>
      <w:r>
        <w:rPr>
          <w:rFonts w:ascii="Times New Roman" w:hAnsi="Times New Roman" w:cs="Times New Roman"/>
          <w:sz w:val="24"/>
          <w:szCs w:val="24"/>
        </w:rPr>
        <w:t xml:space="preserve"> </w:t>
      </w:r>
      <w:r w:rsidRPr="00032712">
        <w:rPr>
          <w:rFonts w:ascii="Times New Roman" w:hAnsi="Times New Roman" w:cs="Times New Roman"/>
          <w:sz w:val="24"/>
          <w:szCs w:val="24"/>
        </w:rPr>
        <w:t>Craniotomy is a more prevalent treatment approach for spontaneous intracranial bleeding. However, the role of open surgery has been subject to ongoing debate due to its inherent risks and complications. Consequently, alternative approaches, including minimally invasive techniques, have been tested. (6)</w:t>
      </w:r>
      <w:r>
        <w:rPr>
          <w:rFonts w:ascii="Times New Roman" w:hAnsi="Times New Roman" w:cs="Times New Roman"/>
          <w:sz w:val="24"/>
          <w:szCs w:val="24"/>
        </w:rPr>
        <w:t xml:space="preserve"> </w:t>
      </w:r>
      <w:r w:rsidRPr="00032712">
        <w:rPr>
          <w:rFonts w:ascii="Times New Roman" w:hAnsi="Times New Roman" w:cs="Times New Roman"/>
          <w:sz w:val="24"/>
          <w:szCs w:val="24"/>
        </w:rPr>
        <w:t>A recent pilot randomized controlled trial demonstrated the promising safety and effectiveness of Intraoperative Computed Tomography-guided Endoscopic Surgery for Brain Hemorrhage (ICES) in managing ICH. (7)</w:t>
      </w:r>
      <w:r>
        <w:rPr>
          <w:rFonts w:ascii="Times New Roman" w:hAnsi="Times New Roman" w:cs="Times New Roman"/>
          <w:sz w:val="24"/>
          <w:szCs w:val="24"/>
        </w:rPr>
        <w:t xml:space="preserve"> </w:t>
      </w:r>
      <w:r w:rsidRPr="00032712">
        <w:rPr>
          <w:rFonts w:ascii="Times New Roman" w:hAnsi="Times New Roman" w:cs="Times New Roman"/>
          <w:sz w:val="24"/>
          <w:szCs w:val="24"/>
        </w:rPr>
        <w:t>In our case, the patient presented as a chronic smoker with a history exceeding 25 years of smoking. This history strongly suggests a correlation between hypertension and cerebral hemorrhage, commonly referred to as hypertensive cerebral hemorrhage. The incidence of ICH has recently risen among younger populations, accompanied by higher mortality rates. (8)</w:t>
      </w:r>
      <w:r>
        <w:rPr>
          <w:rFonts w:ascii="Times New Roman" w:hAnsi="Times New Roman" w:cs="Times New Roman"/>
          <w:sz w:val="24"/>
          <w:szCs w:val="24"/>
        </w:rPr>
        <w:t xml:space="preserve"> </w:t>
      </w:r>
      <w:r w:rsidRPr="00032712">
        <w:rPr>
          <w:rFonts w:ascii="Times New Roman" w:hAnsi="Times New Roman" w:cs="Times New Roman"/>
          <w:sz w:val="24"/>
          <w:szCs w:val="24"/>
        </w:rPr>
        <w:t>ICH can be associated with hematoma expansion, which can be effectively managed through surgical intervention, blood pressure control, and adjustments to coagulation parameters. However, it is often observed that ICH occurs prior to hospital admission, which can significantly impact the acute management and the potential for surgical intervention. (9)</w:t>
      </w:r>
      <w:r>
        <w:rPr>
          <w:rFonts w:ascii="Times New Roman" w:hAnsi="Times New Roman" w:cs="Times New Roman"/>
          <w:sz w:val="24"/>
          <w:szCs w:val="24"/>
        </w:rPr>
        <w:t xml:space="preserve"> </w:t>
      </w:r>
      <w:r w:rsidRPr="00032712">
        <w:rPr>
          <w:rFonts w:ascii="Times New Roman" w:hAnsi="Times New Roman" w:cs="Times New Roman"/>
          <w:sz w:val="24"/>
          <w:szCs w:val="24"/>
        </w:rPr>
        <w:t xml:space="preserve">Nurses play a pivotal role in the intensive care unit, where they continuously monitor patients’ conscious levels, maintain vital signs, cardiac activity, and any alterations in hydroelectric balance, seizures, hygiene, and mobility. It is also crucial to inform the family members that the disability can be substantial for those who survive an intracranial hemorrhage (ICH) and may require lifelong dependence. Consequently, they will necessitate support from an occupational therapist, speech therapist, and physiotherapy team to facilitate rehabilitation and restore the patient’s maximum functional capacity. (10) </w:t>
      </w:r>
      <w:r w:rsidR="00597039" w:rsidRPr="00597039">
        <w:rPr>
          <w:rFonts w:ascii="Times New Roman" w:eastAsiaTheme="minorHAnsi" w:hAnsi="Times New Roman" w:cs="Times New Roman"/>
          <w:sz w:val="24"/>
          <w:szCs w:val="24"/>
          <w:lang w:eastAsia="en-US"/>
        </w:rPr>
        <w:t xml:space="preserve">In our case, the patient was recommended for surgical intervention due to the extension of bleeding into the left lateral ventricle as a result of compression and displacement. However, the patient unexpectedly experienced </w:t>
      </w:r>
      <w:r w:rsidR="00C74B85">
        <w:rPr>
          <w:rFonts w:ascii="Times New Roman" w:eastAsiaTheme="minorHAnsi" w:hAnsi="Times New Roman" w:cs="Times New Roman"/>
          <w:sz w:val="24"/>
          <w:szCs w:val="24"/>
          <w:lang w:eastAsia="en-US"/>
        </w:rPr>
        <w:t>early</w:t>
      </w:r>
      <w:r w:rsidR="00395A63">
        <w:rPr>
          <w:rFonts w:ascii="Times New Roman" w:eastAsiaTheme="minorHAnsi" w:hAnsi="Times New Roman" w:cs="Times New Roman"/>
          <w:sz w:val="24"/>
          <w:szCs w:val="24"/>
          <w:lang w:eastAsia="en-US"/>
        </w:rPr>
        <w:t>-</w:t>
      </w:r>
      <w:r w:rsidR="00C74B85">
        <w:rPr>
          <w:rFonts w:ascii="Times New Roman" w:eastAsiaTheme="minorHAnsi" w:hAnsi="Times New Roman" w:cs="Times New Roman"/>
          <w:sz w:val="24"/>
          <w:szCs w:val="24"/>
          <w:lang w:eastAsia="en-US"/>
        </w:rPr>
        <w:t>onset</w:t>
      </w:r>
      <w:r w:rsidR="00597039" w:rsidRPr="00597039">
        <w:rPr>
          <w:rFonts w:ascii="Times New Roman" w:eastAsiaTheme="minorHAnsi" w:hAnsi="Times New Roman" w:cs="Times New Roman"/>
          <w:sz w:val="24"/>
          <w:szCs w:val="24"/>
          <w:lang w:eastAsia="en-US"/>
        </w:rPr>
        <w:t xml:space="preserve"> seizures</w:t>
      </w:r>
      <w:r w:rsidR="004F61CB">
        <w:rPr>
          <w:rFonts w:ascii="Times New Roman" w:eastAsiaTheme="minorHAnsi" w:hAnsi="Times New Roman" w:cs="Times New Roman"/>
          <w:sz w:val="24"/>
          <w:szCs w:val="24"/>
          <w:lang w:eastAsia="en-US"/>
        </w:rPr>
        <w:t xml:space="preserve"> for a minute</w:t>
      </w:r>
      <w:r w:rsidR="00597039" w:rsidRPr="00597039">
        <w:rPr>
          <w:rFonts w:ascii="Times New Roman" w:eastAsiaTheme="minorHAnsi" w:hAnsi="Times New Roman" w:cs="Times New Roman"/>
          <w:sz w:val="24"/>
          <w:szCs w:val="24"/>
          <w:lang w:eastAsia="en-US"/>
        </w:rPr>
        <w:t xml:space="preserve">, necessitating conservative treatment. After treatment, the patient’s vital signs and other parameters stabilized, and there was no indication of infection </w:t>
      </w:r>
      <w:r w:rsidR="00395A63">
        <w:rPr>
          <w:rFonts w:ascii="Times New Roman" w:eastAsiaTheme="minorHAnsi" w:hAnsi="Times New Roman" w:cs="Times New Roman"/>
          <w:sz w:val="24"/>
          <w:szCs w:val="24"/>
          <w:lang w:eastAsia="en-US"/>
        </w:rPr>
        <w:t xml:space="preserve">or </w:t>
      </w:r>
      <w:r w:rsidR="004F61CB">
        <w:rPr>
          <w:rFonts w:ascii="Times New Roman" w:eastAsiaTheme="minorHAnsi" w:hAnsi="Times New Roman" w:cs="Times New Roman"/>
          <w:sz w:val="24"/>
          <w:szCs w:val="24"/>
          <w:lang w:eastAsia="en-US"/>
        </w:rPr>
        <w:t>specific neurological deficit</w:t>
      </w:r>
      <w:r w:rsidR="00597039" w:rsidRPr="00597039">
        <w:rPr>
          <w:rFonts w:ascii="Times New Roman" w:eastAsiaTheme="minorHAnsi" w:hAnsi="Times New Roman" w:cs="Times New Roman"/>
          <w:sz w:val="24"/>
          <w:szCs w:val="24"/>
          <w:lang w:eastAsia="en-US"/>
        </w:rPr>
        <w:t>. The administration of mannitol stabilized the patient’s intracranial pressure. However, due to financial constraints, the patient’s family opted for discharge against medical advice</w:t>
      </w:r>
      <w:r w:rsidR="00597039">
        <w:rPr>
          <w:rFonts w:ascii="Times New Roman" w:eastAsiaTheme="minorHAnsi" w:hAnsi="Times New Roman" w:cs="Times New Roman"/>
          <w:sz w:val="24"/>
          <w:szCs w:val="24"/>
          <w:lang w:eastAsia="en-US"/>
        </w:rPr>
        <w:t xml:space="preserve"> (DAMA)</w:t>
      </w:r>
      <w:r w:rsidR="00597039" w:rsidRPr="00597039">
        <w:rPr>
          <w:rFonts w:ascii="Times New Roman" w:eastAsiaTheme="minorHAnsi" w:hAnsi="Times New Roman" w:cs="Times New Roman"/>
          <w:sz w:val="24"/>
          <w:szCs w:val="24"/>
          <w:lang w:eastAsia="en-US"/>
        </w:rPr>
        <w:t xml:space="preserve"> and transferred the patient to another hospital for further consultation despite being informed about the patient’s condition.</w:t>
      </w:r>
      <w:r w:rsidR="00597039">
        <w:rPr>
          <w:rFonts w:ascii="Times New Roman" w:eastAsiaTheme="minorHAnsi" w:hAnsi="Times New Roman" w:cs="Times New Roman"/>
          <w:sz w:val="24"/>
          <w:szCs w:val="24"/>
          <w:lang w:eastAsia="en-US"/>
        </w:rPr>
        <w:t xml:space="preserve"> </w:t>
      </w:r>
      <w:r w:rsidR="00597039" w:rsidRPr="00597039">
        <w:rPr>
          <w:rFonts w:ascii="Times New Roman" w:eastAsiaTheme="minorHAnsi" w:hAnsi="Times New Roman" w:cs="Times New Roman"/>
          <w:sz w:val="24"/>
          <w:szCs w:val="24"/>
          <w:lang w:eastAsia="en-US"/>
        </w:rPr>
        <w:t>In India, it is common for patients’ families to seek immediate treatment. They often desire multiple consultations in different hospitals with various medical professionals, which can conflict with the treatment protocol. In the case of intracranial hemorrhage, such frequent hospital transfers can further deteriorate the patient’s overall health and even lead to death.</w:t>
      </w:r>
    </w:p>
    <w:p w14:paraId="1405EEAB" w14:textId="64D2D6D0" w:rsidR="0035596E" w:rsidRPr="00597039" w:rsidRDefault="0035596E" w:rsidP="00032712">
      <w:pPr>
        <w:spacing w:line="360" w:lineRule="auto"/>
        <w:jc w:val="both"/>
        <w:rPr>
          <w:rFonts w:ascii="Times New Roman" w:hAnsi="Times New Roman" w:cs="Times New Roman"/>
          <w:sz w:val="22"/>
          <w:szCs w:val="22"/>
        </w:rPr>
      </w:pPr>
    </w:p>
    <w:p w14:paraId="045AE43A" w14:textId="77777777" w:rsidR="00F605C6" w:rsidRPr="00597039" w:rsidRDefault="00F605C6" w:rsidP="00D240EF">
      <w:pPr>
        <w:spacing w:line="360" w:lineRule="auto"/>
        <w:rPr>
          <w:rFonts w:ascii="Times New Roman" w:hAnsi="Times New Roman" w:cs="Times New Roman"/>
          <w:b/>
          <w:bCs/>
          <w:sz w:val="22"/>
          <w:szCs w:val="22"/>
        </w:rPr>
      </w:pPr>
    </w:p>
    <w:p w14:paraId="090DFD3E" w14:textId="2A6F213D" w:rsidR="00847825" w:rsidRDefault="00024581" w:rsidP="00D240EF">
      <w:pPr>
        <w:spacing w:line="360" w:lineRule="auto"/>
        <w:rPr>
          <w:rFonts w:ascii="Times New Roman" w:hAnsi="Times New Roman" w:cs="Times New Roman"/>
          <w:b/>
          <w:bCs/>
          <w:sz w:val="24"/>
          <w:szCs w:val="24"/>
        </w:rPr>
      </w:pPr>
      <w:r w:rsidRPr="00024581">
        <w:rPr>
          <w:rFonts w:ascii="Times New Roman" w:hAnsi="Times New Roman" w:cs="Times New Roman"/>
          <w:b/>
          <w:bCs/>
          <w:sz w:val="24"/>
          <w:szCs w:val="24"/>
        </w:rPr>
        <w:t>CONCLUSION:</w:t>
      </w:r>
    </w:p>
    <w:p w14:paraId="0ED2D16C" w14:textId="77777777" w:rsidR="008F2112" w:rsidRPr="008F2112" w:rsidRDefault="008F2112" w:rsidP="008F2112">
      <w:pPr>
        <w:spacing w:line="360" w:lineRule="auto"/>
        <w:jc w:val="both"/>
        <w:rPr>
          <w:rFonts w:ascii="Times New Roman" w:hAnsi="Times New Roman" w:cs="Times New Roman"/>
          <w:sz w:val="24"/>
          <w:szCs w:val="24"/>
        </w:rPr>
      </w:pPr>
      <w:r w:rsidRPr="008F2112">
        <w:rPr>
          <w:rFonts w:ascii="Times New Roman" w:hAnsi="Times New Roman" w:cs="Times New Roman"/>
          <w:sz w:val="24"/>
          <w:szCs w:val="24"/>
        </w:rPr>
        <w:t>Intracranial hemorrhage (ICH) significantly contributes to the global burden of disease, accounting for 10 to 15% of stroke cases in high-income countries and 20 to 50% in developing countries. Accurate diagnosis of ICH is paramount for clinicians, necessitating adherence to appropriate diagnostic criteria. Furthermore, providing patients with information regarding the most probable outcomes of their condition, in accordance with medical feasibility and patient or family preferences, can enhance clinical care.</w:t>
      </w:r>
    </w:p>
    <w:p w14:paraId="5141E1A9" w14:textId="77777777" w:rsidR="00CE42F1" w:rsidRDefault="00CE42F1" w:rsidP="00D240EF">
      <w:pPr>
        <w:spacing w:line="360" w:lineRule="auto"/>
        <w:rPr>
          <w:rFonts w:ascii="Times New Roman" w:hAnsi="Times New Roman" w:cs="Times New Roman"/>
          <w:b/>
          <w:bCs/>
          <w:sz w:val="24"/>
          <w:szCs w:val="24"/>
        </w:rPr>
      </w:pPr>
    </w:p>
    <w:p w14:paraId="2F6479AC" w14:textId="57AF1300" w:rsidR="00024581" w:rsidRPr="00867B98" w:rsidRDefault="00024581" w:rsidP="00024581">
      <w:pPr>
        <w:spacing w:line="360" w:lineRule="auto"/>
        <w:rPr>
          <w:rFonts w:ascii="Times New Roman" w:hAnsi="Times New Roman" w:cs="Times New Roman"/>
          <w:b/>
          <w:bCs/>
          <w:sz w:val="24"/>
          <w:szCs w:val="24"/>
        </w:rPr>
      </w:pPr>
      <w:r w:rsidRPr="00867B98">
        <w:rPr>
          <w:rFonts w:ascii="Times New Roman" w:hAnsi="Times New Roman" w:cs="Times New Roman"/>
          <w:b/>
          <w:bCs/>
          <w:sz w:val="24"/>
          <w:szCs w:val="24"/>
        </w:rPr>
        <w:t xml:space="preserve">ACKNOWLEDGEMENTS: </w:t>
      </w:r>
      <w:r w:rsidRPr="00867B98">
        <w:rPr>
          <w:rFonts w:ascii="Times New Roman" w:hAnsi="Times New Roman" w:cs="Times New Roman"/>
          <w:sz w:val="24"/>
          <w:szCs w:val="24"/>
        </w:rPr>
        <w:t>We thank the</w:t>
      </w:r>
      <w:r w:rsidRPr="00867B98">
        <w:rPr>
          <w:rFonts w:ascii="Times New Roman" w:hAnsi="Times New Roman" w:cs="Times New Roman"/>
          <w:b/>
          <w:bCs/>
          <w:sz w:val="24"/>
          <w:szCs w:val="24"/>
        </w:rPr>
        <w:t xml:space="preserve"> </w:t>
      </w:r>
      <w:r w:rsidRPr="00867B98">
        <w:rPr>
          <w:rFonts w:ascii="Times New Roman" w:hAnsi="Times New Roman" w:cs="Times New Roman"/>
          <w:sz w:val="24"/>
          <w:szCs w:val="24"/>
        </w:rPr>
        <w:t>patient for allowing us to share her case.</w:t>
      </w:r>
      <w:r w:rsidRPr="00867B98">
        <w:rPr>
          <w:rFonts w:ascii="Times New Roman" w:hAnsi="Times New Roman" w:cs="Times New Roman"/>
          <w:b/>
          <w:bCs/>
          <w:sz w:val="24"/>
          <w:szCs w:val="24"/>
        </w:rPr>
        <w:t xml:space="preserve"> </w:t>
      </w:r>
    </w:p>
    <w:p w14:paraId="3C9C8464" w14:textId="77777777" w:rsidR="00024581" w:rsidRPr="00867B98" w:rsidRDefault="00024581" w:rsidP="00024581">
      <w:pPr>
        <w:spacing w:line="360" w:lineRule="auto"/>
        <w:rPr>
          <w:rFonts w:ascii="Times New Roman" w:hAnsi="Times New Roman" w:cs="Times New Roman"/>
          <w:b/>
          <w:bCs/>
          <w:sz w:val="24"/>
          <w:szCs w:val="24"/>
        </w:rPr>
      </w:pPr>
      <w:r w:rsidRPr="00867B98">
        <w:rPr>
          <w:rFonts w:ascii="Times New Roman" w:hAnsi="Times New Roman" w:cs="Times New Roman"/>
          <w:b/>
          <w:bCs/>
          <w:sz w:val="24"/>
          <w:szCs w:val="24"/>
        </w:rPr>
        <w:t xml:space="preserve">ETHICAL APPROVAL: </w:t>
      </w:r>
      <w:r w:rsidRPr="00867B98">
        <w:rPr>
          <w:rFonts w:ascii="Times New Roman" w:hAnsi="Times New Roman" w:cs="Times New Roman"/>
          <w:sz w:val="24"/>
          <w:szCs w:val="24"/>
        </w:rPr>
        <w:t>Ethical approval were taken as per international standards.</w:t>
      </w:r>
    </w:p>
    <w:p w14:paraId="5B8FC00D" w14:textId="320A7ECB" w:rsidR="00024581" w:rsidRPr="00867B98" w:rsidRDefault="00024581" w:rsidP="00024581">
      <w:pPr>
        <w:spacing w:line="360" w:lineRule="auto"/>
        <w:rPr>
          <w:rFonts w:ascii="Times New Roman" w:hAnsi="Times New Roman" w:cs="Times New Roman"/>
          <w:b/>
          <w:bCs/>
          <w:sz w:val="24"/>
          <w:szCs w:val="24"/>
        </w:rPr>
      </w:pPr>
      <w:r w:rsidRPr="00867B98">
        <w:rPr>
          <w:rFonts w:ascii="Times New Roman" w:hAnsi="Times New Roman" w:cs="Times New Roman"/>
          <w:b/>
          <w:bCs/>
          <w:sz w:val="24"/>
          <w:szCs w:val="24"/>
        </w:rPr>
        <w:t xml:space="preserve">CONFLICTS OF INTERESTS: </w:t>
      </w:r>
      <w:r w:rsidR="00054A92" w:rsidRPr="00867B98">
        <w:rPr>
          <w:rFonts w:ascii="Times New Roman" w:hAnsi="Times New Roman" w:cs="Times New Roman"/>
          <w:sz w:val="24"/>
          <w:szCs w:val="24"/>
        </w:rPr>
        <w:t>No</w:t>
      </w:r>
      <w:r w:rsidR="00054A92">
        <w:rPr>
          <w:rFonts w:ascii="Times New Roman" w:hAnsi="Times New Roman" w:cs="Times New Roman"/>
          <w:sz w:val="24"/>
          <w:szCs w:val="24"/>
        </w:rPr>
        <w:t xml:space="preserve"> potential conflicts of interest relevant to this article.</w:t>
      </w:r>
    </w:p>
    <w:p w14:paraId="34C796C1" w14:textId="77777777" w:rsidR="00024581" w:rsidRPr="00867B98" w:rsidRDefault="00024581" w:rsidP="00024581">
      <w:pPr>
        <w:spacing w:line="360" w:lineRule="auto"/>
        <w:rPr>
          <w:rFonts w:ascii="Times New Roman" w:hAnsi="Times New Roman" w:cs="Times New Roman"/>
          <w:b/>
          <w:bCs/>
          <w:sz w:val="24"/>
          <w:szCs w:val="24"/>
        </w:rPr>
      </w:pPr>
      <w:r w:rsidRPr="00867B98">
        <w:rPr>
          <w:rFonts w:ascii="Times New Roman" w:hAnsi="Times New Roman" w:cs="Times New Roman"/>
          <w:b/>
          <w:bCs/>
          <w:sz w:val="24"/>
          <w:szCs w:val="24"/>
        </w:rPr>
        <w:t xml:space="preserve">FUNDING: </w:t>
      </w:r>
      <w:r w:rsidRPr="00867B98">
        <w:rPr>
          <w:rFonts w:ascii="Times New Roman" w:hAnsi="Times New Roman" w:cs="Times New Roman"/>
          <w:sz w:val="24"/>
          <w:szCs w:val="24"/>
        </w:rPr>
        <w:t>The authors receive no funding for this work.</w:t>
      </w:r>
    </w:p>
    <w:p w14:paraId="21D44AA3" w14:textId="77777777" w:rsidR="00024581" w:rsidRPr="00024581" w:rsidRDefault="00024581" w:rsidP="00D240EF">
      <w:pPr>
        <w:spacing w:line="360" w:lineRule="auto"/>
        <w:rPr>
          <w:rFonts w:ascii="Times New Roman" w:hAnsi="Times New Roman" w:cs="Times New Roman"/>
          <w:b/>
          <w:bCs/>
          <w:sz w:val="24"/>
          <w:szCs w:val="24"/>
        </w:rPr>
      </w:pPr>
    </w:p>
    <w:p w14:paraId="6F7829B5" w14:textId="38028E9F" w:rsidR="00032712" w:rsidRDefault="00032712" w:rsidP="00D240EF">
      <w:pPr>
        <w:spacing w:line="360" w:lineRule="auto"/>
        <w:rPr>
          <w:rFonts w:ascii="Times New Roman" w:hAnsi="Times New Roman" w:cs="Times New Roman"/>
        </w:rPr>
      </w:pPr>
    </w:p>
    <w:p w14:paraId="552647F2" w14:textId="77777777" w:rsidR="00395A63" w:rsidRDefault="00395A63" w:rsidP="00D240EF">
      <w:pPr>
        <w:spacing w:line="360" w:lineRule="auto"/>
        <w:rPr>
          <w:rFonts w:ascii="Times New Roman" w:hAnsi="Times New Roman" w:cs="Times New Roman"/>
        </w:rPr>
      </w:pPr>
    </w:p>
    <w:p w14:paraId="052A4E6A" w14:textId="2DF227FD" w:rsidR="004118F9" w:rsidRDefault="00867B98" w:rsidP="00D240EF">
      <w:pPr>
        <w:spacing w:line="360" w:lineRule="auto"/>
        <w:rPr>
          <w:rFonts w:ascii="Times New Roman" w:hAnsi="Times New Roman" w:cs="Times New Roman"/>
          <w:b/>
          <w:bCs/>
          <w:sz w:val="24"/>
          <w:szCs w:val="24"/>
        </w:rPr>
      </w:pPr>
      <w:r w:rsidRPr="00867B98">
        <w:rPr>
          <w:rFonts w:ascii="Times New Roman" w:hAnsi="Times New Roman" w:cs="Times New Roman"/>
          <w:b/>
          <w:bCs/>
          <w:sz w:val="24"/>
          <w:szCs w:val="24"/>
        </w:rPr>
        <w:t xml:space="preserve">REFERENCE: </w:t>
      </w:r>
    </w:p>
    <w:p w14:paraId="60CE23B4" w14:textId="77777777" w:rsidR="00867B98" w:rsidRPr="00867B98" w:rsidRDefault="00867B98" w:rsidP="00D240EF">
      <w:pPr>
        <w:spacing w:line="360" w:lineRule="auto"/>
        <w:rPr>
          <w:rFonts w:ascii="Times New Roman" w:hAnsi="Times New Roman" w:cs="Times New Roman"/>
          <w:b/>
          <w:bCs/>
          <w:sz w:val="24"/>
          <w:szCs w:val="24"/>
        </w:rPr>
      </w:pPr>
    </w:p>
    <w:p w14:paraId="772B9332" w14:textId="565223F1" w:rsidR="004118F9" w:rsidRDefault="004118F9" w:rsidP="00D240EF">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sidRPr="004118F9">
        <w:rPr>
          <w:rFonts w:ascii="Times New Roman" w:hAnsi="Times New Roman" w:cs="Times New Roman"/>
          <w:sz w:val="24"/>
          <w:szCs w:val="24"/>
        </w:rPr>
        <w:t xml:space="preserve">Caceres, J. A., &amp; Goldstein, J. N. (2012). Intracranial hemorrhage. Emergency medicine clinics of North America, 30(3), 771–794. </w:t>
      </w:r>
      <w:hyperlink r:id="rId6" w:history="1">
        <w:r w:rsidRPr="009E00C6">
          <w:rPr>
            <w:rStyle w:val="Hyperlink"/>
            <w:rFonts w:ascii="Times New Roman" w:hAnsi="Times New Roman" w:cs="Times New Roman"/>
            <w:sz w:val="24"/>
            <w:szCs w:val="24"/>
          </w:rPr>
          <w:t>https://doi.org/10.1016/j.emc.2012.06.003</w:t>
        </w:r>
      </w:hyperlink>
    </w:p>
    <w:p w14:paraId="67E5783F" w14:textId="77777777" w:rsidR="00847825" w:rsidRDefault="00847825" w:rsidP="00D240EF">
      <w:pPr>
        <w:spacing w:line="360" w:lineRule="auto"/>
        <w:rPr>
          <w:rFonts w:ascii="Times New Roman" w:hAnsi="Times New Roman" w:cs="Times New Roman"/>
          <w:sz w:val="24"/>
          <w:szCs w:val="24"/>
        </w:rPr>
      </w:pPr>
    </w:p>
    <w:p w14:paraId="4AEEF998" w14:textId="256370D1" w:rsidR="004118F9" w:rsidRDefault="004118F9" w:rsidP="00D240EF">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002C32F5">
        <w:rPr>
          <w:rFonts w:ascii="Times New Roman" w:hAnsi="Times New Roman" w:cs="Times New Roman"/>
          <w:sz w:val="24"/>
          <w:szCs w:val="24"/>
        </w:rPr>
        <w:t>T</w:t>
      </w:r>
      <w:r w:rsidR="00847825" w:rsidRPr="00847825">
        <w:rPr>
          <w:rFonts w:ascii="Times New Roman" w:hAnsi="Times New Roman" w:cs="Times New Roman"/>
          <w:sz w:val="24"/>
          <w:szCs w:val="24"/>
        </w:rPr>
        <w:t>enny</w:t>
      </w:r>
      <w:proofErr w:type="spellEnd"/>
      <w:r w:rsidR="00847825" w:rsidRPr="00847825">
        <w:rPr>
          <w:rFonts w:ascii="Times New Roman" w:hAnsi="Times New Roman" w:cs="Times New Roman"/>
          <w:sz w:val="24"/>
          <w:szCs w:val="24"/>
        </w:rPr>
        <w:t xml:space="preserve"> S, </w:t>
      </w:r>
      <w:proofErr w:type="spellStart"/>
      <w:r w:rsidR="00847825" w:rsidRPr="00847825">
        <w:rPr>
          <w:rFonts w:ascii="Times New Roman" w:hAnsi="Times New Roman" w:cs="Times New Roman"/>
          <w:sz w:val="24"/>
          <w:szCs w:val="24"/>
        </w:rPr>
        <w:t>Thorell</w:t>
      </w:r>
      <w:proofErr w:type="spellEnd"/>
      <w:r w:rsidR="00847825" w:rsidRPr="00847825">
        <w:rPr>
          <w:rFonts w:ascii="Times New Roman" w:hAnsi="Times New Roman" w:cs="Times New Roman"/>
          <w:sz w:val="24"/>
          <w:szCs w:val="24"/>
        </w:rPr>
        <w:t xml:space="preserve"> W. Intracranial Hemorrhage. [Updated 2024 Feb 17]. In: </w:t>
      </w:r>
      <w:proofErr w:type="spellStart"/>
      <w:r w:rsidR="00847825" w:rsidRPr="00847825">
        <w:rPr>
          <w:rFonts w:ascii="Times New Roman" w:hAnsi="Times New Roman" w:cs="Times New Roman"/>
          <w:sz w:val="24"/>
          <w:szCs w:val="24"/>
        </w:rPr>
        <w:t>StatPearls</w:t>
      </w:r>
      <w:proofErr w:type="spellEnd"/>
      <w:r w:rsidR="00847825" w:rsidRPr="00847825">
        <w:rPr>
          <w:rFonts w:ascii="Times New Roman" w:hAnsi="Times New Roman" w:cs="Times New Roman"/>
          <w:sz w:val="24"/>
          <w:szCs w:val="24"/>
        </w:rPr>
        <w:t xml:space="preserve"> [Internet]. Treasure Island (FL): </w:t>
      </w:r>
      <w:proofErr w:type="spellStart"/>
      <w:r w:rsidR="00847825" w:rsidRPr="00847825">
        <w:rPr>
          <w:rFonts w:ascii="Times New Roman" w:hAnsi="Times New Roman" w:cs="Times New Roman"/>
          <w:sz w:val="24"/>
          <w:szCs w:val="24"/>
        </w:rPr>
        <w:t>StatPearls</w:t>
      </w:r>
      <w:proofErr w:type="spellEnd"/>
      <w:r w:rsidR="00847825" w:rsidRPr="00847825">
        <w:rPr>
          <w:rFonts w:ascii="Times New Roman" w:hAnsi="Times New Roman" w:cs="Times New Roman"/>
          <w:sz w:val="24"/>
          <w:szCs w:val="24"/>
        </w:rPr>
        <w:t xml:space="preserve"> Publishing; 2025 Jan-. Available from: </w:t>
      </w:r>
      <w:hyperlink r:id="rId7" w:history="1">
        <w:r w:rsidR="009F1B2B" w:rsidRPr="009E00C6">
          <w:rPr>
            <w:rStyle w:val="Hyperlink"/>
            <w:rFonts w:ascii="Times New Roman" w:hAnsi="Times New Roman" w:cs="Times New Roman"/>
            <w:sz w:val="24"/>
            <w:szCs w:val="24"/>
          </w:rPr>
          <w:t>https://www.ncbi.nlm.nih.gov/books/NBK470242/</w:t>
        </w:r>
      </w:hyperlink>
    </w:p>
    <w:p w14:paraId="299E6597" w14:textId="7F52368A" w:rsidR="009F1B2B" w:rsidRDefault="009F1B2B" w:rsidP="00D240EF">
      <w:pPr>
        <w:spacing w:line="360" w:lineRule="auto"/>
        <w:rPr>
          <w:rFonts w:ascii="Times New Roman" w:hAnsi="Times New Roman" w:cs="Times New Roman"/>
          <w:sz w:val="24"/>
          <w:szCs w:val="24"/>
        </w:rPr>
      </w:pPr>
    </w:p>
    <w:p w14:paraId="5181784B" w14:textId="77777777" w:rsidR="009F1B2B" w:rsidRPr="009F1B2B" w:rsidRDefault="009F1B2B" w:rsidP="009F1B2B">
      <w:pPr>
        <w:pStyle w:val="NormalWeb"/>
        <w:spacing w:before="0" w:beforeAutospacing="0" w:after="0" w:afterAutospacing="0" w:line="480" w:lineRule="atLeast"/>
        <w:ind w:left="720" w:hanging="720"/>
        <w:rPr>
          <w:color w:val="000000"/>
          <w:sz w:val="24"/>
          <w:szCs w:val="24"/>
          <w:lang w:val="en-IN"/>
        </w:rPr>
      </w:pPr>
      <w:r>
        <w:rPr>
          <w:sz w:val="24"/>
          <w:szCs w:val="24"/>
        </w:rPr>
        <w:t xml:space="preserve">3. </w:t>
      </w:r>
      <w:r w:rsidRPr="009F1B2B">
        <w:rPr>
          <w:color w:val="000000"/>
          <w:sz w:val="24"/>
          <w:szCs w:val="24"/>
          <w:lang w:val="en-IN"/>
        </w:rPr>
        <w:t xml:space="preserve">Wang, S., Zou, X., Wu, L., Zhou, H., Xiao, L., Yao, T., Zhang, Y., Ma, J., Zeng, Y., &amp; Zhang, L. (2022). Epidemiology of intracerebral </w:t>
      </w:r>
      <w:proofErr w:type="spellStart"/>
      <w:r w:rsidRPr="009F1B2B">
        <w:rPr>
          <w:color w:val="000000"/>
          <w:sz w:val="24"/>
          <w:szCs w:val="24"/>
          <w:lang w:val="en-IN"/>
        </w:rPr>
        <w:t>hemorrhage</w:t>
      </w:r>
      <w:proofErr w:type="spellEnd"/>
      <w:r w:rsidRPr="009F1B2B">
        <w:rPr>
          <w:color w:val="000000"/>
          <w:sz w:val="24"/>
          <w:szCs w:val="24"/>
          <w:lang w:val="en-IN"/>
        </w:rPr>
        <w:t>: A systematic review and meta-analysis. </w:t>
      </w:r>
      <w:r w:rsidRPr="009F1B2B">
        <w:rPr>
          <w:i/>
          <w:iCs/>
          <w:color w:val="000000"/>
          <w:sz w:val="24"/>
          <w:szCs w:val="24"/>
          <w:lang w:val="en-IN"/>
        </w:rPr>
        <w:t>Frontiers in Neurology</w:t>
      </w:r>
      <w:r w:rsidRPr="009F1B2B">
        <w:rPr>
          <w:color w:val="000000"/>
          <w:sz w:val="24"/>
          <w:szCs w:val="24"/>
          <w:lang w:val="en-IN"/>
        </w:rPr>
        <w:t>, </w:t>
      </w:r>
      <w:r w:rsidRPr="009F1B2B">
        <w:rPr>
          <w:i/>
          <w:iCs/>
          <w:color w:val="000000"/>
          <w:sz w:val="24"/>
          <w:szCs w:val="24"/>
          <w:lang w:val="en-IN"/>
        </w:rPr>
        <w:t>13</w:t>
      </w:r>
      <w:r w:rsidRPr="009F1B2B">
        <w:rPr>
          <w:color w:val="000000"/>
          <w:sz w:val="24"/>
          <w:szCs w:val="24"/>
          <w:lang w:val="en-IN"/>
        </w:rPr>
        <w:t>. https://doi.org/10.3389/fneur.2022.915813</w:t>
      </w:r>
    </w:p>
    <w:p w14:paraId="5D9D8812" w14:textId="77777777" w:rsidR="00E256E3" w:rsidRPr="00E256E3" w:rsidRDefault="00E256E3" w:rsidP="00E256E3">
      <w:pPr>
        <w:pStyle w:val="NormalWeb"/>
        <w:spacing w:before="0" w:beforeAutospacing="0" w:after="0" w:afterAutospacing="0" w:line="480" w:lineRule="atLeast"/>
        <w:ind w:left="720" w:hanging="720"/>
        <w:rPr>
          <w:color w:val="000000"/>
          <w:sz w:val="24"/>
          <w:szCs w:val="24"/>
          <w:lang w:val="en-IN"/>
        </w:rPr>
      </w:pPr>
      <w:r>
        <w:rPr>
          <w:b/>
          <w:bCs/>
          <w:sz w:val="24"/>
          <w:szCs w:val="24"/>
        </w:rPr>
        <w:t xml:space="preserve">4. </w:t>
      </w:r>
      <w:proofErr w:type="spellStart"/>
      <w:r w:rsidRPr="00E256E3">
        <w:rPr>
          <w:color w:val="000000"/>
          <w:sz w:val="24"/>
          <w:szCs w:val="24"/>
          <w:lang w:val="en-IN"/>
        </w:rPr>
        <w:t>McGurgan</w:t>
      </w:r>
      <w:proofErr w:type="spellEnd"/>
      <w:r w:rsidRPr="00E256E3">
        <w:rPr>
          <w:color w:val="000000"/>
          <w:sz w:val="24"/>
          <w:szCs w:val="24"/>
          <w:lang w:val="en-IN"/>
        </w:rPr>
        <w:t xml:space="preserve">, I. J., </w:t>
      </w:r>
      <w:proofErr w:type="spellStart"/>
      <w:r w:rsidRPr="00E256E3">
        <w:rPr>
          <w:color w:val="000000"/>
          <w:sz w:val="24"/>
          <w:szCs w:val="24"/>
          <w:lang w:val="en-IN"/>
        </w:rPr>
        <w:t>Ziai</w:t>
      </w:r>
      <w:proofErr w:type="spellEnd"/>
      <w:r w:rsidRPr="00E256E3">
        <w:rPr>
          <w:color w:val="000000"/>
          <w:sz w:val="24"/>
          <w:szCs w:val="24"/>
          <w:lang w:val="en-IN"/>
        </w:rPr>
        <w:t xml:space="preserve">, W. C., </w:t>
      </w:r>
      <w:proofErr w:type="spellStart"/>
      <w:r w:rsidRPr="00E256E3">
        <w:rPr>
          <w:color w:val="000000"/>
          <w:sz w:val="24"/>
          <w:szCs w:val="24"/>
          <w:lang w:val="en-IN"/>
        </w:rPr>
        <w:t>Werring</w:t>
      </w:r>
      <w:proofErr w:type="spellEnd"/>
      <w:r w:rsidRPr="00E256E3">
        <w:rPr>
          <w:color w:val="000000"/>
          <w:sz w:val="24"/>
          <w:szCs w:val="24"/>
          <w:lang w:val="en-IN"/>
        </w:rPr>
        <w:t>, D. J., Salman, R. A., &amp; Parry-Jones, A. R. (2020). Acute intracerebral haemorrhage: diagnosis and management. </w:t>
      </w:r>
      <w:r w:rsidRPr="00E256E3">
        <w:rPr>
          <w:i/>
          <w:iCs/>
          <w:color w:val="000000"/>
          <w:sz w:val="24"/>
          <w:szCs w:val="24"/>
          <w:lang w:val="en-IN"/>
        </w:rPr>
        <w:t>Practical Neurology</w:t>
      </w:r>
      <w:r w:rsidRPr="00E256E3">
        <w:rPr>
          <w:color w:val="000000"/>
          <w:sz w:val="24"/>
          <w:szCs w:val="24"/>
          <w:lang w:val="en-IN"/>
        </w:rPr>
        <w:t>, </w:t>
      </w:r>
      <w:r w:rsidRPr="00E256E3">
        <w:rPr>
          <w:i/>
          <w:iCs/>
          <w:color w:val="000000"/>
          <w:sz w:val="24"/>
          <w:szCs w:val="24"/>
          <w:lang w:val="en-IN"/>
        </w:rPr>
        <w:t>21</w:t>
      </w:r>
      <w:r w:rsidRPr="00E256E3">
        <w:rPr>
          <w:color w:val="000000"/>
          <w:sz w:val="24"/>
          <w:szCs w:val="24"/>
          <w:lang w:val="en-IN"/>
        </w:rPr>
        <w:t>(2), 128–136. https://doi.org/10.1136/practneurol-2020-002763</w:t>
      </w:r>
    </w:p>
    <w:p w14:paraId="28E964A4" w14:textId="584E6DDA" w:rsidR="00CC3051" w:rsidRDefault="00E256E3" w:rsidP="00CC3051">
      <w:pPr>
        <w:pStyle w:val="NormalWeb"/>
        <w:spacing w:before="0" w:beforeAutospacing="0" w:after="0" w:afterAutospacing="0" w:line="480" w:lineRule="atLeast"/>
        <w:ind w:left="720" w:hanging="720"/>
        <w:rPr>
          <w:color w:val="000000"/>
          <w:sz w:val="24"/>
          <w:szCs w:val="24"/>
          <w:lang w:val="en-IN"/>
        </w:rPr>
      </w:pPr>
      <w:r>
        <w:rPr>
          <w:b/>
          <w:bCs/>
          <w:sz w:val="24"/>
          <w:szCs w:val="24"/>
        </w:rPr>
        <w:lastRenderedPageBreak/>
        <w:t xml:space="preserve">5. </w:t>
      </w:r>
      <w:r w:rsidR="00CC3051" w:rsidRPr="00CC3051">
        <w:rPr>
          <w:color w:val="000000"/>
          <w:sz w:val="24"/>
          <w:szCs w:val="24"/>
          <w:lang w:val="en-IN"/>
        </w:rPr>
        <w:t xml:space="preserve">De Oliveira </w:t>
      </w:r>
      <w:proofErr w:type="spellStart"/>
      <w:r w:rsidR="00CC3051" w:rsidRPr="00CC3051">
        <w:rPr>
          <w:color w:val="000000"/>
          <w:sz w:val="24"/>
          <w:szCs w:val="24"/>
          <w:lang w:val="en-IN"/>
        </w:rPr>
        <w:t>Manoel</w:t>
      </w:r>
      <w:proofErr w:type="spellEnd"/>
      <w:r w:rsidR="00CC3051" w:rsidRPr="00CC3051">
        <w:rPr>
          <w:color w:val="000000"/>
          <w:sz w:val="24"/>
          <w:szCs w:val="24"/>
          <w:lang w:val="en-IN"/>
        </w:rPr>
        <w:t xml:space="preserve">, A. L., </w:t>
      </w:r>
      <w:proofErr w:type="spellStart"/>
      <w:r w:rsidR="00CC3051" w:rsidRPr="00CC3051">
        <w:rPr>
          <w:color w:val="000000"/>
          <w:sz w:val="24"/>
          <w:szCs w:val="24"/>
          <w:lang w:val="en-IN"/>
        </w:rPr>
        <w:t>Goffi</w:t>
      </w:r>
      <w:proofErr w:type="spellEnd"/>
      <w:r w:rsidR="00CC3051" w:rsidRPr="00CC3051">
        <w:rPr>
          <w:color w:val="000000"/>
          <w:sz w:val="24"/>
          <w:szCs w:val="24"/>
          <w:lang w:val="en-IN"/>
        </w:rPr>
        <w:t xml:space="preserve">, A., </w:t>
      </w:r>
      <w:proofErr w:type="spellStart"/>
      <w:r w:rsidR="00CC3051" w:rsidRPr="00CC3051">
        <w:rPr>
          <w:color w:val="000000"/>
          <w:sz w:val="24"/>
          <w:szCs w:val="24"/>
          <w:lang w:val="en-IN"/>
        </w:rPr>
        <w:t>Zampieri</w:t>
      </w:r>
      <w:proofErr w:type="spellEnd"/>
      <w:r w:rsidR="00CC3051" w:rsidRPr="00CC3051">
        <w:rPr>
          <w:color w:val="000000"/>
          <w:sz w:val="24"/>
          <w:szCs w:val="24"/>
          <w:lang w:val="en-IN"/>
        </w:rPr>
        <w:t xml:space="preserve">, F. G., </w:t>
      </w:r>
      <w:proofErr w:type="spellStart"/>
      <w:r w:rsidR="00CC3051" w:rsidRPr="00CC3051">
        <w:rPr>
          <w:color w:val="000000"/>
          <w:sz w:val="24"/>
          <w:szCs w:val="24"/>
          <w:lang w:val="en-IN"/>
        </w:rPr>
        <w:t>Turkel-Parrella</w:t>
      </w:r>
      <w:proofErr w:type="spellEnd"/>
      <w:r w:rsidR="00CC3051" w:rsidRPr="00CC3051">
        <w:rPr>
          <w:color w:val="000000"/>
          <w:sz w:val="24"/>
          <w:szCs w:val="24"/>
          <w:lang w:val="en-IN"/>
        </w:rPr>
        <w:t xml:space="preserve">, D., Duggal, A., Marotta, T. R., Macdonald, R. L., &amp; Abrahamson, S. (2016). The critical care management of spontaneous intracranial </w:t>
      </w:r>
      <w:proofErr w:type="spellStart"/>
      <w:r w:rsidR="00CC3051" w:rsidRPr="00CC3051">
        <w:rPr>
          <w:color w:val="000000"/>
          <w:sz w:val="24"/>
          <w:szCs w:val="24"/>
          <w:lang w:val="en-IN"/>
        </w:rPr>
        <w:t>hemorrhage</w:t>
      </w:r>
      <w:proofErr w:type="spellEnd"/>
      <w:r w:rsidR="00CC3051" w:rsidRPr="00CC3051">
        <w:rPr>
          <w:color w:val="000000"/>
          <w:sz w:val="24"/>
          <w:szCs w:val="24"/>
          <w:lang w:val="en-IN"/>
        </w:rPr>
        <w:t>: a contemporary review. </w:t>
      </w:r>
      <w:r w:rsidR="00CC3051" w:rsidRPr="00CC3051">
        <w:rPr>
          <w:i/>
          <w:iCs/>
          <w:color w:val="000000"/>
          <w:sz w:val="24"/>
          <w:szCs w:val="24"/>
          <w:lang w:val="en-IN"/>
        </w:rPr>
        <w:t>Critical Care</w:t>
      </w:r>
      <w:r w:rsidR="00CC3051" w:rsidRPr="00CC3051">
        <w:rPr>
          <w:color w:val="000000"/>
          <w:sz w:val="24"/>
          <w:szCs w:val="24"/>
          <w:lang w:val="en-IN"/>
        </w:rPr>
        <w:t>, </w:t>
      </w:r>
      <w:r w:rsidR="00CC3051" w:rsidRPr="00CC3051">
        <w:rPr>
          <w:i/>
          <w:iCs/>
          <w:color w:val="000000"/>
          <w:sz w:val="24"/>
          <w:szCs w:val="24"/>
          <w:lang w:val="en-IN"/>
        </w:rPr>
        <w:t>20</w:t>
      </w:r>
      <w:r w:rsidR="00CC3051" w:rsidRPr="00CC3051">
        <w:rPr>
          <w:color w:val="000000"/>
          <w:sz w:val="24"/>
          <w:szCs w:val="24"/>
          <w:lang w:val="en-IN"/>
        </w:rPr>
        <w:t>(1). </w:t>
      </w:r>
      <w:hyperlink r:id="rId8" w:history="1">
        <w:r w:rsidR="00C53E42" w:rsidRPr="009E00C6">
          <w:rPr>
            <w:rStyle w:val="Hyperlink"/>
            <w:sz w:val="24"/>
            <w:szCs w:val="24"/>
            <w:lang w:val="en-IN"/>
          </w:rPr>
          <w:t>https://doi.org/10.1186/s13054-016-1432-0</w:t>
        </w:r>
      </w:hyperlink>
    </w:p>
    <w:p w14:paraId="03DB26B7" w14:textId="252D80CC" w:rsidR="00C53E42" w:rsidRDefault="00C53E42" w:rsidP="00C53E42">
      <w:pPr>
        <w:pStyle w:val="NormalWeb"/>
        <w:spacing w:before="0" w:beforeAutospacing="0" w:after="0" w:afterAutospacing="0" w:line="480" w:lineRule="atLeast"/>
        <w:ind w:left="720" w:hanging="720"/>
        <w:rPr>
          <w:color w:val="000000"/>
          <w:sz w:val="24"/>
          <w:szCs w:val="24"/>
          <w:lang w:val="en-IN"/>
        </w:rPr>
      </w:pPr>
      <w:r>
        <w:rPr>
          <w:b/>
          <w:bCs/>
          <w:sz w:val="24"/>
          <w:szCs w:val="24"/>
        </w:rPr>
        <w:t>6.</w:t>
      </w:r>
      <w:r>
        <w:rPr>
          <w:color w:val="000000"/>
          <w:sz w:val="24"/>
          <w:szCs w:val="24"/>
          <w:lang w:val="en-IN"/>
        </w:rPr>
        <w:t xml:space="preserve"> </w:t>
      </w:r>
      <w:r w:rsidRPr="00C53E42">
        <w:rPr>
          <w:color w:val="000000"/>
          <w:sz w:val="24"/>
          <w:szCs w:val="24"/>
          <w:lang w:val="en-IN"/>
        </w:rPr>
        <w:t xml:space="preserve">De Oliveira </w:t>
      </w:r>
      <w:proofErr w:type="spellStart"/>
      <w:r w:rsidRPr="00C53E42">
        <w:rPr>
          <w:color w:val="000000"/>
          <w:sz w:val="24"/>
          <w:szCs w:val="24"/>
          <w:lang w:val="en-IN"/>
        </w:rPr>
        <w:t>Manoel</w:t>
      </w:r>
      <w:proofErr w:type="spellEnd"/>
      <w:r w:rsidRPr="00C53E42">
        <w:rPr>
          <w:color w:val="000000"/>
          <w:sz w:val="24"/>
          <w:szCs w:val="24"/>
          <w:lang w:val="en-IN"/>
        </w:rPr>
        <w:t xml:space="preserve">, A. L. (2020). Surgery for spontaneous intracerebral </w:t>
      </w:r>
      <w:proofErr w:type="spellStart"/>
      <w:r w:rsidRPr="00C53E42">
        <w:rPr>
          <w:color w:val="000000"/>
          <w:sz w:val="24"/>
          <w:szCs w:val="24"/>
          <w:lang w:val="en-IN"/>
        </w:rPr>
        <w:t>hemorrhage</w:t>
      </w:r>
      <w:proofErr w:type="spellEnd"/>
      <w:r w:rsidRPr="00C53E42">
        <w:rPr>
          <w:color w:val="000000"/>
          <w:sz w:val="24"/>
          <w:szCs w:val="24"/>
          <w:lang w:val="en-IN"/>
        </w:rPr>
        <w:t>. </w:t>
      </w:r>
      <w:r w:rsidRPr="00C53E42">
        <w:rPr>
          <w:i/>
          <w:iCs/>
          <w:color w:val="000000"/>
          <w:sz w:val="24"/>
          <w:szCs w:val="24"/>
          <w:lang w:val="en-IN"/>
        </w:rPr>
        <w:t>Critical Care</w:t>
      </w:r>
      <w:r w:rsidRPr="00C53E42">
        <w:rPr>
          <w:color w:val="000000"/>
          <w:sz w:val="24"/>
          <w:szCs w:val="24"/>
          <w:lang w:val="en-IN"/>
        </w:rPr>
        <w:t>, </w:t>
      </w:r>
      <w:r w:rsidRPr="00C53E42">
        <w:rPr>
          <w:i/>
          <w:iCs/>
          <w:color w:val="000000"/>
          <w:sz w:val="24"/>
          <w:szCs w:val="24"/>
          <w:lang w:val="en-IN"/>
        </w:rPr>
        <w:t>24</w:t>
      </w:r>
      <w:r w:rsidRPr="00C53E42">
        <w:rPr>
          <w:color w:val="000000"/>
          <w:sz w:val="24"/>
          <w:szCs w:val="24"/>
          <w:lang w:val="en-IN"/>
        </w:rPr>
        <w:t>(1). </w:t>
      </w:r>
      <w:hyperlink r:id="rId9" w:history="1">
        <w:r w:rsidRPr="009E00C6">
          <w:rPr>
            <w:rStyle w:val="Hyperlink"/>
            <w:sz w:val="24"/>
            <w:szCs w:val="24"/>
            <w:lang w:val="en-IN"/>
          </w:rPr>
          <w:t>https://doi.org/10.1186/s13054-020-2749-2</w:t>
        </w:r>
      </w:hyperlink>
    </w:p>
    <w:p w14:paraId="65780157" w14:textId="5787F4C6" w:rsidR="00C53E42" w:rsidRDefault="00C53E42" w:rsidP="00C53E42">
      <w:pPr>
        <w:pStyle w:val="NormalWeb"/>
        <w:spacing w:before="0" w:beforeAutospacing="0" w:after="0" w:afterAutospacing="0" w:line="480" w:lineRule="atLeast"/>
        <w:ind w:left="720" w:hanging="720"/>
        <w:rPr>
          <w:color w:val="000000"/>
          <w:sz w:val="24"/>
          <w:szCs w:val="24"/>
          <w:lang w:val="en-IN"/>
        </w:rPr>
      </w:pPr>
      <w:r>
        <w:rPr>
          <w:b/>
          <w:bCs/>
          <w:sz w:val="24"/>
          <w:szCs w:val="24"/>
        </w:rPr>
        <w:t>7.</w:t>
      </w:r>
      <w:r>
        <w:rPr>
          <w:color w:val="000000"/>
          <w:sz w:val="24"/>
          <w:szCs w:val="24"/>
          <w:lang w:val="en-IN"/>
        </w:rPr>
        <w:t xml:space="preserve"> </w:t>
      </w:r>
      <w:r w:rsidRPr="00C53E42">
        <w:rPr>
          <w:color w:val="000000"/>
          <w:sz w:val="24"/>
          <w:szCs w:val="24"/>
          <w:lang w:val="en-IN"/>
        </w:rPr>
        <w:t xml:space="preserve">Vespa, P., Hanley, D., Betz, J., Hoffer, A., </w:t>
      </w:r>
      <w:proofErr w:type="spellStart"/>
      <w:r w:rsidRPr="00C53E42">
        <w:rPr>
          <w:color w:val="000000"/>
          <w:sz w:val="24"/>
          <w:szCs w:val="24"/>
          <w:lang w:val="en-IN"/>
        </w:rPr>
        <w:t>Engh</w:t>
      </w:r>
      <w:proofErr w:type="spellEnd"/>
      <w:r w:rsidRPr="00C53E42">
        <w:rPr>
          <w:color w:val="000000"/>
          <w:sz w:val="24"/>
          <w:szCs w:val="24"/>
          <w:lang w:val="en-IN"/>
        </w:rPr>
        <w:t xml:space="preserve">, J., Carter, R., </w:t>
      </w:r>
      <w:proofErr w:type="spellStart"/>
      <w:r w:rsidRPr="00C53E42">
        <w:rPr>
          <w:color w:val="000000"/>
          <w:sz w:val="24"/>
          <w:szCs w:val="24"/>
          <w:lang w:val="en-IN"/>
        </w:rPr>
        <w:t>Nakaji</w:t>
      </w:r>
      <w:proofErr w:type="spellEnd"/>
      <w:r w:rsidRPr="00C53E42">
        <w:rPr>
          <w:color w:val="000000"/>
          <w:sz w:val="24"/>
          <w:szCs w:val="24"/>
          <w:lang w:val="en-IN"/>
        </w:rPr>
        <w:t xml:space="preserve">, P., Ogilvy, C., </w:t>
      </w:r>
      <w:proofErr w:type="spellStart"/>
      <w:r w:rsidRPr="00C53E42">
        <w:rPr>
          <w:color w:val="000000"/>
          <w:sz w:val="24"/>
          <w:szCs w:val="24"/>
          <w:lang w:val="en-IN"/>
        </w:rPr>
        <w:t>Jallo</w:t>
      </w:r>
      <w:proofErr w:type="spellEnd"/>
      <w:r w:rsidRPr="00C53E42">
        <w:rPr>
          <w:color w:val="000000"/>
          <w:sz w:val="24"/>
          <w:szCs w:val="24"/>
          <w:lang w:val="en-IN"/>
        </w:rPr>
        <w:t xml:space="preserve">, J., Selman, W., </w:t>
      </w:r>
      <w:proofErr w:type="spellStart"/>
      <w:r w:rsidRPr="00C53E42">
        <w:rPr>
          <w:color w:val="000000"/>
          <w:sz w:val="24"/>
          <w:szCs w:val="24"/>
          <w:lang w:val="en-IN"/>
        </w:rPr>
        <w:t>Bistran</w:t>
      </w:r>
      <w:proofErr w:type="spellEnd"/>
      <w:r w:rsidRPr="00C53E42">
        <w:rPr>
          <w:color w:val="000000"/>
          <w:sz w:val="24"/>
          <w:szCs w:val="24"/>
          <w:lang w:val="en-IN"/>
        </w:rPr>
        <w:t xml:space="preserve">-Hall, A., Lane, K., </w:t>
      </w:r>
      <w:proofErr w:type="spellStart"/>
      <w:r w:rsidRPr="00C53E42">
        <w:rPr>
          <w:color w:val="000000"/>
          <w:sz w:val="24"/>
          <w:szCs w:val="24"/>
          <w:lang w:val="en-IN"/>
        </w:rPr>
        <w:t>McBee</w:t>
      </w:r>
      <w:proofErr w:type="spellEnd"/>
      <w:r w:rsidRPr="00C53E42">
        <w:rPr>
          <w:color w:val="000000"/>
          <w:sz w:val="24"/>
          <w:szCs w:val="24"/>
          <w:lang w:val="en-IN"/>
        </w:rPr>
        <w:t xml:space="preserve">, N., Saver, J., Thompson, R. E., &amp; Martin, N. (2016). ICES (Intraoperative Stereotactic Computed Tomography-Guided endoscopic surgery) for brain </w:t>
      </w:r>
      <w:proofErr w:type="spellStart"/>
      <w:r w:rsidRPr="00C53E42">
        <w:rPr>
          <w:color w:val="000000"/>
          <w:sz w:val="24"/>
          <w:szCs w:val="24"/>
          <w:lang w:val="en-IN"/>
        </w:rPr>
        <w:t>hemorrhage</w:t>
      </w:r>
      <w:proofErr w:type="spellEnd"/>
      <w:r w:rsidRPr="00C53E42">
        <w:rPr>
          <w:color w:val="000000"/>
          <w:sz w:val="24"/>
          <w:szCs w:val="24"/>
          <w:lang w:val="en-IN"/>
        </w:rPr>
        <w:t>. </w:t>
      </w:r>
      <w:r w:rsidRPr="00C53E42">
        <w:rPr>
          <w:i/>
          <w:iCs/>
          <w:color w:val="000000"/>
          <w:sz w:val="24"/>
          <w:szCs w:val="24"/>
          <w:lang w:val="en-IN"/>
        </w:rPr>
        <w:t>Stroke</w:t>
      </w:r>
      <w:r w:rsidRPr="00C53E42">
        <w:rPr>
          <w:color w:val="000000"/>
          <w:sz w:val="24"/>
          <w:szCs w:val="24"/>
          <w:lang w:val="en-IN"/>
        </w:rPr>
        <w:t>, </w:t>
      </w:r>
      <w:r w:rsidRPr="00C53E42">
        <w:rPr>
          <w:i/>
          <w:iCs/>
          <w:color w:val="000000"/>
          <w:sz w:val="24"/>
          <w:szCs w:val="24"/>
          <w:lang w:val="en-IN"/>
        </w:rPr>
        <w:t>47</w:t>
      </w:r>
      <w:r w:rsidRPr="00C53E42">
        <w:rPr>
          <w:color w:val="000000"/>
          <w:sz w:val="24"/>
          <w:szCs w:val="24"/>
          <w:lang w:val="en-IN"/>
        </w:rPr>
        <w:t>(11), 2749–2755. </w:t>
      </w:r>
      <w:hyperlink r:id="rId10" w:history="1">
        <w:r w:rsidR="00A25EAD" w:rsidRPr="009E00C6">
          <w:rPr>
            <w:rStyle w:val="Hyperlink"/>
            <w:sz w:val="24"/>
            <w:szCs w:val="24"/>
            <w:lang w:val="en-IN"/>
          </w:rPr>
          <w:t>https://doi.org/10.1161/strokeaha.116.013837</w:t>
        </w:r>
      </w:hyperlink>
    </w:p>
    <w:p w14:paraId="0AFA8FED" w14:textId="2F885A63" w:rsidR="00A25EAD" w:rsidRDefault="00A25EAD" w:rsidP="00A25EAD">
      <w:pPr>
        <w:pStyle w:val="NormalWeb"/>
        <w:spacing w:before="0" w:beforeAutospacing="0" w:after="0" w:afterAutospacing="0" w:line="480" w:lineRule="atLeast"/>
        <w:ind w:left="720" w:hanging="720"/>
        <w:rPr>
          <w:color w:val="000000"/>
          <w:sz w:val="24"/>
          <w:szCs w:val="24"/>
          <w:lang w:val="en-IN"/>
        </w:rPr>
      </w:pPr>
      <w:r>
        <w:rPr>
          <w:b/>
          <w:bCs/>
          <w:sz w:val="24"/>
          <w:szCs w:val="24"/>
        </w:rPr>
        <w:t>8.</w:t>
      </w:r>
      <w:r>
        <w:rPr>
          <w:color w:val="000000"/>
          <w:sz w:val="24"/>
          <w:szCs w:val="24"/>
          <w:lang w:val="en-IN"/>
        </w:rPr>
        <w:t xml:space="preserve"> </w:t>
      </w:r>
      <w:r w:rsidRPr="00A25EAD">
        <w:rPr>
          <w:color w:val="000000"/>
          <w:sz w:val="24"/>
          <w:szCs w:val="24"/>
          <w:lang w:val="en-IN"/>
        </w:rPr>
        <w:t xml:space="preserve">Wang, W., Zhou, N., &amp; Wang, C. (2017). Minimally Invasive Surgery for Patients with Hypertensive Intracerebral </w:t>
      </w:r>
      <w:proofErr w:type="spellStart"/>
      <w:r w:rsidRPr="00A25EAD">
        <w:rPr>
          <w:color w:val="000000"/>
          <w:sz w:val="24"/>
          <w:szCs w:val="24"/>
          <w:lang w:val="en-IN"/>
        </w:rPr>
        <w:t>Hemorrhage</w:t>
      </w:r>
      <w:proofErr w:type="spellEnd"/>
      <w:r w:rsidRPr="00A25EAD">
        <w:rPr>
          <w:color w:val="000000"/>
          <w:sz w:val="24"/>
          <w:szCs w:val="24"/>
          <w:lang w:val="en-IN"/>
        </w:rPr>
        <w:t xml:space="preserve"> with Large Hematoma Volume: A Retrospective Study. </w:t>
      </w:r>
      <w:r w:rsidRPr="00A25EAD">
        <w:rPr>
          <w:i/>
          <w:iCs/>
          <w:color w:val="000000"/>
          <w:sz w:val="24"/>
          <w:szCs w:val="24"/>
          <w:lang w:val="en-IN"/>
        </w:rPr>
        <w:t>World Neurosurgery</w:t>
      </w:r>
      <w:r w:rsidRPr="00A25EAD">
        <w:rPr>
          <w:color w:val="000000"/>
          <w:sz w:val="24"/>
          <w:szCs w:val="24"/>
          <w:lang w:val="en-IN"/>
        </w:rPr>
        <w:t>, </w:t>
      </w:r>
      <w:r w:rsidRPr="00A25EAD">
        <w:rPr>
          <w:i/>
          <w:iCs/>
          <w:color w:val="000000"/>
          <w:sz w:val="24"/>
          <w:szCs w:val="24"/>
          <w:lang w:val="en-IN"/>
        </w:rPr>
        <w:t>105</w:t>
      </w:r>
      <w:r w:rsidRPr="00A25EAD">
        <w:rPr>
          <w:color w:val="000000"/>
          <w:sz w:val="24"/>
          <w:szCs w:val="24"/>
          <w:lang w:val="en-IN"/>
        </w:rPr>
        <w:t>, 348–358. </w:t>
      </w:r>
      <w:hyperlink r:id="rId11" w:history="1">
        <w:r w:rsidR="00911C44" w:rsidRPr="00C05380">
          <w:rPr>
            <w:rStyle w:val="Hyperlink"/>
            <w:sz w:val="24"/>
            <w:szCs w:val="24"/>
            <w:lang w:val="en-IN"/>
          </w:rPr>
          <w:t>https://doi.org/10.1016/j.wneu.2017.05.158</w:t>
        </w:r>
      </w:hyperlink>
    </w:p>
    <w:p w14:paraId="464930AB" w14:textId="7A607933" w:rsidR="00911C44" w:rsidRDefault="00911C44" w:rsidP="00911C44">
      <w:pPr>
        <w:pStyle w:val="NormalWeb"/>
        <w:spacing w:before="0" w:beforeAutospacing="0" w:after="0" w:afterAutospacing="0" w:line="480" w:lineRule="atLeast"/>
        <w:ind w:left="720" w:hanging="720"/>
        <w:rPr>
          <w:color w:val="000000"/>
          <w:sz w:val="24"/>
          <w:szCs w:val="24"/>
          <w:lang w:eastAsia="en-US"/>
        </w:rPr>
      </w:pPr>
      <w:r>
        <w:rPr>
          <w:b/>
          <w:bCs/>
          <w:sz w:val="24"/>
          <w:szCs w:val="24"/>
        </w:rPr>
        <w:t>9.</w:t>
      </w:r>
      <w:r>
        <w:rPr>
          <w:color w:val="000000"/>
          <w:sz w:val="24"/>
          <w:szCs w:val="24"/>
          <w:lang w:val="en-IN"/>
        </w:rPr>
        <w:t xml:space="preserve"> </w:t>
      </w:r>
      <w:proofErr w:type="spellStart"/>
      <w:r w:rsidRPr="00911C44">
        <w:rPr>
          <w:color w:val="000000"/>
          <w:sz w:val="24"/>
          <w:szCs w:val="24"/>
          <w:lang w:eastAsia="en-US"/>
        </w:rPr>
        <w:t>Witsch</w:t>
      </w:r>
      <w:proofErr w:type="spellEnd"/>
      <w:r w:rsidRPr="00911C44">
        <w:rPr>
          <w:color w:val="000000"/>
          <w:sz w:val="24"/>
          <w:szCs w:val="24"/>
          <w:lang w:eastAsia="en-US"/>
        </w:rPr>
        <w:t xml:space="preserve">, J., Falcone, G. J., </w:t>
      </w:r>
      <w:proofErr w:type="spellStart"/>
      <w:r w:rsidRPr="00911C44">
        <w:rPr>
          <w:color w:val="000000"/>
          <w:sz w:val="24"/>
          <w:szCs w:val="24"/>
          <w:lang w:eastAsia="en-US"/>
        </w:rPr>
        <w:t>Leasure</w:t>
      </w:r>
      <w:proofErr w:type="spellEnd"/>
      <w:r w:rsidRPr="00911C44">
        <w:rPr>
          <w:color w:val="000000"/>
          <w:sz w:val="24"/>
          <w:szCs w:val="24"/>
          <w:lang w:eastAsia="en-US"/>
        </w:rPr>
        <w:t xml:space="preserve">, A. C., </w:t>
      </w:r>
      <w:proofErr w:type="spellStart"/>
      <w:r w:rsidRPr="00911C44">
        <w:rPr>
          <w:color w:val="000000"/>
          <w:sz w:val="24"/>
          <w:szCs w:val="24"/>
          <w:lang w:eastAsia="en-US"/>
        </w:rPr>
        <w:t>Matouk</w:t>
      </w:r>
      <w:proofErr w:type="spellEnd"/>
      <w:r w:rsidRPr="00911C44">
        <w:rPr>
          <w:color w:val="000000"/>
          <w:sz w:val="24"/>
          <w:szCs w:val="24"/>
          <w:lang w:eastAsia="en-US"/>
        </w:rPr>
        <w:t xml:space="preserve">, C., Endres, M., </w:t>
      </w:r>
      <w:proofErr w:type="spellStart"/>
      <w:r w:rsidRPr="00911C44">
        <w:rPr>
          <w:color w:val="000000"/>
          <w:sz w:val="24"/>
          <w:szCs w:val="24"/>
          <w:lang w:eastAsia="en-US"/>
        </w:rPr>
        <w:t>Sansing</w:t>
      </w:r>
      <w:proofErr w:type="spellEnd"/>
      <w:r w:rsidRPr="00911C44">
        <w:rPr>
          <w:color w:val="000000"/>
          <w:sz w:val="24"/>
          <w:szCs w:val="24"/>
          <w:lang w:eastAsia="en-US"/>
        </w:rPr>
        <w:t xml:space="preserve">, L., Woo, D., &amp; </w:t>
      </w:r>
      <w:proofErr w:type="spellStart"/>
      <w:r w:rsidRPr="00911C44">
        <w:rPr>
          <w:color w:val="000000"/>
          <w:sz w:val="24"/>
          <w:szCs w:val="24"/>
          <w:lang w:eastAsia="en-US"/>
        </w:rPr>
        <w:t>Sheth</w:t>
      </w:r>
      <w:proofErr w:type="spellEnd"/>
      <w:r w:rsidRPr="00911C44">
        <w:rPr>
          <w:color w:val="000000"/>
          <w:sz w:val="24"/>
          <w:szCs w:val="24"/>
          <w:lang w:eastAsia="en-US"/>
        </w:rPr>
        <w:t>, K. N. (2021). Intracerebral Hemorrhage with Intraventricular Extension Associated with Loss of Consciousness at Symptom Onset. </w:t>
      </w:r>
      <w:r w:rsidRPr="00911C44">
        <w:rPr>
          <w:i/>
          <w:iCs/>
          <w:color w:val="000000"/>
          <w:sz w:val="24"/>
          <w:szCs w:val="24"/>
          <w:lang w:eastAsia="en-US"/>
        </w:rPr>
        <w:t>Neurocritical Care</w:t>
      </w:r>
      <w:r w:rsidRPr="00911C44">
        <w:rPr>
          <w:color w:val="000000"/>
          <w:sz w:val="24"/>
          <w:szCs w:val="24"/>
          <w:lang w:eastAsia="en-US"/>
        </w:rPr>
        <w:t>, </w:t>
      </w:r>
      <w:r w:rsidRPr="00911C44">
        <w:rPr>
          <w:i/>
          <w:iCs/>
          <w:color w:val="000000"/>
          <w:sz w:val="24"/>
          <w:szCs w:val="24"/>
          <w:lang w:eastAsia="en-US"/>
        </w:rPr>
        <w:t>35</w:t>
      </w:r>
      <w:r w:rsidRPr="00911C44">
        <w:rPr>
          <w:color w:val="000000"/>
          <w:sz w:val="24"/>
          <w:szCs w:val="24"/>
          <w:lang w:eastAsia="en-US"/>
        </w:rPr>
        <w:t>(2), 418–427. </w:t>
      </w:r>
      <w:hyperlink r:id="rId12" w:history="1">
        <w:r w:rsidR="009A7CF9" w:rsidRPr="00C05380">
          <w:rPr>
            <w:rStyle w:val="Hyperlink"/>
            <w:sz w:val="24"/>
            <w:szCs w:val="24"/>
            <w:lang w:eastAsia="en-US"/>
          </w:rPr>
          <w:t>https://doi.org/10.1007/s12028-020-01180-2</w:t>
        </w:r>
      </w:hyperlink>
    </w:p>
    <w:p w14:paraId="5E9CA70C" w14:textId="6FA2C0AD" w:rsidR="009A7CF9" w:rsidRPr="00911C44" w:rsidRDefault="009A7CF9" w:rsidP="00911C44">
      <w:pPr>
        <w:pStyle w:val="NormalWeb"/>
        <w:spacing w:before="0" w:beforeAutospacing="0" w:after="0" w:afterAutospacing="0" w:line="480" w:lineRule="atLeast"/>
        <w:ind w:left="720" w:hanging="720"/>
        <w:rPr>
          <w:color w:val="000000"/>
          <w:sz w:val="24"/>
          <w:szCs w:val="24"/>
          <w:lang w:eastAsia="en-US"/>
        </w:rPr>
      </w:pPr>
      <w:r>
        <w:rPr>
          <w:b/>
          <w:bCs/>
          <w:sz w:val="24"/>
          <w:szCs w:val="24"/>
        </w:rPr>
        <w:t>10.</w:t>
      </w:r>
      <w:r>
        <w:rPr>
          <w:color w:val="000000"/>
          <w:sz w:val="24"/>
          <w:szCs w:val="24"/>
          <w:lang w:eastAsia="en-US"/>
        </w:rPr>
        <w:t xml:space="preserve"> </w:t>
      </w:r>
      <w:proofErr w:type="spellStart"/>
      <w:r w:rsidRPr="009A7CF9">
        <w:rPr>
          <w:color w:val="000000"/>
          <w:sz w:val="24"/>
          <w:szCs w:val="24"/>
          <w:lang w:eastAsia="en-US"/>
        </w:rPr>
        <w:t>Rajashekar</w:t>
      </w:r>
      <w:proofErr w:type="spellEnd"/>
      <w:r w:rsidRPr="009A7CF9">
        <w:rPr>
          <w:color w:val="000000"/>
          <w:sz w:val="24"/>
          <w:szCs w:val="24"/>
          <w:lang w:eastAsia="en-US"/>
        </w:rPr>
        <w:t xml:space="preserve"> D, Liang JW. Intracerebral Hemorrhage. [Updated 2023 Feb 6]. In: </w:t>
      </w:r>
      <w:proofErr w:type="spellStart"/>
      <w:r w:rsidRPr="009A7CF9">
        <w:rPr>
          <w:color w:val="000000"/>
          <w:sz w:val="24"/>
          <w:szCs w:val="24"/>
          <w:lang w:eastAsia="en-US"/>
        </w:rPr>
        <w:t>StatPearls</w:t>
      </w:r>
      <w:proofErr w:type="spellEnd"/>
      <w:r w:rsidRPr="009A7CF9">
        <w:rPr>
          <w:color w:val="000000"/>
          <w:sz w:val="24"/>
          <w:szCs w:val="24"/>
          <w:lang w:eastAsia="en-US"/>
        </w:rPr>
        <w:t xml:space="preserve"> [Internet]. Treasure Island (FL): </w:t>
      </w:r>
      <w:proofErr w:type="spellStart"/>
      <w:r w:rsidRPr="009A7CF9">
        <w:rPr>
          <w:color w:val="000000"/>
          <w:sz w:val="24"/>
          <w:szCs w:val="24"/>
          <w:lang w:eastAsia="en-US"/>
        </w:rPr>
        <w:t>StatPearls</w:t>
      </w:r>
      <w:proofErr w:type="spellEnd"/>
      <w:r w:rsidRPr="009A7CF9">
        <w:rPr>
          <w:color w:val="000000"/>
          <w:sz w:val="24"/>
          <w:szCs w:val="24"/>
          <w:lang w:eastAsia="en-US"/>
        </w:rPr>
        <w:t xml:space="preserve"> Publishing; 2025 Jan-. Available from: https://www.ncbi.nlm.nih.gov/books/NBK553103/</w:t>
      </w:r>
    </w:p>
    <w:p w14:paraId="0FAD94C8" w14:textId="00DCF6ED" w:rsidR="00911C44" w:rsidRPr="00A25EAD" w:rsidRDefault="00911C44" w:rsidP="00A25EAD">
      <w:pPr>
        <w:pStyle w:val="NormalWeb"/>
        <w:spacing w:before="0" w:beforeAutospacing="0" w:after="0" w:afterAutospacing="0" w:line="480" w:lineRule="atLeast"/>
        <w:ind w:left="720" w:hanging="720"/>
        <w:rPr>
          <w:color w:val="000000"/>
          <w:sz w:val="24"/>
          <w:szCs w:val="24"/>
          <w:lang w:val="en-IN"/>
        </w:rPr>
      </w:pPr>
    </w:p>
    <w:p w14:paraId="076527B5" w14:textId="49703D15" w:rsidR="00A25EAD" w:rsidRPr="00C53E42" w:rsidRDefault="00A25EAD" w:rsidP="00C53E42">
      <w:pPr>
        <w:pStyle w:val="NormalWeb"/>
        <w:spacing w:before="0" w:beforeAutospacing="0" w:after="0" w:afterAutospacing="0" w:line="480" w:lineRule="atLeast"/>
        <w:ind w:left="720" w:hanging="720"/>
        <w:rPr>
          <w:color w:val="000000"/>
          <w:sz w:val="24"/>
          <w:szCs w:val="24"/>
          <w:lang w:val="en-IN"/>
        </w:rPr>
      </w:pPr>
    </w:p>
    <w:p w14:paraId="7323633A" w14:textId="47D855A6" w:rsidR="00C53E42" w:rsidRPr="00C53E42" w:rsidRDefault="00C53E42" w:rsidP="00C53E42">
      <w:pPr>
        <w:pStyle w:val="NormalWeb"/>
        <w:spacing w:before="0" w:beforeAutospacing="0" w:after="0" w:afterAutospacing="0" w:line="480" w:lineRule="atLeast"/>
        <w:ind w:left="720" w:hanging="720"/>
        <w:rPr>
          <w:color w:val="000000"/>
          <w:sz w:val="24"/>
          <w:szCs w:val="24"/>
          <w:lang w:val="en-IN"/>
        </w:rPr>
      </w:pPr>
    </w:p>
    <w:p w14:paraId="265564B7" w14:textId="0968F42E" w:rsidR="00C53E42" w:rsidRPr="00CC3051" w:rsidRDefault="00C53E42" w:rsidP="00CC3051">
      <w:pPr>
        <w:pStyle w:val="NormalWeb"/>
        <w:spacing w:before="0" w:beforeAutospacing="0" w:after="0" w:afterAutospacing="0" w:line="480" w:lineRule="atLeast"/>
        <w:ind w:left="720" w:hanging="720"/>
        <w:rPr>
          <w:color w:val="000000"/>
          <w:sz w:val="24"/>
          <w:szCs w:val="24"/>
          <w:lang w:val="en-IN"/>
        </w:rPr>
      </w:pPr>
    </w:p>
    <w:p w14:paraId="10033E7A" w14:textId="1CC6BF3F" w:rsidR="009F1B2B" w:rsidRPr="009F1B2B" w:rsidRDefault="009F1B2B" w:rsidP="00D240EF">
      <w:pPr>
        <w:spacing w:line="360" w:lineRule="auto"/>
        <w:rPr>
          <w:rFonts w:ascii="Times New Roman" w:hAnsi="Times New Roman" w:cs="Times New Roman"/>
          <w:b/>
          <w:bCs/>
          <w:sz w:val="24"/>
          <w:szCs w:val="24"/>
        </w:rPr>
      </w:pPr>
    </w:p>
    <w:sectPr w:rsidR="009F1B2B" w:rsidRPr="009F1B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0EF"/>
    <w:rsid w:val="00024581"/>
    <w:rsid w:val="000317A5"/>
    <w:rsid w:val="00032515"/>
    <w:rsid w:val="00032712"/>
    <w:rsid w:val="000376BE"/>
    <w:rsid w:val="00040B2D"/>
    <w:rsid w:val="00054A92"/>
    <w:rsid w:val="0006509E"/>
    <w:rsid w:val="000C3870"/>
    <w:rsid w:val="000F03EF"/>
    <w:rsid w:val="00101031"/>
    <w:rsid w:val="0011658B"/>
    <w:rsid w:val="001241F9"/>
    <w:rsid w:val="00127C0D"/>
    <w:rsid w:val="00137B14"/>
    <w:rsid w:val="00143185"/>
    <w:rsid w:val="001628B6"/>
    <w:rsid w:val="0017570B"/>
    <w:rsid w:val="0019578D"/>
    <w:rsid w:val="00197078"/>
    <w:rsid w:val="00197E69"/>
    <w:rsid w:val="001B2116"/>
    <w:rsid w:val="00204420"/>
    <w:rsid w:val="002418DC"/>
    <w:rsid w:val="00242E12"/>
    <w:rsid w:val="00274BA5"/>
    <w:rsid w:val="002B1D28"/>
    <w:rsid w:val="002B53A1"/>
    <w:rsid w:val="002C32F5"/>
    <w:rsid w:val="002D40FB"/>
    <w:rsid w:val="002E53CE"/>
    <w:rsid w:val="00300081"/>
    <w:rsid w:val="00301F9A"/>
    <w:rsid w:val="00343ECC"/>
    <w:rsid w:val="00345110"/>
    <w:rsid w:val="0035197C"/>
    <w:rsid w:val="0035596E"/>
    <w:rsid w:val="0035782B"/>
    <w:rsid w:val="00372CC9"/>
    <w:rsid w:val="00385A43"/>
    <w:rsid w:val="00395A63"/>
    <w:rsid w:val="003A38F3"/>
    <w:rsid w:val="003D3947"/>
    <w:rsid w:val="003E048D"/>
    <w:rsid w:val="004118F9"/>
    <w:rsid w:val="0044392E"/>
    <w:rsid w:val="004666AA"/>
    <w:rsid w:val="00476059"/>
    <w:rsid w:val="0048155F"/>
    <w:rsid w:val="00490331"/>
    <w:rsid w:val="00497459"/>
    <w:rsid w:val="004A3E74"/>
    <w:rsid w:val="004A7564"/>
    <w:rsid w:val="004E4941"/>
    <w:rsid w:val="004F61CB"/>
    <w:rsid w:val="00501759"/>
    <w:rsid w:val="0051722E"/>
    <w:rsid w:val="005257C1"/>
    <w:rsid w:val="005321B5"/>
    <w:rsid w:val="005471CA"/>
    <w:rsid w:val="0056377D"/>
    <w:rsid w:val="00565D6F"/>
    <w:rsid w:val="00597039"/>
    <w:rsid w:val="00597876"/>
    <w:rsid w:val="005B1A75"/>
    <w:rsid w:val="005F0E1E"/>
    <w:rsid w:val="005F797D"/>
    <w:rsid w:val="006335D9"/>
    <w:rsid w:val="006507D0"/>
    <w:rsid w:val="00660076"/>
    <w:rsid w:val="00674FE7"/>
    <w:rsid w:val="006E36F4"/>
    <w:rsid w:val="00707EA3"/>
    <w:rsid w:val="00733304"/>
    <w:rsid w:val="007432BC"/>
    <w:rsid w:val="00761E1A"/>
    <w:rsid w:val="00767137"/>
    <w:rsid w:val="00776101"/>
    <w:rsid w:val="007B1F6F"/>
    <w:rsid w:val="007B7FB4"/>
    <w:rsid w:val="007C0D9C"/>
    <w:rsid w:val="007C466C"/>
    <w:rsid w:val="0081220A"/>
    <w:rsid w:val="00847825"/>
    <w:rsid w:val="00852FD9"/>
    <w:rsid w:val="00867B98"/>
    <w:rsid w:val="00876D84"/>
    <w:rsid w:val="00880B95"/>
    <w:rsid w:val="008A7400"/>
    <w:rsid w:val="008E02E2"/>
    <w:rsid w:val="008F2112"/>
    <w:rsid w:val="00901F58"/>
    <w:rsid w:val="00911C44"/>
    <w:rsid w:val="00923CF0"/>
    <w:rsid w:val="0094592E"/>
    <w:rsid w:val="009517E0"/>
    <w:rsid w:val="00953F33"/>
    <w:rsid w:val="00962A23"/>
    <w:rsid w:val="009A111E"/>
    <w:rsid w:val="009A3F24"/>
    <w:rsid w:val="009A7CF9"/>
    <w:rsid w:val="009B146D"/>
    <w:rsid w:val="009B6668"/>
    <w:rsid w:val="009C088C"/>
    <w:rsid w:val="009E1FE9"/>
    <w:rsid w:val="009F1B2B"/>
    <w:rsid w:val="00A1282C"/>
    <w:rsid w:val="00A25EAD"/>
    <w:rsid w:val="00A60977"/>
    <w:rsid w:val="00A61DCF"/>
    <w:rsid w:val="00A64F53"/>
    <w:rsid w:val="00A81E36"/>
    <w:rsid w:val="00AC5734"/>
    <w:rsid w:val="00AF6E37"/>
    <w:rsid w:val="00B70EFE"/>
    <w:rsid w:val="00B83DD1"/>
    <w:rsid w:val="00C3442C"/>
    <w:rsid w:val="00C53E42"/>
    <w:rsid w:val="00C74B85"/>
    <w:rsid w:val="00CA3600"/>
    <w:rsid w:val="00CA7957"/>
    <w:rsid w:val="00CB37E7"/>
    <w:rsid w:val="00CC3051"/>
    <w:rsid w:val="00CD0D85"/>
    <w:rsid w:val="00CE3366"/>
    <w:rsid w:val="00CE42F1"/>
    <w:rsid w:val="00D10D54"/>
    <w:rsid w:val="00D151DC"/>
    <w:rsid w:val="00D240EF"/>
    <w:rsid w:val="00D2735A"/>
    <w:rsid w:val="00D40E84"/>
    <w:rsid w:val="00D451C2"/>
    <w:rsid w:val="00D55D24"/>
    <w:rsid w:val="00D72FA6"/>
    <w:rsid w:val="00D828CA"/>
    <w:rsid w:val="00DE1D86"/>
    <w:rsid w:val="00E06C46"/>
    <w:rsid w:val="00E256E3"/>
    <w:rsid w:val="00E30371"/>
    <w:rsid w:val="00E5625F"/>
    <w:rsid w:val="00E879EB"/>
    <w:rsid w:val="00EB689F"/>
    <w:rsid w:val="00EC0A8F"/>
    <w:rsid w:val="00EC1FEC"/>
    <w:rsid w:val="00ED3521"/>
    <w:rsid w:val="00ED596D"/>
    <w:rsid w:val="00EE6467"/>
    <w:rsid w:val="00EE656B"/>
    <w:rsid w:val="00F00F3A"/>
    <w:rsid w:val="00F02F44"/>
    <w:rsid w:val="00F03CC4"/>
    <w:rsid w:val="00F043C9"/>
    <w:rsid w:val="00F17D0F"/>
    <w:rsid w:val="00F35CFA"/>
    <w:rsid w:val="00F60123"/>
    <w:rsid w:val="00F605C6"/>
    <w:rsid w:val="00F60F62"/>
    <w:rsid w:val="00FD0FEB"/>
    <w:rsid w:val="00FE182A"/>
    <w:rsid w:val="00FF44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0DE39"/>
  <w15:chartTrackingRefBased/>
  <w15:docId w15:val="{C42EB670-E50A-194C-B02B-CB764D71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735A"/>
    <w:rPr>
      <w:rFonts w:eastAsiaTheme="minorEastAsia"/>
      <w:sz w:val="20"/>
      <w:szCs w:val="20"/>
      <w:lang w:val="en-US" w:eastAsia="zh-CN"/>
    </w:rPr>
  </w:style>
  <w:style w:type="paragraph" w:styleId="Heading3">
    <w:name w:val="heading 3"/>
    <w:basedOn w:val="Normal"/>
    <w:next w:val="Normal"/>
    <w:link w:val="Heading3Char"/>
    <w:uiPriority w:val="9"/>
    <w:qFormat/>
    <w:rsid w:val="00242E12"/>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5D24"/>
    <w:rPr>
      <w:color w:val="0563C1" w:themeColor="hyperlink"/>
      <w:u w:val="single"/>
    </w:rPr>
  </w:style>
  <w:style w:type="character" w:styleId="UnresolvedMention">
    <w:name w:val="Unresolved Mention"/>
    <w:basedOn w:val="DefaultParagraphFont"/>
    <w:uiPriority w:val="99"/>
    <w:semiHidden/>
    <w:unhideWhenUsed/>
    <w:rsid w:val="00D55D24"/>
    <w:rPr>
      <w:color w:val="605E5C"/>
      <w:shd w:val="clear" w:color="auto" w:fill="E1DFDD"/>
    </w:rPr>
  </w:style>
  <w:style w:type="paragraph" w:styleId="ListParagraph">
    <w:name w:val="List Paragraph"/>
    <w:basedOn w:val="Normal"/>
    <w:uiPriority w:val="34"/>
    <w:qFormat/>
    <w:rsid w:val="00343ECC"/>
    <w:pPr>
      <w:ind w:left="720"/>
      <w:contextualSpacing/>
    </w:pPr>
  </w:style>
  <w:style w:type="character" w:styleId="IntenseReference">
    <w:name w:val="Intense Reference"/>
    <w:basedOn w:val="DefaultParagraphFont"/>
    <w:uiPriority w:val="32"/>
    <w:qFormat/>
    <w:rsid w:val="00343ECC"/>
    <w:rPr>
      <w:b/>
      <w:bCs/>
      <w:smallCaps/>
      <w:color w:val="4472C4" w:themeColor="accent1"/>
      <w:spacing w:val="5"/>
    </w:rPr>
  </w:style>
  <w:style w:type="paragraph" w:styleId="NormalWeb">
    <w:name w:val="Normal (Web)"/>
    <w:basedOn w:val="Normal"/>
    <w:uiPriority w:val="99"/>
    <w:unhideWhenUsed/>
    <w:rsid w:val="0048155F"/>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48155F"/>
  </w:style>
  <w:style w:type="character" w:customStyle="1" w:styleId="url">
    <w:name w:val="url"/>
    <w:basedOn w:val="DefaultParagraphFont"/>
    <w:rsid w:val="0048155F"/>
  </w:style>
  <w:style w:type="character" w:customStyle="1" w:styleId="Heading3Char">
    <w:name w:val="Heading 3 Char"/>
    <w:basedOn w:val="DefaultParagraphFont"/>
    <w:link w:val="Heading3"/>
    <w:uiPriority w:val="9"/>
    <w:rsid w:val="00242E12"/>
    <w:rPr>
      <w:rFonts w:ascii="Times New Roman" w:eastAsia="Times New Roman" w:hAnsi="Times New Roman" w:cs="Times New Roman"/>
      <w:b/>
      <w:bCs/>
      <w:sz w:val="27"/>
      <w:szCs w:val="27"/>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62371">
      <w:bodyDiv w:val="1"/>
      <w:marLeft w:val="0"/>
      <w:marRight w:val="0"/>
      <w:marTop w:val="0"/>
      <w:marBottom w:val="0"/>
      <w:divBdr>
        <w:top w:val="none" w:sz="0" w:space="0" w:color="auto"/>
        <w:left w:val="none" w:sz="0" w:space="0" w:color="auto"/>
        <w:bottom w:val="none" w:sz="0" w:space="0" w:color="auto"/>
        <w:right w:val="none" w:sz="0" w:space="0" w:color="auto"/>
      </w:divBdr>
    </w:div>
    <w:div w:id="32773145">
      <w:bodyDiv w:val="1"/>
      <w:marLeft w:val="0"/>
      <w:marRight w:val="0"/>
      <w:marTop w:val="0"/>
      <w:marBottom w:val="0"/>
      <w:divBdr>
        <w:top w:val="none" w:sz="0" w:space="0" w:color="auto"/>
        <w:left w:val="none" w:sz="0" w:space="0" w:color="auto"/>
        <w:bottom w:val="none" w:sz="0" w:space="0" w:color="auto"/>
        <w:right w:val="none" w:sz="0" w:space="0" w:color="auto"/>
      </w:divBdr>
    </w:div>
    <w:div w:id="56361796">
      <w:bodyDiv w:val="1"/>
      <w:marLeft w:val="0"/>
      <w:marRight w:val="0"/>
      <w:marTop w:val="0"/>
      <w:marBottom w:val="0"/>
      <w:divBdr>
        <w:top w:val="none" w:sz="0" w:space="0" w:color="auto"/>
        <w:left w:val="none" w:sz="0" w:space="0" w:color="auto"/>
        <w:bottom w:val="none" w:sz="0" w:space="0" w:color="auto"/>
        <w:right w:val="none" w:sz="0" w:space="0" w:color="auto"/>
      </w:divBdr>
      <w:divsChild>
        <w:div w:id="73597041">
          <w:marLeft w:val="-720"/>
          <w:marRight w:val="0"/>
          <w:marTop w:val="0"/>
          <w:marBottom w:val="0"/>
          <w:divBdr>
            <w:top w:val="none" w:sz="0" w:space="0" w:color="auto"/>
            <w:left w:val="none" w:sz="0" w:space="0" w:color="auto"/>
            <w:bottom w:val="none" w:sz="0" w:space="0" w:color="auto"/>
            <w:right w:val="none" w:sz="0" w:space="0" w:color="auto"/>
          </w:divBdr>
        </w:div>
      </w:divsChild>
    </w:div>
    <w:div w:id="116725516">
      <w:bodyDiv w:val="1"/>
      <w:marLeft w:val="0"/>
      <w:marRight w:val="0"/>
      <w:marTop w:val="0"/>
      <w:marBottom w:val="0"/>
      <w:divBdr>
        <w:top w:val="none" w:sz="0" w:space="0" w:color="auto"/>
        <w:left w:val="none" w:sz="0" w:space="0" w:color="auto"/>
        <w:bottom w:val="none" w:sz="0" w:space="0" w:color="auto"/>
        <w:right w:val="none" w:sz="0" w:space="0" w:color="auto"/>
      </w:divBdr>
    </w:div>
    <w:div w:id="154075955">
      <w:bodyDiv w:val="1"/>
      <w:marLeft w:val="0"/>
      <w:marRight w:val="0"/>
      <w:marTop w:val="0"/>
      <w:marBottom w:val="0"/>
      <w:divBdr>
        <w:top w:val="none" w:sz="0" w:space="0" w:color="auto"/>
        <w:left w:val="none" w:sz="0" w:space="0" w:color="auto"/>
        <w:bottom w:val="none" w:sz="0" w:space="0" w:color="auto"/>
        <w:right w:val="none" w:sz="0" w:space="0" w:color="auto"/>
      </w:divBdr>
    </w:div>
    <w:div w:id="169033409">
      <w:bodyDiv w:val="1"/>
      <w:marLeft w:val="0"/>
      <w:marRight w:val="0"/>
      <w:marTop w:val="0"/>
      <w:marBottom w:val="0"/>
      <w:divBdr>
        <w:top w:val="none" w:sz="0" w:space="0" w:color="auto"/>
        <w:left w:val="none" w:sz="0" w:space="0" w:color="auto"/>
        <w:bottom w:val="none" w:sz="0" w:space="0" w:color="auto"/>
        <w:right w:val="none" w:sz="0" w:space="0" w:color="auto"/>
      </w:divBdr>
      <w:divsChild>
        <w:div w:id="309602223">
          <w:marLeft w:val="-720"/>
          <w:marRight w:val="0"/>
          <w:marTop w:val="0"/>
          <w:marBottom w:val="0"/>
          <w:divBdr>
            <w:top w:val="none" w:sz="0" w:space="0" w:color="auto"/>
            <w:left w:val="none" w:sz="0" w:space="0" w:color="auto"/>
            <w:bottom w:val="none" w:sz="0" w:space="0" w:color="auto"/>
            <w:right w:val="none" w:sz="0" w:space="0" w:color="auto"/>
          </w:divBdr>
        </w:div>
      </w:divsChild>
    </w:div>
    <w:div w:id="192622283">
      <w:bodyDiv w:val="1"/>
      <w:marLeft w:val="0"/>
      <w:marRight w:val="0"/>
      <w:marTop w:val="0"/>
      <w:marBottom w:val="0"/>
      <w:divBdr>
        <w:top w:val="none" w:sz="0" w:space="0" w:color="auto"/>
        <w:left w:val="none" w:sz="0" w:space="0" w:color="auto"/>
        <w:bottom w:val="none" w:sz="0" w:space="0" w:color="auto"/>
        <w:right w:val="none" w:sz="0" w:space="0" w:color="auto"/>
      </w:divBdr>
    </w:div>
    <w:div w:id="203103854">
      <w:bodyDiv w:val="1"/>
      <w:marLeft w:val="0"/>
      <w:marRight w:val="0"/>
      <w:marTop w:val="0"/>
      <w:marBottom w:val="0"/>
      <w:divBdr>
        <w:top w:val="none" w:sz="0" w:space="0" w:color="auto"/>
        <w:left w:val="none" w:sz="0" w:space="0" w:color="auto"/>
        <w:bottom w:val="none" w:sz="0" w:space="0" w:color="auto"/>
        <w:right w:val="none" w:sz="0" w:space="0" w:color="auto"/>
      </w:divBdr>
    </w:div>
    <w:div w:id="362444168">
      <w:bodyDiv w:val="1"/>
      <w:marLeft w:val="0"/>
      <w:marRight w:val="0"/>
      <w:marTop w:val="0"/>
      <w:marBottom w:val="0"/>
      <w:divBdr>
        <w:top w:val="none" w:sz="0" w:space="0" w:color="auto"/>
        <w:left w:val="none" w:sz="0" w:space="0" w:color="auto"/>
        <w:bottom w:val="none" w:sz="0" w:space="0" w:color="auto"/>
        <w:right w:val="none" w:sz="0" w:space="0" w:color="auto"/>
      </w:divBdr>
    </w:div>
    <w:div w:id="383793611">
      <w:bodyDiv w:val="1"/>
      <w:marLeft w:val="0"/>
      <w:marRight w:val="0"/>
      <w:marTop w:val="0"/>
      <w:marBottom w:val="0"/>
      <w:divBdr>
        <w:top w:val="none" w:sz="0" w:space="0" w:color="auto"/>
        <w:left w:val="none" w:sz="0" w:space="0" w:color="auto"/>
        <w:bottom w:val="none" w:sz="0" w:space="0" w:color="auto"/>
        <w:right w:val="none" w:sz="0" w:space="0" w:color="auto"/>
      </w:divBdr>
    </w:div>
    <w:div w:id="393115924">
      <w:bodyDiv w:val="1"/>
      <w:marLeft w:val="0"/>
      <w:marRight w:val="0"/>
      <w:marTop w:val="0"/>
      <w:marBottom w:val="0"/>
      <w:divBdr>
        <w:top w:val="none" w:sz="0" w:space="0" w:color="auto"/>
        <w:left w:val="none" w:sz="0" w:space="0" w:color="auto"/>
        <w:bottom w:val="none" w:sz="0" w:space="0" w:color="auto"/>
        <w:right w:val="none" w:sz="0" w:space="0" w:color="auto"/>
      </w:divBdr>
    </w:div>
    <w:div w:id="397869972">
      <w:bodyDiv w:val="1"/>
      <w:marLeft w:val="0"/>
      <w:marRight w:val="0"/>
      <w:marTop w:val="0"/>
      <w:marBottom w:val="0"/>
      <w:divBdr>
        <w:top w:val="none" w:sz="0" w:space="0" w:color="auto"/>
        <w:left w:val="none" w:sz="0" w:space="0" w:color="auto"/>
        <w:bottom w:val="none" w:sz="0" w:space="0" w:color="auto"/>
        <w:right w:val="none" w:sz="0" w:space="0" w:color="auto"/>
      </w:divBdr>
      <w:divsChild>
        <w:div w:id="1556892041">
          <w:marLeft w:val="-720"/>
          <w:marRight w:val="0"/>
          <w:marTop w:val="0"/>
          <w:marBottom w:val="0"/>
          <w:divBdr>
            <w:top w:val="none" w:sz="0" w:space="0" w:color="auto"/>
            <w:left w:val="none" w:sz="0" w:space="0" w:color="auto"/>
            <w:bottom w:val="none" w:sz="0" w:space="0" w:color="auto"/>
            <w:right w:val="none" w:sz="0" w:space="0" w:color="auto"/>
          </w:divBdr>
        </w:div>
      </w:divsChild>
    </w:div>
    <w:div w:id="428234888">
      <w:bodyDiv w:val="1"/>
      <w:marLeft w:val="0"/>
      <w:marRight w:val="0"/>
      <w:marTop w:val="0"/>
      <w:marBottom w:val="0"/>
      <w:divBdr>
        <w:top w:val="none" w:sz="0" w:space="0" w:color="auto"/>
        <w:left w:val="none" w:sz="0" w:space="0" w:color="auto"/>
        <w:bottom w:val="none" w:sz="0" w:space="0" w:color="auto"/>
        <w:right w:val="none" w:sz="0" w:space="0" w:color="auto"/>
      </w:divBdr>
    </w:div>
    <w:div w:id="470565132">
      <w:bodyDiv w:val="1"/>
      <w:marLeft w:val="0"/>
      <w:marRight w:val="0"/>
      <w:marTop w:val="0"/>
      <w:marBottom w:val="0"/>
      <w:divBdr>
        <w:top w:val="none" w:sz="0" w:space="0" w:color="auto"/>
        <w:left w:val="none" w:sz="0" w:space="0" w:color="auto"/>
        <w:bottom w:val="none" w:sz="0" w:space="0" w:color="auto"/>
        <w:right w:val="none" w:sz="0" w:space="0" w:color="auto"/>
      </w:divBdr>
      <w:divsChild>
        <w:div w:id="1028675834">
          <w:marLeft w:val="-720"/>
          <w:marRight w:val="0"/>
          <w:marTop w:val="0"/>
          <w:marBottom w:val="0"/>
          <w:divBdr>
            <w:top w:val="none" w:sz="0" w:space="0" w:color="auto"/>
            <w:left w:val="none" w:sz="0" w:space="0" w:color="auto"/>
            <w:bottom w:val="none" w:sz="0" w:space="0" w:color="auto"/>
            <w:right w:val="none" w:sz="0" w:space="0" w:color="auto"/>
          </w:divBdr>
        </w:div>
      </w:divsChild>
    </w:div>
    <w:div w:id="541407229">
      <w:bodyDiv w:val="1"/>
      <w:marLeft w:val="0"/>
      <w:marRight w:val="0"/>
      <w:marTop w:val="0"/>
      <w:marBottom w:val="0"/>
      <w:divBdr>
        <w:top w:val="none" w:sz="0" w:space="0" w:color="auto"/>
        <w:left w:val="none" w:sz="0" w:space="0" w:color="auto"/>
        <w:bottom w:val="none" w:sz="0" w:space="0" w:color="auto"/>
        <w:right w:val="none" w:sz="0" w:space="0" w:color="auto"/>
      </w:divBdr>
      <w:divsChild>
        <w:div w:id="1575895846">
          <w:marLeft w:val="-720"/>
          <w:marRight w:val="0"/>
          <w:marTop w:val="0"/>
          <w:marBottom w:val="0"/>
          <w:divBdr>
            <w:top w:val="none" w:sz="0" w:space="0" w:color="auto"/>
            <w:left w:val="none" w:sz="0" w:space="0" w:color="auto"/>
            <w:bottom w:val="none" w:sz="0" w:space="0" w:color="auto"/>
            <w:right w:val="none" w:sz="0" w:space="0" w:color="auto"/>
          </w:divBdr>
        </w:div>
      </w:divsChild>
    </w:div>
    <w:div w:id="563874441">
      <w:bodyDiv w:val="1"/>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720"/>
          <w:marRight w:val="0"/>
          <w:marTop w:val="0"/>
          <w:marBottom w:val="0"/>
          <w:divBdr>
            <w:top w:val="none" w:sz="0" w:space="0" w:color="auto"/>
            <w:left w:val="none" w:sz="0" w:space="0" w:color="auto"/>
            <w:bottom w:val="none" w:sz="0" w:space="0" w:color="auto"/>
            <w:right w:val="none" w:sz="0" w:space="0" w:color="auto"/>
          </w:divBdr>
        </w:div>
      </w:divsChild>
    </w:div>
    <w:div w:id="601033891">
      <w:bodyDiv w:val="1"/>
      <w:marLeft w:val="0"/>
      <w:marRight w:val="0"/>
      <w:marTop w:val="0"/>
      <w:marBottom w:val="0"/>
      <w:divBdr>
        <w:top w:val="none" w:sz="0" w:space="0" w:color="auto"/>
        <w:left w:val="none" w:sz="0" w:space="0" w:color="auto"/>
        <w:bottom w:val="none" w:sz="0" w:space="0" w:color="auto"/>
        <w:right w:val="none" w:sz="0" w:space="0" w:color="auto"/>
      </w:divBdr>
    </w:div>
    <w:div w:id="648487217">
      <w:bodyDiv w:val="1"/>
      <w:marLeft w:val="0"/>
      <w:marRight w:val="0"/>
      <w:marTop w:val="0"/>
      <w:marBottom w:val="0"/>
      <w:divBdr>
        <w:top w:val="none" w:sz="0" w:space="0" w:color="auto"/>
        <w:left w:val="none" w:sz="0" w:space="0" w:color="auto"/>
        <w:bottom w:val="none" w:sz="0" w:space="0" w:color="auto"/>
        <w:right w:val="none" w:sz="0" w:space="0" w:color="auto"/>
      </w:divBdr>
      <w:divsChild>
        <w:div w:id="418988511">
          <w:marLeft w:val="0"/>
          <w:marRight w:val="0"/>
          <w:marTop w:val="0"/>
          <w:marBottom w:val="0"/>
          <w:divBdr>
            <w:top w:val="single" w:sz="18" w:space="0" w:color="3E72A6"/>
            <w:left w:val="single" w:sz="18" w:space="0" w:color="3E72A6"/>
            <w:bottom w:val="single" w:sz="18" w:space="0" w:color="3E72A6"/>
            <w:right w:val="single" w:sz="18" w:space="0" w:color="3E72A6"/>
          </w:divBdr>
          <w:divsChild>
            <w:div w:id="1069572764">
              <w:marLeft w:val="0"/>
              <w:marRight w:val="0"/>
              <w:marTop w:val="0"/>
              <w:marBottom w:val="0"/>
              <w:divBdr>
                <w:top w:val="none" w:sz="0" w:space="0" w:color="auto"/>
                <w:left w:val="none" w:sz="0" w:space="0" w:color="auto"/>
                <w:bottom w:val="none" w:sz="0" w:space="0" w:color="auto"/>
                <w:right w:val="none" w:sz="0" w:space="0" w:color="auto"/>
              </w:divBdr>
              <w:divsChild>
                <w:div w:id="8847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12288">
      <w:bodyDiv w:val="1"/>
      <w:marLeft w:val="0"/>
      <w:marRight w:val="0"/>
      <w:marTop w:val="0"/>
      <w:marBottom w:val="0"/>
      <w:divBdr>
        <w:top w:val="none" w:sz="0" w:space="0" w:color="auto"/>
        <w:left w:val="none" w:sz="0" w:space="0" w:color="auto"/>
        <w:bottom w:val="none" w:sz="0" w:space="0" w:color="auto"/>
        <w:right w:val="none" w:sz="0" w:space="0" w:color="auto"/>
      </w:divBdr>
    </w:div>
    <w:div w:id="843473072">
      <w:bodyDiv w:val="1"/>
      <w:marLeft w:val="0"/>
      <w:marRight w:val="0"/>
      <w:marTop w:val="0"/>
      <w:marBottom w:val="0"/>
      <w:divBdr>
        <w:top w:val="none" w:sz="0" w:space="0" w:color="auto"/>
        <w:left w:val="none" w:sz="0" w:space="0" w:color="auto"/>
        <w:bottom w:val="none" w:sz="0" w:space="0" w:color="auto"/>
        <w:right w:val="none" w:sz="0" w:space="0" w:color="auto"/>
      </w:divBdr>
    </w:div>
    <w:div w:id="929655330">
      <w:bodyDiv w:val="1"/>
      <w:marLeft w:val="0"/>
      <w:marRight w:val="0"/>
      <w:marTop w:val="0"/>
      <w:marBottom w:val="0"/>
      <w:divBdr>
        <w:top w:val="none" w:sz="0" w:space="0" w:color="auto"/>
        <w:left w:val="none" w:sz="0" w:space="0" w:color="auto"/>
        <w:bottom w:val="none" w:sz="0" w:space="0" w:color="auto"/>
        <w:right w:val="none" w:sz="0" w:space="0" w:color="auto"/>
      </w:divBdr>
      <w:divsChild>
        <w:div w:id="967202713">
          <w:marLeft w:val="-720"/>
          <w:marRight w:val="0"/>
          <w:marTop w:val="0"/>
          <w:marBottom w:val="0"/>
          <w:divBdr>
            <w:top w:val="none" w:sz="0" w:space="0" w:color="auto"/>
            <w:left w:val="none" w:sz="0" w:space="0" w:color="auto"/>
            <w:bottom w:val="none" w:sz="0" w:space="0" w:color="auto"/>
            <w:right w:val="none" w:sz="0" w:space="0" w:color="auto"/>
          </w:divBdr>
        </w:div>
      </w:divsChild>
    </w:div>
    <w:div w:id="1026099105">
      <w:bodyDiv w:val="1"/>
      <w:marLeft w:val="0"/>
      <w:marRight w:val="0"/>
      <w:marTop w:val="0"/>
      <w:marBottom w:val="0"/>
      <w:divBdr>
        <w:top w:val="none" w:sz="0" w:space="0" w:color="auto"/>
        <w:left w:val="none" w:sz="0" w:space="0" w:color="auto"/>
        <w:bottom w:val="none" w:sz="0" w:space="0" w:color="auto"/>
        <w:right w:val="none" w:sz="0" w:space="0" w:color="auto"/>
      </w:divBdr>
    </w:div>
    <w:div w:id="1136680995">
      <w:bodyDiv w:val="1"/>
      <w:marLeft w:val="0"/>
      <w:marRight w:val="0"/>
      <w:marTop w:val="0"/>
      <w:marBottom w:val="0"/>
      <w:divBdr>
        <w:top w:val="none" w:sz="0" w:space="0" w:color="auto"/>
        <w:left w:val="none" w:sz="0" w:space="0" w:color="auto"/>
        <w:bottom w:val="none" w:sz="0" w:space="0" w:color="auto"/>
        <w:right w:val="none" w:sz="0" w:space="0" w:color="auto"/>
      </w:divBdr>
    </w:div>
    <w:div w:id="1203053476">
      <w:bodyDiv w:val="1"/>
      <w:marLeft w:val="0"/>
      <w:marRight w:val="0"/>
      <w:marTop w:val="0"/>
      <w:marBottom w:val="0"/>
      <w:divBdr>
        <w:top w:val="none" w:sz="0" w:space="0" w:color="auto"/>
        <w:left w:val="none" w:sz="0" w:space="0" w:color="auto"/>
        <w:bottom w:val="none" w:sz="0" w:space="0" w:color="auto"/>
        <w:right w:val="none" w:sz="0" w:space="0" w:color="auto"/>
      </w:divBdr>
      <w:divsChild>
        <w:div w:id="456533070">
          <w:marLeft w:val="-720"/>
          <w:marRight w:val="0"/>
          <w:marTop w:val="0"/>
          <w:marBottom w:val="0"/>
          <w:divBdr>
            <w:top w:val="none" w:sz="0" w:space="0" w:color="auto"/>
            <w:left w:val="none" w:sz="0" w:space="0" w:color="auto"/>
            <w:bottom w:val="none" w:sz="0" w:space="0" w:color="auto"/>
            <w:right w:val="none" w:sz="0" w:space="0" w:color="auto"/>
          </w:divBdr>
        </w:div>
      </w:divsChild>
    </w:div>
    <w:div w:id="1232544089">
      <w:bodyDiv w:val="1"/>
      <w:marLeft w:val="0"/>
      <w:marRight w:val="0"/>
      <w:marTop w:val="0"/>
      <w:marBottom w:val="0"/>
      <w:divBdr>
        <w:top w:val="none" w:sz="0" w:space="0" w:color="auto"/>
        <w:left w:val="none" w:sz="0" w:space="0" w:color="auto"/>
        <w:bottom w:val="none" w:sz="0" w:space="0" w:color="auto"/>
        <w:right w:val="none" w:sz="0" w:space="0" w:color="auto"/>
      </w:divBdr>
    </w:div>
    <w:div w:id="1279028285">
      <w:bodyDiv w:val="1"/>
      <w:marLeft w:val="0"/>
      <w:marRight w:val="0"/>
      <w:marTop w:val="0"/>
      <w:marBottom w:val="0"/>
      <w:divBdr>
        <w:top w:val="none" w:sz="0" w:space="0" w:color="auto"/>
        <w:left w:val="none" w:sz="0" w:space="0" w:color="auto"/>
        <w:bottom w:val="none" w:sz="0" w:space="0" w:color="auto"/>
        <w:right w:val="none" w:sz="0" w:space="0" w:color="auto"/>
      </w:divBdr>
    </w:div>
    <w:div w:id="1303998516">
      <w:bodyDiv w:val="1"/>
      <w:marLeft w:val="0"/>
      <w:marRight w:val="0"/>
      <w:marTop w:val="0"/>
      <w:marBottom w:val="0"/>
      <w:divBdr>
        <w:top w:val="none" w:sz="0" w:space="0" w:color="auto"/>
        <w:left w:val="none" w:sz="0" w:space="0" w:color="auto"/>
        <w:bottom w:val="none" w:sz="0" w:space="0" w:color="auto"/>
        <w:right w:val="none" w:sz="0" w:space="0" w:color="auto"/>
      </w:divBdr>
    </w:div>
    <w:div w:id="1355302108">
      <w:bodyDiv w:val="1"/>
      <w:marLeft w:val="0"/>
      <w:marRight w:val="0"/>
      <w:marTop w:val="0"/>
      <w:marBottom w:val="0"/>
      <w:divBdr>
        <w:top w:val="none" w:sz="0" w:space="0" w:color="auto"/>
        <w:left w:val="none" w:sz="0" w:space="0" w:color="auto"/>
        <w:bottom w:val="none" w:sz="0" w:space="0" w:color="auto"/>
        <w:right w:val="none" w:sz="0" w:space="0" w:color="auto"/>
      </w:divBdr>
    </w:div>
    <w:div w:id="1409889756">
      <w:bodyDiv w:val="1"/>
      <w:marLeft w:val="0"/>
      <w:marRight w:val="0"/>
      <w:marTop w:val="0"/>
      <w:marBottom w:val="0"/>
      <w:divBdr>
        <w:top w:val="none" w:sz="0" w:space="0" w:color="auto"/>
        <w:left w:val="none" w:sz="0" w:space="0" w:color="auto"/>
        <w:bottom w:val="none" w:sz="0" w:space="0" w:color="auto"/>
        <w:right w:val="none" w:sz="0" w:space="0" w:color="auto"/>
      </w:divBdr>
      <w:divsChild>
        <w:div w:id="1393767843">
          <w:marLeft w:val="-720"/>
          <w:marRight w:val="0"/>
          <w:marTop w:val="0"/>
          <w:marBottom w:val="0"/>
          <w:divBdr>
            <w:top w:val="none" w:sz="0" w:space="0" w:color="auto"/>
            <w:left w:val="none" w:sz="0" w:space="0" w:color="auto"/>
            <w:bottom w:val="none" w:sz="0" w:space="0" w:color="auto"/>
            <w:right w:val="none" w:sz="0" w:space="0" w:color="auto"/>
          </w:divBdr>
        </w:div>
      </w:divsChild>
    </w:div>
    <w:div w:id="1420441542">
      <w:bodyDiv w:val="1"/>
      <w:marLeft w:val="0"/>
      <w:marRight w:val="0"/>
      <w:marTop w:val="0"/>
      <w:marBottom w:val="0"/>
      <w:divBdr>
        <w:top w:val="none" w:sz="0" w:space="0" w:color="auto"/>
        <w:left w:val="none" w:sz="0" w:space="0" w:color="auto"/>
        <w:bottom w:val="none" w:sz="0" w:space="0" w:color="auto"/>
        <w:right w:val="none" w:sz="0" w:space="0" w:color="auto"/>
      </w:divBdr>
    </w:div>
    <w:div w:id="1488473463">
      <w:bodyDiv w:val="1"/>
      <w:marLeft w:val="0"/>
      <w:marRight w:val="0"/>
      <w:marTop w:val="0"/>
      <w:marBottom w:val="0"/>
      <w:divBdr>
        <w:top w:val="none" w:sz="0" w:space="0" w:color="auto"/>
        <w:left w:val="none" w:sz="0" w:space="0" w:color="auto"/>
        <w:bottom w:val="none" w:sz="0" w:space="0" w:color="auto"/>
        <w:right w:val="none" w:sz="0" w:space="0" w:color="auto"/>
      </w:divBdr>
      <w:divsChild>
        <w:div w:id="1671562993">
          <w:marLeft w:val="-720"/>
          <w:marRight w:val="0"/>
          <w:marTop w:val="0"/>
          <w:marBottom w:val="0"/>
          <w:divBdr>
            <w:top w:val="none" w:sz="0" w:space="0" w:color="auto"/>
            <w:left w:val="none" w:sz="0" w:space="0" w:color="auto"/>
            <w:bottom w:val="none" w:sz="0" w:space="0" w:color="auto"/>
            <w:right w:val="none" w:sz="0" w:space="0" w:color="auto"/>
          </w:divBdr>
        </w:div>
      </w:divsChild>
    </w:div>
    <w:div w:id="1591936824">
      <w:bodyDiv w:val="1"/>
      <w:marLeft w:val="0"/>
      <w:marRight w:val="0"/>
      <w:marTop w:val="0"/>
      <w:marBottom w:val="0"/>
      <w:divBdr>
        <w:top w:val="none" w:sz="0" w:space="0" w:color="auto"/>
        <w:left w:val="none" w:sz="0" w:space="0" w:color="auto"/>
        <w:bottom w:val="none" w:sz="0" w:space="0" w:color="auto"/>
        <w:right w:val="none" w:sz="0" w:space="0" w:color="auto"/>
      </w:divBdr>
    </w:div>
    <w:div w:id="1702510405">
      <w:bodyDiv w:val="1"/>
      <w:marLeft w:val="0"/>
      <w:marRight w:val="0"/>
      <w:marTop w:val="0"/>
      <w:marBottom w:val="0"/>
      <w:divBdr>
        <w:top w:val="none" w:sz="0" w:space="0" w:color="auto"/>
        <w:left w:val="none" w:sz="0" w:space="0" w:color="auto"/>
        <w:bottom w:val="none" w:sz="0" w:space="0" w:color="auto"/>
        <w:right w:val="none" w:sz="0" w:space="0" w:color="auto"/>
      </w:divBdr>
      <w:divsChild>
        <w:div w:id="1975451831">
          <w:marLeft w:val="-720"/>
          <w:marRight w:val="0"/>
          <w:marTop w:val="0"/>
          <w:marBottom w:val="0"/>
          <w:divBdr>
            <w:top w:val="none" w:sz="0" w:space="0" w:color="auto"/>
            <w:left w:val="none" w:sz="0" w:space="0" w:color="auto"/>
            <w:bottom w:val="none" w:sz="0" w:space="0" w:color="auto"/>
            <w:right w:val="none" w:sz="0" w:space="0" w:color="auto"/>
          </w:divBdr>
        </w:div>
      </w:divsChild>
    </w:div>
    <w:div w:id="1720006280">
      <w:bodyDiv w:val="1"/>
      <w:marLeft w:val="0"/>
      <w:marRight w:val="0"/>
      <w:marTop w:val="0"/>
      <w:marBottom w:val="0"/>
      <w:divBdr>
        <w:top w:val="none" w:sz="0" w:space="0" w:color="auto"/>
        <w:left w:val="none" w:sz="0" w:space="0" w:color="auto"/>
        <w:bottom w:val="none" w:sz="0" w:space="0" w:color="auto"/>
        <w:right w:val="none" w:sz="0" w:space="0" w:color="auto"/>
      </w:divBdr>
      <w:divsChild>
        <w:div w:id="1855459415">
          <w:marLeft w:val="-720"/>
          <w:marRight w:val="0"/>
          <w:marTop w:val="0"/>
          <w:marBottom w:val="0"/>
          <w:divBdr>
            <w:top w:val="none" w:sz="0" w:space="0" w:color="auto"/>
            <w:left w:val="none" w:sz="0" w:space="0" w:color="auto"/>
            <w:bottom w:val="none" w:sz="0" w:space="0" w:color="auto"/>
            <w:right w:val="none" w:sz="0" w:space="0" w:color="auto"/>
          </w:divBdr>
        </w:div>
      </w:divsChild>
    </w:div>
    <w:div w:id="1871410750">
      <w:bodyDiv w:val="1"/>
      <w:marLeft w:val="0"/>
      <w:marRight w:val="0"/>
      <w:marTop w:val="0"/>
      <w:marBottom w:val="0"/>
      <w:divBdr>
        <w:top w:val="none" w:sz="0" w:space="0" w:color="auto"/>
        <w:left w:val="none" w:sz="0" w:space="0" w:color="auto"/>
        <w:bottom w:val="none" w:sz="0" w:space="0" w:color="auto"/>
        <w:right w:val="none" w:sz="0" w:space="0" w:color="auto"/>
      </w:divBdr>
    </w:div>
    <w:div w:id="1967539628">
      <w:bodyDiv w:val="1"/>
      <w:marLeft w:val="0"/>
      <w:marRight w:val="0"/>
      <w:marTop w:val="0"/>
      <w:marBottom w:val="0"/>
      <w:divBdr>
        <w:top w:val="none" w:sz="0" w:space="0" w:color="auto"/>
        <w:left w:val="none" w:sz="0" w:space="0" w:color="auto"/>
        <w:bottom w:val="none" w:sz="0" w:space="0" w:color="auto"/>
        <w:right w:val="none" w:sz="0" w:space="0" w:color="auto"/>
      </w:divBdr>
    </w:div>
    <w:div w:id="1970240485">
      <w:bodyDiv w:val="1"/>
      <w:marLeft w:val="0"/>
      <w:marRight w:val="0"/>
      <w:marTop w:val="0"/>
      <w:marBottom w:val="0"/>
      <w:divBdr>
        <w:top w:val="none" w:sz="0" w:space="0" w:color="auto"/>
        <w:left w:val="none" w:sz="0" w:space="0" w:color="auto"/>
        <w:bottom w:val="none" w:sz="0" w:space="0" w:color="auto"/>
        <w:right w:val="none" w:sz="0" w:space="0" w:color="auto"/>
      </w:divBdr>
    </w:div>
    <w:div w:id="1976637474">
      <w:bodyDiv w:val="1"/>
      <w:marLeft w:val="0"/>
      <w:marRight w:val="0"/>
      <w:marTop w:val="0"/>
      <w:marBottom w:val="0"/>
      <w:divBdr>
        <w:top w:val="none" w:sz="0" w:space="0" w:color="auto"/>
        <w:left w:val="none" w:sz="0" w:space="0" w:color="auto"/>
        <w:bottom w:val="none" w:sz="0" w:space="0" w:color="auto"/>
        <w:right w:val="none" w:sz="0" w:space="0" w:color="auto"/>
      </w:divBdr>
      <w:divsChild>
        <w:div w:id="1404988904">
          <w:marLeft w:val="-720"/>
          <w:marRight w:val="0"/>
          <w:marTop w:val="0"/>
          <w:marBottom w:val="0"/>
          <w:divBdr>
            <w:top w:val="none" w:sz="0" w:space="0" w:color="auto"/>
            <w:left w:val="none" w:sz="0" w:space="0" w:color="auto"/>
            <w:bottom w:val="none" w:sz="0" w:space="0" w:color="auto"/>
            <w:right w:val="none" w:sz="0" w:space="0" w:color="auto"/>
          </w:divBdr>
        </w:div>
      </w:divsChild>
    </w:div>
    <w:div w:id="1980574436">
      <w:bodyDiv w:val="1"/>
      <w:marLeft w:val="0"/>
      <w:marRight w:val="0"/>
      <w:marTop w:val="0"/>
      <w:marBottom w:val="0"/>
      <w:divBdr>
        <w:top w:val="none" w:sz="0" w:space="0" w:color="auto"/>
        <w:left w:val="none" w:sz="0" w:space="0" w:color="auto"/>
        <w:bottom w:val="none" w:sz="0" w:space="0" w:color="auto"/>
        <w:right w:val="none" w:sz="0" w:space="0" w:color="auto"/>
      </w:divBdr>
    </w:div>
    <w:div w:id="212487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86/s13054-016-1432-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ncbi.nlm.nih.gov/books/NBK470242/" TargetMode="External"/><Relationship Id="rId12" Type="http://schemas.openxmlformats.org/officeDocument/2006/relationships/hyperlink" Target="https://doi.org/10.1007/s12028-020-01180-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1016/j.emc.2012.06.003" TargetMode="External"/><Relationship Id="rId11" Type="http://schemas.openxmlformats.org/officeDocument/2006/relationships/hyperlink" Target="https://doi.org/10.1016/j.wneu.2017.05.158" TargetMode="External"/><Relationship Id="rId5" Type="http://schemas.openxmlformats.org/officeDocument/2006/relationships/image" Target="media/image2.png"/><Relationship Id="rId10" Type="http://schemas.openxmlformats.org/officeDocument/2006/relationships/hyperlink" Target="https://doi.org/10.1161/strokeaha.116.013837" TargetMode="External"/><Relationship Id="rId4" Type="http://schemas.openxmlformats.org/officeDocument/2006/relationships/image" Target="media/image1.png"/><Relationship Id="rId9" Type="http://schemas.openxmlformats.org/officeDocument/2006/relationships/hyperlink" Target="https://doi.org/10.1186/s13054-020-2749-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795</TotalTime>
  <Pages>6</Pages>
  <Words>1813</Words>
  <Characters>10338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Shil</dc:creator>
  <cp:keywords/>
  <dc:description/>
  <cp:lastModifiedBy>SDI 1186</cp:lastModifiedBy>
  <cp:revision>52</cp:revision>
  <dcterms:created xsi:type="dcterms:W3CDTF">2024-07-06T17:30:00Z</dcterms:created>
  <dcterms:modified xsi:type="dcterms:W3CDTF">2025-07-09T03:27:00Z</dcterms:modified>
</cp:coreProperties>
</file>