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8517" w14:textId="04B33920" w:rsidR="00A258C3" w:rsidRDefault="0026078A" w:rsidP="0026078A">
      <w:pPr>
        <w:pStyle w:val="Author"/>
        <w:spacing w:line="240" w:lineRule="auto"/>
        <w:rPr>
          <w:rFonts w:ascii="Arial" w:hAnsi="Arial" w:cs="Arial"/>
          <w:bCs/>
          <w:iCs/>
          <w:kern w:val="28"/>
          <w:sz w:val="36"/>
        </w:rPr>
      </w:pPr>
      <w:bookmarkStart w:id="0" w:name="_GoBack"/>
      <w:bookmarkEnd w:id="0"/>
      <w:r w:rsidRPr="00C31035">
        <w:rPr>
          <w:rFonts w:ascii="Arial" w:hAnsi="Arial" w:cs="Arial"/>
          <w:bCs/>
          <w:iCs/>
          <w:kern w:val="28"/>
          <w:sz w:val="36"/>
        </w:rPr>
        <w:t xml:space="preserve">IMPLEMENTATION OF THE </w:t>
      </w:r>
      <w:r w:rsidR="008D740C">
        <w:rPr>
          <w:rFonts w:ascii="Arial" w:hAnsi="Arial" w:cs="Arial"/>
          <w:bCs/>
          <w:iCs/>
          <w:kern w:val="28"/>
          <w:sz w:val="36"/>
        </w:rPr>
        <w:t>“</w:t>
      </w:r>
      <w:r w:rsidRPr="00C31035">
        <w:rPr>
          <w:rFonts w:ascii="Arial" w:hAnsi="Arial" w:cs="Arial"/>
          <w:bCs/>
          <w:iCs/>
          <w:kern w:val="28"/>
          <w:sz w:val="36"/>
        </w:rPr>
        <w:t>CES</w:t>
      </w:r>
      <w:r w:rsidR="008D740C">
        <w:rPr>
          <w:rFonts w:ascii="Arial" w:hAnsi="Arial" w:cs="Arial"/>
          <w:bCs/>
          <w:iCs/>
          <w:kern w:val="28"/>
          <w:sz w:val="36"/>
        </w:rPr>
        <w:t>S</w:t>
      </w:r>
      <w:r w:rsidRPr="00C31035">
        <w:rPr>
          <w:rFonts w:ascii="Arial" w:hAnsi="Arial" w:cs="Arial"/>
          <w:bCs/>
          <w:iCs/>
          <w:kern w:val="28"/>
          <w:sz w:val="36"/>
        </w:rPr>
        <w:t>-GAMMARA</w:t>
      </w:r>
      <w:r w:rsidR="008D740C">
        <w:rPr>
          <w:rFonts w:ascii="Arial" w:hAnsi="Arial" w:cs="Arial"/>
          <w:bCs/>
          <w:iCs/>
          <w:kern w:val="28"/>
          <w:sz w:val="36"/>
        </w:rPr>
        <w:t>”</w:t>
      </w:r>
      <w:r w:rsidRPr="00C31035">
        <w:rPr>
          <w:rFonts w:ascii="Arial" w:hAnsi="Arial" w:cs="Arial"/>
          <w:bCs/>
          <w:iCs/>
          <w:kern w:val="28"/>
          <w:sz w:val="36"/>
        </w:rPr>
        <w:t xml:space="preserve"> PROGRAM TO PREVENT STUNTING AND WASTING</w:t>
      </w:r>
      <w:r w:rsidR="005C5DB9">
        <w:rPr>
          <w:rFonts w:ascii="Arial" w:hAnsi="Arial" w:cs="Arial"/>
          <w:bCs/>
          <w:iCs/>
          <w:kern w:val="28"/>
          <w:sz w:val="36"/>
        </w:rPr>
        <w:t xml:space="preserve"> IN CHILDREN</w:t>
      </w:r>
      <w:r w:rsidR="008D740C">
        <w:rPr>
          <w:rFonts w:ascii="Arial" w:hAnsi="Arial" w:cs="Arial"/>
          <w:bCs/>
          <w:iCs/>
          <w:kern w:val="28"/>
          <w:sz w:val="36"/>
        </w:rPr>
        <w:t xml:space="preserve">: </w:t>
      </w:r>
      <w:r w:rsidR="005C5DB9">
        <w:rPr>
          <w:rFonts w:ascii="Arial" w:hAnsi="Arial" w:cs="Arial"/>
          <w:bCs/>
          <w:iCs/>
          <w:kern w:val="28"/>
          <w:sz w:val="36"/>
        </w:rPr>
        <w:t xml:space="preserve">A </w:t>
      </w:r>
      <w:r w:rsidR="008D740C" w:rsidRPr="008D740C">
        <w:rPr>
          <w:rFonts w:ascii="Arial" w:hAnsi="Arial" w:cs="Arial"/>
          <w:bCs/>
          <w:iCs/>
          <w:kern w:val="28"/>
          <w:sz w:val="36"/>
        </w:rPr>
        <w:t xml:space="preserve">CASE STUDY </w:t>
      </w:r>
      <w:r w:rsidR="008D740C">
        <w:rPr>
          <w:rFonts w:ascii="Arial" w:hAnsi="Arial" w:cs="Arial"/>
          <w:bCs/>
          <w:iCs/>
          <w:kern w:val="28"/>
          <w:sz w:val="36"/>
        </w:rPr>
        <w:t>FROM</w:t>
      </w:r>
      <w:r w:rsidR="008D740C" w:rsidRPr="008D740C">
        <w:rPr>
          <w:rFonts w:ascii="Arial" w:hAnsi="Arial" w:cs="Arial"/>
          <w:bCs/>
          <w:iCs/>
          <w:kern w:val="28"/>
          <w:sz w:val="36"/>
        </w:rPr>
        <w:t xml:space="preserve"> JENEPONTO, INDONESIA</w:t>
      </w:r>
    </w:p>
    <w:p w14:paraId="3DEAAB88" w14:textId="77777777" w:rsidR="0026078A" w:rsidRPr="00C31035" w:rsidRDefault="0026078A" w:rsidP="00C31035">
      <w:pPr>
        <w:pStyle w:val="Author"/>
        <w:spacing w:line="240" w:lineRule="auto"/>
        <w:rPr>
          <w:rFonts w:ascii="Arial" w:hAnsi="Arial" w:cs="Arial"/>
          <w:sz w:val="36"/>
        </w:rPr>
      </w:pPr>
    </w:p>
    <w:p w14:paraId="73BF7A24" w14:textId="77777777" w:rsidR="002C57D2" w:rsidRPr="00C31035" w:rsidRDefault="002C57D2" w:rsidP="0026078A">
      <w:pPr>
        <w:pStyle w:val="Affiliation"/>
        <w:spacing w:after="0" w:line="240" w:lineRule="auto"/>
        <w:jc w:val="both"/>
        <w:rPr>
          <w:rFonts w:ascii="Arial" w:hAnsi="Arial" w:cs="Arial"/>
          <w:bCs/>
          <w:i/>
          <w:iCs/>
          <w:sz w:val="14"/>
          <w:szCs w:val="14"/>
        </w:rPr>
      </w:pPr>
    </w:p>
    <w:p w14:paraId="13BDA41A" w14:textId="77777777" w:rsidR="00B01FCD" w:rsidRPr="00C31035" w:rsidRDefault="005C04AB" w:rsidP="0026078A">
      <w:pPr>
        <w:pStyle w:val="Copyright"/>
        <w:spacing w:after="0" w:line="240" w:lineRule="auto"/>
        <w:jc w:val="both"/>
        <w:rPr>
          <w:rFonts w:ascii="Arial" w:hAnsi="Arial" w:cs="Arial"/>
        </w:rPr>
        <w:sectPr w:rsidR="00B01FCD" w:rsidRPr="00C31035"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3D7F258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C31035">
        <w:rPr>
          <w:rFonts w:ascii="Arial" w:hAnsi="Arial" w:cs="Arial"/>
        </w:rPr>
        <w:t>.</w:t>
      </w:r>
    </w:p>
    <w:p w14:paraId="6D4D3802" w14:textId="31E4A392" w:rsidR="00B01FCD" w:rsidRPr="00C31035" w:rsidRDefault="00B01FCD" w:rsidP="0026078A">
      <w:pPr>
        <w:pStyle w:val="AbstHead"/>
        <w:spacing w:after="0"/>
        <w:jc w:val="both"/>
        <w:rPr>
          <w:rFonts w:ascii="Arial" w:hAnsi="Arial" w:cs="Arial"/>
        </w:rPr>
      </w:pPr>
      <w:r w:rsidRPr="00C31035">
        <w:rPr>
          <w:rFonts w:ascii="Arial" w:hAnsi="Arial" w:cs="Arial"/>
        </w:rPr>
        <w:t>ABSTRACT</w:t>
      </w:r>
    </w:p>
    <w:p w14:paraId="466A9844" w14:textId="77777777" w:rsidR="00790ADA" w:rsidRPr="00C31035" w:rsidRDefault="00790ADA" w:rsidP="0026078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31035" w14:paraId="08718D87" w14:textId="77777777" w:rsidTr="001E44FE">
        <w:tc>
          <w:tcPr>
            <w:tcW w:w="9576" w:type="dxa"/>
            <w:shd w:val="clear" w:color="auto" w:fill="F2F2F2"/>
          </w:tcPr>
          <w:p w14:paraId="4311442F" w14:textId="0BD79CE3" w:rsidR="00505F06" w:rsidRPr="00C31035" w:rsidRDefault="0026078A" w:rsidP="0026078A">
            <w:pPr>
              <w:pStyle w:val="Body"/>
              <w:rPr>
                <w:rFonts w:ascii="Arial" w:eastAsia="Calibri" w:hAnsi="Arial" w:cs="Arial"/>
                <w:szCs w:val="22"/>
              </w:rPr>
            </w:pPr>
            <w:r w:rsidRPr="00C31035">
              <w:rPr>
                <w:rFonts w:ascii="Arial" w:eastAsia="Calibri" w:hAnsi="Arial" w:cs="Arial"/>
                <w:szCs w:val="22"/>
              </w:rPr>
              <w:t xml:space="preserve">Background: Stunting and wasting are two major nutritional problems that hinder children's growth and development, especially in eastern Indonesia. </w:t>
            </w:r>
            <w:proofErr w:type="spellStart"/>
            <w:r w:rsidRPr="00C31035">
              <w:rPr>
                <w:rFonts w:ascii="Arial" w:eastAsia="Calibri" w:hAnsi="Arial" w:cs="Arial"/>
                <w:szCs w:val="22"/>
              </w:rPr>
              <w:t>Jeneponto</w:t>
            </w:r>
            <w:proofErr w:type="spellEnd"/>
            <w:r w:rsidRPr="00C31035">
              <w:rPr>
                <w:rFonts w:ascii="Arial" w:eastAsia="Calibri" w:hAnsi="Arial" w:cs="Arial"/>
                <w:szCs w:val="22"/>
              </w:rPr>
              <w:t xml:space="preserve"> Regency, South Sulawesi, is one of the areas with the highest prevalence of stunting nationally, which is exacerbated by low nutritional literacy and inappropriate feeding practices. Objective: Implement the CESS-GAMMARA Program as a community-based nutrition education intervention to prevent stunting and wasting </w:t>
            </w:r>
            <w:r w:rsidRPr="00770B92">
              <w:rPr>
                <w:rFonts w:ascii="Arial" w:eastAsia="Calibri" w:hAnsi="Arial" w:cs="Arial"/>
                <w:szCs w:val="22"/>
                <w:highlight w:val="yellow"/>
              </w:rPr>
              <w:t xml:space="preserve">by </w:t>
            </w:r>
            <w:r w:rsidR="00770B92" w:rsidRPr="00770B92">
              <w:rPr>
                <w:rFonts w:ascii="Arial" w:eastAsia="Calibri" w:hAnsi="Arial" w:cs="Arial"/>
                <w:szCs w:val="22"/>
                <w:highlight w:val="yellow"/>
              </w:rPr>
              <w:t>increasing</w:t>
            </w:r>
            <w:r w:rsidRPr="00770B92">
              <w:rPr>
                <w:rFonts w:ascii="Arial" w:eastAsia="Calibri" w:hAnsi="Arial" w:cs="Arial"/>
                <w:szCs w:val="22"/>
                <w:highlight w:val="yellow"/>
              </w:rPr>
              <w:t xml:space="preserve"> mothers' knowledge</w:t>
            </w:r>
            <w:r w:rsidRPr="00C31035">
              <w:rPr>
                <w:rFonts w:ascii="Arial" w:eastAsia="Calibri" w:hAnsi="Arial" w:cs="Arial"/>
                <w:szCs w:val="22"/>
              </w:rPr>
              <w:t xml:space="preserve"> and skills in providing breast milk and complementary feeding. Method:</w:t>
            </w:r>
            <w:r w:rsidR="00770B92">
              <w:rPr>
                <w:rFonts w:ascii="Arial" w:eastAsia="Calibri" w:hAnsi="Arial" w:cs="Arial"/>
                <w:szCs w:val="22"/>
              </w:rPr>
              <w:t xml:space="preserve"> </w:t>
            </w:r>
            <w:r w:rsidR="00770B92" w:rsidRPr="00770B92">
              <w:rPr>
                <w:rFonts w:ascii="Arial" w:eastAsia="Calibri" w:hAnsi="Arial" w:cs="Arial"/>
                <w:szCs w:val="22"/>
                <w:highlight w:val="yellow"/>
              </w:rPr>
              <w:t xml:space="preserve">This study is a </w:t>
            </w:r>
            <w:proofErr w:type="spellStart"/>
            <w:r w:rsidR="00770B92" w:rsidRPr="00770B92">
              <w:rPr>
                <w:rFonts w:ascii="Arial" w:eastAsia="Calibri" w:hAnsi="Arial" w:cs="Arial"/>
                <w:szCs w:val="22"/>
                <w:highlight w:val="yellow"/>
              </w:rPr>
              <w:t>quasi experimental</w:t>
            </w:r>
            <w:proofErr w:type="spellEnd"/>
            <w:r w:rsidR="00770B92" w:rsidRPr="00770B92">
              <w:rPr>
                <w:rFonts w:ascii="Arial" w:eastAsia="Calibri" w:hAnsi="Arial" w:cs="Arial"/>
                <w:szCs w:val="22"/>
                <w:highlight w:val="yellow"/>
              </w:rPr>
              <w:t xml:space="preserve"> study that</w:t>
            </w:r>
            <w:r w:rsidRPr="00C31035">
              <w:rPr>
                <w:rFonts w:ascii="Arial" w:eastAsia="Calibri" w:hAnsi="Arial" w:cs="Arial"/>
                <w:szCs w:val="22"/>
              </w:rPr>
              <w:t xml:space="preserve"> has been implemented since 2023 at the Nutrition Clinic of </w:t>
            </w:r>
            <w:proofErr w:type="spellStart"/>
            <w:r w:rsidRPr="00C31035">
              <w:rPr>
                <w:rFonts w:ascii="Arial" w:eastAsia="Calibri" w:hAnsi="Arial" w:cs="Arial"/>
                <w:szCs w:val="22"/>
              </w:rPr>
              <w:t>Lanto</w:t>
            </w:r>
            <w:proofErr w:type="spellEnd"/>
            <w:r w:rsidRPr="00C31035">
              <w:rPr>
                <w:rFonts w:ascii="Arial" w:eastAsia="Calibri" w:hAnsi="Arial" w:cs="Arial"/>
                <w:szCs w:val="22"/>
              </w:rPr>
              <w:t xml:space="preserve"> Dg </w:t>
            </w:r>
            <w:proofErr w:type="spellStart"/>
            <w:r w:rsidRPr="00C31035">
              <w:rPr>
                <w:rFonts w:ascii="Arial" w:eastAsia="Calibri" w:hAnsi="Arial" w:cs="Arial"/>
                <w:szCs w:val="22"/>
              </w:rPr>
              <w:t>Pasewang</w:t>
            </w:r>
            <w:proofErr w:type="spellEnd"/>
            <w:r w:rsidRPr="00C31035">
              <w:rPr>
                <w:rFonts w:ascii="Arial" w:eastAsia="Calibri" w:hAnsi="Arial" w:cs="Arial"/>
                <w:szCs w:val="22"/>
              </w:rPr>
              <w:t xml:space="preserve"> Hospital with 126 toddlers as participants. Activities include individual nutrition education, anthropometric measurements, 24-hour food recalls, and the preparation of meal plans based on the 3U3S approach (3 main meals, 3 snacks), accompanied by the provision of eggs, formula, and regular assistance. Results: A total of 14 children were declared cured, 62 children improved, 3 did not improve, and 47 were lost to control. Statistical tests showed a significant relationship between nutrition education, increased intake, and child growth status. The 3U3S approach was considered easy to understand and apply. Conclusion: CESS-GAMMARA is effective in improving the nutritional status of toddlers and can be a community nutrition education model that can be widely replicated.</w:t>
            </w:r>
          </w:p>
        </w:tc>
      </w:tr>
    </w:tbl>
    <w:p w14:paraId="074F2E57" w14:textId="77777777" w:rsidR="00636EB2" w:rsidRPr="00C31035" w:rsidRDefault="00636EB2" w:rsidP="0026078A">
      <w:pPr>
        <w:pStyle w:val="Body"/>
        <w:spacing w:after="0"/>
        <w:rPr>
          <w:rFonts w:ascii="Arial" w:hAnsi="Arial" w:cs="Arial"/>
          <w:i/>
        </w:rPr>
      </w:pPr>
    </w:p>
    <w:p w14:paraId="4B6A6959" w14:textId="64EB45A8" w:rsidR="00790ADA" w:rsidRPr="00C31035" w:rsidRDefault="0026078A" w:rsidP="0026078A">
      <w:pPr>
        <w:pStyle w:val="Body"/>
        <w:spacing w:after="0"/>
        <w:rPr>
          <w:rFonts w:ascii="Arial" w:eastAsia="Calibri" w:hAnsi="Arial" w:cs="Arial"/>
          <w:i/>
          <w:iCs/>
          <w:szCs w:val="22"/>
        </w:rPr>
      </w:pPr>
      <w:r w:rsidRPr="00C31035">
        <w:rPr>
          <w:rFonts w:ascii="Arial" w:eastAsia="Calibri" w:hAnsi="Arial" w:cs="Arial"/>
          <w:i/>
          <w:iCs/>
          <w:szCs w:val="22"/>
        </w:rPr>
        <w:t>Keywords: Stunting, Wasting, Nutritional Education.</w:t>
      </w:r>
    </w:p>
    <w:p w14:paraId="343462E1" w14:textId="77777777" w:rsidR="0026078A" w:rsidRPr="00C31035" w:rsidRDefault="0026078A" w:rsidP="0026078A">
      <w:pPr>
        <w:pStyle w:val="Body"/>
        <w:spacing w:after="0"/>
        <w:rPr>
          <w:rFonts w:ascii="Arial" w:hAnsi="Arial" w:cs="Arial"/>
          <w:i/>
        </w:rPr>
      </w:pPr>
    </w:p>
    <w:p w14:paraId="75209814" w14:textId="3F9CEEC3" w:rsidR="00790ADA" w:rsidRPr="00C31035" w:rsidRDefault="00902823" w:rsidP="007F6DFC">
      <w:pPr>
        <w:pStyle w:val="AbstHead"/>
        <w:spacing w:after="0"/>
        <w:jc w:val="both"/>
        <w:rPr>
          <w:rFonts w:ascii="Arial" w:hAnsi="Arial" w:cs="Arial"/>
          <w:szCs w:val="22"/>
        </w:rPr>
      </w:pPr>
      <w:r w:rsidRPr="00C31035">
        <w:rPr>
          <w:rFonts w:ascii="Arial" w:hAnsi="Arial" w:cs="Arial"/>
          <w:szCs w:val="22"/>
        </w:rPr>
        <w:t xml:space="preserve">1. </w:t>
      </w:r>
      <w:r w:rsidR="00B01FCD" w:rsidRPr="00C31035">
        <w:rPr>
          <w:rFonts w:ascii="Arial" w:hAnsi="Arial" w:cs="Arial"/>
          <w:szCs w:val="22"/>
        </w:rPr>
        <w:t>INTRODUCTION</w:t>
      </w:r>
      <w:r w:rsidR="007F7B32" w:rsidRPr="00C31035">
        <w:rPr>
          <w:rFonts w:ascii="Arial" w:hAnsi="Arial" w:cs="Arial"/>
          <w:szCs w:val="22"/>
        </w:rPr>
        <w:t xml:space="preserve"> </w:t>
      </w:r>
    </w:p>
    <w:p w14:paraId="2D59407E" w14:textId="17F982F4"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The problem of stunting and wasting is still a serious challenge in public health development in Indonesia, especially in the toddler age group, which is a crucial period in the human life cycle. Stunting is a condition of failure to thrive in children due to chronic malnutrition that occurs from pregnancy to the age of two years, which is characterized by a child's height that is below the standard for their age.</w:t>
      </w:r>
      <w:r w:rsidR="00770B92" w:rsidRPr="00770B92">
        <w:rPr>
          <w:rFonts w:ascii="Arial" w:hAnsi="Arial" w:cs="Arial"/>
          <w:sz w:val="22"/>
          <w:szCs w:val="22"/>
          <w:highlight w:val="yellow"/>
        </w:rPr>
        <w:t>1</w:t>
      </w:r>
      <w:r w:rsidRPr="00C31035">
        <w:rPr>
          <w:rFonts w:ascii="Arial" w:hAnsi="Arial" w:cs="Arial"/>
          <w:sz w:val="22"/>
          <w:szCs w:val="22"/>
        </w:rPr>
        <w:t xml:space="preserve"> Meanwhile, wasting is a condition of acute malnutrition indicated by a body weight that is not appropriate or too low compared to the child's height, often due to insufficient food intake or repeated infections.</w:t>
      </w:r>
      <w:r w:rsidR="00770B92" w:rsidRPr="00770B92">
        <w:rPr>
          <w:rFonts w:ascii="Arial" w:hAnsi="Arial" w:cs="Arial"/>
          <w:sz w:val="22"/>
          <w:szCs w:val="22"/>
          <w:highlight w:val="yellow"/>
        </w:rPr>
        <w:t>2</w:t>
      </w:r>
      <w:r w:rsidRPr="00C31035">
        <w:rPr>
          <w:rFonts w:ascii="Arial" w:hAnsi="Arial" w:cs="Arial"/>
          <w:sz w:val="22"/>
          <w:szCs w:val="22"/>
        </w:rPr>
        <w:t xml:space="preserve"> These two conditions not only reflect nutritional inadequacy but are also important indicators of social inequality, low quality of care, and weak basic health care systems.</w:t>
      </w:r>
      <w:r w:rsidR="00770B92">
        <w:rPr>
          <w:rFonts w:ascii="Arial" w:hAnsi="Arial" w:cs="Arial"/>
          <w:sz w:val="22"/>
          <w:szCs w:val="22"/>
        </w:rPr>
        <w:t>2</w:t>
      </w:r>
    </w:p>
    <w:p w14:paraId="540BF71E"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Based on the results of the 2022 Indonesian Nutritional Status Study (SSGI), the stunting rate in Indonesia was recorded at 21.6%, while wasting was 7.7%. However, in several regions, especially in eastern Indonesia, these figures far exceed the national average.2 One of the areas in the spotlight is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 South Sulawesi Province. Based on data from the South Sulawesi Provincial Health Office and the latest SSGI report,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is among the top 10 regencies with the highest prevalence of stunting in Indonesia, reaching more than </w:t>
      </w:r>
      <w:r w:rsidRPr="00C31035">
        <w:rPr>
          <w:rFonts w:ascii="Arial" w:hAnsi="Arial" w:cs="Arial"/>
          <w:sz w:val="22"/>
          <w:szCs w:val="22"/>
        </w:rPr>
        <w:lastRenderedPageBreak/>
        <w:t xml:space="preserve">35%. This figure indicates that more than a third of children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experience growth disorders that have the potential to affect their physical, cognitive, and productivity development in the future. 3,4 </w:t>
      </w:r>
    </w:p>
    <w:p w14:paraId="6A140F77"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Child health issues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are very complex and interrelated. In addition to high stunting and wasting rates, the region also faces challenges in terms of the availability of equitable access to health services, low public knowledge about parenting patterns and balanced nutrition, limited sources of nutritious food, and cultural factors and habits that do not support healthy parenting practices. The low coverage of exclusive breastfeeding and the provision of complementary foods that do not meet nutritional standards are also significant contributors to this condition. Many mothers in rural areas of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have not received adequate education about the importance of breast milk as the main source of nutrition for babies up to six months of age, as well as a lack of knowledge in preparing complementary foods that meet the needs of child growth.5</w:t>
      </w:r>
    </w:p>
    <w:p w14:paraId="1EA232B5"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In responding to these challenges, an intervention approach is needed that is not only curative but also promotive and preventive. One of the efforts made is through the CES-GAMMARA program (preventing stunting and wasting with adequate nutrition through BREAST MILK and FOOD SUPPLEMENTATION for cheerful and active children), which was initiated as part of a community service program. This program aims to strengthen the capacity and awareness of the community in overcoming nutritional problems through comprehensive education on the importance of balanced nutrition, BREAST MILK, and FOOD SUPPLEMENTATION. The main targets of this program are pregnant women, breastfeeding mothers, mothers with toddlers, and </w:t>
      </w:r>
      <w:proofErr w:type="spellStart"/>
      <w:r w:rsidRPr="00C31035">
        <w:rPr>
          <w:rFonts w:ascii="Arial" w:hAnsi="Arial" w:cs="Arial"/>
          <w:sz w:val="22"/>
          <w:szCs w:val="22"/>
        </w:rPr>
        <w:t>posyandu</w:t>
      </w:r>
      <w:proofErr w:type="spellEnd"/>
      <w:r w:rsidRPr="00C31035">
        <w:rPr>
          <w:rFonts w:ascii="Arial" w:hAnsi="Arial" w:cs="Arial"/>
          <w:sz w:val="22"/>
          <w:szCs w:val="22"/>
        </w:rPr>
        <w:t xml:space="preserve"> cadres who have a strategic role in providing counseling and assistance.</w:t>
      </w:r>
    </w:p>
    <w:p w14:paraId="4F800180"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CES-GAMMARA is designed by prioritizing participatory and local culture-based principles, so that educational messages can be effectively received by the community. Activities in this program include community-based nutrition counseling, skills training in making FOOD SUPPLEMENTATION from nutritious and affordable local food ingredients, simulations of proper feeding of infants and toddlers, and </w:t>
      </w:r>
      <w:proofErr w:type="spellStart"/>
      <w:r w:rsidRPr="00C31035">
        <w:rPr>
          <w:rFonts w:ascii="Arial" w:hAnsi="Arial" w:cs="Arial"/>
          <w:sz w:val="22"/>
          <w:szCs w:val="22"/>
        </w:rPr>
        <w:t>increbreast</w:t>
      </w:r>
      <w:proofErr w:type="spellEnd"/>
      <w:r w:rsidRPr="00C31035">
        <w:rPr>
          <w:rFonts w:ascii="Arial" w:hAnsi="Arial" w:cs="Arial"/>
          <w:sz w:val="22"/>
          <w:szCs w:val="22"/>
        </w:rPr>
        <w:t xml:space="preserve"> </w:t>
      </w:r>
      <w:proofErr w:type="spellStart"/>
      <w:r w:rsidRPr="00C31035">
        <w:rPr>
          <w:rFonts w:ascii="Arial" w:hAnsi="Arial" w:cs="Arial"/>
          <w:sz w:val="22"/>
          <w:szCs w:val="22"/>
        </w:rPr>
        <w:t>milkng</w:t>
      </w:r>
      <w:proofErr w:type="spellEnd"/>
      <w:r w:rsidRPr="00C31035">
        <w:rPr>
          <w:rFonts w:ascii="Arial" w:hAnsi="Arial" w:cs="Arial"/>
          <w:sz w:val="22"/>
          <w:szCs w:val="22"/>
        </w:rPr>
        <w:t xml:space="preserve"> the capacity of </w:t>
      </w:r>
      <w:proofErr w:type="spellStart"/>
      <w:r w:rsidRPr="00C31035">
        <w:rPr>
          <w:rFonts w:ascii="Arial" w:hAnsi="Arial" w:cs="Arial"/>
          <w:sz w:val="22"/>
          <w:szCs w:val="22"/>
        </w:rPr>
        <w:t>posyandu</w:t>
      </w:r>
      <w:proofErr w:type="spellEnd"/>
      <w:r w:rsidRPr="00C31035">
        <w:rPr>
          <w:rFonts w:ascii="Arial" w:hAnsi="Arial" w:cs="Arial"/>
          <w:sz w:val="22"/>
          <w:szCs w:val="22"/>
        </w:rPr>
        <w:t xml:space="preserve"> cadres as the spearhead of public health services. In addition, this program also encourages the formation of nutrition-conscious communities at the village level to create sustainable efforts to reduce stunting and wasting in </w:t>
      </w:r>
      <w:proofErr w:type="spellStart"/>
      <w:r w:rsidRPr="00C31035">
        <w:rPr>
          <w:rFonts w:ascii="Arial" w:hAnsi="Arial" w:cs="Arial"/>
          <w:sz w:val="22"/>
          <w:szCs w:val="22"/>
        </w:rPr>
        <w:t>Jeneponto</w:t>
      </w:r>
      <w:proofErr w:type="spellEnd"/>
      <w:r w:rsidRPr="00C31035">
        <w:rPr>
          <w:rFonts w:ascii="Arial" w:hAnsi="Arial" w:cs="Arial"/>
          <w:sz w:val="22"/>
          <w:szCs w:val="22"/>
        </w:rPr>
        <w:t>.</w:t>
      </w:r>
    </w:p>
    <w:p w14:paraId="7CC66ABB"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Through the implementation of this program, it is expected that there will be an increase in nutritional literacy in the community, behavioral changes in healthier childcare practices, and strengthening the role of the community in creating an environment that supports optimal growth and development of children. This intervention is not only intended to answer short-term problems, but also as a long-term investment in creating a healthy, intelligent, and productive generation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w:t>
      </w:r>
    </w:p>
    <w:p w14:paraId="355C4269" w14:textId="62F982F7" w:rsidR="00790AD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The purpose of this community service activity is to implement the CES-GAMMARA program as a preventive measure stunting and wasting in toddlers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 through balanced nutrition education, </w:t>
      </w:r>
      <w:proofErr w:type="spellStart"/>
      <w:r w:rsidRPr="00C31035">
        <w:rPr>
          <w:rFonts w:ascii="Arial" w:hAnsi="Arial" w:cs="Arial"/>
          <w:sz w:val="22"/>
          <w:szCs w:val="22"/>
        </w:rPr>
        <w:t>increbreast</w:t>
      </w:r>
      <w:proofErr w:type="spellEnd"/>
      <w:r w:rsidRPr="00C31035">
        <w:rPr>
          <w:rFonts w:ascii="Arial" w:hAnsi="Arial" w:cs="Arial"/>
          <w:sz w:val="22"/>
          <w:szCs w:val="22"/>
        </w:rPr>
        <w:t xml:space="preserve"> </w:t>
      </w:r>
      <w:proofErr w:type="spellStart"/>
      <w:r w:rsidRPr="00C31035">
        <w:rPr>
          <w:rFonts w:ascii="Arial" w:hAnsi="Arial" w:cs="Arial"/>
          <w:sz w:val="22"/>
          <w:szCs w:val="22"/>
        </w:rPr>
        <w:t>milkng</w:t>
      </w:r>
      <w:proofErr w:type="spellEnd"/>
      <w:r w:rsidRPr="00C31035">
        <w:rPr>
          <w:rFonts w:ascii="Arial" w:hAnsi="Arial" w:cs="Arial"/>
          <w:sz w:val="22"/>
          <w:szCs w:val="22"/>
        </w:rPr>
        <w:t xml:space="preserve"> mothers' knowledge and skills in providing breast milk and complementary feeding, and empowering health cadres and local communities to create an environment that supports optimal child growth and development.</w:t>
      </w:r>
    </w:p>
    <w:p w14:paraId="1E549495" w14:textId="77777777" w:rsidR="0026078A" w:rsidRPr="00C31035" w:rsidRDefault="0026078A" w:rsidP="0026078A">
      <w:pPr>
        <w:pStyle w:val="Body"/>
        <w:spacing w:after="0"/>
        <w:rPr>
          <w:rFonts w:ascii="Arial" w:hAnsi="Arial" w:cs="Arial"/>
          <w:sz w:val="22"/>
          <w:szCs w:val="22"/>
        </w:rPr>
      </w:pPr>
    </w:p>
    <w:p w14:paraId="2F6C91C8" w14:textId="46AB164B" w:rsidR="007F7B32" w:rsidRPr="00C31035" w:rsidRDefault="00902823" w:rsidP="0026078A">
      <w:pPr>
        <w:pStyle w:val="AbstHead"/>
        <w:spacing w:after="0"/>
        <w:jc w:val="both"/>
        <w:rPr>
          <w:rFonts w:ascii="Arial" w:hAnsi="Arial" w:cs="Arial"/>
          <w:szCs w:val="22"/>
        </w:rPr>
      </w:pPr>
      <w:r w:rsidRPr="00C31035">
        <w:rPr>
          <w:rFonts w:ascii="Arial" w:hAnsi="Arial" w:cs="Arial"/>
          <w:szCs w:val="22"/>
        </w:rPr>
        <w:lastRenderedPageBreak/>
        <w:t>2. material and method</w:t>
      </w:r>
      <w:r w:rsidR="00000F8F" w:rsidRPr="00C31035">
        <w:rPr>
          <w:rFonts w:ascii="Arial" w:hAnsi="Arial" w:cs="Arial"/>
          <w:szCs w:val="22"/>
        </w:rPr>
        <w:t xml:space="preserve">s </w:t>
      </w:r>
    </w:p>
    <w:p w14:paraId="76DC022E" w14:textId="77777777" w:rsidR="0026078A" w:rsidRPr="00C31035" w:rsidRDefault="0026078A" w:rsidP="007F6DFC">
      <w:pPr>
        <w:pStyle w:val="Body"/>
        <w:spacing w:after="0"/>
        <w:rPr>
          <w:rFonts w:ascii="Arial" w:hAnsi="Arial" w:cs="Arial"/>
          <w:sz w:val="22"/>
          <w:szCs w:val="22"/>
        </w:rPr>
      </w:pPr>
      <w:r w:rsidRPr="00C31035">
        <w:rPr>
          <w:rFonts w:ascii="Arial" w:hAnsi="Arial" w:cs="Arial"/>
          <w:sz w:val="22"/>
          <w:szCs w:val="22"/>
        </w:rPr>
        <w:t xml:space="preserve">The CES-GAMMARA program is implemented as a form of innovation in nutritional education to prevent stunting and wasting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 involving various parties such as health workers at </w:t>
      </w:r>
      <w:proofErr w:type="spellStart"/>
      <w:r w:rsidRPr="00C31035">
        <w:rPr>
          <w:rFonts w:ascii="Arial" w:hAnsi="Arial" w:cs="Arial"/>
          <w:sz w:val="22"/>
          <w:szCs w:val="22"/>
        </w:rPr>
        <w:t>Lanto</w:t>
      </w:r>
      <w:proofErr w:type="spellEnd"/>
      <w:r w:rsidRPr="00C31035">
        <w:rPr>
          <w:rFonts w:ascii="Arial" w:hAnsi="Arial" w:cs="Arial"/>
          <w:sz w:val="22"/>
          <w:szCs w:val="22"/>
        </w:rPr>
        <w:t xml:space="preserve"> Dg </w:t>
      </w:r>
      <w:proofErr w:type="spellStart"/>
      <w:r w:rsidRPr="00C31035">
        <w:rPr>
          <w:rFonts w:ascii="Arial" w:hAnsi="Arial" w:cs="Arial"/>
          <w:sz w:val="22"/>
          <w:szCs w:val="22"/>
        </w:rPr>
        <w:t>Pasewang</w:t>
      </w:r>
      <w:proofErr w:type="spellEnd"/>
      <w:r w:rsidRPr="00C31035">
        <w:rPr>
          <w:rFonts w:ascii="Arial" w:hAnsi="Arial" w:cs="Arial"/>
          <w:sz w:val="22"/>
          <w:szCs w:val="22"/>
        </w:rPr>
        <w:t xml:space="preserve"> Hospital, the Health Office, and PKK cadres. This program has been running since 2023 and continues to run sustainably. The main targets of this program are toddlers who experience growth disorders and mothers or caregivers with limited knowledge about healthy eating patterns. The total number of participants who have been served is 126 children, most of whom come from families at risk of malnutrition.</w:t>
      </w:r>
    </w:p>
    <w:p w14:paraId="714CA521" w14:textId="77777777" w:rsidR="0026078A" w:rsidRPr="00C31035" w:rsidRDefault="0026078A" w:rsidP="007F6DFC">
      <w:pPr>
        <w:pStyle w:val="Body"/>
        <w:spacing w:after="0"/>
        <w:ind w:firstLine="720"/>
        <w:rPr>
          <w:rFonts w:ascii="Arial" w:hAnsi="Arial" w:cs="Arial"/>
          <w:sz w:val="22"/>
          <w:szCs w:val="22"/>
        </w:rPr>
      </w:pPr>
      <w:r w:rsidRPr="00C31035">
        <w:rPr>
          <w:rFonts w:ascii="Arial" w:hAnsi="Arial" w:cs="Arial"/>
          <w:sz w:val="22"/>
          <w:szCs w:val="22"/>
        </w:rPr>
        <w:t xml:space="preserve">The program is implemented at the Nutrition Clinic of </w:t>
      </w:r>
      <w:proofErr w:type="spellStart"/>
      <w:r w:rsidRPr="00C31035">
        <w:rPr>
          <w:rFonts w:ascii="Arial" w:hAnsi="Arial" w:cs="Arial"/>
          <w:sz w:val="22"/>
          <w:szCs w:val="22"/>
        </w:rPr>
        <w:t>Lanto</w:t>
      </w:r>
      <w:proofErr w:type="spellEnd"/>
      <w:r w:rsidRPr="00C31035">
        <w:rPr>
          <w:rFonts w:ascii="Arial" w:hAnsi="Arial" w:cs="Arial"/>
          <w:sz w:val="22"/>
          <w:szCs w:val="22"/>
        </w:rPr>
        <w:t xml:space="preserve"> Dg </w:t>
      </w:r>
      <w:proofErr w:type="spellStart"/>
      <w:r w:rsidRPr="00C31035">
        <w:rPr>
          <w:rFonts w:ascii="Arial" w:hAnsi="Arial" w:cs="Arial"/>
          <w:sz w:val="22"/>
          <w:szCs w:val="22"/>
        </w:rPr>
        <w:t>Pasewang</w:t>
      </w:r>
      <w:proofErr w:type="spellEnd"/>
      <w:r w:rsidRPr="00C31035">
        <w:rPr>
          <w:rFonts w:ascii="Arial" w:hAnsi="Arial" w:cs="Arial"/>
          <w:sz w:val="22"/>
          <w:szCs w:val="22"/>
        </w:rPr>
        <w:t xml:space="preserve"> Hospital. Patients do not need to register themselves, because they will be registered directly by officers if they are found to have nutritional problems. The service process is carried out individually, starting with anamnesis, anthropometric measurements (weight and height), and evaluation of food consumption using the 24-hour food recall method. Based on the results of the evaluation, each child is given a personalized meal plan or meal schedule that is adjusted to their age needs using the 3U3S approach (3 main meals and 3 snacks).</w:t>
      </w:r>
    </w:p>
    <w:p w14:paraId="2467DE19" w14:textId="77777777" w:rsidR="0026078A" w:rsidRPr="00C31035" w:rsidRDefault="0026078A" w:rsidP="007F6DFC">
      <w:pPr>
        <w:pStyle w:val="Body"/>
        <w:spacing w:after="0"/>
        <w:ind w:firstLine="720"/>
        <w:rPr>
          <w:rFonts w:ascii="Arial" w:hAnsi="Arial" w:cs="Arial"/>
          <w:sz w:val="22"/>
          <w:szCs w:val="22"/>
        </w:rPr>
      </w:pPr>
      <w:r w:rsidRPr="00C31035">
        <w:rPr>
          <w:rFonts w:ascii="Arial" w:hAnsi="Arial" w:cs="Arial"/>
          <w:sz w:val="22"/>
          <w:szCs w:val="22"/>
        </w:rPr>
        <w:t xml:space="preserve">The method used in this program is a combination of ongoing nutrition education, direct training, and individual mentoring. Education is delivered with a simple approach so that it is easy for participating mothers to understand, with a focus on the importance of breast milk, complementary feeding, and fulfilling balanced nutrition through </w:t>
      </w:r>
      <w:proofErr w:type="spellStart"/>
      <w:r w:rsidRPr="00C31035">
        <w:rPr>
          <w:rFonts w:ascii="Arial" w:hAnsi="Arial" w:cs="Arial"/>
          <w:sz w:val="22"/>
          <w:szCs w:val="22"/>
        </w:rPr>
        <w:t>ebreast</w:t>
      </w:r>
      <w:proofErr w:type="spellEnd"/>
      <w:r w:rsidRPr="00C31035">
        <w:rPr>
          <w:rFonts w:ascii="Arial" w:hAnsi="Arial" w:cs="Arial"/>
          <w:sz w:val="22"/>
          <w:szCs w:val="22"/>
        </w:rPr>
        <w:t xml:space="preserve"> </w:t>
      </w:r>
      <w:proofErr w:type="spellStart"/>
      <w:r w:rsidRPr="00C31035">
        <w:rPr>
          <w:rFonts w:ascii="Arial" w:hAnsi="Arial" w:cs="Arial"/>
          <w:sz w:val="22"/>
          <w:szCs w:val="22"/>
        </w:rPr>
        <w:t>milkly</w:t>
      </w:r>
      <w:proofErr w:type="spellEnd"/>
      <w:r w:rsidRPr="00C31035">
        <w:rPr>
          <w:rFonts w:ascii="Arial" w:hAnsi="Arial" w:cs="Arial"/>
          <w:sz w:val="22"/>
          <w:szCs w:val="22"/>
        </w:rPr>
        <w:t xml:space="preserve"> accessible local foods. The program also provides physical support in the form of eggs and nutritional formula, as part of an effort to increase children's nutritional intake (Figure 1).</w:t>
      </w:r>
    </w:p>
    <w:p w14:paraId="3FC02958" w14:textId="77777777" w:rsidR="0026078A" w:rsidRPr="00C31035" w:rsidRDefault="0026078A" w:rsidP="007F6DFC">
      <w:pPr>
        <w:pStyle w:val="Body"/>
        <w:spacing w:after="0"/>
        <w:ind w:firstLine="720"/>
        <w:rPr>
          <w:rFonts w:ascii="Arial" w:hAnsi="Arial" w:cs="Arial"/>
          <w:sz w:val="22"/>
          <w:szCs w:val="22"/>
        </w:rPr>
      </w:pPr>
      <w:r w:rsidRPr="00C31035">
        <w:rPr>
          <w:rFonts w:ascii="Arial" w:hAnsi="Arial" w:cs="Arial"/>
          <w:sz w:val="22"/>
          <w:szCs w:val="22"/>
        </w:rPr>
        <w:t>Evaluation is conducted periodically through re-monitoring of food recall, weight (BB), and height (TB) of children at each visit. The evaluation results show that this approach encourages significant changes in children's eating patterns and improves their nutritional status gradually. In addition, the success of the program is strengthened by the active participation of health workers and cadres, as well as cross-sector collaboration, especially with the Health Office and community organizations such as PKK.</w:t>
      </w:r>
    </w:p>
    <w:p w14:paraId="10036A08" w14:textId="49FEDAA7" w:rsidR="00790ADA" w:rsidRPr="00C31035" w:rsidRDefault="0026078A" w:rsidP="007F6DFC">
      <w:pPr>
        <w:pStyle w:val="Body"/>
        <w:spacing w:after="0"/>
        <w:ind w:firstLine="720"/>
        <w:rPr>
          <w:rFonts w:ascii="Arial" w:hAnsi="Arial" w:cs="Arial"/>
          <w:sz w:val="22"/>
          <w:szCs w:val="22"/>
        </w:rPr>
      </w:pPr>
      <w:r w:rsidRPr="00C31035">
        <w:rPr>
          <w:rFonts w:ascii="Arial" w:hAnsi="Arial" w:cs="Arial"/>
          <w:sz w:val="22"/>
          <w:szCs w:val="22"/>
        </w:rPr>
        <w:t>The 3U3S method has proven to be an educational tool that is easy to deliver, easy to remember, and easy to practice, making it very effective in communities with varying levels of literacy. This makes the CES-GAMMARA Program an innovative model in community-based nutrition education and stunting and wasting prevention interventions.</w:t>
      </w:r>
    </w:p>
    <w:p w14:paraId="06A9015D" w14:textId="77777777" w:rsidR="0026078A" w:rsidRPr="00C31035" w:rsidRDefault="0026078A" w:rsidP="007F6DFC">
      <w:pPr>
        <w:pStyle w:val="Body"/>
        <w:spacing w:after="0"/>
        <w:rPr>
          <w:rFonts w:ascii="Arial" w:hAnsi="Arial" w:cs="Arial"/>
          <w:sz w:val="22"/>
          <w:szCs w:val="22"/>
        </w:rPr>
      </w:pPr>
    </w:p>
    <w:p w14:paraId="6E07727F" w14:textId="77777777" w:rsidR="00902823" w:rsidRPr="00C31035" w:rsidRDefault="00000F8F" w:rsidP="007F6DFC">
      <w:pPr>
        <w:pStyle w:val="Head1"/>
        <w:spacing w:after="0"/>
        <w:jc w:val="both"/>
        <w:rPr>
          <w:rFonts w:ascii="Arial" w:hAnsi="Arial" w:cs="Arial"/>
          <w:szCs w:val="22"/>
        </w:rPr>
      </w:pPr>
      <w:r w:rsidRPr="00C31035">
        <w:rPr>
          <w:rFonts w:ascii="Arial" w:hAnsi="Arial" w:cs="Arial"/>
          <w:szCs w:val="22"/>
        </w:rPr>
        <w:t>3</w:t>
      </w:r>
      <w:r w:rsidR="00902823" w:rsidRPr="00C31035">
        <w:rPr>
          <w:rFonts w:ascii="Arial" w:hAnsi="Arial" w:cs="Arial"/>
          <w:szCs w:val="22"/>
        </w:rPr>
        <w:t xml:space="preserve">. </w:t>
      </w:r>
      <w:r w:rsidRPr="00C31035">
        <w:rPr>
          <w:rFonts w:ascii="Arial" w:hAnsi="Arial" w:cs="Arial"/>
          <w:szCs w:val="22"/>
        </w:rPr>
        <w:t>results and discussion</w:t>
      </w:r>
    </w:p>
    <w:p w14:paraId="05A1F7CE" w14:textId="4695D583" w:rsidR="0026078A" w:rsidRPr="00C31035" w:rsidRDefault="0026078A" w:rsidP="007F6DFC">
      <w:pPr>
        <w:ind w:firstLine="720"/>
        <w:jc w:val="both"/>
        <w:rPr>
          <w:rFonts w:ascii="Arial" w:hAnsi="Arial" w:cs="Arial"/>
          <w:sz w:val="22"/>
          <w:szCs w:val="22"/>
        </w:rPr>
      </w:pPr>
      <w:r w:rsidRPr="00C31035">
        <w:rPr>
          <w:rFonts w:ascii="Arial" w:hAnsi="Arial" w:cs="Arial"/>
          <w:sz w:val="22"/>
          <w:szCs w:val="22"/>
        </w:rPr>
        <w:t xml:space="preserve">The implementation of the CES-GAMMARA Program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 has shown significant results in efforts to prevent stunting and wasting in toddlers through a nutritional education approach with the 3U3S method (3 Utama, 3 </w:t>
      </w:r>
      <w:proofErr w:type="spellStart"/>
      <w:r w:rsidRPr="00C31035">
        <w:rPr>
          <w:rFonts w:ascii="Arial" w:hAnsi="Arial" w:cs="Arial"/>
          <w:sz w:val="22"/>
          <w:szCs w:val="22"/>
        </w:rPr>
        <w:t>Selingan</w:t>
      </w:r>
      <w:proofErr w:type="spellEnd"/>
      <w:r w:rsidRPr="00C31035">
        <w:rPr>
          <w:rFonts w:ascii="Arial" w:hAnsi="Arial" w:cs="Arial"/>
          <w:sz w:val="22"/>
          <w:szCs w:val="22"/>
        </w:rPr>
        <w:t xml:space="preserve">). This program has served 126 toddlers since its launch in 2023. Of that number, 14 toddlers were declared cured, 62 children experienced improvements in nutritional status, 3 children have not shown any </w:t>
      </w:r>
      <w:r w:rsidR="00770B92">
        <w:rPr>
          <w:rFonts w:ascii="Arial" w:hAnsi="Arial" w:cs="Arial"/>
          <w:sz w:val="22"/>
          <w:szCs w:val="22"/>
        </w:rPr>
        <w:t>progress</w:t>
      </w:r>
      <w:r w:rsidRPr="00C31035">
        <w:rPr>
          <w:rFonts w:ascii="Arial" w:hAnsi="Arial" w:cs="Arial"/>
          <w:sz w:val="22"/>
          <w:szCs w:val="22"/>
        </w:rPr>
        <w:t xml:space="preserve">, and 47 children were declared lost control. </w:t>
      </w:r>
      <w:r w:rsidR="00770B92" w:rsidRPr="00770B92">
        <w:rPr>
          <w:rFonts w:ascii="Arial" w:hAnsi="Arial" w:cs="Arial"/>
          <w:sz w:val="22"/>
          <w:szCs w:val="22"/>
          <w:highlight w:val="yellow"/>
        </w:rPr>
        <w:t>In this study, anemia was not examined; however, the results still reflect the success of a simple nutritional education approach, personalized meal schedules, and ongoing support as effective methods for</w:t>
      </w:r>
      <w:r w:rsidRPr="00770B92">
        <w:rPr>
          <w:rFonts w:ascii="Arial" w:hAnsi="Arial" w:cs="Arial"/>
          <w:sz w:val="22"/>
          <w:szCs w:val="22"/>
          <w:highlight w:val="yellow"/>
        </w:rPr>
        <w:t xml:space="preserve"> improving </w:t>
      </w:r>
      <w:r w:rsidR="00770B92" w:rsidRPr="00770B92">
        <w:rPr>
          <w:rFonts w:ascii="Arial" w:hAnsi="Arial" w:cs="Arial"/>
          <w:sz w:val="22"/>
          <w:szCs w:val="22"/>
          <w:highlight w:val="yellow"/>
        </w:rPr>
        <w:t>children’s</w:t>
      </w:r>
      <w:r w:rsidRPr="00770B92">
        <w:rPr>
          <w:rFonts w:ascii="Arial" w:hAnsi="Arial" w:cs="Arial"/>
          <w:sz w:val="22"/>
          <w:szCs w:val="22"/>
          <w:highlight w:val="yellow"/>
        </w:rPr>
        <w:t xml:space="preserve"> nutritional status.</w:t>
      </w:r>
    </w:p>
    <w:p w14:paraId="39BD0C22" w14:textId="413B5057" w:rsidR="0026078A" w:rsidRPr="00C31035" w:rsidRDefault="0026078A" w:rsidP="007F6DFC">
      <w:pPr>
        <w:ind w:firstLine="720"/>
        <w:jc w:val="both"/>
        <w:rPr>
          <w:rFonts w:ascii="Arial" w:hAnsi="Arial" w:cs="Arial"/>
          <w:sz w:val="22"/>
          <w:szCs w:val="22"/>
        </w:rPr>
      </w:pPr>
      <w:r w:rsidRPr="00C31035">
        <w:rPr>
          <w:rFonts w:ascii="Arial" w:hAnsi="Arial" w:cs="Arial"/>
          <w:sz w:val="22"/>
          <w:szCs w:val="22"/>
        </w:rPr>
        <w:lastRenderedPageBreak/>
        <w:t xml:space="preserve">The 3U3S method introduced in this program has succeeded in facilitating the delivery of information to mothers of toddlers and caregivers. Education is delivered individually at the Nutrition Clinic of </w:t>
      </w:r>
      <w:proofErr w:type="spellStart"/>
      <w:r w:rsidRPr="00C31035">
        <w:rPr>
          <w:rFonts w:ascii="Arial" w:hAnsi="Arial" w:cs="Arial"/>
          <w:sz w:val="22"/>
          <w:szCs w:val="22"/>
        </w:rPr>
        <w:t>Lanto</w:t>
      </w:r>
      <w:proofErr w:type="spellEnd"/>
      <w:r w:rsidRPr="00C31035">
        <w:rPr>
          <w:rFonts w:ascii="Arial" w:hAnsi="Arial" w:cs="Arial"/>
          <w:sz w:val="22"/>
          <w:szCs w:val="22"/>
        </w:rPr>
        <w:t xml:space="preserve"> Dg </w:t>
      </w:r>
      <w:proofErr w:type="spellStart"/>
      <w:r w:rsidRPr="00C31035">
        <w:rPr>
          <w:rFonts w:ascii="Arial" w:hAnsi="Arial" w:cs="Arial"/>
          <w:sz w:val="22"/>
          <w:szCs w:val="22"/>
        </w:rPr>
        <w:t>Pasewang</w:t>
      </w:r>
      <w:proofErr w:type="spellEnd"/>
      <w:r w:rsidRPr="00C31035">
        <w:rPr>
          <w:rFonts w:ascii="Arial" w:hAnsi="Arial" w:cs="Arial"/>
          <w:sz w:val="22"/>
          <w:szCs w:val="22"/>
        </w:rPr>
        <w:t xml:space="preserve"> Hospital, with steps including: anamnesis, anthropometric measurements, 24-hour food recall, preparation of meal plans according to the child's age, and provision of practical and easy-to-follow nutritional education. Patients go home with a meal plan, nutritional formula, and eggs as part of daily intake support.</w:t>
      </w:r>
    </w:p>
    <w:p w14:paraId="24874068" w14:textId="77777777" w:rsidR="0026078A" w:rsidRPr="00C31035" w:rsidRDefault="0026078A" w:rsidP="0026078A">
      <w:pPr>
        <w:jc w:val="center"/>
        <w:rPr>
          <w:rFonts w:ascii="Arial" w:hAnsi="Arial" w:cs="Arial"/>
          <w:b/>
          <w:bCs/>
          <w:sz w:val="22"/>
          <w:szCs w:val="22"/>
        </w:rPr>
      </w:pPr>
      <w:r w:rsidRPr="00C31035">
        <w:rPr>
          <w:rFonts w:ascii="Arial" w:hAnsi="Arial" w:cs="Arial"/>
          <w:noProof/>
          <w:sz w:val="22"/>
          <w:szCs w:val="22"/>
        </w:rPr>
        <w:drawing>
          <wp:inline distT="0" distB="0" distL="0" distR="0" wp14:anchorId="6F6BD5FD" wp14:editId="234B59AD">
            <wp:extent cx="2198318" cy="2790908"/>
            <wp:effectExtent l="0" t="0" r="0" b="0"/>
            <wp:docPr id="145078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81345" name=""/>
                    <pic:cNvPicPr/>
                  </pic:nvPicPr>
                  <pic:blipFill>
                    <a:blip r:embed="rId11"/>
                    <a:stretch>
                      <a:fillRect/>
                    </a:stretch>
                  </pic:blipFill>
                  <pic:spPr>
                    <a:xfrm>
                      <a:off x="0" y="0"/>
                      <a:ext cx="2206376" cy="2801138"/>
                    </a:xfrm>
                    <a:prstGeom prst="rect">
                      <a:avLst/>
                    </a:prstGeom>
                  </pic:spPr>
                </pic:pic>
              </a:graphicData>
            </a:graphic>
          </wp:inline>
        </w:drawing>
      </w:r>
    </w:p>
    <w:p w14:paraId="73BE9744" w14:textId="77777777" w:rsidR="0026078A" w:rsidRDefault="0026078A" w:rsidP="0026078A">
      <w:pPr>
        <w:jc w:val="center"/>
        <w:rPr>
          <w:rFonts w:ascii="Arial" w:hAnsi="Arial" w:cs="Arial"/>
          <w:sz w:val="22"/>
          <w:szCs w:val="22"/>
        </w:rPr>
      </w:pPr>
      <w:r w:rsidRPr="00C31035">
        <w:rPr>
          <w:rFonts w:ascii="Arial" w:hAnsi="Arial" w:cs="Arial"/>
          <w:b/>
          <w:bCs/>
          <w:sz w:val="22"/>
          <w:szCs w:val="22"/>
        </w:rPr>
        <w:t>Figure 1. CESS-GAMMARA implementation process.</w:t>
      </w:r>
      <w:r w:rsidRPr="00C31035">
        <w:rPr>
          <w:rFonts w:ascii="Arial" w:hAnsi="Arial" w:cs="Arial"/>
          <w:b/>
          <w:bCs/>
          <w:sz w:val="22"/>
          <w:szCs w:val="22"/>
        </w:rPr>
        <w:br/>
      </w:r>
      <w:r w:rsidRPr="00C31035">
        <w:rPr>
          <w:rFonts w:ascii="Arial" w:hAnsi="Arial" w:cs="Arial"/>
          <w:sz w:val="22"/>
          <w:szCs w:val="22"/>
        </w:rPr>
        <w:t>(a) Registration and data collection; (b) initial assessment; (c) education and demonstration of sustainable nutrition programs; (d) physical assistance with nutritious food; (e) periodic monitoring and further evaluation.</w:t>
      </w:r>
    </w:p>
    <w:p w14:paraId="337FFA2B" w14:textId="77777777" w:rsidR="001341E4" w:rsidRPr="00C31035" w:rsidRDefault="001341E4" w:rsidP="0026078A">
      <w:pPr>
        <w:jc w:val="center"/>
        <w:rPr>
          <w:rFonts w:ascii="Arial" w:hAnsi="Arial" w:cs="Arial"/>
          <w:b/>
          <w:bCs/>
          <w:sz w:val="22"/>
          <w:szCs w:val="22"/>
        </w:rPr>
      </w:pPr>
    </w:p>
    <w:p w14:paraId="21716553" w14:textId="0F99315F" w:rsidR="0026078A" w:rsidRPr="00C31035" w:rsidRDefault="00770B92" w:rsidP="0026078A">
      <w:pPr>
        <w:ind w:firstLine="720"/>
        <w:jc w:val="both"/>
        <w:rPr>
          <w:rFonts w:ascii="Arial" w:hAnsi="Arial" w:cs="Arial"/>
          <w:sz w:val="22"/>
          <w:szCs w:val="22"/>
        </w:rPr>
      </w:pPr>
      <w:r w:rsidRPr="00770B92">
        <w:rPr>
          <w:rFonts w:ascii="Arial" w:hAnsi="Arial" w:cs="Arial"/>
          <w:sz w:val="22"/>
          <w:szCs w:val="22"/>
          <w:highlight w:val="yellow"/>
        </w:rPr>
        <w:t>The children’s body weight was ranging from 7 to 8.4 in the baseline data then increased to 11 to 12.7 after 3 months follow up.</w:t>
      </w:r>
      <w:r>
        <w:rPr>
          <w:rFonts w:ascii="Arial" w:hAnsi="Arial" w:cs="Arial"/>
          <w:sz w:val="22"/>
          <w:szCs w:val="22"/>
        </w:rPr>
        <w:t xml:space="preserve"> </w:t>
      </w:r>
      <w:r w:rsidR="0026078A" w:rsidRPr="00C31035">
        <w:rPr>
          <w:rFonts w:ascii="Arial" w:hAnsi="Arial" w:cs="Arial"/>
          <w:sz w:val="22"/>
          <w:szCs w:val="22"/>
        </w:rPr>
        <w:t>Statistically, the results of the correlation test showed a significant relationship between compliance in following nutrition education and increased food intake (coefficient value r = 0.452; p = &lt;0.001). Increased food intake based on food recall was also significantly related to increased body weight (r = 0.448; p = &lt;0.001) and height (r = 0.277; p &lt;0.001). This shows that the success of nutrition intervention is not only determined by the education itself, but also by the active involvement of participants in practicing the knowledge gained in everyday life (Table 1).</w:t>
      </w:r>
    </w:p>
    <w:p w14:paraId="1648EFC1" w14:textId="7D86AAD1" w:rsidR="00584B66" w:rsidRDefault="00584B66">
      <w:pPr>
        <w:rPr>
          <w:rFonts w:ascii="Arial" w:hAnsi="Arial" w:cs="Arial"/>
          <w:sz w:val="22"/>
          <w:szCs w:val="22"/>
        </w:rPr>
      </w:pPr>
      <w:r>
        <w:rPr>
          <w:rFonts w:ascii="Arial" w:hAnsi="Arial" w:cs="Arial"/>
          <w:sz w:val="22"/>
          <w:szCs w:val="22"/>
        </w:rPr>
        <w:br w:type="page"/>
      </w:r>
    </w:p>
    <w:p w14:paraId="07228759" w14:textId="77777777" w:rsidR="0026078A" w:rsidRPr="00C31035" w:rsidRDefault="0026078A" w:rsidP="0026078A">
      <w:pPr>
        <w:jc w:val="center"/>
        <w:rPr>
          <w:rFonts w:ascii="Arial" w:hAnsi="Arial" w:cs="Arial"/>
          <w:sz w:val="22"/>
          <w:szCs w:val="22"/>
        </w:rPr>
      </w:pPr>
      <w:r w:rsidRPr="00C31035">
        <w:rPr>
          <w:rFonts w:ascii="Arial" w:hAnsi="Arial" w:cs="Arial"/>
          <w:sz w:val="22"/>
          <w:szCs w:val="22"/>
        </w:rPr>
        <w:lastRenderedPageBreak/>
        <w:t>Table 1. Correlation between nutritional variables and the success of the CES-GAMMARA program</w:t>
      </w:r>
    </w:p>
    <w:tbl>
      <w:tblPr>
        <w:tblStyle w:val="TableGrid"/>
        <w:tblW w:w="0" w:type="auto"/>
        <w:tblLook w:val="0420" w:firstRow="1" w:lastRow="0" w:firstColumn="0" w:lastColumn="0" w:noHBand="0" w:noVBand="1"/>
      </w:tblPr>
      <w:tblGrid>
        <w:gridCol w:w="546"/>
        <w:gridCol w:w="4258"/>
        <w:gridCol w:w="2318"/>
        <w:gridCol w:w="1302"/>
      </w:tblGrid>
      <w:tr w:rsidR="0026078A" w:rsidRPr="00C31035" w14:paraId="6531D3C6" w14:textId="77777777" w:rsidTr="00AF2BB6">
        <w:trPr>
          <w:trHeight w:val="20"/>
        </w:trPr>
        <w:tc>
          <w:tcPr>
            <w:tcW w:w="0" w:type="auto"/>
            <w:hideMark/>
          </w:tcPr>
          <w:p w14:paraId="52AF18B4" w14:textId="77777777" w:rsidR="0026078A" w:rsidRPr="00C31035" w:rsidRDefault="0026078A" w:rsidP="0026078A">
            <w:pPr>
              <w:jc w:val="both"/>
              <w:rPr>
                <w:rFonts w:ascii="Arial" w:eastAsia="Times New Roman" w:hAnsi="Arial" w:cs="Arial"/>
                <w:b/>
                <w:bCs/>
              </w:rPr>
            </w:pPr>
            <w:r w:rsidRPr="00C31035">
              <w:rPr>
                <w:rFonts w:ascii="Arial" w:eastAsia="Times New Roman" w:hAnsi="Arial" w:cs="Arial"/>
                <w:b/>
                <w:bCs/>
              </w:rPr>
              <w:t>NO</w:t>
            </w:r>
          </w:p>
          <w:p w14:paraId="22539426" w14:textId="77777777" w:rsidR="0026078A" w:rsidRPr="00C31035" w:rsidRDefault="0026078A" w:rsidP="0026078A">
            <w:pPr>
              <w:ind w:firstLine="720"/>
              <w:jc w:val="both"/>
              <w:rPr>
                <w:rFonts w:ascii="Arial" w:eastAsia="Times New Roman" w:hAnsi="Arial" w:cs="Arial"/>
              </w:rPr>
            </w:pPr>
          </w:p>
        </w:tc>
        <w:tc>
          <w:tcPr>
            <w:tcW w:w="4714" w:type="dxa"/>
            <w:hideMark/>
          </w:tcPr>
          <w:p w14:paraId="7B6738B6" w14:textId="77777777" w:rsidR="0026078A" w:rsidRPr="00C31035" w:rsidRDefault="0026078A" w:rsidP="0026078A">
            <w:pPr>
              <w:ind w:firstLine="720"/>
              <w:jc w:val="both"/>
              <w:rPr>
                <w:rFonts w:ascii="Arial" w:eastAsia="Times New Roman" w:hAnsi="Arial" w:cs="Arial"/>
              </w:rPr>
            </w:pPr>
            <w:r w:rsidRPr="00C31035">
              <w:rPr>
                <w:rFonts w:ascii="Arial" w:eastAsia="Times New Roman" w:hAnsi="Arial" w:cs="Arial"/>
                <w:b/>
                <w:bCs/>
              </w:rPr>
              <w:t>RELATIONSHIP BETWEEN VARIABLES</w:t>
            </w:r>
          </w:p>
        </w:tc>
        <w:tc>
          <w:tcPr>
            <w:tcW w:w="2410" w:type="dxa"/>
            <w:hideMark/>
          </w:tcPr>
          <w:p w14:paraId="41F7A630" w14:textId="77777777" w:rsidR="0026078A" w:rsidRPr="00C31035" w:rsidRDefault="0026078A" w:rsidP="0026078A">
            <w:pPr>
              <w:jc w:val="both"/>
              <w:rPr>
                <w:rFonts w:ascii="Arial" w:eastAsia="Times New Roman" w:hAnsi="Arial" w:cs="Arial"/>
              </w:rPr>
            </w:pPr>
            <w:r w:rsidRPr="00C31035">
              <w:rPr>
                <w:rFonts w:ascii="Arial" w:eastAsia="Times New Roman" w:hAnsi="Arial" w:cs="Arial"/>
                <w:b/>
                <w:bCs/>
              </w:rPr>
              <w:t>CORRELATION COEFFICIENT</w:t>
            </w:r>
          </w:p>
        </w:tc>
        <w:tc>
          <w:tcPr>
            <w:tcW w:w="1366" w:type="dxa"/>
            <w:hideMark/>
          </w:tcPr>
          <w:p w14:paraId="54AF53E1"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b/>
                <w:bCs/>
              </w:rPr>
              <w:t>p VALUE</w:t>
            </w:r>
          </w:p>
        </w:tc>
      </w:tr>
      <w:tr w:rsidR="0026078A" w:rsidRPr="00C31035" w14:paraId="418C44EE" w14:textId="77777777" w:rsidTr="00AF2BB6">
        <w:trPr>
          <w:trHeight w:val="20"/>
        </w:trPr>
        <w:tc>
          <w:tcPr>
            <w:tcW w:w="0" w:type="auto"/>
            <w:hideMark/>
          </w:tcPr>
          <w:p w14:paraId="4396487E"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1</w:t>
            </w:r>
          </w:p>
        </w:tc>
        <w:tc>
          <w:tcPr>
            <w:tcW w:w="4714" w:type="dxa"/>
            <w:hideMark/>
          </w:tcPr>
          <w:p w14:paraId="7767E362"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The relationship between control compliance (receiving nutritional education) and increased intake (food recall)</w:t>
            </w:r>
          </w:p>
        </w:tc>
        <w:tc>
          <w:tcPr>
            <w:tcW w:w="2410" w:type="dxa"/>
            <w:hideMark/>
          </w:tcPr>
          <w:p w14:paraId="678B3018"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0.452</w:t>
            </w:r>
          </w:p>
        </w:tc>
        <w:tc>
          <w:tcPr>
            <w:tcW w:w="1366" w:type="dxa"/>
            <w:hideMark/>
          </w:tcPr>
          <w:p w14:paraId="61C0EE8B"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&lt;0.001</w:t>
            </w:r>
          </w:p>
        </w:tc>
      </w:tr>
      <w:tr w:rsidR="0026078A" w:rsidRPr="00C31035" w14:paraId="050350CC" w14:textId="77777777" w:rsidTr="00AF2BB6">
        <w:trPr>
          <w:trHeight w:val="20"/>
        </w:trPr>
        <w:tc>
          <w:tcPr>
            <w:tcW w:w="0" w:type="auto"/>
            <w:hideMark/>
          </w:tcPr>
          <w:p w14:paraId="3D3D30A8"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2</w:t>
            </w:r>
          </w:p>
        </w:tc>
        <w:tc>
          <w:tcPr>
            <w:tcW w:w="4714" w:type="dxa"/>
            <w:hideMark/>
          </w:tcPr>
          <w:p w14:paraId="6F8080D5"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The relationship between increased food recall and increased body weight</w:t>
            </w:r>
          </w:p>
        </w:tc>
        <w:tc>
          <w:tcPr>
            <w:tcW w:w="2410" w:type="dxa"/>
            <w:hideMark/>
          </w:tcPr>
          <w:p w14:paraId="2FDB697C"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0.448</w:t>
            </w:r>
          </w:p>
        </w:tc>
        <w:tc>
          <w:tcPr>
            <w:tcW w:w="1366" w:type="dxa"/>
            <w:hideMark/>
          </w:tcPr>
          <w:p w14:paraId="0F6A8880"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&lt;0.001</w:t>
            </w:r>
          </w:p>
        </w:tc>
      </w:tr>
      <w:tr w:rsidR="0026078A" w:rsidRPr="00C31035" w14:paraId="6A03B1CE" w14:textId="77777777" w:rsidTr="00AF2BB6">
        <w:trPr>
          <w:trHeight w:val="20"/>
        </w:trPr>
        <w:tc>
          <w:tcPr>
            <w:tcW w:w="0" w:type="auto"/>
            <w:hideMark/>
          </w:tcPr>
          <w:p w14:paraId="6B3F61B9"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3</w:t>
            </w:r>
          </w:p>
        </w:tc>
        <w:tc>
          <w:tcPr>
            <w:tcW w:w="4714" w:type="dxa"/>
            <w:hideMark/>
          </w:tcPr>
          <w:p w14:paraId="7994D836" w14:textId="77777777" w:rsidR="0026078A" w:rsidRPr="00C31035" w:rsidRDefault="0026078A" w:rsidP="0026078A">
            <w:pPr>
              <w:jc w:val="both"/>
              <w:rPr>
                <w:rFonts w:ascii="Arial" w:eastAsia="Times New Roman" w:hAnsi="Arial" w:cs="Arial"/>
              </w:rPr>
            </w:pPr>
            <w:r w:rsidRPr="00C31035">
              <w:rPr>
                <w:rFonts w:ascii="Arial" w:eastAsia="Times New Roman" w:hAnsi="Arial" w:cs="Arial"/>
              </w:rPr>
              <w:t>The relationship between increased food recall and increased height</w:t>
            </w:r>
          </w:p>
        </w:tc>
        <w:tc>
          <w:tcPr>
            <w:tcW w:w="2410" w:type="dxa"/>
            <w:hideMark/>
          </w:tcPr>
          <w:p w14:paraId="5E377FEF"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0.277</w:t>
            </w:r>
          </w:p>
        </w:tc>
        <w:tc>
          <w:tcPr>
            <w:tcW w:w="1366" w:type="dxa"/>
            <w:hideMark/>
          </w:tcPr>
          <w:p w14:paraId="1233D875" w14:textId="77777777" w:rsidR="0026078A" w:rsidRPr="00C31035" w:rsidRDefault="0026078A" w:rsidP="0026078A">
            <w:pPr>
              <w:jc w:val="center"/>
              <w:rPr>
                <w:rFonts w:ascii="Arial" w:eastAsia="Times New Roman" w:hAnsi="Arial" w:cs="Arial"/>
              </w:rPr>
            </w:pPr>
            <w:r w:rsidRPr="00C31035">
              <w:rPr>
                <w:rFonts w:ascii="Arial" w:eastAsia="Times New Roman" w:hAnsi="Arial" w:cs="Arial"/>
              </w:rPr>
              <w:t>&lt;0.001</w:t>
            </w:r>
          </w:p>
        </w:tc>
      </w:tr>
    </w:tbl>
    <w:p w14:paraId="2AC9199C" w14:textId="77777777" w:rsidR="0026078A" w:rsidRPr="00C31035" w:rsidRDefault="0026078A" w:rsidP="0026078A">
      <w:pPr>
        <w:ind w:firstLine="720"/>
        <w:jc w:val="both"/>
        <w:rPr>
          <w:rFonts w:ascii="Arial" w:hAnsi="Arial" w:cs="Arial"/>
          <w:sz w:val="22"/>
          <w:szCs w:val="22"/>
        </w:rPr>
      </w:pPr>
    </w:p>
    <w:p w14:paraId="7FE82D1E" w14:textId="77777777" w:rsidR="0026078A" w:rsidRPr="00C31035" w:rsidRDefault="0026078A" w:rsidP="0026078A">
      <w:pPr>
        <w:ind w:firstLine="720"/>
        <w:jc w:val="both"/>
        <w:rPr>
          <w:rFonts w:ascii="Arial" w:hAnsi="Arial" w:cs="Arial"/>
          <w:sz w:val="22"/>
          <w:szCs w:val="22"/>
        </w:rPr>
      </w:pPr>
      <w:r w:rsidRPr="00C31035">
        <w:rPr>
          <w:rFonts w:ascii="Arial" w:hAnsi="Arial" w:cs="Arial"/>
          <w:sz w:val="22"/>
          <w:szCs w:val="22"/>
        </w:rPr>
        <w:t>In addition to quantitative results, the program also recorded various positive testimonials from participating mothers. They stated that the 3U3S approach is easy to remember, easy to understand, and easy to practice. Education that is personal and based on the child's individual needs is considered very helpful in improving the family's daily eating patterns. One example of success can be seen in the toddler growth chart, which shows a consistent increase in weight and height during the program.</w:t>
      </w:r>
    </w:p>
    <w:p w14:paraId="0917C1A0" w14:textId="77777777" w:rsidR="0026078A" w:rsidRPr="00C31035" w:rsidRDefault="0026078A" w:rsidP="0026078A">
      <w:pPr>
        <w:ind w:firstLine="720"/>
        <w:jc w:val="both"/>
        <w:rPr>
          <w:rFonts w:ascii="Arial" w:hAnsi="Arial" w:cs="Arial"/>
          <w:sz w:val="22"/>
          <w:szCs w:val="22"/>
        </w:rPr>
      </w:pPr>
      <w:r w:rsidRPr="00C31035">
        <w:rPr>
          <w:rFonts w:ascii="Arial" w:hAnsi="Arial" w:cs="Arial"/>
          <w:sz w:val="22"/>
          <w:szCs w:val="22"/>
        </w:rPr>
        <w:t xml:space="preserve">Support from various parties, including the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District Health Office and PKK cadres, played a major role in the success of this program. Cross-sector collaboration strengthens service coverage and accelerates the dissemination of correct nutritional information to the community. Overall, the results of the implementation of the CES-GAMMARA program show that a simple, easy-to-understand, and structured community-based nutrition education approach can have a significant impact on improving children's nutritional status. This model can be replicated in other areas with similar challenges, as a national strategic effort to reduce stunting and wasting rates.</w:t>
      </w:r>
    </w:p>
    <w:p w14:paraId="261F8057" w14:textId="77777777" w:rsidR="0026078A" w:rsidRDefault="0026078A" w:rsidP="0026078A">
      <w:pPr>
        <w:pStyle w:val="NormalWeb"/>
        <w:spacing w:before="0" w:beforeAutospacing="0" w:after="0" w:afterAutospacing="0"/>
        <w:ind w:firstLine="720"/>
        <w:jc w:val="both"/>
        <w:rPr>
          <w:rFonts w:ascii="Arial" w:hAnsi="Arial" w:cs="Arial"/>
          <w:sz w:val="22"/>
          <w:szCs w:val="22"/>
        </w:rPr>
      </w:pPr>
      <w:r w:rsidRPr="00C31035">
        <w:rPr>
          <w:rFonts w:ascii="Arial" w:hAnsi="Arial" w:cs="Arial"/>
          <w:sz w:val="22"/>
          <w:szCs w:val="22"/>
        </w:rPr>
        <w:t>Stunting is a serious public health problem in Indonesia and other developing countries. This condition describes chronic growth failure in children due to long-term malnutrition, especially during the first 1000 days of life, starting from conception to age two. The impact of stunting is not only seen from the physical side, such as shorter height than the standard for age, but also touches on cognitive aspects, brain development, disease susceptibility, and in the long term, the productivity and quality of a nation's human resources.</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{"citationItems":[{"id":"ITEM-1","itemData":{"DOI":"10.25182/jgp.2023.18.2.117-126","ISSN":"19781059","abstract":"This study aims to determine the relationship between nutrient intake and the incidence of stunting and to determine the dominant factors associated with stunting in children aged 25‒30 months in Gambir and Sawah Besar Districts, Central Jakarta, Indonesia. This research was a quantitative study with a cross-sectional study design. The type of data collected was secondary data from a case control study entitled Differences in Milk Intake and Stunting Incidence in Children Aged 25–30 Months in Central Jakarta in 2019. Data collected included height measurement, questionnaire-based interview, and 24-hour food recall. The percentage of stunting in children aged 25 to 30 months was 29.8%. The factor associated with stunting was iron intake (OR=5.0; 95% CI:1.02–25.25; p&amp;lt;0.05). Stunting was more likely to occur in children with inadequate iron intake than in those with adequate intake. To prevent stunting, iron-rich foods are essential and should be taken in sufficient amounts daily.","author":[{"dropping-particle":"","family":"Ilmani","given":"Dhea Agnia","non-dropping-particle":"","parse-names":false,"suffix":""},{"dropping-particle":"","family":"Fikawati","given":"Sandra","non-dropping-particle":"","parse-names":false,"suffix":""}],"container-title":"Jurnal Gizi dan Pangan","id":"ITEM-1","issue":"2","issued":{"date-parts":[["2023"]]},"page":"117-126","title":"Nutrition Intake as a Risk Factor of Stunting in Children Aged 25–30 Months in Central Jakarta, Indonesia","type":"article-journal","volume":"18"},"uris":["http://www.mendeley.com/documents/?uuid=ca7ee29c-1476-4dd6-8d72-f1c809cb6b77"]},{"id":"ITEM-2","itemData":{"DOI":"10.31004/obsesi.v7i4.4846","abstract":"This study aims to assess the effectiveness of early childhood nutrition health education in reducing stunting prevalence. The research utilized a literature review approach, analyzing various relevant sources. The findings indicate that nutrition health education during early childhood provides significant advantages in addressing stunting. Targeting parents and caregivers, implementing healthy feeding programs, and providing practical training in preparing nutritious food have been successful in improving children's nutritional status and decreasing the risk of stunting. This research offers a comprehensive understanding of the importance of early childhood nutrition health education as a stunting prevention strategy. The results emphasize the need for a holistic and integrated approach that considers social and economic factors to address stunting. Collaborative efforts among stakeholders are crucial in reducing stunting incidence","author":[{"dropping-particle":"","family":"Sukmawati","given":"Ellyzabeth","non-dropping-particle":"","parse-names":false,"suffix":""},{"dropping-particle":"","family":"Marzuki","given":"Kartini","non-dropping-particle":"","parse-names":false,"suffix":""},{"dropping-particle":"","family":"Batubara","given":"Ardiana","non-dropping-particle":"","parse-names":false,"suffix":""},{"dropping-particle":"","family":"Harahap","given":"Nur Afifah","non-dropping-particle":"","parse-names":false,"suffix":""},{"dropping-particle":"","family":"Efendi","given":"Efendi","non-dropping-particle":"","parse-names":false,"suffix":""},{"dropping-particle":"","family":"Weraman","given":"Pius","non-dropping-particle":"","parse-names":false,"suffix":""}],"container-title":"Jurnal Obsesi : Jurnal Pendidikan Anak Usia Dini","id":"ITEM-2","issue":"4","issued":{"date-parts":[["2023"]]},"page":"4002-4012","title":"The Effectiveness of Early Childhood Nutrition Health Education on Reducing the Incidence of Stunting","type":"article-journal","volume":"7"},"uris":["http://www.mendeley.com/documents/?uuid=83d5b227-5522-4f24-8082-52f6a10cddf4"]}],"mendeley":{"formattedCitation":"&lt;sup&gt;3,6&lt;/sup&gt;","plainTextFormattedCitation":"3,6","previouslyFormattedCitation":"&lt;sup&gt;3,6&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3.6</w:t>
      </w:r>
      <w:r w:rsidRPr="00C31035">
        <w:rPr>
          <w:rFonts w:ascii="Arial" w:hAnsi="Arial" w:cs="Arial"/>
          <w:sz w:val="22"/>
          <w:szCs w:val="22"/>
        </w:rPr>
        <w:fldChar w:fldCharType="end"/>
      </w:r>
    </w:p>
    <w:p w14:paraId="29F0539D" w14:textId="74181B43" w:rsidR="00314741" w:rsidRPr="00C31035" w:rsidRDefault="00314741" w:rsidP="0026078A">
      <w:pPr>
        <w:pStyle w:val="NormalWeb"/>
        <w:spacing w:before="0" w:beforeAutospacing="0" w:after="0" w:afterAutospacing="0"/>
        <w:ind w:firstLine="720"/>
        <w:jc w:val="both"/>
        <w:rPr>
          <w:rFonts w:ascii="Arial" w:hAnsi="Arial" w:cs="Arial"/>
          <w:sz w:val="22"/>
          <w:szCs w:val="22"/>
        </w:rPr>
      </w:pPr>
      <w:r w:rsidRPr="00314741">
        <w:rPr>
          <w:rFonts w:ascii="Arial" w:hAnsi="Arial" w:cs="Arial"/>
          <w:sz w:val="22"/>
          <w:szCs w:val="22"/>
          <w:highlight w:val="yellow"/>
        </w:rPr>
        <w:t>To make sure the results can be interpreted within a globally recognized model of malnutrition, the UNICEF Nutrition Framework was used. The model divides malnutrition into three levels of causation: immediate, underlying, and basic. Immediate causes include disease and inadequate diet; underlying causes include food insecurity, poor maternal and child care, and lack of access to health services; dan basic causes include broader social, political, and economic factors.</w:t>
      </w:r>
      <w:r w:rsidRPr="00314741">
        <w:rPr>
          <w:rFonts w:ascii="Arial" w:hAnsi="Arial" w:cs="Arial"/>
          <w:sz w:val="22"/>
          <w:szCs w:val="22"/>
          <w:vertAlign w:val="superscript"/>
        </w:rPr>
        <w:t>7</w:t>
      </w:r>
    </w:p>
    <w:p w14:paraId="218B6013" w14:textId="77777777" w:rsidR="0026078A" w:rsidRPr="00C31035" w:rsidRDefault="0026078A" w:rsidP="0026078A">
      <w:pPr>
        <w:pStyle w:val="NormalWeb"/>
        <w:spacing w:before="0" w:beforeAutospacing="0" w:after="0" w:afterAutospacing="0"/>
        <w:ind w:firstLine="720"/>
        <w:jc w:val="both"/>
        <w:rPr>
          <w:rFonts w:ascii="Arial" w:hAnsi="Arial" w:cs="Arial"/>
          <w:sz w:val="22"/>
          <w:szCs w:val="22"/>
        </w:rPr>
      </w:pPr>
      <w:r w:rsidRPr="00C31035">
        <w:rPr>
          <w:rFonts w:ascii="Arial" w:hAnsi="Arial" w:cs="Arial"/>
          <w:sz w:val="22"/>
          <w:szCs w:val="22"/>
        </w:rPr>
        <w:t xml:space="preserve">The problem of stunting is closely related to the nutritional aspect. Various studies have shown that deficiencies in macronutrients such as energy and protein, and micronutrients such as iron, calcium, vitamin A, vitamin C, and zinc contribute significantly to the incidence of stunting in children. One study in Central Jakarta revealed that children with insufficient iron intake had a five times greater risk of experiencing stunting compared to children with adequate iron intake. Iron is </w:t>
      </w:r>
      <w:r w:rsidRPr="00C31035">
        <w:rPr>
          <w:rFonts w:ascii="Arial" w:hAnsi="Arial" w:cs="Arial"/>
          <w:sz w:val="22"/>
          <w:szCs w:val="22"/>
        </w:rPr>
        <w:lastRenderedPageBreak/>
        <w:t>important not only to support physical growth but also to support endurance and cognitive development. Likewise, calcium and vitamin C play a role in the formation of bones and tissues, and zinc supports the production of growth hormones. Therefore, improving nutrition through the consumption of balanced nutritious foods, especially those derived from animal protein and foods high in micronutrients, is a fundamental element in efforts to prevent stunting. However, stunting is not only a matter of food availability, but also concerns aspects of behavior and parenting in the family. Inappropriate parenting patterns—such as providing complementary feeding too early or too late, providing food that is not appropriate for age, lack of parental understanding of the importance of sanitation and health, and limited access to health services—are important factors that contribute to perpetuating stunting in society.</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{"citationItems":[{"id":"ITEM-1","itemData":{"DOI":"10.26858/tematik.v10i1.62130","ISSN":"2476-9363","abstract":"Stunting in early childhood is a global concern because of its long-term impact on children's growth and development. This study aims to evaluate the relationship between health education interventions and changes in parental knowledge and attitudes in dealing with stunting in early childhood. The research method used is an intervention study with a quasi-experimental design. The sample for this study consisted of parents of early childhood children who were selected using convenience sampling. The health education intervention was carried out through workshops, providing materials, and discussion sessions for two months. Data collection was carried out before the intervention (baseline) and after the intervention using a questionnaire to measure the level of knowledge and attitudes of parents towards stunting. Data analysis was carried out using the paired t-test and Pearson correlation. The results of the study showed a significant increase in parental knowledge and attitudes after the health education intervention with a value of p = 0.001. In addition, there was a significant positive relationship between increased knowledge and changes in parental attitudes in overcoming stunting in early childhood (r = 0.75, p &lt; 0.01). In conclusion, health education interventions are effective in increasing parental knowledge and attitudes and can potentially reduce stunting rates in early childhood.","author":[{"dropping-particle":"","family":"Daryati","given":"Melia Eka","non-dropping-particle":"","parse-names":false,"suffix":""},{"dropping-particle":"","family":"Hatta","given":"Muhammad","non-dropping-particle":"","parse-names":false,"suffix":""},{"dropping-particle":"","family":"Wembrayarli","given":"Wembrayarli","non-dropping-particle":"","parse-names":false,"suffix":""}],"container-title":"TEMATIK: Jurnal Pemikiran dan Penelitian Pendidikan Anak Usia Dini","id":"ITEM-1","issue":"1","issued":{"date-parts":[["2024"]]},"page":"12","title":"The Relationship between Health Education Interventions and Changes in Parental Knowledge and Attitudes in Overcoming Stunting in Early Childhood","type":"article-journal","volume":"10"},"uris":["http://www.mendeley.com/documents/?uuid=79f0a508-3934-4bce-b3bc-648e9babd1f3"]},{"id":"ITEM-2","itemData":{"author":[{"dropping-particle":"","family":"Rahangmetan","given":"Maria Alda","non-dropping-particle":"","parse-names":false,"suffix":""},{"dropping-particle":"","family":"Yulaikhah","given":"Lily","non-dropping-particle":"","parse-names":false,"suffix":""},{"dropping-particle":"","family":"Astuti","given":"Endah Puji","non-dropping-particle":"","parse-names":false,"suffix":""},{"dropping-particle":"","family":"Rahmawati","given":"Dechoni","non-dropping-particle":"","parse-names":false,"suffix":""}],"container-title":"Malahayati International Journal of Nursing and Health Science","id":"ITEM-2","issue":"7","issued":{"date-parts":[["2024"]]},"page":"787-792","title":"Impact of health education on stunting knowledge among mothers with children aged 1-5 years","type":"article-journal","volume":"07"},"uris":["http://www.mendeley.com/documents/?uuid=279ed37e-4122-48da-8054-854df2b5d075"]},{"id":"ITEM-3","itemData":{"DOI":"10.1371/journal.pone.0295380","ISBN":"1111111111","ISSN":"19326203","PMID":"38709786","abstract":"Background Stunting is associated with adverse outcomes in adulthood. This article specifically aims to analyse the relationship between childhood stunting and education as well as cognitive outcomes for adults in Indonesia. Methods Pooled data from wave one (1) and two (2) of the Indonesia Family Life Survey (IFLS) in 1993 and 1997 identified a sub-sample of 4,379 children aged 0–5 by their height-for-age (HAZ) to be compared for their differences in educational outcomes and cognitive abilities in 2014. HAZ was used to proxy relative height to determine stunting status based on 2006 WHO child’s growth standards. Education and cognitive abilities outcomes include years of schooling, age of school entry, grade repetition, and scores for cognitive and math tests. The study employs estimation models of pooled regressions and instrumental variable (IV) to address problems of endogeneity and bias from omitted variables. Results Stunting and relatively small stature had significant associations with cognitive development, and they worked as intermediaries to cognitive developmental barriers as manifested in reduced educational outcomes. A lack of one SD in HAZ was associated with 0.6 years shortened length of the school, 3% higher chances of dropouts from secondary school, and 0.10–0.23 SD lowered cognitive and numerical scores. Similarly, stunting is associated with decrease cognitive test scores by 0.56–0.8 SD compared to non-stunting, two years less schooling, and 0.4 years of delayed entry to school. As for cognitive abilities, stunting is associated with lower cognitive and numerical abilities by 0.38–0.82 z-scores. Conclusion Growth retardation during childhood in Indonesia was associated with lower cognitive abilities, particularly during school age, and this correlation faded as individuals grew up. Subsequently, growth retardation is significantly linked to lower educational outcomes. Impaired growth has implications for reduced lifetime earnings potential mediated by diminished cognitive capacity and lower educational attainment. The finding suggests that development in Indonesia during recent decades has not provided an adequate environment to enable children to achieve their potential educational outcomes.","author":[{"dropping-particle":"","family":"Lestari","given":"Esta","non-dropping-particle":"","parse-names":false,"suffix":""},{"dropping-particle":"","family":"Siregar","given":"Adiatma","non-dropping-particle":"","parse-names":false,"suffix":""},{"dropping-particle":"","family":"Hidayat","given":"Achmad K.","non-dropping-particle":"","parse-names":false,"suffix":""},{"dropping-particle":"","family":"Yusuf","given":"Arief A.","non-dropping-particle":"","parse-names":false,"suffix":""}],"container-title":"PLoS ONE","id":"ITEM-3","issue":"5","issued":{"date-parts":[["2024"]]},"page":"1-18","title":"Stunting and its association with education and cognitive outcomes in adulthood: A longitudinal study in Indonesia","type":"article-journal","volume":"19"},"uris":["http://www.mendeley.com/documents/?uuid=fbbd9174-08bb-40c7-af1a-6921a4e8e3c8"]}],"mendeley":{"formattedCitation":"&lt;sup&gt;4,7,8&lt;/sup&gt;","plainTextFormattedCitation":"4,7,8","previouslyFormattedCitation":"&lt;sup&gt;4,7,8&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4,7,8</w:t>
      </w:r>
      <w:r w:rsidRPr="00C31035">
        <w:rPr>
          <w:rFonts w:ascii="Arial" w:hAnsi="Arial" w:cs="Arial"/>
          <w:sz w:val="22"/>
          <w:szCs w:val="22"/>
        </w:rPr>
        <w:fldChar w:fldCharType="end"/>
      </w:r>
      <w:r w:rsidRPr="00C31035">
        <w:rPr>
          <w:rFonts w:ascii="Arial" w:hAnsi="Arial" w:cs="Arial"/>
          <w:sz w:val="22"/>
          <w:szCs w:val="22"/>
        </w:rPr>
        <w:t>The low level of parental education, especially mothers, greatly influences the way they view children's health and nutrition. Many parents still have a misconception, such as considering stunting a hereditary condition or something normal for children from poor families.</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{"citationItems":[{"id":"ITEM-1","itemData":{"DOI":"10.30604/jika.v7is2.1422","ISSN":"2502-4825","abstract":"Stunting prevention in the early years of life has become a worldwide concern in recent times. One of the preventions is to provide optimal interventions such as nutrition interventions. This study is aimed to discuss the nutritional intervention that can be given to prevent stunting. This review according to PRISMA guidelines. This study design was literature review conducted by searching database PubMed, Proquest, EBSCO and scopus from 2016-2021. The library search was developed using the PICO Logic Grid approach and the subject heading search using MeSH. The exclusion criteria in this review were study protocol or articles review. Eight articles were included in this review. The results show nutritional interventions that can be used for stunting prevention are complementary food in the form of supplements or foods containing micronutrients and macronutrients about 4 articles and the other 4 articles that discuss the provision of supplementary feeding assistance programs and nutrition education. the nutritional interventions for stunting prevention such as providing optimal complementary food, that contain micronutrient or macronutrient or both of them and providing nutrition program such as nutrition education or assistance in planting food.","author":[{"dropping-particle":"","family":"Manoppo","given":"Mutiara Wahyuni","non-dropping-particle":"","parse-names":false,"suffix":""},{"dropping-particle":"","family":"Huriah","given":"Titih","non-dropping-particle":"","parse-names":false,"suffix":""}],"container-title":"Jurnal Aisyah : Jurnal Ilmu Kesehatan","id":"ITEM-1","issue":"S2","issued":{"date-parts":[["2022"]]},"page":"147-154","title":"Nutrition intervention to prevent stunting in children aged 6-59 months","type":"article-journal","volume":"7"},"uris":["http://www.mendeley.com/documents/?uuid=689c93b9-78f0-436d-a6b1-b96ed9a22810"]},{"id":"ITEM-2","itemData":{"author":[{"dropping-particle":"","family":"Rezkillah","given":"Albrina Roza","non-dropping-particle":"","parse-names":false,"suffix":""},{"dropping-particle":"","family":"Surjoputro","given":"Anton","non-dropping-particle":"","parse-names":false,"suffix":""},{"dropping-particle":"","family":"Sriatmi","given":"Ayun","non-dropping-particle":"","parse-names":false,"suffix":""}],"container-title":"Jurnal Kesehatan","id":"ITEM-2","issued":{"date-parts":[["2023"]]},"page":"169-181","title":"Stunting Prevention Interventions in Fulfilling Nutrition in Toddlers","type":"article-journal","volume":"3"},"uris":["http://www.mendeley.com/documents/?uuid=cb3043fe-b40c-4656-9364-28987d154d7b"]}],"mendeley":{"formattedCitation":"&lt;sup&gt;9,10&lt;/sup&gt;","plainTextFormattedCitation":"9,10","previouslyFormattedCitation":"&lt;sup&gt;9,10&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9,10</w:t>
      </w:r>
      <w:r w:rsidRPr="00C31035">
        <w:rPr>
          <w:rFonts w:ascii="Arial" w:hAnsi="Arial" w:cs="Arial"/>
          <w:sz w:val="22"/>
          <w:szCs w:val="22"/>
        </w:rPr>
        <w:fldChar w:fldCharType="end"/>
      </w:r>
      <w:r w:rsidRPr="00C31035">
        <w:rPr>
          <w:rFonts w:ascii="Arial" w:hAnsi="Arial" w:cs="Arial"/>
          <w:sz w:val="22"/>
          <w:szCs w:val="22"/>
        </w:rPr>
        <w:tab/>
      </w:r>
    </w:p>
    <w:p w14:paraId="7AF183E7" w14:textId="77777777" w:rsidR="0026078A" w:rsidRPr="00C31035" w:rsidRDefault="0026078A" w:rsidP="0026078A">
      <w:pPr>
        <w:pStyle w:val="NormalWeb"/>
        <w:spacing w:before="0" w:beforeAutospacing="0" w:after="0" w:afterAutospacing="0"/>
        <w:ind w:firstLine="720"/>
        <w:jc w:val="both"/>
        <w:rPr>
          <w:rFonts w:ascii="Arial" w:hAnsi="Arial" w:cs="Arial"/>
          <w:sz w:val="22"/>
          <w:szCs w:val="22"/>
        </w:rPr>
      </w:pPr>
      <w:r w:rsidRPr="00C31035">
        <w:rPr>
          <w:rFonts w:ascii="Arial" w:hAnsi="Arial" w:cs="Arial"/>
          <w:sz w:val="22"/>
          <w:szCs w:val="22"/>
        </w:rPr>
        <w:t xml:space="preserve">Health education is one of the interventions that has proven effective in </w:t>
      </w:r>
      <w:proofErr w:type="spellStart"/>
      <w:r w:rsidRPr="00C31035">
        <w:rPr>
          <w:rFonts w:ascii="Arial" w:hAnsi="Arial" w:cs="Arial"/>
          <w:sz w:val="22"/>
          <w:szCs w:val="22"/>
        </w:rPr>
        <w:t>increbreast</w:t>
      </w:r>
      <w:proofErr w:type="spellEnd"/>
      <w:r w:rsidRPr="00C31035">
        <w:rPr>
          <w:rFonts w:ascii="Arial" w:hAnsi="Arial" w:cs="Arial"/>
          <w:sz w:val="22"/>
          <w:szCs w:val="22"/>
        </w:rPr>
        <w:t xml:space="preserve"> </w:t>
      </w:r>
      <w:proofErr w:type="spellStart"/>
      <w:r w:rsidRPr="00C31035">
        <w:rPr>
          <w:rFonts w:ascii="Arial" w:hAnsi="Arial" w:cs="Arial"/>
          <w:sz w:val="22"/>
          <w:szCs w:val="22"/>
        </w:rPr>
        <w:t>milkng</w:t>
      </w:r>
      <w:proofErr w:type="spellEnd"/>
      <w:r w:rsidRPr="00C31035">
        <w:rPr>
          <w:rFonts w:ascii="Arial" w:hAnsi="Arial" w:cs="Arial"/>
          <w:sz w:val="22"/>
          <w:szCs w:val="22"/>
        </w:rPr>
        <w:t xml:space="preserve"> public awareness and knowledge about stunting. Providing education to young women—who will later become mothers—has been shown to increase their knowledge about the importance of nutrition, personal hygiene, prevention of early marriage, consumption of iron tablets, and a healthy lifestyle. In a study conducted in Islamic boarding schools, the use of educational media such as animated videos and booklets succeeded in </w:t>
      </w:r>
      <w:proofErr w:type="spellStart"/>
      <w:r w:rsidRPr="00C31035">
        <w:rPr>
          <w:rFonts w:ascii="Arial" w:hAnsi="Arial" w:cs="Arial"/>
          <w:sz w:val="22"/>
          <w:szCs w:val="22"/>
        </w:rPr>
        <w:t>increbreast</w:t>
      </w:r>
      <w:proofErr w:type="spellEnd"/>
      <w:r w:rsidRPr="00C31035">
        <w:rPr>
          <w:rFonts w:ascii="Arial" w:hAnsi="Arial" w:cs="Arial"/>
          <w:sz w:val="22"/>
          <w:szCs w:val="22"/>
        </w:rPr>
        <w:t xml:space="preserve"> </w:t>
      </w:r>
      <w:proofErr w:type="spellStart"/>
      <w:r w:rsidRPr="00C31035">
        <w:rPr>
          <w:rFonts w:ascii="Arial" w:hAnsi="Arial" w:cs="Arial"/>
          <w:sz w:val="22"/>
          <w:szCs w:val="22"/>
        </w:rPr>
        <w:t>milkng</w:t>
      </w:r>
      <w:proofErr w:type="spellEnd"/>
      <w:r w:rsidRPr="00C31035">
        <w:rPr>
          <w:rFonts w:ascii="Arial" w:hAnsi="Arial" w:cs="Arial"/>
          <w:sz w:val="22"/>
          <w:szCs w:val="22"/>
        </w:rPr>
        <w:t xml:space="preserve"> adolescent knowledge by almost 64% and changing their attitudes towards preventing stunting positively. This approach is important because adolescents are a group that is in a period of searching for identity and forming long-term habits. Education from a young age has a great opportunity to form healthy living behaviors that are carried into adulthood and applied in their child-rearing patterns in the future. </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{"citationItems":[{"id":"ITEM-1","itemData":{"DOI":"10.25182/jgp.2023.18.2.117-126","ISSN":"19781059","abstract":"This study aims to determine the relationship between nutrient intake and the incidence of stunting and to determine the dominant factors associated with stunting in children aged 25‒30 months in Gambir and Sawah Besar Districts, Central Jakarta, Indonesia. This research was a quantitative study with a cross-sectional study design. The type of data collected was secondary data from a case control study entitled Differences in Milk Intake and Stunting Incidence in Children Aged 25–30 Months in Central Jakarta in 2019. Data collected included height measurement, questionnaire-based interview, and 24-hour food recall. The percentage of stunting in children aged 25 to 30 months was 29.8%. The factor associated with stunting was iron intake (OR=5.0; 95% CI:1.02–25.25; p&amp;lt;0.05). Stunting was more likely to occur in children with inadequate iron intake than in those with adequate intake. To prevent stunting, iron-rich foods are essential and should be taken in sufficient amounts daily.","author":[{"dropping-particle":"","family":"Ilmani","given":"Dhea Agnia","non-dropping-particle":"","parse-names":false,"suffix":""},{"dropping-particle":"","family":"Fikawati","given":"Sandra","non-dropping-particle":"","parse-names":false,"suffix":""}],"container-title":"Jurnal Gizi dan Pangan","id":"ITEM-1","issue":"2","issued":{"date-parts":[["2023"]]},"page":"117-126","title":"Nutrition Intake as a Risk Factor of Stunting in Children Aged 25–30 Months in Central Jakarta, Indonesia","type":"article-journal","volume":"18"},"uris":["http://www.mendeley.com/documents/?uuid=ca7ee29c-1476-4dd6-8d72-f1c809cb6b77"]},{"id":"ITEM-2","itemData":{"abstract":"This Note applies predominantly to situations where specialised nutritious foods (SNF) have been used. It does not replace guidance already existing in national guidelines for the treatment of wasting or where the use of SNF is not indicated, accepted or established. There may be emergency situations where governments may want to consider SNFs where they have not previously been used.","author":[{"dropping-particle":"","family":"Global Nutrition Cluster","given":"","non-dropping-particle":"","parse-names":false,"suffix":""}],"container-title":"Global nutrition cluster technical alliance","id":"ITEM-2","issued":{"date-parts":[["2021"]]},"page":"5-8","title":"Management of wasting during a shortage or absence of specialised nutritious food products","type":"article-journal"},"uris":["http://www.mendeley.com/documents/?uuid=37de22de-2cb5-451d-b9b3-bb0ce69d4a30"]},{"id":"ITEM-3","itemData":{"DOI":"10.12928/jehcp.v12i3.26812","ISSN":"2088-3129","abstract":"… stunting prevention for adolescents should align with the prevailing high prevalence of stunting … ) and attitudes (p=0.000) regarding stunting prevention. Notably, the average gain score …","author":[{"dropping-particle":"","family":"Marlinawati","given":"Dwi Ayu","non-dropping-particle":"","parse-names":false,"suffix":""}],"container-title":"Journal of Educational, Health and Community Psychology","id":"ITEM-3","issue":"3","issued":{"date-parts":[["2023"]]},"page":"600","title":"Education Media about Stunting Prevention on Adolescents in Islamic Boarding Schools","type":"article-journal","volume":"12"},"uris":["http://www.mendeley.com/documents/?uuid=73890d82-47a5-4e4f-9a65-404127c92c3d"]}],"mendeley":{"formattedCitation":"&lt;sup&gt;3,11,12&lt;/sup&gt;","plainTextFormattedCitation":"3,11,12","previouslyFormattedCitation":"&lt;sup&gt;3,11,12&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3,11,12</w:t>
      </w:r>
      <w:r w:rsidRPr="00C31035">
        <w:rPr>
          <w:rFonts w:ascii="Arial" w:hAnsi="Arial" w:cs="Arial"/>
          <w:sz w:val="22"/>
          <w:szCs w:val="22"/>
        </w:rPr>
        <w:fldChar w:fldCharType="end"/>
      </w:r>
      <w:r w:rsidRPr="00C31035">
        <w:rPr>
          <w:rFonts w:ascii="Arial" w:hAnsi="Arial" w:cs="Arial"/>
          <w:sz w:val="22"/>
          <w:szCs w:val="22"/>
        </w:rPr>
        <w:t xml:space="preserve"> </w:t>
      </w:r>
    </w:p>
    <w:p w14:paraId="1E5E2E4E" w14:textId="77777777" w:rsidR="0026078A" w:rsidRPr="00C31035" w:rsidRDefault="0026078A" w:rsidP="0026078A">
      <w:pPr>
        <w:pStyle w:val="NormalWeb"/>
        <w:spacing w:before="0" w:beforeAutospacing="0" w:after="0" w:afterAutospacing="0"/>
        <w:ind w:firstLine="720"/>
        <w:jc w:val="both"/>
        <w:rPr>
          <w:rFonts w:ascii="Arial" w:hAnsi="Arial" w:cs="Arial"/>
          <w:sz w:val="22"/>
          <w:szCs w:val="22"/>
        </w:rPr>
      </w:pPr>
      <w:r w:rsidRPr="00C31035">
        <w:rPr>
          <w:rFonts w:ascii="Arial" w:hAnsi="Arial" w:cs="Arial"/>
          <w:sz w:val="22"/>
          <w:szCs w:val="22"/>
        </w:rPr>
        <w:t>Equally important is education that targets mothers directly. The results of the study showed that after being given counseling on stunting, mothers' knowledge increased significantly. Before the intervention, most respondents only had a moderate level of knowledge, but after the intervention, many showed a good understanding. This confirms that information provided in the right and repeated manner can change knowledge and behavior, especially when delivered by competent health workers or educators. However, the biggest challenge of the education program is sustainability. Often, interventions stop after one or two meetings without any follow-up. Behavioral changes do not happen instantly. Therefore, regular follow-up is an important component in ensuring that the information that has been provided is truly applied in everyday life. This follow-up can be in the form of home visits by health cadres, routine monitoring of child growth and development at the integrated health post, strengthening education through digital media, and involving community and religious leaders in conveying key messages about the importance of preventing stunting.</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{"citationItems":[{"id":"ITEM-1","itemData":{"DOI":"10.56260/sciena.v2i4.118","abstract":"Stunting is one of the leading public health problems in lower-middle-income countries, including Indonesia. Stunting is a problem of chronic malnutrition caused by insufficient nutritional intake over a long period due to food that does not meet the dietary needs required. Nutritional issues in young children can have serious consequences; according to the World Health Organization, stunting can cause cognitive or intelligence, motor, and verbal development to develop sub-optimally, increase the risk of obesity and other degenerative diseases, increase health costs, and increase the incidence of morbidity and death. This literature review aims to determine the effect of stunting on children's growth and development and the influencing factors. Search for keywords: Stunting, growth, and development of checking in children, children, cognitive and motor skills. The conclusion from the literature review is that there is a significant relationship between stunting influence on motoric development in children, and the factors that cause stunting do not only come from the child but many external factors that influence such as maternal, economic, environmental, and infectious diseases factors and not only that. Feeding patterns are also one of the factors causing stunting in children.  ","author":[{"dropping-particle":"","family":"Akbar","given":"Resti Rahmadika","non-dropping-particle":"","parse-names":false,"suffix":""},{"dropping-particle":"","family":"Kartika","given":"Windy","non-dropping-particle":"","parse-names":false,"suffix":""},{"dropping-particle":"","family":"Khairunnisa","given":"Mutiara","non-dropping-particle":"","parse-names":false,"suffix":""}],"container-title":"Scientific Journal","id":"ITEM-1","issue":"4","issued":{"date-parts":[["2023"]]},"page":"153-160","title":"The Effect of Stunting on Child Growth and Development","type":"article-journal","volume":"2"},"uris":["http://www.mendeley.com/documents/?uuid=5f53ae84-e177-4a1d-a76b-b472b0fd7e1b"]},{"id":"ITEM-2","itemData":{"DOI":"10.31004/obsesi.v7i4.4846","abstract":"This study aims to assess the effectiveness of early childhood nutrition health education in reducing stunting prevalence. The research utilized a literature review approach, analyzing various relevant sources. The findings indicate that nutrition health education during early childhood provides significant advantages in addressing stunting. Targeting parents and caregivers, implementing healthy feeding programs, and providing practical training in preparing nutritious food have been successful in improving children's nutritional status and decreasing the risk of stunting. This research offers a comprehensive understanding of the importance of early childhood nutrition health education as a stunting prevention strategy. The results emphasize the need for a holistic and integrated approach that considers social and economic factors to address stunting. Collaborative efforts among stakeholders are crucial in reducing stunting incidence","author":[{"dropping-particle":"","family":"Sukmawati","given":"Ellyzabeth","non-dropping-particle":"","parse-names":false,"suffix":""},{"dropping-particle":"","family":"Marzuki","given":"Kartini","non-dropping-particle":"","parse-names":false,"suffix":""},{"dropping-particle":"","family":"Batubara","given":"Ardiana","non-dropping-particle":"","parse-names":false,"suffix":""},{"dropping-particle":"","family":"Harahap","given":"Nur Afifah","non-dropping-particle":"","parse-names":false,"suffix":""},{"dropping-particle":"","family":"Efendi","given":"Efendi","non-dropping-particle":"","parse-names":false,"suffix":""},{"dropping-particle":"","family":"Weraman","given":"Pius","non-dropping-particle":"","parse-names":false,"suffix":""}],"container-title":"Jurnal Obsesi : Jurnal Pendidikan Anak Usia Dini","id":"ITEM-2","issue":"4","issued":{"date-parts":[["2023"]]},"page":"4002-4012","title":"The Effectiveness of Early Childhood Nutrition Health Education on Reducing the Incidence of Stunting","type":"article-journal","volume":"7"},"uris":["http://www.mendeley.com/documents/?uuid=83d5b227-5522-4f24-8082-52f6a10cddf4"]}],"mendeley":{"formattedCitation":"&lt;sup&gt;1,6&lt;/sup&gt;","plainTextFormattedCitation":"1,6","previouslyFormattedCitation":"&lt;sup&gt;1,6&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1.6</w:t>
      </w:r>
      <w:r w:rsidRPr="00C31035">
        <w:rPr>
          <w:rFonts w:ascii="Arial" w:hAnsi="Arial" w:cs="Arial"/>
          <w:sz w:val="22"/>
          <w:szCs w:val="22"/>
        </w:rPr>
        <w:fldChar w:fldCharType="end"/>
      </w:r>
    </w:p>
    <w:p w14:paraId="1E2323B4" w14:textId="77777777" w:rsidR="0026078A" w:rsidRPr="00C31035" w:rsidRDefault="0026078A" w:rsidP="0026078A">
      <w:pPr>
        <w:pStyle w:val="NormalWeb"/>
        <w:spacing w:before="0" w:beforeAutospacing="0" w:after="0" w:afterAutospacing="0"/>
        <w:ind w:firstLine="720"/>
        <w:jc w:val="both"/>
        <w:rPr>
          <w:rFonts w:ascii="Arial" w:hAnsi="Arial" w:cs="Arial"/>
          <w:sz w:val="22"/>
          <w:szCs w:val="22"/>
        </w:rPr>
      </w:pPr>
      <w:r w:rsidRPr="00C31035">
        <w:rPr>
          <w:rFonts w:ascii="Arial" w:hAnsi="Arial" w:cs="Arial"/>
          <w:sz w:val="22"/>
          <w:szCs w:val="22"/>
        </w:rPr>
        <w:t xml:space="preserve">Thus, preventing stunting requires an integrated approach between adequate nutritional fulfillment, implementation of appropriate parenting patterns, ongoing health education, and regular monitoring of child growth and development. Effective interventions are not only based on one-way counseling, but also those that are able to form a learning ecosystem and social support in the family and community environment. Only with collective and continuous efforts can Indonesia </w:t>
      </w:r>
      <w:r w:rsidRPr="00C31035">
        <w:rPr>
          <w:rFonts w:ascii="Arial" w:hAnsi="Arial" w:cs="Arial"/>
          <w:sz w:val="22"/>
          <w:szCs w:val="22"/>
        </w:rPr>
        <w:lastRenderedPageBreak/>
        <w:t>achieve the target of reducing stunting rates and produce a healthy, intelligent, and competitive generation in the future.</w:t>
      </w:r>
      <w:r w:rsidRPr="00C31035">
        <w:rPr>
          <w:rFonts w:ascii="Arial" w:hAnsi="Arial" w:cs="Arial"/>
          <w:sz w:val="22"/>
          <w:szCs w:val="22"/>
        </w:rPr>
        <w:fldChar w:fldCharType="begin" w:fldLock="1"/>
      </w:r>
      <w:r w:rsidRPr="00C31035">
        <w:rPr>
          <w:rFonts w:ascii="Arial" w:hAnsi="Arial" w:cs="Arial"/>
          <w:sz w:val="22"/>
          <w:szCs w:val="22"/>
        </w:rPr>
        <w:instrText>ADDIN CSL_CITATION {"citationItems":[{"id":"ITEM-1","itemData":{"author":[{"dropping-particle":"","family":"Rezkillah","given":"Albrina Roza","non-dropping-particle":"","parse-names":false,"suffix":""},{"dropping-particle":"","family":"Surjoputro","given":"Anton","non-dropping-particle":"","parse-names":false,"suffix":""},{"dropping-particle":"","family":"Sriatmi","given":"Ayun","non-dropping-particle":"","parse-names":false,"suffix":""}],"container-title":"Jurnal Kesehatan","id":"ITEM-1","issued":{"date-parts":[["2023"]]},"page":"169-181","title":"Stunting Prevention Interventions in Fulfilling Nutrition in Toddlers","type":"article-journal","volume":"3"},"uris":["http://www.mendeley.com/documents/?uuid=cb3043fe-b40c-4656-9364-28987d154d7b"]},{"id":"ITEM-2","itemData":{"DOI":"10.12928/jehcp.v12i3.26812","ISSN":"2088-3129","abstract":"… stunting prevention for adolescents should align with the prevailing high prevalence of stunting … ) and attitudes (p=0.000) regarding stunting prevention. Notably, the average gain score …","author":[{"dropping-particle":"","family":"Marlinawati","given":"Dwi Ayu","non-dropping-particle":"","parse-names":false,"suffix":""}],"container-title":"Journal of Educational, Health and Community Psychology","id":"ITEM-2","issue":"3","issued":{"date-parts":[["2023"]]},"page":"600","title":"Education Media about Stunting Prevention on Adolescents in Islamic Boarding Schools","type":"article-journal","volume":"12"},"uris":["http://www.mendeley.com/documents/?uuid=73890d82-47a5-4e4f-9a65-404127c92c3d"]}],"mendeley":{"formattedCitation":"&lt;sup&gt;10,12&lt;/sup&gt;","plainTextFormattedCitation":"10,12","previouslyFormattedCitation":"&lt;sup&gt;10,12&lt;/sup&gt;"},"properties":{"noteIndex":0},"schema":"https://github.com/citation-style-language/schema/raw/master/csl-citation.json"}</w:instrText>
      </w:r>
      <w:r w:rsidRPr="00C31035">
        <w:rPr>
          <w:rFonts w:ascii="Arial" w:hAnsi="Arial" w:cs="Arial"/>
          <w:sz w:val="22"/>
          <w:szCs w:val="22"/>
        </w:rPr>
        <w:fldChar w:fldCharType="separate"/>
      </w:r>
      <w:r w:rsidRPr="00C31035">
        <w:rPr>
          <w:rFonts w:ascii="Arial" w:hAnsi="Arial" w:cs="Arial"/>
          <w:noProof/>
          <w:sz w:val="22"/>
          <w:szCs w:val="22"/>
          <w:vertAlign w:val="superscript"/>
        </w:rPr>
        <w:t>10.12</w:t>
      </w:r>
      <w:r w:rsidRPr="00C31035">
        <w:rPr>
          <w:rFonts w:ascii="Arial" w:hAnsi="Arial" w:cs="Arial"/>
          <w:sz w:val="22"/>
          <w:szCs w:val="22"/>
        </w:rPr>
        <w:fldChar w:fldCharType="end"/>
      </w:r>
    </w:p>
    <w:p w14:paraId="649B2F8C" w14:textId="77777777" w:rsidR="00790ADA" w:rsidRPr="00C31035" w:rsidRDefault="00790ADA" w:rsidP="0026078A">
      <w:pPr>
        <w:pStyle w:val="Body"/>
        <w:spacing w:after="0"/>
        <w:rPr>
          <w:rFonts w:ascii="Arial" w:hAnsi="Arial" w:cs="Arial"/>
          <w:sz w:val="22"/>
          <w:szCs w:val="22"/>
        </w:rPr>
      </w:pPr>
    </w:p>
    <w:p w14:paraId="1D774410" w14:textId="167F90D5" w:rsidR="00790ADA" w:rsidRPr="00C31035" w:rsidRDefault="00000F8F" w:rsidP="0026078A">
      <w:pPr>
        <w:pStyle w:val="ConcHead"/>
        <w:spacing w:after="0"/>
        <w:jc w:val="both"/>
        <w:rPr>
          <w:rFonts w:ascii="Arial" w:hAnsi="Arial" w:cs="Arial"/>
          <w:szCs w:val="22"/>
        </w:rPr>
      </w:pPr>
      <w:r w:rsidRPr="00C31035">
        <w:rPr>
          <w:rFonts w:ascii="Arial" w:hAnsi="Arial" w:cs="Arial"/>
          <w:szCs w:val="22"/>
        </w:rPr>
        <w:t xml:space="preserve">4. </w:t>
      </w:r>
      <w:r w:rsidR="00B01FCD" w:rsidRPr="00C31035">
        <w:rPr>
          <w:rFonts w:ascii="Arial" w:hAnsi="Arial" w:cs="Arial"/>
          <w:szCs w:val="22"/>
        </w:rPr>
        <w:t>Conclusion</w:t>
      </w:r>
    </w:p>
    <w:p w14:paraId="10AF8803" w14:textId="77777777" w:rsidR="0026078A" w:rsidRPr="00C31035" w:rsidRDefault="0026078A" w:rsidP="0026078A">
      <w:pPr>
        <w:ind w:firstLine="720"/>
        <w:jc w:val="both"/>
        <w:rPr>
          <w:rFonts w:ascii="Arial" w:hAnsi="Arial" w:cs="Arial"/>
          <w:sz w:val="22"/>
          <w:szCs w:val="22"/>
        </w:rPr>
      </w:pPr>
      <w:r w:rsidRPr="00C31035">
        <w:rPr>
          <w:rFonts w:ascii="Arial" w:hAnsi="Arial" w:cs="Arial"/>
          <w:sz w:val="22"/>
          <w:szCs w:val="22"/>
        </w:rPr>
        <w:t xml:space="preserve">The CES-GAMMARA program with a nutritional education approach through the 3U3S method (3 Utama, 3 </w:t>
      </w:r>
      <w:proofErr w:type="spellStart"/>
      <w:r w:rsidRPr="00C31035">
        <w:rPr>
          <w:rFonts w:ascii="Arial" w:hAnsi="Arial" w:cs="Arial"/>
          <w:sz w:val="22"/>
          <w:szCs w:val="22"/>
        </w:rPr>
        <w:t>Selingan</w:t>
      </w:r>
      <w:proofErr w:type="spellEnd"/>
      <w:r w:rsidRPr="00C31035">
        <w:rPr>
          <w:rFonts w:ascii="Arial" w:hAnsi="Arial" w:cs="Arial"/>
          <w:sz w:val="22"/>
          <w:szCs w:val="22"/>
        </w:rPr>
        <w:t xml:space="preserve">) has proven effective in improving the understanding, skills, and behavior of mothers and caregivers in providing appropriate feeding to prevent stunting and wasting in </w:t>
      </w:r>
      <w:proofErr w:type="spellStart"/>
      <w:r w:rsidRPr="00C31035">
        <w:rPr>
          <w:rFonts w:ascii="Arial" w:hAnsi="Arial" w:cs="Arial"/>
          <w:sz w:val="22"/>
          <w:szCs w:val="22"/>
        </w:rPr>
        <w:t>Jeneponto</w:t>
      </w:r>
      <w:proofErr w:type="spellEnd"/>
      <w:r w:rsidRPr="00C31035">
        <w:rPr>
          <w:rFonts w:ascii="Arial" w:hAnsi="Arial" w:cs="Arial"/>
          <w:sz w:val="22"/>
          <w:szCs w:val="22"/>
        </w:rPr>
        <w:t xml:space="preserve"> Regency. The results of the program showed an increase in children's nutritional intake, accompanied by gradual improvements in weight and height. Education delivered in a personal and simple manner, supported by intensive mentoring and cross-sector collaboration, played a major role in the success of the intervention. This program provides an adaptive and applicable community empowerment model to support efforts to reduce stunting and wasting rates sustainably, and has the potential to be replicated in other areas with similar characteristics.</w:t>
      </w:r>
    </w:p>
    <w:p w14:paraId="1AF9CC59" w14:textId="77777777" w:rsidR="00790ADA" w:rsidRPr="00C31035" w:rsidRDefault="00790ADA" w:rsidP="0026078A">
      <w:pPr>
        <w:pStyle w:val="Body"/>
        <w:spacing w:after="0"/>
        <w:rPr>
          <w:rFonts w:ascii="Arial" w:hAnsi="Arial" w:cs="Arial"/>
          <w:sz w:val="22"/>
          <w:szCs w:val="22"/>
        </w:rPr>
      </w:pPr>
    </w:p>
    <w:p w14:paraId="20D66F4D" w14:textId="75337C02" w:rsidR="00790ADA" w:rsidRPr="00C31035" w:rsidRDefault="00B01FCD" w:rsidP="0026078A">
      <w:pPr>
        <w:pStyle w:val="AcknHead"/>
        <w:spacing w:after="0"/>
        <w:jc w:val="both"/>
        <w:rPr>
          <w:rFonts w:ascii="Arial" w:hAnsi="Arial" w:cs="Arial"/>
          <w:szCs w:val="22"/>
        </w:rPr>
      </w:pPr>
      <w:r w:rsidRPr="00C31035">
        <w:rPr>
          <w:rFonts w:ascii="Arial" w:hAnsi="Arial" w:cs="Arial"/>
          <w:szCs w:val="22"/>
        </w:rPr>
        <w:t>Acknowledg</w:t>
      </w:r>
      <w:r w:rsidR="003E2904" w:rsidRPr="00C31035">
        <w:rPr>
          <w:rFonts w:ascii="Arial" w:hAnsi="Arial" w:cs="Arial"/>
          <w:szCs w:val="22"/>
        </w:rPr>
        <w:t>E</w:t>
      </w:r>
      <w:r w:rsidRPr="00C31035">
        <w:rPr>
          <w:rFonts w:ascii="Arial" w:hAnsi="Arial" w:cs="Arial"/>
          <w:szCs w:val="22"/>
        </w:rPr>
        <w:t>ments</w:t>
      </w:r>
    </w:p>
    <w:p w14:paraId="5D78A6A0" w14:textId="0EE8A00B" w:rsidR="00315186" w:rsidRDefault="00F0522B" w:rsidP="0026078A">
      <w:pPr>
        <w:pStyle w:val="Body"/>
        <w:spacing w:after="0"/>
        <w:rPr>
          <w:rFonts w:ascii="Arial" w:hAnsi="Arial" w:cs="Arial"/>
          <w:sz w:val="22"/>
          <w:szCs w:val="22"/>
        </w:rPr>
      </w:pPr>
      <w:r w:rsidRPr="00C31035">
        <w:rPr>
          <w:rFonts w:ascii="Arial" w:hAnsi="Arial" w:cs="Arial"/>
          <w:sz w:val="22"/>
          <w:szCs w:val="22"/>
        </w:rPr>
        <w:t>N</w:t>
      </w:r>
      <w:r w:rsidR="0026078A" w:rsidRPr="00C31035">
        <w:rPr>
          <w:rFonts w:ascii="Arial" w:hAnsi="Arial" w:cs="Arial"/>
          <w:sz w:val="22"/>
          <w:szCs w:val="22"/>
        </w:rPr>
        <w:t>one</w:t>
      </w:r>
    </w:p>
    <w:p w14:paraId="4E970283" w14:textId="77777777" w:rsidR="00F0522B" w:rsidRPr="00C31035" w:rsidRDefault="00F0522B" w:rsidP="0026078A">
      <w:pPr>
        <w:pStyle w:val="Body"/>
        <w:spacing w:after="0"/>
        <w:rPr>
          <w:rFonts w:ascii="Arial" w:hAnsi="Arial" w:cs="Arial"/>
          <w:sz w:val="22"/>
          <w:szCs w:val="22"/>
        </w:rPr>
      </w:pPr>
    </w:p>
    <w:p w14:paraId="75BBE9AA" w14:textId="77777777" w:rsidR="00860000" w:rsidRPr="00C31035" w:rsidRDefault="00860000" w:rsidP="0026078A">
      <w:pPr>
        <w:pStyle w:val="ReferHead"/>
        <w:spacing w:after="0"/>
        <w:jc w:val="both"/>
        <w:rPr>
          <w:rFonts w:ascii="Arial" w:hAnsi="Arial" w:cs="Arial"/>
          <w:bCs/>
          <w:szCs w:val="22"/>
        </w:rPr>
      </w:pPr>
      <w:r w:rsidRPr="00C31035">
        <w:rPr>
          <w:rFonts w:ascii="Arial" w:hAnsi="Arial" w:cs="Arial"/>
          <w:bCs/>
          <w:szCs w:val="22"/>
        </w:rPr>
        <w:t>Competing interests</w:t>
      </w:r>
    </w:p>
    <w:p w14:paraId="098F5B8F" w14:textId="5E1D2705" w:rsidR="00371FB6" w:rsidRPr="00C31035" w:rsidRDefault="00E66E10" w:rsidP="0026078A">
      <w:pPr>
        <w:pStyle w:val="ReferHead"/>
        <w:spacing w:after="0"/>
        <w:jc w:val="both"/>
        <w:rPr>
          <w:rFonts w:ascii="Arial" w:hAnsi="Arial" w:cs="Arial"/>
          <w:b w:val="0"/>
          <w:caps w:val="0"/>
          <w:szCs w:val="22"/>
        </w:rPr>
      </w:pPr>
      <w:r w:rsidRPr="00C31035">
        <w:rPr>
          <w:rFonts w:ascii="Arial" w:hAnsi="Arial" w:cs="Arial"/>
          <w:b w:val="0"/>
          <w:caps w:val="0"/>
          <w:szCs w:val="22"/>
        </w:rPr>
        <w:t>Authors have declared that no competing interests exist</w:t>
      </w:r>
    </w:p>
    <w:p w14:paraId="4E63C874" w14:textId="77777777" w:rsidR="0026078A" w:rsidRPr="00C31035" w:rsidRDefault="0026078A" w:rsidP="0026078A">
      <w:pPr>
        <w:pStyle w:val="ReferHead"/>
        <w:spacing w:after="0"/>
        <w:jc w:val="both"/>
        <w:rPr>
          <w:rFonts w:ascii="Arial" w:hAnsi="Arial" w:cs="Arial"/>
          <w:bCs/>
          <w:szCs w:val="22"/>
        </w:rPr>
      </w:pPr>
    </w:p>
    <w:p w14:paraId="5BB8257C" w14:textId="5F580279" w:rsidR="00371FB6" w:rsidRPr="00C31035" w:rsidRDefault="00371FB6" w:rsidP="0026078A">
      <w:pPr>
        <w:pStyle w:val="ReferHead"/>
        <w:spacing w:after="0"/>
        <w:jc w:val="both"/>
        <w:rPr>
          <w:rFonts w:ascii="Arial" w:hAnsi="Arial" w:cs="Arial"/>
          <w:bCs/>
          <w:szCs w:val="22"/>
        </w:rPr>
      </w:pPr>
      <w:r w:rsidRPr="00C31035">
        <w:rPr>
          <w:rFonts w:ascii="Arial" w:hAnsi="Arial" w:cs="Arial"/>
          <w:bCs/>
          <w:szCs w:val="22"/>
        </w:rPr>
        <w:t>Authors’ Contributions</w:t>
      </w:r>
    </w:p>
    <w:p w14:paraId="335DA76C" w14:textId="77533A9C" w:rsidR="00371FB6" w:rsidRPr="00C31035" w:rsidRDefault="0026078A" w:rsidP="0026078A">
      <w:pPr>
        <w:pStyle w:val="ReferHead"/>
        <w:spacing w:after="0"/>
        <w:jc w:val="both"/>
        <w:rPr>
          <w:rFonts w:ascii="Arial" w:hAnsi="Arial" w:cs="Arial"/>
          <w:b w:val="0"/>
          <w:caps w:val="0"/>
          <w:szCs w:val="22"/>
        </w:rPr>
      </w:pPr>
      <w:r w:rsidRPr="00C31035">
        <w:rPr>
          <w:rFonts w:ascii="Arial" w:hAnsi="Arial" w:cs="Arial"/>
          <w:b w:val="0"/>
          <w:caps w:val="0"/>
          <w:szCs w:val="22"/>
        </w:rPr>
        <w:t>SP: design the work, AMRYP: writing the manuscript. SH: conceptual framework, RJ: data collection, FA: data analysis.</w:t>
      </w:r>
    </w:p>
    <w:p w14:paraId="2AEC9820" w14:textId="77777777" w:rsidR="002B685A" w:rsidRPr="00C31035" w:rsidRDefault="002B685A" w:rsidP="0026078A">
      <w:pPr>
        <w:pStyle w:val="ReferHead"/>
        <w:spacing w:after="0"/>
        <w:jc w:val="both"/>
        <w:rPr>
          <w:rFonts w:ascii="Arial" w:hAnsi="Arial" w:cs="Arial"/>
          <w:b w:val="0"/>
          <w:caps w:val="0"/>
          <w:szCs w:val="22"/>
        </w:rPr>
      </w:pPr>
    </w:p>
    <w:p w14:paraId="5194DED0" w14:textId="77777777" w:rsidR="002B685A" w:rsidRPr="00C31035" w:rsidRDefault="002B685A" w:rsidP="0026078A">
      <w:pPr>
        <w:pStyle w:val="ReferHead"/>
        <w:spacing w:after="0"/>
        <w:jc w:val="both"/>
        <w:rPr>
          <w:rFonts w:ascii="Arial" w:hAnsi="Arial" w:cs="Arial"/>
          <w:bCs/>
          <w:szCs w:val="22"/>
        </w:rPr>
      </w:pPr>
      <w:r w:rsidRPr="00C31035">
        <w:rPr>
          <w:rFonts w:ascii="Arial" w:hAnsi="Arial" w:cs="Arial"/>
          <w:bCs/>
          <w:szCs w:val="22"/>
        </w:rPr>
        <w:t>Consent (where</w:t>
      </w:r>
      <w:r w:rsidR="007369E6" w:rsidRPr="00C31035">
        <w:rPr>
          <w:rFonts w:ascii="Arial" w:hAnsi="Arial" w:cs="Arial"/>
          <w:bCs/>
          <w:szCs w:val="22"/>
        </w:rPr>
        <w:t xml:space="preserve"> </w:t>
      </w:r>
      <w:r w:rsidRPr="00C31035">
        <w:rPr>
          <w:rFonts w:ascii="Arial" w:hAnsi="Arial" w:cs="Arial"/>
          <w:bCs/>
          <w:szCs w:val="22"/>
        </w:rPr>
        <w:t>ever applicable)</w:t>
      </w:r>
    </w:p>
    <w:p w14:paraId="091E8058" w14:textId="376F9824" w:rsidR="001A29D8" w:rsidRPr="00C31035" w:rsidRDefault="001A29D8" w:rsidP="0026078A">
      <w:pPr>
        <w:pStyle w:val="ReferHead"/>
        <w:spacing w:after="0"/>
        <w:jc w:val="both"/>
        <w:rPr>
          <w:rFonts w:ascii="Arial" w:hAnsi="Arial" w:cs="Arial"/>
          <w:b w:val="0"/>
          <w:caps w:val="0"/>
          <w:szCs w:val="22"/>
        </w:rPr>
      </w:pPr>
      <w:r w:rsidRPr="00C31035">
        <w:rPr>
          <w:rFonts w:ascii="Arial" w:hAnsi="Arial" w:cs="Arial"/>
          <w:b w:val="0"/>
          <w:caps w:val="0"/>
          <w:szCs w:val="22"/>
        </w:rPr>
        <w:t>All authors declare that ‘written informed consent was obtained from the patient</w:t>
      </w:r>
      <w:r w:rsidR="0026078A" w:rsidRPr="00C31035">
        <w:rPr>
          <w:rFonts w:ascii="Arial" w:hAnsi="Arial" w:cs="Arial"/>
          <w:b w:val="0"/>
          <w:caps w:val="0"/>
          <w:szCs w:val="22"/>
        </w:rPr>
        <w:t>’s parents</w:t>
      </w:r>
      <w:r w:rsidRPr="00C31035">
        <w:rPr>
          <w:rFonts w:ascii="Arial" w:hAnsi="Arial" w:cs="Arial"/>
          <w:b w:val="0"/>
          <w:caps w:val="0"/>
          <w:szCs w:val="22"/>
        </w:rPr>
        <w:t xml:space="preserve"> for publication of this case report and accompanying images. A copy of the written consent is available for review by the Editorial office/Chief Editor/Editorial Board members of this journal."</w:t>
      </w:r>
    </w:p>
    <w:p w14:paraId="722E57C1" w14:textId="77777777" w:rsidR="001A29D8" w:rsidRPr="00C31035" w:rsidRDefault="001A29D8" w:rsidP="0026078A">
      <w:pPr>
        <w:pStyle w:val="ReferHead"/>
        <w:spacing w:after="0"/>
        <w:jc w:val="both"/>
        <w:rPr>
          <w:rFonts w:ascii="Arial" w:hAnsi="Arial" w:cs="Arial"/>
          <w:b w:val="0"/>
          <w:caps w:val="0"/>
          <w:szCs w:val="22"/>
        </w:rPr>
      </w:pPr>
    </w:p>
    <w:p w14:paraId="74D14496" w14:textId="77777777" w:rsidR="005C784C" w:rsidRPr="00C31035" w:rsidRDefault="005C784C" w:rsidP="0026078A">
      <w:pPr>
        <w:pStyle w:val="ReferHead"/>
        <w:spacing w:after="0"/>
        <w:jc w:val="both"/>
        <w:rPr>
          <w:rFonts w:ascii="Arial" w:hAnsi="Arial" w:cs="Arial"/>
          <w:bCs/>
          <w:szCs w:val="22"/>
        </w:rPr>
      </w:pPr>
      <w:r w:rsidRPr="00C31035">
        <w:rPr>
          <w:rFonts w:ascii="Arial" w:hAnsi="Arial" w:cs="Arial"/>
          <w:bCs/>
          <w:szCs w:val="22"/>
        </w:rPr>
        <w:t>Ethical approval (where</w:t>
      </w:r>
      <w:r w:rsidR="007369E6" w:rsidRPr="00C31035">
        <w:rPr>
          <w:rFonts w:ascii="Arial" w:hAnsi="Arial" w:cs="Arial"/>
          <w:bCs/>
          <w:szCs w:val="22"/>
        </w:rPr>
        <w:t xml:space="preserve"> </w:t>
      </w:r>
      <w:r w:rsidRPr="00C31035">
        <w:rPr>
          <w:rFonts w:ascii="Arial" w:hAnsi="Arial" w:cs="Arial"/>
          <w:bCs/>
          <w:szCs w:val="22"/>
        </w:rPr>
        <w:t>ever applicable)</w:t>
      </w:r>
    </w:p>
    <w:p w14:paraId="638E3730" w14:textId="426C9C17" w:rsidR="0041027F" w:rsidRPr="00C31035" w:rsidRDefault="001A29D8" w:rsidP="0026078A">
      <w:pPr>
        <w:pStyle w:val="ReferHead"/>
        <w:spacing w:after="0"/>
        <w:jc w:val="both"/>
        <w:rPr>
          <w:rFonts w:ascii="Arial" w:hAnsi="Arial" w:cs="Arial"/>
          <w:b w:val="0"/>
          <w:caps w:val="0"/>
          <w:szCs w:val="22"/>
        </w:rPr>
      </w:pPr>
      <w:r w:rsidRPr="00C31035">
        <w:rPr>
          <w:rFonts w:ascii="Arial" w:hAnsi="Arial" w:cs="Arial"/>
          <w:b w:val="0"/>
          <w:caps w:val="0"/>
          <w:szCs w:val="22"/>
        </w:rPr>
        <w:t>All authors hereby declare that a</w:t>
      </w:r>
      <w:r w:rsidR="0041027F" w:rsidRPr="00C31035">
        <w:rPr>
          <w:rFonts w:ascii="Arial" w:hAnsi="Arial" w:cs="Arial"/>
          <w:b w:val="0"/>
          <w:caps w:val="0"/>
          <w:szCs w:val="22"/>
        </w:rPr>
        <w:t xml:space="preserve">ll </w:t>
      </w:r>
      <w:r w:rsidR="00990A60" w:rsidRPr="00C31035">
        <w:rPr>
          <w:rFonts w:ascii="Arial" w:hAnsi="Arial" w:cs="Arial"/>
          <w:b w:val="0"/>
          <w:caps w:val="0"/>
          <w:szCs w:val="22"/>
        </w:rPr>
        <w:t>study processes</w:t>
      </w:r>
      <w:r w:rsidR="0041027F" w:rsidRPr="00C31035">
        <w:rPr>
          <w:rFonts w:ascii="Arial" w:hAnsi="Arial" w:cs="Arial"/>
          <w:b w:val="0"/>
          <w:caps w:val="0"/>
          <w:szCs w:val="22"/>
        </w:rPr>
        <w:t xml:space="preserve"> have been examined</w:t>
      </w:r>
      <w:r w:rsidRPr="00C31035">
        <w:rPr>
          <w:rFonts w:ascii="Arial" w:hAnsi="Arial" w:cs="Arial"/>
          <w:b w:val="0"/>
          <w:caps w:val="0"/>
          <w:szCs w:val="22"/>
        </w:rPr>
        <w:t xml:space="preserve"> and approved</w:t>
      </w:r>
      <w:r w:rsidR="0041027F" w:rsidRPr="00C31035">
        <w:rPr>
          <w:rFonts w:ascii="Arial" w:hAnsi="Arial" w:cs="Arial"/>
          <w:b w:val="0"/>
          <w:caps w:val="0"/>
          <w:szCs w:val="22"/>
        </w:rPr>
        <w:t xml:space="preserve"> by the appropriate ethics committee and have therefore been performed in accordance with the ethical standards laid down in the 1964 Declaration of Helsinki.</w:t>
      </w:r>
      <w:r w:rsidRPr="00C31035">
        <w:rPr>
          <w:rFonts w:ascii="Arial" w:hAnsi="Arial" w:cs="Arial"/>
          <w:b w:val="0"/>
          <w:caps w:val="0"/>
          <w:szCs w:val="22"/>
        </w:rPr>
        <w:t>”</w:t>
      </w:r>
    </w:p>
    <w:p w14:paraId="61E826DE" w14:textId="77777777" w:rsidR="00860000" w:rsidRDefault="00860000" w:rsidP="0026078A">
      <w:pPr>
        <w:pStyle w:val="ReferHead"/>
        <w:spacing w:after="0"/>
        <w:jc w:val="both"/>
        <w:rPr>
          <w:rFonts w:ascii="Arial" w:hAnsi="Arial" w:cs="Arial"/>
          <w:szCs w:val="22"/>
        </w:rPr>
      </w:pPr>
    </w:p>
    <w:p w14:paraId="7D0A5122" w14:textId="3D5BC28F" w:rsidR="00B30D41" w:rsidRPr="00F0522B" w:rsidRDefault="00F0522B" w:rsidP="00B30D41">
      <w:pPr>
        <w:rPr>
          <w:rFonts w:ascii="Arial" w:eastAsia="Calibri" w:hAnsi="Arial" w:cs="Arial"/>
          <w:b/>
          <w:bCs/>
          <w:sz w:val="22"/>
          <w:szCs w:val="22"/>
          <w:highlight w:val="yellow"/>
        </w:rPr>
      </w:pPr>
      <w:r w:rsidRPr="00F0522B">
        <w:rPr>
          <w:rFonts w:ascii="Arial" w:eastAsia="Calibri" w:hAnsi="Arial" w:cs="Arial"/>
          <w:b/>
          <w:bCs/>
          <w:sz w:val="22"/>
          <w:szCs w:val="22"/>
          <w:highlight w:val="yellow"/>
        </w:rPr>
        <w:t>DISCLAIMER (ARTIFICIAL INTELLIGENCE)</w:t>
      </w:r>
    </w:p>
    <w:p w14:paraId="57BBA678" w14:textId="085F71ED" w:rsidR="00B30D41" w:rsidRPr="00B30D41" w:rsidRDefault="00B30D41" w:rsidP="00D40B73">
      <w:pPr>
        <w:jc w:val="both"/>
        <w:rPr>
          <w:rFonts w:ascii="Arial" w:eastAsia="Calibri" w:hAnsi="Arial" w:cs="Arial"/>
          <w:sz w:val="22"/>
          <w:szCs w:val="22"/>
          <w:highlight w:val="yellow"/>
        </w:rPr>
      </w:pPr>
      <w:r w:rsidRPr="00B30D41">
        <w:rPr>
          <w:rFonts w:ascii="Arial" w:eastAsia="Calibri" w:hAnsi="Arial" w:cs="Arial"/>
          <w:sz w:val="22"/>
          <w:szCs w:val="22"/>
          <w:highlight w:val="yellow"/>
        </w:rPr>
        <w:t>Author(s) hereby declare that NO generative AI technologies such as Large Language Models</w:t>
      </w:r>
      <w:r w:rsidR="00B41060">
        <w:rPr>
          <w:rFonts w:ascii="Arial" w:eastAsia="Calibri" w:hAnsi="Arial" w:cs="Arial"/>
          <w:sz w:val="22"/>
          <w:szCs w:val="22"/>
          <w:highlight w:val="yellow"/>
        </w:rPr>
        <w:t>.</w:t>
      </w:r>
      <w:r w:rsidRPr="00B30D41">
        <w:rPr>
          <w:rFonts w:ascii="Arial" w:eastAsia="Calibri" w:hAnsi="Arial" w:cs="Arial"/>
          <w:sz w:val="22"/>
          <w:szCs w:val="22"/>
          <w:highlight w:val="yellow"/>
        </w:rPr>
        <w:t xml:space="preserve"> </w:t>
      </w:r>
    </w:p>
    <w:p w14:paraId="47E3B822" w14:textId="77777777" w:rsidR="00B30D41" w:rsidRPr="00C31035" w:rsidRDefault="00B30D41" w:rsidP="0026078A">
      <w:pPr>
        <w:pStyle w:val="ReferHead"/>
        <w:spacing w:after="0"/>
        <w:jc w:val="both"/>
        <w:rPr>
          <w:rFonts w:ascii="Arial" w:hAnsi="Arial" w:cs="Arial"/>
          <w:szCs w:val="22"/>
        </w:rPr>
      </w:pPr>
    </w:p>
    <w:p w14:paraId="22280B36" w14:textId="77777777" w:rsidR="00B01FCD" w:rsidRPr="00C31035" w:rsidRDefault="00B01FCD" w:rsidP="0026078A">
      <w:pPr>
        <w:pStyle w:val="ReferHead"/>
        <w:spacing w:after="0"/>
        <w:jc w:val="both"/>
        <w:rPr>
          <w:rFonts w:ascii="Arial" w:hAnsi="Arial" w:cs="Arial"/>
          <w:szCs w:val="22"/>
        </w:rPr>
      </w:pPr>
      <w:r w:rsidRPr="00C31035">
        <w:rPr>
          <w:rFonts w:ascii="Arial" w:hAnsi="Arial" w:cs="Arial"/>
          <w:szCs w:val="22"/>
        </w:rPr>
        <w:t>References</w:t>
      </w:r>
    </w:p>
    <w:p w14:paraId="50AA33F2"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b/>
          <w:bCs/>
          <w:sz w:val="22"/>
          <w:szCs w:val="22"/>
        </w:rPr>
        <w:fldChar w:fldCharType="begin" w:fldLock="1"/>
      </w:r>
      <w:r w:rsidRPr="00C31035">
        <w:rPr>
          <w:rFonts w:ascii="Arial" w:hAnsi="Arial" w:cs="Arial"/>
          <w:b/>
          <w:bCs/>
          <w:sz w:val="22"/>
          <w:szCs w:val="22"/>
        </w:rPr>
        <w:instrText xml:space="preserve">ADDIN Mendeley Bibliography CSL_BIBLIOGRAPHY </w:instrText>
      </w:r>
      <w:r w:rsidRPr="00C31035">
        <w:rPr>
          <w:rFonts w:ascii="Arial" w:hAnsi="Arial" w:cs="Arial"/>
          <w:b/>
          <w:bCs/>
          <w:sz w:val="22"/>
          <w:szCs w:val="22"/>
        </w:rPr>
        <w:fldChar w:fldCharType="separate"/>
      </w:r>
      <w:r w:rsidRPr="00C31035">
        <w:rPr>
          <w:rFonts w:ascii="Arial" w:hAnsi="Arial" w:cs="Arial"/>
          <w:noProof/>
          <w:sz w:val="22"/>
          <w:szCs w:val="22"/>
        </w:rPr>
        <w:t>1.</w:t>
      </w:r>
      <w:r w:rsidRPr="00C31035">
        <w:rPr>
          <w:rFonts w:ascii="Arial" w:hAnsi="Arial" w:cs="Arial"/>
          <w:noProof/>
          <w:sz w:val="22"/>
          <w:szCs w:val="22"/>
        </w:rPr>
        <w:tab/>
        <w:t>Akbar RR, Kartika W, Khairunnisa M. The Effect of Stunting on Child Growth and Development.</w:t>
      </w:r>
      <w:r w:rsidRPr="00C31035">
        <w:rPr>
          <w:rFonts w:ascii="Arial" w:hAnsi="Arial" w:cs="Arial"/>
          <w:i/>
          <w:iCs/>
          <w:noProof/>
          <w:sz w:val="22"/>
          <w:szCs w:val="22"/>
        </w:rPr>
        <w:t>Sci J</w:t>
      </w:r>
      <w:r w:rsidRPr="00C31035">
        <w:rPr>
          <w:rFonts w:ascii="Arial" w:hAnsi="Arial" w:cs="Arial"/>
          <w:noProof/>
          <w:sz w:val="22"/>
          <w:szCs w:val="22"/>
        </w:rPr>
        <w:t>. 2023;2(4):153-160. doi:10.56260/sciena.v2i4.118</w:t>
      </w:r>
    </w:p>
    <w:p w14:paraId="2C97B038"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2.</w:t>
      </w:r>
      <w:r w:rsidRPr="00C31035">
        <w:rPr>
          <w:rFonts w:ascii="Arial" w:hAnsi="Arial" w:cs="Arial"/>
          <w:noProof/>
          <w:sz w:val="22"/>
          <w:szCs w:val="22"/>
        </w:rPr>
        <w:tab/>
        <w:t>Bahagia Febriani AD, Daud D, Rauf S, et al. Risk factors and nutritional profiles associated with stunting in children.</w:t>
      </w:r>
      <w:r w:rsidRPr="00C31035">
        <w:rPr>
          <w:rFonts w:ascii="Arial" w:hAnsi="Arial" w:cs="Arial"/>
          <w:i/>
          <w:iCs/>
          <w:noProof/>
          <w:sz w:val="22"/>
          <w:szCs w:val="22"/>
        </w:rPr>
        <w:t>Pediatr Gastroenterol Hepatol Nutr</w:t>
      </w:r>
      <w:r w:rsidRPr="00C31035">
        <w:rPr>
          <w:rFonts w:ascii="Arial" w:hAnsi="Arial" w:cs="Arial"/>
          <w:noProof/>
          <w:sz w:val="22"/>
          <w:szCs w:val="22"/>
        </w:rPr>
        <w:t>. 2020;23(5):457-463. doi:10.5223/PGHN.2020.23.5.457</w:t>
      </w:r>
    </w:p>
    <w:p w14:paraId="52501DFF"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lastRenderedPageBreak/>
        <w:t>3.</w:t>
      </w:r>
      <w:r w:rsidRPr="00C31035">
        <w:rPr>
          <w:rFonts w:ascii="Arial" w:hAnsi="Arial" w:cs="Arial"/>
          <w:noProof/>
          <w:sz w:val="22"/>
          <w:szCs w:val="22"/>
        </w:rPr>
        <w:tab/>
        <w:t>Ilmani DA, Fikawati S. Nutrition Intake as a Risk Factor of Stunting in Children Aged 25–30 Months in Central Jakarta, Indonesia.</w:t>
      </w:r>
      <w:r w:rsidRPr="00C31035">
        <w:rPr>
          <w:rFonts w:ascii="Arial" w:hAnsi="Arial" w:cs="Arial"/>
          <w:i/>
          <w:iCs/>
          <w:noProof/>
          <w:sz w:val="22"/>
          <w:szCs w:val="22"/>
        </w:rPr>
        <w:t>J Nutrition and Food</w:t>
      </w:r>
      <w:r w:rsidRPr="00C31035">
        <w:rPr>
          <w:rFonts w:ascii="Arial" w:hAnsi="Arial" w:cs="Arial"/>
          <w:noProof/>
          <w:sz w:val="22"/>
          <w:szCs w:val="22"/>
        </w:rPr>
        <w:t>. 2023;18(2):117-126. doi:10.25182/jgp.2023.18.2.117-126</w:t>
      </w:r>
    </w:p>
    <w:p w14:paraId="669BAEAE"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4.</w:t>
      </w:r>
      <w:r w:rsidRPr="00C31035">
        <w:rPr>
          <w:rFonts w:ascii="Arial" w:hAnsi="Arial" w:cs="Arial"/>
          <w:noProof/>
          <w:sz w:val="22"/>
          <w:szCs w:val="22"/>
        </w:rPr>
        <w:tab/>
        <w:t>Daryati ME, Hatta M, Wembrayarli W. The Relationship between Health Education Interventions and Changes in Parental Knowledge and Attitudes in Overcoming Stunting in Early Childhood.</w:t>
      </w:r>
      <w:r w:rsidRPr="00C31035">
        <w:rPr>
          <w:rFonts w:ascii="Arial" w:hAnsi="Arial" w:cs="Arial"/>
          <w:i/>
          <w:iCs/>
          <w:noProof/>
          <w:sz w:val="22"/>
          <w:szCs w:val="22"/>
        </w:rPr>
        <w:t>Temat J Thinker and Researcher Early Childhood Educator</w:t>
      </w:r>
      <w:r w:rsidRPr="00C31035">
        <w:rPr>
          <w:rFonts w:ascii="Arial" w:hAnsi="Arial" w:cs="Arial"/>
          <w:noProof/>
          <w:sz w:val="22"/>
          <w:szCs w:val="22"/>
        </w:rPr>
        <w:t>. 2024;10(1):12. doi:10.26858/tematic.v10i1.62130</w:t>
      </w:r>
    </w:p>
    <w:p w14:paraId="7D892A64"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5.</w:t>
      </w:r>
      <w:r w:rsidRPr="00C31035">
        <w:rPr>
          <w:rFonts w:ascii="Arial" w:hAnsi="Arial" w:cs="Arial"/>
          <w:noProof/>
          <w:sz w:val="22"/>
          <w:szCs w:val="22"/>
        </w:rPr>
        <w:tab/>
        <w:t>Sinaga LS, Candi C, Nadjib M, Bachtiar A. Nutritional Interventions To Reduce Stunting in Developing Countries: a Systematic Review.</w:t>
      </w:r>
      <w:r w:rsidRPr="00C31035">
        <w:rPr>
          <w:rFonts w:ascii="Arial" w:hAnsi="Arial" w:cs="Arial"/>
          <w:i/>
          <w:iCs/>
          <w:noProof/>
          <w:sz w:val="22"/>
          <w:szCs w:val="22"/>
        </w:rPr>
        <w:t>Public Health</w:t>
      </w:r>
      <w:r w:rsidRPr="00C31035">
        <w:rPr>
          <w:rFonts w:ascii="Arial" w:hAnsi="Arial" w:cs="Arial"/>
          <w:noProof/>
          <w:sz w:val="22"/>
          <w:szCs w:val="22"/>
        </w:rPr>
        <w:t>. Published online 2020:99-110. doi:10.26911/the7thicph-fp.03.20</w:t>
      </w:r>
    </w:p>
    <w:p w14:paraId="122C2EB9"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6.</w:t>
      </w:r>
      <w:r w:rsidRPr="00C31035">
        <w:rPr>
          <w:rFonts w:ascii="Arial" w:hAnsi="Arial" w:cs="Arial"/>
          <w:noProof/>
          <w:sz w:val="22"/>
          <w:szCs w:val="22"/>
        </w:rPr>
        <w:tab/>
        <w:t>Sukmawati E, Marzuki K, Batubara A, Harahap NA, Efendi E, Weraman P. The Effectiveness of Early Childhood Nutrition Health Education on Reducing the Incidence of Stunting.</w:t>
      </w:r>
      <w:r w:rsidRPr="00C31035">
        <w:rPr>
          <w:rFonts w:ascii="Arial" w:hAnsi="Arial" w:cs="Arial"/>
          <w:i/>
          <w:iCs/>
          <w:noProof/>
          <w:sz w:val="22"/>
          <w:szCs w:val="22"/>
        </w:rPr>
        <w:t>J Obs J Early Childhood Educator</w:t>
      </w:r>
      <w:r w:rsidRPr="00C31035">
        <w:rPr>
          <w:rFonts w:ascii="Arial" w:hAnsi="Arial" w:cs="Arial"/>
          <w:noProof/>
          <w:sz w:val="22"/>
          <w:szCs w:val="22"/>
        </w:rPr>
        <w:t>. 2023;7(4):4002-4012. doi:10.31004/obsesi.v7i4.4846</w:t>
      </w:r>
    </w:p>
    <w:p w14:paraId="4409345E"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7.</w:t>
      </w:r>
      <w:r w:rsidRPr="00C31035">
        <w:rPr>
          <w:rFonts w:ascii="Arial" w:hAnsi="Arial" w:cs="Arial"/>
          <w:noProof/>
          <w:sz w:val="22"/>
          <w:szCs w:val="22"/>
        </w:rPr>
        <w:tab/>
        <w:t>Rahangmetan MA, Yulaikhah L, Astuti EP, Rahmawati D. Impact of health education on stunting knowledge among mothers with children aged 1-5 years.</w:t>
      </w:r>
      <w:r w:rsidRPr="00C31035">
        <w:rPr>
          <w:rFonts w:ascii="Arial" w:hAnsi="Arial" w:cs="Arial"/>
          <w:i/>
          <w:iCs/>
          <w:noProof/>
          <w:sz w:val="22"/>
          <w:szCs w:val="22"/>
        </w:rPr>
        <w:t>Malahayati Int J Nurs Heal Sci</w:t>
      </w:r>
      <w:r w:rsidRPr="00C31035">
        <w:rPr>
          <w:rFonts w:ascii="Arial" w:hAnsi="Arial" w:cs="Arial"/>
          <w:noProof/>
          <w:sz w:val="22"/>
          <w:szCs w:val="22"/>
        </w:rPr>
        <w:t>. 2024;07(7):787-792.</w:t>
      </w:r>
    </w:p>
    <w:p w14:paraId="302AC6BA"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8.</w:t>
      </w:r>
      <w:r w:rsidRPr="00C31035">
        <w:rPr>
          <w:rFonts w:ascii="Arial" w:hAnsi="Arial" w:cs="Arial"/>
          <w:noProof/>
          <w:sz w:val="22"/>
          <w:szCs w:val="22"/>
        </w:rPr>
        <w:tab/>
        <w:t>Lestari E, Siregar A, Hidayat AK, Yusuf AA. Stunting and its association with education and cognitive outcomes in adulthood: A longitudinal study in Indonesia.</w:t>
      </w:r>
      <w:r w:rsidRPr="00C31035">
        <w:rPr>
          <w:rFonts w:ascii="Arial" w:hAnsi="Arial" w:cs="Arial"/>
          <w:i/>
          <w:iCs/>
          <w:noProof/>
          <w:sz w:val="22"/>
          <w:szCs w:val="22"/>
        </w:rPr>
        <w:t>PLoS One</w:t>
      </w:r>
      <w:r w:rsidRPr="00C31035">
        <w:rPr>
          <w:rFonts w:ascii="Arial" w:hAnsi="Arial" w:cs="Arial"/>
          <w:noProof/>
          <w:sz w:val="22"/>
          <w:szCs w:val="22"/>
        </w:rPr>
        <w:t>. 2024;19(5):1-18. doi:10.1371/journal.pone.0295380</w:t>
      </w:r>
    </w:p>
    <w:p w14:paraId="74169978"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9.</w:t>
      </w:r>
      <w:r w:rsidRPr="00C31035">
        <w:rPr>
          <w:rFonts w:ascii="Arial" w:hAnsi="Arial" w:cs="Arial"/>
          <w:noProof/>
          <w:sz w:val="22"/>
          <w:szCs w:val="22"/>
        </w:rPr>
        <w:tab/>
        <w:t>Manoppo MW, Huriah T. Nutrition intervention to prevent stunting in children aged 6-59 months.</w:t>
      </w:r>
      <w:r w:rsidRPr="00C31035">
        <w:rPr>
          <w:rFonts w:ascii="Arial" w:hAnsi="Arial" w:cs="Arial"/>
          <w:i/>
          <w:iCs/>
          <w:noProof/>
          <w:sz w:val="22"/>
          <w:szCs w:val="22"/>
        </w:rPr>
        <w:t>J Aisyah J Health Science</w:t>
      </w:r>
      <w:r w:rsidRPr="00C31035">
        <w:rPr>
          <w:rFonts w:ascii="Arial" w:hAnsi="Arial" w:cs="Arial"/>
          <w:noProof/>
          <w:sz w:val="22"/>
          <w:szCs w:val="22"/>
        </w:rPr>
        <w:t>. 2022;7(S2):147-154. doi:10.30604/jika.v7is2.1422</w:t>
      </w:r>
    </w:p>
    <w:p w14:paraId="220A90E0"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10.</w:t>
      </w:r>
      <w:r w:rsidRPr="00C31035">
        <w:rPr>
          <w:rFonts w:ascii="Arial" w:hAnsi="Arial" w:cs="Arial"/>
          <w:noProof/>
          <w:sz w:val="22"/>
          <w:szCs w:val="22"/>
        </w:rPr>
        <w:tab/>
        <w:t>Rezkillah AR, Surjoputro A, Sriatmi A. Stunting Prevention Interventions in Fulfilling Nutrition in Toddlers.</w:t>
      </w:r>
      <w:r w:rsidRPr="00C31035">
        <w:rPr>
          <w:rFonts w:ascii="Arial" w:hAnsi="Arial" w:cs="Arial"/>
          <w:i/>
          <w:iCs/>
          <w:noProof/>
          <w:sz w:val="22"/>
          <w:szCs w:val="22"/>
        </w:rPr>
        <w:t>J Health</w:t>
      </w:r>
      <w:r w:rsidRPr="00C31035">
        <w:rPr>
          <w:rFonts w:ascii="Arial" w:hAnsi="Arial" w:cs="Arial"/>
          <w:noProof/>
          <w:sz w:val="22"/>
          <w:szCs w:val="22"/>
        </w:rPr>
        <w:t>. 2023;3:169-181.</w:t>
      </w:r>
    </w:p>
    <w:p w14:paraId="0A6493A8"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11.</w:t>
      </w:r>
      <w:r w:rsidRPr="00C31035">
        <w:rPr>
          <w:rFonts w:ascii="Arial" w:hAnsi="Arial" w:cs="Arial"/>
          <w:noProof/>
          <w:sz w:val="22"/>
          <w:szCs w:val="22"/>
        </w:rPr>
        <w:tab/>
        <w:t>Global Nutrition Cluster. Management of wasting during a shortage or absence of specialized nutritious food products.</w:t>
      </w:r>
      <w:r w:rsidRPr="00C31035">
        <w:rPr>
          <w:rFonts w:ascii="Arial" w:hAnsi="Arial" w:cs="Arial"/>
          <w:i/>
          <w:iCs/>
          <w:noProof/>
          <w:sz w:val="22"/>
          <w:szCs w:val="22"/>
        </w:rPr>
        <w:t>Global Nutr Clust Tech alliance</w:t>
      </w:r>
      <w:r w:rsidRPr="00C31035">
        <w:rPr>
          <w:rFonts w:ascii="Arial" w:hAnsi="Arial" w:cs="Arial"/>
          <w:noProof/>
          <w:sz w:val="22"/>
          <w:szCs w:val="22"/>
        </w:rPr>
        <w:t>. Published online 2021:5-8.</w:t>
      </w:r>
    </w:p>
    <w:p w14:paraId="4F8142F0" w14:textId="77777777" w:rsidR="00990A60" w:rsidRPr="00C31035" w:rsidRDefault="00990A60" w:rsidP="00990A60">
      <w:pPr>
        <w:widowControl w:val="0"/>
        <w:autoSpaceDE w:val="0"/>
        <w:autoSpaceDN w:val="0"/>
        <w:adjustRightInd w:val="0"/>
        <w:ind w:left="640" w:hanging="640"/>
        <w:jc w:val="both"/>
        <w:rPr>
          <w:rFonts w:ascii="Arial" w:hAnsi="Arial" w:cs="Arial"/>
          <w:noProof/>
          <w:sz w:val="22"/>
          <w:szCs w:val="22"/>
        </w:rPr>
      </w:pPr>
      <w:r w:rsidRPr="00C31035">
        <w:rPr>
          <w:rFonts w:ascii="Arial" w:hAnsi="Arial" w:cs="Arial"/>
          <w:noProof/>
          <w:sz w:val="22"/>
          <w:szCs w:val="22"/>
        </w:rPr>
        <w:t>12.</w:t>
      </w:r>
      <w:r w:rsidRPr="00C31035">
        <w:rPr>
          <w:rFonts w:ascii="Arial" w:hAnsi="Arial" w:cs="Arial"/>
          <w:noProof/>
          <w:sz w:val="22"/>
          <w:szCs w:val="22"/>
        </w:rPr>
        <w:tab/>
        <w:t>Marlinawati DA. Education Media about Stunting Prevention on Adolescents in Islamic Boarding Schools.</w:t>
      </w:r>
      <w:r w:rsidRPr="00C31035">
        <w:rPr>
          <w:rFonts w:ascii="Arial" w:hAnsi="Arial" w:cs="Arial"/>
          <w:i/>
          <w:iCs/>
          <w:noProof/>
          <w:sz w:val="22"/>
          <w:szCs w:val="22"/>
        </w:rPr>
        <w:t>J Educ Heal Community Psychol</w:t>
      </w:r>
      <w:r w:rsidRPr="00C31035">
        <w:rPr>
          <w:rFonts w:ascii="Arial" w:hAnsi="Arial" w:cs="Arial"/>
          <w:noProof/>
          <w:sz w:val="22"/>
          <w:szCs w:val="22"/>
        </w:rPr>
        <w:t>. 2023;12(3):600. doi:10.12928/jehcp.v12i3.26812</w:t>
      </w:r>
    </w:p>
    <w:p w14:paraId="37746825" w14:textId="2CF1BFCA" w:rsidR="00B01FCD" w:rsidRPr="00C31035" w:rsidRDefault="00990A60" w:rsidP="00990A60">
      <w:pPr>
        <w:pStyle w:val="Body"/>
        <w:spacing w:after="0"/>
        <w:rPr>
          <w:rFonts w:ascii="Arial" w:hAnsi="Arial" w:cs="Arial"/>
          <w:b/>
          <w:sz w:val="22"/>
          <w:szCs w:val="22"/>
        </w:rPr>
      </w:pPr>
      <w:r w:rsidRPr="00C31035">
        <w:rPr>
          <w:rFonts w:ascii="Arial" w:hAnsi="Arial" w:cs="Arial"/>
          <w:b/>
          <w:bCs/>
          <w:sz w:val="22"/>
          <w:szCs w:val="22"/>
        </w:rPr>
        <w:fldChar w:fldCharType="end"/>
      </w:r>
    </w:p>
    <w:sectPr w:rsidR="00B01FCD" w:rsidRPr="00C31035" w:rsidSect="00990A60">
      <w:footerReference w:type="default" r:id="rId12"/>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AE00" w14:textId="77777777" w:rsidR="005C04AB" w:rsidRDefault="005C04AB" w:rsidP="00C37E61">
      <w:r>
        <w:separator/>
      </w:r>
    </w:p>
  </w:endnote>
  <w:endnote w:type="continuationSeparator" w:id="0">
    <w:p w14:paraId="50CD6C39" w14:textId="77777777" w:rsidR="005C04AB" w:rsidRDefault="005C04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988F" w14:textId="40341DA0" w:rsidR="00C37E61" w:rsidRPr="00BA5A87" w:rsidRDefault="0026078A" w:rsidP="00BA5A87">
    <w:pPr>
      <w:pStyle w:val="Footer"/>
    </w:pPr>
    <w:r w:rsidRPr="00BA5A8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6C3C" w14:textId="77777777" w:rsidR="009E048A" w:rsidRDefault="009E048A">
    <w:pPr>
      <w:pStyle w:val="Footer"/>
      <w:rPr>
        <w:rFonts w:ascii="Arial" w:hAnsi="Arial" w:cs="Arial"/>
        <w:sz w:val="16"/>
      </w:rPr>
    </w:pPr>
  </w:p>
  <w:p w14:paraId="3BAEFE2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3582B01" w14:textId="77777777" w:rsidR="009E048A" w:rsidRDefault="009E048A">
    <w:pPr>
      <w:pStyle w:val="Footer"/>
      <w:rPr>
        <w:rFonts w:ascii="Arial" w:hAnsi="Arial" w:cs="Arial"/>
        <w:sz w:val="16"/>
      </w:rPr>
    </w:pPr>
  </w:p>
  <w:p w14:paraId="287698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78D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21E0" w14:textId="77777777" w:rsidR="005C04AB" w:rsidRDefault="005C04AB" w:rsidP="00C37E61">
      <w:r>
        <w:separator/>
      </w:r>
    </w:p>
  </w:footnote>
  <w:footnote w:type="continuationSeparator" w:id="0">
    <w:p w14:paraId="163389D5" w14:textId="77777777" w:rsidR="005C04AB" w:rsidRDefault="005C04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DFEF" w14:textId="77777777" w:rsidR="00296529" w:rsidRPr="00296529" w:rsidRDefault="00296529" w:rsidP="00296529">
    <w:pPr>
      <w:ind w:left="2160"/>
      <w:jc w:val="center"/>
      <w:rPr>
        <w:rFonts w:ascii="Times New Roman" w:eastAsia="Calibri" w:hAnsi="Times New Roman"/>
        <w:i/>
        <w:sz w:val="18"/>
        <w:szCs w:val="22"/>
      </w:rPr>
    </w:pPr>
  </w:p>
  <w:p w14:paraId="0960926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DCD3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AAD92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5966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AF42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8A718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41E4"/>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078A"/>
    <w:rsid w:val="00283105"/>
    <w:rsid w:val="00284C4C"/>
    <w:rsid w:val="00287E68"/>
    <w:rsid w:val="00296529"/>
    <w:rsid w:val="002B27FB"/>
    <w:rsid w:val="002B685A"/>
    <w:rsid w:val="002C57D2"/>
    <w:rsid w:val="002E0D56"/>
    <w:rsid w:val="002F2CA4"/>
    <w:rsid w:val="0030148C"/>
    <w:rsid w:val="00314741"/>
    <w:rsid w:val="00315186"/>
    <w:rsid w:val="0033343E"/>
    <w:rsid w:val="003512C2"/>
    <w:rsid w:val="0035686B"/>
    <w:rsid w:val="00371FB6"/>
    <w:rsid w:val="003763C1"/>
    <w:rsid w:val="00376BBE"/>
    <w:rsid w:val="0039224F"/>
    <w:rsid w:val="003A43A4"/>
    <w:rsid w:val="003A7E18"/>
    <w:rsid w:val="003C10D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2557"/>
    <w:rsid w:val="00554FDA"/>
    <w:rsid w:val="00584B66"/>
    <w:rsid w:val="005C04AB"/>
    <w:rsid w:val="005C5DB9"/>
    <w:rsid w:val="005C784C"/>
    <w:rsid w:val="005D17F6"/>
    <w:rsid w:val="005E5539"/>
    <w:rsid w:val="00602BF5"/>
    <w:rsid w:val="00617FDD"/>
    <w:rsid w:val="00633614"/>
    <w:rsid w:val="00633C12"/>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37FE"/>
    <w:rsid w:val="007369E6"/>
    <w:rsid w:val="00746E59"/>
    <w:rsid w:val="00754C9A"/>
    <w:rsid w:val="0075599A"/>
    <w:rsid w:val="00761D52"/>
    <w:rsid w:val="00770B92"/>
    <w:rsid w:val="0077196A"/>
    <w:rsid w:val="0077749E"/>
    <w:rsid w:val="00790ADA"/>
    <w:rsid w:val="007D2288"/>
    <w:rsid w:val="007E088F"/>
    <w:rsid w:val="007F6DFC"/>
    <w:rsid w:val="007F7B32"/>
    <w:rsid w:val="00804BC2"/>
    <w:rsid w:val="0081431A"/>
    <w:rsid w:val="0083216F"/>
    <w:rsid w:val="00860000"/>
    <w:rsid w:val="00863BD3"/>
    <w:rsid w:val="008641ED"/>
    <w:rsid w:val="00866D66"/>
    <w:rsid w:val="008671C6"/>
    <w:rsid w:val="00875803"/>
    <w:rsid w:val="008B459E"/>
    <w:rsid w:val="008D740C"/>
    <w:rsid w:val="008E13AE"/>
    <w:rsid w:val="008E1506"/>
    <w:rsid w:val="008E710C"/>
    <w:rsid w:val="008F69D6"/>
    <w:rsid w:val="00902823"/>
    <w:rsid w:val="00913C48"/>
    <w:rsid w:val="00915CA6"/>
    <w:rsid w:val="00927834"/>
    <w:rsid w:val="009500A6"/>
    <w:rsid w:val="00957C18"/>
    <w:rsid w:val="009659BA"/>
    <w:rsid w:val="00983040"/>
    <w:rsid w:val="00990A6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0D41"/>
    <w:rsid w:val="00B41060"/>
    <w:rsid w:val="00B52583"/>
    <w:rsid w:val="00B52896"/>
    <w:rsid w:val="00B95236"/>
    <w:rsid w:val="00B96BD9"/>
    <w:rsid w:val="00BA1B01"/>
    <w:rsid w:val="00BA2641"/>
    <w:rsid w:val="00BA5A87"/>
    <w:rsid w:val="00BB37AA"/>
    <w:rsid w:val="00BC53A0"/>
    <w:rsid w:val="00BE62AD"/>
    <w:rsid w:val="00BF121F"/>
    <w:rsid w:val="00BF1F80"/>
    <w:rsid w:val="00BF45AD"/>
    <w:rsid w:val="00C06B70"/>
    <w:rsid w:val="00C166EF"/>
    <w:rsid w:val="00C17EB0"/>
    <w:rsid w:val="00C27F5F"/>
    <w:rsid w:val="00C30A0F"/>
    <w:rsid w:val="00C31035"/>
    <w:rsid w:val="00C37E61"/>
    <w:rsid w:val="00C70F1B"/>
    <w:rsid w:val="00C71A47"/>
    <w:rsid w:val="00C7464C"/>
    <w:rsid w:val="00C85588"/>
    <w:rsid w:val="00CD6755"/>
    <w:rsid w:val="00CD6856"/>
    <w:rsid w:val="00CE0089"/>
    <w:rsid w:val="00CE0CD4"/>
    <w:rsid w:val="00CE793C"/>
    <w:rsid w:val="00CF193C"/>
    <w:rsid w:val="00CF3FA7"/>
    <w:rsid w:val="00D173F1"/>
    <w:rsid w:val="00D40B7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9BF"/>
    <w:rsid w:val="00EA012C"/>
    <w:rsid w:val="00EC547C"/>
    <w:rsid w:val="00EC6A55"/>
    <w:rsid w:val="00ED0288"/>
    <w:rsid w:val="00EE52CB"/>
    <w:rsid w:val="00EF581D"/>
    <w:rsid w:val="00EF7FD8"/>
    <w:rsid w:val="00F0522B"/>
    <w:rsid w:val="00F06F59"/>
    <w:rsid w:val="00F17988"/>
    <w:rsid w:val="00F469F0"/>
    <w:rsid w:val="00F53273"/>
    <w:rsid w:val="00F755E4"/>
    <w:rsid w:val="00F77D02"/>
    <w:rsid w:val="00F96FF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703D05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2607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98099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F2EE-7E2E-4214-A7F1-DD5F6EAE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8</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46784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35</cp:revision>
  <cp:lastPrinted>1999-07-06T11:00:00Z</cp:lastPrinted>
  <dcterms:created xsi:type="dcterms:W3CDTF">2014-10-25T14:34:00Z</dcterms:created>
  <dcterms:modified xsi:type="dcterms:W3CDTF">2025-07-07T10:24:00Z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cca22907-6f60-4400-bada-c4c0932346b6</vt:lpwstr>
  </property>
</Properties>
</file>