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B7DEA" w14:textId="32FDA296" w:rsidR="00613BD0" w:rsidRDefault="00214FB2" w:rsidP="00C003CB">
      <w:pPr>
        <w:spacing w:before="36" w:after="10" w:line="240" w:lineRule="auto"/>
        <w:ind w:left="720" w:right="720"/>
        <w:jc w:val="right"/>
        <w:rPr>
          <w:rFonts w:ascii="Arial" w:hAnsi="Arial" w:cs="Arial"/>
          <w:b/>
          <w:bCs/>
          <w:sz w:val="36"/>
          <w:szCs w:val="36"/>
        </w:rPr>
      </w:pPr>
      <w:r w:rsidRPr="00C003CB">
        <w:rPr>
          <w:rFonts w:ascii="Arial" w:hAnsi="Arial" w:cs="Arial"/>
          <w:b/>
          <w:bCs/>
          <w:sz w:val="36"/>
          <w:szCs w:val="36"/>
        </w:rPr>
        <w:t>Integrating Safety and Circularity: A Protocol Framework for Material-Reuse in Construction Workflows</w:t>
      </w:r>
    </w:p>
    <w:p w14:paraId="4E66F638" w14:textId="2C235CE8" w:rsidR="00C003CB" w:rsidRPr="000E1C90" w:rsidRDefault="000E1C90" w:rsidP="000E1C90">
      <w:pPr>
        <w:spacing w:before="36" w:after="10" w:line="240" w:lineRule="auto"/>
        <w:ind w:left="720" w:right="720"/>
        <w:rPr>
          <w:rFonts w:ascii="Arial" w:hAnsi="Arial" w:cs="Arial"/>
          <w:bCs/>
          <w:sz w:val="20"/>
          <w:szCs w:val="20"/>
        </w:rPr>
      </w:pPr>
      <w:r w:rsidRPr="000E1C90">
        <w:rPr>
          <w:rFonts w:ascii="Arial" w:hAnsi="Arial" w:cs="Arial"/>
          <w:bCs/>
          <w:sz w:val="20"/>
          <w:szCs w:val="20"/>
          <w:highlight w:val="yellow"/>
        </w:rPr>
        <w:t>Type of Article: Review Article</w:t>
      </w:r>
    </w:p>
    <w:p w14:paraId="63B907D6" w14:textId="435B28F3" w:rsidR="00C003CB" w:rsidRDefault="00C003CB" w:rsidP="00C003CB">
      <w:pPr>
        <w:spacing w:before="36" w:after="10" w:line="240" w:lineRule="auto"/>
        <w:ind w:left="720" w:right="720"/>
        <w:rPr>
          <w:rFonts w:ascii="Arial" w:hAnsi="Arial" w:cs="Arial"/>
          <w:b/>
          <w:bCs/>
          <w:sz w:val="20"/>
          <w:szCs w:val="20"/>
        </w:rPr>
      </w:pPr>
      <w:r>
        <w:rPr>
          <w:rFonts w:ascii="Arial" w:hAnsi="Arial" w:cs="Arial"/>
          <w:noProof/>
          <w:lang w:val="en-US"/>
        </w:rPr>
        <mc:AlternateContent>
          <mc:Choice Requires="wps">
            <w:drawing>
              <wp:inline distT="0" distB="0" distL="0" distR="0" wp14:anchorId="1F533914" wp14:editId="55980095">
                <wp:extent cx="5303520" cy="635"/>
                <wp:effectExtent l="9525" t="9525" r="11430" b="9525"/>
                <wp:docPr id="4955709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C260D4"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48265D01" w14:textId="77777777" w:rsidR="00C003CB" w:rsidRPr="00C003CB" w:rsidRDefault="00C003CB" w:rsidP="00C003CB">
      <w:pPr>
        <w:spacing w:before="36" w:after="10" w:line="240" w:lineRule="auto"/>
        <w:ind w:left="720" w:right="720"/>
        <w:jc w:val="right"/>
        <w:rPr>
          <w:rFonts w:ascii="Arial" w:hAnsi="Arial" w:cs="Arial"/>
          <w:b/>
          <w:bCs/>
          <w:sz w:val="20"/>
          <w:szCs w:val="20"/>
        </w:rPr>
      </w:pPr>
    </w:p>
    <w:p w14:paraId="3EF9546D" w14:textId="78EE97CF" w:rsidR="00214FB2" w:rsidRDefault="00C003CB" w:rsidP="00C003CB">
      <w:pPr>
        <w:spacing w:before="36" w:after="10" w:line="240" w:lineRule="auto"/>
        <w:ind w:left="720" w:right="720"/>
        <w:jc w:val="both"/>
        <w:rPr>
          <w:rFonts w:ascii="Arial" w:hAnsi="Arial" w:cs="Arial"/>
          <w:b/>
          <w:bCs/>
          <w:sz w:val="22"/>
          <w:szCs w:val="22"/>
        </w:rPr>
      </w:pPr>
      <w:r w:rsidRPr="00C003CB">
        <w:rPr>
          <w:rFonts w:ascii="Arial" w:hAnsi="Arial" w:cs="Arial"/>
          <w:b/>
          <w:bCs/>
          <w:sz w:val="22"/>
          <w:szCs w:val="22"/>
        </w:rPr>
        <w:t>ABSTRACT</w:t>
      </w:r>
    </w:p>
    <w:tbl>
      <w:tblPr>
        <w:tblStyle w:val="TableGrid"/>
        <w:tblW w:w="0" w:type="auto"/>
        <w:tblInd w:w="720" w:type="dxa"/>
        <w:tblLook w:val="04A0" w:firstRow="1" w:lastRow="0" w:firstColumn="1" w:lastColumn="0" w:noHBand="0" w:noVBand="1"/>
      </w:tblPr>
      <w:tblGrid>
        <w:gridCol w:w="8728"/>
      </w:tblGrid>
      <w:tr w:rsidR="00C003CB" w14:paraId="406F3D13" w14:textId="77777777" w:rsidTr="006A2B61">
        <w:trPr>
          <w:trHeight w:val="5307"/>
        </w:trPr>
        <w:tc>
          <w:tcPr>
            <w:tcW w:w="8728" w:type="dxa"/>
          </w:tcPr>
          <w:p w14:paraId="4BF93DAD" w14:textId="544EA166" w:rsidR="001510A5" w:rsidRDefault="00443CCC" w:rsidP="00C003CB">
            <w:pPr>
              <w:spacing w:before="36" w:after="10"/>
              <w:ind w:right="720"/>
              <w:jc w:val="both"/>
              <w:rPr>
                <w:rFonts w:ascii="Arial" w:hAnsi="Arial" w:cs="Arial"/>
                <w:sz w:val="20"/>
                <w:szCs w:val="20"/>
              </w:rPr>
            </w:pPr>
            <w:r w:rsidRPr="000F69B1">
              <w:rPr>
                <w:rFonts w:ascii="Arial" w:hAnsi="Arial" w:cs="Arial"/>
                <w:sz w:val="20"/>
                <w:szCs w:val="20"/>
              </w:rPr>
              <w:t xml:space="preserve">The construction industry continues to face dual challenges of occupational hazards and unsustainable material consumption. While circular economy principles such as material reuse have gained momentum, their integration with construction safety protocols remains underdeveloped. </w:t>
            </w:r>
          </w:p>
          <w:p w14:paraId="68945D3E" w14:textId="77777777" w:rsidR="001510A5" w:rsidRDefault="001510A5" w:rsidP="00C003CB">
            <w:pPr>
              <w:spacing w:before="36" w:after="10"/>
              <w:ind w:right="720"/>
              <w:jc w:val="both"/>
              <w:rPr>
                <w:rFonts w:ascii="Arial" w:hAnsi="Arial" w:cs="Arial"/>
                <w:sz w:val="20"/>
                <w:szCs w:val="20"/>
              </w:rPr>
            </w:pPr>
            <w:r w:rsidRPr="001510A5">
              <w:rPr>
                <w:rFonts w:ascii="Arial" w:hAnsi="Arial" w:cs="Arial"/>
                <w:b/>
                <w:bCs/>
                <w:sz w:val="20"/>
                <w:szCs w:val="20"/>
              </w:rPr>
              <w:t xml:space="preserve">Aims: </w:t>
            </w:r>
            <w:r w:rsidR="00443CCC" w:rsidRPr="000F69B1">
              <w:rPr>
                <w:rFonts w:ascii="Arial" w:hAnsi="Arial" w:cs="Arial"/>
                <w:sz w:val="20"/>
                <w:szCs w:val="20"/>
              </w:rPr>
              <w:t xml:space="preserve">This research aims to develop a practical and scalable protocol that integrates health and safety standards with circular construction practices. </w:t>
            </w:r>
          </w:p>
          <w:p w14:paraId="352C8971" w14:textId="686E3FD9" w:rsidR="00C003CB" w:rsidRDefault="00443CCC" w:rsidP="00C003CB">
            <w:pPr>
              <w:spacing w:before="36" w:after="10"/>
              <w:ind w:right="720"/>
              <w:jc w:val="both"/>
              <w:rPr>
                <w:rFonts w:ascii="Arial" w:hAnsi="Arial" w:cs="Arial"/>
                <w:b/>
                <w:bCs/>
                <w:sz w:val="20"/>
                <w:szCs w:val="20"/>
              </w:rPr>
            </w:pPr>
            <w:r w:rsidRPr="000F69B1">
              <w:rPr>
                <w:rFonts w:ascii="Arial" w:hAnsi="Arial" w:cs="Arial"/>
                <w:sz w:val="20"/>
                <w:szCs w:val="20"/>
              </w:rPr>
              <w:t xml:space="preserve">The specific objectives are: (1) to identify core safety risks associated with material recovery and reuse on construction sites; (2) to evaluate existing protocols that support safe deconstruction and material handling; and (3) to propose a unified framework that ensures worker safety while maximizing resource circularity. </w:t>
            </w:r>
          </w:p>
          <w:p w14:paraId="417AA41B" w14:textId="424C0500" w:rsidR="00C003CB" w:rsidRPr="00995174" w:rsidRDefault="00C003CB" w:rsidP="00C003CB">
            <w:pPr>
              <w:spacing w:before="36" w:after="10"/>
              <w:ind w:right="720"/>
              <w:jc w:val="both"/>
              <w:rPr>
                <w:rFonts w:ascii="Arial" w:hAnsi="Arial" w:cs="Arial"/>
                <w:sz w:val="20"/>
                <w:szCs w:val="20"/>
              </w:rPr>
            </w:pPr>
            <w:r>
              <w:rPr>
                <w:rFonts w:ascii="Arial" w:hAnsi="Arial" w:cs="Arial"/>
                <w:b/>
                <w:bCs/>
                <w:sz w:val="20"/>
                <w:szCs w:val="20"/>
              </w:rPr>
              <w:t>Study design</w:t>
            </w:r>
            <w:r w:rsidR="00995174">
              <w:rPr>
                <w:rFonts w:ascii="Arial" w:hAnsi="Arial" w:cs="Arial"/>
                <w:b/>
                <w:bCs/>
                <w:sz w:val="20"/>
                <w:szCs w:val="20"/>
              </w:rPr>
              <w:t xml:space="preserve">: </w:t>
            </w:r>
            <w:r w:rsidR="00995174" w:rsidRPr="00995174">
              <w:rPr>
                <w:rFonts w:ascii="Arial" w:hAnsi="Arial" w:cs="Arial"/>
                <w:sz w:val="20"/>
                <w:szCs w:val="20"/>
              </w:rPr>
              <w:t>This study follows</w:t>
            </w:r>
            <w:r w:rsidR="00995174">
              <w:rPr>
                <w:rFonts w:ascii="Arial" w:hAnsi="Arial" w:cs="Arial"/>
                <w:b/>
                <w:bCs/>
                <w:sz w:val="20"/>
                <w:szCs w:val="20"/>
              </w:rPr>
              <w:t xml:space="preserve"> </w:t>
            </w:r>
            <w:r w:rsidR="00F63B57">
              <w:rPr>
                <w:rFonts w:ascii="Arial" w:hAnsi="Arial" w:cs="Arial"/>
                <w:sz w:val="20"/>
                <w:szCs w:val="20"/>
              </w:rPr>
              <w:t>a quantitativ</w:t>
            </w:r>
            <w:r w:rsidR="00995174">
              <w:rPr>
                <w:rFonts w:ascii="Arial" w:hAnsi="Arial" w:cs="Arial"/>
                <w:sz w:val="20"/>
                <w:szCs w:val="20"/>
              </w:rPr>
              <w:t>e research study design.</w:t>
            </w:r>
          </w:p>
          <w:p w14:paraId="0D45E6FC" w14:textId="29EB8CA1" w:rsidR="00C003CB" w:rsidRDefault="00C003CB" w:rsidP="00C003CB">
            <w:pPr>
              <w:spacing w:before="36" w:after="10"/>
              <w:ind w:right="720"/>
              <w:jc w:val="both"/>
              <w:rPr>
                <w:rFonts w:ascii="Arial" w:hAnsi="Arial" w:cs="Arial"/>
                <w:b/>
                <w:bCs/>
                <w:sz w:val="20"/>
                <w:szCs w:val="20"/>
              </w:rPr>
            </w:pPr>
            <w:r>
              <w:rPr>
                <w:rFonts w:ascii="Arial" w:hAnsi="Arial" w:cs="Arial"/>
                <w:b/>
                <w:bCs/>
                <w:sz w:val="20"/>
                <w:szCs w:val="20"/>
              </w:rPr>
              <w:t>Methodology</w:t>
            </w:r>
            <w:r w:rsidR="00443CCC">
              <w:rPr>
                <w:rFonts w:ascii="Arial" w:hAnsi="Arial" w:cs="Arial"/>
                <w:b/>
                <w:bCs/>
                <w:sz w:val="20"/>
                <w:szCs w:val="20"/>
              </w:rPr>
              <w:t xml:space="preserve">: </w:t>
            </w:r>
            <w:r w:rsidR="00443CCC" w:rsidRPr="000F69B1">
              <w:rPr>
                <w:rFonts w:ascii="Arial" w:hAnsi="Arial" w:cs="Arial"/>
                <w:sz w:val="20"/>
                <w:szCs w:val="20"/>
              </w:rPr>
              <w:t xml:space="preserve">A </w:t>
            </w:r>
            <w:r w:rsidR="00F63B57" w:rsidRPr="00F63B57">
              <w:rPr>
                <w:rFonts w:ascii="Arial" w:hAnsi="Arial" w:cs="Arial"/>
                <w:sz w:val="20"/>
                <w:szCs w:val="20"/>
              </w:rPr>
              <w:t xml:space="preserve">systematic bibliometric literature review </w:t>
            </w:r>
            <w:r w:rsidR="00443CCC" w:rsidRPr="000F69B1">
              <w:rPr>
                <w:rFonts w:ascii="Arial" w:hAnsi="Arial" w:cs="Arial"/>
                <w:sz w:val="20"/>
                <w:szCs w:val="20"/>
              </w:rPr>
              <w:t xml:space="preserve">was conducted using the Scopus database, analysing publications from 2014 to 2025 using keywords such as </w:t>
            </w:r>
            <w:r w:rsidR="00443CCC" w:rsidRPr="000F69B1">
              <w:rPr>
                <w:rFonts w:ascii="Arial" w:hAnsi="Arial" w:cs="Arial"/>
                <w:i/>
                <w:iCs/>
                <w:sz w:val="20"/>
                <w:szCs w:val="20"/>
              </w:rPr>
              <w:t>“construction safety”</w:t>
            </w:r>
            <w:r w:rsidR="00443CCC" w:rsidRPr="000F69B1">
              <w:rPr>
                <w:rFonts w:ascii="Arial" w:hAnsi="Arial" w:cs="Arial"/>
                <w:sz w:val="20"/>
                <w:szCs w:val="20"/>
              </w:rPr>
              <w:t xml:space="preserve">, </w:t>
            </w:r>
            <w:r w:rsidR="00443CCC" w:rsidRPr="000F69B1">
              <w:rPr>
                <w:rFonts w:ascii="Arial" w:hAnsi="Arial" w:cs="Arial"/>
                <w:i/>
                <w:iCs/>
                <w:sz w:val="20"/>
                <w:szCs w:val="20"/>
              </w:rPr>
              <w:t>“circular economy”</w:t>
            </w:r>
            <w:r w:rsidR="00443CCC" w:rsidRPr="000F69B1">
              <w:rPr>
                <w:rFonts w:ascii="Arial" w:hAnsi="Arial" w:cs="Arial"/>
                <w:sz w:val="20"/>
                <w:szCs w:val="20"/>
              </w:rPr>
              <w:t xml:space="preserve">, </w:t>
            </w:r>
            <w:r w:rsidR="00443CCC" w:rsidRPr="000F69B1">
              <w:rPr>
                <w:rFonts w:ascii="Arial" w:hAnsi="Arial" w:cs="Arial"/>
                <w:i/>
                <w:iCs/>
                <w:sz w:val="20"/>
                <w:szCs w:val="20"/>
              </w:rPr>
              <w:t>“material reuse”</w:t>
            </w:r>
            <w:r w:rsidR="00443CCC" w:rsidRPr="000F69B1">
              <w:rPr>
                <w:rFonts w:ascii="Arial" w:hAnsi="Arial" w:cs="Arial"/>
                <w:sz w:val="20"/>
                <w:szCs w:val="20"/>
              </w:rPr>
              <w:t xml:space="preserve">, </w:t>
            </w:r>
            <w:r w:rsidR="00443CCC" w:rsidRPr="000F69B1">
              <w:rPr>
                <w:rFonts w:ascii="Arial" w:hAnsi="Arial" w:cs="Arial"/>
                <w:i/>
                <w:iCs/>
                <w:sz w:val="20"/>
                <w:szCs w:val="20"/>
              </w:rPr>
              <w:t>“deconstruction”</w:t>
            </w:r>
            <w:r w:rsidR="00443CCC" w:rsidRPr="000F69B1">
              <w:rPr>
                <w:rFonts w:ascii="Arial" w:hAnsi="Arial" w:cs="Arial"/>
                <w:sz w:val="20"/>
                <w:szCs w:val="20"/>
              </w:rPr>
              <w:t xml:space="preserve">, and </w:t>
            </w:r>
            <w:r w:rsidR="00443CCC" w:rsidRPr="000F69B1">
              <w:rPr>
                <w:rFonts w:ascii="Arial" w:hAnsi="Arial" w:cs="Arial"/>
                <w:i/>
                <w:iCs/>
                <w:sz w:val="20"/>
                <w:szCs w:val="20"/>
              </w:rPr>
              <w:t>“occupational health”</w:t>
            </w:r>
            <w:r w:rsidR="00443CCC" w:rsidRPr="000F69B1">
              <w:rPr>
                <w:rFonts w:ascii="Arial" w:hAnsi="Arial" w:cs="Arial"/>
                <w:sz w:val="20"/>
                <w:szCs w:val="20"/>
              </w:rPr>
              <w:t xml:space="preserve">. PRISMA screening and </w:t>
            </w:r>
            <w:proofErr w:type="spellStart"/>
            <w:r w:rsidR="00443CCC" w:rsidRPr="000F69B1">
              <w:rPr>
                <w:rFonts w:ascii="Arial" w:hAnsi="Arial" w:cs="Arial"/>
                <w:sz w:val="20"/>
                <w:szCs w:val="20"/>
              </w:rPr>
              <w:t>VOSviewer</w:t>
            </w:r>
            <w:proofErr w:type="spellEnd"/>
            <w:r w:rsidR="00443CCC" w:rsidRPr="000F69B1">
              <w:rPr>
                <w:rFonts w:ascii="Arial" w:hAnsi="Arial" w:cs="Arial"/>
                <w:sz w:val="20"/>
                <w:szCs w:val="20"/>
              </w:rPr>
              <w:t xml:space="preserve"> tools were used to map trends and knowledge gaps across construction safety and circularity domains</w:t>
            </w:r>
            <w:r w:rsidR="00443CCC">
              <w:rPr>
                <w:rFonts w:ascii="Arial" w:hAnsi="Arial" w:cs="Arial"/>
                <w:sz w:val="20"/>
                <w:szCs w:val="20"/>
              </w:rPr>
              <w:t>.</w:t>
            </w:r>
          </w:p>
          <w:p w14:paraId="0080EDBE" w14:textId="2326FFA8" w:rsidR="00C003CB" w:rsidRDefault="00C003CB" w:rsidP="00C003CB">
            <w:pPr>
              <w:spacing w:before="36" w:after="10"/>
              <w:ind w:right="720"/>
              <w:jc w:val="both"/>
              <w:rPr>
                <w:rFonts w:ascii="Arial" w:hAnsi="Arial" w:cs="Arial"/>
                <w:b/>
                <w:bCs/>
                <w:sz w:val="20"/>
                <w:szCs w:val="20"/>
              </w:rPr>
            </w:pPr>
            <w:r>
              <w:rPr>
                <w:rFonts w:ascii="Arial" w:hAnsi="Arial" w:cs="Arial"/>
                <w:b/>
                <w:bCs/>
                <w:sz w:val="20"/>
                <w:szCs w:val="20"/>
              </w:rPr>
              <w:t>Results</w:t>
            </w:r>
            <w:r w:rsidR="00443CCC">
              <w:rPr>
                <w:rFonts w:ascii="Arial" w:hAnsi="Arial" w:cs="Arial"/>
                <w:b/>
                <w:bCs/>
                <w:sz w:val="20"/>
                <w:szCs w:val="20"/>
              </w:rPr>
              <w:t xml:space="preserve">: </w:t>
            </w:r>
            <w:r w:rsidR="00443CCC" w:rsidRPr="000F69B1">
              <w:rPr>
                <w:rFonts w:ascii="Arial" w:hAnsi="Arial" w:cs="Arial"/>
                <w:sz w:val="20"/>
                <w:szCs w:val="20"/>
              </w:rPr>
              <w:t xml:space="preserve">The findings reveal limited intersection between both fields, with only 9% of reviewed studies addressing them jointly. </w:t>
            </w:r>
          </w:p>
          <w:p w14:paraId="47FC9865" w14:textId="2EF514AD" w:rsidR="00C003CB" w:rsidRPr="00443CCC" w:rsidRDefault="00C003CB" w:rsidP="00C003CB">
            <w:pPr>
              <w:spacing w:before="36" w:after="10"/>
              <w:ind w:right="720"/>
              <w:jc w:val="both"/>
              <w:rPr>
                <w:rFonts w:ascii="Arial" w:hAnsi="Arial" w:cs="Arial"/>
                <w:b/>
                <w:bCs/>
                <w:sz w:val="20"/>
                <w:szCs w:val="20"/>
              </w:rPr>
            </w:pPr>
            <w:r>
              <w:rPr>
                <w:rFonts w:ascii="Arial" w:hAnsi="Arial" w:cs="Arial"/>
                <w:b/>
                <w:bCs/>
                <w:sz w:val="20"/>
                <w:szCs w:val="20"/>
              </w:rPr>
              <w:t>Conclusion</w:t>
            </w:r>
            <w:r w:rsidR="00443CCC">
              <w:rPr>
                <w:rFonts w:ascii="Arial" w:hAnsi="Arial" w:cs="Arial"/>
                <w:b/>
                <w:bCs/>
                <w:sz w:val="20"/>
                <w:szCs w:val="20"/>
              </w:rPr>
              <w:t xml:space="preserve">: </w:t>
            </w:r>
            <w:r w:rsidRPr="000F69B1">
              <w:rPr>
                <w:rFonts w:ascii="Arial" w:hAnsi="Arial" w:cs="Arial"/>
                <w:sz w:val="20"/>
                <w:szCs w:val="20"/>
              </w:rPr>
              <w:t>The study recommends a “Safety-Circular Integration Framework” (SCIF) comprising adaptive PPE guidance, standardized reusable material handling procedures, and embedded safety checks within circular workflows. This approach offers a dual pathway to reduce construction waste and improve on-site wellbeing, contributing to the sustainable transformation of the built environment.</w:t>
            </w:r>
          </w:p>
        </w:tc>
      </w:tr>
    </w:tbl>
    <w:p w14:paraId="42ADB7ED" w14:textId="77777777" w:rsidR="00C003CB" w:rsidRPr="00C003CB" w:rsidRDefault="00C003CB" w:rsidP="00C003CB">
      <w:pPr>
        <w:spacing w:before="36" w:after="10" w:line="240" w:lineRule="auto"/>
        <w:ind w:left="720" w:right="720"/>
        <w:jc w:val="both"/>
        <w:rPr>
          <w:rFonts w:ascii="Arial" w:hAnsi="Arial" w:cs="Arial"/>
          <w:b/>
          <w:bCs/>
          <w:sz w:val="22"/>
          <w:szCs w:val="22"/>
        </w:rPr>
      </w:pPr>
    </w:p>
    <w:p w14:paraId="2FAFB1A6" w14:textId="7811BA66" w:rsidR="004862C4" w:rsidRDefault="004862C4" w:rsidP="00C003CB">
      <w:pPr>
        <w:spacing w:before="36" w:after="10" w:line="240" w:lineRule="auto"/>
        <w:ind w:left="720" w:right="720"/>
        <w:jc w:val="both"/>
        <w:rPr>
          <w:rFonts w:ascii="Arial" w:hAnsi="Arial" w:cs="Arial"/>
          <w:i/>
          <w:iCs/>
          <w:sz w:val="20"/>
          <w:szCs w:val="20"/>
        </w:rPr>
      </w:pPr>
      <w:r w:rsidRPr="00C003CB">
        <w:rPr>
          <w:rFonts w:ascii="Arial" w:hAnsi="Arial" w:cs="Arial"/>
          <w:i/>
          <w:iCs/>
          <w:sz w:val="20"/>
          <w:szCs w:val="20"/>
        </w:rPr>
        <w:t>Keywords: “construction safety”, “circular economy”, “material reuse”, “deconstruction”, and “occupational health”</w:t>
      </w:r>
    </w:p>
    <w:p w14:paraId="5B28C0BB" w14:textId="4576B281" w:rsidR="00D27FC8" w:rsidRDefault="00D27FC8" w:rsidP="00C003CB">
      <w:pPr>
        <w:spacing w:before="36" w:after="10" w:line="240" w:lineRule="auto"/>
        <w:ind w:left="720" w:right="720"/>
        <w:jc w:val="both"/>
        <w:rPr>
          <w:rFonts w:ascii="Arial" w:hAnsi="Arial" w:cs="Arial"/>
          <w:i/>
          <w:iCs/>
          <w:sz w:val="20"/>
          <w:szCs w:val="20"/>
        </w:rPr>
      </w:pPr>
    </w:p>
    <w:p w14:paraId="59944BD8" w14:textId="26EAFA95" w:rsidR="00CC4B1D" w:rsidRPr="002C1B1F" w:rsidRDefault="002C1B1F" w:rsidP="002C1B1F">
      <w:pPr>
        <w:pStyle w:val="ListParagraph"/>
        <w:numPr>
          <w:ilvl w:val="0"/>
          <w:numId w:val="4"/>
        </w:numPr>
        <w:spacing w:before="36" w:after="10" w:line="240" w:lineRule="auto"/>
        <w:ind w:right="720"/>
        <w:jc w:val="both"/>
        <w:rPr>
          <w:rFonts w:ascii="Arial" w:hAnsi="Arial" w:cs="Arial"/>
          <w:sz w:val="22"/>
          <w:szCs w:val="22"/>
        </w:rPr>
      </w:pPr>
      <w:r w:rsidRPr="002C1B1F">
        <w:rPr>
          <w:rFonts w:ascii="Arial" w:hAnsi="Arial" w:cs="Arial"/>
          <w:b/>
          <w:bCs/>
          <w:sz w:val="22"/>
          <w:szCs w:val="22"/>
        </w:rPr>
        <w:t>INTRODUCTION</w:t>
      </w:r>
    </w:p>
    <w:p w14:paraId="3B3C86DB" w14:textId="77777777" w:rsidR="002C1B1F" w:rsidRPr="002C1B1F" w:rsidRDefault="002C1B1F" w:rsidP="002C1B1F">
      <w:pPr>
        <w:spacing w:before="36" w:after="10" w:line="240" w:lineRule="auto"/>
        <w:ind w:left="720" w:right="720"/>
        <w:jc w:val="both"/>
        <w:rPr>
          <w:rFonts w:ascii="Arial" w:hAnsi="Arial" w:cs="Arial"/>
          <w:sz w:val="22"/>
          <w:szCs w:val="22"/>
        </w:rPr>
      </w:pPr>
    </w:p>
    <w:p w14:paraId="7D3E3938" w14:textId="5C15A49B" w:rsidR="000051D1" w:rsidRDefault="00CC4B1D" w:rsidP="004F387B">
      <w:pPr>
        <w:spacing w:before="36" w:after="10" w:line="240" w:lineRule="auto"/>
        <w:ind w:left="720" w:right="720"/>
        <w:jc w:val="both"/>
        <w:rPr>
          <w:rFonts w:ascii="Arial" w:hAnsi="Arial" w:cs="Arial"/>
          <w:sz w:val="20"/>
          <w:szCs w:val="20"/>
        </w:rPr>
      </w:pPr>
      <w:r w:rsidRPr="000F69B1">
        <w:rPr>
          <w:rFonts w:ascii="Arial" w:hAnsi="Arial" w:cs="Arial"/>
          <w:sz w:val="20"/>
          <w:szCs w:val="20"/>
        </w:rPr>
        <w:t>The global construction sector is undergoing mounting scrutiny to curb its environmental footprint while safeguarding worker health. The industry not only consumes vast amounts of materials accounting for 36% of global energy use and nearly 40% of CO</w:t>
      </w:r>
      <w:r w:rsidRPr="000F69B1">
        <w:rPr>
          <w:rFonts w:ascii="Cambria Math" w:hAnsi="Cambria Math" w:cs="Cambria Math"/>
          <w:sz w:val="20"/>
          <w:szCs w:val="20"/>
        </w:rPr>
        <w:t>₂</w:t>
      </w:r>
      <w:r w:rsidRPr="000F69B1">
        <w:rPr>
          <w:rFonts w:ascii="Arial" w:hAnsi="Arial" w:cs="Arial"/>
          <w:sz w:val="20"/>
          <w:szCs w:val="20"/>
        </w:rPr>
        <w:t xml:space="preserve"> emissions but also generates between 20–40% of municipal solid waste, with construction and demolition waste constituting a major fraction </w:t>
      </w:r>
      <w:bookmarkStart w:id="0" w:name="_Hlk203607803"/>
      <w:bookmarkStart w:id="1" w:name="_Hlk203608071"/>
      <w:r w:rsidR="00A16341" w:rsidRPr="000F69B1">
        <w:rPr>
          <w:rFonts w:ascii="Arial" w:hAnsi="Arial" w:cs="Arial"/>
          <w:sz w:val="20"/>
          <w:szCs w:val="20"/>
        </w:rPr>
        <w:t>(</w:t>
      </w:r>
      <w:hyperlink r:id="rId8" w:history="1">
        <w:r w:rsidR="004F387B">
          <w:rPr>
            <w:rStyle w:val="Hyperlink"/>
            <w:rFonts w:ascii="Arial" w:hAnsi="Arial" w:cs="Arial"/>
            <w:color w:val="auto"/>
            <w:sz w:val="20"/>
            <w:szCs w:val="20"/>
            <w:u w:val="none"/>
          </w:rPr>
          <w:t>Gasparri</w:t>
        </w:r>
        <w:r w:rsidR="00A16341" w:rsidRPr="000F69B1">
          <w:rPr>
            <w:rStyle w:val="Hyperlink"/>
            <w:rFonts w:ascii="Arial" w:hAnsi="Arial" w:cs="Arial"/>
            <w:color w:val="auto"/>
            <w:sz w:val="20"/>
            <w:szCs w:val="20"/>
            <w:u w:val="none"/>
          </w:rPr>
          <w:t xml:space="preserve"> </w:t>
        </w:r>
        <w:r w:rsidR="00A16341" w:rsidRPr="000F69B1">
          <w:rPr>
            <w:rStyle w:val="Hyperlink"/>
            <w:rFonts w:ascii="Arial" w:hAnsi="Arial" w:cs="Arial"/>
            <w:i/>
            <w:iCs/>
            <w:color w:val="auto"/>
            <w:sz w:val="20"/>
            <w:szCs w:val="20"/>
            <w:u w:val="none"/>
          </w:rPr>
          <w:t>et al</w:t>
        </w:r>
        <w:r w:rsidR="00023AAC">
          <w:rPr>
            <w:rStyle w:val="Hyperlink"/>
            <w:rFonts w:ascii="Arial" w:hAnsi="Arial" w:cs="Arial"/>
            <w:color w:val="auto"/>
            <w:sz w:val="20"/>
            <w:szCs w:val="20"/>
            <w:u w:val="none"/>
          </w:rPr>
          <w:t>.</w:t>
        </w:r>
        <w:r w:rsidR="00DF7074">
          <w:rPr>
            <w:rStyle w:val="Hyperlink"/>
            <w:rFonts w:ascii="Arial" w:hAnsi="Arial" w:cs="Arial"/>
            <w:color w:val="auto"/>
            <w:sz w:val="20"/>
            <w:szCs w:val="20"/>
            <w:u w:val="none"/>
          </w:rPr>
          <w:t>,</w:t>
        </w:r>
      </w:hyperlink>
      <w:bookmarkEnd w:id="0"/>
      <w:r w:rsidR="00F72C5B">
        <w:rPr>
          <w:rFonts w:ascii="Arial" w:hAnsi="Arial" w:cs="Arial"/>
          <w:sz w:val="20"/>
          <w:szCs w:val="20"/>
        </w:rPr>
        <w:t>2023;</w:t>
      </w:r>
      <w:r w:rsidR="003A68DF">
        <w:rPr>
          <w:rFonts w:ascii="Arial" w:hAnsi="Arial" w:cs="Arial"/>
          <w:sz w:val="20"/>
          <w:szCs w:val="20"/>
        </w:rPr>
        <w:t xml:space="preserve"> Soares and Tavares, 2025</w:t>
      </w:r>
      <w:r w:rsidR="00A16341" w:rsidRPr="000F69B1">
        <w:rPr>
          <w:rFonts w:ascii="Arial" w:hAnsi="Arial" w:cs="Arial"/>
          <w:sz w:val="20"/>
          <w:szCs w:val="20"/>
        </w:rPr>
        <w:t xml:space="preserve">). </w:t>
      </w:r>
      <w:bookmarkEnd w:id="1"/>
      <w:r w:rsidRPr="000F69B1">
        <w:rPr>
          <w:rFonts w:ascii="Arial" w:hAnsi="Arial" w:cs="Arial"/>
          <w:sz w:val="20"/>
          <w:szCs w:val="20"/>
        </w:rPr>
        <w:t xml:space="preserve">Simultaneously, </w:t>
      </w:r>
      <w:r w:rsidR="00FA5F33">
        <w:rPr>
          <w:rFonts w:ascii="Arial" w:hAnsi="Arial" w:cs="Arial"/>
          <w:sz w:val="20"/>
          <w:szCs w:val="20"/>
        </w:rPr>
        <w:t xml:space="preserve">the </w:t>
      </w:r>
      <w:r w:rsidRPr="000F69B1">
        <w:rPr>
          <w:rFonts w:ascii="Arial" w:hAnsi="Arial" w:cs="Arial"/>
          <w:sz w:val="20"/>
          <w:szCs w:val="20"/>
        </w:rPr>
        <w:t>construction</w:t>
      </w:r>
      <w:r w:rsidR="00FA5F33">
        <w:rPr>
          <w:rFonts w:ascii="Arial" w:hAnsi="Arial" w:cs="Arial"/>
          <w:sz w:val="20"/>
          <w:szCs w:val="20"/>
        </w:rPr>
        <w:t xml:space="preserve"> industry</w:t>
      </w:r>
      <w:r w:rsidRPr="000F69B1">
        <w:rPr>
          <w:rFonts w:ascii="Arial" w:hAnsi="Arial" w:cs="Arial"/>
          <w:sz w:val="20"/>
          <w:szCs w:val="20"/>
        </w:rPr>
        <w:t xml:space="preserve"> remains one of the most hazardous</w:t>
      </w:r>
      <w:r w:rsidR="003A68DF">
        <w:rPr>
          <w:rFonts w:ascii="Arial" w:hAnsi="Arial" w:cs="Arial"/>
          <w:sz w:val="20"/>
          <w:szCs w:val="20"/>
        </w:rPr>
        <w:t xml:space="preserve"> </w:t>
      </w:r>
      <w:r w:rsidR="00DF044A">
        <w:rPr>
          <w:rFonts w:ascii="Arial" w:hAnsi="Arial" w:cs="Arial"/>
          <w:sz w:val="20"/>
          <w:szCs w:val="20"/>
        </w:rPr>
        <w:t>sectors</w:t>
      </w:r>
      <w:r w:rsidRPr="000F69B1">
        <w:rPr>
          <w:rFonts w:ascii="Arial" w:hAnsi="Arial" w:cs="Arial"/>
          <w:sz w:val="20"/>
          <w:szCs w:val="20"/>
        </w:rPr>
        <w:t xml:space="preserve">: despite mature health and safety regulations such as the UK’s </w:t>
      </w:r>
      <w:r w:rsidR="00741431">
        <w:rPr>
          <w:rFonts w:ascii="Arial" w:hAnsi="Arial" w:cs="Arial"/>
          <w:sz w:val="20"/>
          <w:szCs w:val="20"/>
        </w:rPr>
        <w:t>Clean Development Mechanism (</w:t>
      </w:r>
      <w:r w:rsidRPr="000F69B1">
        <w:rPr>
          <w:rFonts w:ascii="Arial" w:hAnsi="Arial" w:cs="Arial"/>
          <w:sz w:val="20"/>
          <w:szCs w:val="20"/>
        </w:rPr>
        <w:t>CDM</w:t>
      </w:r>
      <w:r w:rsidR="00741431">
        <w:rPr>
          <w:rFonts w:ascii="Arial" w:hAnsi="Arial" w:cs="Arial"/>
          <w:sz w:val="20"/>
          <w:szCs w:val="20"/>
        </w:rPr>
        <w:t>)</w:t>
      </w:r>
      <w:r w:rsidRPr="000F69B1">
        <w:rPr>
          <w:rFonts w:ascii="Arial" w:hAnsi="Arial" w:cs="Arial"/>
          <w:sz w:val="20"/>
          <w:szCs w:val="20"/>
        </w:rPr>
        <w:t xml:space="preserve"> Regulations and the US </w:t>
      </w:r>
      <w:r w:rsidR="00741431">
        <w:rPr>
          <w:rFonts w:ascii="Arial" w:hAnsi="Arial" w:cs="Arial"/>
          <w:sz w:val="20"/>
          <w:szCs w:val="20"/>
        </w:rPr>
        <w:t>Occupational Safety and Health Administration (</w:t>
      </w:r>
      <w:r w:rsidRPr="000F69B1">
        <w:rPr>
          <w:rFonts w:ascii="Arial" w:hAnsi="Arial" w:cs="Arial"/>
          <w:sz w:val="20"/>
          <w:szCs w:val="20"/>
        </w:rPr>
        <w:t>OSHA</w:t>
      </w:r>
      <w:r w:rsidR="00741431">
        <w:rPr>
          <w:rFonts w:ascii="Arial" w:hAnsi="Arial" w:cs="Arial"/>
          <w:sz w:val="20"/>
          <w:szCs w:val="20"/>
        </w:rPr>
        <w:t>)</w:t>
      </w:r>
      <w:r w:rsidRPr="000F69B1">
        <w:rPr>
          <w:rFonts w:ascii="Arial" w:hAnsi="Arial" w:cs="Arial"/>
          <w:sz w:val="20"/>
          <w:szCs w:val="20"/>
        </w:rPr>
        <w:t xml:space="preserve"> standards, on-site incidents</w:t>
      </w:r>
      <w:r w:rsidR="00725B03" w:rsidRPr="000F69B1">
        <w:rPr>
          <w:rFonts w:ascii="Arial" w:hAnsi="Arial" w:cs="Arial"/>
          <w:sz w:val="20"/>
          <w:szCs w:val="20"/>
        </w:rPr>
        <w:t xml:space="preserve"> </w:t>
      </w:r>
      <w:r w:rsidRPr="000F69B1">
        <w:rPr>
          <w:rFonts w:ascii="Arial" w:hAnsi="Arial" w:cs="Arial"/>
          <w:sz w:val="20"/>
          <w:szCs w:val="20"/>
        </w:rPr>
        <w:t>often during deconstruction or material handling continue to affect worker welfare</w:t>
      </w:r>
      <w:r w:rsidR="00FA5F33">
        <w:rPr>
          <w:rFonts w:ascii="Arial" w:hAnsi="Arial" w:cs="Arial"/>
          <w:sz w:val="20"/>
          <w:szCs w:val="20"/>
        </w:rPr>
        <w:t xml:space="preserve"> (Chen et al., 2022)</w:t>
      </w:r>
      <w:r w:rsidRPr="000F69B1">
        <w:rPr>
          <w:rFonts w:ascii="Arial" w:hAnsi="Arial" w:cs="Arial"/>
          <w:sz w:val="20"/>
          <w:szCs w:val="20"/>
        </w:rPr>
        <w:t>.</w:t>
      </w:r>
      <w:r w:rsidR="004F387B">
        <w:rPr>
          <w:rFonts w:ascii="Arial" w:hAnsi="Arial" w:cs="Arial"/>
          <w:sz w:val="20"/>
          <w:szCs w:val="20"/>
        </w:rPr>
        <w:t xml:space="preserve"> </w:t>
      </w:r>
      <w:r w:rsidRPr="000F69B1">
        <w:rPr>
          <w:rFonts w:ascii="Arial" w:hAnsi="Arial" w:cs="Arial"/>
          <w:sz w:val="20"/>
          <w:szCs w:val="20"/>
        </w:rPr>
        <w:t xml:space="preserve">In parallel, circular economy (CE) principles especially material reuse, selective deconstruction, and modular design have gained traction. These approaches are recognized for reducing embodied carbon and extending material lifecycles, with the global material circularity rate remaining low (~9% recycled) yet increasingly emphasized in sustainability agendas </w:t>
      </w:r>
      <w:bookmarkStart w:id="2" w:name="_Hlk203608125"/>
      <w:r w:rsidR="005729A2" w:rsidRPr="000F69B1">
        <w:rPr>
          <w:rFonts w:ascii="Arial" w:hAnsi="Arial" w:cs="Arial"/>
          <w:sz w:val="20"/>
          <w:szCs w:val="20"/>
        </w:rPr>
        <w:t>(</w:t>
      </w:r>
      <w:r w:rsidR="003E3EBD">
        <w:rPr>
          <w:rFonts w:ascii="Arial" w:hAnsi="Arial" w:cs="Arial"/>
          <w:sz w:val="20"/>
          <w:szCs w:val="20"/>
        </w:rPr>
        <w:t xml:space="preserve">Bertino </w:t>
      </w:r>
      <w:r w:rsidR="005729A2" w:rsidRPr="00DD6265">
        <w:rPr>
          <w:rFonts w:ascii="Arial" w:hAnsi="Arial" w:cs="Arial"/>
          <w:i/>
          <w:iCs/>
          <w:sz w:val="20"/>
          <w:szCs w:val="20"/>
        </w:rPr>
        <w:t>et al</w:t>
      </w:r>
      <w:r w:rsidR="003E3EBD">
        <w:rPr>
          <w:rFonts w:ascii="Arial" w:hAnsi="Arial" w:cs="Arial"/>
          <w:sz w:val="20"/>
          <w:szCs w:val="20"/>
        </w:rPr>
        <w:t xml:space="preserve">., </w:t>
      </w:r>
      <w:r w:rsidR="005729A2" w:rsidRPr="003E3EBD">
        <w:rPr>
          <w:rFonts w:ascii="Arial" w:hAnsi="Arial" w:cs="Arial"/>
          <w:sz w:val="20"/>
          <w:szCs w:val="20"/>
        </w:rPr>
        <w:t>202</w:t>
      </w:r>
      <w:r w:rsidR="003E3EBD" w:rsidRPr="003E3EBD">
        <w:rPr>
          <w:rFonts w:ascii="Arial" w:hAnsi="Arial" w:cs="Arial"/>
          <w:sz w:val="20"/>
          <w:szCs w:val="20"/>
        </w:rPr>
        <w:t>1</w:t>
      </w:r>
      <w:r w:rsidR="00DD6265">
        <w:rPr>
          <w:rFonts w:ascii="Arial" w:hAnsi="Arial" w:cs="Arial"/>
          <w:sz w:val="20"/>
          <w:szCs w:val="20"/>
        </w:rPr>
        <w:t xml:space="preserve">; </w:t>
      </w:r>
      <w:proofErr w:type="spellStart"/>
      <w:r w:rsidR="00DD6265">
        <w:rPr>
          <w:rFonts w:ascii="Arial" w:hAnsi="Arial" w:cs="Arial"/>
          <w:sz w:val="20"/>
          <w:szCs w:val="20"/>
        </w:rPr>
        <w:t>Garusinghe</w:t>
      </w:r>
      <w:proofErr w:type="spellEnd"/>
      <w:r w:rsidR="00DD6265">
        <w:rPr>
          <w:rFonts w:ascii="Arial" w:hAnsi="Arial" w:cs="Arial"/>
          <w:sz w:val="20"/>
          <w:szCs w:val="20"/>
        </w:rPr>
        <w:t xml:space="preserve"> </w:t>
      </w:r>
      <w:r w:rsidR="00DD6265">
        <w:rPr>
          <w:rFonts w:ascii="Arial" w:hAnsi="Arial" w:cs="Arial"/>
          <w:i/>
          <w:iCs/>
          <w:sz w:val="20"/>
          <w:szCs w:val="20"/>
        </w:rPr>
        <w:t>et al</w:t>
      </w:r>
      <w:r w:rsidR="00DD6265">
        <w:rPr>
          <w:rFonts w:ascii="Arial" w:hAnsi="Arial" w:cs="Arial"/>
          <w:sz w:val="20"/>
          <w:szCs w:val="20"/>
        </w:rPr>
        <w:t>., 2023</w:t>
      </w:r>
      <w:r w:rsidR="005729A2" w:rsidRPr="000F69B1">
        <w:rPr>
          <w:rFonts w:ascii="Arial" w:hAnsi="Arial" w:cs="Arial"/>
          <w:sz w:val="20"/>
          <w:szCs w:val="20"/>
        </w:rPr>
        <w:t xml:space="preserve">). </w:t>
      </w:r>
      <w:bookmarkEnd w:id="2"/>
      <w:r w:rsidR="002A71A1">
        <w:rPr>
          <w:rFonts w:ascii="Arial" w:hAnsi="Arial" w:cs="Arial"/>
          <w:sz w:val="20"/>
          <w:szCs w:val="20"/>
        </w:rPr>
        <w:t>According to Okimi</w:t>
      </w:r>
      <w:r w:rsidR="00DE3765">
        <w:rPr>
          <w:rFonts w:ascii="Arial" w:hAnsi="Arial" w:cs="Arial"/>
          <w:sz w:val="20"/>
          <w:szCs w:val="20"/>
        </w:rPr>
        <w:t xml:space="preserve"> </w:t>
      </w:r>
      <w:r w:rsidR="002A71A1">
        <w:rPr>
          <w:rFonts w:ascii="Arial" w:hAnsi="Arial" w:cs="Arial"/>
          <w:i/>
          <w:sz w:val="20"/>
          <w:szCs w:val="20"/>
        </w:rPr>
        <w:t xml:space="preserve">et al; </w:t>
      </w:r>
      <w:r w:rsidR="00DE3765">
        <w:rPr>
          <w:rFonts w:ascii="Arial" w:hAnsi="Arial" w:cs="Arial"/>
          <w:sz w:val="20"/>
          <w:szCs w:val="20"/>
        </w:rPr>
        <w:t>(2024), t</w:t>
      </w:r>
      <w:r w:rsidR="000051D1" w:rsidRPr="000051D1">
        <w:rPr>
          <w:rFonts w:ascii="Arial" w:hAnsi="Arial" w:cs="Arial"/>
          <w:sz w:val="20"/>
          <w:szCs w:val="20"/>
        </w:rPr>
        <w:t xml:space="preserve">hese </w:t>
      </w:r>
      <w:r w:rsidR="000051D1">
        <w:rPr>
          <w:rFonts w:ascii="Arial" w:hAnsi="Arial" w:cs="Arial"/>
          <w:sz w:val="20"/>
          <w:szCs w:val="20"/>
        </w:rPr>
        <w:t xml:space="preserve">strategies </w:t>
      </w:r>
      <w:r w:rsidR="000051D1" w:rsidRPr="000051D1">
        <w:rPr>
          <w:rFonts w:ascii="Arial" w:hAnsi="Arial" w:cs="Arial"/>
          <w:sz w:val="20"/>
          <w:szCs w:val="20"/>
        </w:rPr>
        <w:t>emphasize life-cycle thinking, reduce-reuse-recycle tactics, and digital enablers like BIM and material passports</w:t>
      </w:r>
      <w:r w:rsidR="00DE3765">
        <w:rPr>
          <w:rFonts w:ascii="Arial" w:hAnsi="Arial" w:cs="Arial"/>
          <w:sz w:val="20"/>
          <w:szCs w:val="20"/>
        </w:rPr>
        <w:t>.</w:t>
      </w:r>
      <w:r w:rsidR="000051D1" w:rsidRPr="000051D1">
        <w:rPr>
          <w:rFonts w:ascii="Arial" w:hAnsi="Arial" w:cs="Arial"/>
          <w:sz w:val="20"/>
          <w:szCs w:val="20"/>
        </w:rPr>
        <w:t xml:space="preserve"> Though CE frameworks encourage waste reduction and material efficiency, they frequently overlook important aspects of on-site safety, especially in workflows involving deconstruction and reuse</w:t>
      </w:r>
      <w:r w:rsidR="00C00FFF">
        <w:rPr>
          <w:rFonts w:ascii="Arial" w:hAnsi="Arial" w:cs="Arial"/>
          <w:sz w:val="20"/>
          <w:szCs w:val="20"/>
        </w:rPr>
        <w:t xml:space="preserve"> (Di Vaio </w:t>
      </w:r>
      <w:r w:rsidR="00C00FFF" w:rsidRPr="00C00FFF">
        <w:rPr>
          <w:rFonts w:ascii="Arial" w:hAnsi="Arial" w:cs="Arial"/>
          <w:i/>
          <w:iCs/>
          <w:sz w:val="20"/>
          <w:szCs w:val="20"/>
        </w:rPr>
        <w:t>et al</w:t>
      </w:r>
      <w:r w:rsidR="00C00FFF">
        <w:rPr>
          <w:rFonts w:ascii="Arial" w:hAnsi="Arial" w:cs="Arial"/>
          <w:sz w:val="20"/>
          <w:szCs w:val="20"/>
        </w:rPr>
        <w:t xml:space="preserve">., 2023; Awino and </w:t>
      </w:r>
      <w:r w:rsidR="00C00FFF">
        <w:rPr>
          <w:rFonts w:ascii="Arial" w:hAnsi="Arial" w:cs="Arial"/>
          <w:sz w:val="20"/>
          <w:szCs w:val="20"/>
        </w:rPr>
        <w:lastRenderedPageBreak/>
        <w:t>Apitz, 2024)</w:t>
      </w:r>
      <w:r w:rsidR="000051D1" w:rsidRPr="000051D1">
        <w:rPr>
          <w:rFonts w:ascii="Arial" w:hAnsi="Arial" w:cs="Arial"/>
          <w:sz w:val="20"/>
          <w:szCs w:val="20"/>
        </w:rPr>
        <w:t xml:space="preserve">. </w:t>
      </w:r>
      <w:r w:rsidR="002B4D5E" w:rsidRPr="002B4D5E">
        <w:rPr>
          <w:rFonts w:ascii="Arial" w:hAnsi="Arial" w:cs="Arial"/>
          <w:sz w:val="20"/>
          <w:szCs w:val="20"/>
        </w:rPr>
        <w:t>This neglect limits the viability and resilience of circular strategies within practical construction settings.</w:t>
      </w:r>
    </w:p>
    <w:p w14:paraId="27CCDED6" w14:textId="2CBA8947" w:rsidR="002B4D5E" w:rsidRDefault="00CC4B1D" w:rsidP="002B4D5E">
      <w:pPr>
        <w:spacing w:before="36" w:after="10" w:line="240" w:lineRule="auto"/>
        <w:ind w:left="720" w:right="720"/>
        <w:jc w:val="both"/>
        <w:rPr>
          <w:rFonts w:ascii="Arial" w:hAnsi="Arial" w:cs="Arial"/>
          <w:sz w:val="20"/>
          <w:szCs w:val="20"/>
        </w:rPr>
      </w:pPr>
      <w:r w:rsidRPr="000F69B1">
        <w:rPr>
          <w:rFonts w:ascii="Arial" w:hAnsi="Arial" w:cs="Arial"/>
          <w:sz w:val="20"/>
          <w:szCs w:val="20"/>
        </w:rPr>
        <w:t>Despite growing momentum in circular practices, these strategies often adopt an environmental lens, overlooking the occupational risks inherent in manual dismantling, handling of reclaimed materials, and on-site contamination</w:t>
      </w:r>
      <w:r w:rsidR="005E26BB">
        <w:rPr>
          <w:rFonts w:ascii="Arial" w:hAnsi="Arial" w:cs="Arial"/>
          <w:sz w:val="20"/>
          <w:szCs w:val="20"/>
        </w:rPr>
        <w:t xml:space="preserve"> </w:t>
      </w:r>
      <w:r w:rsidR="005E26BB" w:rsidRPr="000F69B1">
        <w:rPr>
          <w:rFonts w:ascii="Arial" w:hAnsi="Arial" w:cs="Arial"/>
          <w:sz w:val="20"/>
          <w:szCs w:val="20"/>
        </w:rPr>
        <w:t>(</w:t>
      </w:r>
      <w:hyperlink r:id="rId9" w:history="1">
        <w:r w:rsidR="005E26BB">
          <w:rPr>
            <w:rStyle w:val="Hyperlink"/>
            <w:rFonts w:ascii="Arial" w:hAnsi="Arial" w:cs="Arial"/>
            <w:color w:val="auto"/>
            <w:sz w:val="20"/>
            <w:szCs w:val="20"/>
            <w:u w:val="none"/>
          </w:rPr>
          <w:t>Gasparri</w:t>
        </w:r>
        <w:r w:rsidR="005E26BB" w:rsidRPr="000F69B1">
          <w:rPr>
            <w:rStyle w:val="Hyperlink"/>
            <w:rFonts w:ascii="Arial" w:hAnsi="Arial" w:cs="Arial"/>
            <w:color w:val="auto"/>
            <w:sz w:val="20"/>
            <w:szCs w:val="20"/>
            <w:u w:val="none"/>
          </w:rPr>
          <w:t xml:space="preserve"> </w:t>
        </w:r>
        <w:r w:rsidR="005E26BB" w:rsidRPr="000F69B1">
          <w:rPr>
            <w:rStyle w:val="Hyperlink"/>
            <w:rFonts w:ascii="Arial" w:hAnsi="Arial" w:cs="Arial"/>
            <w:i/>
            <w:iCs/>
            <w:color w:val="auto"/>
            <w:sz w:val="20"/>
            <w:szCs w:val="20"/>
            <w:u w:val="none"/>
          </w:rPr>
          <w:t>et al</w:t>
        </w:r>
        <w:r w:rsidR="00023AAC">
          <w:rPr>
            <w:rStyle w:val="Hyperlink"/>
            <w:rFonts w:ascii="Arial" w:hAnsi="Arial" w:cs="Arial"/>
            <w:color w:val="auto"/>
            <w:sz w:val="20"/>
            <w:szCs w:val="20"/>
            <w:u w:val="none"/>
          </w:rPr>
          <w:t>.,</w:t>
        </w:r>
        <w:r w:rsidR="005E26BB" w:rsidRPr="000F69B1">
          <w:rPr>
            <w:rStyle w:val="Hyperlink"/>
            <w:rFonts w:ascii="Arial" w:hAnsi="Arial" w:cs="Arial"/>
            <w:color w:val="auto"/>
            <w:sz w:val="20"/>
            <w:szCs w:val="20"/>
            <w:u w:val="none"/>
          </w:rPr>
          <w:t xml:space="preserve"> </w:t>
        </w:r>
      </w:hyperlink>
      <w:r w:rsidR="005E26BB" w:rsidRPr="000F69B1">
        <w:rPr>
          <w:rFonts w:ascii="Arial" w:hAnsi="Arial" w:cs="Arial"/>
          <w:sz w:val="20"/>
          <w:szCs w:val="20"/>
        </w:rPr>
        <w:t>202</w:t>
      </w:r>
      <w:r w:rsidR="005E26BB">
        <w:rPr>
          <w:rFonts w:ascii="Arial" w:hAnsi="Arial" w:cs="Arial"/>
          <w:sz w:val="20"/>
          <w:szCs w:val="20"/>
        </w:rPr>
        <w:t>3; Soares and Tavares, 2025</w:t>
      </w:r>
      <w:r w:rsidR="005E26BB" w:rsidRPr="000F69B1">
        <w:rPr>
          <w:rFonts w:ascii="Arial" w:hAnsi="Arial" w:cs="Arial"/>
          <w:sz w:val="20"/>
          <w:szCs w:val="20"/>
        </w:rPr>
        <w:t>)</w:t>
      </w:r>
      <w:r w:rsidR="005E26BB">
        <w:rPr>
          <w:rFonts w:ascii="Arial" w:hAnsi="Arial" w:cs="Arial"/>
          <w:sz w:val="20"/>
          <w:szCs w:val="20"/>
        </w:rPr>
        <w:t xml:space="preserve">. </w:t>
      </w:r>
      <w:r w:rsidR="004F387B" w:rsidRPr="004F387B">
        <w:rPr>
          <w:rFonts w:ascii="Arial" w:hAnsi="Arial" w:cs="Arial"/>
          <w:sz w:val="20"/>
          <w:szCs w:val="20"/>
        </w:rPr>
        <w:t>This disparity is alarming. Workflows involving material reuse, like deconstruction, reconditioning, and placement, present serious safety risks, such as exposure to contaminants and site hazards. Every step of the reuse process, from the first hazard assessments of recovered materials to the integration of PPE use, digital traceability, and safety checklists, must incorporate risk engineering protocols in order for an architecture to be considered truly sustainable</w:t>
      </w:r>
      <w:r w:rsidR="005E26BB">
        <w:rPr>
          <w:rFonts w:ascii="Arial" w:hAnsi="Arial" w:cs="Arial"/>
          <w:sz w:val="20"/>
          <w:szCs w:val="20"/>
        </w:rPr>
        <w:t xml:space="preserve"> </w:t>
      </w:r>
      <w:r w:rsidR="005E26BB" w:rsidRPr="000F69B1">
        <w:rPr>
          <w:rFonts w:ascii="Arial" w:hAnsi="Arial" w:cs="Arial"/>
          <w:sz w:val="20"/>
          <w:szCs w:val="20"/>
        </w:rPr>
        <w:t>(</w:t>
      </w:r>
      <w:r w:rsidR="005E26BB">
        <w:rPr>
          <w:rFonts w:ascii="Arial" w:hAnsi="Arial" w:cs="Arial"/>
          <w:sz w:val="20"/>
          <w:szCs w:val="20"/>
        </w:rPr>
        <w:t xml:space="preserve">Bertino </w:t>
      </w:r>
      <w:r w:rsidR="005E26BB" w:rsidRPr="00DD6265">
        <w:rPr>
          <w:rFonts w:ascii="Arial" w:hAnsi="Arial" w:cs="Arial"/>
          <w:i/>
          <w:iCs/>
          <w:sz w:val="20"/>
          <w:szCs w:val="20"/>
        </w:rPr>
        <w:t>et al</w:t>
      </w:r>
      <w:r w:rsidR="005E26BB">
        <w:rPr>
          <w:rFonts w:ascii="Arial" w:hAnsi="Arial" w:cs="Arial"/>
          <w:sz w:val="20"/>
          <w:szCs w:val="20"/>
        </w:rPr>
        <w:t xml:space="preserve">., </w:t>
      </w:r>
      <w:r w:rsidR="005E26BB" w:rsidRPr="003E3EBD">
        <w:rPr>
          <w:rFonts w:ascii="Arial" w:hAnsi="Arial" w:cs="Arial"/>
          <w:sz w:val="20"/>
          <w:szCs w:val="20"/>
        </w:rPr>
        <w:t>2021</w:t>
      </w:r>
      <w:r w:rsidR="005E26BB">
        <w:rPr>
          <w:rFonts w:ascii="Arial" w:hAnsi="Arial" w:cs="Arial"/>
          <w:sz w:val="20"/>
          <w:szCs w:val="20"/>
        </w:rPr>
        <w:t xml:space="preserve">; </w:t>
      </w:r>
      <w:proofErr w:type="spellStart"/>
      <w:r w:rsidR="005E26BB">
        <w:rPr>
          <w:rFonts w:ascii="Arial" w:hAnsi="Arial" w:cs="Arial"/>
          <w:sz w:val="20"/>
          <w:szCs w:val="20"/>
        </w:rPr>
        <w:t>Garusinghe</w:t>
      </w:r>
      <w:proofErr w:type="spellEnd"/>
      <w:r w:rsidR="005E26BB">
        <w:rPr>
          <w:rFonts w:ascii="Arial" w:hAnsi="Arial" w:cs="Arial"/>
          <w:sz w:val="20"/>
          <w:szCs w:val="20"/>
        </w:rPr>
        <w:t xml:space="preserve"> </w:t>
      </w:r>
      <w:r w:rsidR="005E26BB">
        <w:rPr>
          <w:rFonts w:ascii="Arial" w:hAnsi="Arial" w:cs="Arial"/>
          <w:i/>
          <w:iCs/>
          <w:sz w:val="20"/>
          <w:szCs w:val="20"/>
        </w:rPr>
        <w:t>et al</w:t>
      </w:r>
      <w:r w:rsidR="005E26BB">
        <w:rPr>
          <w:rFonts w:ascii="Arial" w:hAnsi="Arial" w:cs="Arial"/>
          <w:sz w:val="20"/>
          <w:szCs w:val="20"/>
        </w:rPr>
        <w:t>., 2023</w:t>
      </w:r>
      <w:r w:rsidR="005E26BB" w:rsidRPr="000F69B1">
        <w:rPr>
          <w:rFonts w:ascii="Arial" w:hAnsi="Arial" w:cs="Arial"/>
          <w:sz w:val="20"/>
          <w:szCs w:val="20"/>
        </w:rPr>
        <w:t>)</w:t>
      </w:r>
      <w:r w:rsidR="004F387B" w:rsidRPr="004F387B">
        <w:rPr>
          <w:rFonts w:ascii="Arial" w:hAnsi="Arial" w:cs="Arial"/>
          <w:sz w:val="20"/>
          <w:szCs w:val="20"/>
        </w:rPr>
        <w:t>. Ignoring safety jeopardizes project results, legal compliance, and human welfare in addition to undermining the viability of circular practices.</w:t>
      </w:r>
    </w:p>
    <w:p w14:paraId="53F6EECA" w14:textId="10FDF945" w:rsidR="002B4D5E" w:rsidRDefault="002B4D5E" w:rsidP="002B4D5E">
      <w:pPr>
        <w:spacing w:before="36" w:after="10" w:line="240" w:lineRule="auto"/>
        <w:ind w:left="720" w:right="720"/>
        <w:jc w:val="both"/>
        <w:rPr>
          <w:rFonts w:ascii="Arial" w:hAnsi="Arial" w:cs="Arial"/>
          <w:sz w:val="20"/>
          <w:szCs w:val="20"/>
        </w:rPr>
      </w:pPr>
      <w:r w:rsidRPr="002B4D5E">
        <w:rPr>
          <w:rFonts w:ascii="Arial" w:hAnsi="Arial" w:cs="Arial"/>
          <w:sz w:val="20"/>
          <w:szCs w:val="20"/>
        </w:rPr>
        <w:t>CE publications have increased significantly since 2016, according to recent bibliometric reviews, with prefabrication, modularity, digitalization, C&amp;DW management, LCA, and component reuse being the main areas of focus (</w:t>
      </w:r>
      <w:r w:rsidR="005E1AF7">
        <w:rPr>
          <w:rFonts w:ascii="Arial" w:hAnsi="Arial" w:cs="Arial"/>
          <w:sz w:val="20"/>
          <w:szCs w:val="20"/>
        </w:rPr>
        <w:t xml:space="preserve">dos Santos Goncalves </w:t>
      </w:r>
      <w:r w:rsidR="005E1AF7" w:rsidRPr="005E1AF7">
        <w:rPr>
          <w:rFonts w:ascii="Arial" w:hAnsi="Arial" w:cs="Arial"/>
          <w:i/>
          <w:iCs/>
          <w:sz w:val="20"/>
          <w:szCs w:val="20"/>
        </w:rPr>
        <w:t>et al</w:t>
      </w:r>
      <w:r w:rsidR="005E1AF7">
        <w:rPr>
          <w:rFonts w:ascii="Arial" w:hAnsi="Arial" w:cs="Arial"/>
          <w:sz w:val="20"/>
          <w:szCs w:val="20"/>
        </w:rPr>
        <w:t>., 2025</w:t>
      </w:r>
      <w:r w:rsidRPr="002B4D5E">
        <w:rPr>
          <w:rFonts w:ascii="Arial" w:hAnsi="Arial" w:cs="Arial"/>
          <w:sz w:val="20"/>
          <w:szCs w:val="20"/>
        </w:rPr>
        <w:t xml:space="preserve">). However, there </w:t>
      </w:r>
      <w:r w:rsidR="004847C2" w:rsidRPr="002B4D5E">
        <w:rPr>
          <w:rFonts w:ascii="Arial" w:hAnsi="Arial" w:cs="Arial"/>
          <w:sz w:val="20"/>
          <w:szCs w:val="20"/>
        </w:rPr>
        <w:t>are not</w:t>
      </w:r>
      <w:r w:rsidRPr="002B4D5E">
        <w:rPr>
          <w:rFonts w:ascii="Arial" w:hAnsi="Arial" w:cs="Arial"/>
          <w:sz w:val="20"/>
          <w:szCs w:val="20"/>
        </w:rPr>
        <w:t xml:space="preserve"> many studies that actively connect occupational health and safety frameworks with circular material protocols. Despite the emergence of digital tools such as blockchain, IoT, and BIM, there are still technological gaps in integrating safety risk assessment with reuse workflows </w:t>
      </w:r>
      <w:r w:rsidR="00CA3EFB" w:rsidRPr="000F69B1">
        <w:rPr>
          <w:rFonts w:ascii="Arial" w:hAnsi="Arial" w:cs="Arial"/>
          <w:sz w:val="20"/>
          <w:szCs w:val="20"/>
        </w:rPr>
        <w:t>(</w:t>
      </w:r>
      <w:hyperlink r:id="rId10" w:history="1">
        <w:r w:rsidR="00CA3EFB">
          <w:rPr>
            <w:rStyle w:val="Hyperlink"/>
            <w:rFonts w:ascii="Arial" w:hAnsi="Arial" w:cs="Arial"/>
            <w:color w:val="auto"/>
            <w:sz w:val="20"/>
            <w:szCs w:val="20"/>
            <w:u w:val="none"/>
          </w:rPr>
          <w:t>Gasparri</w:t>
        </w:r>
        <w:r w:rsidR="00CA3EFB" w:rsidRPr="000F69B1">
          <w:rPr>
            <w:rStyle w:val="Hyperlink"/>
            <w:rFonts w:ascii="Arial" w:hAnsi="Arial" w:cs="Arial"/>
            <w:color w:val="auto"/>
            <w:sz w:val="20"/>
            <w:szCs w:val="20"/>
            <w:u w:val="none"/>
          </w:rPr>
          <w:t xml:space="preserve"> </w:t>
        </w:r>
        <w:r w:rsidR="00CA3EFB" w:rsidRPr="000F69B1">
          <w:rPr>
            <w:rStyle w:val="Hyperlink"/>
            <w:rFonts w:ascii="Arial" w:hAnsi="Arial" w:cs="Arial"/>
            <w:i/>
            <w:iCs/>
            <w:color w:val="auto"/>
            <w:sz w:val="20"/>
            <w:szCs w:val="20"/>
            <w:u w:val="none"/>
          </w:rPr>
          <w:t>et al</w:t>
        </w:r>
        <w:r w:rsidR="00CA3EFB">
          <w:rPr>
            <w:rStyle w:val="Hyperlink"/>
            <w:rFonts w:ascii="Arial" w:hAnsi="Arial" w:cs="Arial"/>
            <w:color w:val="auto"/>
            <w:sz w:val="20"/>
            <w:szCs w:val="20"/>
            <w:u w:val="none"/>
          </w:rPr>
          <w:t xml:space="preserve">., </w:t>
        </w:r>
        <w:r w:rsidR="00CA3EFB" w:rsidRPr="000F69B1">
          <w:rPr>
            <w:rStyle w:val="Hyperlink"/>
            <w:rFonts w:ascii="Arial" w:hAnsi="Arial" w:cs="Arial"/>
            <w:color w:val="auto"/>
            <w:sz w:val="20"/>
            <w:szCs w:val="20"/>
            <w:u w:val="none"/>
          </w:rPr>
          <w:t xml:space="preserve"> </w:t>
        </w:r>
      </w:hyperlink>
      <w:r w:rsidR="00CA3EFB" w:rsidRPr="000F69B1">
        <w:rPr>
          <w:rFonts w:ascii="Arial" w:hAnsi="Arial" w:cs="Arial"/>
          <w:sz w:val="20"/>
          <w:szCs w:val="20"/>
        </w:rPr>
        <w:t>202</w:t>
      </w:r>
      <w:r w:rsidR="00CA3EFB">
        <w:rPr>
          <w:rFonts w:ascii="Arial" w:hAnsi="Arial" w:cs="Arial"/>
          <w:sz w:val="20"/>
          <w:szCs w:val="20"/>
        </w:rPr>
        <w:t>3</w:t>
      </w:r>
      <w:r w:rsidRPr="002B4D5E">
        <w:rPr>
          <w:rFonts w:ascii="Arial" w:hAnsi="Arial" w:cs="Arial"/>
          <w:sz w:val="20"/>
          <w:szCs w:val="20"/>
        </w:rPr>
        <w:t xml:space="preserve">). There are some notable exceptions, like probabilistic grading systems for component reuse and ontology-based </w:t>
      </w:r>
      <w:proofErr w:type="spellStart"/>
      <w:r w:rsidRPr="002B4D5E">
        <w:rPr>
          <w:rFonts w:ascii="Arial" w:hAnsi="Arial" w:cs="Arial"/>
          <w:sz w:val="20"/>
          <w:szCs w:val="20"/>
        </w:rPr>
        <w:t>EoL</w:t>
      </w:r>
      <w:proofErr w:type="spellEnd"/>
      <w:r w:rsidRPr="002B4D5E">
        <w:rPr>
          <w:rFonts w:ascii="Arial" w:hAnsi="Arial" w:cs="Arial"/>
          <w:sz w:val="20"/>
          <w:szCs w:val="20"/>
        </w:rPr>
        <w:t xml:space="preserve"> decision tools, but they are still isolated and hardly ever address combined circular safety requirements</w:t>
      </w:r>
      <w:r w:rsidR="00CA3EFB">
        <w:rPr>
          <w:rFonts w:ascii="Arial" w:hAnsi="Arial" w:cs="Arial"/>
          <w:sz w:val="20"/>
          <w:szCs w:val="20"/>
        </w:rPr>
        <w:t xml:space="preserve"> (</w:t>
      </w:r>
      <w:r w:rsidR="005E26BB">
        <w:rPr>
          <w:rFonts w:ascii="Arial" w:hAnsi="Arial" w:cs="Arial"/>
          <w:sz w:val="20"/>
          <w:szCs w:val="20"/>
        </w:rPr>
        <w:t xml:space="preserve">Adu-Duodu </w:t>
      </w:r>
      <w:r w:rsidR="005E26BB" w:rsidRPr="005E26BB">
        <w:rPr>
          <w:rFonts w:ascii="Arial" w:hAnsi="Arial" w:cs="Arial"/>
          <w:i/>
          <w:iCs/>
          <w:sz w:val="20"/>
          <w:szCs w:val="20"/>
        </w:rPr>
        <w:t>et al</w:t>
      </w:r>
      <w:r w:rsidR="005E26BB">
        <w:rPr>
          <w:rFonts w:ascii="Arial" w:hAnsi="Arial" w:cs="Arial"/>
          <w:sz w:val="20"/>
          <w:szCs w:val="20"/>
        </w:rPr>
        <w:t>., 2025)</w:t>
      </w:r>
      <w:r w:rsidRPr="002B4D5E">
        <w:rPr>
          <w:rFonts w:ascii="Arial" w:hAnsi="Arial" w:cs="Arial"/>
          <w:sz w:val="20"/>
          <w:szCs w:val="20"/>
        </w:rPr>
        <w:t>.</w:t>
      </w:r>
    </w:p>
    <w:p w14:paraId="352D1055" w14:textId="6976E7A6" w:rsidR="00CC4B1D" w:rsidRPr="000F69B1"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Existing literature in construction safety focuses on hazard identification, PPE, and risk management, but is typically designed for linear workflows</w:t>
      </w:r>
      <w:r w:rsidR="005E26BB">
        <w:rPr>
          <w:rFonts w:ascii="Arial" w:hAnsi="Arial" w:cs="Arial"/>
          <w:sz w:val="20"/>
          <w:szCs w:val="20"/>
        </w:rPr>
        <w:t xml:space="preserve"> </w:t>
      </w:r>
      <w:bookmarkStart w:id="3" w:name="_Hlk203608831"/>
      <w:r w:rsidR="005E26BB">
        <w:rPr>
          <w:rFonts w:ascii="Arial" w:hAnsi="Arial" w:cs="Arial"/>
          <w:sz w:val="20"/>
          <w:szCs w:val="20"/>
        </w:rPr>
        <w:t>(</w:t>
      </w:r>
      <w:r w:rsidR="000B2C22">
        <w:rPr>
          <w:rFonts w:ascii="Arial" w:hAnsi="Arial" w:cs="Arial"/>
          <w:sz w:val="20"/>
          <w:szCs w:val="20"/>
        </w:rPr>
        <w:t xml:space="preserve">Tang and </w:t>
      </w:r>
      <w:proofErr w:type="spellStart"/>
      <w:r w:rsidR="000B2C22">
        <w:rPr>
          <w:rFonts w:ascii="Arial" w:hAnsi="Arial" w:cs="Arial"/>
          <w:sz w:val="20"/>
          <w:szCs w:val="20"/>
        </w:rPr>
        <w:t>Golparvar-Fard</w:t>
      </w:r>
      <w:proofErr w:type="spellEnd"/>
      <w:r w:rsidR="000B2C22">
        <w:rPr>
          <w:rFonts w:ascii="Arial" w:hAnsi="Arial" w:cs="Arial"/>
          <w:sz w:val="20"/>
          <w:szCs w:val="20"/>
        </w:rPr>
        <w:t xml:space="preserve">, 2021; </w:t>
      </w:r>
      <w:proofErr w:type="spellStart"/>
      <w:r w:rsidR="005E26BB">
        <w:rPr>
          <w:rFonts w:ascii="Arial" w:hAnsi="Arial" w:cs="Arial"/>
          <w:sz w:val="20"/>
          <w:szCs w:val="20"/>
        </w:rPr>
        <w:t>Larbi</w:t>
      </w:r>
      <w:proofErr w:type="spellEnd"/>
      <w:r w:rsidR="005E26BB">
        <w:rPr>
          <w:rFonts w:ascii="Arial" w:hAnsi="Arial" w:cs="Arial"/>
          <w:sz w:val="20"/>
          <w:szCs w:val="20"/>
        </w:rPr>
        <w:t xml:space="preserve"> </w:t>
      </w:r>
      <w:r w:rsidR="005E26BB" w:rsidRPr="005E26BB">
        <w:rPr>
          <w:rFonts w:ascii="Arial" w:hAnsi="Arial" w:cs="Arial"/>
          <w:i/>
          <w:iCs/>
          <w:sz w:val="20"/>
          <w:szCs w:val="20"/>
        </w:rPr>
        <w:t>et al</w:t>
      </w:r>
      <w:r w:rsidR="005E26BB">
        <w:rPr>
          <w:rFonts w:ascii="Arial" w:hAnsi="Arial" w:cs="Arial"/>
          <w:sz w:val="20"/>
          <w:szCs w:val="20"/>
        </w:rPr>
        <w:t xml:space="preserve">., 2024; Salzano </w:t>
      </w:r>
      <w:r w:rsidR="005E26BB" w:rsidRPr="005E26BB">
        <w:rPr>
          <w:rFonts w:ascii="Arial" w:hAnsi="Arial" w:cs="Arial"/>
          <w:i/>
          <w:iCs/>
          <w:sz w:val="20"/>
          <w:szCs w:val="20"/>
        </w:rPr>
        <w:t>et al</w:t>
      </w:r>
      <w:r w:rsidR="005E26BB">
        <w:rPr>
          <w:rFonts w:ascii="Arial" w:hAnsi="Arial" w:cs="Arial"/>
          <w:sz w:val="20"/>
          <w:szCs w:val="20"/>
        </w:rPr>
        <w:t>., 2024)</w:t>
      </w:r>
      <w:r w:rsidRPr="000F69B1">
        <w:rPr>
          <w:rFonts w:ascii="Arial" w:hAnsi="Arial" w:cs="Arial"/>
          <w:sz w:val="20"/>
          <w:szCs w:val="20"/>
        </w:rPr>
        <w:t xml:space="preserve">. </w:t>
      </w:r>
      <w:bookmarkEnd w:id="3"/>
      <w:r w:rsidRPr="000F69B1">
        <w:rPr>
          <w:rFonts w:ascii="Arial" w:hAnsi="Arial" w:cs="Arial"/>
          <w:sz w:val="20"/>
          <w:szCs w:val="20"/>
        </w:rPr>
        <w:t>Conversely, circular economy research emphasizes reuse and deconstruction protocols</w:t>
      </w:r>
      <w:r w:rsidR="00197E9D" w:rsidRPr="000F69B1">
        <w:rPr>
          <w:rFonts w:ascii="Arial" w:hAnsi="Arial" w:cs="Arial"/>
          <w:sz w:val="20"/>
          <w:szCs w:val="20"/>
        </w:rPr>
        <w:t xml:space="preserve"> </w:t>
      </w:r>
      <w:r w:rsidRPr="000F69B1">
        <w:rPr>
          <w:rFonts w:ascii="Arial" w:hAnsi="Arial" w:cs="Arial"/>
          <w:sz w:val="20"/>
          <w:szCs w:val="20"/>
        </w:rPr>
        <w:t>often spotlighting design-for-deconstruction (</w:t>
      </w:r>
      <w:proofErr w:type="spellStart"/>
      <w:r w:rsidRPr="000F69B1">
        <w:rPr>
          <w:rFonts w:ascii="Arial" w:hAnsi="Arial" w:cs="Arial"/>
          <w:sz w:val="20"/>
          <w:szCs w:val="20"/>
        </w:rPr>
        <w:t>DfD</w:t>
      </w:r>
      <w:proofErr w:type="spellEnd"/>
      <w:r w:rsidRPr="000F69B1">
        <w:rPr>
          <w:rFonts w:ascii="Arial" w:hAnsi="Arial" w:cs="Arial"/>
          <w:sz w:val="20"/>
          <w:szCs w:val="20"/>
        </w:rPr>
        <w:t>) but rarely engages with embedded safety controls during reuse processes.</w:t>
      </w:r>
    </w:p>
    <w:p w14:paraId="1CD8696B" w14:textId="77777777" w:rsidR="00CC4B1D" w:rsidRPr="000F69B1"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These compartmentalized efforts highlight key limitations:</w:t>
      </w:r>
    </w:p>
    <w:p w14:paraId="3550EDDC" w14:textId="7E6261B5" w:rsidR="00CC4B1D" w:rsidRPr="000F69B1" w:rsidRDefault="00CC4B1D" w:rsidP="00C003CB">
      <w:pPr>
        <w:numPr>
          <w:ilvl w:val="0"/>
          <w:numId w:val="1"/>
        </w:numPr>
        <w:spacing w:before="36" w:after="10" w:line="240" w:lineRule="auto"/>
        <w:ind w:right="720"/>
        <w:jc w:val="both"/>
        <w:rPr>
          <w:rFonts w:ascii="Arial" w:hAnsi="Arial" w:cs="Arial"/>
          <w:sz w:val="20"/>
          <w:szCs w:val="20"/>
        </w:rPr>
      </w:pPr>
      <w:r w:rsidRPr="000F69B1">
        <w:rPr>
          <w:rFonts w:ascii="Arial" w:hAnsi="Arial" w:cs="Arial"/>
          <w:b/>
          <w:bCs/>
          <w:sz w:val="20"/>
          <w:szCs w:val="20"/>
        </w:rPr>
        <w:t>Safety protocols are not tailored for circular processes.</w:t>
      </w:r>
      <w:r w:rsidRPr="000F69B1">
        <w:rPr>
          <w:rFonts w:ascii="Arial" w:hAnsi="Arial" w:cs="Arial"/>
          <w:sz w:val="20"/>
          <w:szCs w:val="20"/>
        </w:rPr>
        <w:t xml:space="preserve"> Standard PPE and risk management frameworks do not account for the unique hazards posed by reclaimed materials, including structural instability or contamination</w:t>
      </w:r>
      <w:r w:rsidR="000B2C22">
        <w:rPr>
          <w:rFonts w:ascii="Arial" w:hAnsi="Arial" w:cs="Arial"/>
          <w:sz w:val="20"/>
          <w:szCs w:val="20"/>
        </w:rPr>
        <w:t xml:space="preserve"> (Tang and </w:t>
      </w:r>
      <w:proofErr w:type="spellStart"/>
      <w:r w:rsidR="000B2C22">
        <w:rPr>
          <w:rFonts w:ascii="Arial" w:hAnsi="Arial" w:cs="Arial"/>
          <w:sz w:val="20"/>
          <w:szCs w:val="20"/>
        </w:rPr>
        <w:t>Golparvar-Fard</w:t>
      </w:r>
      <w:proofErr w:type="spellEnd"/>
      <w:r w:rsidR="000B2C22">
        <w:rPr>
          <w:rFonts w:ascii="Arial" w:hAnsi="Arial" w:cs="Arial"/>
          <w:sz w:val="20"/>
          <w:szCs w:val="20"/>
        </w:rPr>
        <w:t xml:space="preserve">, 2021; </w:t>
      </w:r>
      <w:proofErr w:type="spellStart"/>
      <w:r w:rsidR="000B2C22">
        <w:rPr>
          <w:rFonts w:ascii="Arial" w:hAnsi="Arial" w:cs="Arial"/>
          <w:sz w:val="20"/>
          <w:szCs w:val="20"/>
        </w:rPr>
        <w:t>Larbi</w:t>
      </w:r>
      <w:proofErr w:type="spellEnd"/>
      <w:r w:rsidR="000B2C22">
        <w:rPr>
          <w:rFonts w:ascii="Arial" w:hAnsi="Arial" w:cs="Arial"/>
          <w:sz w:val="20"/>
          <w:szCs w:val="20"/>
        </w:rPr>
        <w:t xml:space="preserve"> </w:t>
      </w:r>
      <w:r w:rsidR="000B2C22" w:rsidRPr="005E26BB">
        <w:rPr>
          <w:rFonts w:ascii="Arial" w:hAnsi="Arial" w:cs="Arial"/>
          <w:i/>
          <w:iCs/>
          <w:sz w:val="20"/>
          <w:szCs w:val="20"/>
        </w:rPr>
        <w:t>et al</w:t>
      </w:r>
      <w:r w:rsidR="000B2C22">
        <w:rPr>
          <w:rFonts w:ascii="Arial" w:hAnsi="Arial" w:cs="Arial"/>
          <w:sz w:val="20"/>
          <w:szCs w:val="20"/>
        </w:rPr>
        <w:t xml:space="preserve">., 2024; Salzano </w:t>
      </w:r>
      <w:r w:rsidR="000B2C22" w:rsidRPr="005E26BB">
        <w:rPr>
          <w:rFonts w:ascii="Arial" w:hAnsi="Arial" w:cs="Arial"/>
          <w:i/>
          <w:iCs/>
          <w:sz w:val="20"/>
          <w:szCs w:val="20"/>
        </w:rPr>
        <w:t>et al</w:t>
      </w:r>
      <w:r w:rsidR="000B2C22">
        <w:rPr>
          <w:rFonts w:ascii="Arial" w:hAnsi="Arial" w:cs="Arial"/>
          <w:sz w:val="20"/>
          <w:szCs w:val="20"/>
        </w:rPr>
        <w:t>., 2024)</w:t>
      </w:r>
      <w:r w:rsidR="000B2C22" w:rsidRPr="000F69B1">
        <w:rPr>
          <w:rFonts w:ascii="Arial" w:hAnsi="Arial" w:cs="Arial"/>
          <w:sz w:val="20"/>
          <w:szCs w:val="20"/>
        </w:rPr>
        <w:t>.</w:t>
      </w:r>
    </w:p>
    <w:p w14:paraId="7CC1EF67" w14:textId="0D8FA999" w:rsidR="00CC4B1D" w:rsidRPr="000F69B1" w:rsidRDefault="00CC4B1D" w:rsidP="00C003CB">
      <w:pPr>
        <w:numPr>
          <w:ilvl w:val="0"/>
          <w:numId w:val="1"/>
        </w:numPr>
        <w:spacing w:before="36" w:after="10" w:line="240" w:lineRule="auto"/>
        <w:ind w:right="720"/>
        <w:jc w:val="both"/>
        <w:rPr>
          <w:rFonts w:ascii="Arial" w:hAnsi="Arial" w:cs="Arial"/>
          <w:sz w:val="20"/>
          <w:szCs w:val="20"/>
        </w:rPr>
      </w:pPr>
      <w:r w:rsidRPr="000F69B1">
        <w:rPr>
          <w:rFonts w:ascii="Arial" w:hAnsi="Arial" w:cs="Arial"/>
          <w:b/>
          <w:bCs/>
          <w:sz w:val="20"/>
          <w:szCs w:val="20"/>
        </w:rPr>
        <w:t>Circular economy frameworks lack operational safety guidance.</w:t>
      </w:r>
      <w:r w:rsidRPr="000F69B1">
        <w:rPr>
          <w:rFonts w:ascii="Arial" w:hAnsi="Arial" w:cs="Arial"/>
          <w:sz w:val="20"/>
          <w:szCs w:val="20"/>
        </w:rPr>
        <w:t xml:space="preserve"> Material passports, digital tracking platforms, and deconstruction guidelines focus on logistics and sustainability metrics, with scant attention to on-site health protections </w:t>
      </w:r>
      <w:r w:rsidR="00197E9D" w:rsidRPr="000F69B1">
        <w:rPr>
          <w:rFonts w:ascii="Arial" w:hAnsi="Arial" w:cs="Arial"/>
          <w:sz w:val="20"/>
          <w:szCs w:val="20"/>
        </w:rPr>
        <w:t xml:space="preserve">(Keles </w:t>
      </w:r>
      <w:r w:rsidR="00F65F0E" w:rsidRPr="000F69B1">
        <w:rPr>
          <w:rFonts w:ascii="Arial" w:hAnsi="Arial" w:cs="Arial"/>
          <w:i/>
          <w:iCs/>
          <w:sz w:val="20"/>
          <w:szCs w:val="20"/>
        </w:rPr>
        <w:t>et al;</w:t>
      </w:r>
      <w:r w:rsidR="00F65F0E" w:rsidRPr="000F69B1">
        <w:rPr>
          <w:rFonts w:ascii="Arial" w:hAnsi="Arial" w:cs="Arial"/>
          <w:sz w:val="20"/>
          <w:szCs w:val="20"/>
        </w:rPr>
        <w:t xml:space="preserve"> </w:t>
      </w:r>
      <w:r w:rsidR="00197E9D" w:rsidRPr="000F69B1">
        <w:rPr>
          <w:rFonts w:ascii="Arial" w:hAnsi="Arial" w:cs="Arial"/>
          <w:sz w:val="20"/>
          <w:szCs w:val="20"/>
        </w:rPr>
        <w:t>2025).</w:t>
      </w:r>
    </w:p>
    <w:p w14:paraId="370A447F" w14:textId="77777777" w:rsidR="00CC4B1D" w:rsidRPr="000F69B1" w:rsidRDefault="00CC4B1D" w:rsidP="00C003CB">
      <w:pPr>
        <w:numPr>
          <w:ilvl w:val="0"/>
          <w:numId w:val="1"/>
        </w:numPr>
        <w:spacing w:before="36" w:after="10" w:line="240" w:lineRule="auto"/>
        <w:ind w:right="720"/>
        <w:jc w:val="both"/>
        <w:rPr>
          <w:rFonts w:ascii="Arial" w:hAnsi="Arial" w:cs="Arial"/>
          <w:sz w:val="20"/>
          <w:szCs w:val="20"/>
        </w:rPr>
      </w:pPr>
      <w:r w:rsidRPr="000F69B1">
        <w:rPr>
          <w:rFonts w:ascii="Arial" w:hAnsi="Arial" w:cs="Arial"/>
          <w:b/>
          <w:bCs/>
          <w:sz w:val="20"/>
          <w:szCs w:val="20"/>
        </w:rPr>
        <w:t>Insufficient empirical analyses.</w:t>
      </w:r>
      <w:r w:rsidRPr="000F69B1">
        <w:rPr>
          <w:rFonts w:ascii="Arial" w:hAnsi="Arial" w:cs="Arial"/>
          <w:sz w:val="20"/>
          <w:szCs w:val="20"/>
        </w:rPr>
        <w:t xml:space="preserve"> There is a lack of evidence-based evaluations demonstrating how integrated safety measures can be operationalized within circular workflows.</w:t>
      </w:r>
    </w:p>
    <w:p w14:paraId="1FF27C34" w14:textId="77777777" w:rsidR="00CC4B1D" w:rsidRPr="000F69B1"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These gaps generate the guiding research questions for this study:</w:t>
      </w:r>
    </w:p>
    <w:p w14:paraId="349395FB" w14:textId="4669F0F3" w:rsidR="00CC4B1D" w:rsidRPr="000F69B1" w:rsidRDefault="00CC4B1D" w:rsidP="00C003CB">
      <w:pPr>
        <w:numPr>
          <w:ilvl w:val="0"/>
          <w:numId w:val="2"/>
        </w:numPr>
        <w:spacing w:before="36" w:after="10" w:line="240" w:lineRule="auto"/>
        <w:ind w:right="720"/>
        <w:jc w:val="both"/>
        <w:rPr>
          <w:rFonts w:ascii="Arial" w:hAnsi="Arial" w:cs="Arial"/>
          <w:sz w:val="20"/>
          <w:szCs w:val="20"/>
        </w:rPr>
      </w:pPr>
      <w:r w:rsidRPr="000F69B1">
        <w:rPr>
          <w:rFonts w:ascii="Arial" w:hAnsi="Arial" w:cs="Arial"/>
          <w:b/>
          <w:bCs/>
          <w:sz w:val="20"/>
          <w:szCs w:val="20"/>
        </w:rPr>
        <w:t>RQ1:</w:t>
      </w:r>
      <w:r w:rsidRPr="000F69B1">
        <w:rPr>
          <w:rFonts w:ascii="Arial" w:hAnsi="Arial" w:cs="Arial"/>
          <w:sz w:val="20"/>
          <w:szCs w:val="20"/>
        </w:rPr>
        <w:t xml:space="preserve"> </w:t>
      </w:r>
      <w:bookmarkStart w:id="4" w:name="_Hlk203750543"/>
      <w:r w:rsidRPr="000F69B1">
        <w:rPr>
          <w:rFonts w:ascii="Arial" w:hAnsi="Arial" w:cs="Arial"/>
          <w:sz w:val="20"/>
          <w:szCs w:val="20"/>
        </w:rPr>
        <w:t xml:space="preserve">What </w:t>
      </w:r>
      <w:r w:rsidR="00F65F0E" w:rsidRPr="000F69B1">
        <w:rPr>
          <w:rFonts w:ascii="Arial" w:hAnsi="Arial" w:cs="Arial"/>
          <w:sz w:val="20"/>
          <w:szCs w:val="20"/>
        </w:rPr>
        <w:t>is</w:t>
      </w:r>
      <w:r w:rsidRPr="000F69B1">
        <w:rPr>
          <w:rFonts w:ascii="Arial" w:hAnsi="Arial" w:cs="Arial"/>
          <w:sz w:val="20"/>
          <w:szCs w:val="20"/>
        </w:rPr>
        <w:t xml:space="preserve"> the core occupational health and safety risks associated with material recovery and reuse on construction sites?</w:t>
      </w:r>
      <w:bookmarkEnd w:id="4"/>
    </w:p>
    <w:p w14:paraId="1CED95C7" w14:textId="77777777" w:rsidR="00CC4B1D" w:rsidRPr="000F69B1" w:rsidRDefault="00CC4B1D" w:rsidP="00C003CB">
      <w:pPr>
        <w:numPr>
          <w:ilvl w:val="0"/>
          <w:numId w:val="2"/>
        </w:numPr>
        <w:spacing w:before="36" w:after="10" w:line="240" w:lineRule="auto"/>
        <w:ind w:right="720"/>
        <w:jc w:val="both"/>
        <w:rPr>
          <w:rFonts w:ascii="Arial" w:hAnsi="Arial" w:cs="Arial"/>
          <w:sz w:val="20"/>
          <w:szCs w:val="20"/>
        </w:rPr>
      </w:pPr>
      <w:r w:rsidRPr="000F69B1">
        <w:rPr>
          <w:rFonts w:ascii="Arial" w:hAnsi="Arial" w:cs="Arial"/>
          <w:b/>
          <w:bCs/>
          <w:sz w:val="20"/>
          <w:szCs w:val="20"/>
        </w:rPr>
        <w:t>RQ2:</w:t>
      </w:r>
      <w:r w:rsidRPr="000F69B1">
        <w:rPr>
          <w:rFonts w:ascii="Arial" w:hAnsi="Arial" w:cs="Arial"/>
          <w:sz w:val="20"/>
          <w:szCs w:val="20"/>
        </w:rPr>
        <w:t xml:space="preserve"> How effective are extant deconstruction and material handling protocols in mitigating these identified risks?</w:t>
      </w:r>
    </w:p>
    <w:p w14:paraId="6197B3BB" w14:textId="77777777" w:rsidR="00CC4B1D" w:rsidRPr="000F69B1" w:rsidRDefault="00CC4B1D" w:rsidP="00C003CB">
      <w:pPr>
        <w:numPr>
          <w:ilvl w:val="0"/>
          <w:numId w:val="2"/>
        </w:numPr>
        <w:spacing w:before="36" w:after="10" w:line="240" w:lineRule="auto"/>
        <w:ind w:right="720"/>
        <w:jc w:val="both"/>
        <w:rPr>
          <w:rFonts w:ascii="Arial" w:hAnsi="Arial" w:cs="Arial"/>
          <w:sz w:val="20"/>
          <w:szCs w:val="20"/>
        </w:rPr>
      </w:pPr>
      <w:r w:rsidRPr="000F69B1">
        <w:rPr>
          <w:rFonts w:ascii="Arial" w:hAnsi="Arial" w:cs="Arial"/>
          <w:b/>
          <w:bCs/>
          <w:sz w:val="20"/>
          <w:szCs w:val="20"/>
        </w:rPr>
        <w:t>RQ3:</w:t>
      </w:r>
      <w:r w:rsidRPr="000F69B1">
        <w:rPr>
          <w:rFonts w:ascii="Arial" w:hAnsi="Arial" w:cs="Arial"/>
          <w:sz w:val="20"/>
          <w:szCs w:val="20"/>
        </w:rPr>
        <w:t xml:space="preserve"> What framework can integrate circular practices and safety standards to optimize both outcomes?</w:t>
      </w:r>
    </w:p>
    <w:p w14:paraId="13D6EEDE" w14:textId="77777777" w:rsidR="00CC4B1D" w:rsidRPr="000F69B1" w:rsidRDefault="00CC4B1D" w:rsidP="00C003CB">
      <w:pPr>
        <w:numPr>
          <w:ilvl w:val="0"/>
          <w:numId w:val="2"/>
        </w:numPr>
        <w:spacing w:before="36" w:after="10" w:line="240" w:lineRule="auto"/>
        <w:ind w:right="720"/>
        <w:jc w:val="both"/>
        <w:rPr>
          <w:rFonts w:ascii="Arial" w:hAnsi="Arial" w:cs="Arial"/>
          <w:sz w:val="20"/>
          <w:szCs w:val="20"/>
        </w:rPr>
      </w:pPr>
      <w:r w:rsidRPr="000F69B1">
        <w:rPr>
          <w:rFonts w:ascii="Arial" w:hAnsi="Arial" w:cs="Arial"/>
          <w:b/>
          <w:bCs/>
          <w:sz w:val="20"/>
          <w:szCs w:val="20"/>
        </w:rPr>
        <w:t>RQ4:</w:t>
      </w:r>
      <w:r w:rsidRPr="000F69B1">
        <w:rPr>
          <w:rFonts w:ascii="Arial" w:hAnsi="Arial" w:cs="Arial"/>
          <w:sz w:val="20"/>
          <w:szCs w:val="20"/>
        </w:rPr>
        <w:t xml:space="preserve"> How can such integration be standardized and scaled across diverse project typologies and regulatory landscapes?</w:t>
      </w:r>
    </w:p>
    <w:p w14:paraId="37967DA3" w14:textId="7ED2599D" w:rsidR="00CC4B1D" w:rsidRPr="000F69B1"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 xml:space="preserve">To address these inquiries, this research proposes the </w:t>
      </w:r>
      <w:r w:rsidRPr="000F69B1">
        <w:rPr>
          <w:rFonts w:ascii="Arial" w:hAnsi="Arial" w:cs="Arial"/>
          <w:b/>
          <w:bCs/>
          <w:sz w:val="20"/>
          <w:szCs w:val="20"/>
        </w:rPr>
        <w:t>Safety–Circular Integration Framework (SCIF)</w:t>
      </w:r>
      <w:r w:rsidR="00E3173D" w:rsidRPr="000F69B1">
        <w:rPr>
          <w:rFonts w:ascii="Arial" w:hAnsi="Arial" w:cs="Arial"/>
          <w:sz w:val="20"/>
          <w:szCs w:val="20"/>
        </w:rPr>
        <w:t xml:space="preserve"> </w:t>
      </w:r>
      <w:r w:rsidRPr="000F69B1">
        <w:rPr>
          <w:rFonts w:ascii="Arial" w:hAnsi="Arial" w:cs="Arial"/>
          <w:sz w:val="20"/>
          <w:szCs w:val="20"/>
        </w:rPr>
        <w:t xml:space="preserve">a systemic and operational methodology embedding health and safety considerations directly within circular workflows. The SCIF incorporates adaptive PPE protocols for reclaimed materials, standardized handling and inspection procedures, structured safety checkpoints at workflow transitions, and digital monitoring via material passports and BIM platforms </w:t>
      </w:r>
      <w:r w:rsidR="009F0369" w:rsidRPr="000F69B1">
        <w:rPr>
          <w:rFonts w:ascii="Arial" w:hAnsi="Arial" w:cs="Arial"/>
          <w:sz w:val="20"/>
          <w:szCs w:val="20"/>
        </w:rPr>
        <w:t xml:space="preserve">(Bertino </w:t>
      </w:r>
      <w:r w:rsidR="009F0369" w:rsidRPr="000F69B1">
        <w:rPr>
          <w:rFonts w:ascii="Arial" w:hAnsi="Arial" w:cs="Arial"/>
          <w:i/>
          <w:iCs/>
          <w:sz w:val="20"/>
          <w:szCs w:val="20"/>
        </w:rPr>
        <w:t xml:space="preserve">et </w:t>
      </w:r>
      <w:r w:rsidR="00E3173D" w:rsidRPr="000F69B1">
        <w:rPr>
          <w:rFonts w:ascii="Arial" w:hAnsi="Arial" w:cs="Arial"/>
          <w:i/>
          <w:iCs/>
          <w:sz w:val="20"/>
          <w:szCs w:val="20"/>
        </w:rPr>
        <w:t>al;</w:t>
      </w:r>
      <w:r w:rsidR="00E3173D" w:rsidRPr="000F69B1">
        <w:rPr>
          <w:rFonts w:ascii="Arial" w:hAnsi="Arial" w:cs="Arial"/>
          <w:sz w:val="20"/>
          <w:szCs w:val="20"/>
        </w:rPr>
        <w:t xml:space="preserve"> 2021</w:t>
      </w:r>
      <w:r w:rsidR="00A233E2">
        <w:rPr>
          <w:rFonts w:ascii="Arial" w:hAnsi="Arial" w:cs="Arial"/>
          <w:sz w:val="20"/>
          <w:szCs w:val="20"/>
        </w:rPr>
        <w:t xml:space="preserve">; </w:t>
      </w:r>
      <w:r w:rsidR="00480475" w:rsidRPr="000F69B1">
        <w:rPr>
          <w:rFonts w:ascii="Arial" w:hAnsi="Arial" w:cs="Arial"/>
          <w:sz w:val="20"/>
          <w:szCs w:val="20"/>
        </w:rPr>
        <w:t>Mayer, 2020)</w:t>
      </w:r>
      <w:r w:rsidR="00E3173D" w:rsidRPr="000F69B1">
        <w:rPr>
          <w:rFonts w:ascii="Arial" w:hAnsi="Arial" w:cs="Arial"/>
          <w:sz w:val="20"/>
          <w:szCs w:val="20"/>
        </w:rPr>
        <w:t>.</w:t>
      </w:r>
    </w:p>
    <w:p w14:paraId="235E9887" w14:textId="77777777" w:rsidR="00CC4B1D" w:rsidRPr="000F69B1"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This framework is novel in three respects:</w:t>
      </w:r>
    </w:p>
    <w:p w14:paraId="7F0E435D" w14:textId="77777777" w:rsidR="00CC4B1D" w:rsidRPr="000F69B1" w:rsidRDefault="00CC4B1D" w:rsidP="00C003CB">
      <w:pPr>
        <w:numPr>
          <w:ilvl w:val="0"/>
          <w:numId w:val="3"/>
        </w:numPr>
        <w:spacing w:before="36" w:after="10" w:line="240" w:lineRule="auto"/>
        <w:ind w:right="720"/>
        <w:jc w:val="both"/>
        <w:rPr>
          <w:rFonts w:ascii="Arial" w:hAnsi="Arial" w:cs="Arial"/>
          <w:sz w:val="20"/>
          <w:szCs w:val="20"/>
        </w:rPr>
      </w:pPr>
      <w:r w:rsidRPr="000F69B1">
        <w:rPr>
          <w:rFonts w:ascii="Arial" w:hAnsi="Arial" w:cs="Arial"/>
          <w:b/>
          <w:bCs/>
          <w:sz w:val="20"/>
          <w:szCs w:val="20"/>
        </w:rPr>
        <w:t>It directly bridges two previously siloed domains.</w:t>
      </w:r>
      <w:r w:rsidRPr="000F69B1">
        <w:rPr>
          <w:rFonts w:ascii="Arial" w:hAnsi="Arial" w:cs="Arial"/>
          <w:sz w:val="20"/>
          <w:szCs w:val="20"/>
        </w:rPr>
        <w:t xml:space="preserve"> Unlike existing models that treat safety and sustainability separately, SCIF operationalizes their convergence.</w:t>
      </w:r>
    </w:p>
    <w:p w14:paraId="613B3C32" w14:textId="194FB807" w:rsidR="00CC4B1D" w:rsidRPr="000F69B1" w:rsidRDefault="00CC4B1D" w:rsidP="00C003CB">
      <w:pPr>
        <w:numPr>
          <w:ilvl w:val="0"/>
          <w:numId w:val="3"/>
        </w:numPr>
        <w:spacing w:before="36" w:after="10" w:line="240" w:lineRule="auto"/>
        <w:ind w:right="720"/>
        <w:jc w:val="both"/>
        <w:rPr>
          <w:rFonts w:ascii="Arial" w:hAnsi="Arial" w:cs="Arial"/>
          <w:sz w:val="20"/>
          <w:szCs w:val="20"/>
        </w:rPr>
      </w:pPr>
      <w:r w:rsidRPr="000F69B1">
        <w:rPr>
          <w:rFonts w:ascii="Arial" w:hAnsi="Arial" w:cs="Arial"/>
          <w:b/>
          <w:bCs/>
          <w:sz w:val="20"/>
          <w:szCs w:val="20"/>
        </w:rPr>
        <w:lastRenderedPageBreak/>
        <w:t xml:space="preserve">It is </w:t>
      </w:r>
      <w:r w:rsidR="00F65F0E" w:rsidRPr="000F69B1">
        <w:rPr>
          <w:rFonts w:ascii="Arial" w:hAnsi="Arial" w:cs="Arial"/>
          <w:b/>
          <w:bCs/>
          <w:sz w:val="20"/>
          <w:szCs w:val="20"/>
        </w:rPr>
        <w:t>research grounded</w:t>
      </w:r>
      <w:r w:rsidRPr="000F69B1">
        <w:rPr>
          <w:rFonts w:ascii="Arial" w:hAnsi="Arial" w:cs="Arial"/>
          <w:b/>
          <w:bCs/>
          <w:sz w:val="20"/>
          <w:szCs w:val="20"/>
        </w:rPr>
        <w:t>.</w:t>
      </w:r>
      <w:r w:rsidR="00D504D9" w:rsidRPr="000F69B1">
        <w:rPr>
          <w:rFonts w:ascii="Arial" w:hAnsi="Arial" w:cs="Arial"/>
          <w:b/>
          <w:bCs/>
          <w:sz w:val="20"/>
          <w:szCs w:val="20"/>
        </w:rPr>
        <w:t xml:space="preserve">  </w:t>
      </w:r>
      <w:r w:rsidRPr="000F69B1">
        <w:rPr>
          <w:rFonts w:ascii="Arial" w:hAnsi="Arial" w:cs="Arial"/>
          <w:sz w:val="20"/>
          <w:szCs w:val="20"/>
        </w:rPr>
        <w:t xml:space="preserve"> Using bibliometric and evidence-based tools (e.g., PRISMA screening and </w:t>
      </w:r>
      <w:proofErr w:type="spellStart"/>
      <w:r w:rsidRPr="000F69B1">
        <w:rPr>
          <w:rFonts w:ascii="Arial" w:hAnsi="Arial" w:cs="Arial"/>
          <w:sz w:val="20"/>
          <w:szCs w:val="20"/>
        </w:rPr>
        <w:t>VOSviewer</w:t>
      </w:r>
      <w:proofErr w:type="spellEnd"/>
      <w:r w:rsidRPr="000F69B1">
        <w:rPr>
          <w:rFonts w:ascii="Arial" w:hAnsi="Arial" w:cs="Arial"/>
          <w:sz w:val="20"/>
          <w:szCs w:val="20"/>
        </w:rPr>
        <w:t xml:space="preserve"> mapping), it systematically identifies and addresses gaps within both fields.</w:t>
      </w:r>
    </w:p>
    <w:p w14:paraId="38813C48" w14:textId="77777777" w:rsidR="00CC4B1D" w:rsidRPr="000F69B1" w:rsidRDefault="00CC4B1D" w:rsidP="00C003CB">
      <w:pPr>
        <w:numPr>
          <w:ilvl w:val="0"/>
          <w:numId w:val="3"/>
        </w:numPr>
        <w:spacing w:before="36" w:after="10" w:line="240" w:lineRule="auto"/>
        <w:ind w:right="720"/>
        <w:jc w:val="both"/>
        <w:rPr>
          <w:rFonts w:ascii="Arial" w:hAnsi="Arial" w:cs="Arial"/>
          <w:sz w:val="20"/>
          <w:szCs w:val="20"/>
        </w:rPr>
      </w:pPr>
      <w:r w:rsidRPr="000F69B1">
        <w:rPr>
          <w:rFonts w:ascii="Arial" w:hAnsi="Arial" w:cs="Arial"/>
          <w:b/>
          <w:bCs/>
          <w:sz w:val="20"/>
          <w:szCs w:val="20"/>
        </w:rPr>
        <w:t>It is practical and scalable.</w:t>
      </w:r>
      <w:r w:rsidRPr="000F69B1">
        <w:rPr>
          <w:rFonts w:ascii="Arial" w:hAnsi="Arial" w:cs="Arial"/>
          <w:sz w:val="20"/>
          <w:szCs w:val="20"/>
        </w:rPr>
        <w:t xml:space="preserve"> Designed to align with current safety regulations and varying project contexts, SCIF supports real-world adoption and potential incorporation into policy frameworks.</w:t>
      </w:r>
    </w:p>
    <w:p w14:paraId="50F26222" w14:textId="6FBECA6C" w:rsidR="00CC4B1D" w:rsidRPr="000F69B1"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The integration proposed by SCIF contributes to global sustainability and worker safety objectives, particularly advancing UN SDG 8 (Decent Work and Economic Growth) and SDG 12 (Responsible Consumption and Production), by demonstrating that circularity and on-site wellbeing are mutually reinforcing goals.</w:t>
      </w:r>
    </w:p>
    <w:p w14:paraId="7DAB933B" w14:textId="334C9F16" w:rsidR="00CC4B1D" w:rsidRDefault="00CC4B1D"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 xml:space="preserve">By delivering a structured, scalable </w:t>
      </w:r>
      <w:r w:rsidR="00E87A76" w:rsidRPr="000F69B1">
        <w:rPr>
          <w:rFonts w:ascii="Arial" w:hAnsi="Arial" w:cs="Arial"/>
          <w:sz w:val="20"/>
          <w:szCs w:val="20"/>
        </w:rPr>
        <w:t>protocol,</w:t>
      </w:r>
      <w:r w:rsidRPr="000F69B1">
        <w:rPr>
          <w:rFonts w:ascii="Arial" w:hAnsi="Arial" w:cs="Arial"/>
          <w:sz w:val="20"/>
          <w:szCs w:val="20"/>
        </w:rPr>
        <w:t xml:space="preserve"> that unites material reuse and worker protection, this research offers both theoretical advancement and tangible solutions for industry practitioners and regulators. The SCIF framework thus represents a strategic pivot toward sustainable, health-conscious, and circular construction workflows</w:t>
      </w:r>
      <w:r w:rsidR="00307AB5" w:rsidRPr="000F69B1">
        <w:rPr>
          <w:rFonts w:ascii="Arial" w:hAnsi="Arial" w:cs="Arial"/>
          <w:sz w:val="20"/>
          <w:szCs w:val="20"/>
        </w:rPr>
        <w:t xml:space="preserve"> </w:t>
      </w:r>
      <w:r w:rsidRPr="000F69B1">
        <w:rPr>
          <w:rFonts w:ascii="Arial" w:hAnsi="Arial" w:cs="Arial"/>
          <w:sz w:val="20"/>
          <w:szCs w:val="20"/>
        </w:rPr>
        <w:t>an indispensable step in the next generation of built-environment transformation.</w:t>
      </w:r>
    </w:p>
    <w:p w14:paraId="1D7FD367" w14:textId="3CAD990F" w:rsidR="00794721" w:rsidRDefault="00794721" w:rsidP="00C003CB">
      <w:pPr>
        <w:spacing w:before="36" w:after="10" w:line="240" w:lineRule="auto"/>
        <w:ind w:left="720" w:right="720"/>
        <w:jc w:val="both"/>
        <w:rPr>
          <w:rFonts w:ascii="Arial" w:hAnsi="Arial" w:cs="Arial"/>
          <w:sz w:val="20"/>
          <w:szCs w:val="20"/>
        </w:rPr>
      </w:pPr>
    </w:p>
    <w:p w14:paraId="3320F85A" w14:textId="77777777" w:rsidR="00794721" w:rsidRPr="00794721" w:rsidRDefault="00794721" w:rsidP="00794721">
      <w:pPr>
        <w:spacing w:before="36" w:after="10" w:line="240" w:lineRule="auto"/>
        <w:ind w:left="720" w:right="720"/>
        <w:jc w:val="both"/>
        <w:rPr>
          <w:rFonts w:ascii="Arial" w:hAnsi="Arial" w:cs="Arial"/>
          <w:b/>
          <w:bCs/>
          <w:sz w:val="20"/>
          <w:szCs w:val="20"/>
        </w:rPr>
      </w:pPr>
      <w:r w:rsidRPr="00794721">
        <w:rPr>
          <w:rFonts w:ascii="Arial" w:hAnsi="Arial" w:cs="Arial"/>
          <w:b/>
          <w:bCs/>
          <w:sz w:val="20"/>
          <w:szCs w:val="20"/>
        </w:rPr>
        <w:t>RQ 1: What is the core occupational health and safety risks associated with material recovery and reuse on construction sites?</w:t>
      </w:r>
    </w:p>
    <w:p w14:paraId="12E45523" w14:textId="77777777" w:rsidR="00794721" w:rsidRPr="00794721" w:rsidRDefault="00794721" w:rsidP="00794721">
      <w:pPr>
        <w:spacing w:before="36" w:after="10" w:line="240" w:lineRule="auto"/>
        <w:ind w:left="720" w:right="720"/>
        <w:jc w:val="both"/>
        <w:rPr>
          <w:rFonts w:ascii="Arial" w:hAnsi="Arial" w:cs="Arial"/>
          <w:b/>
          <w:bCs/>
          <w:sz w:val="20"/>
          <w:szCs w:val="20"/>
        </w:rPr>
      </w:pPr>
    </w:p>
    <w:p w14:paraId="5CA2DB48" w14:textId="77777777" w:rsidR="00794721" w:rsidRPr="00794721" w:rsidRDefault="00794721" w:rsidP="00794721">
      <w:pPr>
        <w:spacing w:before="36" w:after="10" w:line="240" w:lineRule="auto"/>
        <w:ind w:left="720" w:right="720"/>
        <w:jc w:val="both"/>
        <w:rPr>
          <w:rFonts w:ascii="Arial" w:hAnsi="Arial" w:cs="Arial"/>
          <w:sz w:val="20"/>
          <w:szCs w:val="20"/>
        </w:rPr>
      </w:pPr>
      <w:r w:rsidRPr="00794721">
        <w:rPr>
          <w:rFonts w:ascii="Arial" w:hAnsi="Arial" w:cs="Arial"/>
          <w:sz w:val="20"/>
          <w:szCs w:val="20"/>
        </w:rPr>
        <w:t xml:space="preserve">When workers engage in material recovery and reuse on construction sites, they face layers of risk that go well beyond routine construction activities. Manual deconstruction in particular, a foundational technique in circular construction, exposes workers to a striking array of hazards and existing research underscores just how under-studied and under-managed these risks remain. </w:t>
      </w:r>
      <w:proofErr w:type="spellStart"/>
      <w:r w:rsidRPr="00794721">
        <w:rPr>
          <w:rFonts w:ascii="Arial" w:hAnsi="Arial" w:cs="Arial"/>
          <w:sz w:val="20"/>
          <w:szCs w:val="20"/>
        </w:rPr>
        <w:t>Bhattacharjee</w:t>
      </w:r>
      <w:proofErr w:type="spellEnd"/>
      <w:r w:rsidRPr="00794721">
        <w:rPr>
          <w:rFonts w:ascii="Arial" w:hAnsi="Arial" w:cs="Arial"/>
          <w:sz w:val="20"/>
          <w:szCs w:val="20"/>
        </w:rPr>
        <w:t xml:space="preserve"> et al. (2025) study mapped out deconstruction processes into discrete phases and identified fifty-one distinct health hazards and thirty-five safety hazards ranging from struck-by and trip, slip, and fall incidents to ergonomic strain, respiratory issues, and eye fatigue. These findings reveal that tasks as seemingly straightforward as carefully removing materials or salvaging components often involve navigating unstable structures, cumbersome manual handling, and unpredictable debris, all of which amplify the likelihood of acute injury or chronic harm. One of the most pervasive threats arises from materials with unknown or deteriorated conditions (Kumar Singh </w:t>
      </w:r>
      <w:r w:rsidRPr="00794721">
        <w:rPr>
          <w:rFonts w:ascii="Arial" w:hAnsi="Arial" w:cs="Arial"/>
          <w:i/>
          <w:iCs/>
          <w:sz w:val="20"/>
          <w:szCs w:val="20"/>
        </w:rPr>
        <w:t>et al</w:t>
      </w:r>
      <w:r w:rsidRPr="00794721">
        <w:rPr>
          <w:rFonts w:ascii="Arial" w:hAnsi="Arial" w:cs="Arial"/>
          <w:sz w:val="20"/>
          <w:szCs w:val="20"/>
        </w:rPr>
        <w:t xml:space="preserve">., 2024; </w:t>
      </w:r>
      <w:proofErr w:type="spellStart"/>
      <w:r w:rsidRPr="00794721">
        <w:rPr>
          <w:rFonts w:ascii="Arial" w:hAnsi="Arial" w:cs="Arial"/>
          <w:sz w:val="20"/>
          <w:szCs w:val="20"/>
        </w:rPr>
        <w:t>Wuni</w:t>
      </w:r>
      <w:proofErr w:type="spellEnd"/>
      <w:r w:rsidRPr="00794721">
        <w:rPr>
          <w:rFonts w:ascii="Arial" w:hAnsi="Arial" w:cs="Arial"/>
          <w:sz w:val="20"/>
          <w:szCs w:val="20"/>
        </w:rPr>
        <w:t xml:space="preserve"> and </w:t>
      </w:r>
      <w:proofErr w:type="spellStart"/>
      <w:r w:rsidRPr="00794721">
        <w:rPr>
          <w:rFonts w:ascii="Arial" w:hAnsi="Arial" w:cs="Arial"/>
          <w:sz w:val="20"/>
          <w:szCs w:val="20"/>
        </w:rPr>
        <w:t>Abankwa</w:t>
      </w:r>
      <w:proofErr w:type="spellEnd"/>
      <w:r w:rsidRPr="00794721">
        <w:rPr>
          <w:rFonts w:ascii="Arial" w:hAnsi="Arial" w:cs="Arial"/>
          <w:sz w:val="20"/>
          <w:szCs w:val="20"/>
        </w:rPr>
        <w:t xml:space="preserve">, 2025). Unlike new materials with documented properties, reclaimed components frequently harbour hidden hazards: lead paint residues, asbestos </w:t>
      </w:r>
      <w:proofErr w:type="spellStart"/>
      <w:r w:rsidRPr="00794721">
        <w:rPr>
          <w:rFonts w:ascii="Arial" w:hAnsi="Arial" w:cs="Arial"/>
          <w:sz w:val="20"/>
          <w:szCs w:val="20"/>
        </w:rPr>
        <w:t>fibers</w:t>
      </w:r>
      <w:proofErr w:type="spellEnd"/>
      <w:r w:rsidRPr="00794721">
        <w:rPr>
          <w:rFonts w:ascii="Arial" w:hAnsi="Arial" w:cs="Arial"/>
          <w:sz w:val="20"/>
          <w:szCs w:val="20"/>
        </w:rPr>
        <w:t xml:space="preserve">, volatile organic compounds, or </w:t>
      </w:r>
      <w:proofErr w:type="spellStart"/>
      <w:r w:rsidRPr="00794721">
        <w:rPr>
          <w:rFonts w:ascii="Arial" w:hAnsi="Arial" w:cs="Arial"/>
          <w:sz w:val="20"/>
          <w:szCs w:val="20"/>
        </w:rPr>
        <w:t>mold</w:t>
      </w:r>
      <w:proofErr w:type="spellEnd"/>
      <w:r w:rsidRPr="00794721">
        <w:rPr>
          <w:rFonts w:ascii="Arial" w:hAnsi="Arial" w:cs="Arial"/>
          <w:sz w:val="20"/>
          <w:szCs w:val="20"/>
        </w:rPr>
        <w:t xml:space="preserve"> are common in aged buildings (</w:t>
      </w:r>
      <w:bookmarkStart w:id="5" w:name="_Hlk203763178"/>
      <w:proofErr w:type="spellStart"/>
      <w:r w:rsidRPr="00794721">
        <w:rPr>
          <w:rFonts w:ascii="Arial" w:hAnsi="Arial" w:cs="Arial"/>
          <w:sz w:val="20"/>
          <w:szCs w:val="20"/>
        </w:rPr>
        <w:t>Torgautov</w:t>
      </w:r>
      <w:proofErr w:type="spellEnd"/>
      <w:r w:rsidRPr="00794721">
        <w:rPr>
          <w:rFonts w:ascii="Arial" w:hAnsi="Arial" w:cs="Arial"/>
          <w:sz w:val="20"/>
          <w:szCs w:val="20"/>
        </w:rPr>
        <w:t xml:space="preserve"> </w:t>
      </w:r>
      <w:r w:rsidRPr="00794721">
        <w:rPr>
          <w:rFonts w:ascii="Arial" w:hAnsi="Arial" w:cs="Arial"/>
          <w:i/>
          <w:iCs/>
          <w:sz w:val="20"/>
          <w:szCs w:val="20"/>
        </w:rPr>
        <w:t>et al</w:t>
      </w:r>
      <w:r w:rsidRPr="00794721">
        <w:rPr>
          <w:rFonts w:ascii="Arial" w:hAnsi="Arial" w:cs="Arial"/>
          <w:sz w:val="20"/>
          <w:szCs w:val="20"/>
        </w:rPr>
        <w:t>., 2021</w:t>
      </w:r>
      <w:bookmarkEnd w:id="5"/>
      <w:r w:rsidRPr="00794721">
        <w:rPr>
          <w:rFonts w:ascii="Arial" w:hAnsi="Arial" w:cs="Arial"/>
          <w:sz w:val="20"/>
          <w:szCs w:val="20"/>
        </w:rPr>
        <w:t>). Exposure to these contaminants can trigger long-term illnesses from lung disease to neurological disorders yet such risks are seldom screened or tracked rigorously in reuse workflows (</w:t>
      </w:r>
      <w:proofErr w:type="spellStart"/>
      <w:r w:rsidRPr="00794721">
        <w:rPr>
          <w:rFonts w:ascii="Arial" w:hAnsi="Arial" w:cs="Arial"/>
          <w:sz w:val="20"/>
          <w:szCs w:val="20"/>
        </w:rPr>
        <w:t>Charef</w:t>
      </w:r>
      <w:proofErr w:type="spellEnd"/>
      <w:r w:rsidRPr="00794721">
        <w:rPr>
          <w:rFonts w:ascii="Arial" w:hAnsi="Arial" w:cs="Arial"/>
          <w:sz w:val="20"/>
          <w:szCs w:val="20"/>
        </w:rPr>
        <w:t xml:space="preserve"> </w:t>
      </w:r>
      <w:r w:rsidRPr="00794721">
        <w:rPr>
          <w:rFonts w:ascii="Arial" w:hAnsi="Arial" w:cs="Arial"/>
          <w:i/>
          <w:iCs/>
          <w:sz w:val="20"/>
          <w:szCs w:val="20"/>
        </w:rPr>
        <w:t>et al</w:t>
      </w:r>
      <w:r w:rsidRPr="00794721">
        <w:rPr>
          <w:rFonts w:ascii="Arial" w:hAnsi="Arial" w:cs="Arial"/>
          <w:sz w:val="20"/>
          <w:szCs w:val="20"/>
        </w:rPr>
        <w:t>., 2021)</w:t>
      </w:r>
    </w:p>
    <w:p w14:paraId="6EC34281" w14:textId="77777777" w:rsidR="00794721" w:rsidRPr="00794721" w:rsidRDefault="00794721" w:rsidP="00794721">
      <w:pPr>
        <w:spacing w:before="36" w:after="10" w:line="240" w:lineRule="auto"/>
        <w:ind w:left="720" w:right="720"/>
        <w:jc w:val="both"/>
        <w:rPr>
          <w:rFonts w:ascii="Arial" w:hAnsi="Arial" w:cs="Arial"/>
          <w:sz w:val="20"/>
          <w:szCs w:val="20"/>
        </w:rPr>
      </w:pPr>
      <w:r w:rsidRPr="00794721">
        <w:rPr>
          <w:rFonts w:ascii="Arial" w:hAnsi="Arial" w:cs="Arial"/>
          <w:sz w:val="20"/>
          <w:szCs w:val="20"/>
        </w:rPr>
        <w:t xml:space="preserve">In fact, because these hazards are often embedded within surfaces or bound in coatings, workers may remain unaware until exposure has occurred. That makes initial hazard identification a critical but frequently overlooked step in safely handling salvage materials (Rashid, 2025; </w:t>
      </w:r>
      <w:proofErr w:type="spellStart"/>
      <w:r w:rsidRPr="00794721">
        <w:rPr>
          <w:rFonts w:ascii="Arial" w:hAnsi="Arial" w:cs="Arial"/>
          <w:sz w:val="20"/>
          <w:szCs w:val="20"/>
        </w:rPr>
        <w:t>Hasibuan</w:t>
      </w:r>
      <w:proofErr w:type="spellEnd"/>
      <w:r w:rsidRPr="00794721">
        <w:rPr>
          <w:rFonts w:ascii="Arial" w:hAnsi="Arial" w:cs="Arial"/>
          <w:sz w:val="20"/>
          <w:szCs w:val="20"/>
        </w:rPr>
        <w:t xml:space="preserve"> </w:t>
      </w:r>
      <w:r w:rsidRPr="00794721">
        <w:rPr>
          <w:rFonts w:ascii="Arial" w:hAnsi="Arial" w:cs="Arial"/>
          <w:i/>
          <w:iCs/>
          <w:sz w:val="20"/>
          <w:szCs w:val="20"/>
        </w:rPr>
        <w:t>et al</w:t>
      </w:r>
      <w:r w:rsidRPr="00794721">
        <w:rPr>
          <w:rFonts w:ascii="Arial" w:hAnsi="Arial" w:cs="Arial"/>
          <w:sz w:val="20"/>
          <w:szCs w:val="20"/>
        </w:rPr>
        <w:t xml:space="preserve">., 2025). Equally concerning is the likelihood of physical accidents during the deconstruction phase. Working often at heights with unstable or partially demolished structures increases exposure to falls or collapsing elements. As the European Agency for Safety and Health highlights, demolition and dismantling work is notorious for high noise, vibration, fire, and explosion potential. It also frequently involves working near excavations deeper than one meter, which carry their own collapse risks unless thoroughly surveyed and stabilized </w:t>
      </w:r>
      <w:bookmarkStart w:id="6" w:name="_Hlk203762980"/>
      <w:r w:rsidRPr="00794721">
        <w:rPr>
          <w:rFonts w:ascii="Arial" w:hAnsi="Arial" w:cs="Arial"/>
          <w:sz w:val="20"/>
          <w:szCs w:val="20"/>
        </w:rPr>
        <w:t xml:space="preserve">(Hoang </w:t>
      </w:r>
      <w:r w:rsidRPr="00794721">
        <w:rPr>
          <w:rFonts w:ascii="Arial" w:hAnsi="Arial" w:cs="Arial"/>
          <w:i/>
          <w:iCs/>
          <w:sz w:val="20"/>
          <w:szCs w:val="20"/>
        </w:rPr>
        <w:t>et al</w:t>
      </w:r>
      <w:r w:rsidRPr="00794721">
        <w:rPr>
          <w:rFonts w:ascii="Arial" w:hAnsi="Arial" w:cs="Arial"/>
          <w:sz w:val="20"/>
          <w:szCs w:val="20"/>
        </w:rPr>
        <w:t xml:space="preserve">., 2022). </w:t>
      </w:r>
      <w:bookmarkEnd w:id="6"/>
      <w:r w:rsidRPr="00794721">
        <w:rPr>
          <w:rFonts w:ascii="Arial" w:hAnsi="Arial" w:cs="Arial"/>
          <w:sz w:val="20"/>
          <w:szCs w:val="20"/>
        </w:rPr>
        <w:t>Noise and vibration hazards from heavy machinery and power tools may seem ancillary but can impair communication and suppress warnings, creating further vulnerabilities.</w:t>
      </w:r>
    </w:p>
    <w:p w14:paraId="53DB378A" w14:textId="77777777" w:rsidR="00794721" w:rsidRPr="00794721" w:rsidRDefault="00794721" w:rsidP="00794721">
      <w:pPr>
        <w:spacing w:before="36" w:after="10" w:line="240" w:lineRule="auto"/>
        <w:ind w:left="720" w:right="720"/>
        <w:jc w:val="both"/>
        <w:rPr>
          <w:rFonts w:ascii="Arial" w:hAnsi="Arial" w:cs="Arial"/>
          <w:sz w:val="20"/>
          <w:szCs w:val="20"/>
        </w:rPr>
      </w:pPr>
      <w:r w:rsidRPr="00794721">
        <w:rPr>
          <w:rFonts w:ascii="Arial" w:hAnsi="Arial" w:cs="Arial"/>
          <w:sz w:val="20"/>
          <w:szCs w:val="20"/>
        </w:rPr>
        <w:t xml:space="preserve">Musculoskeletal disorders and ergonomic strain represent another core dimension of risk. Material reuse inherently requires manual sorting, lifting, loading, and repositioning of irregular, heavy, or awkward components. Without proper planning and mechanical support, repetitive strain injuries and acute incidents become likely, especially where time constraints and informal labour practices downplay ergonomics in favour of speed (Hoang </w:t>
      </w:r>
      <w:r w:rsidRPr="00794721">
        <w:rPr>
          <w:rFonts w:ascii="Arial" w:hAnsi="Arial" w:cs="Arial"/>
          <w:i/>
          <w:iCs/>
          <w:sz w:val="20"/>
          <w:szCs w:val="20"/>
        </w:rPr>
        <w:t>et al</w:t>
      </w:r>
      <w:r w:rsidRPr="00794721">
        <w:rPr>
          <w:rFonts w:ascii="Arial" w:hAnsi="Arial" w:cs="Arial"/>
          <w:sz w:val="20"/>
          <w:szCs w:val="20"/>
        </w:rPr>
        <w:t xml:space="preserve">., 2022). The hazards tied to prolonged physical labour, compounded by unpredictable material weight and shape, are rarely acknowledged in sustainability-oriented deconstruction guidelines. Moreover, operational complexities around site logistics further heighten risk. Circular construction sites must often accommodate multiple material streams: new deliveries, incoming salvaged items, sorting zones, temporary storage areas, and outgoing recyclable or waste materials. Poorly organized vernacular stack zones or paths create trip hazards, </w:t>
      </w:r>
      <w:r w:rsidRPr="00794721">
        <w:rPr>
          <w:rFonts w:ascii="Arial" w:hAnsi="Arial" w:cs="Arial"/>
          <w:sz w:val="20"/>
          <w:szCs w:val="20"/>
        </w:rPr>
        <w:lastRenderedPageBreak/>
        <w:t>collisions, and the potential for dropped or shifting loads, which can affect both workers and the surrounding public (</w:t>
      </w:r>
      <w:proofErr w:type="spellStart"/>
      <w:r w:rsidRPr="00794721">
        <w:rPr>
          <w:rFonts w:ascii="Arial" w:hAnsi="Arial" w:cs="Arial"/>
          <w:sz w:val="20"/>
          <w:szCs w:val="20"/>
        </w:rPr>
        <w:t>Torgautov</w:t>
      </w:r>
      <w:proofErr w:type="spellEnd"/>
      <w:r w:rsidRPr="00794721">
        <w:rPr>
          <w:rFonts w:ascii="Arial" w:hAnsi="Arial" w:cs="Arial"/>
          <w:sz w:val="20"/>
          <w:szCs w:val="20"/>
        </w:rPr>
        <w:t xml:space="preserve"> </w:t>
      </w:r>
      <w:r w:rsidRPr="00794721">
        <w:rPr>
          <w:rFonts w:ascii="Arial" w:hAnsi="Arial" w:cs="Arial"/>
          <w:i/>
          <w:iCs/>
          <w:sz w:val="20"/>
          <w:szCs w:val="20"/>
        </w:rPr>
        <w:t>et al</w:t>
      </w:r>
      <w:r w:rsidRPr="00794721">
        <w:rPr>
          <w:rFonts w:ascii="Arial" w:hAnsi="Arial" w:cs="Arial"/>
          <w:sz w:val="20"/>
          <w:szCs w:val="20"/>
        </w:rPr>
        <w:t xml:space="preserve">., 2021). Inadequate housekeeping, tool misplacement, and electrical cord misuse common complaints in practical site reports further contribute to hidden but serious threats observed in real-world settings. Summarily, these insights make clear that material recovery and reuse work cannot rely on standard construction safety protocols alone. Circular workflows bring unique challenges: degraded or contaminated materials; unstable disassembly environments; unstructured logistics; and elevated physical strain (Daniele </w:t>
      </w:r>
      <w:r w:rsidRPr="00794721">
        <w:rPr>
          <w:rFonts w:ascii="Arial" w:hAnsi="Arial" w:cs="Arial"/>
          <w:i/>
          <w:iCs/>
          <w:sz w:val="20"/>
          <w:szCs w:val="20"/>
        </w:rPr>
        <w:t>et al</w:t>
      </w:r>
      <w:r w:rsidRPr="00794721">
        <w:rPr>
          <w:rFonts w:ascii="Arial" w:hAnsi="Arial" w:cs="Arial"/>
          <w:sz w:val="20"/>
          <w:szCs w:val="20"/>
        </w:rPr>
        <w:t>., 2025). Each of these intersects to create a dense web of occupational health and safety risks that demand protocols tailored to the very nature of reuse-driven construction sites. Without redesigning hazard identification, material profiling, PPE use, and site planning to account for these realities, circular construction may unwittingly put workers in harm’s way even as it promotes sustainability.</w:t>
      </w:r>
    </w:p>
    <w:p w14:paraId="1BEE7989" w14:textId="77777777" w:rsidR="00794721" w:rsidRPr="00794721" w:rsidRDefault="00794721" w:rsidP="00794721">
      <w:pPr>
        <w:spacing w:before="36" w:after="10" w:line="240" w:lineRule="auto"/>
        <w:ind w:left="720" w:right="720"/>
        <w:jc w:val="both"/>
        <w:rPr>
          <w:rFonts w:ascii="Arial" w:hAnsi="Arial" w:cs="Arial"/>
          <w:sz w:val="20"/>
          <w:szCs w:val="20"/>
        </w:rPr>
      </w:pPr>
      <w:r w:rsidRPr="00794721">
        <w:rPr>
          <w:rFonts w:ascii="Arial" w:hAnsi="Arial" w:cs="Arial"/>
          <w:noProof/>
          <w:sz w:val="20"/>
          <w:szCs w:val="20"/>
          <w:lang w:val="en-US"/>
        </w:rPr>
        <mc:AlternateContent>
          <mc:Choice Requires="wps">
            <w:drawing>
              <wp:inline distT="0" distB="0" distL="0" distR="0" wp14:anchorId="178DF042" wp14:editId="3B46D10B">
                <wp:extent cx="307340" cy="307340"/>
                <wp:effectExtent l="0" t="0" r="0" b="0"/>
                <wp:docPr id="62262839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3AB6A" id="AutoShape 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5tpX5twIAAL8FAAAO&#10;AAAAAAAAAAAAAAAAAC4CAABkcnMvZTJvRG9jLnhtbFBLAQItABQABgAIAAAAIQDrxsCk2QAAAAMB&#10;AAAPAAAAAAAAAAAAAAAAABEFAABkcnMvZG93bnJldi54bWxQSwUGAAAAAAQABADzAAAAFwYAAAAA&#10;" filled="f" stroked="f">
                <o:lock v:ext="edit" aspectratio="t"/>
                <w10:anchorlock/>
              </v:rect>
            </w:pict>
          </mc:Fallback>
        </mc:AlternateContent>
      </w:r>
    </w:p>
    <w:p w14:paraId="26B92C6D" w14:textId="77777777" w:rsidR="00794721" w:rsidRPr="00794721" w:rsidRDefault="00794721" w:rsidP="00794721">
      <w:pPr>
        <w:spacing w:before="36" w:after="10" w:line="240" w:lineRule="auto"/>
        <w:ind w:left="720" w:right="720"/>
        <w:jc w:val="both"/>
        <w:rPr>
          <w:rFonts w:ascii="Arial" w:hAnsi="Arial" w:cs="Arial"/>
          <w:b/>
          <w:bCs/>
          <w:sz w:val="20"/>
          <w:szCs w:val="20"/>
        </w:rPr>
      </w:pPr>
      <w:r w:rsidRPr="00794721">
        <w:rPr>
          <w:rFonts w:ascii="Arial" w:hAnsi="Arial" w:cs="Arial"/>
          <w:b/>
          <w:bCs/>
          <w:sz w:val="20"/>
          <w:szCs w:val="20"/>
        </w:rPr>
        <w:t>RQ2: How effective are existing deconstruction and material-handling protocols in mitigating these identified risks?</w:t>
      </w:r>
    </w:p>
    <w:p w14:paraId="28EA1928" w14:textId="77777777" w:rsidR="00794721" w:rsidRPr="00794721" w:rsidRDefault="00794721" w:rsidP="00794721">
      <w:pPr>
        <w:spacing w:before="36" w:after="10" w:line="240" w:lineRule="auto"/>
        <w:ind w:left="720" w:right="720"/>
        <w:jc w:val="both"/>
        <w:rPr>
          <w:rFonts w:ascii="Arial" w:hAnsi="Arial" w:cs="Arial"/>
          <w:b/>
          <w:bCs/>
          <w:sz w:val="20"/>
          <w:szCs w:val="20"/>
        </w:rPr>
      </w:pPr>
    </w:p>
    <w:p w14:paraId="37D3D8EA" w14:textId="77777777" w:rsidR="00794721" w:rsidRPr="00794721" w:rsidRDefault="00794721" w:rsidP="00794721">
      <w:pPr>
        <w:spacing w:before="36" w:after="10" w:line="240" w:lineRule="auto"/>
        <w:ind w:left="720" w:right="720"/>
        <w:jc w:val="both"/>
        <w:rPr>
          <w:rFonts w:ascii="Arial" w:hAnsi="Arial" w:cs="Arial"/>
          <w:sz w:val="20"/>
          <w:szCs w:val="20"/>
        </w:rPr>
      </w:pPr>
      <w:r w:rsidRPr="00794721">
        <w:rPr>
          <w:rFonts w:ascii="Arial" w:hAnsi="Arial" w:cs="Arial"/>
          <w:sz w:val="20"/>
          <w:szCs w:val="20"/>
        </w:rPr>
        <w:t>Current deconstruction standards offer solid starting points but fall short of comprehensive risk control. Most guidelines focus on general safety: hazard audits, site prep, structured dismantling, and PPE usage. Tools like checklists and worker training programs especially around power tools, heavy machinery, and fall prevention have effectively reduced typical construction accidents (</w:t>
      </w:r>
      <w:proofErr w:type="spellStart"/>
      <w:r w:rsidRPr="00794721">
        <w:rPr>
          <w:rFonts w:ascii="Arial" w:hAnsi="Arial" w:cs="Arial"/>
          <w:sz w:val="20"/>
          <w:szCs w:val="20"/>
        </w:rPr>
        <w:t>Bertino</w:t>
      </w:r>
      <w:proofErr w:type="spellEnd"/>
      <w:r w:rsidRPr="00794721">
        <w:rPr>
          <w:rFonts w:ascii="Arial" w:hAnsi="Arial" w:cs="Arial"/>
          <w:sz w:val="20"/>
          <w:szCs w:val="20"/>
        </w:rPr>
        <w:t xml:space="preserve"> </w:t>
      </w:r>
      <w:r w:rsidRPr="00794721">
        <w:rPr>
          <w:rFonts w:ascii="Arial" w:hAnsi="Arial" w:cs="Arial"/>
          <w:i/>
          <w:iCs/>
          <w:sz w:val="20"/>
          <w:szCs w:val="20"/>
        </w:rPr>
        <w:t xml:space="preserve">et </w:t>
      </w:r>
      <w:r w:rsidRPr="00794721">
        <w:rPr>
          <w:rFonts w:ascii="Arial" w:hAnsi="Arial" w:cs="Arial"/>
          <w:sz w:val="20"/>
          <w:szCs w:val="20"/>
        </w:rPr>
        <w:t xml:space="preserve">al., 2021; </w:t>
      </w:r>
      <w:proofErr w:type="spellStart"/>
      <w:r w:rsidRPr="00794721">
        <w:rPr>
          <w:rFonts w:ascii="Arial" w:hAnsi="Arial" w:cs="Arial"/>
          <w:sz w:val="20"/>
          <w:szCs w:val="20"/>
        </w:rPr>
        <w:t>Moustafa</w:t>
      </w:r>
      <w:proofErr w:type="spellEnd"/>
      <w:r w:rsidRPr="00794721">
        <w:rPr>
          <w:rFonts w:ascii="Arial" w:hAnsi="Arial" w:cs="Arial"/>
          <w:sz w:val="20"/>
          <w:szCs w:val="20"/>
        </w:rPr>
        <w:t xml:space="preserve"> </w:t>
      </w:r>
      <w:r w:rsidRPr="00794721">
        <w:rPr>
          <w:rFonts w:ascii="Arial" w:hAnsi="Arial" w:cs="Arial"/>
          <w:i/>
          <w:iCs/>
          <w:sz w:val="20"/>
          <w:szCs w:val="20"/>
        </w:rPr>
        <w:t>et al</w:t>
      </w:r>
      <w:r w:rsidRPr="00794721">
        <w:rPr>
          <w:rFonts w:ascii="Arial" w:hAnsi="Arial" w:cs="Arial"/>
          <w:sz w:val="20"/>
          <w:szCs w:val="20"/>
        </w:rPr>
        <w:t xml:space="preserve">., 2025). Specific examples like the Boulder hospital deconstruction project achieved impressive 90%+ landfill diversion. Yet, these projects often stop at ensuring proper structural staging; they may overlook deep chemical screening or bespoke handling instructions for reclaimed materials. Toolkits like OSHA’s hazard guides emphasize chemical and physical risk controls but are not tailored to reuse environments. They provide strong hierarchical guidance; elimination, substitution, engineering controls, administrative measures, and PPE but rarely address nuances like repeated reuse cycles or material tracing (Hoang </w:t>
      </w:r>
      <w:r w:rsidRPr="00794721">
        <w:rPr>
          <w:rFonts w:ascii="Arial" w:hAnsi="Arial" w:cs="Arial"/>
          <w:i/>
          <w:iCs/>
          <w:sz w:val="20"/>
          <w:szCs w:val="20"/>
        </w:rPr>
        <w:t>et al</w:t>
      </w:r>
      <w:r w:rsidRPr="00794721">
        <w:rPr>
          <w:rFonts w:ascii="Arial" w:hAnsi="Arial" w:cs="Arial"/>
          <w:sz w:val="20"/>
          <w:szCs w:val="20"/>
        </w:rPr>
        <w:t xml:space="preserve">., 2022; Daniele </w:t>
      </w:r>
      <w:r w:rsidRPr="00794721">
        <w:rPr>
          <w:rFonts w:ascii="Arial" w:hAnsi="Arial" w:cs="Arial"/>
          <w:i/>
          <w:iCs/>
          <w:sz w:val="20"/>
          <w:szCs w:val="20"/>
        </w:rPr>
        <w:t>et al</w:t>
      </w:r>
      <w:r w:rsidRPr="00794721">
        <w:rPr>
          <w:rFonts w:ascii="Arial" w:hAnsi="Arial" w:cs="Arial"/>
          <w:sz w:val="20"/>
          <w:szCs w:val="20"/>
        </w:rPr>
        <w:t>., 2025).</w:t>
      </w:r>
    </w:p>
    <w:p w14:paraId="55356A7D" w14:textId="77777777" w:rsidR="00794721" w:rsidRPr="00794721" w:rsidRDefault="00794721" w:rsidP="00794721">
      <w:pPr>
        <w:spacing w:before="36" w:after="10" w:line="240" w:lineRule="auto"/>
        <w:ind w:left="720" w:right="720"/>
        <w:jc w:val="both"/>
        <w:rPr>
          <w:rFonts w:ascii="Arial" w:hAnsi="Arial" w:cs="Arial"/>
          <w:sz w:val="20"/>
          <w:szCs w:val="20"/>
        </w:rPr>
      </w:pPr>
      <w:r w:rsidRPr="00794721">
        <w:rPr>
          <w:rFonts w:ascii="Arial" w:hAnsi="Arial" w:cs="Arial"/>
          <w:sz w:val="20"/>
          <w:szCs w:val="20"/>
        </w:rPr>
        <w:t>Similarly, formwork reuse studies from CPWR highlight severe hazards falls and form collapse warning of insufficient evidence and inconsistent safety measures when reused beyond established lifespan (</w:t>
      </w:r>
      <w:proofErr w:type="spellStart"/>
      <w:r w:rsidRPr="00794721">
        <w:rPr>
          <w:rFonts w:ascii="Arial" w:hAnsi="Arial" w:cs="Arial"/>
          <w:sz w:val="20"/>
          <w:szCs w:val="20"/>
        </w:rPr>
        <w:t>Vigneshkumar</w:t>
      </w:r>
      <w:proofErr w:type="spellEnd"/>
      <w:r w:rsidRPr="00794721">
        <w:rPr>
          <w:rFonts w:ascii="Arial" w:hAnsi="Arial" w:cs="Arial"/>
          <w:sz w:val="20"/>
          <w:szCs w:val="20"/>
        </w:rPr>
        <w:t>, 2023). Overall, while current protocols successfully manage many risks, gaps remain in addressing contaminants, tracing material history, ensuring reliable handling of uncertain-material conditions, and evaluating hazards in informal recovery contexts.</w:t>
      </w:r>
    </w:p>
    <w:p w14:paraId="7D43234F" w14:textId="77777777" w:rsidR="00794721" w:rsidRPr="00794721" w:rsidRDefault="00794721" w:rsidP="00794721">
      <w:pPr>
        <w:spacing w:before="36" w:after="10" w:line="240" w:lineRule="auto"/>
        <w:ind w:left="720" w:right="720"/>
        <w:jc w:val="both"/>
        <w:rPr>
          <w:rFonts w:ascii="Arial" w:hAnsi="Arial" w:cs="Arial"/>
          <w:sz w:val="20"/>
          <w:szCs w:val="20"/>
        </w:rPr>
      </w:pPr>
    </w:p>
    <w:p w14:paraId="13AE8F1A" w14:textId="77777777" w:rsidR="00794721" w:rsidRPr="00794721" w:rsidRDefault="00794721" w:rsidP="00794721">
      <w:pPr>
        <w:spacing w:before="36" w:after="10" w:line="240" w:lineRule="auto"/>
        <w:ind w:left="720" w:right="720"/>
        <w:jc w:val="both"/>
        <w:rPr>
          <w:rFonts w:ascii="Arial" w:hAnsi="Arial" w:cs="Arial"/>
          <w:b/>
          <w:bCs/>
          <w:sz w:val="20"/>
          <w:szCs w:val="20"/>
        </w:rPr>
      </w:pPr>
      <w:r w:rsidRPr="00794721">
        <w:rPr>
          <w:rFonts w:ascii="Arial" w:hAnsi="Arial" w:cs="Arial"/>
          <w:b/>
          <w:bCs/>
          <w:sz w:val="20"/>
          <w:szCs w:val="20"/>
        </w:rPr>
        <w:t>RQ3: What framework can integrate circular practices and safety standards to optimize both outcomes?</w:t>
      </w:r>
    </w:p>
    <w:p w14:paraId="2AB4A699" w14:textId="77777777" w:rsidR="00794721" w:rsidRPr="00794721" w:rsidRDefault="00794721" w:rsidP="00794721">
      <w:pPr>
        <w:spacing w:before="36" w:after="10" w:line="240" w:lineRule="auto"/>
        <w:ind w:left="720" w:right="720"/>
        <w:jc w:val="both"/>
        <w:rPr>
          <w:rFonts w:ascii="Arial" w:hAnsi="Arial" w:cs="Arial"/>
          <w:b/>
          <w:bCs/>
          <w:sz w:val="20"/>
          <w:szCs w:val="20"/>
        </w:rPr>
      </w:pPr>
    </w:p>
    <w:p w14:paraId="6F68005D" w14:textId="77777777" w:rsidR="00794721" w:rsidRPr="00794721" w:rsidRDefault="00794721" w:rsidP="00794721">
      <w:pPr>
        <w:spacing w:before="36" w:after="10" w:line="240" w:lineRule="auto"/>
        <w:ind w:left="720" w:right="720"/>
        <w:jc w:val="both"/>
        <w:rPr>
          <w:rFonts w:ascii="Arial" w:hAnsi="Arial" w:cs="Arial"/>
          <w:sz w:val="20"/>
          <w:szCs w:val="20"/>
        </w:rPr>
      </w:pPr>
      <w:r w:rsidRPr="00794721">
        <w:rPr>
          <w:rFonts w:ascii="Arial" w:hAnsi="Arial" w:cs="Arial"/>
          <w:sz w:val="20"/>
          <w:szCs w:val="20"/>
        </w:rPr>
        <w:t>To achieve effective integration of circular practices with safety standards, the proposed Safety Circular Integration Framework (SCIF) stitches together material reuse workflows and risk management into a cohesive process (</w:t>
      </w:r>
      <w:proofErr w:type="spellStart"/>
      <w:r w:rsidRPr="00794721">
        <w:rPr>
          <w:rFonts w:ascii="Arial" w:hAnsi="Arial" w:cs="Arial"/>
          <w:sz w:val="20"/>
          <w:szCs w:val="20"/>
        </w:rPr>
        <w:t>Obiuto</w:t>
      </w:r>
      <w:proofErr w:type="spellEnd"/>
      <w:r w:rsidRPr="00794721">
        <w:rPr>
          <w:rFonts w:ascii="Arial" w:hAnsi="Arial" w:cs="Arial"/>
          <w:sz w:val="20"/>
          <w:szCs w:val="20"/>
        </w:rPr>
        <w:t xml:space="preserve"> et al., 2024; Abu-Bakar and </w:t>
      </w:r>
      <w:proofErr w:type="spellStart"/>
      <w:r w:rsidRPr="00794721">
        <w:rPr>
          <w:rFonts w:ascii="Arial" w:hAnsi="Arial" w:cs="Arial"/>
          <w:sz w:val="20"/>
          <w:szCs w:val="20"/>
        </w:rPr>
        <w:t>Chrnley</w:t>
      </w:r>
      <w:proofErr w:type="spellEnd"/>
      <w:r w:rsidRPr="00794721">
        <w:rPr>
          <w:rFonts w:ascii="Arial" w:hAnsi="Arial" w:cs="Arial"/>
          <w:sz w:val="20"/>
          <w:szCs w:val="20"/>
        </w:rPr>
        <w:t>, 2024). Fundamentally, SCIF begins with a dual audit: every material slated for reuse undergoes simultaneous evaluation for its circular potential and any latent hazards chemical, structural, or biological. This approach addresses the persistent issue of treating salvaged materials as if they were new, a flaw that leaves workers exposed to dangerous contaminants hidden within reclaimed components. Once materials are screened, they are tagged using physical labels or digital passports with clear indicators of risk profiles and reuse suitability (</w:t>
      </w:r>
      <w:proofErr w:type="spellStart"/>
      <w:r w:rsidRPr="00794721">
        <w:rPr>
          <w:rFonts w:ascii="Arial" w:hAnsi="Arial" w:cs="Arial"/>
          <w:sz w:val="20"/>
          <w:szCs w:val="20"/>
        </w:rPr>
        <w:t>Kristensen</w:t>
      </w:r>
      <w:proofErr w:type="spellEnd"/>
      <w:r w:rsidRPr="00794721">
        <w:rPr>
          <w:rFonts w:ascii="Arial" w:hAnsi="Arial" w:cs="Arial"/>
          <w:sz w:val="20"/>
          <w:szCs w:val="20"/>
        </w:rPr>
        <w:t xml:space="preserve"> </w:t>
      </w:r>
      <w:r w:rsidRPr="00794721">
        <w:rPr>
          <w:rFonts w:ascii="Arial" w:hAnsi="Arial" w:cs="Arial"/>
          <w:i/>
          <w:iCs/>
          <w:sz w:val="20"/>
          <w:szCs w:val="20"/>
        </w:rPr>
        <w:t>et al</w:t>
      </w:r>
      <w:r w:rsidRPr="00794721">
        <w:rPr>
          <w:rFonts w:ascii="Arial" w:hAnsi="Arial" w:cs="Arial"/>
          <w:sz w:val="20"/>
          <w:szCs w:val="20"/>
        </w:rPr>
        <w:t xml:space="preserve">., 2021; </w:t>
      </w:r>
      <w:proofErr w:type="spellStart"/>
      <w:r w:rsidRPr="00794721">
        <w:rPr>
          <w:rFonts w:ascii="Arial" w:hAnsi="Arial" w:cs="Arial"/>
          <w:sz w:val="20"/>
          <w:szCs w:val="20"/>
        </w:rPr>
        <w:t>Basiru</w:t>
      </w:r>
      <w:proofErr w:type="spellEnd"/>
      <w:r w:rsidRPr="00794721">
        <w:rPr>
          <w:rFonts w:ascii="Arial" w:hAnsi="Arial" w:cs="Arial"/>
          <w:sz w:val="20"/>
          <w:szCs w:val="20"/>
        </w:rPr>
        <w:t xml:space="preserve"> </w:t>
      </w:r>
      <w:r w:rsidRPr="00794721">
        <w:rPr>
          <w:rFonts w:ascii="Arial" w:hAnsi="Arial" w:cs="Arial"/>
          <w:i/>
          <w:iCs/>
          <w:sz w:val="20"/>
          <w:szCs w:val="20"/>
        </w:rPr>
        <w:t>et al</w:t>
      </w:r>
      <w:r w:rsidRPr="00794721">
        <w:rPr>
          <w:rFonts w:ascii="Arial" w:hAnsi="Arial" w:cs="Arial"/>
          <w:sz w:val="20"/>
          <w:szCs w:val="20"/>
        </w:rPr>
        <w:t xml:space="preserve">., 2023). These passports not only trace lifespan and origin but also prescribe appropriate personal protective equipment (PPE) and handling protocols tailored to each material’s specific hazards (Amir </w:t>
      </w:r>
      <w:r w:rsidRPr="00794721">
        <w:rPr>
          <w:rFonts w:ascii="Arial" w:hAnsi="Arial" w:cs="Arial"/>
          <w:i/>
          <w:iCs/>
          <w:sz w:val="20"/>
          <w:szCs w:val="20"/>
        </w:rPr>
        <w:t>et al</w:t>
      </w:r>
      <w:r w:rsidRPr="00794721">
        <w:rPr>
          <w:rFonts w:ascii="Arial" w:hAnsi="Arial" w:cs="Arial"/>
          <w:sz w:val="20"/>
          <w:szCs w:val="20"/>
        </w:rPr>
        <w:t xml:space="preserve">., 2023; Wang </w:t>
      </w:r>
      <w:r w:rsidRPr="00794721">
        <w:rPr>
          <w:rFonts w:ascii="Arial" w:hAnsi="Arial" w:cs="Arial"/>
          <w:i/>
          <w:iCs/>
          <w:sz w:val="20"/>
          <w:szCs w:val="20"/>
        </w:rPr>
        <w:t>et al</w:t>
      </w:r>
      <w:r w:rsidRPr="00794721">
        <w:rPr>
          <w:rFonts w:ascii="Arial" w:hAnsi="Arial" w:cs="Arial"/>
          <w:sz w:val="20"/>
          <w:szCs w:val="20"/>
        </w:rPr>
        <w:t>., 2022).</w:t>
      </w:r>
    </w:p>
    <w:p w14:paraId="03E2E640" w14:textId="77777777" w:rsidR="00794721" w:rsidRPr="00794721" w:rsidRDefault="00794721" w:rsidP="00794721">
      <w:pPr>
        <w:spacing w:before="36" w:after="10" w:line="240" w:lineRule="auto"/>
        <w:ind w:left="720" w:right="720"/>
        <w:jc w:val="both"/>
        <w:rPr>
          <w:rFonts w:ascii="Arial" w:hAnsi="Arial" w:cs="Arial"/>
          <w:sz w:val="20"/>
          <w:szCs w:val="20"/>
        </w:rPr>
      </w:pPr>
      <w:r w:rsidRPr="00794721">
        <w:rPr>
          <w:rFonts w:ascii="Arial" w:hAnsi="Arial" w:cs="Arial"/>
          <w:sz w:val="20"/>
          <w:szCs w:val="20"/>
        </w:rPr>
        <w:t>SCIF embeds safety controls directly into digital tools like BIM and ontological systems. For instance, SCIF-driven BIM models can trigger alerts when reused elements with identified risks are scheduled for installation, automatically prompting engineering controls or requiring worker briefings. This mirrors growing industry practice in safety-in-design, but extends it by ensuring that circularity is not just a material consideration, it is intrinsically linked to worker welfare at every stage (</w:t>
      </w:r>
      <w:proofErr w:type="spellStart"/>
      <w:r w:rsidRPr="00794721">
        <w:rPr>
          <w:rFonts w:ascii="Arial" w:hAnsi="Arial" w:cs="Arial"/>
          <w:sz w:val="20"/>
          <w:szCs w:val="20"/>
        </w:rPr>
        <w:t>Rahla</w:t>
      </w:r>
      <w:proofErr w:type="spellEnd"/>
      <w:r w:rsidRPr="00794721">
        <w:rPr>
          <w:rFonts w:ascii="Arial" w:hAnsi="Arial" w:cs="Arial"/>
          <w:sz w:val="20"/>
          <w:szCs w:val="20"/>
        </w:rPr>
        <w:t xml:space="preserve"> </w:t>
      </w:r>
      <w:r w:rsidRPr="00794721">
        <w:rPr>
          <w:rFonts w:ascii="Arial" w:hAnsi="Arial" w:cs="Arial"/>
          <w:i/>
          <w:iCs/>
          <w:sz w:val="20"/>
          <w:szCs w:val="20"/>
        </w:rPr>
        <w:t>et al</w:t>
      </w:r>
      <w:r w:rsidRPr="00794721">
        <w:rPr>
          <w:rFonts w:ascii="Arial" w:hAnsi="Arial" w:cs="Arial"/>
          <w:sz w:val="20"/>
          <w:szCs w:val="20"/>
        </w:rPr>
        <w:t xml:space="preserve">., 2021; Chen </w:t>
      </w:r>
      <w:r w:rsidRPr="00794721">
        <w:rPr>
          <w:rFonts w:ascii="Arial" w:hAnsi="Arial" w:cs="Arial"/>
          <w:i/>
          <w:iCs/>
          <w:sz w:val="20"/>
          <w:szCs w:val="20"/>
        </w:rPr>
        <w:t>et al</w:t>
      </w:r>
      <w:r w:rsidRPr="00794721">
        <w:rPr>
          <w:rFonts w:ascii="Arial" w:hAnsi="Arial" w:cs="Arial"/>
          <w:sz w:val="20"/>
          <w:szCs w:val="20"/>
        </w:rPr>
        <w:t xml:space="preserve">., 2024). Complementing this, the framework encourages use of Computer-Aided Health and Safety training techniques such as virtual reality drills layered over interactive BIM environments to simulate hazardous reuse </w:t>
      </w:r>
      <w:r w:rsidRPr="00794721">
        <w:rPr>
          <w:rFonts w:ascii="Arial" w:hAnsi="Arial" w:cs="Arial"/>
          <w:sz w:val="20"/>
          <w:szCs w:val="20"/>
        </w:rPr>
        <w:lastRenderedPageBreak/>
        <w:t>scenarios and build worker competence. Evidence supports that these tech-assisted trainings outperform traditional programs in user engagement and knowledge retention. At its heart, SCIF is iterative and knowledge-driven. Data gathered from performance reviews, near misses, and incidents feed updates into the passports and digital models creating continuous improvement (</w:t>
      </w:r>
      <w:proofErr w:type="spellStart"/>
      <w:r w:rsidRPr="00794721">
        <w:rPr>
          <w:rFonts w:ascii="Arial" w:hAnsi="Arial" w:cs="Arial"/>
          <w:sz w:val="20"/>
          <w:szCs w:val="20"/>
        </w:rPr>
        <w:t>Ilankoon</w:t>
      </w:r>
      <w:proofErr w:type="spellEnd"/>
      <w:r w:rsidRPr="00794721">
        <w:rPr>
          <w:rFonts w:ascii="Arial" w:hAnsi="Arial" w:cs="Arial"/>
          <w:sz w:val="20"/>
          <w:szCs w:val="20"/>
        </w:rPr>
        <w:t xml:space="preserve"> and </w:t>
      </w:r>
      <w:proofErr w:type="spellStart"/>
      <w:r w:rsidRPr="00794721">
        <w:rPr>
          <w:rFonts w:ascii="Arial" w:hAnsi="Arial" w:cs="Arial"/>
          <w:sz w:val="20"/>
          <w:szCs w:val="20"/>
        </w:rPr>
        <w:t>Vithanage</w:t>
      </w:r>
      <w:proofErr w:type="spellEnd"/>
      <w:r w:rsidRPr="00794721">
        <w:rPr>
          <w:rFonts w:ascii="Arial" w:hAnsi="Arial" w:cs="Arial"/>
          <w:sz w:val="20"/>
          <w:szCs w:val="20"/>
        </w:rPr>
        <w:t xml:space="preserve">, 2023; </w:t>
      </w:r>
      <w:proofErr w:type="spellStart"/>
      <w:r w:rsidRPr="00794721">
        <w:rPr>
          <w:rFonts w:ascii="Arial" w:hAnsi="Arial" w:cs="Arial"/>
          <w:sz w:val="20"/>
          <w:szCs w:val="20"/>
        </w:rPr>
        <w:t>Talla</w:t>
      </w:r>
      <w:proofErr w:type="spellEnd"/>
      <w:r w:rsidRPr="00794721">
        <w:rPr>
          <w:rFonts w:ascii="Arial" w:hAnsi="Arial" w:cs="Arial"/>
          <w:sz w:val="20"/>
          <w:szCs w:val="20"/>
        </w:rPr>
        <w:t xml:space="preserve"> and </w:t>
      </w:r>
      <w:proofErr w:type="spellStart"/>
      <w:r w:rsidRPr="00794721">
        <w:rPr>
          <w:rFonts w:ascii="Arial" w:hAnsi="Arial" w:cs="Arial"/>
          <w:sz w:val="20"/>
          <w:szCs w:val="20"/>
        </w:rPr>
        <w:t>Mcllwaine</w:t>
      </w:r>
      <w:proofErr w:type="spellEnd"/>
      <w:r w:rsidRPr="00794721">
        <w:rPr>
          <w:rFonts w:ascii="Arial" w:hAnsi="Arial" w:cs="Arial"/>
          <w:sz w:val="20"/>
          <w:szCs w:val="20"/>
        </w:rPr>
        <w:t>, 2024). When a chemical hazard is misclassified or a handling procedure proves insufficient, the system updates risk thresholds or mandates new controls for future projects (</w:t>
      </w:r>
      <w:proofErr w:type="spellStart"/>
      <w:r w:rsidRPr="00794721">
        <w:rPr>
          <w:rFonts w:ascii="Arial" w:hAnsi="Arial" w:cs="Arial"/>
          <w:sz w:val="20"/>
          <w:szCs w:val="20"/>
        </w:rPr>
        <w:t>Behun</w:t>
      </w:r>
      <w:proofErr w:type="spellEnd"/>
      <w:r w:rsidRPr="00794721">
        <w:rPr>
          <w:rFonts w:ascii="Arial" w:hAnsi="Arial" w:cs="Arial"/>
          <w:sz w:val="20"/>
          <w:szCs w:val="20"/>
        </w:rPr>
        <w:t xml:space="preserve"> and </w:t>
      </w:r>
      <w:proofErr w:type="spellStart"/>
      <w:r w:rsidRPr="00794721">
        <w:rPr>
          <w:rFonts w:ascii="Arial" w:hAnsi="Arial" w:cs="Arial"/>
          <w:sz w:val="20"/>
          <w:szCs w:val="20"/>
        </w:rPr>
        <w:t>Behunova</w:t>
      </w:r>
      <w:proofErr w:type="spellEnd"/>
      <w:r w:rsidRPr="00794721">
        <w:rPr>
          <w:rFonts w:ascii="Arial" w:hAnsi="Arial" w:cs="Arial"/>
          <w:sz w:val="20"/>
          <w:szCs w:val="20"/>
        </w:rPr>
        <w:t xml:space="preserve">, 2023; </w:t>
      </w:r>
      <w:proofErr w:type="spellStart"/>
      <w:r w:rsidRPr="00794721">
        <w:rPr>
          <w:rFonts w:ascii="Arial" w:hAnsi="Arial" w:cs="Arial"/>
          <w:sz w:val="20"/>
          <w:szCs w:val="20"/>
        </w:rPr>
        <w:t>Sadeghi</w:t>
      </w:r>
      <w:proofErr w:type="spellEnd"/>
      <w:r w:rsidRPr="00794721">
        <w:rPr>
          <w:rFonts w:ascii="Arial" w:hAnsi="Arial" w:cs="Arial"/>
          <w:sz w:val="20"/>
          <w:szCs w:val="20"/>
        </w:rPr>
        <w:t xml:space="preserve"> </w:t>
      </w:r>
      <w:r w:rsidRPr="00794721">
        <w:rPr>
          <w:rFonts w:ascii="Arial" w:hAnsi="Arial" w:cs="Arial"/>
          <w:i/>
          <w:iCs/>
          <w:sz w:val="20"/>
          <w:szCs w:val="20"/>
        </w:rPr>
        <w:t>et al</w:t>
      </w:r>
      <w:r w:rsidRPr="00794721">
        <w:rPr>
          <w:rFonts w:ascii="Arial" w:hAnsi="Arial" w:cs="Arial"/>
          <w:sz w:val="20"/>
          <w:szCs w:val="20"/>
        </w:rPr>
        <w:t xml:space="preserve">., 2023; Rodrigo </w:t>
      </w:r>
      <w:r w:rsidRPr="00794721">
        <w:rPr>
          <w:rFonts w:ascii="Arial" w:hAnsi="Arial" w:cs="Arial"/>
          <w:i/>
          <w:iCs/>
          <w:sz w:val="20"/>
          <w:szCs w:val="20"/>
        </w:rPr>
        <w:t>et al</w:t>
      </w:r>
      <w:r w:rsidRPr="00794721">
        <w:rPr>
          <w:rFonts w:ascii="Arial" w:hAnsi="Arial" w:cs="Arial"/>
          <w:sz w:val="20"/>
          <w:szCs w:val="20"/>
        </w:rPr>
        <w:t>., 2023). SCIF thus ensures that operational use of reclaimed materials becomes safer over time, not merely repeatable. By weaving together material auditing, digital traceability, adaptive training, and iterative feedback, SCIF delivers a practical, scalable answer to reconciling circularity with occupational health and safety in construction.</w:t>
      </w:r>
    </w:p>
    <w:p w14:paraId="32A7DF78" w14:textId="77777777" w:rsidR="00794721" w:rsidRPr="00794721" w:rsidRDefault="00794721" w:rsidP="00794721">
      <w:pPr>
        <w:spacing w:before="36" w:after="10" w:line="240" w:lineRule="auto"/>
        <w:ind w:left="720" w:right="720"/>
        <w:jc w:val="both"/>
        <w:rPr>
          <w:rFonts w:ascii="Arial" w:hAnsi="Arial" w:cs="Arial"/>
          <w:sz w:val="20"/>
          <w:szCs w:val="20"/>
        </w:rPr>
      </w:pPr>
    </w:p>
    <w:p w14:paraId="6D34DD9A" w14:textId="77777777" w:rsidR="00794721" w:rsidRPr="00794721" w:rsidRDefault="00794721" w:rsidP="00794721">
      <w:pPr>
        <w:spacing w:before="36" w:after="10" w:line="240" w:lineRule="auto"/>
        <w:ind w:left="720" w:right="720"/>
        <w:jc w:val="both"/>
        <w:rPr>
          <w:rFonts w:ascii="Arial" w:hAnsi="Arial" w:cs="Arial"/>
          <w:b/>
          <w:bCs/>
          <w:sz w:val="20"/>
          <w:szCs w:val="20"/>
        </w:rPr>
      </w:pPr>
      <w:r w:rsidRPr="00794721">
        <w:rPr>
          <w:rFonts w:ascii="Arial" w:hAnsi="Arial" w:cs="Arial"/>
          <w:b/>
          <w:bCs/>
          <w:sz w:val="20"/>
          <w:szCs w:val="20"/>
        </w:rPr>
        <w:t>RQ4: How can such integration be standardized and scaled across diverse project typologies and regulatory landscapes?</w:t>
      </w:r>
    </w:p>
    <w:p w14:paraId="20264313" w14:textId="77777777" w:rsidR="00794721" w:rsidRPr="00794721" w:rsidRDefault="00794721" w:rsidP="00794721">
      <w:pPr>
        <w:spacing w:before="36" w:after="10" w:line="240" w:lineRule="auto"/>
        <w:ind w:left="720" w:right="720"/>
        <w:jc w:val="both"/>
        <w:rPr>
          <w:rFonts w:ascii="Arial" w:hAnsi="Arial" w:cs="Arial"/>
          <w:b/>
          <w:bCs/>
          <w:sz w:val="20"/>
          <w:szCs w:val="20"/>
        </w:rPr>
      </w:pPr>
    </w:p>
    <w:p w14:paraId="76E7F98E" w14:textId="77777777" w:rsidR="00794721" w:rsidRPr="00794721" w:rsidRDefault="00794721" w:rsidP="00794721">
      <w:pPr>
        <w:spacing w:before="36" w:after="10" w:line="240" w:lineRule="auto"/>
        <w:ind w:left="720" w:right="720"/>
        <w:jc w:val="both"/>
        <w:rPr>
          <w:rFonts w:ascii="Arial" w:hAnsi="Arial" w:cs="Arial"/>
          <w:sz w:val="20"/>
          <w:szCs w:val="20"/>
        </w:rPr>
      </w:pPr>
      <w:r w:rsidRPr="00794721">
        <w:rPr>
          <w:rFonts w:ascii="Arial" w:hAnsi="Arial" w:cs="Arial"/>
          <w:sz w:val="20"/>
          <w:szCs w:val="20"/>
        </w:rPr>
        <w:t xml:space="preserve">Widespread adoption of SCIF demands a strategic alignment between standardized frameworks, regulatory pull, and sector-wide collaboration. In Europe, committees like CEN/TC 350’s dedicated sub-committee on circular economy are already shaping standards that link lifecycle stages from design through deconstruction with sustainability goals (Yu </w:t>
      </w:r>
      <w:r w:rsidRPr="00794721">
        <w:rPr>
          <w:rFonts w:ascii="Arial" w:hAnsi="Arial" w:cs="Arial"/>
          <w:i/>
          <w:iCs/>
          <w:sz w:val="20"/>
          <w:szCs w:val="20"/>
        </w:rPr>
        <w:t>et al</w:t>
      </w:r>
      <w:r w:rsidRPr="00794721">
        <w:rPr>
          <w:rFonts w:ascii="Arial" w:hAnsi="Arial" w:cs="Arial"/>
          <w:sz w:val="20"/>
          <w:szCs w:val="20"/>
        </w:rPr>
        <w:t xml:space="preserve">., 2022; </w:t>
      </w:r>
      <w:proofErr w:type="spellStart"/>
      <w:r w:rsidRPr="00794721">
        <w:rPr>
          <w:rFonts w:ascii="Arial" w:hAnsi="Arial" w:cs="Arial"/>
          <w:sz w:val="20"/>
          <w:szCs w:val="20"/>
        </w:rPr>
        <w:t>Elghaish</w:t>
      </w:r>
      <w:proofErr w:type="spellEnd"/>
      <w:r w:rsidRPr="00794721">
        <w:rPr>
          <w:rFonts w:ascii="Arial" w:hAnsi="Arial" w:cs="Arial"/>
          <w:sz w:val="20"/>
          <w:szCs w:val="20"/>
        </w:rPr>
        <w:t xml:space="preserve"> </w:t>
      </w:r>
      <w:r w:rsidRPr="00794721">
        <w:rPr>
          <w:rFonts w:ascii="Arial" w:hAnsi="Arial" w:cs="Arial"/>
          <w:i/>
          <w:iCs/>
          <w:sz w:val="20"/>
          <w:szCs w:val="20"/>
        </w:rPr>
        <w:t>et al</w:t>
      </w:r>
      <w:r w:rsidRPr="00794721">
        <w:rPr>
          <w:rFonts w:ascii="Arial" w:hAnsi="Arial" w:cs="Arial"/>
          <w:sz w:val="20"/>
          <w:szCs w:val="20"/>
        </w:rPr>
        <w:t xml:space="preserve">., 2023; Morel </w:t>
      </w:r>
      <w:r w:rsidRPr="00794721">
        <w:rPr>
          <w:rFonts w:ascii="Arial" w:hAnsi="Arial" w:cs="Arial"/>
          <w:i/>
          <w:iCs/>
          <w:sz w:val="20"/>
          <w:szCs w:val="20"/>
        </w:rPr>
        <w:t>et al</w:t>
      </w:r>
      <w:r w:rsidRPr="00794721">
        <w:rPr>
          <w:rFonts w:ascii="Arial" w:hAnsi="Arial" w:cs="Arial"/>
          <w:sz w:val="20"/>
          <w:szCs w:val="20"/>
        </w:rPr>
        <w:t>., 2021). However, current efforts tend to emphasize material performance and environmental metrics rather than worker safety. SCIF’s integration agenda advocates expanding these standards to incorporate safety signage (akin to ISO 3864) and contamination labelling into digital passports and passports’ associated standards a move that would close the loop between reuse intent and health safeguards. Regulatory agencies and certification bodies can drive scale through incentives and enforcement (</w:t>
      </w:r>
      <w:proofErr w:type="spellStart"/>
      <w:r w:rsidRPr="00794721">
        <w:rPr>
          <w:rFonts w:ascii="Arial" w:hAnsi="Arial" w:cs="Arial"/>
          <w:sz w:val="20"/>
          <w:szCs w:val="20"/>
        </w:rPr>
        <w:t>Charef</w:t>
      </w:r>
      <w:proofErr w:type="spellEnd"/>
      <w:r w:rsidRPr="00794721">
        <w:rPr>
          <w:rFonts w:ascii="Arial" w:hAnsi="Arial" w:cs="Arial"/>
          <w:sz w:val="20"/>
          <w:szCs w:val="20"/>
        </w:rPr>
        <w:t xml:space="preserve"> and Lu, 2021; </w:t>
      </w:r>
      <w:proofErr w:type="spellStart"/>
      <w:r w:rsidRPr="00794721">
        <w:rPr>
          <w:rFonts w:ascii="Arial" w:hAnsi="Arial" w:cs="Arial"/>
          <w:sz w:val="20"/>
          <w:szCs w:val="20"/>
        </w:rPr>
        <w:t>Shooshtarian</w:t>
      </w:r>
      <w:proofErr w:type="spellEnd"/>
      <w:r w:rsidRPr="00794721">
        <w:rPr>
          <w:rFonts w:ascii="Arial" w:hAnsi="Arial" w:cs="Arial"/>
          <w:sz w:val="20"/>
          <w:szCs w:val="20"/>
        </w:rPr>
        <w:t xml:space="preserve"> </w:t>
      </w:r>
      <w:r w:rsidRPr="00794721">
        <w:rPr>
          <w:rFonts w:ascii="Arial" w:hAnsi="Arial" w:cs="Arial"/>
          <w:i/>
          <w:iCs/>
          <w:sz w:val="20"/>
          <w:szCs w:val="20"/>
        </w:rPr>
        <w:t>et al</w:t>
      </w:r>
      <w:r w:rsidRPr="00794721">
        <w:rPr>
          <w:rFonts w:ascii="Arial" w:hAnsi="Arial" w:cs="Arial"/>
          <w:sz w:val="20"/>
          <w:szCs w:val="20"/>
        </w:rPr>
        <w:t>., 2022). For instance, public procurement guidelines could mandate use of SCIF-compliant passports and documented safety checks for any project seeking government funding. Certification schemes like LEED or BREEAM could offer credits for documented reuse practices paired with documented safety audits. Fiscal stimuli whether tax rebates or waste diversion credits could further tip the business case in favour of SCIF aligned workflows, making projects safer and more circular simultaneously.</w:t>
      </w:r>
    </w:p>
    <w:p w14:paraId="3C5DABA1" w14:textId="77777777" w:rsidR="00794721" w:rsidRPr="00794721" w:rsidRDefault="00794721" w:rsidP="00794721">
      <w:pPr>
        <w:spacing w:before="36" w:after="10" w:line="240" w:lineRule="auto"/>
        <w:ind w:left="720" w:right="720"/>
        <w:jc w:val="both"/>
        <w:rPr>
          <w:rFonts w:ascii="Arial" w:hAnsi="Arial" w:cs="Arial"/>
          <w:sz w:val="20"/>
          <w:szCs w:val="20"/>
        </w:rPr>
      </w:pPr>
      <w:r w:rsidRPr="00794721">
        <w:rPr>
          <w:rFonts w:ascii="Arial" w:hAnsi="Arial" w:cs="Arial"/>
          <w:sz w:val="20"/>
          <w:szCs w:val="20"/>
        </w:rPr>
        <w:t>Crucial to scaling SCIF is consistent training and accreditation. Safety officers, reuse managers, and BIM practitioners must learn to speak a unified language and operate interoperable digital systems (</w:t>
      </w:r>
      <w:proofErr w:type="spellStart"/>
      <w:r w:rsidRPr="00794721">
        <w:rPr>
          <w:rFonts w:ascii="Arial" w:hAnsi="Arial" w:cs="Arial"/>
          <w:sz w:val="20"/>
          <w:szCs w:val="20"/>
        </w:rPr>
        <w:t>Charef</w:t>
      </w:r>
      <w:proofErr w:type="spellEnd"/>
      <w:r w:rsidRPr="00794721">
        <w:rPr>
          <w:rFonts w:ascii="Arial" w:hAnsi="Arial" w:cs="Arial"/>
          <w:sz w:val="20"/>
          <w:szCs w:val="20"/>
        </w:rPr>
        <w:t xml:space="preserve"> </w:t>
      </w:r>
      <w:r w:rsidRPr="00794721">
        <w:rPr>
          <w:rFonts w:ascii="Arial" w:hAnsi="Arial" w:cs="Arial"/>
          <w:i/>
          <w:iCs/>
          <w:sz w:val="20"/>
          <w:szCs w:val="20"/>
        </w:rPr>
        <w:t>et al</w:t>
      </w:r>
      <w:r w:rsidRPr="00794721">
        <w:rPr>
          <w:rFonts w:ascii="Arial" w:hAnsi="Arial" w:cs="Arial"/>
          <w:sz w:val="20"/>
          <w:szCs w:val="20"/>
        </w:rPr>
        <w:t xml:space="preserve">., 2021; </w:t>
      </w:r>
      <w:proofErr w:type="spellStart"/>
      <w:r w:rsidRPr="00794721">
        <w:rPr>
          <w:rFonts w:ascii="Arial" w:hAnsi="Arial" w:cs="Arial"/>
          <w:sz w:val="20"/>
          <w:szCs w:val="20"/>
        </w:rPr>
        <w:t>Wuni</w:t>
      </w:r>
      <w:proofErr w:type="spellEnd"/>
      <w:r w:rsidRPr="00794721">
        <w:rPr>
          <w:rFonts w:ascii="Arial" w:hAnsi="Arial" w:cs="Arial"/>
          <w:sz w:val="20"/>
          <w:szCs w:val="20"/>
        </w:rPr>
        <w:t xml:space="preserve"> and </w:t>
      </w:r>
      <w:proofErr w:type="spellStart"/>
      <w:r w:rsidRPr="00794721">
        <w:rPr>
          <w:rFonts w:ascii="Arial" w:hAnsi="Arial" w:cs="Arial"/>
          <w:sz w:val="20"/>
          <w:szCs w:val="20"/>
        </w:rPr>
        <w:t>Abankwa</w:t>
      </w:r>
      <w:proofErr w:type="spellEnd"/>
      <w:r w:rsidRPr="00794721">
        <w:rPr>
          <w:rFonts w:ascii="Arial" w:hAnsi="Arial" w:cs="Arial"/>
          <w:sz w:val="20"/>
          <w:szCs w:val="20"/>
        </w:rPr>
        <w:t>, 2025).  National or international SCIF certification programs would ensure broad competency and credibility, much as BS 8001 began normalizing circular economy thinking at the organizational level. With accredited professionals, projects across retrofit, demolition, modular building, and new construction could adopt SCIF as standard practice, regardless of regulatory context.</w:t>
      </w:r>
    </w:p>
    <w:p w14:paraId="708E20D1" w14:textId="01C63D68" w:rsidR="00794721" w:rsidRPr="00794721" w:rsidRDefault="00794721" w:rsidP="00794721">
      <w:pPr>
        <w:spacing w:before="36" w:after="10" w:line="240" w:lineRule="auto"/>
        <w:ind w:left="720" w:right="720"/>
        <w:jc w:val="both"/>
        <w:rPr>
          <w:rFonts w:ascii="Arial" w:hAnsi="Arial" w:cs="Arial"/>
          <w:sz w:val="20"/>
          <w:szCs w:val="20"/>
        </w:rPr>
      </w:pPr>
      <w:r w:rsidRPr="00794721">
        <w:rPr>
          <w:rFonts w:ascii="Arial" w:hAnsi="Arial" w:cs="Arial"/>
          <w:sz w:val="20"/>
          <w:szCs w:val="20"/>
        </w:rPr>
        <w:t>Ultimately, the path to scale lies in cross-sector coordination. Industry alliances encompassing trades, material recyclers, safety agencies, and digital innovators can share case studies</w:t>
      </w:r>
      <w:r w:rsidR="006B13AD">
        <w:rPr>
          <w:rFonts w:ascii="Arial" w:hAnsi="Arial" w:cs="Arial"/>
          <w:sz w:val="20"/>
          <w:szCs w:val="20"/>
        </w:rPr>
        <w:t xml:space="preserve"> </w:t>
      </w:r>
      <w:r w:rsidR="006B13AD" w:rsidRPr="006B13AD">
        <w:rPr>
          <w:rFonts w:ascii="Arial" w:hAnsi="Arial" w:cs="Arial"/>
          <w:sz w:val="20"/>
          <w:szCs w:val="20"/>
        </w:rPr>
        <w:t>(</w:t>
      </w:r>
      <w:proofErr w:type="spellStart"/>
      <w:r w:rsidR="006B13AD" w:rsidRPr="006B13AD">
        <w:rPr>
          <w:rFonts w:ascii="Arial" w:hAnsi="Arial" w:cs="Arial"/>
          <w:sz w:val="20"/>
          <w:szCs w:val="20"/>
        </w:rPr>
        <w:t>Akintola</w:t>
      </w:r>
      <w:proofErr w:type="spellEnd"/>
      <w:r w:rsidR="006B13AD" w:rsidRPr="006B13AD">
        <w:rPr>
          <w:rFonts w:ascii="Arial" w:hAnsi="Arial" w:cs="Arial"/>
          <w:sz w:val="20"/>
          <w:szCs w:val="20"/>
        </w:rPr>
        <w:t>, 2024)</w:t>
      </w:r>
      <w:r w:rsidRPr="00794721">
        <w:rPr>
          <w:rFonts w:ascii="Arial" w:hAnsi="Arial" w:cs="Arial"/>
          <w:sz w:val="20"/>
          <w:szCs w:val="20"/>
        </w:rPr>
        <w:t>, refine protocols, and lobby for harmonized standards. Institutions like ISO/TC 323 (circular economy) and CEN/TC 350 can embed SCIF’s safety-circular logic into global norms, aligning occupational health and circularity requirements. When governments, certification schemes, and professional bodies converge around shared guidelines that call for hazard-tagged material passports and safety-validated reuse, SCIF shifts from a pioneering idea to a baseline norm. In doing so, it ensures that sustainability is not pursued at the expense of people making safe circular construction a scalable, regulated reality.</w:t>
      </w:r>
    </w:p>
    <w:p w14:paraId="6AD59962" w14:textId="77777777" w:rsidR="00794721" w:rsidRDefault="00794721" w:rsidP="00C003CB">
      <w:pPr>
        <w:spacing w:before="36" w:after="10" w:line="240" w:lineRule="auto"/>
        <w:ind w:left="720" w:right="720"/>
        <w:jc w:val="both"/>
        <w:rPr>
          <w:rFonts w:ascii="Arial" w:hAnsi="Arial" w:cs="Arial"/>
          <w:sz w:val="20"/>
          <w:szCs w:val="20"/>
        </w:rPr>
      </w:pPr>
    </w:p>
    <w:p w14:paraId="0B8CDFE2" w14:textId="77777777" w:rsidR="002C1B1F" w:rsidRPr="000F69B1" w:rsidRDefault="002C1B1F" w:rsidP="00C003CB">
      <w:pPr>
        <w:spacing w:before="36" w:after="10" w:line="240" w:lineRule="auto"/>
        <w:ind w:left="720" w:right="720"/>
        <w:jc w:val="both"/>
        <w:rPr>
          <w:rFonts w:ascii="Arial" w:hAnsi="Arial" w:cs="Arial"/>
          <w:sz w:val="20"/>
          <w:szCs w:val="20"/>
        </w:rPr>
      </w:pPr>
    </w:p>
    <w:p w14:paraId="14DDAD99" w14:textId="40D66E9B" w:rsidR="00D301C6" w:rsidRPr="00EF0FB6" w:rsidRDefault="002C1B1F" w:rsidP="002C1B1F">
      <w:pPr>
        <w:pStyle w:val="ListParagraph"/>
        <w:numPr>
          <w:ilvl w:val="0"/>
          <w:numId w:val="4"/>
        </w:numPr>
        <w:spacing w:before="36" w:after="10" w:line="240" w:lineRule="auto"/>
        <w:ind w:right="720"/>
        <w:jc w:val="both"/>
        <w:rPr>
          <w:rFonts w:ascii="Arial" w:hAnsi="Arial" w:cs="Arial"/>
          <w:b/>
          <w:bCs/>
          <w:sz w:val="22"/>
          <w:szCs w:val="22"/>
        </w:rPr>
      </w:pPr>
      <w:r w:rsidRPr="00EF0FB6">
        <w:rPr>
          <w:rFonts w:ascii="Arial" w:hAnsi="Arial" w:cs="Arial"/>
          <w:b/>
          <w:bCs/>
          <w:sz w:val="22"/>
          <w:szCs w:val="22"/>
        </w:rPr>
        <w:t>METHODOLOGY</w:t>
      </w:r>
    </w:p>
    <w:p w14:paraId="55CF3A96" w14:textId="77777777" w:rsidR="002C1B1F" w:rsidRPr="002C1B1F" w:rsidRDefault="002C1B1F" w:rsidP="002C1B1F">
      <w:pPr>
        <w:spacing w:before="36" w:after="10" w:line="240" w:lineRule="auto"/>
        <w:ind w:left="720" w:right="720"/>
        <w:jc w:val="both"/>
        <w:rPr>
          <w:rFonts w:ascii="Arial" w:hAnsi="Arial" w:cs="Arial"/>
          <w:b/>
          <w:bCs/>
          <w:sz w:val="20"/>
          <w:szCs w:val="20"/>
        </w:rPr>
      </w:pPr>
    </w:p>
    <w:p w14:paraId="5E956427" w14:textId="05AFDA0E" w:rsidR="00D301C6" w:rsidRPr="000F69B1"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 xml:space="preserve">The primary objective of this research is to systematically explore and integrate the domains of construction safety and circular economy practices, particularly material reuse, by conducting a structured bibliometric literature review. A quantitative research approach was employed to identify, synthesise, and critically analyse existing scholarly contributions that inform the development of a Safety–Circular Integration Framework (SCIF). </w:t>
      </w:r>
      <w:r w:rsidR="00A233E2">
        <w:rPr>
          <w:rFonts w:ascii="Arial" w:hAnsi="Arial" w:cs="Arial"/>
          <w:sz w:val="20"/>
          <w:szCs w:val="20"/>
        </w:rPr>
        <w:t>T</w:t>
      </w:r>
      <w:r w:rsidRPr="000F69B1">
        <w:rPr>
          <w:rFonts w:ascii="Arial" w:hAnsi="Arial" w:cs="Arial"/>
          <w:sz w:val="20"/>
          <w:szCs w:val="20"/>
        </w:rPr>
        <w:t xml:space="preserve">o ensure comprehensive and replicable results, the Scopus database was selected for its robust </w:t>
      </w:r>
      <w:r w:rsidRPr="000F69B1">
        <w:rPr>
          <w:rFonts w:ascii="Arial" w:hAnsi="Arial" w:cs="Arial"/>
          <w:sz w:val="20"/>
          <w:szCs w:val="20"/>
        </w:rPr>
        <w:lastRenderedPageBreak/>
        <w:t>indexing of peer-reviewed journals, conference proceedings, and book chapters, and its wide disciplinary coverage in the fields of engineering, environmental science, and construction management (</w:t>
      </w:r>
      <w:r w:rsidR="00AF3C7A">
        <w:rPr>
          <w:rFonts w:ascii="Arial" w:hAnsi="Arial" w:cs="Arial"/>
          <w:sz w:val="20"/>
          <w:szCs w:val="20"/>
        </w:rPr>
        <w:t xml:space="preserve">Aria and </w:t>
      </w:r>
      <w:proofErr w:type="spellStart"/>
      <w:r w:rsidR="00AF3C7A">
        <w:rPr>
          <w:rFonts w:ascii="Arial" w:hAnsi="Arial" w:cs="Arial"/>
          <w:sz w:val="20"/>
          <w:szCs w:val="20"/>
        </w:rPr>
        <w:t>Cuccurullo</w:t>
      </w:r>
      <w:proofErr w:type="spellEnd"/>
      <w:r w:rsidR="00AF3C7A">
        <w:rPr>
          <w:rFonts w:ascii="Arial" w:hAnsi="Arial" w:cs="Arial"/>
          <w:sz w:val="20"/>
          <w:szCs w:val="20"/>
        </w:rPr>
        <w:t xml:space="preserve">, 2017; </w:t>
      </w:r>
      <w:proofErr w:type="spellStart"/>
      <w:r w:rsidR="003E36F3">
        <w:rPr>
          <w:rFonts w:ascii="Arial" w:hAnsi="Arial" w:cs="Arial"/>
          <w:sz w:val="20"/>
          <w:szCs w:val="20"/>
        </w:rPr>
        <w:t>Gusenbauer</w:t>
      </w:r>
      <w:proofErr w:type="spellEnd"/>
      <w:r w:rsidR="003E36F3">
        <w:rPr>
          <w:rFonts w:ascii="Arial" w:hAnsi="Arial" w:cs="Arial"/>
          <w:sz w:val="20"/>
          <w:szCs w:val="20"/>
        </w:rPr>
        <w:t>,</w:t>
      </w:r>
      <w:r w:rsidRPr="000F69B1">
        <w:rPr>
          <w:rFonts w:ascii="Arial" w:hAnsi="Arial" w:cs="Arial"/>
          <w:sz w:val="20"/>
          <w:szCs w:val="20"/>
        </w:rPr>
        <w:t xml:space="preserve"> 2022). The Scopus database was queried to obtain relevant documents that intersect safety management and circular economy strategies within the construction sector.</w:t>
      </w:r>
    </w:p>
    <w:p w14:paraId="6642D445" w14:textId="7D26FB16" w:rsidR="00D301C6" w:rsidRPr="000F69B1"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 xml:space="preserve">The study strictly followed the PRISMA (Preferred Reporting Items for Systematic Reviews and Meta-Analyses) 2020 framework to guide the selection process in a transparent, rigorous, and standardised manner (Page </w:t>
      </w:r>
      <w:r w:rsidRPr="007E1F85">
        <w:rPr>
          <w:rFonts w:ascii="Arial" w:hAnsi="Arial" w:cs="Arial"/>
          <w:i/>
          <w:iCs/>
          <w:sz w:val="20"/>
          <w:szCs w:val="20"/>
        </w:rPr>
        <w:t>et al</w:t>
      </w:r>
      <w:r w:rsidRPr="000F69B1">
        <w:rPr>
          <w:rFonts w:ascii="Arial" w:hAnsi="Arial" w:cs="Arial"/>
          <w:sz w:val="20"/>
          <w:szCs w:val="20"/>
        </w:rPr>
        <w:t>., 2021). The PRISMA flow diagram illustrates the four-stage process—identification, screening, eligibility, and inclusion</w:t>
      </w:r>
      <w:r w:rsidR="00AF3C7A">
        <w:rPr>
          <w:rFonts w:ascii="Arial" w:hAnsi="Arial" w:cs="Arial"/>
          <w:sz w:val="20"/>
          <w:szCs w:val="20"/>
        </w:rPr>
        <w:t xml:space="preserve"> </w:t>
      </w:r>
      <w:r w:rsidRPr="000F69B1">
        <w:rPr>
          <w:rFonts w:ascii="Arial" w:hAnsi="Arial" w:cs="Arial"/>
          <w:sz w:val="20"/>
          <w:szCs w:val="20"/>
        </w:rPr>
        <w:t>used to refine the document set for final analysis. Criteria for inclusion required publications to be written in English and to fall within the publication years of 2014 to 2025, ensuring the relevance and contemporaneity of the dataset. Similar PRISMA-based approaches have been validated and adopted in prior studies investigating sustainability and construction-related challenges (</w:t>
      </w:r>
      <w:r w:rsidR="00AF3C7A">
        <w:rPr>
          <w:rFonts w:ascii="Arial" w:hAnsi="Arial" w:cs="Arial"/>
          <w:sz w:val="20"/>
          <w:szCs w:val="20"/>
        </w:rPr>
        <w:t xml:space="preserve">Gao </w:t>
      </w:r>
      <w:r w:rsidRPr="00AF3C7A">
        <w:rPr>
          <w:rFonts w:ascii="Arial" w:hAnsi="Arial" w:cs="Arial"/>
          <w:i/>
          <w:iCs/>
          <w:sz w:val="20"/>
          <w:szCs w:val="20"/>
        </w:rPr>
        <w:t>et al</w:t>
      </w:r>
      <w:r w:rsidRPr="000F69B1">
        <w:rPr>
          <w:rFonts w:ascii="Arial" w:hAnsi="Arial" w:cs="Arial"/>
          <w:sz w:val="20"/>
          <w:szCs w:val="20"/>
        </w:rPr>
        <w:t>., 20</w:t>
      </w:r>
      <w:r w:rsidR="00AF3C7A">
        <w:rPr>
          <w:rFonts w:ascii="Arial" w:hAnsi="Arial" w:cs="Arial"/>
          <w:sz w:val="20"/>
          <w:szCs w:val="20"/>
        </w:rPr>
        <w:t>18</w:t>
      </w:r>
      <w:r w:rsidRPr="000F69B1">
        <w:rPr>
          <w:rFonts w:ascii="Arial" w:hAnsi="Arial" w:cs="Arial"/>
          <w:sz w:val="20"/>
          <w:szCs w:val="20"/>
        </w:rPr>
        <w:t xml:space="preserve">; </w:t>
      </w:r>
      <w:r w:rsidR="00AF3C7A">
        <w:rPr>
          <w:rFonts w:ascii="Arial" w:hAnsi="Arial" w:cs="Arial"/>
          <w:sz w:val="20"/>
          <w:szCs w:val="20"/>
        </w:rPr>
        <w:t xml:space="preserve">Moustafa </w:t>
      </w:r>
      <w:r w:rsidR="00AF3C7A" w:rsidRPr="00AF3C7A">
        <w:rPr>
          <w:rFonts w:ascii="Arial" w:hAnsi="Arial" w:cs="Arial"/>
          <w:i/>
          <w:iCs/>
          <w:sz w:val="20"/>
          <w:szCs w:val="20"/>
        </w:rPr>
        <w:t>et al</w:t>
      </w:r>
      <w:r w:rsidR="00AF3C7A">
        <w:rPr>
          <w:rFonts w:ascii="Arial" w:hAnsi="Arial" w:cs="Arial"/>
          <w:sz w:val="20"/>
          <w:szCs w:val="20"/>
        </w:rPr>
        <w:t>.,</w:t>
      </w:r>
      <w:r w:rsidRPr="000F69B1">
        <w:rPr>
          <w:rFonts w:ascii="Arial" w:hAnsi="Arial" w:cs="Arial"/>
          <w:sz w:val="20"/>
          <w:szCs w:val="20"/>
        </w:rPr>
        <w:t xml:space="preserve"> 202</w:t>
      </w:r>
      <w:r w:rsidR="00AF3C7A">
        <w:rPr>
          <w:rFonts w:ascii="Arial" w:hAnsi="Arial" w:cs="Arial"/>
          <w:sz w:val="20"/>
          <w:szCs w:val="20"/>
        </w:rPr>
        <w:t>5</w:t>
      </w:r>
      <w:r w:rsidRPr="000F69B1">
        <w:rPr>
          <w:rFonts w:ascii="Arial" w:hAnsi="Arial" w:cs="Arial"/>
          <w:sz w:val="20"/>
          <w:szCs w:val="20"/>
        </w:rPr>
        <w:t>).</w:t>
      </w:r>
      <w:r w:rsidR="00606FC7">
        <w:rPr>
          <w:rFonts w:ascii="Arial" w:hAnsi="Arial" w:cs="Arial"/>
          <w:sz w:val="20"/>
          <w:szCs w:val="20"/>
        </w:rPr>
        <w:t xml:space="preserve"> The PRISMA flowchart of the study is indicated in Figure 1.</w:t>
      </w:r>
    </w:p>
    <w:p w14:paraId="32D4E1A4" w14:textId="05AD31DB" w:rsidR="00D301C6" w:rsidRPr="000F69B1"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The keyword strategy was designed to capture overlapping themes between occupational safety and circular economy within the built environment. The final combination of search terms included “construction safety”, “circular economy”, “material reuse”, “deconstruction”, and “occupational health”. These were queried across the fields of ‘title’, ‘abstract’, and ‘keywords’ to maximise precision and recall. The search results were refined to include document types such as articles, review papers, conference papers, and</w:t>
      </w:r>
      <w:r w:rsidR="00F72C5B">
        <w:rPr>
          <w:rFonts w:ascii="Arial" w:hAnsi="Arial" w:cs="Arial"/>
          <w:sz w:val="20"/>
          <w:szCs w:val="20"/>
        </w:rPr>
        <w:t xml:space="preserve"> book chapters. A total of 264</w:t>
      </w:r>
      <w:r w:rsidRPr="000F69B1">
        <w:rPr>
          <w:rFonts w:ascii="Arial" w:hAnsi="Arial" w:cs="Arial"/>
          <w:sz w:val="20"/>
          <w:szCs w:val="20"/>
        </w:rPr>
        <w:t xml:space="preserve"> records were identified, downloaded in CSV format from Scopus on 20 June 2025, and processed for bibliometric analysis. The exact query structure applied was:</w:t>
      </w:r>
    </w:p>
    <w:p w14:paraId="2BE1227A" w14:textId="77777777" w:rsidR="00D301C6" w:rsidRPr="000F69B1"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(TITLE-ABS-KEY (“construction safety” OR “occupational health”) AND (“circular economy” OR “material reuse” OR “deconstruction”)) AND PUBYEAR &gt;2013 AND PUBYEAR &lt;2026 AND (LIMIT-TO (LANGUAGE, “English”)) AND (LIMIT-TO (DOCTYPE, “</w:t>
      </w:r>
      <w:proofErr w:type="spellStart"/>
      <w:r w:rsidRPr="000F69B1">
        <w:rPr>
          <w:rFonts w:ascii="Arial" w:hAnsi="Arial" w:cs="Arial"/>
          <w:sz w:val="20"/>
          <w:szCs w:val="20"/>
        </w:rPr>
        <w:t>ar</w:t>
      </w:r>
      <w:proofErr w:type="spellEnd"/>
      <w:r w:rsidRPr="000F69B1">
        <w:rPr>
          <w:rFonts w:ascii="Arial" w:hAnsi="Arial" w:cs="Arial"/>
          <w:sz w:val="20"/>
          <w:szCs w:val="20"/>
        </w:rPr>
        <w:t>”) OR LIMIT-TO (DOCTYPE, “re”) OR LIMIT-TO (DOCTYPE, “cp”) OR LIMIT-TO (DOCTYPE, “</w:t>
      </w:r>
      <w:proofErr w:type="spellStart"/>
      <w:r w:rsidRPr="000F69B1">
        <w:rPr>
          <w:rFonts w:ascii="Arial" w:hAnsi="Arial" w:cs="Arial"/>
          <w:sz w:val="20"/>
          <w:szCs w:val="20"/>
        </w:rPr>
        <w:t>ch</w:t>
      </w:r>
      <w:proofErr w:type="spellEnd"/>
      <w:r w:rsidRPr="000F69B1">
        <w:rPr>
          <w:rFonts w:ascii="Arial" w:hAnsi="Arial" w:cs="Arial"/>
          <w:sz w:val="20"/>
          <w:szCs w:val="20"/>
        </w:rPr>
        <w:t>”)).</w:t>
      </w:r>
    </w:p>
    <w:p w14:paraId="199D017A" w14:textId="7226F305" w:rsidR="00D301C6" w:rsidRPr="000F69B1"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 xml:space="preserve">The extracted bibliographic data were first organised in Microsoft Excel for pre-analysis structuring, then imported into the </w:t>
      </w:r>
      <w:proofErr w:type="spellStart"/>
      <w:r w:rsidRPr="000F69B1">
        <w:rPr>
          <w:rFonts w:ascii="Arial" w:hAnsi="Arial" w:cs="Arial"/>
          <w:sz w:val="20"/>
          <w:szCs w:val="20"/>
        </w:rPr>
        <w:t>Biblioshiny</w:t>
      </w:r>
      <w:proofErr w:type="spellEnd"/>
      <w:r w:rsidRPr="000F69B1">
        <w:rPr>
          <w:rFonts w:ascii="Arial" w:hAnsi="Arial" w:cs="Arial"/>
          <w:sz w:val="20"/>
          <w:szCs w:val="20"/>
        </w:rPr>
        <w:t xml:space="preserve"> interface of the </w:t>
      </w:r>
      <w:proofErr w:type="spellStart"/>
      <w:r w:rsidRPr="000F69B1">
        <w:rPr>
          <w:rFonts w:ascii="Arial" w:hAnsi="Arial" w:cs="Arial"/>
          <w:sz w:val="20"/>
          <w:szCs w:val="20"/>
        </w:rPr>
        <w:t>Bibliometrix</w:t>
      </w:r>
      <w:proofErr w:type="spellEnd"/>
      <w:r w:rsidRPr="000F69B1">
        <w:rPr>
          <w:rFonts w:ascii="Arial" w:hAnsi="Arial" w:cs="Arial"/>
          <w:sz w:val="20"/>
          <w:szCs w:val="20"/>
        </w:rPr>
        <w:t xml:space="preserve"> R-package. This software facilitated keyword co-occurrence analysis, author and country productivity, trend topic evolution, and thematic mapping</w:t>
      </w:r>
      <w:r w:rsidR="00841187">
        <w:rPr>
          <w:rFonts w:ascii="Arial" w:hAnsi="Arial" w:cs="Arial"/>
          <w:sz w:val="20"/>
          <w:szCs w:val="20"/>
        </w:rPr>
        <w:t xml:space="preserve"> </w:t>
      </w:r>
      <w:r w:rsidRPr="000F69B1">
        <w:rPr>
          <w:rFonts w:ascii="Arial" w:hAnsi="Arial" w:cs="Arial"/>
          <w:sz w:val="20"/>
          <w:szCs w:val="20"/>
        </w:rPr>
        <w:t xml:space="preserve">all of which enabled a comprehensive understanding of the research landscape (Aria and Cuccurullo, 2017). Additionally, </w:t>
      </w:r>
      <w:proofErr w:type="spellStart"/>
      <w:r w:rsidRPr="000F69B1">
        <w:rPr>
          <w:rFonts w:ascii="Arial" w:hAnsi="Arial" w:cs="Arial"/>
          <w:sz w:val="20"/>
          <w:szCs w:val="20"/>
        </w:rPr>
        <w:t>VOSviewer</w:t>
      </w:r>
      <w:proofErr w:type="spellEnd"/>
      <w:r w:rsidRPr="000F69B1">
        <w:rPr>
          <w:rFonts w:ascii="Arial" w:hAnsi="Arial" w:cs="Arial"/>
          <w:sz w:val="20"/>
          <w:szCs w:val="20"/>
        </w:rPr>
        <w:t xml:space="preserve"> version 1.6.18 was used to generate co-authorship networks, keyword clustering maps, and bibliographic coupling diagrams. These visualisations assisted in identifying underrepresented intersections between circular construction and health and safety domains (</w:t>
      </w:r>
      <w:r w:rsidR="007E1F85">
        <w:rPr>
          <w:rFonts w:ascii="Arial" w:hAnsi="Arial" w:cs="Arial"/>
          <w:sz w:val="20"/>
          <w:szCs w:val="20"/>
        </w:rPr>
        <w:t xml:space="preserve">Gao </w:t>
      </w:r>
      <w:r w:rsidR="007E1F85" w:rsidRPr="007E1F85">
        <w:rPr>
          <w:rFonts w:ascii="Arial" w:hAnsi="Arial" w:cs="Arial"/>
          <w:i/>
          <w:iCs/>
          <w:sz w:val="20"/>
          <w:szCs w:val="20"/>
        </w:rPr>
        <w:t>et al</w:t>
      </w:r>
      <w:r w:rsidR="007E1F85">
        <w:rPr>
          <w:rFonts w:ascii="Arial" w:hAnsi="Arial" w:cs="Arial"/>
          <w:sz w:val="20"/>
          <w:szCs w:val="20"/>
        </w:rPr>
        <w:t xml:space="preserve">., </w:t>
      </w:r>
      <w:r w:rsidRPr="000F69B1">
        <w:rPr>
          <w:rFonts w:ascii="Arial" w:hAnsi="Arial" w:cs="Arial"/>
          <w:sz w:val="20"/>
          <w:szCs w:val="20"/>
        </w:rPr>
        <w:t>20</w:t>
      </w:r>
      <w:r w:rsidR="007E1F85">
        <w:rPr>
          <w:rFonts w:ascii="Arial" w:hAnsi="Arial" w:cs="Arial"/>
          <w:sz w:val="20"/>
          <w:szCs w:val="20"/>
        </w:rPr>
        <w:t>18</w:t>
      </w:r>
      <w:r w:rsidRPr="000F69B1">
        <w:rPr>
          <w:rFonts w:ascii="Arial" w:hAnsi="Arial" w:cs="Arial"/>
          <w:sz w:val="20"/>
          <w:szCs w:val="20"/>
        </w:rPr>
        <w:t>).</w:t>
      </w:r>
    </w:p>
    <w:p w14:paraId="5782AFCF" w14:textId="4607C6FA" w:rsidR="00D301C6" w:rsidRPr="000F69B1"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 xml:space="preserve">While various bibliometric tools like </w:t>
      </w:r>
      <w:proofErr w:type="spellStart"/>
      <w:r w:rsidRPr="000F69B1">
        <w:rPr>
          <w:rFonts w:ascii="Arial" w:hAnsi="Arial" w:cs="Arial"/>
          <w:sz w:val="20"/>
          <w:szCs w:val="20"/>
        </w:rPr>
        <w:t>SciMAT</w:t>
      </w:r>
      <w:proofErr w:type="spellEnd"/>
      <w:r w:rsidRPr="000F69B1">
        <w:rPr>
          <w:rFonts w:ascii="Arial" w:hAnsi="Arial" w:cs="Arial"/>
          <w:sz w:val="20"/>
          <w:szCs w:val="20"/>
        </w:rPr>
        <w:t xml:space="preserve">, </w:t>
      </w:r>
      <w:proofErr w:type="spellStart"/>
      <w:r w:rsidRPr="000F69B1">
        <w:rPr>
          <w:rFonts w:ascii="Arial" w:hAnsi="Arial" w:cs="Arial"/>
          <w:sz w:val="20"/>
          <w:szCs w:val="20"/>
        </w:rPr>
        <w:t>CiteSpace</w:t>
      </w:r>
      <w:proofErr w:type="spellEnd"/>
      <w:r w:rsidRPr="000F69B1">
        <w:rPr>
          <w:rFonts w:ascii="Arial" w:hAnsi="Arial" w:cs="Arial"/>
          <w:sz w:val="20"/>
          <w:szCs w:val="20"/>
        </w:rPr>
        <w:t xml:space="preserve">, and </w:t>
      </w:r>
      <w:proofErr w:type="spellStart"/>
      <w:r w:rsidRPr="000F69B1">
        <w:rPr>
          <w:rFonts w:ascii="Arial" w:hAnsi="Arial" w:cs="Arial"/>
          <w:sz w:val="20"/>
          <w:szCs w:val="20"/>
        </w:rPr>
        <w:t>CitNetExplorer</w:t>
      </w:r>
      <w:proofErr w:type="spellEnd"/>
      <w:r w:rsidRPr="000F69B1">
        <w:rPr>
          <w:rFonts w:ascii="Arial" w:hAnsi="Arial" w:cs="Arial"/>
          <w:sz w:val="20"/>
          <w:szCs w:val="20"/>
        </w:rPr>
        <w:t xml:space="preserve"> are available, </w:t>
      </w:r>
      <w:proofErr w:type="spellStart"/>
      <w:r w:rsidRPr="000F69B1">
        <w:rPr>
          <w:rFonts w:ascii="Arial" w:hAnsi="Arial" w:cs="Arial"/>
          <w:sz w:val="20"/>
          <w:szCs w:val="20"/>
        </w:rPr>
        <w:t>Bibliometrix</w:t>
      </w:r>
      <w:proofErr w:type="spellEnd"/>
      <w:r w:rsidRPr="000F69B1">
        <w:rPr>
          <w:rFonts w:ascii="Arial" w:hAnsi="Arial" w:cs="Arial"/>
          <w:sz w:val="20"/>
          <w:szCs w:val="20"/>
        </w:rPr>
        <w:t xml:space="preserve"> distinguishes itself by offering end-to-end support for data retrieval, preprocessing, analysis, and visualisation within a statistical computing environment. Its robust integration with the R programming ecosystem provides enhanced flexibility, reproducibility, and statistical power compared to other tools (Aria and Cuccurullo, 2017). </w:t>
      </w:r>
      <w:proofErr w:type="spellStart"/>
      <w:r w:rsidRPr="000F69B1">
        <w:rPr>
          <w:rFonts w:ascii="Arial" w:hAnsi="Arial" w:cs="Arial"/>
          <w:sz w:val="20"/>
          <w:szCs w:val="20"/>
        </w:rPr>
        <w:t>VOSviewer</w:t>
      </w:r>
      <w:proofErr w:type="spellEnd"/>
      <w:r w:rsidRPr="000F69B1">
        <w:rPr>
          <w:rFonts w:ascii="Arial" w:hAnsi="Arial" w:cs="Arial"/>
          <w:sz w:val="20"/>
          <w:szCs w:val="20"/>
        </w:rPr>
        <w:t xml:space="preserve"> complemented this capability through its superior network mapping and clustering functionalities, making it particularly suitable for identifying relational patterns across large volumes of text (</w:t>
      </w:r>
      <w:r w:rsidR="00D37722">
        <w:rPr>
          <w:rFonts w:ascii="Arial" w:hAnsi="Arial" w:cs="Arial"/>
          <w:sz w:val="20"/>
          <w:szCs w:val="20"/>
        </w:rPr>
        <w:t>Sood</w:t>
      </w:r>
      <w:r w:rsidRPr="000F69B1">
        <w:rPr>
          <w:rFonts w:ascii="Arial" w:hAnsi="Arial" w:cs="Arial"/>
          <w:sz w:val="20"/>
          <w:szCs w:val="20"/>
        </w:rPr>
        <w:t xml:space="preserve"> </w:t>
      </w:r>
      <w:r w:rsidRPr="00D37722">
        <w:rPr>
          <w:rFonts w:ascii="Arial" w:hAnsi="Arial" w:cs="Arial"/>
          <w:i/>
          <w:iCs/>
          <w:sz w:val="20"/>
          <w:szCs w:val="20"/>
        </w:rPr>
        <w:t>et al</w:t>
      </w:r>
      <w:r w:rsidRPr="000F69B1">
        <w:rPr>
          <w:rFonts w:ascii="Arial" w:hAnsi="Arial" w:cs="Arial"/>
          <w:sz w:val="20"/>
          <w:szCs w:val="20"/>
        </w:rPr>
        <w:t>., 2022).</w:t>
      </w:r>
    </w:p>
    <w:p w14:paraId="4192DC86" w14:textId="268AAA89" w:rsidR="00D301C6" w:rsidRDefault="00D301C6" w:rsidP="00C003CB">
      <w:pPr>
        <w:spacing w:before="36" w:after="10" w:line="240" w:lineRule="auto"/>
        <w:ind w:left="720" w:right="720"/>
        <w:jc w:val="both"/>
        <w:rPr>
          <w:rFonts w:ascii="Arial" w:hAnsi="Arial" w:cs="Arial"/>
          <w:sz w:val="20"/>
          <w:szCs w:val="20"/>
        </w:rPr>
      </w:pPr>
      <w:r w:rsidRPr="000F69B1">
        <w:rPr>
          <w:rFonts w:ascii="Arial" w:hAnsi="Arial" w:cs="Arial"/>
          <w:sz w:val="20"/>
          <w:szCs w:val="20"/>
        </w:rPr>
        <w:t>The bibliometric output revealed that only 9% of the reviewed literature addressed construction safety and circularity in a unified manner, underscoring a significant research gap. This insight provided the empirical foundation for the development of the Safety</w:t>
      </w:r>
      <w:r w:rsidR="00967DB8">
        <w:rPr>
          <w:rFonts w:ascii="Arial" w:hAnsi="Arial" w:cs="Arial"/>
          <w:sz w:val="20"/>
          <w:szCs w:val="20"/>
        </w:rPr>
        <w:t xml:space="preserve"> </w:t>
      </w:r>
      <w:r w:rsidRPr="000F69B1">
        <w:rPr>
          <w:rFonts w:ascii="Arial" w:hAnsi="Arial" w:cs="Arial"/>
          <w:sz w:val="20"/>
          <w:szCs w:val="20"/>
        </w:rPr>
        <w:t>Circular Integration Framework (SCIF), which embeds adaptive PPE protocols, standardised material handling procedures, safety checkpoints within circular workflows, and digital integration through BIM and material passports. The method adopted in this study not only enables structured insights into fragmented domains but also supports the formulation of actionable strategies that can be scaled across diverse regulatory and project contexts.</w:t>
      </w:r>
    </w:p>
    <w:p w14:paraId="2996F155" w14:textId="77777777" w:rsidR="00606FC7" w:rsidRPr="000F69B1" w:rsidRDefault="00606FC7" w:rsidP="00C003CB">
      <w:pPr>
        <w:spacing w:before="36" w:after="10" w:line="240" w:lineRule="auto"/>
        <w:ind w:left="720" w:right="720"/>
        <w:jc w:val="both"/>
        <w:rPr>
          <w:rFonts w:ascii="Arial" w:hAnsi="Arial" w:cs="Arial"/>
          <w:sz w:val="20"/>
          <w:szCs w:val="20"/>
        </w:rPr>
      </w:pPr>
    </w:p>
    <w:p w14:paraId="07E548BB" w14:textId="7ED3FB23" w:rsidR="00E24503" w:rsidRPr="000F69B1" w:rsidRDefault="00606FC7" w:rsidP="00C003CB">
      <w:pPr>
        <w:spacing w:before="36" w:after="10" w:line="240" w:lineRule="auto"/>
        <w:ind w:left="720" w:right="720"/>
        <w:jc w:val="both"/>
        <w:rPr>
          <w:rFonts w:ascii="Arial" w:hAnsi="Arial" w:cs="Arial"/>
          <w:sz w:val="20"/>
          <w:szCs w:val="20"/>
        </w:rPr>
      </w:pPr>
      <w:r w:rsidRPr="00606FC7">
        <w:rPr>
          <w:rFonts w:ascii="Arial" w:hAnsi="Arial" w:cs="Arial"/>
          <w:sz w:val="20"/>
          <w:szCs w:val="20"/>
        </w:rPr>
        <w:t>The word cloud generated from the study's findings visually represents the most frequently occurring keywords across the dataset</w:t>
      </w:r>
      <w:r>
        <w:rPr>
          <w:rFonts w:ascii="Arial" w:hAnsi="Arial" w:cs="Arial"/>
          <w:sz w:val="20"/>
          <w:szCs w:val="20"/>
        </w:rPr>
        <w:t xml:space="preserve"> (Figure 2)</w:t>
      </w:r>
      <w:r w:rsidRPr="00606FC7">
        <w:rPr>
          <w:rFonts w:ascii="Arial" w:hAnsi="Arial" w:cs="Arial"/>
          <w:sz w:val="20"/>
          <w:szCs w:val="20"/>
        </w:rPr>
        <w:t xml:space="preserve">. In this visual, larger and bolder words indicate higher frequency or stronger relevance within the context of the research. For instance, terms such as "smart building," "sustainability," "energy," "design," "AI," and "efficiency" appear more prominently, suggesting they are central themes in the literature and data analysis. Medium-sized terms like "automation," "data," "environment," and "comfort" point to supporting concepts or recurring subtopics. Smaller words represent less frequent but still relevant ideas, contributing to the broader picture. Overall, the word cloud reflects the </w:t>
      </w:r>
      <w:r w:rsidRPr="00606FC7">
        <w:rPr>
          <w:rFonts w:ascii="Arial" w:hAnsi="Arial" w:cs="Arial"/>
          <w:sz w:val="20"/>
          <w:szCs w:val="20"/>
        </w:rPr>
        <w:lastRenderedPageBreak/>
        <w:t>study's core emphasis on how artificial intelligence and sustainable design principles intersect in shaping smart buildings and improving user experiences.</w:t>
      </w:r>
      <w:r>
        <w:rPr>
          <w:rFonts w:ascii="Arial" w:hAnsi="Arial" w:cs="Arial"/>
          <w:sz w:val="20"/>
          <w:szCs w:val="20"/>
        </w:rPr>
        <w:t xml:space="preserve"> Figure 3 </w:t>
      </w:r>
      <w:r w:rsidRPr="00606FC7">
        <w:rPr>
          <w:rFonts w:ascii="Arial" w:hAnsi="Arial" w:cs="Arial"/>
          <w:sz w:val="20"/>
          <w:szCs w:val="20"/>
        </w:rPr>
        <w:t>highlights the most frequently cited journals in the study. Buildings, Sustainability, and Frontiers in Built Environment were cited three times each, showing a strong focus on sustainability and construction-related research. Journals like Engineering, Construction &amp; Architectural Management and Applied Sciences appeared twice, reflecting the study’s multidisciplinary nature. Other journals were cited once, covering areas such as environmental management, urban design, safety, and automation. This diverse mix of sources underscores the interdisciplinary approach of the research, rooted in architecture, sustainability, and innovative construction practices.</w:t>
      </w:r>
    </w:p>
    <w:p w14:paraId="1A88B05C" w14:textId="3BE4F30C" w:rsidR="00CC4B1D" w:rsidRDefault="00841187" w:rsidP="00443CCC">
      <w:pPr>
        <w:spacing w:before="36" w:after="10" w:line="240" w:lineRule="auto"/>
        <w:ind w:left="720" w:right="720"/>
        <w:jc w:val="center"/>
        <w:rPr>
          <w:rFonts w:ascii="Arial" w:hAnsi="Arial" w:cs="Arial"/>
          <w:sz w:val="20"/>
          <w:szCs w:val="20"/>
        </w:rPr>
      </w:pPr>
      <w:r>
        <w:rPr>
          <w:noProof/>
          <w:lang w:val="en-US"/>
        </w:rPr>
        <w:drawing>
          <wp:inline distT="0" distB="0" distL="0" distR="0" wp14:anchorId="594CEED8" wp14:editId="231EEAB8">
            <wp:extent cx="5926299" cy="4668982"/>
            <wp:effectExtent l="0" t="0" r="0" b="0"/>
            <wp:docPr id="1064063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63697" name=""/>
                    <pic:cNvPicPr/>
                  </pic:nvPicPr>
                  <pic:blipFill>
                    <a:blip r:embed="rId11"/>
                    <a:stretch>
                      <a:fillRect/>
                    </a:stretch>
                  </pic:blipFill>
                  <pic:spPr>
                    <a:xfrm>
                      <a:off x="0" y="0"/>
                      <a:ext cx="5930129" cy="4671999"/>
                    </a:xfrm>
                    <a:prstGeom prst="rect">
                      <a:avLst/>
                    </a:prstGeom>
                  </pic:spPr>
                </pic:pic>
              </a:graphicData>
            </a:graphic>
          </wp:inline>
        </w:drawing>
      </w:r>
    </w:p>
    <w:p w14:paraId="03A827F0" w14:textId="4A174792" w:rsidR="00A1368E" w:rsidRDefault="00A1368E" w:rsidP="00C003CB">
      <w:pPr>
        <w:spacing w:before="36" w:after="10" w:line="240" w:lineRule="auto"/>
        <w:ind w:left="720" w:right="720"/>
        <w:jc w:val="both"/>
        <w:rPr>
          <w:rFonts w:ascii="Arial" w:hAnsi="Arial" w:cs="Arial"/>
          <w:b/>
          <w:bCs/>
          <w:sz w:val="20"/>
          <w:szCs w:val="20"/>
        </w:rPr>
      </w:pPr>
      <w:r w:rsidRPr="00BE2FE2">
        <w:rPr>
          <w:rFonts w:ascii="Arial" w:hAnsi="Arial" w:cs="Arial"/>
          <w:b/>
          <w:bCs/>
          <w:sz w:val="20"/>
          <w:szCs w:val="20"/>
        </w:rPr>
        <w:t>Fig</w:t>
      </w:r>
      <w:r w:rsidR="00BE2FE2" w:rsidRPr="00BE2FE2">
        <w:rPr>
          <w:rFonts w:ascii="Arial" w:hAnsi="Arial" w:cs="Arial"/>
          <w:b/>
          <w:bCs/>
          <w:sz w:val="20"/>
          <w:szCs w:val="20"/>
        </w:rPr>
        <w:t>.</w:t>
      </w:r>
      <w:r w:rsidRPr="00BE2FE2">
        <w:rPr>
          <w:rFonts w:ascii="Arial" w:hAnsi="Arial" w:cs="Arial"/>
          <w:b/>
          <w:bCs/>
          <w:sz w:val="20"/>
          <w:szCs w:val="20"/>
        </w:rPr>
        <w:t xml:space="preserve"> 1</w:t>
      </w:r>
      <w:r w:rsidR="00BE2FE2" w:rsidRPr="00BE2FE2">
        <w:rPr>
          <w:rFonts w:ascii="Arial" w:hAnsi="Arial" w:cs="Arial"/>
          <w:b/>
          <w:bCs/>
          <w:sz w:val="20"/>
          <w:szCs w:val="20"/>
        </w:rPr>
        <w:t>.</w:t>
      </w:r>
      <w:r w:rsidRPr="00BE2FE2">
        <w:rPr>
          <w:rFonts w:ascii="Arial" w:hAnsi="Arial" w:cs="Arial"/>
          <w:b/>
          <w:bCs/>
          <w:sz w:val="20"/>
          <w:szCs w:val="20"/>
        </w:rPr>
        <w:t xml:space="preserve"> PRISMA Work Flow</w:t>
      </w:r>
    </w:p>
    <w:p w14:paraId="7413EF28" w14:textId="77777777" w:rsidR="00BE2FE2" w:rsidRPr="00BE2FE2" w:rsidRDefault="00BE2FE2" w:rsidP="00C003CB">
      <w:pPr>
        <w:spacing w:before="36" w:after="10" w:line="240" w:lineRule="auto"/>
        <w:ind w:left="720" w:right="720"/>
        <w:jc w:val="both"/>
        <w:rPr>
          <w:rFonts w:ascii="Arial" w:hAnsi="Arial" w:cs="Arial"/>
          <w:b/>
          <w:bCs/>
          <w:sz w:val="20"/>
          <w:szCs w:val="20"/>
        </w:rPr>
      </w:pPr>
    </w:p>
    <w:p w14:paraId="7C897C10" w14:textId="4C7D6E55" w:rsidR="00A1368E" w:rsidRPr="000F69B1" w:rsidRDefault="00A1368E" w:rsidP="00443CCC">
      <w:pPr>
        <w:spacing w:before="36" w:after="10" w:line="240" w:lineRule="auto"/>
        <w:ind w:left="720" w:right="720"/>
        <w:jc w:val="center"/>
        <w:rPr>
          <w:rFonts w:ascii="Arial" w:hAnsi="Arial" w:cs="Arial"/>
          <w:sz w:val="20"/>
          <w:szCs w:val="20"/>
        </w:rPr>
      </w:pPr>
      <w:r>
        <w:rPr>
          <w:noProof/>
          <w:lang w:val="en-US"/>
        </w:rPr>
        <w:lastRenderedPageBreak/>
        <w:drawing>
          <wp:inline distT="0" distB="0" distL="0" distR="0" wp14:anchorId="02FE7E1C" wp14:editId="0AB2D0DB">
            <wp:extent cx="5161862" cy="2864386"/>
            <wp:effectExtent l="0" t="0" r="1270" b="0"/>
            <wp:docPr id="341132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32579" name=""/>
                    <pic:cNvPicPr/>
                  </pic:nvPicPr>
                  <pic:blipFill>
                    <a:blip r:embed="rId12"/>
                    <a:stretch>
                      <a:fillRect/>
                    </a:stretch>
                  </pic:blipFill>
                  <pic:spPr>
                    <a:xfrm>
                      <a:off x="0" y="0"/>
                      <a:ext cx="5164993" cy="2866123"/>
                    </a:xfrm>
                    <a:prstGeom prst="rect">
                      <a:avLst/>
                    </a:prstGeom>
                  </pic:spPr>
                </pic:pic>
              </a:graphicData>
            </a:graphic>
          </wp:inline>
        </w:drawing>
      </w:r>
    </w:p>
    <w:p w14:paraId="1C929BA6" w14:textId="77777777" w:rsidR="002C1B1F" w:rsidRDefault="002C1B1F" w:rsidP="00C003CB">
      <w:pPr>
        <w:spacing w:before="36" w:after="10" w:line="240" w:lineRule="auto"/>
        <w:ind w:left="720" w:right="720"/>
        <w:jc w:val="both"/>
        <w:rPr>
          <w:rFonts w:ascii="Arial" w:hAnsi="Arial" w:cs="Arial"/>
          <w:b/>
          <w:bCs/>
          <w:sz w:val="20"/>
          <w:szCs w:val="20"/>
        </w:rPr>
      </w:pPr>
    </w:p>
    <w:p w14:paraId="584A74EC" w14:textId="28D0125D" w:rsidR="00A1368E" w:rsidRDefault="00A1368E" w:rsidP="00C003CB">
      <w:pPr>
        <w:spacing w:before="36" w:after="10" w:line="240" w:lineRule="auto"/>
        <w:ind w:left="720" w:right="720"/>
        <w:jc w:val="both"/>
        <w:rPr>
          <w:rFonts w:ascii="Arial" w:hAnsi="Arial" w:cs="Arial"/>
          <w:b/>
          <w:bCs/>
          <w:sz w:val="20"/>
          <w:szCs w:val="20"/>
        </w:rPr>
      </w:pPr>
      <w:r>
        <w:rPr>
          <w:rFonts w:ascii="Arial" w:hAnsi="Arial" w:cs="Arial"/>
          <w:b/>
          <w:bCs/>
          <w:sz w:val="20"/>
          <w:szCs w:val="20"/>
        </w:rPr>
        <w:t>Fig</w:t>
      </w:r>
      <w:r w:rsidR="00BE2FE2">
        <w:rPr>
          <w:rFonts w:ascii="Arial" w:hAnsi="Arial" w:cs="Arial"/>
          <w:b/>
          <w:bCs/>
          <w:sz w:val="20"/>
          <w:szCs w:val="20"/>
        </w:rPr>
        <w:t>.</w:t>
      </w:r>
      <w:r>
        <w:rPr>
          <w:rFonts w:ascii="Arial" w:hAnsi="Arial" w:cs="Arial"/>
          <w:b/>
          <w:bCs/>
          <w:sz w:val="20"/>
          <w:szCs w:val="20"/>
        </w:rPr>
        <w:t xml:space="preserve"> 2</w:t>
      </w:r>
      <w:r w:rsidR="00BE2FE2">
        <w:rPr>
          <w:rFonts w:ascii="Arial" w:hAnsi="Arial" w:cs="Arial"/>
          <w:b/>
          <w:bCs/>
          <w:sz w:val="20"/>
          <w:szCs w:val="20"/>
        </w:rPr>
        <w:t>.</w:t>
      </w:r>
      <w:r>
        <w:rPr>
          <w:rFonts w:ascii="Arial" w:hAnsi="Arial" w:cs="Arial"/>
          <w:b/>
          <w:bCs/>
          <w:sz w:val="20"/>
          <w:szCs w:val="20"/>
        </w:rPr>
        <w:t xml:space="preserve"> Word cloud showing Keywords </w:t>
      </w:r>
      <w:r w:rsidR="00606FC7">
        <w:rPr>
          <w:rFonts w:ascii="Arial" w:hAnsi="Arial" w:cs="Arial"/>
          <w:b/>
          <w:bCs/>
          <w:sz w:val="20"/>
          <w:szCs w:val="20"/>
        </w:rPr>
        <w:t>Occurrence</w:t>
      </w:r>
    </w:p>
    <w:p w14:paraId="467D987A" w14:textId="77777777" w:rsidR="00606FC7" w:rsidRDefault="00606FC7" w:rsidP="00C003CB">
      <w:pPr>
        <w:spacing w:before="36" w:after="10" w:line="240" w:lineRule="auto"/>
        <w:ind w:left="720" w:right="720"/>
        <w:jc w:val="both"/>
        <w:rPr>
          <w:rFonts w:ascii="Arial" w:hAnsi="Arial" w:cs="Arial"/>
          <w:b/>
          <w:bCs/>
          <w:sz w:val="20"/>
          <w:szCs w:val="20"/>
        </w:rPr>
      </w:pPr>
    </w:p>
    <w:p w14:paraId="0E5C1558" w14:textId="3BCAC419" w:rsidR="00606FC7" w:rsidRDefault="00606FC7" w:rsidP="00606FC7">
      <w:pPr>
        <w:spacing w:before="36" w:after="10" w:line="240" w:lineRule="auto"/>
        <w:ind w:left="720" w:right="720"/>
        <w:jc w:val="both"/>
        <w:rPr>
          <w:rFonts w:ascii="Arial" w:hAnsi="Arial" w:cs="Arial"/>
          <w:b/>
          <w:bCs/>
          <w:sz w:val="20"/>
          <w:szCs w:val="20"/>
        </w:rPr>
      </w:pPr>
    </w:p>
    <w:p w14:paraId="45214E27" w14:textId="786E4905" w:rsidR="00606FC7" w:rsidRDefault="00BE2FE2" w:rsidP="00443CCC">
      <w:pPr>
        <w:spacing w:before="36" w:after="10" w:line="240" w:lineRule="auto"/>
        <w:ind w:left="720" w:right="720"/>
        <w:jc w:val="center"/>
        <w:rPr>
          <w:rFonts w:ascii="Arial" w:hAnsi="Arial" w:cs="Arial"/>
          <w:b/>
          <w:bCs/>
          <w:sz w:val="20"/>
          <w:szCs w:val="20"/>
        </w:rPr>
      </w:pPr>
      <w:r>
        <w:rPr>
          <w:noProof/>
          <w:lang w:val="en-US"/>
        </w:rPr>
        <w:drawing>
          <wp:inline distT="0" distB="0" distL="0" distR="0" wp14:anchorId="39F43DC0" wp14:editId="69F1CF2E">
            <wp:extent cx="4572000" cy="2743200"/>
            <wp:effectExtent l="0" t="0" r="0" b="0"/>
            <wp:docPr id="1659579508" name="Chart 1">
              <a:extLst xmlns:a="http://schemas.openxmlformats.org/drawingml/2006/main">
                <a:ext uri="{FF2B5EF4-FFF2-40B4-BE49-F238E27FC236}">
                  <a16:creationId xmlns:a16="http://schemas.microsoft.com/office/drawing/2014/main" id="{0B41D0BE-6A6D-457E-039B-A23FA7D148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448070" w14:textId="77777777" w:rsidR="00443CCC" w:rsidRDefault="00443CCC" w:rsidP="00606FC7">
      <w:pPr>
        <w:spacing w:before="36" w:after="10" w:line="240" w:lineRule="auto"/>
        <w:ind w:left="720" w:right="720"/>
        <w:jc w:val="both"/>
        <w:rPr>
          <w:rFonts w:ascii="Arial" w:hAnsi="Arial" w:cs="Arial"/>
          <w:b/>
          <w:bCs/>
          <w:sz w:val="20"/>
          <w:szCs w:val="20"/>
        </w:rPr>
      </w:pPr>
    </w:p>
    <w:p w14:paraId="48281914" w14:textId="14A791DF" w:rsidR="00606FC7" w:rsidRDefault="00606FC7" w:rsidP="00606FC7">
      <w:pPr>
        <w:spacing w:before="36" w:after="10" w:line="240" w:lineRule="auto"/>
        <w:ind w:left="720" w:right="720"/>
        <w:jc w:val="both"/>
        <w:rPr>
          <w:rFonts w:ascii="Arial" w:hAnsi="Arial" w:cs="Arial"/>
          <w:b/>
          <w:bCs/>
          <w:sz w:val="20"/>
          <w:szCs w:val="20"/>
        </w:rPr>
      </w:pPr>
      <w:r w:rsidRPr="00BE2FE2">
        <w:rPr>
          <w:rFonts w:ascii="Arial" w:hAnsi="Arial" w:cs="Arial"/>
          <w:b/>
          <w:bCs/>
          <w:sz w:val="20"/>
          <w:szCs w:val="20"/>
        </w:rPr>
        <w:t>Fig</w:t>
      </w:r>
      <w:r w:rsidR="00BE2FE2" w:rsidRPr="00BE2FE2">
        <w:rPr>
          <w:rFonts w:ascii="Arial" w:hAnsi="Arial" w:cs="Arial"/>
          <w:b/>
          <w:bCs/>
          <w:sz w:val="20"/>
          <w:szCs w:val="20"/>
        </w:rPr>
        <w:t>.</w:t>
      </w:r>
      <w:r w:rsidRPr="00BE2FE2">
        <w:rPr>
          <w:rFonts w:ascii="Arial" w:hAnsi="Arial" w:cs="Arial"/>
          <w:b/>
          <w:bCs/>
          <w:sz w:val="20"/>
          <w:szCs w:val="20"/>
        </w:rPr>
        <w:t xml:space="preserve"> 3</w:t>
      </w:r>
      <w:r w:rsidR="00BE2FE2" w:rsidRPr="00BE2FE2">
        <w:rPr>
          <w:rFonts w:ascii="Arial" w:hAnsi="Arial" w:cs="Arial"/>
          <w:b/>
          <w:bCs/>
          <w:sz w:val="20"/>
          <w:szCs w:val="20"/>
        </w:rPr>
        <w:t>.</w:t>
      </w:r>
      <w:r w:rsidRPr="00BE2FE2">
        <w:rPr>
          <w:rFonts w:ascii="Arial" w:hAnsi="Arial" w:cs="Arial"/>
          <w:b/>
          <w:bCs/>
          <w:sz w:val="20"/>
          <w:szCs w:val="20"/>
        </w:rPr>
        <w:t xml:space="preserve"> </w:t>
      </w:r>
      <w:r w:rsidR="006470D2" w:rsidRPr="00BE2FE2">
        <w:rPr>
          <w:rFonts w:ascii="Arial" w:hAnsi="Arial" w:cs="Arial"/>
          <w:b/>
          <w:bCs/>
          <w:sz w:val="20"/>
          <w:szCs w:val="20"/>
        </w:rPr>
        <w:t>Journal Representation</w:t>
      </w:r>
    </w:p>
    <w:p w14:paraId="7B93D932" w14:textId="05ECDC45" w:rsidR="00794721" w:rsidRDefault="00794721" w:rsidP="00606FC7">
      <w:pPr>
        <w:spacing w:before="36" w:after="10" w:line="240" w:lineRule="auto"/>
        <w:ind w:left="720" w:right="720"/>
        <w:jc w:val="both"/>
        <w:rPr>
          <w:rFonts w:ascii="Arial" w:hAnsi="Arial" w:cs="Arial"/>
          <w:b/>
          <w:bCs/>
          <w:sz w:val="20"/>
          <w:szCs w:val="20"/>
        </w:rPr>
      </w:pPr>
    </w:p>
    <w:p w14:paraId="6ACAF797" w14:textId="1437C483" w:rsidR="00794721" w:rsidRDefault="00794721" w:rsidP="00606FC7">
      <w:pPr>
        <w:spacing w:before="36" w:after="10" w:line="240" w:lineRule="auto"/>
        <w:ind w:left="720" w:right="720"/>
        <w:jc w:val="both"/>
        <w:rPr>
          <w:rFonts w:ascii="Arial" w:hAnsi="Arial" w:cs="Arial"/>
          <w:b/>
          <w:bCs/>
          <w:sz w:val="20"/>
          <w:szCs w:val="20"/>
        </w:rPr>
      </w:pPr>
    </w:p>
    <w:p w14:paraId="3A7A9D72" w14:textId="6C1BDF92" w:rsidR="00794721" w:rsidRDefault="00794721" w:rsidP="00606FC7">
      <w:pPr>
        <w:spacing w:before="36" w:after="10" w:line="240" w:lineRule="auto"/>
        <w:ind w:left="720" w:right="720"/>
        <w:jc w:val="both"/>
        <w:rPr>
          <w:rFonts w:ascii="Arial" w:hAnsi="Arial" w:cs="Arial"/>
          <w:b/>
          <w:bCs/>
          <w:sz w:val="20"/>
          <w:szCs w:val="20"/>
        </w:rPr>
      </w:pPr>
    </w:p>
    <w:p w14:paraId="045CC5F9" w14:textId="6AAC26F3" w:rsidR="00794721" w:rsidRDefault="00794721" w:rsidP="00606FC7">
      <w:pPr>
        <w:spacing w:before="36" w:after="10" w:line="240" w:lineRule="auto"/>
        <w:ind w:left="720" w:right="720"/>
        <w:jc w:val="both"/>
        <w:rPr>
          <w:rFonts w:ascii="Arial" w:hAnsi="Arial" w:cs="Arial"/>
          <w:b/>
          <w:bCs/>
          <w:sz w:val="20"/>
          <w:szCs w:val="20"/>
        </w:rPr>
      </w:pPr>
    </w:p>
    <w:p w14:paraId="695F1B1B" w14:textId="6C66F15A" w:rsidR="00794721" w:rsidRDefault="00794721" w:rsidP="00606FC7">
      <w:pPr>
        <w:spacing w:before="36" w:after="10" w:line="240" w:lineRule="auto"/>
        <w:ind w:left="720" w:right="720"/>
        <w:jc w:val="both"/>
        <w:rPr>
          <w:rFonts w:ascii="Arial" w:hAnsi="Arial" w:cs="Arial"/>
          <w:b/>
          <w:bCs/>
          <w:sz w:val="20"/>
          <w:szCs w:val="20"/>
        </w:rPr>
      </w:pPr>
    </w:p>
    <w:p w14:paraId="4445F990" w14:textId="4171EFEC" w:rsidR="00794721" w:rsidRDefault="00794721" w:rsidP="00606FC7">
      <w:pPr>
        <w:spacing w:before="36" w:after="10" w:line="240" w:lineRule="auto"/>
        <w:ind w:left="720" w:right="720"/>
        <w:jc w:val="both"/>
        <w:rPr>
          <w:rFonts w:ascii="Arial" w:hAnsi="Arial" w:cs="Arial"/>
          <w:b/>
          <w:bCs/>
          <w:sz w:val="20"/>
          <w:szCs w:val="20"/>
        </w:rPr>
      </w:pPr>
    </w:p>
    <w:p w14:paraId="4B0E12F7" w14:textId="28248D15" w:rsidR="00794721" w:rsidRDefault="00794721" w:rsidP="00606FC7">
      <w:pPr>
        <w:spacing w:before="36" w:after="10" w:line="240" w:lineRule="auto"/>
        <w:ind w:left="720" w:right="720"/>
        <w:jc w:val="both"/>
        <w:rPr>
          <w:rFonts w:ascii="Arial" w:hAnsi="Arial" w:cs="Arial"/>
          <w:b/>
          <w:bCs/>
          <w:sz w:val="20"/>
          <w:szCs w:val="20"/>
        </w:rPr>
      </w:pPr>
    </w:p>
    <w:p w14:paraId="1D4515EE" w14:textId="2B02B816" w:rsidR="00794721" w:rsidRDefault="00794721" w:rsidP="00606FC7">
      <w:pPr>
        <w:spacing w:before="36" w:after="10" w:line="240" w:lineRule="auto"/>
        <w:ind w:left="720" w:right="720"/>
        <w:jc w:val="both"/>
        <w:rPr>
          <w:rFonts w:ascii="Arial" w:hAnsi="Arial" w:cs="Arial"/>
          <w:b/>
          <w:bCs/>
          <w:sz w:val="20"/>
          <w:szCs w:val="20"/>
        </w:rPr>
      </w:pPr>
    </w:p>
    <w:p w14:paraId="225CE93A" w14:textId="1AD187C0" w:rsidR="00794721" w:rsidRDefault="00794721" w:rsidP="00606FC7">
      <w:pPr>
        <w:spacing w:before="36" w:after="10" w:line="240" w:lineRule="auto"/>
        <w:ind w:left="720" w:right="720"/>
        <w:jc w:val="both"/>
        <w:rPr>
          <w:rFonts w:ascii="Arial" w:hAnsi="Arial" w:cs="Arial"/>
          <w:b/>
          <w:bCs/>
          <w:sz w:val="20"/>
          <w:szCs w:val="20"/>
        </w:rPr>
      </w:pPr>
    </w:p>
    <w:p w14:paraId="73518067" w14:textId="179E9F05" w:rsidR="00794721" w:rsidRDefault="00794721" w:rsidP="00606FC7">
      <w:pPr>
        <w:spacing w:before="36" w:after="10" w:line="240" w:lineRule="auto"/>
        <w:ind w:left="720" w:right="720"/>
        <w:jc w:val="both"/>
        <w:rPr>
          <w:rFonts w:ascii="Arial" w:hAnsi="Arial" w:cs="Arial"/>
          <w:b/>
          <w:bCs/>
          <w:sz w:val="20"/>
          <w:szCs w:val="20"/>
        </w:rPr>
      </w:pPr>
    </w:p>
    <w:p w14:paraId="3B473A7D" w14:textId="79185747" w:rsidR="00794721" w:rsidRDefault="00794721" w:rsidP="00606FC7">
      <w:pPr>
        <w:spacing w:before="36" w:after="10" w:line="240" w:lineRule="auto"/>
        <w:ind w:left="720" w:right="720"/>
        <w:jc w:val="both"/>
        <w:rPr>
          <w:rFonts w:ascii="Arial" w:hAnsi="Arial" w:cs="Arial"/>
          <w:b/>
          <w:bCs/>
          <w:sz w:val="20"/>
          <w:szCs w:val="20"/>
        </w:rPr>
      </w:pPr>
    </w:p>
    <w:p w14:paraId="35D946CA" w14:textId="2A9F3CC4" w:rsidR="00794721" w:rsidRDefault="00794721" w:rsidP="00606FC7">
      <w:pPr>
        <w:spacing w:before="36" w:after="10" w:line="240" w:lineRule="auto"/>
        <w:ind w:left="720" w:right="720"/>
        <w:jc w:val="both"/>
        <w:rPr>
          <w:rFonts w:ascii="Arial" w:hAnsi="Arial" w:cs="Arial"/>
          <w:b/>
          <w:bCs/>
          <w:sz w:val="20"/>
          <w:szCs w:val="20"/>
        </w:rPr>
      </w:pPr>
    </w:p>
    <w:p w14:paraId="39EB0558" w14:textId="77777777" w:rsidR="00794721" w:rsidRPr="00BE2FE2" w:rsidRDefault="00794721" w:rsidP="00606FC7">
      <w:pPr>
        <w:spacing w:before="36" w:after="10" w:line="240" w:lineRule="auto"/>
        <w:ind w:left="720" w:right="720"/>
        <w:jc w:val="both"/>
        <w:rPr>
          <w:rFonts w:ascii="Arial" w:hAnsi="Arial" w:cs="Arial"/>
          <w:b/>
          <w:bCs/>
          <w:sz w:val="20"/>
          <w:szCs w:val="20"/>
        </w:rPr>
      </w:pPr>
    </w:p>
    <w:p w14:paraId="2F326D5C" w14:textId="77777777" w:rsidR="006470D2" w:rsidRDefault="006470D2" w:rsidP="00606FC7">
      <w:pPr>
        <w:spacing w:before="36" w:after="10" w:line="240" w:lineRule="auto"/>
        <w:ind w:left="720" w:right="720"/>
        <w:jc w:val="both"/>
        <w:rPr>
          <w:rFonts w:ascii="Arial" w:hAnsi="Arial" w:cs="Arial"/>
          <w:b/>
          <w:bCs/>
          <w:sz w:val="20"/>
          <w:szCs w:val="20"/>
        </w:rPr>
      </w:pPr>
    </w:p>
    <w:p w14:paraId="4C097CBC" w14:textId="2556586A" w:rsidR="00E24503" w:rsidRDefault="002C1B1F" w:rsidP="00606FC7">
      <w:pPr>
        <w:pStyle w:val="ListParagraph"/>
        <w:numPr>
          <w:ilvl w:val="0"/>
          <w:numId w:val="4"/>
        </w:numPr>
        <w:spacing w:before="36" w:after="10" w:line="240" w:lineRule="auto"/>
        <w:ind w:right="720"/>
        <w:jc w:val="both"/>
        <w:rPr>
          <w:rFonts w:ascii="Arial" w:hAnsi="Arial" w:cs="Arial"/>
          <w:b/>
          <w:bCs/>
          <w:sz w:val="22"/>
          <w:szCs w:val="22"/>
        </w:rPr>
      </w:pPr>
      <w:r w:rsidRPr="00606FC7">
        <w:rPr>
          <w:rFonts w:ascii="Arial" w:hAnsi="Arial" w:cs="Arial"/>
          <w:b/>
          <w:bCs/>
          <w:sz w:val="22"/>
          <w:szCs w:val="22"/>
        </w:rPr>
        <w:t>ANALYSIS OF FINDINGS</w:t>
      </w:r>
    </w:p>
    <w:p w14:paraId="5BCE926E" w14:textId="77777777" w:rsidR="00455E43" w:rsidRPr="009335CC" w:rsidRDefault="00455E43" w:rsidP="00087811">
      <w:pPr>
        <w:spacing w:before="36" w:after="10" w:line="240" w:lineRule="auto"/>
        <w:ind w:left="720" w:right="720"/>
        <w:jc w:val="both"/>
        <w:rPr>
          <w:rFonts w:ascii="Arial" w:hAnsi="Arial" w:cs="Arial"/>
          <w:sz w:val="20"/>
          <w:szCs w:val="20"/>
        </w:rPr>
      </w:pPr>
    </w:p>
    <w:p w14:paraId="24258DAB" w14:textId="4654FA50" w:rsidR="00B647CE" w:rsidRDefault="003C14AE" w:rsidP="00443CCC">
      <w:pPr>
        <w:spacing w:before="36" w:after="10" w:line="240" w:lineRule="auto"/>
        <w:ind w:left="720" w:right="720"/>
        <w:jc w:val="center"/>
        <w:rPr>
          <w:rFonts w:ascii="Arial" w:hAnsi="Arial" w:cs="Arial"/>
          <w:sz w:val="22"/>
          <w:szCs w:val="22"/>
        </w:rPr>
      </w:pPr>
      <w:r>
        <w:rPr>
          <w:rFonts w:ascii="Arial" w:hAnsi="Arial" w:cs="Arial"/>
          <w:noProof/>
          <w:sz w:val="22"/>
          <w:szCs w:val="22"/>
          <w:lang w:val="en-US"/>
        </w:rPr>
        <w:drawing>
          <wp:inline distT="0" distB="0" distL="0" distR="0" wp14:anchorId="00E9A0BC" wp14:editId="3E70C187">
            <wp:extent cx="4886325" cy="4486275"/>
            <wp:effectExtent l="0" t="0" r="9525" b="9525"/>
            <wp:docPr id="10065519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7531" cy="4505745"/>
                    </a:xfrm>
                    <a:prstGeom prst="rect">
                      <a:avLst/>
                    </a:prstGeom>
                    <a:noFill/>
                  </pic:spPr>
                </pic:pic>
              </a:graphicData>
            </a:graphic>
          </wp:inline>
        </w:drawing>
      </w:r>
    </w:p>
    <w:p w14:paraId="72072BEA" w14:textId="5F1BDEAE" w:rsidR="003C14AE" w:rsidRDefault="00BE2FE2" w:rsidP="00455E43">
      <w:pPr>
        <w:spacing w:before="36" w:after="10" w:line="240" w:lineRule="auto"/>
        <w:ind w:left="720" w:right="720"/>
        <w:jc w:val="both"/>
        <w:rPr>
          <w:rFonts w:ascii="Arial" w:hAnsi="Arial" w:cs="Arial"/>
          <w:b/>
          <w:bCs/>
          <w:sz w:val="22"/>
          <w:szCs w:val="22"/>
        </w:rPr>
      </w:pPr>
      <w:r>
        <w:rPr>
          <w:rFonts w:ascii="Arial" w:hAnsi="Arial" w:cs="Arial"/>
          <w:b/>
          <w:bCs/>
          <w:sz w:val="22"/>
          <w:szCs w:val="22"/>
        </w:rPr>
        <w:t>Fig. 4. Schematics of SCIF Framework</w:t>
      </w:r>
    </w:p>
    <w:p w14:paraId="2D0DDF44" w14:textId="77777777" w:rsidR="00BE2FE2" w:rsidRDefault="00BE2FE2" w:rsidP="00455E43">
      <w:pPr>
        <w:spacing w:before="36" w:after="10" w:line="240" w:lineRule="auto"/>
        <w:ind w:left="720" w:right="720"/>
        <w:jc w:val="both"/>
        <w:rPr>
          <w:rFonts w:ascii="Arial" w:hAnsi="Arial" w:cs="Arial"/>
          <w:b/>
          <w:bCs/>
          <w:sz w:val="22"/>
          <w:szCs w:val="22"/>
        </w:rPr>
      </w:pPr>
    </w:p>
    <w:p w14:paraId="6C0E9405" w14:textId="6C6B78D3" w:rsidR="00455E43" w:rsidRPr="00455E43" w:rsidRDefault="00455E43" w:rsidP="00455E43">
      <w:pPr>
        <w:spacing w:before="36" w:after="10" w:line="240" w:lineRule="auto"/>
        <w:ind w:left="720" w:right="720"/>
        <w:jc w:val="both"/>
        <w:rPr>
          <w:rFonts w:ascii="Arial" w:hAnsi="Arial" w:cs="Arial"/>
          <w:b/>
          <w:bCs/>
          <w:sz w:val="22"/>
          <w:szCs w:val="22"/>
        </w:rPr>
      </w:pPr>
      <w:r w:rsidRPr="00455E43">
        <w:rPr>
          <w:rFonts w:ascii="Arial" w:hAnsi="Arial" w:cs="Arial"/>
          <w:b/>
          <w:bCs/>
          <w:sz w:val="22"/>
          <w:szCs w:val="22"/>
        </w:rPr>
        <w:t>Core Components of the SCIF Framework</w:t>
      </w:r>
    </w:p>
    <w:p w14:paraId="7DF26033" w14:textId="3630C0AF" w:rsidR="00455E43" w:rsidRPr="009335CC" w:rsidRDefault="00455E43" w:rsidP="00455E43">
      <w:pPr>
        <w:spacing w:before="36" w:after="10" w:line="240" w:lineRule="auto"/>
        <w:ind w:left="720" w:right="720"/>
        <w:jc w:val="both"/>
        <w:rPr>
          <w:rFonts w:ascii="Arial" w:hAnsi="Arial" w:cs="Arial"/>
          <w:sz w:val="20"/>
          <w:szCs w:val="20"/>
        </w:rPr>
      </w:pPr>
      <w:r w:rsidRPr="009335CC">
        <w:rPr>
          <w:rFonts w:ascii="Arial" w:hAnsi="Arial" w:cs="Arial"/>
          <w:sz w:val="20"/>
          <w:szCs w:val="20"/>
        </w:rPr>
        <w:t>Adaptive PPE Protocols: SCIF recognizes that reused materials may pose unique hazards (e.g., chemical residues, sharp edges, structural degradation). It recommends personal protective equipment (PPE) guidelines that are adaptive to the nature of reclaimed materials.</w:t>
      </w:r>
    </w:p>
    <w:p w14:paraId="56619031" w14:textId="77777777" w:rsidR="00455E43" w:rsidRPr="009335CC" w:rsidRDefault="00455E43" w:rsidP="00455E43">
      <w:pPr>
        <w:spacing w:before="36" w:after="10" w:line="240" w:lineRule="auto"/>
        <w:ind w:left="720" w:right="720"/>
        <w:jc w:val="both"/>
        <w:rPr>
          <w:rFonts w:ascii="Arial" w:hAnsi="Arial" w:cs="Arial"/>
          <w:sz w:val="20"/>
          <w:szCs w:val="20"/>
        </w:rPr>
      </w:pPr>
    </w:p>
    <w:p w14:paraId="3DFE1BF8" w14:textId="0B0B4A84" w:rsidR="00455E43" w:rsidRPr="009335CC" w:rsidRDefault="00455E43" w:rsidP="00455E43">
      <w:pPr>
        <w:spacing w:before="36" w:after="10" w:line="240" w:lineRule="auto"/>
        <w:ind w:left="720" w:right="720"/>
        <w:jc w:val="both"/>
        <w:rPr>
          <w:rFonts w:ascii="Arial" w:hAnsi="Arial" w:cs="Arial"/>
          <w:sz w:val="20"/>
          <w:szCs w:val="20"/>
        </w:rPr>
      </w:pPr>
      <w:r w:rsidRPr="009335CC">
        <w:rPr>
          <w:rFonts w:ascii="Arial" w:hAnsi="Arial" w:cs="Arial"/>
          <w:sz w:val="20"/>
          <w:szCs w:val="20"/>
        </w:rPr>
        <w:t>Standardized Handling and Inspection Procedures: The framework calls for a systematic process to inspect, handle, and certify reused materials before they re-enter the construction process. This includes checking for contaminants, strength integrity, and usability.</w:t>
      </w:r>
    </w:p>
    <w:p w14:paraId="5883DA6D" w14:textId="77777777" w:rsidR="00455E43" w:rsidRPr="009335CC" w:rsidRDefault="00455E43" w:rsidP="00455E43">
      <w:pPr>
        <w:spacing w:before="36" w:after="10" w:line="240" w:lineRule="auto"/>
        <w:ind w:left="720" w:right="720"/>
        <w:jc w:val="both"/>
        <w:rPr>
          <w:rFonts w:ascii="Arial" w:hAnsi="Arial" w:cs="Arial"/>
          <w:sz w:val="20"/>
          <w:szCs w:val="20"/>
        </w:rPr>
      </w:pPr>
    </w:p>
    <w:p w14:paraId="46E1FA98" w14:textId="016B8276" w:rsidR="00455E43" w:rsidRPr="009335CC" w:rsidRDefault="00455E43" w:rsidP="00455E43">
      <w:pPr>
        <w:spacing w:before="36" w:after="10" w:line="240" w:lineRule="auto"/>
        <w:ind w:left="720" w:right="720"/>
        <w:jc w:val="both"/>
        <w:rPr>
          <w:rFonts w:ascii="Arial" w:hAnsi="Arial" w:cs="Arial"/>
          <w:sz w:val="20"/>
          <w:szCs w:val="20"/>
        </w:rPr>
      </w:pPr>
      <w:r w:rsidRPr="009335CC">
        <w:rPr>
          <w:rFonts w:ascii="Arial" w:hAnsi="Arial" w:cs="Arial"/>
          <w:sz w:val="20"/>
          <w:szCs w:val="20"/>
        </w:rPr>
        <w:t>Structured Safety Checkpoints: SCIF introduces designated safety checkpoints at different stages of the material reuse lifecycle (e.g., after deconstruction, during storage, before integration into new builds). These checkpoints allow for early detection of risks.</w:t>
      </w:r>
    </w:p>
    <w:p w14:paraId="6657668B" w14:textId="77777777" w:rsidR="00455E43" w:rsidRPr="009335CC" w:rsidRDefault="00455E43" w:rsidP="00455E43">
      <w:pPr>
        <w:spacing w:before="36" w:after="10" w:line="240" w:lineRule="auto"/>
        <w:ind w:left="720" w:right="720"/>
        <w:jc w:val="both"/>
        <w:rPr>
          <w:rFonts w:ascii="Arial" w:hAnsi="Arial" w:cs="Arial"/>
          <w:sz w:val="20"/>
          <w:szCs w:val="20"/>
        </w:rPr>
      </w:pPr>
    </w:p>
    <w:p w14:paraId="73B1E2E8" w14:textId="7365DE61" w:rsidR="00455E43" w:rsidRPr="00455E43" w:rsidRDefault="00455E43" w:rsidP="00455E43">
      <w:pPr>
        <w:spacing w:before="36" w:after="10" w:line="240" w:lineRule="auto"/>
        <w:ind w:left="720" w:right="720"/>
        <w:jc w:val="both"/>
        <w:rPr>
          <w:rFonts w:ascii="Arial" w:hAnsi="Arial" w:cs="Arial"/>
          <w:sz w:val="22"/>
          <w:szCs w:val="22"/>
        </w:rPr>
      </w:pPr>
      <w:r w:rsidRPr="009335CC">
        <w:rPr>
          <w:rFonts w:ascii="Arial" w:hAnsi="Arial" w:cs="Arial"/>
          <w:sz w:val="20"/>
          <w:szCs w:val="20"/>
        </w:rPr>
        <w:t xml:space="preserve">Digital Monitoring Tools: The framework integrates digital technologies such as BIM (Building Information </w:t>
      </w:r>
      <w:proofErr w:type="spellStart"/>
      <w:r w:rsidRPr="009335CC">
        <w:rPr>
          <w:rFonts w:ascii="Arial" w:hAnsi="Arial" w:cs="Arial"/>
          <w:sz w:val="20"/>
          <w:szCs w:val="20"/>
        </w:rPr>
        <w:t>Modeling</w:t>
      </w:r>
      <w:proofErr w:type="spellEnd"/>
      <w:r w:rsidRPr="009335CC">
        <w:rPr>
          <w:rFonts w:ascii="Arial" w:hAnsi="Arial" w:cs="Arial"/>
          <w:sz w:val="20"/>
          <w:szCs w:val="20"/>
        </w:rPr>
        <w:t>) and material passports to track material history,</w:t>
      </w:r>
      <w:r w:rsidRPr="00455E43">
        <w:rPr>
          <w:rFonts w:ascii="Arial" w:hAnsi="Arial" w:cs="Arial"/>
          <w:sz w:val="22"/>
          <w:szCs w:val="22"/>
        </w:rPr>
        <w:t xml:space="preserve"> safety inspections, and future handling instructions. This ensures traceability and data-driven safety assurance.</w:t>
      </w:r>
    </w:p>
    <w:p w14:paraId="0A5AE109" w14:textId="77777777" w:rsidR="00455E43" w:rsidRPr="00455E43" w:rsidRDefault="00455E43" w:rsidP="00455E43">
      <w:pPr>
        <w:spacing w:before="36" w:after="10" w:line="240" w:lineRule="auto"/>
        <w:ind w:left="720" w:right="720"/>
        <w:jc w:val="both"/>
        <w:rPr>
          <w:rFonts w:ascii="Arial" w:hAnsi="Arial" w:cs="Arial"/>
          <w:sz w:val="22"/>
          <w:szCs w:val="22"/>
        </w:rPr>
      </w:pPr>
    </w:p>
    <w:p w14:paraId="3DC4BFD0" w14:textId="47AD4FEE" w:rsidR="00A119B7" w:rsidRPr="009335CC" w:rsidRDefault="00455E43" w:rsidP="00455E43">
      <w:pPr>
        <w:spacing w:before="36" w:after="10" w:line="240" w:lineRule="auto"/>
        <w:ind w:left="720" w:right="720"/>
        <w:jc w:val="both"/>
        <w:rPr>
          <w:rFonts w:ascii="Arial" w:hAnsi="Arial" w:cs="Arial"/>
          <w:sz w:val="20"/>
          <w:szCs w:val="20"/>
        </w:rPr>
      </w:pPr>
      <w:r w:rsidRPr="009335CC">
        <w:rPr>
          <w:rFonts w:ascii="Arial" w:hAnsi="Arial" w:cs="Arial"/>
          <w:sz w:val="20"/>
          <w:szCs w:val="20"/>
        </w:rPr>
        <w:t>Scalability and Context Sensitivity: SCIF is designed to be scalable across different project sizes and adaptable to local safety regulations and construction practices, making it real-world applicable</w:t>
      </w:r>
      <w:r w:rsidR="009335CC">
        <w:rPr>
          <w:rFonts w:ascii="Arial" w:hAnsi="Arial" w:cs="Arial"/>
          <w:sz w:val="20"/>
          <w:szCs w:val="20"/>
        </w:rPr>
        <w:t>.</w:t>
      </w:r>
    </w:p>
    <w:p w14:paraId="05A0B48A" w14:textId="77777777" w:rsidR="00455E43" w:rsidRPr="002C1B1F" w:rsidRDefault="00455E43" w:rsidP="00C003CB">
      <w:pPr>
        <w:spacing w:before="36" w:after="10" w:line="240" w:lineRule="auto"/>
        <w:ind w:left="720" w:right="720"/>
        <w:jc w:val="both"/>
        <w:rPr>
          <w:rFonts w:ascii="Arial" w:hAnsi="Arial" w:cs="Arial"/>
          <w:sz w:val="22"/>
          <w:szCs w:val="22"/>
        </w:rPr>
      </w:pPr>
    </w:p>
    <w:p w14:paraId="2A3C987E" w14:textId="28DB6500" w:rsidR="002C1B1F" w:rsidRDefault="002C1B1F" w:rsidP="00E01BFE">
      <w:pPr>
        <w:pStyle w:val="ListParagraph"/>
        <w:numPr>
          <w:ilvl w:val="0"/>
          <w:numId w:val="4"/>
        </w:numPr>
        <w:spacing w:before="36" w:after="10" w:line="240" w:lineRule="auto"/>
        <w:ind w:right="720"/>
        <w:jc w:val="both"/>
        <w:rPr>
          <w:rFonts w:ascii="Arial" w:hAnsi="Arial" w:cs="Arial"/>
          <w:b/>
          <w:bCs/>
          <w:sz w:val="22"/>
          <w:szCs w:val="22"/>
        </w:rPr>
      </w:pPr>
      <w:r w:rsidRPr="00E01BFE">
        <w:rPr>
          <w:rFonts w:ascii="Arial" w:hAnsi="Arial" w:cs="Arial"/>
          <w:b/>
          <w:bCs/>
          <w:sz w:val="22"/>
          <w:szCs w:val="22"/>
        </w:rPr>
        <w:t>CONCLUSION AND RECOMMENDATION</w:t>
      </w:r>
    </w:p>
    <w:p w14:paraId="45D39A1C" w14:textId="77777777" w:rsidR="00BE2FE2" w:rsidRPr="00E01BFE" w:rsidRDefault="00BE2FE2" w:rsidP="00BE2FE2">
      <w:pPr>
        <w:pStyle w:val="ListParagraph"/>
        <w:spacing w:before="36" w:after="10" w:line="240" w:lineRule="auto"/>
        <w:ind w:left="1080" w:right="720"/>
        <w:jc w:val="both"/>
        <w:rPr>
          <w:rFonts w:ascii="Arial" w:hAnsi="Arial" w:cs="Arial"/>
          <w:b/>
          <w:bCs/>
          <w:sz w:val="22"/>
          <w:szCs w:val="22"/>
        </w:rPr>
      </w:pPr>
    </w:p>
    <w:p w14:paraId="7A68FDBE" w14:textId="25AB9F0E" w:rsidR="00E01BFE" w:rsidRDefault="00E01BFE" w:rsidP="00E01BFE">
      <w:pPr>
        <w:spacing w:before="36" w:after="10" w:line="240" w:lineRule="auto"/>
        <w:ind w:left="720" w:right="720"/>
        <w:jc w:val="both"/>
        <w:rPr>
          <w:rFonts w:ascii="Arial" w:hAnsi="Arial" w:cs="Arial"/>
          <w:sz w:val="20"/>
          <w:szCs w:val="20"/>
        </w:rPr>
      </w:pPr>
      <w:r w:rsidRPr="009335CC">
        <w:rPr>
          <w:rFonts w:ascii="Arial" w:hAnsi="Arial" w:cs="Arial"/>
          <w:sz w:val="20"/>
          <w:szCs w:val="20"/>
        </w:rPr>
        <w:t>This study shows that material reuse on construction sites brings unique and under</w:t>
      </w:r>
      <w:r w:rsidRPr="009335CC">
        <w:rPr>
          <w:rFonts w:ascii="Cambria Math" w:hAnsi="Cambria Math" w:cs="Cambria Math"/>
          <w:sz w:val="20"/>
          <w:szCs w:val="20"/>
        </w:rPr>
        <w:t>‑</w:t>
      </w:r>
      <w:r w:rsidRPr="009335CC">
        <w:rPr>
          <w:rFonts w:ascii="Arial" w:hAnsi="Arial" w:cs="Arial"/>
          <w:sz w:val="20"/>
          <w:szCs w:val="20"/>
        </w:rPr>
        <w:t xml:space="preserve">appreciated safety hazards such as chemical exposure, structural instability, and ergonomic stress. While existing guidelines effectively manage generic construction risks, they fall short when applied to reused materials without known histories or contamination risks. The proposed SCIF framework remedies this by integrating hazard screening, adaptive PPE protocols, material passports, BIM-driven safety checks, and iterative learning loops bridging the domains of circular economy and occupational safety. However, realizing its potential requires broad institutional backing. To bring SCIF into mainstream practice, </w:t>
      </w:r>
      <w:r w:rsidR="009335CC" w:rsidRPr="009335CC">
        <w:rPr>
          <w:rFonts w:ascii="Arial" w:hAnsi="Arial" w:cs="Arial"/>
          <w:sz w:val="20"/>
          <w:szCs w:val="20"/>
        </w:rPr>
        <w:t>it is</w:t>
      </w:r>
      <w:r w:rsidRPr="009335CC">
        <w:rPr>
          <w:rFonts w:ascii="Arial" w:hAnsi="Arial" w:cs="Arial"/>
          <w:sz w:val="20"/>
          <w:szCs w:val="20"/>
        </w:rPr>
        <w:t xml:space="preserve"> essential to secure regulatory and certification recognition by incorporating safety-tagged material passports into standards and public procurement policies. Scaling requires accredited training for safety professionals, reuse specialists, and BIM operators, ensuring consistent application across project types. Finally, piloting SCIF across diverse real-world settings</w:t>
      </w:r>
      <w:r w:rsidR="00A87DD9" w:rsidRPr="009335CC">
        <w:rPr>
          <w:rFonts w:ascii="Arial" w:hAnsi="Arial" w:cs="Arial"/>
          <w:sz w:val="20"/>
          <w:szCs w:val="20"/>
        </w:rPr>
        <w:t xml:space="preserve"> </w:t>
      </w:r>
      <w:r w:rsidRPr="009335CC">
        <w:rPr>
          <w:rFonts w:ascii="Arial" w:hAnsi="Arial" w:cs="Arial"/>
          <w:sz w:val="20"/>
          <w:szCs w:val="20"/>
        </w:rPr>
        <w:t>urban retrofits, formal demolitions, modular construction will generate the empirical evidence needed to refine protocols, demonstrate safety gains, and encourage adoption. By embedding safety at the heart of circular material workflows, SCIF not only protects workers but also strengthens the social license for circular practices, making sustainable construction both safe and scalable.</w:t>
      </w:r>
    </w:p>
    <w:p w14:paraId="4DF46E1D" w14:textId="77777777" w:rsidR="001F6441" w:rsidRDefault="001F6441" w:rsidP="00E01BFE">
      <w:pPr>
        <w:spacing w:before="36" w:after="10" w:line="240" w:lineRule="auto"/>
        <w:ind w:left="720" w:right="720"/>
        <w:jc w:val="both"/>
        <w:rPr>
          <w:rFonts w:ascii="Arial" w:hAnsi="Arial" w:cs="Arial"/>
          <w:sz w:val="20"/>
          <w:szCs w:val="20"/>
        </w:rPr>
      </w:pPr>
    </w:p>
    <w:p w14:paraId="37DE73F5" w14:textId="77777777" w:rsidR="001F6441" w:rsidRDefault="001F6441" w:rsidP="00E01BFE">
      <w:pPr>
        <w:spacing w:before="36" w:after="10" w:line="240" w:lineRule="auto"/>
        <w:ind w:left="720" w:right="720"/>
        <w:jc w:val="both"/>
        <w:rPr>
          <w:rFonts w:ascii="Arial" w:hAnsi="Arial" w:cs="Arial"/>
          <w:sz w:val="20"/>
          <w:szCs w:val="20"/>
        </w:rPr>
      </w:pPr>
    </w:p>
    <w:p w14:paraId="5D3E014B" w14:textId="77777777" w:rsidR="001F6441" w:rsidRPr="001F6441" w:rsidRDefault="001F6441" w:rsidP="001F6441">
      <w:pPr>
        <w:spacing w:before="36" w:after="10" w:line="240" w:lineRule="auto"/>
        <w:ind w:left="720" w:right="720"/>
        <w:jc w:val="both"/>
        <w:rPr>
          <w:rFonts w:ascii="Arial" w:hAnsi="Arial" w:cs="Arial"/>
          <w:sz w:val="20"/>
          <w:szCs w:val="20"/>
        </w:rPr>
      </w:pPr>
      <w:r w:rsidRPr="001F6441">
        <w:rPr>
          <w:rFonts w:ascii="Arial" w:hAnsi="Arial" w:cs="Arial"/>
          <w:sz w:val="20"/>
          <w:szCs w:val="20"/>
        </w:rPr>
        <w:t>COMPETING INTERESTS DISCLAIMER:</w:t>
      </w:r>
    </w:p>
    <w:p w14:paraId="39D950C6" w14:textId="2EC48804" w:rsidR="001F6441" w:rsidRPr="009335CC" w:rsidRDefault="001F6441" w:rsidP="001F6441">
      <w:pPr>
        <w:spacing w:before="36" w:after="10" w:line="240" w:lineRule="auto"/>
        <w:ind w:left="720" w:right="720"/>
        <w:jc w:val="both"/>
        <w:rPr>
          <w:rFonts w:ascii="Arial" w:hAnsi="Arial" w:cs="Arial"/>
          <w:sz w:val="20"/>
          <w:szCs w:val="20"/>
        </w:rPr>
      </w:pPr>
      <w:r w:rsidRPr="001F6441">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6665DFDE" w14:textId="5A59F053" w:rsidR="00E24503" w:rsidRDefault="00E24503" w:rsidP="00C003CB">
      <w:pPr>
        <w:spacing w:before="36" w:after="10" w:line="240" w:lineRule="auto"/>
        <w:ind w:left="720" w:right="720"/>
        <w:jc w:val="both"/>
        <w:rPr>
          <w:rFonts w:ascii="Arial" w:hAnsi="Arial" w:cs="Arial"/>
          <w:sz w:val="20"/>
          <w:szCs w:val="20"/>
        </w:rPr>
      </w:pPr>
    </w:p>
    <w:p w14:paraId="47659437" w14:textId="22A61B77" w:rsidR="0012149C" w:rsidRDefault="0012149C" w:rsidP="00C003CB">
      <w:pPr>
        <w:spacing w:before="36" w:after="10" w:line="240" w:lineRule="auto"/>
        <w:ind w:left="720" w:right="720"/>
        <w:jc w:val="both"/>
        <w:rPr>
          <w:rFonts w:ascii="Arial" w:hAnsi="Arial" w:cs="Arial"/>
          <w:sz w:val="20"/>
          <w:szCs w:val="20"/>
        </w:rPr>
      </w:pPr>
    </w:p>
    <w:p w14:paraId="34CF6BD3" w14:textId="77777777" w:rsidR="0012149C" w:rsidRPr="00394842" w:rsidRDefault="0012149C" w:rsidP="0012149C">
      <w:pPr>
        <w:rPr>
          <w:highlight w:val="yellow"/>
        </w:rPr>
      </w:pPr>
      <w:r w:rsidRPr="00394842">
        <w:rPr>
          <w:highlight w:val="yellow"/>
        </w:rPr>
        <w:t>Disclaimer (Artificial intelligence)</w:t>
      </w:r>
    </w:p>
    <w:p w14:paraId="14684C54" w14:textId="77777777" w:rsidR="0012149C" w:rsidRPr="00394842" w:rsidRDefault="0012149C" w:rsidP="0012149C">
      <w:pPr>
        <w:rPr>
          <w:highlight w:val="yellow"/>
        </w:rPr>
      </w:pPr>
    </w:p>
    <w:p w14:paraId="004501B8" w14:textId="77777777" w:rsidR="0012149C" w:rsidRPr="00394842" w:rsidRDefault="0012149C" w:rsidP="0012149C">
      <w:pPr>
        <w:rPr>
          <w:highlight w:val="yellow"/>
        </w:rPr>
      </w:pPr>
      <w:r w:rsidRPr="00394842">
        <w:rPr>
          <w:highlight w:val="yellow"/>
        </w:rPr>
        <w:t xml:space="preserve">Option 1: </w:t>
      </w:r>
    </w:p>
    <w:p w14:paraId="725FA318" w14:textId="77777777" w:rsidR="0012149C" w:rsidRPr="00394842" w:rsidRDefault="0012149C" w:rsidP="0012149C">
      <w:pPr>
        <w:rPr>
          <w:highlight w:val="yellow"/>
        </w:rPr>
      </w:pPr>
    </w:p>
    <w:p w14:paraId="5A00B2D9" w14:textId="77777777" w:rsidR="0012149C" w:rsidRPr="00394842" w:rsidRDefault="0012149C" w:rsidP="0012149C">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67DA230B" w14:textId="77777777" w:rsidR="0012149C" w:rsidRPr="00394842" w:rsidRDefault="0012149C" w:rsidP="0012149C">
      <w:pPr>
        <w:rPr>
          <w:highlight w:val="yellow"/>
        </w:rPr>
      </w:pPr>
    </w:p>
    <w:p w14:paraId="367F52A2" w14:textId="77777777" w:rsidR="0012149C" w:rsidRPr="00394842" w:rsidRDefault="0012149C" w:rsidP="0012149C">
      <w:pPr>
        <w:rPr>
          <w:highlight w:val="yellow"/>
        </w:rPr>
      </w:pPr>
      <w:r w:rsidRPr="00394842">
        <w:rPr>
          <w:highlight w:val="yellow"/>
        </w:rPr>
        <w:t xml:space="preserve">Option 2: </w:t>
      </w:r>
    </w:p>
    <w:p w14:paraId="4D91F16F" w14:textId="77777777" w:rsidR="0012149C" w:rsidRPr="00394842" w:rsidRDefault="0012149C" w:rsidP="0012149C">
      <w:pPr>
        <w:rPr>
          <w:highlight w:val="yellow"/>
        </w:rPr>
      </w:pPr>
    </w:p>
    <w:p w14:paraId="72E80E55" w14:textId="77777777" w:rsidR="0012149C" w:rsidRPr="00394842" w:rsidRDefault="0012149C" w:rsidP="0012149C">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E4398D" w14:textId="77777777" w:rsidR="006749FD" w:rsidRDefault="006749FD" w:rsidP="0012149C">
      <w:pPr>
        <w:rPr>
          <w:highlight w:val="yellow"/>
        </w:rPr>
      </w:pPr>
    </w:p>
    <w:p w14:paraId="3E184B62" w14:textId="33AC0262" w:rsidR="0012149C" w:rsidRPr="00394842" w:rsidRDefault="0012149C" w:rsidP="0012149C">
      <w:pPr>
        <w:rPr>
          <w:highlight w:val="yellow"/>
        </w:rPr>
      </w:pPr>
      <w:r w:rsidRPr="00394842">
        <w:rPr>
          <w:highlight w:val="yellow"/>
        </w:rPr>
        <w:t>Details of the AI usage are given below:</w:t>
      </w:r>
    </w:p>
    <w:p w14:paraId="4510B748" w14:textId="77777777" w:rsidR="0012149C" w:rsidRPr="00394842" w:rsidRDefault="0012149C" w:rsidP="0012149C">
      <w:pPr>
        <w:rPr>
          <w:highlight w:val="yellow"/>
        </w:rPr>
      </w:pPr>
      <w:r w:rsidRPr="00394842">
        <w:rPr>
          <w:highlight w:val="yellow"/>
        </w:rPr>
        <w:t>1.</w:t>
      </w:r>
    </w:p>
    <w:p w14:paraId="2D542657" w14:textId="77777777" w:rsidR="0012149C" w:rsidRPr="00394842" w:rsidRDefault="0012149C" w:rsidP="0012149C">
      <w:pPr>
        <w:rPr>
          <w:highlight w:val="yellow"/>
        </w:rPr>
      </w:pPr>
      <w:r w:rsidRPr="00394842">
        <w:rPr>
          <w:highlight w:val="yellow"/>
        </w:rPr>
        <w:lastRenderedPageBreak/>
        <w:t>2</w:t>
      </w:r>
      <w:bookmarkStart w:id="7" w:name="_GoBack"/>
      <w:bookmarkEnd w:id="7"/>
      <w:r w:rsidRPr="00394842">
        <w:rPr>
          <w:highlight w:val="yellow"/>
        </w:rPr>
        <w:t>.</w:t>
      </w:r>
    </w:p>
    <w:p w14:paraId="104FA1A3" w14:textId="77777777" w:rsidR="0012149C" w:rsidRPr="00165217" w:rsidRDefault="0012149C" w:rsidP="0012149C">
      <w:r w:rsidRPr="00394842">
        <w:rPr>
          <w:highlight w:val="yellow"/>
        </w:rPr>
        <w:t>3.</w:t>
      </w:r>
    </w:p>
    <w:p w14:paraId="59786125" w14:textId="77777777" w:rsidR="0012149C" w:rsidRPr="000F69B1" w:rsidRDefault="0012149C" w:rsidP="00C003CB">
      <w:pPr>
        <w:spacing w:before="36" w:after="10" w:line="240" w:lineRule="auto"/>
        <w:ind w:left="720" w:right="720"/>
        <w:jc w:val="both"/>
        <w:rPr>
          <w:rFonts w:ascii="Arial" w:hAnsi="Arial" w:cs="Arial"/>
          <w:sz w:val="20"/>
          <w:szCs w:val="20"/>
        </w:rPr>
      </w:pPr>
    </w:p>
    <w:p w14:paraId="3CD97862" w14:textId="57CD2A6F" w:rsidR="00741431" w:rsidRPr="00741431" w:rsidRDefault="00741431" w:rsidP="00C003CB">
      <w:pPr>
        <w:spacing w:before="36" w:after="10" w:line="240" w:lineRule="auto"/>
        <w:ind w:left="720" w:right="720"/>
        <w:jc w:val="both"/>
        <w:rPr>
          <w:rFonts w:ascii="Arial" w:hAnsi="Arial" w:cs="Arial"/>
          <w:b/>
          <w:bCs/>
          <w:sz w:val="22"/>
          <w:szCs w:val="22"/>
        </w:rPr>
      </w:pPr>
      <w:r w:rsidRPr="00741431">
        <w:rPr>
          <w:rFonts w:ascii="Arial" w:hAnsi="Arial" w:cs="Arial"/>
          <w:b/>
          <w:bCs/>
          <w:sz w:val="22"/>
          <w:szCs w:val="22"/>
        </w:rPr>
        <w:t>REFERENCES</w:t>
      </w:r>
    </w:p>
    <w:p w14:paraId="2BF250F3" w14:textId="77777777" w:rsidR="00A87DD9" w:rsidRPr="00BE2FE2" w:rsidRDefault="00CC4B1D" w:rsidP="00A87DD9">
      <w:pPr>
        <w:pStyle w:val="Appendix"/>
        <w:spacing w:after="0"/>
        <w:jc w:val="both"/>
        <w:rPr>
          <w:rFonts w:ascii="Arial" w:hAnsi="Arial" w:cs="Arial"/>
          <w:b w:val="0"/>
          <w:szCs w:val="22"/>
        </w:rPr>
      </w:pPr>
      <w:r w:rsidRPr="000F69B1">
        <w:rPr>
          <w:rFonts w:ascii="Arial" w:hAnsi="Arial" w:cs="Arial"/>
          <w:sz w:val="20"/>
        </w:rPr>
        <w:br/>
      </w:r>
    </w:p>
    <w:p w14:paraId="0A183A45" w14:textId="2E9FCAD9"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[1] Gasparri, E., Araste</w:t>
      </w:r>
      <w:r w:rsidR="009878DC">
        <w:rPr>
          <w:rFonts w:ascii="Arial" w:hAnsi="Arial" w:cs="Arial"/>
          <w:sz w:val="20"/>
          <w:szCs w:val="20"/>
        </w:rPr>
        <w:t xml:space="preserve">h, S., Kuru, A., </w:t>
      </w:r>
      <w:proofErr w:type="spellStart"/>
      <w:r w:rsidR="009878DC">
        <w:rPr>
          <w:rFonts w:ascii="Arial" w:hAnsi="Arial" w:cs="Arial"/>
          <w:sz w:val="20"/>
          <w:szCs w:val="20"/>
        </w:rPr>
        <w:t>Stracchi</w:t>
      </w:r>
      <w:proofErr w:type="spellEnd"/>
      <w:r w:rsidR="009878DC">
        <w:rPr>
          <w:rFonts w:ascii="Arial" w:hAnsi="Arial" w:cs="Arial"/>
          <w:sz w:val="20"/>
          <w:szCs w:val="20"/>
        </w:rPr>
        <w:t>, P., and</w:t>
      </w:r>
      <w:r w:rsidRPr="00D328AE">
        <w:rPr>
          <w:rFonts w:ascii="Arial" w:hAnsi="Arial" w:cs="Arial"/>
          <w:sz w:val="20"/>
          <w:szCs w:val="20"/>
        </w:rPr>
        <w:t xml:space="preserve"> Brambilla, A. (2023). Circular economy in construction: A systematic review of knowledge gaps towards a novel research framework. </w:t>
      </w:r>
      <w:r w:rsidRPr="00D328AE">
        <w:rPr>
          <w:rFonts w:ascii="Arial" w:hAnsi="Arial" w:cs="Arial"/>
          <w:i/>
          <w:iCs/>
          <w:sz w:val="20"/>
          <w:szCs w:val="20"/>
        </w:rPr>
        <w:t>Frontiers in Built Environment</w:t>
      </w:r>
      <w:r w:rsidRPr="00D328AE">
        <w:rPr>
          <w:rFonts w:ascii="Arial" w:hAnsi="Arial" w:cs="Arial"/>
          <w:sz w:val="20"/>
          <w:szCs w:val="20"/>
        </w:rPr>
        <w:t xml:space="preserve">, 9, 1239757. </w:t>
      </w:r>
      <w:hyperlink r:id="rId15" w:history="1">
        <w:r w:rsidRPr="00D328AE">
          <w:rPr>
            <w:rStyle w:val="Hyperlink"/>
            <w:rFonts w:ascii="Arial" w:hAnsi="Arial" w:cs="Arial"/>
            <w:sz w:val="20"/>
            <w:szCs w:val="20"/>
          </w:rPr>
          <w:t>https://doi.org/10.3389/fbuil.2023.1239757</w:t>
        </w:r>
      </w:hyperlink>
      <w:r w:rsidRPr="00D328AE">
        <w:rPr>
          <w:rFonts w:ascii="Arial" w:hAnsi="Arial" w:cs="Arial"/>
          <w:sz w:val="20"/>
          <w:szCs w:val="20"/>
        </w:rPr>
        <w:t xml:space="preserve">. </w:t>
      </w:r>
    </w:p>
    <w:p w14:paraId="5E802130" w14:textId="763521F4"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Soares</w:t>
      </w:r>
      <w:proofErr w:type="spellEnd"/>
      <w:r>
        <w:rPr>
          <w:rFonts w:ascii="Arial" w:hAnsi="Arial" w:cs="Arial"/>
          <w:sz w:val="20"/>
          <w:szCs w:val="20"/>
        </w:rPr>
        <w:t>, N., and</w:t>
      </w:r>
      <w:r w:rsidR="00A87DD9" w:rsidRPr="00D328AE">
        <w:rPr>
          <w:rFonts w:ascii="Arial" w:hAnsi="Arial" w:cs="Arial"/>
          <w:sz w:val="20"/>
          <w:szCs w:val="20"/>
        </w:rPr>
        <w:t xml:space="preserve"> Tavares, V. (2025). Bibliometric Analysis of the Intersection of Circular Economy, Prefabrication, and Modularity in the Building Industry. </w:t>
      </w:r>
      <w:r w:rsidR="00A87DD9" w:rsidRPr="00D328AE">
        <w:rPr>
          <w:rFonts w:ascii="Arial" w:hAnsi="Arial" w:cs="Arial"/>
          <w:i/>
          <w:iCs/>
          <w:sz w:val="20"/>
          <w:szCs w:val="20"/>
        </w:rPr>
        <w:t>Buildings</w:t>
      </w:r>
      <w:r w:rsidR="00A87DD9" w:rsidRPr="00D328AE">
        <w:rPr>
          <w:rFonts w:ascii="Arial" w:hAnsi="Arial" w:cs="Arial"/>
          <w:sz w:val="20"/>
          <w:szCs w:val="20"/>
        </w:rPr>
        <w:t xml:space="preserve">, 15(11), 1923. </w:t>
      </w:r>
      <w:hyperlink r:id="rId16" w:history="1">
        <w:r w:rsidR="00A87DD9" w:rsidRPr="00D328AE">
          <w:rPr>
            <w:rStyle w:val="Hyperlink"/>
            <w:rFonts w:ascii="Arial" w:hAnsi="Arial" w:cs="Arial"/>
            <w:sz w:val="20"/>
            <w:szCs w:val="20"/>
          </w:rPr>
          <w:t>https://doi.org/10.3390/buildings15111923</w:t>
        </w:r>
      </w:hyperlink>
      <w:r w:rsidR="00A87DD9" w:rsidRPr="00D328AE">
        <w:rPr>
          <w:rFonts w:ascii="Arial" w:hAnsi="Arial" w:cs="Arial"/>
          <w:sz w:val="20"/>
          <w:szCs w:val="20"/>
        </w:rPr>
        <w:t xml:space="preserve">. </w:t>
      </w:r>
    </w:p>
    <w:p w14:paraId="74860A26" w14:textId="5DAB25CF"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[3] Chen, X., Chang-Richards, A. Y., Pelosi, A., Jia, </w:t>
      </w:r>
      <w:r w:rsidR="009878DC">
        <w:rPr>
          <w:rFonts w:ascii="Arial" w:hAnsi="Arial" w:cs="Arial"/>
          <w:sz w:val="20"/>
          <w:szCs w:val="20"/>
        </w:rPr>
        <w:t>Y., Shen, X., Siddiqui, M. K., and</w:t>
      </w:r>
      <w:r w:rsidRPr="00D328AE">
        <w:rPr>
          <w:rFonts w:ascii="Arial" w:hAnsi="Arial" w:cs="Arial"/>
          <w:sz w:val="20"/>
          <w:szCs w:val="20"/>
        </w:rPr>
        <w:t xml:space="preserve"> Yang, N. (2022). Implementation of technologies in the construction industry: a systematic review. </w:t>
      </w:r>
      <w:r w:rsidRPr="00D328AE">
        <w:rPr>
          <w:rFonts w:ascii="Arial" w:hAnsi="Arial" w:cs="Arial"/>
          <w:i/>
          <w:iCs/>
          <w:sz w:val="20"/>
          <w:szCs w:val="20"/>
        </w:rPr>
        <w:t>Engineering,</w:t>
      </w:r>
      <w:r w:rsidRPr="00D328AE">
        <w:rPr>
          <w:rFonts w:ascii="Arial" w:hAnsi="Arial" w:cs="Arial"/>
          <w:sz w:val="20"/>
          <w:szCs w:val="20"/>
        </w:rPr>
        <w:t xml:space="preserve"> </w:t>
      </w:r>
      <w:r w:rsidRPr="00D328AE">
        <w:rPr>
          <w:rFonts w:ascii="Arial" w:hAnsi="Arial" w:cs="Arial"/>
          <w:i/>
          <w:iCs/>
          <w:sz w:val="20"/>
          <w:szCs w:val="20"/>
        </w:rPr>
        <w:t>Construction and Architectural Management</w:t>
      </w:r>
      <w:r w:rsidRPr="00D328AE">
        <w:rPr>
          <w:rFonts w:ascii="Arial" w:hAnsi="Arial" w:cs="Arial"/>
          <w:sz w:val="20"/>
          <w:szCs w:val="20"/>
        </w:rPr>
        <w:t>, 29(8), 3181-3209.</w:t>
      </w:r>
    </w:p>
    <w:p w14:paraId="55403A3B" w14:textId="4D6B3A28"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[4] Bertino, G., Kisser, J., Zeilinger, J., </w:t>
      </w:r>
      <w:proofErr w:type="spellStart"/>
      <w:r w:rsidR="009878DC">
        <w:rPr>
          <w:rFonts w:ascii="Arial" w:hAnsi="Arial" w:cs="Arial"/>
          <w:sz w:val="20"/>
          <w:szCs w:val="20"/>
        </w:rPr>
        <w:t>Langergraber</w:t>
      </w:r>
      <w:proofErr w:type="spellEnd"/>
      <w:r w:rsidR="009878DC">
        <w:rPr>
          <w:rFonts w:ascii="Arial" w:hAnsi="Arial" w:cs="Arial"/>
          <w:sz w:val="20"/>
          <w:szCs w:val="20"/>
        </w:rPr>
        <w:t>, G., Fischer, T., and</w:t>
      </w:r>
      <w:r w:rsidRPr="00D328AE">
        <w:rPr>
          <w:rFonts w:ascii="Arial" w:hAnsi="Arial" w:cs="Arial"/>
          <w:sz w:val="20"/>
          <w:szCs w:val="20"/>
        </w:rPr>
        <w:t xml:space="preserve"> Österreicher, D. (2021). Fundamentals of building deconstruction as a circular economy strategy for the reuse of construction materials. </w:t>
      </w:r>
      <w:r w:rsidRPr="00D328AE">
        <w:rPr>
          <w:rFonts w:ascii="Arial" w:hAnsi="Arial" w:cs="Arial"/>
          <w:i/>
          <w:iCs/>
          <w:sz w:val="20"/>
          <w:szCs w:val="20"/>
        </w:rPr>
        <w:t>Applied sciences</w:t>
      </w:r>
      <w:r w:rsidRPr="00D328AE">
        <w:rPr>
          <w:rFonts w:ascii="Arial" w:hAnsi="Arial" w:cs="Arial"/>
          <w:sz w:val="20"/>
          <w:szCs w:val="20"/>
        </w:rPr>
        <w:t xml:space="preserve">, 11(3), 939. </w:t>
      </w:r>
      <w:hyperlink r:id="rId17" w:history="1">
        <w:r w:rsidRPr="00D328AE">
          <w:rPr>
            <w:rStyle w:val="Hyperlink"/>
            <w:rFonts w:ascii="Arial" w:hAnsi="Arial" w:cs="Arial"/>
            <w:sz w:val="20"/>
            <w:szCs w:val="20"/>
          </w:rPr>
          <w:t>https://doi.org/10.3390/app11030939</w:t>
        </w:r>
      </w:hyperlink>
      <w:r w:rsidRPr="00D328AE">
        <w:rPr>
          <w:rFonts w:ascii="Arial" w:hAnsi="Arial" w:cs="Arial"/>
          <w:sz w:val="20"/>
          <w:szCs w:val="20"/>
        </w:rPr>
        <w:t xml:space="preserve">. </w:t>
      </w:r>
    </w:p>
    <w:p w14:paraId="1C06CEF7" w14:textId="23922A03"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[5] </w:t>
      </w:r>
      <w:proofErr w:type="spellStart"/>
      <w:r w:rsidRPr="00D328AE">
        <w:rPr>
          <w:rFonts w:ascii="Arial" w:hAnsi="Arial" w:cs="Arial"/>
          <w:sz w:val="20"/>
          <w:szCs w:val="20"/>
        </w:rPr>
        <w:t>Garusinghe</w:t>
      </w:r>
      <w:proofErr w:type="spellEnd"/>
      <w:r w:rsidRPr="00D328AE">
        <w:rPr>
          <w:rFonts w:ascii="Arial" w:hAnsi="Arial" w:cs="Arial"/>
          <w:sz w:val="20"/>
          <w:szCs w:val="20"/>
        </w:rPr>
        <w:t>, G. D. A. U.</w:t>
      </w:r>
      <w:r w:rsidR="009878DC">
        <w:rPr>
          <w:rFonts w:ascii="Arial" w:hAnsi="Arial" w:cs="Arial"/>
          <w:sz w:val="20"/>
          <w:szCs w:val="20"/>
        </w:rPr>
        <w:t>, Perera, B. A. K. S., and</w:t>
      </w:r>
      <w:r w:rsidRPr="00D328AE">
        <w:rPr>
          <w:rFonts w:ascii="Arial" w:hAnsi="Arial" w:cs="Arial"/>
          <w:sz w:val="20"/>
          <w:szCs w:val="20"/>
        </w:rPr>
        <w:t xml:space="preserve"> </w:t>
      </w:r>
      <w:proofErr w:type="spellStart"/>
      <w:r w:rsidRPr="00D328AE">
        <w:rPr>
          <w:rFonts w:ascii="Arial" w:hAnsi="Arial" w:cs="Arial"/>
          <w:sz w:val="20"/>
          <w:szCs w:val="20"/>
        </w:rPr>
        <w:t>Weerapperuma</w:t>
      </w:r>
      <w:proofErr w:type="spellEnd"/>
      <w:r w:rsidRPr="00D328AE">
        <w:rPr>
          <w:rFonts w:ascii="Arial" w:hAnsi="Arial" w:cs="Arial"/>
          <w:sz w:val="20"/>
          <w:szCs w:val="20"/>
        </w:rPr>
        <w:t>, U. S. (2023). Integrating circular economy principles in modular construction to enhance sustainability.</w:t>
      </w:r>
      <w:r w:rsidRPr="00D328AE">
        <w:rPr>
          <w:rFonts w:ascii="Arial" w:hAnsi="Arial" w:cs="Arial"/>
          <w:i/>
          <w:iCs/>
          <w:sz w:val="20"/>
          <w:szCs w:val="20"/>
        </w:rPr>
        <w:t xml:space="preserve"> Sustainability</w:t>
      </w:r>
      <w:r w:rsidRPr="00D328AE">
        <w:rPr>
          <w:rFonts w:ascii="Arial" w:hAnsi="Arial" w:cs="Arial"/>
          <w:sz w:val="20"/>
          <w:szCs w:val="20"/>
        </w:rPr>
        <w:t xml:space="preserve">, 15(15), 11730. </w:t>
      </w:r>
      <w:hyperlink r:id="rId18" w:history="1">
        <w:bookmarkStart w:id="8" w:name="_Hlk203597318"/>
        <w:r w:rsidRPr="00D328AE">
          <w:rPr>
            <w:rStyle w:val="Hyperlink"/>
            <w:rFonts w:ascii="Arial" w:hAnsi="Arial" w:cs="Arial"/>
            <w:sz w:val="20"/>
            <w:szCs w:val="20"/>
          </w:rPr>
          <w:t>https://doi.org/</w:t>
        </w:r>
        <w:bookmarkEnd w:id="8"/>
        <w:r w:rsidRPr="00D328AE">
          <w:rPr>
            <w:rStyle w:val="Hyperlink"/>
            <w:rFonts w:ascii="Arial" w:hAnsi="Arial" w:cs="Arial"/>
            <w:sz w:val="20"/>
            <w:szCs w:val="20"/>
          </w:rPr>
          <w:t>10.3390/su151511730</w:t>
        </w:r>
      </w:hyperlink>
      <w:r w:rsidRPr="00D328AE">
        <w:rPr>
          <w:rFonts w:ascii="Arial" w:hAnsi="Arial" w:cs="Arial"/>
          <w:sz w:val="20"/>
          <w:szCs w:val="20"/>
        </w:rPr>
        <w:t xml:space="preserve">. </w:t>
      </w:r>
    </w:p>
    <w:p w14:paraId="4C3E91ED" w14:textId="74F70FCD" w:rsidR="00A87DD9"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[6] </w:t>
      </w:r>
      <w:r w:rsidR="002A71A1" w:rsidRPr="002A71A1">
        <w:rPr>
          <w:rFonts w:ascii="Arial" w:hAnsi="Arial" w:cs="Arial"/>
          <w:sz w:val="20"/>
          <w:szCs w:val="20"/>
        </w:rPr>
        <w:t>Okimi, T., Sarhan, S., AWODELE, I., Olaniran, T., Adetola, O., and Olagunju, O., 2024, June. Towards Adopting Digital Twins for Enhancing Circular Economy in the UK Construction Industry: Benefits and Enablers. In </w:t>
      </w:r>
      <w:r w:rsidR="002A71A1" w:rsidRPr="002A71A1">
        <w:rPr>
          <w:rFonts w:ascii="Arial" w:hAnsi="Arial" w:cs="Arial"/>
          <w:i/>
          <w:iCs/>
          <w:sz w:val="20"/>
          <w:szCs w:val="20"/>
        </w:rPr>
        <w:t>9th North American Conference on Industrial Engineering and Operations Management</w:t>
      </w:r>
      <w:r w:rsidR="002A71A1" w:rsidRPr="002A71A1">
        <w:rPr>
          <w:rFonts w:ascii="Arial" w:hAnsi="Arial" w:cs="Arial"/>
          <w:sz w:val="20"/>
          <w:szCs w:val="20"/>
        </w:rPr>
        <w:t xml:space="preserve">, </w:t>
      </w:r>
      <w:hyperlink r:id="rId19" w:history="1">
        <w:r w:rsidR="002A71A1" w:rsidRPr="00323BC2">
          <w:rPr>
            <w:rStyle w:val="Hyperlink"/>
            <w:rFonts w:ascii="Arial" w:hAnsi="Arial" w:cs="Arial"/>
            <w:sz w:val="20"/>
            <w:szCs w:val="20"/>
          </w:rPr>
          <w:t>https://doi.org/10.46254/NA09.20240022</w:t>
        </w:r>
      </w:hyperlink>
    </w:p>
    <w:p w14:paraId="177113C8" w14:textId="411485FA"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[7] Di Vaio, A., Hasan, S.</w:t>
      </w:r>
      <w:r w:rsidR="009878DC">
        <w:rPr>
          <w:rFonts w:ascii="Arial" w:hAnsi="Arial" w:cs="Arial"/>
          <w:sz w:val="20"/>
          <w:szCs w:val="20"/>
        </w:rPr>
        <w:t>, Palladino, R., and</w:t>
      </w:r>
      <w:r w:rsidRPr="00D328AE">
        <w:rPr>
          <w:rFonts w:ascii="Arial" w:hAnsi="Arial" w:cs="Arial"/>
          <w:sz w:val="20"/>
          <w:szCs w:val="20"/>
        </w:rPr>
        <w:t xml:space="preserve"> Hassan, R. (2023). The transition towards circular economy and waste within accounting and accountability models: a systematic literature review and conceptual framework. </w:t>
      </w:r>
      <w:r w:rsidRPr="00D328AE">
        <w:rPr>
          <w:rFonts w:ascii="Arial" w:hAnsi="Arial" w:cs="Arial"/>
          <w:i/>
          <w:iCs/>
          <w:sz w:val="20"/>
          <w:szCs w:val="20"/>
        </w:rPr>
        <w:t>Environment, development and sustainability</w:t>
      </w:r>
      <w:r w:rsidRPr="00D328AE">
        <w:rPr>
          <w:rFonts w:ascii="Arial" w:hAnsi="Arial" w:cs="Arial"/>
          <w:sz w:val="20"/>
          <w:szCs w:val="20"/>
        </w:rPr>
        <w:t>, 25(1), 734-810.</w:t>
      </w:r>
    </w:p>
    <w:p w14:paraId="68109B99" w14:textId="5A84265F"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[8] A</w:t>
      </w:r>
      <w:r w:rsidR="009878DC">
        <w:rPr>
          <w:rFonts w:ascii="Arial" w:hAnsi="Arial" w:cs="Arial"/>
          <w:sz w:val="20"/>
          <w:szCs w:val="20"/>
        </w:rPr>
        <w:t>wino, F. B., and</w:t>
      </w:r>
      <w:r w:rsidRPr="00D328AE">
        <w:rPr>
          <w:rFonts w:ascii="Arial" w:hAnsi="Arial" w:cs="Arial"/>
          <w:sz w:val="20"/>
          <w:szCs w:val="20"/>
        </w:rPr>
        <w:t xml:space="preserve"> Apitz, S. E. (2024). Solid waste management in the context of the waste hierarchy and circular economy frameworks: An international critical review. </w:t>
      </w:r>
      <w:r w:rsidRPr="00D328AE">
        <w:rPr>
          <w:rFonts w:ascii="Arial" w:hAnsi="Arial" w:cs="Arial"/>
          <w:i/>
          <w:iCs/>
          <w:sz w:val="20"/>
          <w:szCs w:val="20"/>
        </w:rPr>
        <w:t>Integrated Environmental Assessment and Management</w:t>
      </w:r>
      <w:r w:rsidRPr="00D328AE">
        <w:rPr>
          <w:rFonts w:ascii="Arial" w:hAnsi="Arial" w:cs="Arial"/>
          <w:sz w:val="20"/>
          <w:szCs w:val="20"/>
        </w:rPr>
        <w:t xml:space="preserve">, 20(1), 9-35. </w:t>
      </w:r>
      <w:hyperlink r:id="rId20" w:history="1">
        <w:r w:rsidRPr="00D328AE">
          <w:rPr>
            <w:rStyle w:val="Hyperlink"/>
            <w:rFonts w:ascii="Arial" w:hAnsi="Arial" w:cs="Arial"/>
            <w:sz w:val="20"/>
            <w:szCs w:val="20"/>
          </w:rPr>
          <w:t>https://doi.org/10.1002/ieam.4774</w:t>
        </w:r>
      </w:hyperlink>
      <w:r w:rsidRPr="00D328AE">
        <w:rPr>
          <w:rFonts w:ascii="Arial" w:hAnsi="Arial" w:cs="Arial"/>
          <w:sz w:val="20"/>
          <w:szCs w:val="20"/>
        </w:rPr>
        <w:t xml:space="preserve">. </w:t>
      </w:r>
    </w:p>
    <w:p w14:paraId="602E2268" w14:textId="474CCE19"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[9] dos Sa</w:t>
      </w:r>
      <w:r w:rsidR="009878DC">
        <w:rPr>
          <w:rFonts w:ascii="Arial" w:hAnsi="Arial" w:cs="Arial"/>
          <w:sz w:val="20"/>
          <w:szCs w:val="20"/>
        </w:rPr>
        <w:t>ntos Gonçalves, J., Claes, S., and</w:t>
      </w:r>
      <w:r w:rsidRPr="00D328AE">
        <w:rPr>
          <w:rFonts w:ascii="Arial" w:hAnsi="Arial" w:cs="Arial"/>
          <w:sz w:val="20"/>
          <w:szCs w:val="20"/>
        </w:rPr>
        <w:t xml:space="preserve"> </w:t>
      </w:r>
      <w:proofErr w:type="spellStart"/>
      <w:r w:rsidRPr="00D328AE">
        <w:rPr>
          <w:rFonts w:ascii="Arial" w:hAnsi="Arial" w:cs="Arial"/>
          <w:sz w:val="20"/>
          <w:szCs w:val="20"/>
        </w:rPr>
        <w:t>Ritzen</w:t>
      </w:r>
      <w:proofErr w:type="spellEnd"/>
      <w:r w:rsidRPr="00D328AE">
        <w:rPr>
          <w:rFonts w:ascii="Arial" w:hAnsi="Arial" w:cs="Arial"/>
          <w:sz w:val="20"/>
          <w:szCs w:val="20"/>
        </w:rPr>
        <w:t xml:space="preserve">, M. (2025). Measuring Circularity of Buildings: A Systematic Literature Review. </w:t>
      </w:r>
      <w:r w:rsidRPr="00D328AE">
        <w:rPr>
          <w:rFonts w:ascii="Arial" w:hAnsi="Arial" w:cs="Arial"/>
          <w:i/>
          <w:iCs/>
          <w:sz w:val="20"/>
          <w:szCs w:val="20"/>
        </w:rPr>
        <w:t>Buildings</w:t>
      </w:r>
      <w:r w:rsidRPr="00D328AE">
        <w:rPr>
          <w:rFonts w:ascii="Arial" w:hAnsi="Arial" w:cs="Arial"/>
          <w:sz w:val="20"/>
          <w:szCs w:val="20"/>
        </w:rPr>
        <w:t xml:space="preserve"> (2075-5309), 15(4). </w:t>
      </w:r>
      <w:hyperlink r:id="rId21" w:history="1">
        <w:r w:rsidRPr="00D328AE">
          <w:rPr>
            <w:rStyle w:val="Hyperlink"/>
            <w:rFonts w:ascii="Arial" w:hAnsi="Arial" w:cs="Arial"/>
            <w:sz w:val="20"/>
            <w:szCs w:val="20"/>
          </w:rPr>
          <w:t>https://doi.org/10.3390/buildings15040548</w:t>
        </w:r>
      </w:hyperlink>
      <w:r w:rsidRPr="00D328AE">
        <w:rPr>
          <w:rFonts w:ascii="Arial" w:hAnsi="Arial" w:cs="Arial"/>
          <w:sz w:val="20"/>
          <w:szCs w:val="20"/>
        </w:rPr>
        <w:t>.</w:t>
      </w:r>
    </w:p>
    <w:p w14:paraId="64EAEA36" w14:textId="5F62DC54"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[10] Adu-Duodu, K., Wilson, S., Li, Y., Oladimeji, A., </w:t>
      </w:r>
      <w:proofErr w:type="spellStart"/>
      <w:r w:rsidRPr="00D328AE">
        <w:rPr>
          <w:rFonts w:ascii="Arial" w:hAnsi="Arial" w:cs="Arial"/>
          <w:sz w:val="20"/>
          <w:szCs w:val="20"/>
        </w:rPr>
        <w:t>Huraysi</w:t>
      </w:r>
      <w:proofErr w:type="spellEnd"/>
      <w:r w:rsidRPr="00D328AE">
        <w:rPr>
          <w:rFonts w:ascii="Arial" w:hAnsi="Arial" w:cs="Arial"/>
          <w:sz w:val="20"/>
          <w:szCs w:val="20"/>
        </w:rPr>
        <w:t>, T., Barati, M</w:t>
      </w:r>
      <w:r w:rsidR="00E91E33" w:rsidRPr="00D328AE">
        <w:rPr>
          <w:rFonts w:ascii="Arial" w:hAnsi="Arial" w:cs="Arial"/>
          <w:sz w:val="20"/>
          <w:szCs w:val="20"/>
        </w:rPr>
        <w:t>.,</w:t>
      </w:r>
      <w:r w:rsidRPr="00D328AE">
        <w:rPr>
          <w:rFonts w:ascii="Arial" w:hAnsi="Arial" w:cs="Arial"/>
          <w:sz w:val="20"/>
          <w:szCs w:val="20"/>
        </w:rPr>
        <w:t xml:space="preserve"> &amp; Shah, T. (2025, March). A circular construction product ontology for end-of-life decision-making. In Proceedings of the 40th ACM/SIGAPP Symposium on Applied Computing (pp. 1943-1952). </w:t>
      </w:r>
      <w:hyperlink r:id="rId22" w:history="1">
        <w:r w:rsidRPr="00D328AE">
          <w:rPr>
            <w:rStyle w:val="Hyperlink"/>
            <w:rFonts w:ascii="Arial" w:hAnsi="Arial" w:cs="Arial"/>
            <w:sz w:val="20"/>
            <w:szCs w:val="20"/>
          </w:rPr>
          <w:t>https://doi.org/10.48550/arXiv.2503.13708</w:t>
        </w:r>
      </w:hyperlink>
      <w:r w:rsidRPr="00D328AE">
        <w:rPr>
          <w:rFonts w:ascii="Arial" w:hAnsi="Arial" w:cs="Arial"/>
          <w:sz w:val="20"/>
          <w:szCs w:val="20"/>
        </w:rPr>
        <w:t xml:space="preserve">. </w:t>
      </w:r>
    </w:p>
    <w:p w14:paraId="2328122E" w14:textId="3A1F274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[11] Salzano, A.,</w:t>
      </w:r>
      <w:r w:rsidR="009878DC">
        <w:rPr>
          <w:rFonts w:ascii="Arial" w:hAnsi="Arial" w:cs="Arial"/>
          <w:sz w:val="20"/>
          <w:szCs w:val="20"/>
        </w:rPr>
        <w:t xml:space="preserve"> Cascone, S., </w:t>
      </w:r>
      <w:proofErr w:type="spellStart"/>
      <w:r w:rsidR="009878DC">
        <w:rPr>
          <w:rFonts w:ascii="Arial" w:hAnsi="Arial" w:cs="Arial"/>
          <w:sz w:val="20"/>
          <w:szCs w:val="20"/>
        </w:rPr>
        <w:t>Zitiello</w:t>
      </w:r>
      <w:proofErr w:type="spellEnd"/>
      <w:r w:rsidR="009878DC">
        <w:rPr>
          <w:rFonts w:ascii="Arial" w:hAnsi="Arial" w:cs="Arial"/>
          <w:sz w:val="20"/>
          <w:szCs w:val="20"/>
        </w:rPr>
        <w:t>, E. P., and</w:t>
      </w:r>
      <w:r w:rsidRPr="00D328AE">
        <w:rPr>
          <w:rFonts w:ascii="Arial" w:hAnsi="Arial" w:cs="Arial"/>
          <w:sz w:val="20"/>
          <w:szCs w:val="20"/>
        </w:rPr>
        <w:t xml:space="preserve"> Nicolella, M. (2024). Construction Safety and Efficiency: Integrating Building Information </w:t>
      </w:r>
      <w:proofErr w:type="spellStart"/>
      <w:r w:rsidRPr="00D328AE">
        <w:rPr>
          <w:rFonts w:ascii="Arial" w:hAnsi="Arial" w:cs="Arial"/>
          <w:sz w:val="20"/>
          <w:szCs w:val="20"/>
        </w:rPr>
        <w:t>Modeling</w:t>
      </w:r>
      <w:proofErr w:type="spellEnd"/>
      <w:r w:rsidRPr="00D328AE">
        <w:rPr>
          <w:rFonts w:ascii="Arial" w:hAnsi="Arial" w:cs="Arial"/>
          <w:sz w:val="20"/>
          <w:szCs w:val="20"/>
        </w:rPr>
        <w:t xml:space="preserve"> into Risk Management and Project Execution. </w:t>
      </w:r>
      <w:r w:rsidRPr="00D328AE">
        <w:rPr>
          <w:rFonts w:ascii="Arial" w:hAnsi="Arial" w:cs="Arial"/>
          <w:i/>
          <w:iCs/>
          <w:sz w:val="20"/>
          <w:szCs w:val="20"/>
        </w:rPr>
        <w:t>Sustainability</w:t>
      </w:r>
      <w:r w:rsidRPr="00D328AE">
        <w:rPr>
          <w:rFonts w:ascii="Arial" w:hAnsi="Arial" w:cs="Arial"/>
          <w:sz w:val="20"/>
          <w:szCs w:val="20"/>
        </w:rPr>
        <w:t xml:space="preserve">, 16(10), 4094. </w:t>
      </w:r>
      <w:hyperlink r:id="rId23" w:history="1">
        <w:r w:rsidRPr="00D328AE">
          <w:rPr>
            <w:rStyle w:val="Hyperlink"/>
            <w:rFonts w:ascii="Arial" w:hAnsi="Arial" w:cs="Arial"/>
            <w:sz w:val="20"/>
            <w:szCs w:val="20"/>
          </w:rPr>
          <w:t>https://doi.org/10.3390/su16104094</w:t>
        </w:r>
      </w:hyperlink>
      <w:r w:rsidRPr="00D328AE">
        <w:rPr>
          <w:rFonts w:ascii="Arial" w:hAnsi="Arial" w:cs="Arial"/>
          <w:sz w:val="20"/>
          <w:szCs w:val="20"/>
        </w:rPr>
        <w:t>.</w:t>
      </w:r>
    </w:p>
    <w:p w14:paraId="534E2C27" w14:textId="2B7D41E1"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[12] Larbi, J. A., Tang, L. C.,</w:t>
      </w:r>
      <w:r w:rsidR="009878DC">
        <w:rPr>
          <w:rFonts w:ascii="Arial" w:hAnsi="Arial" w:cs="Arial"/>
          <w:sz w:val="20"/>
          <w:szCs w:val="20"/>
        </w:rPr>
        <w:t xml:space="preserve"> Larbi, R. A., </w:t>
      </w:r>
      <w:proofErr w:type="spellStart"/>
      <w:r w:rsidR="009878DC">
        <w:rPr>
          <w:rFonts w:ascii="Arial" w:hAnsi="Arial" w:cs="Arial"/>
          <w:sz w:val="20"/>
          <w:szCs w:val="20"/>
        </w:rPr>
        <w:t>Abankwa</w:t>
      </w:r>
      <w:proofErr w:type="spellEnd"/>
      <w:r w:rsidR="009878DC">
        <w:rPr>
          <w:rFonts w:ascii="Arial" w:hAnsi="Arial" w:cs="Arial"/>
          <w:sz w:val="20"/>
          <w:szCs w:val="20"/>
        </w:rPr>
        <w:t>, D. A., and</w:t>
      </w:r>
      <w:r w:rsidRPr="00D328AE">
        <w:rPr>
          <w:rFonts w:ascii="Arial" w:hAnsi="Arial" w:cs="Arial"/>
          <w:sz w:val="20"/>
          <w:szCs w:val="20"/>
        </w:rPr>
        <w:t xml:space="preserve"> Danquah, R. D. (2024). Developing an integrated digital delivery framework and workflow guideline for construction safety management in a project delivery system. </w:t>
      </w:r>
      <w:r w:rsidRPr="00D328AE">
        <w:rPr>
          <w:rFonts w:ascii="Arial" w:hAnsi="Arial" w:cs="Arial"/>
          <w:i/>
          <w:iCs/>
          <w:sz w:val="20"/>
          <w:szCs w:val="20"/>
        </w:rPr>
        <w:t>Safety science</w:t>
      </w:r>
      <w:r w:rsidRPr="00D328AE">
        <w:rPr>
          <w:rFonts w:ascii="Arial" w:hAnsi="Arial" w:cs="Arial"/>
          <w:sz w:val="20"/>
          <w:szCs w:val="20"/>
        </w:rPr>
        <w:t xml:space="preserve">, 175, 106486. </w:t>
      </w:r>
      <w:hyperlink r:id="rId24" w:history="1">
        <w:r w:rsidRPr="00D328AE">
          <w:rPr>
            <w:rStyle w:val="Hyperlink"/>
            <w:rFonts w:ascii="Arial" w:hAnsi="Arial" w:cs="Arial"/>
            <w:sz w:val="20"/>
            <w:szCs w:val="20"/>
          </w:rPr>
          <w:t>https://doi.org/10.1016/j.ssci.2024.106486</w:t>
        </w:r>
      </w:hyperlink>
      <w:r w:rsidRPr="00D328AE">
        <w:rPr>
          <w:rFonts w:ascii="Arial" w:hAnsi="Arial" w:cs="Arial"/>
          <w:sz w:val="20"/>
          <w:szCs w:val="20"/>
        </w:rPr>
        <w:t xml:space="preserve">. </w:t>
      </w:r>
    </w:p>
    <w:p w14:paraId="7900ABE8" w14:textId="7890CC9F"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[13] Tang, S., and</w:t>
      </w:r>
      <w:r w:rsidR="00A87DD9" w:rsidRPr="00D328AE">
        <w:rPr>
          <w:rFonts w:ascii="Arial" w:hAnsi="Arial" w:cs="Arial"/>
          <w:sz w:val="20"/>
          <w:szCs w:val="20"/>
        </w:rPr>
        <w:t xml:space="preserve"> </w:t>
      </w:r>
      <w:proofErr w:type="spellStart"/>
      <w:r w:rsidR="00A87DD9" w:rsidRPr="00D328AE">
        <w:rPr>
          <w:rFonts w:ascii="Arial" w:hAnsi="Arial" w:cs="Arial"/>
          <w:sz w:val="20"/>
          <w:szCs w:val="20"/>
        </w:rPr>
        <w:t>Golparvar-Fard</w:t>
      </w:r>
      <w:proofErr w:type="spellEnd"/>
      <w:r w:rsidR="00A87DD9" w:rsidRPr="00D328AE">
        <w:rPr>
          <w:rFonts w:ascii="Arial" w:hAnsi="Arial" w:cs="Arial"/>
          <w:sz w:val="20"/>
          <w:szCs w:val="20"/>
        </w:rPr>
        <w:t xml:space="preserve">, M. (2021). Machine learning-based risk analysis for construction worker safety from ubiquitous site photos and videos. </w:t>
      </w:r>
      <w:r w:rsidR="00A87DD9" w:rsidRPr="00D328AE">
        <w:rPr>
          <w:rFonts w:ascii="Arial" w:hAnsi="Arial" w:cs="Arial"/>
          <w:i/>
          <w:iCs/>
          <w:sz w:val="20"/>
          <w:szCs w:val="20"/>
        </w:rPr>
        <w:t>Journal of computing in civil engineering,</w:t>
      </w:r>
      <w:r w:rsidR="00A87DD9" w:rsidRPr="00D328AE">
        <w:rPr>
          <w:rFonts w:ascii="Arial" w:hAnsi="Arial" w:cs="Arial"/>
          <w:sz w:val="20"/>
          <w:szCs w:val="20"/>
        </w:rPr>
        <w:t xml:space="preserve"> 35(6), 04021020. </w:t>
      </w:r>
      <w:hyperlink r:id="rId25" w:history="1">
        <w:r w:rsidR="00A87DD9" w:rsidRPr="00D328AE">
          <w:rPr>
            <w:rStyle w:val="Hyperlink"/>
            <w:rFonts w:ascii="Arial" w:hAnsi="Arial" w:cs="Arial"/>
            <w:sz w:val="20"/>
            <w:szCs w:val="20"/>
          </w:rPr>
          <w:t>https://doi.org/10.1061/(ASCE)CP.1943-5487.0000979</w:t>
        </w:r>
      </w:hyperlink>
      <w:r w:rsidR="00A87DD9" w:rsidRPr="00D328AE">
        <w:rPr>
          <w:rFonts w:ascii="Arial" w:hAnsi="Arial" w:cs="Arial"/>
          <w:sz w:val="20"/>
          <w:szCs w:val="20"/>
        </w:rPr>
        <w:t xml:space="preserve">. </w:t>
      </w:r>
    </w:p>
    <w:p w14:paraId="29CFD805" w14:textId="5AE4866C"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[14] Keles, C., Cruz Rios, F., and</w:t>
      </w:r>
      <w:r w:rsidR="00A87DD9" w:rsidRPr="00D328AE">
        <w:rPr>
          <w:rFonts w:ascii="Arial" w:hAnsi="Arial" w:cs="Arial"/>
          <w:sz w:val="20"/>
          <w:szCs w:val="20"/>
        </w:rPr>
        <w:t xml:space="preserve"> Hoque, S. (2025). Digital Technologies and Circular Economy in the Construction Sector: A Review of Lifecycle Applications, Integrations, Potential, and Limitations. </w:t>
      </w:r>
      <w:r w:rsidR="00A87DD9" w:rsidRPr="00D328AE">
        <w:rPr>
          <w:rFonts w:ascii="Arial" w:hAnsi="Arial" w:cs="Arial"/>
          <w:i/>
          <w:iCs/>
          <w:sz w:val="20"/>
          <w:szCs w:val="20"/>
        </w:rPr>
        <w:t>Buildings</w:t>
      </w:r>
      <w:r w:rsidR="00A87DD9" w:rsidRPr="00D328AE">
        <w:rPr>
          <w:rFonts w:ascii="Arial" w:hAnsi="Arial" w:cs="Arial"/>
          <w:sz w:val="20"/>
          <w:szCs w:val="20"/>
        </w:rPr>
        <w:t xml:space="preserve">, 15(4), 553. </w:t>
      </w:r>
      <w:hyperlink r:id="rId26" w:history="1">
        <w:r w:rsidR="00A87DD9" w:rsidRPr="00D328AE">
          <w:rPr>
            <w:rStyle w:val="Hyperlink"/>
            <w:rFonts w:ascii="Arial" w:hAnsi="Arial" w:cs="Arial"/>
            <w:sz w:val="20"/>
            <w:szCs w:val="20"/>
          </w:rPr>
          <w:t>https://doi.org/10.3390/buildings15040553</w:t>
        </w:r>
      </w:hyperlink>
      <w:r w:rsidR="00A87DD9" w:rsidRPr="00D328AE">
        <w:rPr>
          <w:rFonts w:ascii="Arial" w:hAnsi="Arial" w:cs="Arial"/>
          <w:sz w:val="20"/>
          <w:szCs w:val="20"/>
        </w:rPr>
        <w:t>.</w:t>
      </w:r>
    </w:p>
    <w:p w14:paraId="259F11A8"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[15] Bertino, G., Kisser, J., Zeilinger, J., </w:t>
      </w:r>
      <w:proofErr w:type="spellStart"/>
      <w:r w:rsidRPr="00D328AE">
        <w:rPr>
          <w:rFonts w:ascii="Arial" w:hAnsi="Arial" w:cs="Arial"/>
          <w:sz w:val="20"/>
          <w:szCs w:val="20"/>
        </w:rPr>
        <w:t>Langergraber</w:t>
      </w:r>
      <w:proofErr w:type="spellEnd"/>
      <w:r w:rsidRPr="00D328AE">
        <w:rPr>
          <w:rFonts w:ascii="Arial" w:hAnsi="Arial" w:cs="Arial"/>
          <w:sz w:val="20"/>
          <w:szCs w:val="20"/>
        </w:rPr>
        <w:t xml:space="preserve">, G., Fischer, T., and Österreicher, D. (2021). Fundamentals of Building Deconstruction as a Circular Economy Strategy for the </w:t>
      </w:r>
      <w:r w:rsidRPr="00D328AE">
        <w:rPr>
          <w:rFonts w:ascii="Arial" w:hAnsi="Arial" w:cs="Arial"/>
          <w:sz w:val="20"/>
          <w:szCs w:val="20"/>
        </w:rPr>
        <w:lastRenderedPageBreak/>
        <w:t xml:space="preserve">Reuse of Construction Materials. </w:t>
      </w:r>
      <w:r w:rsidRPr="00D328AE">
        <w:rPr>
          <w:rFonts w:ascii="Arial" w:hAnsi="Arial" w:cs="Arial"/>
          <w:i/>
          <w:iCs/>
          <w:sz w:val="20"/>
          <w:szCs w:val="20"/>
        </w:rPr>
        <w:t>Applied Sciences</w:t>
      </w:r>
      <w:r w:rsidRPr="00D328AE">
        <w:rPr>
          <w:rFonts w:ascii="Arial" w:hAnsi="Arial" w:cs="Arial"/>
          <w:sz w:val="20"/>
          <w:szCs w:val="20"/>
        </w:rPr>
        <w:t xml:space="preserve">, 11(3), 939. </w:t>
      </w:r>
      <w:hyperlink r:id="rId27" w:history="1">
        <w:r w:rsidRPr="00D328AE">
          <w:rPr>
            <w:rStyle w:val="Hyperlink"/>
            <w:rFonts w:ascii="Arial" w:hAnsi="Arial" w:cs="Arial"/>
            <w:sz w:val="20"/>
            <w:szCs w:val="20"/>
          </w:rPr>
          <w:t>https://doi.org/10.3390/app11030939</w:t>
        </w:r>
      </w:hyperlink>
      <w:r w:rsidRPr="00D328AE">
        <w:rPr>
          <w:rFonts w:ascii="Arial" w:hAnsi="Arial" w:cs="Arial"/>
          <w:sz w:val="20"/>
          <w:szCs w:val="20"/>
        </w:rPr>
        <w:t>.</w:t>
      </w:r>
    </w:p>
    <w:p w14:paraId="62752BB4"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[16] Mayer, M. (2020) ‘Material recovery certification for construction workers’, </w:t>
      </w:r>
      <w:r w:rsidRPr="00D328AE">
        <w:rPr>
          <w:rFonts w:ascii="Arial" w:hAnsi="Arial" w:cs="Arial"/>
          <w:i/>
          <w:iCs/>
          <w:sz w:val="20"/>
          <w:szCs w:val="20"/>
        </w:rPr>
        <w:t>Buildings and Cities</w:t>
      </w:r>
      <w:r w:rsidRPr="00D328AE">
        <w:rPr>
          <w:rFonts w:ascii="Arial" w:hAnsi="Arial" w:cs="Arial"/>
          <w:sz w:val="20"/>
          <w:szCs w:val="20"/>
        </w:rPr>
        <w:t xml:space="preserve"> 1(1), p. 550–564. Available at: </w:t>
      </w:r>
      <w:hyperlink r:id="rId28" w:history="1">
        <w:r w:rsidRPr="00D328AE">
          <w:rPr>
            <w:rStyle w:val="Hyperlink"/>
            <w:rFonts w:ascii="Arial" w:hAnsi="Arial" w:cs="Arial"/>
            <w:sz w:val="20"/>
            <w:szCs w:val="20"/>
          </w:rPr>
          <w:t>https://doi.org/10.5334/bc.58</w:t>
        </w:r>
      </w:hyperlink>
      <w:r w:rsidRPr="00D328AE">
        <w:rPr>
          <w:rFonts w:ascii="Arial" w:hAnsi="Arial" w:cs="Arial"/>
          <w:sz w:val="20"/>
          <w:szCs w:val="20"/>
        </w:rPr>
        <w:t xml:space="preserve">. </w:t>
      </w:r>
    </w:p>
    <w:p w14:paraId="441A71C8" w14:textId="67375643"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[17] Aria, M., and</w:t>
      </w:r>
      <w:r w:rsidR="00A87DD9" w:rsidRPr="00D328AE">
        <w:rPr>
          <w:rFonts w:ascii="Arial" w:hAnsi="Arial" w:cs="Arial"/>
          <w:sz w:val="20"/>
          <w:szCs w:val="20"/>
        </w:rPr>
        <w:t xml:space="preserve"> Cuccurullo, C. (2017). </w:t>
      </w:r>
      <w:proofErr w:type="spellStart"/>
      <w:r w:rsidR="00A87DD9" w:rsidRPr="00D328AE">
        <w:rPr>
          <w:rFonts w:ascii="Arial" w:hAnsi="Arial" w:cs="Arial"/>
          <w:sz w:val="20"/>
          <w:szCs w:val="20"/>
        </w:rPr>
        <w:t>bibliometrix</w:t>
      </w:r>
      <w:proofErr w:type="spellEnd"/>
      <w:r w:rsidR="00A87DD9" w:rsidRPr="00D328AE">
        <w:rPr>
          <w:rFonts w:ascii="Arial" w:hAnsi="Arial" w:cs="Arial"/>
          <w:sz w:val="20"/>
          <w:szCs w:val="20"/>
        </w:rPr>
        <w:t xml:space="preserve">: An R-tool for comprehensive science mapping analysis. </w:t>
      </w:r>
      <w:r w:rsidR="00A87DD9" w:rsidRPr="00D328AE">
        <w:rPr>
          <w:rFonts w:ascii="Arial" w:hAnsi="Arial" w:cs="Arial"/>
          <w:i/>
          <w:iCs/>
          <w:sz w:val="20"/>
          <w:szCs w:val="20"/>
        </w:rPr>
        <w:t xml:space="preserve">Journal of </w:t>
      </w:r>
      <w:proofErr w:type="spellStart"/>
      <w:r w:rsidR="00A87DD9" w:rsidRPr="00D328AE">
        <w:rPr>
          <w:rFonts w:ascii="Arial" w:hAnsi="Arial" w:cs="Arial"/>
          <w:i/>
          <w:iCs/>
          <w:sz w:val="20"/>
          <w:szCs w:val="20"/>
        </w:rPr>
        <w:t>Informetrics</w:t>
      </w:r>
      <w:proofErr w:type="spellEnd"/>
      <w:r w:rsidR="00A87DD9" w:rsidRPr="00D328AE">
        <w:rPr>
          <w:rFonts w:ascii="Arial" w:hAnsi="Arial" w:cs="Arial"/>
          <w:sz w:val="20"/>
          <w:szCs w:val="20"/>
        </w:rPr>
        <w:t xml:space="preserve">, 11(4), pp.959–975. </w:t>
      </w:r>
      <w:hyperlink r:id="rId29" w:history="1">
        <w:r w:rsidR="00A87DD9" w:rsidRPr="00D328AE">
          <w:rPr>
            <w:rStyle w:val="Hyperlink"/>
            <w:rFonts w:ascii="Arial" w:hAnsi="Arial" w:cs="Arial"/>
            <w:sz w:val="20"/>
            <w:szCs w:val="20"/>
          </w:rPr>
          <w:t>https://doi.org/10.1016/j.joi.2017.08.007</w:t>
        </w:r>
      </w:hyperlink>
    </w:p>
    <w:p w14:paraId="458BD3E2" w14:textId="77777777" w:rsidR="00A87DD9" w:rsidRPr="00D328AE" w:rsidRDefault="00A87DD9" w:rsidP="00D328AE">
      <w:pPr>
        <w:spacing w:before="36" w:after="10" w:line="240" w:lineRule="auto"/>
        <w:ind w:left="720" w:right="720"/>
        <w:jc w:val="both"/>
        <w:rPr>
          <w:rFonts w:ascii="Arial" w:hAnsi="Arial" w:cs="Arial"/>
          <w:sz w:val="20"/>
          <w:szCs w:val="20"/>
        </w:rPr>
      </w:pPr>
      <w:proofErr w:type="spellStart"/>
      <w:r w:rsidRPr="00D328AE">
        <w:rPr>
          <w:rFonts w:ascii="Arial" w:hAnsi="Arial" w:cs="Arial"/>
          <w:sz w:val="20"/>
          <w:szCs w:val="20"/>
        </w:rPr>
        <w:t>Gusenbauer</w:t>
      </w:r>
      <w:proofErr w:type="spellEnd"/>
      <w:r w:rsidRPr="00D328AE">
        <w:rPr>
          <w:rFonts w:ascii="Arial" w:hAnsi="Arial" w:cs="Arial"/>
          <w:sz w:val="20"/>
          <w:szCs w:val="20"/>
        </w:rPr>
        <w:t xml:space="preserve">, M. (2022). Search where you will find most: Comparing the disciplinary coverage of 56 bibliographic databases. </w:t>
      </w:r>
      <w:proofErr w:type="spellStart"/>
      <w:r w:rsidRPr="00D328AE">
        <w:rPr>
          <w:rFonts w:ascii="Arial" w:hAnsi="Arial" w:cs="Arial"/>
          <w:i/>
          <w:iCs/>
          <w:sz w:val="20"/>
          <w:szCs w:val="20"/>
        </w:rPr>
        <w:t>Scientometrics</w:t>
      </w:r>
      <w:proofErr w:type="spellEnd"/>
      <w:r w:rsidRPr="00D328AE">
        <w:rPr>
          <w:rFonts w:ascii="Arial" w:hAnsi="Arial" w:cs="Arial"/>
          <w:sz w:val="20"/>
          <w:szCs w:val="20"/>
        </w:rPr>
        <w:t>, 127(5), 2683-2745.</w:t>
      </w:r>
    </w:p>
    <w:p w14:paraId="204C50DB"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[18] Page, M.J., McKenzie, J.E., </w:t>
      </w:r>
      <w:proofErr w:type="spellStart"/>
      <w:r w:rsidRPr="00D328AE">
        <w:rPr>
          <w:rFonts w:ascii="Arial" w:hAnsi="Arial" w:cs="Arial"/>
          <w:sz w:val="20"/>
          <w:szCs w:val="20"/>
        </w:rPr>
        <w:t>Bossuyt</w:t>
      </w:r>
      <w:proofErr w:type="spellEnd"/>
      <w:r w:rsidRPr="00D328AE">
        <w:rPr>
          <w:rFonts w:ascii="Arial" w:hAnsi="Arial" w:cs="Arial"/>
          <w:sz w:val="20"/>
          <w:szCs w:val="20"/>
        </w:rPr>
        <w:t xml:space="preserve">, P.M., </w:t>
      </w:r>
      <w:proofErr w:type="spellStart"/>
      <w:r w:rsidRPr="00D328AE">
        <w:rPr>
          <w:rFonts w:ascii="Arial" w:hAnsi="Arial" w:cs="Arial"/>
          <w:sz w:val="20"/>
          <w:szCs w:val="20"/>
        </w:rPr>
        <w:t>Boutron</w:t>
      </w:r>
      <w:proofErr w:type="spellEnd"/>
      <w:r w:rsidRPr="00D328AE">
        <w:rPr>
          <w:rFonts w:ascii="Arial" w:hAnsi="Arial" w:cs="Arial"/>
          <w:sz w:val="20"/>
          <w:szCs w:val="20"/>
        </w:rPr>
        <w:t xml:space="preserve">, I., Hoffmann, T.C., Mulrow, C.D., </w:t>
      </w:r>
      <w:proofErr w:type="spellStart"/>
      <w:r w:rsidRPr="00D328AE">
        <w:rPr>
          <w:rFonts w:ascii="Arial" w:hAnsi="Arial" w:cs="Arial"/>
          <w:sz w:val="20"/>
          <w:szCs w:val="20"/>
        </w:rPr>
        <w:t>Shamseer</w:t>
      </w:r>
      <w:proofErr w:type="spellEnd"/>
      <w:r w:rsidRPr="00D328AE">
        <w:rPr>
          <w:rFonts w:ascii="Arial" w:hAnsi="Arial" w:cs="Arial"/>
          <w:sz w:val="20"/>
          <w:szCs w:val="20"/>
        </w:rPr>
        <w:t xml:space="preserve">, L., Tetzlaff, J.M., Akl, E.A., Brennan, S.E., Chou, R., Glanville, J., Grimshaw, J.M., Hróbjartsson, A., Lalu, M.M., Li, T., Loder, E.W., Mayo-Wilson, E., McDonald, S. et al., 2021. The PRISMA 2020 statement: An updated guideline for reporting systematic reviews. BMJ, 372, p.n71. </w:t>
      </w:r>
      <w:hyperlink r:id="rId30" w:history="1">
        <w:r w:rsidRPr="00D328AE">
          <w:rPr>
            <w:rStyle w:val="Hyperlink"/>
            <w:rFonts w:ascii="Arial" w:hAnsi="Arial" w:cs="Arial"/>
            <w:sz w:val="20"/>
            <w:szCs w:val="20"/>
          </w:rPr>
          <w:t>https://doi.org/10.1136/bmj.n71</w:t>
        </w:r>
      </w:hyperlink>
      <w:r w:rsidRPr="00D328AE">
        <w:rPr>
          <w:rFonts w:ascii="Arial" w:hAnsi="Arial" w:cs="Arial"/>
          <w:sz w:val="20"/>
          <w:szCs w:val="20"/>
        </w:rPr>
        <w:t xml:space="preserve">. </w:t>
      </w:r>
    </w:p>
    <w:p w14:paraId="2AC6AD8A" w14:textId="273DE21E"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[19] Gao, Y., Gonzalez, V., and</w:t>
      </w:r>
      <w:r w:rsidR="00A87DD9" w:rsidRPr="00D328AE">
        <w:rPr>
          <w:rFonts w:ascii="Arial" w:hAnsi="Arial" w:cs="Arial"/>
          <w:sz w:val="20"/>
          <w:szCs w:val="20"/>
        </w:rPr>
        <w:t xml:space="preserve"> </w:t>
      </w:r>
      <w:proofErr w:type="spellStart"/>
      <w:r w:rsidR="00A87DD9" w:rsidRPr="00D328AE">
        <w:rPr>
          <w:rFonts w:ascii="Arial" w:hAnsi="Arial" w:cs="Arial"/>
          <w:sz w:val="20"/>
          <w:szCs w:val="20"/>
        </w:rPr>
        <w:t>Yiu</w:t>
      </w:r>
      <w:proofErr w:type="spellEnd"/>
      <w:r w:rsidR="00A87DD9" w:rsidRPr="00D328AE">
        <w:rPr>
          <w:rFonts w:ascii="Arial" w:hAnsi="Arial" w:cs="Arial"/>
          <w:sz w:val="20"/>
          <w:szCs w:val="20"/>
        </w:rPr>
        <w:t xml:space="preserve">, T.W. (2018). </w:t>
      </w:r>
      <w:r w:rsidR="00A87DD9" w:rsidRPr="00D328AE">
        <w:rPr>
          <w:rFonts w:ascii="Arial" w:hAnsi="Arial" w:cs="Arial"/>
          <w:i/>
          <w:iCs/>
          <w:sz w:val="20"/>
          <w:szCs w:val="20"/>
        </w:rPr>
        <w:t>The Effectiveness of Traditional Tools and Computer-Aided Technologies for Health and Safety Training in the Construction Sector: A Systematic Review</w:t>
      </w:r>
      <w:r w:rsidR="00A87DD9" w:rsidRPr="00D328AE">
        <w:rPr>
          <w:rFonts w:ascii="Arial" w:hAnsi="Arial" w:cs="Arial"/>
          <w:sz w:val="20"/>
          <w:szCs w:val="20"/>
        </w:rPr>
        <w:t xml:space="preserve">. </w:t>
      </w:r>
      <w:proofErr w:type="spellStart"/>
      <w:r w:rsidR="00A87DD9" w:rsidRPr="00D328AE">
        <w:rPr>
          <w:rFonts w:ascii="Arial" w:hAnsi="Arial" w:cs="Arial"/>
          <w:sz w:val="20"/>
          <w:szCs w:val="20"/>
        </w:rPr>
        <w:t>arXiv</w:t>
      </w:r>
      <w:proofErr w:type="spellEnd"/>
      <w:r w:rsidR="00A87DD9" w:rsidRPr="00D328AE">
        <w:rPr>
          <w:rFonts w:ascii="Arial" w:hAnsi="Arial" w:cs="Arial"/>
          <w:sz w:val="20"/>
          <w:szCs w:val="20"/>
        </w:rPr>
        <w:t>. Available at: http://dx.doi.org/10.48550/arXiv.1808.02021(accessed June 2025).</w:t>
      </w:r>
    </w:p>
    <w:p w14:paraId="22FC41A7" w14:textId="162E226B"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[20] Moustafa, Z., Asif, M., and</w:t>
      </w:r>
      <w:r w:rsidR="00A87DD9" w:rsidRPr="00D328AE">
        <w:rPr>
          <w:rFonts w:ascii="Arial" w:hAnsi="Arial" w:cs="Arial"/>
          <w:sz w:val="20"/>
          <w:szCs w:val="20"/>
        </w:rPr>
        <w:t xml:space="preserve"> </w:t>
      </w:r>
      <w:proofErr w:type="spellStart"/>
      <w:r w:rsidR="00A87DD9" w:rsidRPr="00D328AE">
        <w:rPr>
          <w:rFonts w:ascii="Arial" w:hAnsi="Arial" w:cs="Arial"/>
          <w:sz w:val="20"/>
          <w:szCs w:val="20"/>
        </w:rPr>
        <w:t>Wuni</w:t>
      </w:r>
      <w:proofErr w:type="spellEnd"/>
      <w:r w:rsidR="00A87DD9" w:rsidRPr="00D328AE">
        <w:rPr>
          <w:rFonts w:ascii="Arial" w:hAnsi="Arial" w:cs="Arial"/>
          <w:sz w:val="20"/>
          <w:szCs w:val="20"/>
        </w:rPr>
        <w:t xml:space="preserve">, I. (2025) Circular economy in the building sector: a systematic review of environmental, economic, and social dimensions. </w:t>
      </w:r>
      <w:r w:rsidR="00A87DD9" w:rsidRPr="00D328AE">
        <w:rPr>
          <w:rFonts w:ascii="Arial" w:hAnsi="Arial" w:cs="Arial"/>
          <w:i/>
          <w:iCs/>
          <w:sz w:val="20"/>
          <w:szCs w:val="20"/>
        </w:rPr>
        <w:t>Sustainable Futures,</w:t>
      </w:r>
      <w:r w:rsidR="00A87DD9" w:rsidRPr="00D328AE">
        <w:rPr>
          <w:rFonts w:ascii="Arial" w:hAnsi="Arial" w:cs="Arial"/>
          <w:sz w:val="20"/>
          <w:szCs w:val="20"/>
        </w:rPr>
        <w:t xml:space="preserve"> Volume 9, ISSN 2666-1888, </w:t>
      </w:r>
      <w:hyperlink r:id="rId31" w:history="1">
        <w:bookmarkStart w:id="9" w:name="_Hlk203750832"/>
        <w:r w:rsidR="00A87DD9" w:rsidRPr="00D328AE">
          <w:rPr>
            <w:rStyle w:val="Hyperlink"/>
            <w:rFonts w:ascii="Arial" w:hAnsi="Arial" w:cs="Arial"/>
            <w:sz w:val="20"/>
            <w:szCs w:val="20"/>
          </w:rPr>
          <w:t>https://doi.org</w:t>
        </w:r>
        <w:bookmarkEnd w:id="9"/>
        <w:r w:rsidR="00A87DD9" w:rsidRPr="00D328AE">
          <w:rPr>
            <w:rStyle w:val="Hyperlink"/>
            <w:rFonts w:ascii="Arial" w:hAnsi="Arial" w:cs="Arial"/>
            <w:sz w:val="20"/>
            <w:szCs w:val="20"/>
          </w:rPr>
          <w:t>/10.1016/j.sftr.2025.100690</w:t>
        </w:r>
      </w:hyperlink>
      <w:r w:rsidR="00A87DD9" w:rsidRPr="00D328AE">
        <w:rPr>
          <w:rFonts w:ascii="Arial" w:hAnsi="Arial" w:cs="Arial"/>
          <w:sz w:val="20"/>
          <w:szCs w:val="20"/>
        </w:rPr>
        <w:t xml:space="preserve">. </w:t>
      </w:r>
    </w:p>
    <w:p w14:paraId="426F7830" w14:textId="2EFD905C"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[21] Sood, S. K., Kum</w:t>
      </w:r>
      <w:r w:rsidR="009878DC">
        <w:rPr>
          <w:rFonts w:ascii="Arial" w:hAnsi="Arial" w:cs="Arial"/>
          <w:sz w:val="20"/>
          <w:szCs w:val="20"/>
        </w:rPr>
        <w:t>ar, N., and</w:t>
      </w:r>
      <w:r w:rsidRPr="00D328AE">
        <w:rPr>
          <w:rFonts w:ascii="Arial" w:hAnsi="Arial" w:cs="Arial"/>
          <w:sz w:val="20"/>
          <w:szCs w:val="20"/>
        </w:rPr>
        <w:t xml:space="preserve"> Saini, M. (2021). </w:t>
      </w:r>
      <w:proofErr w:type="spellStart"/>
      <w:r w:rsidRPr="00D328AE">
        <w:rPr>
          <w:rFonts w:ascii="Arial" w:hAnsi="Arial" w:cs="Arial"/>
          <w:sz w:val="20"/>
          <w:szCs w:val="20"/>
        </w:rPr>
        <w:t>Scientometric</w:t>
      </w:r>
      <w:proofErr w:type="spellEnd"/>
      <w:r w:rsidRPr="00D328AE">
        <w:rPr>
          <w:rFonts w:ascii="Arial" w:hAnsi="Arial" w:cs="Arial"/>
          <w:sz w:val="20"/>
          <w:szCs w:val="20"/>
        </w:rPr>
        <w:t xml:space="preserve"> analysis of literature on distributed vehicular networks: </w:t>
      </w:r>
      <w:proofErr w:type="spellStart"/>
      <w:r w:rsidRPr="00D328AE">
        <w:rPr>
          <w:rFonts w:ascii="Arial" w:hAnsi="Arial" w:cs="Arial"/>
          <w:sz w:val="20"/>
          <w:szCs w:val="20"/>
        </w:rPr>
        <w:t>VOSViewer</w:t>
      </w:r>
      <w:proofErr w:type="spellEnd"/>
      <w:r w:rsidRPr="00D328AE">
        <w:rPr>
          <w:rFonts w:ascii="Arial" w:hAnsi="Arial" w:cs="Arial"/>
          <w:sz w:val="20"/>
          <w:szCs w:val="20"/>
        </w:rPr>
        <w:t xml:space="preserve"> visualization techniques. </w:t>
      </w:r>
      <w:r w:rsidRPr="00D328AE">
        <w:rPr>
          <w:rFonts w:ascii="Arial" w:hAnsi="Arial" w:cs="Arial"/>
          <w:i/>
          <w:iCs/>
          <w:sz w:val="20"/>
          <w:szCs w:val="20"/>
        </w:rPr>
        <w:t>Artificial Intelligence Review</w:t>
      </w:r>
      <w:r w:rsidRPr="00D328AE">
        <w:rPr>
          <w:rFonts w:ascii="Arial" w:hAnsi="Arial" w:cs="Arial"/>
          <w:sz w:val="20"/>
          <w:szCs w:val="20"/>
        </w:rPr>
        <w:t>, 54(8), 6309-6341.</w:t>
      </w:r>
    </w:p>
    <w:p w14:paraId="49629F15" w14:textId="2801A255"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[22] Bhattacharjee, K., Chaudhary, </w:t>
      </w:r>
      <w:r w:rsidR="009878DC">
        <w:rPr>
          <w:rFonts w:ascii="Arial" w:hAnsi="Arial" w:cs="Arial"/>
          <w:sz w:val="20"/>
          <w:szCs w:val="20"/>
        </w:rPr>
        <w:t xml:space="preserve">S., </w:t>
      </w:r>
      <w:proofErr w:type="spellStart"/>
      <w:r w:rsidR="009878DC">
        <w:rPr>
          <w:rFonts w:ascii="Arial" w:hAnsi="Arial" w:cs="Arial"/>
          <w:sz w:val="20"/>
          <w:szCs w:val="20"/>
        </w:rPr>
        <w:t>Vishnoi</w:t>
      </w:r>
      <w:proofErr w:type="spellEnd"/>
      <w:r w:rsidR="009878DC">
        <w:rPr>
          <w:rFonts w:ascii="Arial" w:hAnsi="Arial" w:cs="Arial"/>
          <w:sz w:val="20"/>
          <w:szCs w:val="20"/>
        </w:rPr>
        <w:t>, A., Patel, D. A., and</w:t>
      </w:r>
      <w:r w:rsidRPr="00D328AE">
        <w:rPr>
          <w:rFonts w:ascii="Arial" w:hAnsi="Arial" w:cs="Arial"/>
          <w:sz w:val="20"/>
          <w:szCs w:val="20"/>
        </w:rPr>
        <w:t xml:space="preserve"> </w:t>
      </w:r>
      <w:proofErr w:type="spellStart"/>
      <w:r w:rsidRPr="00D328AE">
        <w:rPr>
          <w:rFonts w:ascii="Arial" w:hAnsi="Arial" w:cs="Arial"/>
          <w:sz w:val="20"/>
          <w:szCs w:val="20"/>
        </w:rPr>
        <w:t>Bugalia</w:t>
      </w:r>
      <w:proofErr w:type="spellEnd"/>
      <w:r w:rsidRPr="00D328AE">
        <w:rPr>
          <w:rFonts w:ascii="Arial" w:hAnsi="Arial" w:cs="Arial"/>
          <w:sz w:val="20"/>
          <w:szCs w:val="20"/>
        </w:rPr>
        <w:t xml:space="preserve">, N. (2025). Characterization of health and safety hazards of deconstruction activities. American </w:t>
      </w:r>
      <w:r w:rsidRPr="00D328AE">
        <w:rPr>
          <w:rFonts w:ascii="Arial" w:hAnsi="Arial" w:cs="Arial"/>
          <w:i/>
          <w:iCs/>
          <w:sz w:val="20"/>
          <w:szCs w:val="20"/>
        </w:rPr>
        <w:t>Journal of Industrial Medicine</w:t>
      </w:r>
      <w:r w:rsidRPr="00D328AE">
        <w:rPr>
          <w:rFonts w:ascii="Arial" w:hAnsi="Arial" w:cs="Arial"/>
          <w:sz w:val="20"/>
          <w:szCs w:val="20"/>
        </w:rPr>
        <w:t xml:space="preserve">, 68, S71-S87. </w:t>
      </w:r>
      <w:hyperlink r:id="rId32" w:history="1">
        <w:r w:rsidRPr="00D328AE">
          <w:rPr>
            <w:rStyle w:val="Hyperlink"/>
            <w:rFonts w:ascii="Arial" w:hAnsi="Arial" w:cs="Arial"/>
            <w:sz w:val="20"/>
            <w:szCs w:val="20"/>
          </w:rPr>
          <w:t>https://doi.org/10.1002/ajim.23652</w:t>
        </w:r>
      </w:hyperlink>
      <w:r w:rsidRPr="00D328AE">
        <w:rPr>
          <w:rFonts w:ascii="Arial" w:hAnsi="Arial" w:cs="Arial"/>
          <w:sz w:val="20"/>
          <w:szCs w:val="20"/>
        </w:rPr>
        <w:t xml:space="preserve">. </w:t>
      </w:r>
    </w:p>
    <w:p w14:paraId="677DB3B4" w14:textId="4C3CAB56"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[23] Kumar Singh, A., </w:t>
      </w:r>
      <w:proofErr w:type="spellStart"/>
      <w:r w:rsidRPr="00D328AE">
        <w:rPr>
          <w:rFonts w:ascii="Arial" w:hAnsi="Arial" w:cs="Arial"/>
          <w:sz w:val="20"/>
          <w:szCs w:val="20"/>
        </w:rPr>
        <w:t>Aljohani</w:t>
      </w:r>
      <w:proofErr w:type="spellEnd"/>
      <w:r w:rsidRPr="00D328AE">
        <w:rPr>
          <w:rFonts w:ascii="Arial" w:hAnsi="Arial" w:cs="Arial"/>
          <w:sz w:val="20"/>
          <w:szCs w:val="20"/>
        </w:rPr>
        <w:t>, A., Shakor, P.</w:t>
      </w:r>
      <w:r w:rsidR="009878DC">
        <w:rPr>
          <w:rFonts w:ascii="Arial" w:hAnsi="Arial" w:cs="Arial"/>
          <w:sz w:val="20"/>
          <w:szCs w:val="20"/>
        </w:rPr>
        <w:t xml:space="preserve">, </w:t>
      </w:r>
      <w:proofErr w:type="spellStart"/>
      <w:r w:rsidR="009878DC">
        <w:rPr>
          <w:rFonts w:ascii="Arial" w:hAnsi="Arial" w:cs="Arial"/>
          <w:sz w:val="20"/>
          <w:szCs w:val="20"/>
        </w:rPr>
        <w:t>Awuzie</w:t>
      </w:r>
      <w:proofErr w:type="spellEnd"/>
      <w:r w:rsidR="009878DC">
        <w:rPr>
          <w:rFonts w:ascii="Arial" w:hAnsi="Arial" w:cs="Arial"/>
          <w:sz w:val="20"/>
          <w:szCs w:val="20"/>
        </w:rPr>
        <w:t>, B. O., Uddin, S. J., and</w:t>
      </w:r>
      <w:r w:rsidRPr="00D328AE">
        <w:rPr>
          <w:rFonts w:ascii="Arial" w:hAnsi="Arial" w:cs="Arial"/>
          <w:sz w:val="20"/>
          <w:szCs w:val="20"/>
        </w:rPr>
        <w:t xml:space="preserve"> Shivendra, B. T. (2024). Study on safety health of construction workers at workplace: a sustainable perspective approach. </w:t>
      </w:r>
      <w:r w:rsidRPr="00D328AE">
        <w:rPr>
          <w:rFonts w:ascii="Arial" w:hAnsi="Arial" w:cs="Arial"/>
          <w:i/>
          <w:iCs/>
          <w:sz w:val="20"/>
          <w:szCs w:val="20"/>
        </w:rPr>
        <w:t>Frontiers in built environment</w:t>
      </w:r>
      <w:r w:rsidRPr="00D328AE">
        <w:rPr>
          <w:rFonts w:ascii="Arial" w:hAnsi="Arial" w:cs="Arial"/>
          <w:sz w:val="20"/>
          <w:szCs w:val="20"/>
        </w:rPr>
        <w:t xml:space="preserve">, 10, 1451727. </w:t>
      </w:r>
      <w:hyperlink r:id="rId33" w:history="1">
        <w:r w:rsidRPr="00D328AE">
          <w:rPr>
            <w:rStyle w:val="Hyperlink"/>
            <w:rFonts w:ascii="Arial" w:hAnsi="Arial" w:cs="Arial"/>
            <w:sz w:val="20"/>
            <w:szCs w:val="20"/>
          </w:rPr>
          <w:t>https://doi.org/10.3389/fbuil.2024.1451727</w:t>
        </w:r>
      </w:hyperlink>
      <w:r w:rsidRPr="00D328AE">
        <w:rPr>
          <w:rFonts w:ascii="Arial" w:hAnsi="Arial" w:cs="Arial"/>
          <w:sz w:val="20"/>
          <w:szCs w:val="20"/>
        </w:rPr>
        <w:t xml:space="preserve">. </w:t>
      </w:r>
    </w:p>
    <w:p w14:paraId="5C6400BE" w14:textId="10CE7AA9"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 xml:space="preserve">[24] </w:t>
      </w:r>
      <w:proofErr w:type="spellStart"/>
      <w:r>
        <w:rPr>
          <w:rFonts w:ascii="Arial" w:hAnsi="Arial" w:cs="Arial"/>
          <w:sz w:val="20"/>
          <w:szCs w:val="20"/>
        </w:rPr>
        <w:t>Wuni</w:t>
      </w:r>
      <w:proofErr w:type="spellEnd"/>
      <w:r>
        <w:rPr>
          <w:rFonts w:ascii="Arial" w:hAnsi="Arial" w:cs="Arial"/>
          <w:sz w:val="20"/>
          <w:szCs w:val="20"/>
        </w:rPr>
        <w:t>, I. Y., and</w:t>
      </w:r>
      <w:r w:rsidR="00A87DD9" w:rsidRPr="00D328AE">
        <w:rPr>
          <w:rFonts w:ascii="Arial" w:hAnsi="Arial" w:cs="Arial"/>
          <w:sz w:val="20"/>
          <w:szCs w:val="20"/>
        </w:rPr>
        <w:t xml:space="preserve"> </w:t>
      </w:r>
      <w:proofErr w:type="spellStart"/>
      <w:r w:rsidR="00A87DD9" w:rsidRPr="00D328AE">
        <w:rPr>
          <w:rFonts w:ascii="Arial" w:hAnsi="Arial" w:cs="Arial"/>
          <w:sz w:val="20"/>
          <w:szCs w:val="20"/>
        </w:rPr>
        <w:t>Abankwa</w:t>
      </w:r>
      <w:proofErr w:type="spellEnd"/>
      <w:r w:rsidR="00A87DD9" w:rsidRPr="00D328AE">
        <w:rPr>
          <w:rFonts w:ascii="Arial" w:hAnsi="Arial" w:cs="Arial"/>
          <w:sz w:val="20"/>
          <w:szCs w:val="20"/>
        </w:rPr>
        <w:t xml:space="preserve">, D. A. (2025). Understanding the key risks in circular construction projects: from systematic review to conceptual framework. </w:t>
      </w:r>
      <w:r w:rsidR="00A87DD9" w:rsidRPr="00D328AE">
        <w:rPr>
          <w:rFonts w:ascii="Arial" w:hAnsi="Arial" w:cs="Arial"/>
          <w:i/>
          <w:iCs/>
          <w:sz w:val="20"/>
          <w:szCs w:val="20"/>
        </w:rPr>
        <w:t>Construction Innovation</w:t>
      </w:r>
      <w:r w:rsidR="00A87DD9" w:rsidRPr="00D328AE">
        <w:rPr>
          <w:rFonts w:ascii="Arial" w:hAnsi="Arial" w:cs="Arial"/>
          <w:sz w:val="20"/>
          <w:szCs w:val="20"/>
        </w:rPr>
        <w:t xml:space="preserve">, 25(4), 1085-1107. </w:t>
      </w:r>
      <w:hyperlink r:id="rId34" w:history="1">
        <w:r w:rsidR="00A87DD9" w:rsidRPr="00D328AE">
          <w:rPr>
            <w:rStyle w:val="Hyperlink"/>
            <w:rFonts w:ascii="Arial" w:hAnsi="Arial" w:cs="Arial"/>
            <w:sz w:val="20"/>
            <w:szCs w:val="20"/>
          </w:rPr>
          <w:t>https://doi.org/10.1108/CI-04-2023-0068</w:t>
        </w:r>
      </w:hyperlink>
      <w:r w:rsidR="00A87DD9" w:rsidRPr="00D328AE">
        <w:rPr>
          <w:rFonts w:ascii="Arial" w:hAnsi="Arial" w:cs="Arial"/>
          <w:sz w:val="20"/>
          <w:szCs w:val="20"/>
        </w:rPr>
        <w:t xml:space="preserve">. </w:t>
      </w:r>
    </w:p>
    <w:p w14:paraId="037D58A3" w14:textId="05AB9419"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[25] </w:t>
      </w:r>
      <w:proofErr w:type="spellStart"/>
      <w:r w:rsidRPr="00D328AE">
        <w:rPr>
          <w:rFonts w:ascii="Arial" w:hAnsi="Arial" w:cs="Arial"/>
          <w:sz w:val="20"/>
          <w:szCs w:val="20"/>
        </w:rPr>
        <w:t>Torgautov</w:t>
      </w:r>
      <w:proofErr w:type="spellEnd"/>
      <w:r w:rsidRPr="00D328AE">
        <w:rPr>
          <w:rFonts w:ascii="Arial" w:hAnsi="Arial" w:cs="Arial"/>
          <w:sz w:val="20"/>
          <w:szCs w:val="20"/>
        </w:rPr>
        <w:t xml:space="preserve">, B., </w:t>
      </w:r>
      <w:proofErr w:type="spellStart"/>
      <w:r w:rsidRPr="00D328AE">
        <w:rPr>
          <w:rFonts w:ascii="Arial" w:hAnsi="Arial" w:cs="Arial"/>
          <w:sz w:val="20"/>
          <w:szCs w:val="20"/>
        </w:rPr>
        <w:t>Zhanabayev</w:t>
      </w:r>
      <w:proofErr w:type="spellEnd"/>
      <w:r w:rsidRPr="00D328AE">
        <w:rPr>
          <w:rFonts w:ascii="Arial" w:hAnsi="Arial" w:cs="Arial"/>
          <w:sz w:val="20"/>
          <w:szCs w:val="20"/>
        </w:rPr>
        <w:t xml:space="preserve">, A., </w:t>
      </w:r>
      <w:proofErr w:type="spellStart"/>
      <w:r w:rsidRPr="00D328AE">
        <w:rPr>
          <w:rFonts w:ascii="Arial" w:hAnsi="Arial" w:cs="Arial"/>
          <w:sz w:val="20"/>
          <w:szCs w:val="20"/>
        </w:rPr>
        <w:t>Tleuken</w:t>
      </w:r>
      <w:proofErr w:type="spellEnd"/>
      <w:r w:rsidRPr="00D328AE">
        <w:rPr>
          <w:rFonts w:ascii="Arial" w:hAnsi="Arial" w:cs="Arial"/>
          <w:sz w:val="20"/>
          <w:szCs w:val="20"/>
        </w:rPr>
        <w:t>, A.</w:t>
      </w:r>
      <w:r w:rsidR="009878DC">
        <w:rPr>
          <w:rFonts w:ascii="Arial" w:hAnsi="Arial" w:cs="Arial"/>
          <w:sz w:val="20"/>
          <w:szCs w:val="20"/>
        </w:rPr>
        <w:t xml:space="preserve">, </w:t>
      </w:r>
      <w:proofErr w:type="spellStart"/>
      <w:r w:rsidR="009878DC">
        <w:rPr>
          <w:rFonts w:ascii="Arial" w:hAnsi="Arial" w:cs="Arial"/>
          <w:sz w:val="20"/>
          <w:szCs w:val="20"/>
        </w:rPr>
        <w:t>Turkyilmaz</w:t>
      </w:r>
      <w:proofErr w:type="spellEnd"/>
      <w:r w:rsidR="009878DC">
        <w:rPr>
          <w:rFonts w:ascii="Arial" w:hAnsi="Arial" w:cs="Arial"/>
          <w:sz w:val="20"/>
          <w:szCs w:val="20"/>
        </w:rPr>
        <w:t>, A., Mustafa, M., and</w:t>
      </w:r>
      <w:r w:rsidRPr="00D328AE">
        <w:rPr>
          <w:rFonts w:ascii="Arial" w:hAnsi="Arial" w:cs="Arial"/>
          <w:sz w:val="20"/>
          <w:szCs w:val="20"/>
        </w:rPr>
        <w:t xml:space="preserve"> Karaca, F. (2021). Circular economy: Challenges and opportunities in the construction sector of Kazakhstan. </w:t>
      </w:r>
      <w:r w:rsidRPr="00D328AE">
        <w:rPr>
          <w:rFonts w:ascii="Arial" w:hAnsi="Arial" w:cs="Arial"/>
          <w:i/>
          <w:iCs/>
          <w:sz w:val="20"/>
          <w:szCs w:val="20"/>
        </w:rPr>
        <w:t>Buildings</w:t>
      </w:r>
      <w:r w:rsidRPr="00D328AE">
        <w:rPr>
          <w:rFonts w:ascii="Arial" w:hAnsi="Arial" w:cs="Arial"/>
          <w:sz w:val="20"/>
          <w:szCs w:val="20"/>
        </w:rPr>
        <w:t xml:space="preserve">, 11(11), 501. </w:t>
      </w:r>
      <w:hyperlink r:id="rId35" w:history="1">
        <w:r w:rsidRPr="00D328AE">
          <w:rPr>
            <w:rStyle w:val="Hyperlink"/>
            <w:rFonts w:ascii="Arial" w:hAnsi="Arial" w:cs="Arial"/>
            <w:sz w:val="20"/>
            <w:szCs w:val="20"/>
          </w:rPr>
          <w:t>https://doi.org/10.3390/buildings11110501</w:t>
        </w:r>
      </w:hyperlink>
      <w:r w:rsidRPr="00D328AE">
        <w:rPr>
          <w:rFonts w:ascii="Arial" w:hAnsi="Arial" w:cs="Arial"/>
          <w:sz w:val="20"/>
          <w:szCs w:val="20"/>
        </w:rPr>
        <w:t xml:space="preserve">. </w:t>
      </w:r>
    </w:p>
    <w:p w14:paraId="7ABE0FFF"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[26] Charef, R., Morel, J. C., &amp; Rakhshan, K. (2021). Barriers to implementing the circular economy in the construction industry: A critical review. </w:t>
      </w:r>
      <w:r w:rsidRPr="00D328AE">
        <w:rPr>
          <w:rFonts w:ascii="Arial" w:hAnsi="Arial" w:cs="Arial"/>
          <w:i/>
          <w:iCs/>
          <w:sz w:val="20"/>
          <w:szCs w:val="20"/>
        </w:rPr>
        <w:t>Sustainability</w:t>
      </w:r>
      <w:r w:rsidRPr="00D328AE">
        <w:rPr>
          <w:rFonts w:ascii="Arial" w:hAnsi="Arial" w:cs="Arial"/>
          <w:sz w:val="20"/>
          <w:szCs w:val="20"/>
        </w:rPr>
        <w:t xml:space="preserve">, 13(23), 12989. </w:t>
      </w:r>
      <w:hyperlink r:id="rId36" w:history="1">
        <w:r w:rsidRPr="00D328AE">
          <w:rPr>
            <w:rStyle w:val="Hyperlink"/>
            <w:rFonts w:ascii="Arial" w:hAnsi="Arial" w:cs="Arial"/>
            <w:sz w:val="20"/>
            <w:szCs w:val="20"/>
          </w:rPr>
          <w:t>https://doi.org/10.3390/su132312989</w:t>
        </w:r>
      </w:hyperlink>
      <w:r w:rsidRPr="00D328AE">
        <w:rPr>
          <w:rFonts w:ascii="Arial" w:hAnsi="Arial" w:cs="Arial"/>
          <w:sz w:val="20"/>
          <w:szCs w:val="20"/>
        </w:rPr>
        <w:t xml:space="preserve">. </w:t>
      </w:r>
    </w:p>
    <w:p w14:paraId="68789EF9" w14:textId="18CFFEED"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[27] </w:t>
      </w:r>
      <w:hyperlink r:id="rId37" w:history="1">
        <w:r w:rsidRPr="00D328AE">
          <w:rPr>
            <w:rStyle w:val="Hyperlink"/>
            <w:rFonts w:ascii="Arial" w:hAnsi="Arial" w:cs="Arial"/>
            <w:color w:val="auto"/>
            <w:sz w:val="20"/>
            <w:szCs w:val="20"/>
            <w:u w:val="none"/>
          </w:rPr>
          <w:t>Rashid</w:t>
        </w:r>
      </w:hyperlink>
      <w:r w:rsidRPr="00D328AE">
        <w:rPr>
          <w:rFonts w:ascii="Arial" w:hAnsi="Arial" w:cs="Arial"/>
          <w:sz w:val="20"/>
          <w:szCs w:val="20"/>
        </w:rPr>
        <w:t xml:space="preserve">, A. (2025) How circular is the linear economy? Analysing circularity, resource flows and their relation to GDP. </w:t>
      </w:r>
      <w:proofErr w:type="spellStart"/>
      <w:r w:rsidRPr="00D328AE">
        <w:rPr>
          <w:rFonts w:ascii="Arial" w:hAnsi="Arial" w:cs="Arial"/>
          <w:i/>
          <w:iCs/>
          <w:sz w:val="20"/>
          <w:szCs w:val="20"/>
        </w:rPr>
        <w:t>arXiv</w:t>
      </w:r>
      <w:proofErr w:type="spellEnd"/>
      <w:r w:rsidRPr="00D328AE">
        <w:rPr>
          <w:rFonts w:ascii="Arial" w:hAnsi="Arial" w:cs="Arial"/>
          <w:sz w:val="20"/>
          <w:szCs w:val="20"/>
        </w:rPr>
        <w:t xml:space="preserve">. Available at: </w:t>
      </w:r>
      <w:hyperlink r:id="rId38" w:history="1">
        <w:r w:rsidRPr="00D328AE">
          <w:rPr>
            <w:rStyle w:val="Hyperlink"/>
            <w:rFonts w:ascii="Arial" w:hAnsi="Arial" w:cs="Arial"/>
            <w:sz w:val="20"/>
            <w:szCs w:val="20"/>
          </w:rPr>
          <w:t>https://doi.org/10.48550/arXiv.2505.13048</w:t>
        </w:r>
      </w:hyperlink>
      <w:r w:rsidRPr="00D328AE">
        <w:rPr>
          <w:rFonts w:ascii="Arial" w:hAnsi="Arial" w:cs="Arial"/>
          <w:sz w:val="20"/>
          <w:szCs w:val="20"/>
        </w:rPr>
        <w:t>.</w:t>
      </w:r>
    </w:p>
    <w:p w14:paraId="7677A1AD" w14:textId="583FB379"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[28] </w:t>
      </w:r>
      <w:proofErr w:type="spellStart"/>
      <w:r w:rsidRPr="00D328AE">
        <w:rPr>
          <w:rFonts w:ascii="Arial" w:hAnsi="Arial" w:cs="Arial"/>
          <w:sz w:val="20"/>
          <w:szCs w:val="20"/>
        </w:rPr>
        <w:t>Hasibuan</w:t>
      </w:r>
      <w:proofErr w:type="spellEnd"/>
      <w:r w:rsidRPr="00D328AE">
        <w:rPr>
          <w:rFonts w:ascii="Arial" w:hAnsi="Arial" w:cs="Arial"/>
          <w:sz w:val="20"/>
          <w:szCs w:val="20"/>
        </w:rPr>
        <w:t xml:space="preserve">, G. C. R., Al Fath, M. T., Yusof, N., Dewi, R. A., </w:t>
      </w:r>
      <w:proofErr w:type="spellStart"/>
      <w:r w:rsidR="009878DC">
        <w:rPr>
          <w:rFonts w:ascii="Arial" w:hAnsi="Arial" w:cs="Arial"/>
          <w:sz w:val="20"/>
          <w:szCs w:val="20"/>
        </w:rPr>
        <w:t>Syafridon</w:t>
      </w:r>
      <w:proofErr w:type="spellEnd"/>
      <w:r w:rsidR="009878DC">
        <w:rPr>
          <w:rFonts w:ascii="Arial" w:hAnsi="Arial" w:cs="Arial"/>
          <w:sz w:val="20"/>
          <w:szCs w:val="20"/>
        </w:rPr>
        <w:t xml:space="preserve">, G. G. A., Jaya, I., and </w:t>
      </w:r>
      <w:r w:rsidRPr="00D328AE">
        <w:rPr>
          <w:rFonts w:ascii="Arial" w:hAnsi="Arial" w:cs="Arial"/>
          <w:sz w:val="20"/>
          <w:szCs w:val="20"/>
        </w:rPr>
        <w:t xml:space="preserve"> Anas, M. R. (2025). Integrating circular economy into construction and demolition waste management: a bibliometric review of sustainable engineering practices in the built environment. Case Studies in </w:t>
      </w:r>
      <w:r w:rsidRPr="00D328AE">
        <w:rPr>
          <w:rFonts w:ascii="Arial" w:hAnsi="Arial" w:cs="Arial"/>
          <w:i/>
          <w:iCs/>
          <w:sz w:val="20"/>
          <w:szCs w:val="20"/>
        </w:rPr>
        <w:t>Chemical and Environmental Engineering</w:t>
      </w:r>
      <w:r w:rsidRPr="00D328AE">
        <w:rPr>
          <w:rFonts w:ascii="Arial" w:hAnsi="Arial" w:cs="Arial"/>
          <w:sz w:val="20"/>
          <w:szCs w:val="20"/>
        </w:rPr>
        <w:t xml:space="preserve">, 101159. </w:t>
      </w:r>
      <w:hyperlink r:id="rId39" w:history="1">
        <w:r w:rsidRPr="00D328AE">
          <w:rPr>
            <w:rStyle w:val="Hyperlink"/>
            <w:rFonts w:ascii="Arial" w:hAnsi="Arial" w:cs="Arial"/>
            <w:sz w:val="20"/>
            <w:szCs w:val="20"/>
          </w:rPr>
          <w:t>https://doi.org/10.1016/j.cscee.2025.101159</w:t>
        </w:r>
      </w:hyperlink>
      <w:r w:rsidRPr="00D328AE">
        <w:rPr>
          <w:rFonts w:ascii="Arial" w:hAnsi="Arial" w:cs="Arial"/>
          <w:sz w:val="20"/>
          <w:szCs w:val="20"/>
        </w:rPr>
        <w:t xml:space="preserve">. </w:t>
      </w:r>
    </w:p>
    <w:p w14:paraId="66826747" w14:textId="27074BAA"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[29] Hoang, N. H., Ishigak</w:t>
      </w:r>
      <w:r w:rsidR="009878DC">
        <w:rPr>
          <w:rFonts w:ascii="Arial" w:hAnsi="Arial" w:cs="Arial"/>
          <w:sz w:val="20"/>
          <w:szCs w:val="20"/>
        </w:rPr>
        <w:t>i, T., Watari, T., Yamada, M., and</w:t>
      </w:r>
      <w:r w:rsidRPr="00D328AE">
        <w:rPr>
          <w:rFonts w:ascii="Arial" w:hAnsi="Arial" w:cs="Arial"/>
          <w:sz w:val="20"/>
          <w:szCs w:val="20"/>
        </w:rPr>
        <w:t xml:space="preserve"> Kawamoto, K. (2022). Current state of building demolition and potential for selective dismantling in Vietnam. </w:t>
      </w:r>
      <w:r w:rsidRPr="00D328AE">
        <w:rPr>
          <w:rFonts w:ascii="Arial" w:hAnsi="Arial" w:cs="Arial"/>
          <w:i/>
          <w:iCs/>
          <w:sz w:val="20"/>
          <w:szCs w:val="20"/>
        </w:rPr>
        <w:t>Waste Management</w:t>
      </w:r>
      <w:r w:rsidRPr="00D328AE">
        <w:rPr>
          <w:rFonts w:ascii="Arial" w:hAnsi="Arial" w:cs="Arial"/>
          <w:sz w:val="20"/>
          <w:szCs w:val="20"/>
        </w:rPr>
        <w:t xml:space="preserve">, 149, 218-227. </w:t>
      </w:r>
      <w:hyperlink r:id="rId40" w:history="1">
        <w:r w:rsidRPr="00D328AE">
          <w:rPr>
            <w:rStyle w:val="Hyperlink"/>
            <w:rFonts w:ascii="Arial" w:hAnsi="Arial" w:cs="Arial"/>
            <w:sz w:val="20"/>
            <w:szCs w:val="20"/>
          </w:rPr>
          <w:t>https://doi.org/10.1016/j.wasman.2022.06.007</w:t>
        </w:r>
      </w:hyperlink>
      <w:r w:rsidRPr="00D328AE">
        <w:rPr>
          <w:rFonts w:ascii="Arial" w:hAnsi="Arial" w:cs="Arial"/>
          <w:sz w:val="20"/>
          <w:szCs w:val="20"/>
        </w:rPr>
        <w:t xml:space="preserve">. </w:t>
      </w:r>
    </w:p>
    <w:p w14:paraId="33C0EB55"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[30] </w:t>
      </w:r>
      <w:hyperlink r:id="rId41" w:history="1">
        <w:r w:rsidRPr="00D328AE">
          <w:rPr>
            <w:rStyle w:val="Hyperlink"/>
            <w:rFonts w:ascii="Arial" w:hAnsi="Arial" w:cs="Arial"/>
            <w:color w:val="auto"/>
            <w:sz w:val="20"/>
            <w:szCs w:val="20"/>
            <w:u w:val="none"/>
          </w:rPr>
          <w:t>Daniele C</w:t>
        </w:r>
      </w:hyperlink>
      <w:r w:rsidRPr="00D328AE">
        <w:rPr>
          <w:rFonts w:ascii="Arial" w:hAnsi="Arial" w:cs="Arial"/>
          <w:sz w:val="20"/>
          <w:szCs w:val="20"/>
        </w:rPr>
        <w:t>., </w:t>
      </w:r>
      <w:hyperlink r:id="rId42" w:history="1">
        <w:r w:rsidRPr="00D328AE">
          <w:rPr>
            <w:rStyle w:val="Hyperlink"/>
            <w:rFonts w:ascii="Arial" w:hAnsi="Arial" w:cs="Arial"/>
            <w:color w:val="auto"/>
            <w:sz w:val="20"/>
            <w:szCs w:val="20"/>
            <w:u w:val="none"/>
          </w:rPr>
          <w:t>Hemant A</w:t>
        </w:r>
      </w:hyperlink>
      <w:r w:rsidRPr="00D328AE">
        <w:rPr>
          <w:rFonts w:ascii="Arial" w:hAnsi="Arial" w:cs="Arial"/>
          <w:sz w:val="20"/>
          <w:szCs w:val="20"/>
        </w:rPr>
        <w:t>., </w:t>
      </w:r>
      <w:hyperlink r:id="rId43" w:history="1">
        <w:r w:rsidRPr="00D328AE">
          <w:rPr>
            <w:rStyle w:val="Hyperlink"/>
            <w:rFonts w:ascii="Arial" w:hAnsi="Arial" w:cs="Arial"/>
            <w:color w:val="auto"/>
            <w:sz w:val="20"/>
            <w:szCs w:val="20"/>
            <w:u w:val="none"/>
          </w:rPr>
          <w:t>Jukka M</w:t>
        </w:r>
      </w:hyperlink>
      <w:r w:rsidRPr="00D328AE">
        <w:rPr>
          <w:rFonts w:ascii="Arial" w:hAnsi="Arial" w:cs="Arial"/>
          <w:sz w:val="20"/>
          <w:szCs w:val="20"/>
        </w:rPr>
        <w:t>., and </w:t>
      </w:r>
      <w:hyperlink r:id="rId44" w:history="1">
        <w:r w:rsidRPr="00D328AE">
          <w:rPr>
            <w:rStyle w:val="Hyperlink"/>
            <w:rFonts w:ascii="Arial" w:hAnsi="Arial" w:cs="Arial"/>
            <w:color w:val="auto"/>
            <w:sz w:val="20"/>
            <w:szCs w:val="20"/>
            <w:u w:val="none"/>
          </w:rPr>
          <w:t>Sebastian R</w:t>
        </w:r>
      </w:hyperlink>
      <w:r w:rsidRPr="00D328AE">
        <w:rPr>
          <w:rFonts w:ascii="Arial" w:hAnsi="Arial" w:cs="Arial"/>
          <w:sz w:val="20"/>
          <w:szCs w:val="20"/>
        </w:rPr>
        <w:t xml:space="preserve">. (2025) How circularity can make the built environment more sustainable. Available on: </w:t>
      </w:r>
      <w:hyperlink r:id="rId45" w:history="1">
        <w:r w:rsidRPr="00D328AE">
          <w:rPr>
            <w:rStyle w:val="Hyperlink"/>
            <w:rFonts w:ascii="Arial" w:hAnsi="Arial" w:cs="Arial"/>
            <w:sz w:val="20"/>
            <w:szCs w:val="20"/>
          </w:rPr>
          <w:t>https://www.mckinsey.com/industries/real-estate/our-insights/how-circularity-can-make-the-built-environment-more-sustainable</w:t>
        </w:r>
      </w:hyperlink>
      <w:r w:rsidRPr="00D328AE">
        <w:rPr>
          <w:rFonts w:ascii="Arial" w:hAnsi="Arial" w:cs="Arial"/>
          <w:sz w:val="20"/>
          <w:szCs w:val="20"/>
        </w:rPr>
        <w:t xml:space="preserve">. </w:t>
      </w:r>
    </w:p>
    <w:p w14:paraId="0B10DBDF"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[30] </w:t>
      </w:r>
      <w:bookmarkStart w:id="10" w:name="_Hlk203763628"/>
      <w:r w:rsidRPr="00D328AE">
        <w:rPr>
          <w:rFonts w:ascii="Arial" w:hAnsi="Arial" w:cs="Arial"/>
          <w:sz w:val="20"/>
          <w:szCs w:val="20"/>
        </w:rPr>
        <w:t>Vigneshkumar, C. (2023</w:t>
      </w:r>
      <w:bookmarkEnd w:id="10"/>
      <w:r w:rsidRPr="00D328AE">
        <w:rPr>
          <w:rFonts w:ascii="Arial" w:hAnsi="Arial" w:cs="Arial"/>
          <w:sz w:val="20"/>
          <w:szCs w:val="20"/>
        </w:rPr>
        <w:t>). Designing a Knowledge-Based System to Facilitate the Process of Fall Risk Assessment in Construction (Doctoral dissertation).</w:t>
      </w:r>
    </w:p>
    <w:p w14:paraId="20CFB223" w14:textId="3A4D77E9"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[31] </w:t>
      </w:r>
      <w:proofErr w:type="spellStart"/>
      <w:r w:rsidRPr="00D328AE">
        <w:rPr>
          <w:rFonts w:ascii="Arial" w:hAnsi="Arial" w:cs="Arial"/>
          <w:sz w:val="20"/>
          <w:szCs w:val="20"/>
        </w:rPr>
        <w:t>Obiuto</w:t>
      </w:r>
      <w:proofErr w:type="spellEnd"/>
      <w:r w:rsidRPr="00D328AE">
        <w:rPr>
          <w:rFonts w:ascii="Arial" w:hAnsi="Arial" w:cs="Arial"/>
          <w:sz w:val="20"/>
          <w:szCs w:val="20"/>
        </w:rPr>
        <w:t xml:space="preserve">, N. C., </w:t>
      </w:r>
      <w:proofErr w:type="spellStart"/>
      <w:r w:rsidRPr="00D328AE">
        <w:rPr>
          <w:rFonts w:ascii="Arial" w:hAnsi="Arial" w:cs="Arial"/>
          <w:sz w:val="20"/>
          <w:szCs w:val="20"/>
        </w:rPr>
        <w:t>Nindu</w:t>
      </w:r>
      <w:r w:rsidR="009878DC">
        <w:rPr>
          <w:rFonts w:ascii="Arial" w:hAnsi="Arial" w:cs="Arial"/>
          <w:sz w:val="20"/>
          <w:szCs w:val="20"/>
        </w:rPr>
        <w:t>wezuor-Ehiobu</w:t>
      </w:r>
      <w:proofErr w:type="spellEnd"/>
      <w:r w:rsidR="009878DC">
        <w:rPr>
          <w:rFonts w:ascii="Arial" w:hAnsi="Arial" w:cs="Arial"/>
          <w:sz w:val="20"/>
          <w:szCs w:val="20"/>
        </w:rPr>
        <w:t>, N., Ani, E. C., and</w:t>
      </w:r>
      <w:r w:rsidRPr="00D328AE">
        <w:rPr>
          <w:rFonts w:ascii="Arial" w:hAnsi="Arial" w:cs="Arial"/>
          <w:sz w:val="20"/>
          <w:szCs w:val="20"/>
        </w:rPr>
        <w:t xml:space="preserve"> Andrew, K. (2024). Implementing circular economy principles to enhance safety and environmental sustainability in </w:t>
      </w:r>
      <w:r w:rsidRPr="00D328AE">
        <w:rPr>
          <w:rFonts w:ascii="Arial" w:hAnsi="Arial" w:cs="Arial"/>
          <w:sz w:val="20"/>
          <w:szCs w:val="20"/>
        </w:rPr>
        <w:lastRenderedPageBreak/>
        <w:t xml:space="preserve">manufacturing. </w:t>
      </w:r>
      <w:proofErr w:type="spellStart"/>
      <w:r w:rsidRPr="00D328AE">
        <w:rPr>
          <w:rFonts w:ascii="Arial" w:hAnsi="Arial" w:cs="Arial"/>
          <w:i/>
          <w:iCs/>
          <w:sz w:val="20"/>
          <w:szCs w:val="20"/>
        </w:rPr>
        <w:t>Int</w:t>
      </w:r>
      <w:proofErr w:type="spellEnd"/>
      <w:r w:rsidRPr="00D328AE">
        <w:rPr>
          <w:rFonts w:ascii="Arial" w:hAnsi="Arial" w:cs="Arial"/>
          <w:i/>
          <w:iCs/>
          <w:sz w:val="20"/>
          <w:szCs w:val="20"/>
        </w:rPr>
        <w:t xml:space="preserve"> J </w:t>
      </w:r>
      <w:proofErr w:type="spellStart"/>
      <w:r w:rsidRPr="00D328AE">
        <w:rPr>
          <w:rFonts w:ascii="Arial" w:hAnsi="Arial" w:cs="Arial"/>
          <w:i/>
          <w:iCs/>
          <w:sz w:val="20"/>
          <w:szCs w:val="20"/>
        </w:rPr>
        <w:t>Adv</w:t>
      </w:r>
      <w:proofErr w:type="spellEnd"/>
      <w:r w:rsidRPr="00D328AE">
        <w:rPr>
          <w:rFonts w:ascii="Arial" w:hAnsi="Arial" w:cs="Arial"/>
          <w:i/>
          <w:iCs/>
          <w:sz w:val="20"/>
          <w:szCs w:val="20"/>
        </w:rPr>
        <w:t xml:space="preserve"> </w:t>
      </w:r>
      <w:proofErr w:type="spellStart"/>
      <w:r w:rsidRPr="00D328AE">
        <w:rPr>
          <w:rFonts w:ascii="Arial" w:hAnsi="Arial" w:cs="Arial"/>
          <w:i/>
          <w:iCs/>
          <w:sz w:val="20"/>
          <w:szCs w:val="20"/>
        </w:rPr>
        <w:t>Multidiscip</w:t>
      </w:r>
      <w:proofErr w:type="spellEnd"/>
      <w:r w:rsidRPr="00D328AE">
        <w:rPr>
          <w:rFonts w:ascii="Arial" w:hAnsi="Arial" w:cs="Arial"/>
          <w:i/>
          <w:iCs/>
          <w:sz w:val="20"/>
          <w:szCs w:val="20"/>
        </w:rPr>
        <w:t xml:space="preserve"> Res Stud</w:t>
      </w:r>
      <w:r w:rsidRPr="00D328AE">
        <w:rPr>
          <w:rFonts w:ascii="Arial" w:hAnsi="Arial" w:cs="Arial"/>
          <w:sz w:val="20"/>
          <w:szCs w:val="20"/>
        </w:rPr>
        <w:t xml:space="preserve">, 4(2), 22-29. </w:t>
      </w:r>
      <w:hyperlink r:id="rId46" w:history="1">
        <w:r w:rsidRPr="00D328AE">
          <w:rPr>
            <w:rStyle w:val="Hyperlink"/>
            <w:rFonts w:ascii="Arial" w:hAnsi="Arial" w:cs="Arial"/>
            <w:sz w:val="20"/>
            <w:szCs w:val="20"/>
          </w:rPr>
          <w:t>https://doi.org/10.62225/2583049X.2024.4.2.2432</w:t>
        </w:r>
      </w:hyperlink>
      <w:r w:rsidRPr="00D328AE">
        <w:rPr>
          <w:rFonts w:ascii="Arial" w:hAnsi="Arial" w:cs="Arial"/>
          <w:sz w:val="20"/>
          <w:szCs w:val="20"/>
        </w:rPr>
        <w:t xml:space="preserve">. </w:t>
      </w:r>
    </w:p>
    <w:p w14:paraId="5AF19E10" w14:textId="1C796975"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[32] Abu-Bakar, H., and</w:t>
      </w:r>
      <w:r w:rsidR="00A87DD9" w:rsidRPr="00D328AE">
        <w:rPr>
          <w:rFonts w:ascii="Arial" w:hAnsi="Arial" w:cs="Arial"/>
          <w:sz w:val="20"/>
          <w:szCs w:val="20"/>
        </w:rPr>
        <w:t xml:space="preserve"> Charnley, F. (2024). Developing a strategic methodology for circular economy </w:t>
      </w:r>
      <w:proofErr w:type="spellStart"/>
      <w:r w:rsidR="00A87DD9" w:rsidRPr="00D328AE">
        <w:rPr>
          <w:rFonts w:ascii="Arial" w:hAnsi="Arial" w:cs="Arial"/>
          <w:sz w:val="20"/>
          <w:szCs w:val="20"/>
        </w:rPr>
        <w:t>roadmapping</w:t>
      </w:r>
      <w:proofErr w:type="spellEnd"/>
      <w:r w:rsidR="00A87DD9" w:rsidRPr="00D328AE">
        <w:rPr>
          <w:rFonts w:ascii="Arial" w:hAnsi="Arial" w:cs="Arial"/>
          <w:sz w:val="20"/>
          <w:szCs w:val="20"/>
        </w:rPr>
        <w:t xml:space="preserve">: A theoretical framework. </w:t>
      </w:r>
      <w:r w:rsidR="00A87DD9" w:rsidRPr="00D328AE">
        <w:rPr>
          <w:rFonts w:ascii="Arial" w:hAnsi="Arial" w:cs="Arial"/>
          <w:i/>
          <w:iCs/>
          <w:sz w:val="20"/>
          <w:szCs w:val="20"/>
        </w:rPr>
        <w:t>Sustainability</w:t>
      </w:r>
      <w:r w:rsidR="00A87DD9" w:rsidRPr="00D328AE">
        <w:rPr>
          <w:rFonts w:ascii="Arial" w:hAnsi="Arial" w:cs="Arial"/>
          <w:sz w:val="20"/>
          <w:szCs w:val="20"/>
        </w:rPr>
        <w:t xml:space="preserve">, 16(15), 6682. </w:t>
      </w:r>
      <w:hyperlink r:id="rId47" w:history="1">
        <w:r w:rsidR="00A87DD9" w:rsidRPr="00D328AE">
          <w:rPr>
            <w:rStyle w:val="Hyperlink"/>
            <w:rFonts w:ascii="Arial" w:hAnsi="Arial" w:cs="Arial"/>
            <w:sz w:val="20"/>
            <w:szCs w:val="20"/>
          </w:rPr>
          <w:t>https://doi.org/10.3390/su16156682</w:t>
        </w:r>
      </w:hyperlink>
      <w:r w:rsidR="00A87DD9" w:rsidRPr="00D328AE">
        <w:rPr>
          <w:rFonts w:ascii="Arial" w:hAnsi="Arial" w:cs="Arial"/>
          <w:sz w:val="20"/>
          <w:szCs w:val="20"/>
        </w:rPr>
        <w:t xml:space="preserve">. </w:t>
      </w:r>
    </w:p>
    <w:p w14:paraId="0249B23E" w14:textId="3400EC36"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[33] Krist</w:t>
      </w:r>
      <w:r w:rsidR="009878DC">
        <w:rPr>
          <w:rFonts w:ascii="Arial" w:hAnsi="Arial" w:cs="Arial"/>
          <w:sz w:val="20"/>
          <w:szCs w:val="20"/>
        </w:rPr>
        <w:t>ensen, H. S., Mosgaard, M. A., and</w:t>
      </w:r>
      <w:r w:rsidRPr="00D328AE">
        <w:rPr>
          <w:rFonts w:ascii="Arial" w:hAnsi="Arial" w:cs="Arial"/>
          <w:sz w:val="20"/>
          <w:szCs w:val="20"/>
        </w:rPr>
        <w:t xml:space="preserve"> Remmen, A. (2021). Integrating circular principles in environmental management systems. </w:t>
      </w:r>
      <w:r w:rsidRPr="00D328AE">
        <w:rPr>
          <w:rFonts w:ascii="Arial" w:hAnsi="Arial" w:cs="Arial"/>
          <w:i/>
          <w:iCs/>
          <w:sz w:val="20"/>
          <w:szCs w:val="20"/>
        </w:rPr>
        <w:t>Journal of Cleaner Production</w:t>
      </w:r>
      <w:r w:rsidRPr="00D328AE">
        <w:rPr>
          <w:rFonts w:ascii="Arial" w:hAnsi="Arial" w:cs="Arial"/>
          <w:sz w:val="20"/>
          <w:szCs w:val="20"/>
        </w:rPr>
        <w:t xml:space="preserve">, 286, 125485. </w:t>
      </w:r>
      <w:hyperlink r:id="rId48" w:history="1">
        <w:r w:rsidRPr="00D328AE">
          <w:rPr>
            <w:rStyle w:val="Hyperlink"/>
            <w:rFonts w:ascii="Arial" w:hAnsi="Arial" w:cs="Arial"/>
            <w:sz w:val="20"/>
            <w:szCs w:val="20"/>
          </w:rPr>
          <w:t>https://doi.org/10.1016/j.jclepro.2020.125485</w:t>
        </w:r>
      </w:hyperlink>
      <w:r w:rsidRPr="00D328AE">
        <w:rPr>
          <w:rFonts w:ascii="Arial" w:hAnsi="Arial" w:cs="Arial"/>
          <w:sz w:val="20"/>
          <w:szCs w:val="20"/>
        </w:rPr>
        <w:t xml:space="preserve">. </w:t>
      </w:r>
    </w:p>
    <w:p w14:paraId="6047B39D" w14:textId="551147BF"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[34] Basiru, J. O., Ej</w:t>
      </w:r>
      <w:r w:rsidR="009878DC">
        <w:rPr>
          <w:rFonts w:ascii="Arial" w:hAnsi="Arial" w:cs="Arial"/>
          <w:sz w:val="20"/>
          <w:szCs w:val="20"/>
        </w:rPr>
        <w:t xml:space="preserve">iofor, C. L., </w:t>
      </w:r>
      <w:proofErr w:type="spellStart"/>
      <w:r w:rsidR="009878DC">
        <w:rPr>
          <w:rFonts w:ascii="Arial" w:hAnsi="Arial" w:cs="Arial"/>
          <w:sz w:val="20"/>
          <w:szCs w:val="20"/>
        </w:rPr>
        <w:t>Onukwulu</w:t>
      </w:r>
      <w:proofErr w:type="spellEnd"/>
      <w:r w:rsidR="009878DC">
        <w:rPr>
          <w:rFonts w:ascii="Arial" w:hAnsi="Arial" w:cs="Arial"/>
          <w:sz w:val="20"/>
          <w:szCs w:val="20"/>
        </w:rPr>
        <w:t>, E. C., and</w:t>
      </w:r>
      <w:r w:rsidRPr="00D328AE">
        <w:rPr>
          <w:rFonts w:ascii="Arial" w:hAnsi="Arial" w:cs="Arial"/>
          <w:sz w:val="20"/>
          <w:szCs w:val="20"/>
        </w:rPr>
        <w:t xml:space="preserve"> Attah, R. U. (2023). Corporate health and safety protocols: A conceptual model for ensuring sustainability in global operations. </w:t>
      </w:r>
      <w:r w:rsidRPr="00D328AE">
        <w:rPr>
          <w:rFonts w:ascii="Arial" w:hAnsi="Arial" w:cs="Arial"/>
          <w:i/>
          <w:iCs/>
          <w:sz w:val="20"/>
          <w:szCs w:val="20"/>
        </w:rPr>
        <w:t>Iconic Research and Engineering Journals</w:t>
      </w:r>
      <w:r w:rsidRPr="00D328AE">
        <w:rPr>
          <w:rFonts w:ascii="Arial" w:hAnsi="Arial" w:cs="Arial"/>
          <w:sz w:val="20"/>
          <w:szCs w:val="20"/>
        </w:rPr>
        <w:t>, 6(8), 324-343.</w:t>
      </w:r>
    </w:p>
    <w:p w14:paraId="39C265A1" w14:textId="0DE191E0"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[35] Amir, S., Sa</w:t>
      </w:r>
      <w:r w:rsidR="009878DC">
        <w:rPr>
          <w:rFonts w:ascii="Arial" w:hAnsi="Arial" w:cs="Arial"/>
          <w:sz w:val="20"/>
          <w:szCs w:val="20"/>
        </w:rPr>
        <w:t xml:space="preserve">lehi, N., </w:t>
      </w:r>
      <w:proofErr w:type="spellStart"/>
      <w:r w:rsidR="009878DC">
        <w:rPr>
          <w:rFonts w:ascii="Arial" w:hAnsi="Arial" w:cs="Arial"/>
          <w:sz w:val="20"/>
          <w:szCs w:val="20"/>
        </w:rPr>
        <w:t>Roci</w:t>
      </w:r>
      <w:proofErr w:type="spellEnd"/>
      <w:r w:rsidR="009878DC">
        <w:rPr>
          <w:rFonts w:ascii="Arial" w:hAnsi="Arial" w:cs="Arial"/>
          <w:sz w:val="20"/>
          <w:szCs w:val="20"/>
        </w:rPr>
        <w:t>, M., Sweet, S., and</w:t>
      </w:r>
      <w:r w:rsidRPr="00D328AE">
        <w:rPr>
          <w:rFonts w:ascii="Arial" w:hAnsi="Arial" w:cs="Arial"/>
          <w:sz w:val="20"/>
          <w:szCs w:val="20"/>
        </w:rPr>
        <w:t xml:space="preserve"> Rashid, A. (2023). Towards circular economy: A guiding framework for circular supply chain implementation. </w:t>
      </w:r>
      <w:r w:rsidRPr="00D328AE">
        <w:rPr>
          <w:rFonts w:ascii="Arial" w:hAnsi="Arial" w:cs="Arial"/>
          <w:i/>
          <w:iCs/>
          <w:sz w:val="20"/>
          <w:szCs w:val="20"/>
        </w:rPr>
        <w:t>Business Strategy and the Environment</w:t>
      </w:r>
      <w:r w:rsidRPr="00D328AE">
        <w:rPr>
          <w:rFonts w:ascii="Arial" w:hAnsi="Arial" w:cs="Arial"/>
          <w:sz w:val="20"/>
          <w:szCs w:val="20"/>
        </w:rPr>
        <w:t xml:space="preserve">, 32(6), 2684-2701. </w:t>
      </w:r>
      <w:hyperlink r:id="rId49" w:history="1">
        <w:r w:rsidRPr="00D328AE">
          <w:rPr>
            <w:rStyle w:val="Hyperlink"/>
            <w:rFonts w:ascii="Arial" w:hAnsi="Arial" w:cs="Arial"/>
            <w:sz w:val="20"/>
            <w:szCs w:val="20"/>
          </w:rPr>
          <w:t>https://doi.org/10.1002/bse.3264</w:t>
        </w:r>
      </w:hyperlink>
      <w:r w:rsidRPr="00D328AE">
        <w:rPr>
          <w:rFonts w:ascii="Arial" w:hAnsi="Arial" w:cs="Arial"/>
          <w:sz w:val="20"/>
          <w:szCs w:val="20"/>
        </w:rPr>
        <w:t xml:space="preserve">. </w:t>
      </w:r>
    </w:p>
    <w:p w14:paraId="71C1A8ED" w14:textId="1D7043AB" w:rsidR="00A87DD9" w:rsidRPr="00D328AE" w:rsidRDefault="004847C2" w:rsidP="00D328AE">
      <w:pPr>
        <w:spacing w:before="36" w:after="10" w:line="240" w:lineRule="auto"/>
        <w:ind w:left="720" w:right="720"/>
        <w:jc w:val="both"/>
        <w:rPr>
          <w:rFonts w:ascii="Arial" w:hAnsi="Arial" w:cs="Arial"/>
          <w:sz w:val="20"/>
          <w:szCs w:val="20"/>
        </w:rPr>
      </w:pPr>
      <w:r>
        <w:rPr>
          <w:rFonts w:ascii="Arial" w:hAnsi="Arial" w:cs="Arial"/>
          <w:sz w:val="20"/>
          <w:szCs w:val="20"/>
        </w:rPr>
        <w:t>[36] Wang, J. X., Burke, H., and</w:t>
      </w:r>
      <w:r w:rsidR="00A87DD9" w:rsidRPr="00D328AE">
        <w:rPr>
          <w:rFonts w:ascii="Arial" w:hAnsi="Arial" w:cs="Arial"/>
          <w:sz w:val="20"/>
          <w:szCs w:val="20"/>
        </w:rPr>
        <w:t xml:space="preserve"> Zhang, A. (2022). Overcoming barriers to circular product design. </w:t>
      </w:r>
      <w:r w:rsidR="00A87DD9" w:rsidRPr="00D328AE">
        <w:rPr>
          <w:rFonts w:ascii="Arial" w:hAnsi="Arial" w:cs="Arial"/>
          <w:i/>
          <w:iCs/>
          <w:sz w:val="20"/>
          <w:szCs w:val="20"/>
        </w:rPr>
        <w:t>International Journal of Production Economics,</w:t>
      </w:r>
      <w:r w:rsidR="00A87DD9" w:rsidRPr="00D328AE">
        <w:rPr>
          <w:rFonts w:ascii="Arial" w:hAnsi="Arial" w:cs="Arial"/>
          <w:sz w:val="20"/>
          <w:szCs w:val="20"/>
        </w:rPr>
        <w:t xml:space="preserve"> 243, 108346. </w:t>
      </w:r>
      <w:hyperlink r:id="rId50" w:history="1">
        <w:r w:rsidR="00A87DD9" w:rsidRPr="00D328AE">
          <w:rPr>
            <w:rStyle w:val="Hyperlink"/>
            <w:rFonts w:ascii="Arial" w:hAnsi="Arial" w:cs="Arial"/>
            <w:sz w:val="20"/>
            <w:szCs w:val="20"/>
          </w:rPr>
          <w:t>https://doi.org/10.1016/j.ijpe.2021.108346</w:t>
        </w:r>
      </w:hyperlink>
      <w:r w:rsidR="00A87DD9" w:rsidRPr="00D328AE">
        <w:rPr>
          <w:rFonts w:ascii="Arial" w:hAnsi="Arial" w:cs="Arial"/>
          <w:sz w:val="20"/>
          <w:szCs w:val="20"/>
        </w:rPr>
        <w:t xml:space="preserve">. </w:t>
      </w:r>
    </w:p>
    <w:p w14:paraId="2D7A8B54" w14:textId="631FAF32" w:rsidR="00A87DD9" w:rsidRPr="00D328AE" w:rsidRDefault="004847C2" w:rsidP="00D328AE">
      <w:pPr>
        <w:spacing w:before="36" w:after="10" w:line="240" w:lineRule="auto"/>
        <w:ind w:left="720" w:right="720"/>
        <w:jc w:val="both"/>
        <w:rPr>
          <w:rFonts w:ascii="Arial" w:hAnsi="Arial" w:cs="Arial"/>
          <w:sz w:val="20"/>
          <w:szCs w:val="20"/>
        </w:rPr>
      </w:pPr>
      <w:r>
        <w:rPr>
          <w:rFonts w:ascii="Arial" w:hAnsi="Arial" w:cs="Arial"/>
          <w:sz w:val="20"/>
          <w:szCs w:val="20"/>
        </w:rPr>
        <w:t xml:space="preserve">[37] </w:t>
      </w:r>
      <w:proofErr w:type="spellStart"/>
      <w:r>
        <w:rPr>
          <w:rFonts w:ascii="Arial" w:hAnsi="Arial" w:cs="Arial"/>
          <w:sz w:val="20"/>
          <w:szCs w:val="20"/>
        </w:rPr>
        <w:t>Rahla</w:t>
      </w:r>
      <w:proofErr w:type="spellEnd"/>
      <w:r>
        <w:rPr>
          <w:rFonts w:ascii="Arial" w:hAnsi="Arial" w:cs="Arial"/>
          <w:sz w:val="20"/>
          <w:szCs w:val="20"/>
        </w:rPr>
        <w:t>, K. M., Mateus, R., and</w:t>
      </w:r>
      <w:r w:rsidR="00A87DD9" w:rsidRPr="00D328AE">
        <w:rPr>
          <w:rFonts w:ascii="Arial" w:hAnsi="Arial" w:cs="Arial"/>
          <w:sz w:val="20"/>
          <w:szCs w:val="20"/>
        </w:rPr>
        <w:t xml:space="preserve"> Bragança, L. (2021). Implementing circular economy strategies in buildings—from theory to practice. </w:t>
      </w:r>
      <w:r w:rsidR="00A87DD9" w:rsidRPr="00D328AE">
        <w:rPr>
          <w:rFonts w:ascii="Arial" w:hAnsi="Arial" w:cs="Arial"/>
          <w:i/>
          <w:iCs/>
          <w:sz w:val="20"/>
          <w:szCs w:val="20"/>
        </w:rPr>
        <w:t>Applied System Innovation</w:t>
      </w:r>
      <w:r w:rsidR="00A87DD9" w:rsidRPr="00D328AE">
        <w:rPr>
          <w:rFonts w:ascii="Arial" w:hAnsi="Arial" w:cs="Arial"/>
          <w:sz w:val="20"/>
          <w:szCs w:val="20"/>
        </w:rPr>
        <w:t xml:space="preserve">, 4(2), 26. https://doi.org/10.3390/asi4020026. </w:t>
      </w:r>
    </w:p>
    <w:p w14:paraId="513FD97A" w14:textId="7794CBE1"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[38] Chen, L., Hu, Y., Wang, R.</w:t>
      </w:r>
      <w:r w:rsidR="009878DC">
        <w:rPr>
          <w:rFonts w:ascii="Arial" w:hAnsi="Arial" w:cs="Arial"/>
          <w:sz w:val="20"/>
          <w:szCs w:val="20"/>
        </w:rPr>
        <w:t>, Li, X., Chen, Z., Hua, J., and</w:t>
      </w:r>
      <w:r w:rsidRPr="00D328AE">
        <w:rPr>
          <w:rFonts w:ascii="Arial" w:hAnsi="Arial" w:cs="Arial"/>
          <w:sz w:val="20"/>
          <w:szCs w:val="20"/>
        </w:rPr>
        <w:t xml:space="preserve"> Yap, P. S. (2024). Green building practices to integrate renewable energy in the construction sector: a review. </w:t>
      </w:r>
      <w:r w:rsidRPr="00D328AE">
        <w:rPr>
          <w:rFonts w:ascii="Arial" w:hAnsi="Arial" w:cs="Arial"/>
          <w:i/>
          <w:iCs/>
          <w:sz w:val="20"/>
          <w:szCs w:val="20"/>
        </w:rPr>
        <w:t>Environmental Chemistry Letters</w:t>
      </w:r>
      <w:r w:rsidRPr="00D328AE">
        <w:rPr>
          <w:rFonts w:ascii="Arial" w:hAnsi="Arial" w:cs="Arial"/>
          <w:sz w:val="20"/>
          <w:szCs w:val="20"/>
        </w:rPr>
        <w:t xml:space="preserve">, 22(2), 751-784. </w:t>
      </w:r>
    </w:p>
    <w:p w14:paraId="1986ED7F" w14:textId="5FE155C0"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[39] </w:t>
      </w:r>
      <w:proofErr w:type="spellStart"/>
      <w:r w:rsidRPr="00D328AE">
        <w:rPr>
          <w:rFonts w:ascii="Arial" w:hAnsi="Arial" w:cs="Arial"/>
          <w:sz w:val="20"/>
          <w:szCs w:val="20"/>
        </w:rPr>
        <w:t>Illankoon</w:t>
      </w:r>
      <w:proofErr w:type="spellEnd"/>
      <w:r w:rsidRPr="00D328AE">
        <w:rPr>
          <w:rFonts w:ascii="Arial" w:hAnsi="Arial" w:cs="Arial"/>
          <w:sz w:val="20"/>
          <w:szCs w:val="20"/>
        </w:rPr>
        <w:t xml:space="preserve">, </w:t>
      </w:r>
      <w:r w:rsidR="004847C2">
        <w:rPr>
          <w:rFonts w:ascii="Arial" w:hAnsi="Arial" w:cs="Arial"/>
          <w:sz w:val="20"/>
          <w:szCs w:val="20"/>
        </w:rPr>
        <w:t>C., and</w:t>
      </w:r>
      <w:r w:rsidRPr="00D328AE">
        <w:rPr>
          <w:rFonts w:ascii="Arial" w:hAnsi="Arial" w:cs="Arial"/>
          <w:sz w:val="20"/>
          <w:szCs w:val="20"/>
        </w:rPr>
        <w:t xml:space="preserve"> Vithanage, S. C. (2023). Closing the loop in the construction industry: A systematic literature review on the development of circular economy. </w:t>
      </w:r>
      <w:r w:rsidRPr="00D328AE">
        <w:rPr>
          <w:rFonts w:ascii="Arial" w:hAnsi="Arial" w:cs="Arial"/>
          <w:i/>
          <w:iCs/>
          <w:sz w:val="20"/>
          <w:szCs w:val="20"/>
        </w:rPr>
        <w:t>Journal of Building Engineering</w:t>
      </w:r>
      <w:r w:rsidRPr="00D328AE">
        <w:rPr>
          <w:rFonts w:ascii="Arial" w:hAnsi="Arial" w:cs="Arial"/>
          <w:sz w:val="20"/>
          <w:szCs w:val="20"/>
        </w:rPr>
        <w:t xml:space="preserve">, 76, 107362. </w:t>
      </w:r>
      <w:hyperlink r:id="rId51" w:history="1">
        <w:r w:rsidRPr="00D328AE">
          <w:rPr>
            <w:rStyle w:val="Hyperlink"/>
            <w:rFonts w:ascii="Arial" w:hAnsi="Arial" w:cs="Arial"/>
            <w:sz w:val="20"/>
            <w:szCs w:val="20"/>
          </w:rPr>
          <w:t>https://doi.org/10.1016/j.jobe.2023.107362</w:t>
        </w:r>
      </w:hyperlink>
      <w:r w:rsidRPr="00D328AE">
        <w:rPr>
          <w:rFonts w:ascii="Arial" w:hAnsi="Arial" w:cs="Arial"/>
          <w:sz w:val="20"/>
          <w:szCs w:val="20"/>
        </w:rPr>
        <w:t xml:space="preserve">. </w:t>
      </w:r>
    </w:p>
    <w:p w14:paraId="6851E23F" w14:textId="7777777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[40] Talla, A., &amp; McIlwaine, S. (2024). Industry 4.0 and the circular economy: using design-stage digital technology to reduce construction waste. </w:t>
      </w:r>
      <w:r w:rsidRPr="00D328AE">
        <w:rPr>
          <w:rFonts w:ascii="Arial" w:hAnsi="Arial" w:cs="Arial"/>
          <w:i/>
          <w:iCs/>
          <w:sz w:val="20"/>
          <w:szCs w:val="20"/>
        </w:rPr>
        <w:t>Smart and Sustainable Built Environment</w:t>
      </w:r>
      <w:r w:rsidRPr="00D328AE">
        <w:rPr>
          <w:rFonts w:ascii="Arial" w:hAnsi="Arial" w:cs="Arial"/>
          <w:sz w:val="20"/>
          <w:szCs w:val="20"/>
        </w:rPr>
        <w:t xml:space="preserve">, 13(1), 179-198. </w:t>
      </w:r>
      <w:hyperlink r:id="rId52" w:history="1">
        <w:r w:rsidRPr="00D328AE">
          <w:rPr>
            <w:rStyle w:val="Hyperlink"/>
            <w:rFonts w:ascii="Arial" w:hAnsi="Arial" w:cs="Arial"/>
            <w:sz w:val="20"/>
            <w:szCs w:val="20"/>
          </w:rPr>
          <w:t>https://doi.org/10.1108/SASBE-03-2022-0050</w:t>
        </w:r>
      </w:hyperlink>
      <w:r w:rsidRPr="00D328AE">
        <w:rPr>
          <w:rFonts w:ascii="Arial" w:hAnsi="Arial" w:cs="Arial"/>
          <w:sz w:val="20"/>
          <w:szCs w:val="20"/>
        </w:rPr>
        <w:t xml:space="preserve">. </w:t>
      </w:r>
    </w:p>
    <w:p w14:paraId="2861852C" w14:textId="2770CEA0"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 xml:space="preserve">[41] </w:t>
      </w:r>
      <w:proofErr w:type="spellStart"/>
      <w:r>
        <w:rPr>
          <w:rFonts w:ascii="Arial" w:hAnsi="Arial" w:cs="Arial"/>
          <w:sz w:val="20"/>
          <w:szCs w:val="20"/>
        </w:rPr>
        <w:t>Behún</w:t>
      </w:r>
      <w:proofErr w:type="spellEnd"/>
      <w:r>
        <w:rPr>
          <w:rFonts w:ascii="Arial" w:hAnsi="Arial" w:cs="Arial"/>
          <w:sz w:val="20"/>
          <w:szCs w:val="20"/>
        </w:rPr>
        <w:t>, M., and</w:t>
      </w:r>
      <w:r w:rsidR="00A87DD9" w:rsidRPr="00D328AE">
        <w:rPr>
          <w:rFonts w:ascii="Arial" w:hAnsi="Arial" w:cs="Arial"/>
          <w:sz w:val="20"/>
          <w:szCs w:val="20"/>
        </w:rPr>
        <w:t xml:space="preserve"> </w:t>
      </w:r>
      <w:proofErr w:type="spellStart"/>
      <w:r w:rsidR="00A87DD9" w:rsidRPr="00D328AE">
        <w:rPr>
          <w:rFonts w:ascii="Arial" w:hAnsi="Arial" w:cs="Arial"/>
          <w:sz w:val="20"/>
          <w:szCs w:val="20"/>
        </w:rPr>
        <w:t>Behúnová</w:t>
      </w:r>
      <w:proofErr w:type="spellEnd"/>
      <w:r w:rsidR="00A87DD9" w:rsidRPr="00D328AE">
        <w:rPr>
          <w:rFonts w:ascii="Arial" w:hAnsi="Arial" w:cs="Arial"/>
          <w:sz w:val="20"/>
          <w:szCs w:val="20"/>
        </w:rPr>
        <w:t xml:space="preserve">, A. (2023). Advanced innovation technology of BIM in a circular economy. </w:t>
      </w:r>
      <w:r w:rsidR="00A87DD9" w:rsidRPr="00D328AE">
        <w:rPr>
          <w:rFonts w:ascii="Arial" w:hAnsi="Arial" w:cs="Arial"/>
          <w:i/>
          <w:iCs/>
          <w:sz w:val="20"/>
          <w:szCs w:val="20"/>
        </w:rPr>
        <w:t>Applied Sciences</w:t>
      </w:r>
      <w:r w:rsidR="00A87DD9" w:rsidRPr="00D328AE">
        <w:rPr>
          <w:rFonts w:ascii="Arial" w:hAnsi="Arial" w:cs="Arial"/>
          <w:sz w:val="20"/>
          <w:szCs w:val="20"/>
        </w:rPr>
        <w:t xml:space="preserve">, 13(13), 7989. </w:t>
      </w:r>
      <w:hyperlink r:id="rId53" w:history="1">
        <w:r w:rsidR="00A87DD9" w:rsidRPr="00D328AE">
          <w:rPr>
            <w:rStyle w:val="Hyperlink"/>
            <w:rFonts w:ascii="Arial" w:hAnsi="Arial" w:cs="Arial"/>
            <w:sz w:val="20"/>
            <w:szCs w:val="20"/>
          </w:rPr>
          <w:t>https://doi.org/10.3390/app13137989</w:t>
        </w:r>
      </w:hyperlink>
      <w:r w:rsidR="00A87DD9" w:rsidRPr="00D328AE">
        <w:rPr>
          <w:rFonts w:ascii="Arial" w:hAnsi="Arial" w:cs="Arial"/>
          <w:sz w:val="20"/>
          <w:szCs w:val="20"/>
        </w:rPr>
        <w:t xml:space="preserve">. </w:t>
      </w:r>
    </w:p>
    <w:p w14:paraId="403EAD3F" w14:textId="6A6CF3F9"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[42] Sadegh</w:t>
      </w:r>
      <w:r w:rsidR="009878DC">
        <w:rPr>
          <w:rFonts w:ascii="Arial" w:hAnsi="Arial" w:cs="Arial"/>
          <w:sz w:val="20"/>
          <w:szCs w:val="20"/>
        </w:rPr>
        <w:t>i, M., Mahmoudi, A., Deng, X., and</w:t>
      </w:r>
      <w:r w:rsidRPr="00D328AE">
        <w:rPr>
          <w:rFonts w:ascii="Arial" w:hAnsi="Arial" w:cs="Arial"/>
          <w:sz w:val="20"/>
          <w:szCs w:val="20"/>
        </w:rPr>
        <w:t xml:space="preserve"> Luo, X. (2023). Prioritizing requirements for implementing blockchain technology in construction supply chain based on circular economy: Fuzzy Ordinal Priority Approach. </w:t>
      </w:r>
      <w:r w:rsidRPr="00D328AE">
        <w:rPr>
          <w:rFonts w:ascii="Arial" w:hAnsi="Arial" w:cs="Arial"/>
          <w:i/>
          <w:iCs/>
          <w:sz w:val="20"/>
          <w:szCs w:val="20"/>
        </w:rPr>
        <w:t>International Journal of Environmental Science and Technology</w:t>
      </w:r>
      <w:r w:rsidRPr="00D328AE">
        <w:rPr>
          <w:rFonts w:ascii="Arial" w:hAnsi="Arial" w:cs="Arial"/>
          <w:sz w:val="20"/>
          <w:szCs w:val="20"/>
        </w:rPr>
        <w:t>, 20(5), 4991-5012.</w:t>
      </w:r>
    </w:p>
    <w:p w14:paraId="3F890F92" w14:textId="438293FD"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[43] Rodri</w:t>
      </w:r>
      <w:r w:rsidR="009878DC">
        <w:rPr>
          <w:rFonts w:ascii="Arial" w:hAnsi="Arial" w:cs="Arial"/>
          <w:sz w:val="20"/>
          <w:szCs w:val="20"/>
        </w:rPr>
        <w:t xml:space="preserve">go, N., </w:t>
      </w:r>
      <w:proofErr w:type="spellStart"/>
      <w:r w:rsidR="009878DC">
        <w:rPr>
          <w:rFonts w:ascii="Arial" w:hAnsi="Arial" w:cs="Arial"/>
          <w:sz w:val="20"/>
          <w:szCs w:val="20"/>
        </w:rPr>
        <w:t>Omrany</w:t>
      </w:r>
      <w:proofErr w:type="spellEnd"/>
      <w:r w:rsidR="009878DC">
        <w:rPr>
          <w:rFonts w:ascii="Arial" w:hAnsi="Arial" w:cs="Arial"/>
          <w:sz w:val="20"/>
          <w:szCs w:val="20"/>
        </w:rPr>
        <w:t>, H., Chang, R., and</w:t>
      </w:r>
      <w:r w:rsidRPr="00D328AE">
        <w:rPr>
          <w:rFonts w:ascii="Arial" w:hAnsi="Arial" w:cs="Arial"/>
          <w:sz w:val="20"/>
          <w:szCs w:val="20"/>
        </w:rPr>
        <w:t xml:space="preserve"> Zuo, J. (2023). Leveraging digital technologies for circular economy in construction industry: a way forward. </w:t>
      </w:r>
      <w:r w:rsidRPr="00D328AE">
        <w:rPr>
          <w:rFonts w:ascii="Arial" w:hAnsi="Arial" w:cs="Arial"/>
          <w:i/>
          <w:iCs/>
          <w:sz w:val="20"/>
          <w:szCs w:val="20"/>
        </w:rPr>
        <w:t>Smart and Sustainable Built Environment</w:t>
      </w:r>
      <w:r w:rsidRPr="00D328AE">
        <w:rPr>
          <w:rFonts w:ascii="Arial" w:hAnsi="Arial" w:cs="Arial"/>
          <w:sz w:val="20"/>
          <w:szCs w:val="20"/>
        </w:rPr>
        <w:t xml:space="preserve">, 13(1), 85-116. </w:t>
      </w:r>
      <w:hyperlink r:id="rId54" w:history="1">
        <w:r w:rsidRPr="00D328AE">
          <w:rPr>
            <w:rStyle w:val="Hyperlink"/>
            <w:rFonts w:ascii="Arial" w:hAnsi="Arial" w:cs="Arial"/>
            <w:sz w:val="20"/>
            <w:szCs w:val="20"/>
          </w:rPr>
          <w:t>https://doi.org/10.1108/SASBE-05-2023-0111</w:t>
        </w:r>
      </w:hyperlink>
      <w:r w:rsidRPr="00D328AE">
        <w:rPr>
          <w:rFonts w:ascii="Arial" w:hAnsi="Arial" w:cs="Arial"/>
          <w:sz w:val="20"/>
          <w:szCs w:val="20"/>
        </w:rPr>
        <w:t>.</w:t>
      </w:r>
    </w:p>
    <w:p w14:paraId="08272B09" w14:textId="00429A57"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[44] Yu,</w:t>
      </w:r>
      <w:r w:rsidR="009878DC">
        <w:rPr>
          <w:rFonts w:ascii="Arial" w:hAnsi="Arial" w:cs="Arial"/>
          <w:sz w:val="20"/>
          <w:szCs w:val="20"/>
        </w:rPr>
        <w:t xml:space="preserve"> Y., Yazan, D. M., </w:t>
      </w:r>
      <w:proofErr w:type="spellStart"/>
      <w:r w:rsidR="009878DC">
        <w:rPr>
          <w:rFonts w:ascii="Arial" w:hAnsi="Arial" w:cs="Arial"/>
          <w:sz w:val="20"/>
          <w:szCs w:val="20"/>
        </w:rPr>
        <w:t>Junjan</w:t>
      </w:r>
      <w:proofErr w:type="spellEnd"/>
      <w:r w:rsidR="009878DC">
        <w:rPr>
          <w:rFonts w:ascii="Arial" w:hAnsi="Arial" w:cs="Arial"/>
          <w:sz w:val="20"/>
          <w:szCs w:val="20"/>
        </w:rPr>
        <w:t>, V., and</w:t>
      </w:r>
      <w:r w:rsidRPr="00D328AE">
        <w:rPr>
          <w:rFonts w:ascii="Arial" w:hAnsi="Arial" w:cs="Arial"/>
          <w:sz w:val="20"/>
          <w:szCs w:val="20"/>
        </w:rPr>
        <w:t xml:space="preserve"> Iacob, M. E. (2022). Circular economy in the construction industry: A review of decision support tools based on Information &amp; Communication Technologies. </w:t>
      </w:r>
      <w:r w:rsidRPr="00D328AE">
        <w:rPr>
          <w:rFonts w:ascii="Arial" w:hAnsi="Arial" w:cs="Arial"/>
          <w:i/>
          <w:iCs/>
          <w:sz w:val="20"/>
          <w:szCs w:val="20"/>
        </w:rPr>
        <w:t>Journal of cleaner production</w:t>
      </w:r>
      <w:r w:rsidRPr="00D328AE">
        <w:rPr>
          <w:rFonts w:ascii="Arial" w:hAnsi="Arial" w:cs="Arial"/>
          <w:sz w:val="20"/>
          <w:szCs w:val="20"/>
        </w:rPr>
        <w:t xml:space="preserve">, 349, 131335. </w:t>
      </w:r>
      <w:hyperlink r:id="rId55" w:history="1">
        <w:r w:rsidRPr="00D328AE">
          <w:rPr>
            <w:rStyle w:val="Hyperlink"/>
            <w:rFonts w:ascii="Arial" w:hAnsi="Arial" w:cs="Arial"/>
            <w:sz w:val="20"/>
            <w:szCs w:val="20"/>
          </w:rPr>
          <w:t>https://doi.org/10.1016/j.jclepro.2022.131335</w:t>
        </w:r>
      </w:hyperlink>
      <w:r w:rsidRPr="00D328AE">
        <w:rPr>
          <w:rFonts w:ascii="Arial" w:hAnsi="Arial" w:cs="Arial"/>
          <w:sz w:val="20"/>
          <w:szCs w:val="20"/>
        </w:rPr>
        <w:t xml:space="preserve">. </w:t>
      </w:r>
    </w:p>
    <w:p w14:paraId="61AAA753" w14:textId="6F42B77C"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[45] </w:t>
      </w:r>
      <w:proofErr w:type="spellStart"/>
      <w:r w:rsidRPr="00D328AE">
        <w:rPr>
          <w:rFonts w:ascii="Arial" w:hAnsi="Arial" w:cs="Arial"/>
          <w:sz w:val="20"/>
          <w:szCs w:val="20"/>
        </w:rPr>
        <w:t>Elghaish</w:t>
      </w:r>
      <w:proofErr w:type="spellEnd"/>
      <w:r w:rsidRPr="00D328AE">
        <w:rPr>
          <w:rFonts w:ascii="Arial" w:hAnsi="Arial" w:cs="Arial"/>
          <w:sz w:val="20"/>
          <w:szCs w:val="20"/>
        </w:rPr>
        <w:t>, F., Hosseini, M. R.</w:t>
      </w:r>
      <w:r w:rsidR="009878DC">
        <w:rPr>
          <w:rFonts w:ascii="Arial" w:hAnsi="Arial" w:cs="Arial"/>
          <w:sz w:val="20"/>
          <w:szCs w:val="20"/>
        </w:rPr>
        <w:t xml:space="preserve">, </w:t>
      </w:r>
      <w:proofErr w:type="spellStart"/>
      <w:r w:rsidR="009878DC">
        <w:rPr>
          <w:rFonts w:ascii="Arial" w:hAnsi="Arial" w:cs="Arial"/>
          <w:sz w:val="20"/>
          <w:szCs w:val="20"/>
        </w:rPr>
        <w:t>Kocaturk</w:t>
      </w:r>
      <w:proofErr w:type="spellEnd"/>
      <w:r w:rsidR="009878DC">
        <w:rPr>
          <w:rFonts w:ascii="Arial" w:hAnsi="Arial" w:cs="Arial"/>
          <w:sz w:val="20"/>
          <w:szCs w:val="20"/>
        </w:rPr>
        <w:t xml:space="preserve">, T., </w:t>
      </w:r>
      <w:proofErr w:type="spellStart"/>
      <w:r w:rsidR="009878DC">
        <w:rPr>
          <w:rFonts w:ascii="Arial" w:hAnsi="Arial" w:cs="Arial"/>
          <w:sz w:val="20"/>
          <w:szCs w:val="20"/>
        </w:rPr>
        <w:t>Arashpour</w:t>
      </w:r>
      <w:proofErr w:type="spellEnd"/>
      <w:r w:rsidR="009878DC">
        <w:rPr>
          <w:rFonts w:ascii="Arial" w:hAnsi="Arial" w:cs="Arial"/>
          <w:sz w:val="20"/>
          <w:szCs w:val="20"/>
        </w:rPr>
        <w:t>, M., and</w:t>
      </w:r>
      <w:r w:rsidRPr="00D328AE">
        <w:rPr>
          <w:rFonts w:ascii="Arial" w:hAnsi="Arial" w:cs="Arial"/>
          <w:sz w:val="20"/>
          <w:szCs w:val="20"/>
        </w:rPr>
        <w:t xml:space="preserve"> </w:t>
      </w:r>
      <w:proofErr w:type="spellStart"/>
      <w:r w:rsidRPr="00D328AE">
        <w:rPr>
          <w:rFonts w:ascii="Arial" w:hAnsi="Arial" w:cs="Arial"/>
          <w:sz w:val="20"/>
          <w:szCs w:val="20"/>
        </w:rPr>
        <w:t>Ledari</w:t>
      </w:r>
      <w:proofErr w:type="spellEnd"/>
      <w:r w:rsidRPr="00D328AE">
        <w:rPr>
          <w:rFonts w:ascii="Arial" w:hAnsi="Arial" w:cs="Arial"/>
          <w:sz w:val="20"/>
          <w:szCs w:val="20"/>
        </w:rPr>
        <w:t xml:space="preserve">, M. B. (2023). Digitalised circular construction supply chain: An integrated BIM-Blockchain solution. </w:t>
      </w:r>
      <w:bookmarkStart w:id="11" w:name="_Hlk203768360"/>
      <w:r w:rsidRPr="00D328AE">
        <w:rPr>
          <w:rFonts w:ascii="Arial" w:hAnsi="Arial" w:cs="Arial"/>
          <w:i/>
          <w:iCs/>
          <w:sz w:val="20"/>
          <w:szCs w:val="20"/>
        </w:rPr>
        <w:t>Automation in Construction</w:t>
      </w:r>
      <w:bookmarkEnd w:id="11"/>
      <w:r w:rsidRPr="00D328AE">
        <w:rPr>
          <w:rFonts w:ascii="Arial" w:hAnsi="Arial" w:cs="Arial"/>
          <w:i/>
          <w:iCs/>
          <w:sz w:val="20"/>
          <w:szCs w:val="20"/>
        </w:rPr>
        <w:t>,</w:t>
      </w:r>
      <w:r w:rsidRPr="00D328AE">
        <w:rPr>
          <w:rFonts w:ascii="Arial" w:hAnsi="Arial" w:cs="Arial"/>
          <w:sz w:val="20"/>
          <w:szCs w:val="20"/>
        </w:rPr>
        <w:t xml:space="preserve"> 148, 104746. </w:t>
      </w:r>
      <w:hyperlink r:id="rId56" w:history="1">
        <w:r w:rsidRPr="00D328AE">
          <w:rPr>
            <w:rStyle w:val="Hyperlink"/>
            <w:rFonts w:ascii="Arial" w:hAnsi="Arial" w:cs="Arial"/>
            <w:sz w:val="20"/>
            <w:szCs w:val="20"/>
          </w:rPr>
          <w:t>https://doi.org/10.1016/j.autcon.2023.104746</w:t>
        </w:r>
      </w:hyperlink>
      <w:r w:rsidRPr="00D328AE">
        <w:rPr>
          <w:rFonts w:ascii="Arial" w:hAnsi="Arial" w:cs="Arial"/>
          <w:sz w:val="20"/>
          <w:szCs w:val="20"/>
        </w:rPr>
        <w:t xml:space="preserve">. </w:t>
      </w:r>
    </w:p>
    <w:p w14:paraId="6AE1F7B0" w14:textId="3BC78274"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[46] Morel, J. C., Charef, R., </w:t>
      </w:r>
      <w:proofErr w:type="spellStart"/>
      <w:r w:rsidRPr="00D328AE">
        <w:rPr>
          <w:rFonts w:ascii="Arial" w:hAnsi="Arial" w:cs="Arial"/>
          <w:sz w:val="20"/>
          <w:szCs w:val="20"/>
        </w:rPr>
        <w:t>Hamard</w:t>
      </w:r>
      <w:proofErr w:type="spellEnd"/>
      <w:r w:rsidR="009878DC">
        <w:rPr>
          <w:rFonts w:ascii="Arial" w:hAnsi="Arial" w:cs="Arial"/>
          <w:sz w:val="20"/>
          <w:szCs w:val="20"/>
        </w:rPr>
        <w:t>, E., Fabbri, A., Beckett, C., and</w:t>
      </w:r>
      <w:r w:rsidRPr="00D328AE">
        <w:rPr>
          <w:rFonts w:ascii="Arial" w:hAnsi="Arial" w:cs="Arial"/>
          <w:sz w:val="20"/>
          <w:szCs w:val="20"/>
        </w:rPr>
        <w:t xml:space="preserve"> Bui, Q. B. (2021). Earth as construction material in the circular economy context: practitioner perspectives on barriers to overcome. </w:t>
      </w:r>
      <w:r w:rsidRPr="00D328AE">
        <w:rPr>
          <w:rFonts w:ascii="Arial" w:hAnsi="Arial" w:cs="Arial"/>
          <w:i/>
          <w:iCs/>
          <w:sz w:val="20"/>
          <w:szCs w:val="20"/>
        </w:rPr>
        <w:t>Philosophical Transactions of the Royal Society B</w:t>
      </w:r>
      <w:r w:rsidRPr="00D328AE">
        <w:rPr>
          <w:rFonts w:ascii="Arial" w:hAnsi="Arial" w:cs="Arial"/>
          <w:sz w:val="20"/>
          <w:szCs w:val="20"/>
        </w:rPr>
        <w:t xml:space="preserve">, 376(1834), 20200182. </w:t>
      </w:r>
      <w:hyperlink r:id="rId57" w:history="1">
        <w:r w:rsidRPr="00D328AE">
          <w:rPr>
            <w:rStyle w:val="Hyperlink"/>
            <w:rFonts w:ascii="Arial" w:hAnsi="Arial" w:cs="Arial"/>
            <w:sz w:val="20"/>
            <w:szCs w:val="20"/>
          </w:rPr>
          <w:t>https://doi.org/10.3390/su132312989</w:t>
        </w:r>
      </w:hyperlink>
      <w:r w:rsidRPr="00D328AE">
        <w:rPr>
          <w:rFonts w:ascii="Arial" w:hAnsi="Arial" w:cs="Arial"/>
          <w:sz w:val="20"/>
          <w:szCs w:val="20"/>
        </w:rPr>
        <w:t xml:space="preserve">. </w:t>
      </w:r>
    </w:p>
    <w:p w14:paraId="79E80149" w14:textId="4E3B643E" w:rsidR="00A87DD9" w:rsidRPr="00D328AE" w:rsidRDefault="009878DC" w:rsidP="00D328AE">
      <w:pPr>
        <w:spacing w:before="36" w:after="10" w:line="240" w:lineRule="auto"/>
        <w:ind w:left="720" w:right="720"/>
        <w:jc w:val="both"/>
        <w:rPr>
          <w:rFonts w:ascii="Arial" w:hAnsi="Arial" w:cs="Arial"/>
          <w:sz w:val="20"/>
          <w:szCs w:val="20"/>
        </w:rPr>
      </w:pPr>
      <w:r>
        <w:rPr>
          <w:rFonts w:ascii="Arial" w:hAnsi="Arial" w:cs="Arial"/>
          <w:sz w:val="20"/>
          <w:szCs w:val="20"/>
        </w:rPr>
        <w:t>[47] Charef, R., and</w:t>
      </w:r>
      <w:r w:rsidR="00A87DD9" w:rsidRPr="00D328AE">
        <w:rPr>
          <w:rFonts w:ascii="Arial" w:hAnsi="Arial" w:cs="Arial"/>
          <w:sz w:val="20"/>
          <w:szCs w:val="20"/>
        </w:rPr>
        <w:t xml:space="preserve"> Lu, W. (2021). Factor dynamics to facilitate circular economy adoption in construction. </w:t>
      </w:r>
      <w:r w:rsidR="00A87DD9" w:rsidRPr="00D328AE">
        <w:rPr>
          <w:rFonts w:ascii="Arial" w:hAnsi="Arial" w:cs="Arial"/>
          <w:i/>
          <w:iCs/>
          <w:sz w:val="20"/>
          <w:szCs w:val="20"/>
        </w:rPr>
        <w:t>Journal of cleaner production</w:t>
      </w:r>
      <w:r w:rsidR="00A87DD9" w:rsidRPr="00D328AE">
        <w:rPr>
          <w:rFonts w:ascii="Arial" w:hAnsi="Arial" w:cs="Arial"/>
          <w:sz w:val="20"/>
          <w:szCs w:val="20"/>
        </w:rPr>
        <w:t xml:space="preserve">, 319, 128639. </w:t>
      </w:r>
      <w:hyperlink r:id="rId58" w:history="1">
        <w:r w:rsidR="00A87DD9" w:rsidRPr="00D328AE">
          <w:rPr>
            <w:rStyle w:val="Hyperlink"/>
            <w:rFonts w:ascii="Arial" w:hAnsi="Arial" w:cs="Arial"/>
            <w:sz w:val="20"/>
            <w:szCs w:val="20"/>
          </w:rPr>
          <w:t>https://doi.org/10.1016/j.jclepro.2021.128639</w:t>
        </w:r>
      </w:hyperlink>
      <w:r w:rsidR="00A87DD9" w:rsidRPr="00D328AE">
        <w:rPr>
          <w:rFonts w:ascii="Arial" w:hAnsi="Arial" w:cs="Arial"/>
          <w:sz w:val="20"/>
          <w:szCs w:val="20"/>
        </w:rPr>
        <w:t>.</w:t>
      </w:r>
    </w:p>
    <w:p w14:paraId="54865284" w14:textId="48FAE135" w:rsidR="00A87DD9" w:rsidRPr="00D328AE" w:rsidRDefault="00A87DD9" w:rsidP="00D328AE">
      <w:pPr>
        <w:spacing w:before="36" w:after="10" w:line="240" w:lineRule="auto"/>
        <w:ind w:left="720" w:right="720"/>
        <w:jc w:val="both"/>
        <w:rPr>
          <w:rFonts w:ascii="Arial" w:hAnsi="Arial" w:cs="Arial"/>
          <w:sz w:val="20"/>
          <w:szCs w:val="20"/>
        </w:rPr>
      </w:pPr>
      <w:r w:rsidRPr="00D328AE">
        <w:rPr>
          <w:rFonts w:ascii="Arial" w:hAnsi="Arial" w:cs="Arial"/>
          <w:sz w:val="20"/>
          <w:szCs w:val="20"/>
        </w:rPr>
        <w:t xml:space="preserve">[48] </w:t>
      </w:r>
      <w:proofErr w:type="spellStart"/>
      <w:r w:rsidRPr="00D328AE">
        <w:rPr>
          <w:rFonts w:ascii="Arial" w:hAnsi="Arial" w:cs="Arial"/>
          <w:sz w:val="20"/>
          <w:szCs w:val="20"/>
        </w:rPr>
        <w:t>Shooshtarian</w:t>
      </w:r>
      <w:proofErr w:type="spellEnd"/>
      <w:r w:rsidRPr="00D328AE">
        <w:rPr>
          <w:rFonts w:ascii="Arial" w:hAnsi="Arial" w:cs="Arial"/>
          <w:sz w:val="20"/>
          <w:szCs w:val="20"/>
        </w:rPr>
        <w:t>,</w:t>
      </w:r>
      <w:r w:rsidR="009878DC">
        <w:rPr>
          <w:rFonts w:ascii="Arial" w:hAnsi="Arial" w:cs="Arial"/>
          <w:sz w:val="20"/>
          <w:szCs w:val="20"/>
        </w:rPr>
        <w:t xml:space="preserve"> S., Maqsood, T., Caldera, S., and</w:t>
      </w:r>
      <w:r w:rsidRPr="00D328AE">
        <w:rPr>
          <w:rFonts w:ascii="Arial" w:hAnsi="Arial" w:cs="Arial"/>
          <w:sz w:val="20"/>
          <w:szCs w:val="20"/>
        </w:rPr>
        <w:t xml:space="preserve"> Ryley, T. (2022). Transformation towards a circular economy in the Australian construction and demolition waste management system. </w:t>
      </w:r>
      <w:r w:rsidRPr="00D328AE">
        <w:rPr>
          <w:rFonts w:ascii="Arial" w:hAnsi="Arial" w:cs="Arial"/>
          <w:i/>
          <w:iCs/>
          <w:sz w:val="20"/>
          <w:szCs w:val="20"/>
        </w:rPr>
        <w:t>Sustainable Production and Consumption</w:t>
      </w:r>
      <w:r w:rsidRPr="00D328AE">
        <w:rPr>
          <w:rFonts w:ascii="Arial" w:hAnsi="Arial" w:cs="Arial"/>
          <w:sz w:val="20"/>
          <w:szCs w:val="20"/>
        </w:rPr>
        <w:t xml:space="preserve">. </w:t>
      </w:r>
      <w:hyperlink r:id="rId59" w:history="1">
        <w:r w:rsidRPr="00D328AE">
          <w:rPr>
            <w:rStyle w:val="Hyperlink"/>
            <w:rFonts w:ascii="Arial" w:hAnsi="Arial" w:cs="Arial"/>
            <w:sz w:val="20"/>
            <w:szCs w:val="20"/>
          </w:rPr>
          <w:t>https://dx.doi.org/10.1016/j.spc.2021.11.032</w:t>
        </w:r>
      </w:hyperlink>
      <w:r w:rsidRPr="00D328AE">
        <w:rPr>
          <w:rFonts w:ascii="Arial" w:hAnsi="Arial" w:cs="Arial"/>
          <w:sz w:val="20"/>
          <w:szCs w:val="20"/>
        </w:rPr>
        <w:t xml:space="preserve">. </w:t>
      </w:r>
    </w:p>
    <w:p w14:paraId="4A4C2FD9" w14:textId="6425C07F" w:rsidR="00197E9D" w:rsidRDefault="006B13AD" w:rsidP="00D328AE">
      <w:pPr>
        <w:spacing w:before="36" w:after="10" w:line="240" w:lineRule="auto"/>
        <w:ind w:left="720" w:right="720"/>
        <w:jc w:val="both"/>
        <w:rPr>
          <w:rFonts w:ascii="Arial" w:hAnsi="Arial" w:cs="Arial"/>
          <w:sz w:val="20"/>
          <w:szCs w:val="20"/>
          <w:shd w:val="clear" w:color="auto" w:fill="FFFFFF"/>
        </w:rPr>
      </w:pPr>
      <w:r>
        <w:rPr>
          <w:rFonts w:ascii="Arial" w:hAnsi="Arial" w:cs="Arial"/>
          <w:sz w:val="20"/>
          <w:szCs w:val="20"/>
          <w:shd w:val="clear" w:color="auto" w:fill="FFFFFF"/>
        </w:rPr>
        <w:t xml:space="preserve"> [49] </w:t>
      </w:r>
      <w:proofErr w:type="spellStart"/>
      <w:r w:rsidR="00A76161">
        <w:rPr>
          <w:rFonts w:ascii="Arial" w:hAnsi="Arial" w:cs="Arial"/>
          <w:sz w:val="20"/>
          <w:szCs w:val="20"/>
          <w:shd w:val="clear" w:color="auto" w:fill="FFFFFF"/>
        </w:rPr>
        <w:t>Akintola</w:t>
      </w:r>
      <w:proofErr w:type="spellEnd"/>
      <w:r w:rsidR="00A76161">
        <w:rPr>
          <w:rFonts w:ascii="Arial" w:hAnsi="Arial" w:cs="Arial"/>
          <w:sz w:val="20"/>
          <w:szCs w:val="20"/>
          <w:shd w:val="clear" w:color="auto" w:fill="FFFFFF"/>
        </w:rPr>
        <w:t xml:space="preserve">, S. O. 2024. “Revolutionizing Global Infrastructure: Integrating Sustainable Construction Practices and Safety Standards for a Resilient Future”. Current Journal of </w:t>
      </w:r>
      <w:r w:rsidR="00A76161">
        <w:rPr>
          <w:rFonts w:ascii="Arial" w:hAnsi="Arial" w:cs="Arial"/>
          <w:sz w:val="20"/>
          <w:szCs w:val="20"/>
          <w:shd w:val="clear" w:color="auto" w:fill="FFFFFF"/>
        </w:rPr>
        <w:lastRenderedPageBreak/>
        <w:t xml:space="preserve">Applied Science and Technology 43 (10):84-95. </w:t>
      </w:r>
      <w:hyperlink r:id="rId60" w:history="1">
        <w:r w:rsidR="00683C05" w:rsidRPr="000639B6">
          <w:rPr>
            <w:rStyle w:val="Hyperlink"/>
            <w:rFonts w:ascii="Arial" w:hAnsi="Arial" w:cs="Arial"/>
            <w:sz w:val="20"/>
            <w:szCs w:val="20"/>
            <w:shd w:val="clear" w:color="auto" w:fill="FFFFFF"/>
          </w:rPr>
          <w:t>https://doi.org/10.9734/cjast/2024/v43i104438</w:t>
        </w:r>
      </w:hyperlink>
    </w:p>
    <w:p w14:paraId="45BF6DB0" w14:textId="77777777" w:rsidR="00683C05" w:rsidRPr="00D328AE" w:rsidRDefault="00683C05" w:rsidP="00D328AE">
      <w:pPr>
        <w:spacing w:before="36" w:after="10" w:line="240" w:lineRule="auto"/>
        <w:ind w:left="720" w:right="720"/>
        <w:jc w:val="both"/>
        <w:rPr>
          <w:rFonts w:ascii="Arial" w:hAnsi="Arial" w:cs="Arial"/>
          <w:sz w:val="20"/>
          <w:szCs w:val="20"/>
        </w:rPr>
      </w:pPr>
    </w:p>
    <w:sectPr w:rsidR="00683C05" w:rsidRPr="00D328AE" w:rsidSect="00214FB2">
      <w:headerReference w:type="even" r:id="rId61"/>
      <w:headerReference w:type="default" r:id="rId62"/>
      <w:footerReference w:type="even" r:id="rId63"/>
      <w:footerReference w:type="default" r:id="rId64"/>
      <w:headerReference w:type="first" r:id="rId65"/>
      <w:footerReference w:type="first" r:id="rId66"/>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77B93" w14:textId="77777777" w:rsidR="00312A8A" w:rsidRDefault="00312A8A" w:rsidP="00D27FC8">
      <w:pPr>
        <w:spacing w:after="0" w:line="240" w:lineRule="auto"/>
      </w:pPr>
      <w:r>
        <w:separator/>
      </w:r>
    </w:p>
  </w:endnote>
  <w:endnote w:type="continuationSeparator" w:id="0">
    <w:p w14:paraId="17CE9FFC" w14:textId="77777777" w:rsidR="00312A8A" w:rsidRDefault="00312A8A" w:rsidP="00D2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0315" w14:textId="77777777" w:rsidR="00073470" w:rsidRDefault="00073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534093"/>
      <w:docPartObj>
        <w:docPartGallery w:val="Page Numbers (Bottom of Page)"/>
        <w:docPartUnique/>
      </w:docPartObj>
    </w:sdtPr>
    <w:sdtEndPr>
      <w:rPr>
        <w:rFonts w:ascii="Arial" w:hAnsi="Arial" w:cs="Arial"/>
        <w:color w:val="7F7F7F" w:themeColor="background1" w:themeShade="7F"/>
        <w:spacing w:val="60"/>
        <w:sz w:val="20"/>
        <w:szCs w:val="20"/>
      </w:rPr>
    </w:sdtEndPr>
    <w:sdtContent>
      <w:p w14:paraId="34D31C1A" w14:textId="279942E0" w:rsidR="00D27FC8" w:rsidRPr="00EF0FB6" w:rsidRDefault="00D27FC8">
        <w:pPr>
          <w:pStyle w:val="Footer"/>
          <w:pBdr>
            <w:top w:val="single" w:sz="4" w:space="1" w:color="D9D9D9" w:themeColor="background1" w:themeShade="D9"/>
          </w:pBdr>
          <w:jc w:val="right"/>
          <w:rPr>
            <w:rFonts w:ascii="Arial" w:hAnsi="Arial" w:cs="Arial"/>
            <w:sz w:val="20"/>
            <w:szCs w:val="20"/>
          </w:rPr>
        </w:pPr>
        <w:r w:rsidRPr="00EF0FB6">
          <w:rPr>
            <w:rFonts w:ascii="Arial" w:hAnsi="Arial" w:cs="Arial"/>
            <w:sz w:val="20"/>
            <w:szCs w:val="20"/>
          </w:rPr>
          <w:fldChar w:fldCharType="begin"/>
        </w:r>
        <w:r w:rsidRPr="00EF0FB6">
          <w:rPr>
            <w:rFonts w:ascii="Arial" w:hAnsi="Arial" w:cs="Arial"/>
            <w:sz w:val="20"/>
            <w:szCs w:val="20"/>
          </w:rPr>
          <w:instrText xml:space="preserve"> PAGE   \* MERGEFORMAT </w:instrText>
        </w:r>
        <w:r w:rsidRPr="00EF0FB6">
          <w:rPr>
            <w:rFonts w:ascii="Arial" w:hAnsi="Arial" w:cs="Arial"/>
            <w:sz w:val="20"/>
            <w:szCs w:val="20"/>
          </w:rPr>
          <w:fldChar w:fldCharType="separate"/>
        </w:r>
        <w:r w:rsidR="006749FD">
          <w:rPr>
            <w:rFonts w:ascii="Arial" w:hAnsi="Arial" w:cs="Arial"/>
            <w:noProof/>
            <w:sz w:val="20"/>
            <w:szCs w:val="20"/>
          </w:rPr>
          <w:t>2</w:t>
        </w:r>
        <w:r w:rsidRPr="00EF0FB6">
          <w:rPr>
            <w:rFonts w:ascii="Arial" w:hAnsi="Arial" w:cs="Arial"/>
            <w:noProof/>
            <w:sz w:val="20"/>
            <w:szCs w:val="20"/>
          </w:rPr>
          <w:fldChar w:fldCharType="end"/>
        </w:r>
        <w:r w:rsidRPr="00EF0FB6">
          <w:rPr>
            <w:rFonts w:ascii="Arial" w:hAnsi="Arial" w:cs="Arial"/>
            <w:sz w:val="20"/>
            <w:szCs w:val="20"/>
          </w:rPr>
          <w:t xml:space="preserve"> | </w:t>
        </w:r>
        <w:r w:rsidRPr="00EF0FB6">
          <w:rPr>
            <w:rFonts w:ascii="Arial" w:hAnsi="Arial" w:cs="Arial"/>
            <w:color w:val="7F7F7F" w:themeColor="background1" w:themeShade="7F"/>
            <w:spacing w:val="60"/>
            <w:sz w:val="20"/>
            <w:szCs w:val="20"/>
          </w:rPr>
          <w:t>Page</w:t>
        </w:r>
      </w:p>
    </w:sdtContent>
  </w:sdt>
  <w:p w14:paraId="6CB3136F" w14:textId="77777777" w:rsidR="00D27FC8" w:rsidRDefault="00D27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E144" w14:textId="77777777" w:rsidR="00073470" w:rsidRDefault="00073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EABF4" w14:textId="77777777" w:rsidR="00312A8A" w:rsidRDefault="00312A8A" w:rsidP="00D27FC8">
      <w:pPr>
        <w:spacing w:after="0" w:line="240" w:lineRule="auto"/>
      </w:pPr>
      <w:r>
        <w:separator/>
      </w:r>
    </w:p>
  </w:footnote>
  <w:footnote w:type="continuationSeparator" w:id="0">
    <w:p w14:paraId="2FC4F188" w14:textId="77777777" w:rsidR="00312A8A" w:rsidRDefault="00312A8A" w:rsidP="00D2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3FF0" w14:textId="220F6AD6" w:rsidR="00073470" w:rsidRDefault="00312A8A">
    <w:pPr>
      <w:pStyle w:val="Header"/>
    </w:pPr>
    <w:r>
      <w:rPr>
        <w:noProof/>
      </w:rPr>
      <w:pict w14:anchorId="17C2A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953157" o:spid="_x0000_s2050" type="#_x0000_t136" style="position:absolute;margin-left:0;margin-top:0;width:611.55pt;height:67.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2047" w14:textId="0AA5ABC9" w:rsidR="00073470" w:rsidRDefault="00312A8A">
    <w:pPr>
      <w:pStyle w:val="Header"/>
    </w:pPr>
    <w:r>
      <w:rPr>
        <w:noProof/>
      </w:rPr>
      <w:pict w14:anchorId="09A14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953158" o:spid="_x0000_s2051" type="#_x0000_t136" style="position:absolute;margin-left:0;margin-top:0;width:611.55pt;height:67.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DB982" w14:textId="115ED0F7" w:rsidR="00073470" w:rsidRDefault="00312A8A">
    <w:pPr>
      <w:pStyle w:val="Header"/>
    </w:pPr>
    <w:r>
      <w:rPr>
        <w:noProof/>
      </w:rPr>
      <w:pict w14:anchorId="5CAA6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953156" o:spid="_x0000_s2049" type="#_x0000_t136" style="position:absolute;margin-left:0;margin-top:0;width:611.55pt;height:67.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B1006"/>
    <w:multiLevelType w:val="hybridMultilevel"/>
    <w:tmpl w:val="51803264"/>
    <w:lvl w:ilvl="0" w:tplc="ED7673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F25AB"/>
    <w:multiLevelType w:val="multilevel"/>
    <w:tmpl w:val="731A3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9D574D"/>
    <w:multiLevelType w:val="multilevel"/>
    <w:tmpl w:val="B7B2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EB6CE4"/>
    <w:multiLevelType w:val="multilevel"/>
    <w:tmpl w:val="8FE0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B2"/>
    <w:rsid w:val="000051D1"/>
    <w:rsid w:val="00023AAC"/>
    <w:rsid w:val="00073470"/>
    <w:rsid w:val="00087811"/>
    <w:rsid w:val="000B1FEC"/>
    <w:rsid w:val="000B21FB"/>
    <w:rsid w:val="000B2C22"/>
    <w:rsid w:val="000B6100"/>
    <w:rsid w:val="000D21DE"/>
    <w:rsid w:val="000E1C90"/>
    <w:rsid w:val="000F69B1"/>
    <w:rsid w:val="00116BC7"/>
    <w:rsid w:val="0012149C"/>
    <w:rsid w:val="001510A5"/>
    <w:rsid w:val="00184A1C"/>
    <w:rsid w:val="00197E9D"/>
    <w:rsid w:val="001F342B"/>
    <w:rsid w:val="001F6441"/>
    <w:rsid w:val="00214FB2"/>
    <w:rsid w:val="00286439"/>
    <w:rsid w:val="002A71A1"/>
    <w:rsid w:val="002B4D5E"/>
    <w:rsid w:val="002C1B1F"/>
    <w:rsid w:val="002E021E"/>
    <w:rsid w:val="00307AB5"/>
    <w:rsid w:val="0031079C"/>
    <w:rsid w:val="00312A8A"/>
    <w:rsid w:val="0035413F"/>
    <w:rsid w:val="003A68DF"/>
    <w:rsid w:val="003C14AE"/>
    <w:rsid w:val="003E36F3"/>
    <w:rsid w:val="003E3EBD"/>
    <w:rsid w:val="00443CCC"/>
    <w:rsid w:val="00455E43"/>
    <w:rsid w:val="00480475"/>
    <w:rsid w:val="004847C2"/>
    <w:rsid w:val="004862C4"/>
    <w:rsid w:val="00492919"/>
    <w:rsid w:val="004E79BE"/>
    <w:rsid w:val="004F387B"/>
    <w:rsid w:val="00560EFA"/>
    <w:rsid w:val="005722A3"/>
    <w:rsid w:val="005729A2"/>
    <w:rsid w:val="005A79F9"/>
    <w:rsid w:val="005B3535"/>
    <w:rsid w:val="005E1AF7"/>
    <w:rsid w:val="005E26BB"/>
    <w:rsid w:val="00605B79"/>
    <w:rsid w:val="00606FC7"/>
    <w:rsid w:val="006112DE"/>
    <w:rsid w:val="00613BD0"/>
    <w:rsid w:val="006378D9"/>
    <w:rsid w:val="006470D2"/>
    <w:rsid w:val="006749FD"/>
    <w:rsid w:val="00683C05"/>
    <w:rsid w:val="006A2B61"/>
    <w:rsid w:val="006B13AD"/>
    <w:rsid w:val="006C2125"/>
    <w:rsid w:val="00705ADB"/>
    <w:rsid w:val="0072556A"/>
    <w:rsid w:val="00725B03"/>
    <w:rsid w:val="00741431"/>
    <w:rsid w:val="00794721"/>
    <w:rsid w:val="007E1F85"/>
    <w:rsid w:val="007E2ADA"/>
    <w:rsid w:val="008016AF"/>
    <w:rsid w:val="0083415D"/>
    <w:rsid w:val="00841187"/>
    <w:rsid w:val="0085081A"/>
    <w:rsid w:val="00882CD8"/>
    <w:rsid w:val="008C50B5"/>
    <w:rsid w:val="009018E3"/>
    <w:rsid w:val="009335CC"/>
    <w:rsid w:val="009406C0"/>
    <w:rsid w:val="00967DB8"/>
    <w:rsid w:val="009878DC"/>
    <w:rsid w:val="00995174"/>
    <w:rsid w:val="009A7FD0"/>
    <w:rsid w:val="009E0D3E"/>
    <w:rsid w:val="009F0369"/>
    <w:rsid w:val="00A119B7"/>
    <w:rsid w:val="00A1368E"/>
    <w:rsid w:val="00A16341"/>
    <w:rsid w:val="00A233E2"/>
    <w:rsid w:val="00A54EA8"/>
    <w:rsid w:val="00A5528F"/>
    <w:rsid w:val="00A76161"/>
    <w:rsid w:val="00A84502"/>
    <w:rsid w:val="00A87DD9"/>
    <w:rsid w:val="00AC7372"/>
    <w:rsid w:val="00AF3C7A"/>
    <w:rsid w:val="00B3464D"/>
    <w:rsid w:val="00B647CE"/>
    <w:rsid w:val="00BE2FE2"/>
    <w:rsid w:val="00C003CB"/>
    <w:rsid w:val="00C00FFF"/>
    <w:rsid w:val="00C758AC"/>
    <w:rsid w:val="00CA21FA"/>
    <w:rsid w:val="00CA3EFB"/>
    <w:rsid w:val="00CB7B2B"/>
    <w:rsid w:val="00CC4B1D"/>
    <w:rsid w:val="00CC66F9"/>
    <w:rsid w:val="00D10420"/>
    <w:rsid w:val="00D26797"/>
    <w:rsid w:val="00D27A8E"/>
    <w:rsid w:val="00D27FC8"/>
    <w:rsid w:val="00D301C6"/>
    <w:rsid w:val="00D328AE"/>
    <w:rsid w:val="00D37722"/>
    <w:rsid w:val="00D504D9"/>
    <w:rsid w:val="00DD6265"/>
    <w:rsid w:val="00DE3765"/>
    <w:rsid w:val="00DF044A"/>
    <w:rsid w:val="00DF7074"/>
    <w:rsid w:val="00E01BFE"/>
    <w:rsid w:val="00E24503"/>
    <w:rsid w:val="00E3173D"/>
    <w:rsid w:val="00E54DE1"/>
    <w:rsid w:val="00E87A76"/>
    <w:rsid w:val="00E91E33"/>
    <w:rsid w:val="00EE4E9D"/>
    <w:rsid w:val="00EF0FB6"/>
    <w:rsid w:val="00F63B57"/>
    <w:rsid w:val="00F65F0E"/>
    <w:rsid w:val="00F72C5B"/>
    <w:rsid w:val="00FA1DBE"/>
    <w:rsid w:val="00FA5F33"/>
    <w:rsid w:val="00FF4209"/>
    <w:rsid w:val="00FF7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FACF3C"/>
  <w15:chartTrackingRefBased/>
  <w15:docId w15:val="{3F9B99ED-8E1C-4972-B948-F687DF85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4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FB2"/>
    <w:rPr>
      <w:rFonts w:eastAsiaTheme="majorEastAsia" w:cstheme="majorBidi"/>
      <w:color w:val="272727" w:themeColor="text1" w:themeTint="D8"/>
    </w:rPr>
  </w:style>
  <w:style w:type="paragraph" w:styleId="Title">
    <w:name w:val="Title"/>
    <w:basedOn w:val="Normal"/>
    <w:next w:val="Normal"/>
    <w:link w:val="TitleChar"/>
    <w:uiPriority w:val="10"/>
    <w:qFormat/>
    <w:rsid w:val="00214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FB2"/>
    <w:pPr>
      <w:spacing w:before="160"/>
      <w:jc w:val="center"/>
    </w:pPr>
    <w:rPr>
      <w:i/>
      <w:iCs/>
      <w:color w:val="404040" w:themeColor="text1" w:themeTint="BF"/>
    </w:rPr>
  </w:style>
  <w:style w:type="character" w:customStyle="1" w:styleId="QuoteChar">
    <w:name w:val="Quote Char"/>
    <w:basedOn w:val="DefaultParagraphFont"/>
    <w:link w:val="Quote"/>
    <w:uiPriority w:val="29"/>
    <w:rsid w:val="00214FB2"/>
    <w:rPr>
      <w:i/>
      <w:iCs/>
      <w:color w:val="404040" w:themeColor="text1" w:themeTint="BF"/>
    </w:rPr>
  </w:style>
  <w:style w:type="paragraph" w:styleId="ListParagraph">
    <w:name w:val="List Paragraph"/>
    <w:basedOn w:val="Normal"/>
    <w:uiPriority w:val="34"/>
    <w:qFormat/>
    <w:rsid w:val="00214FB2"/>
    <w:pPr>
      <w:ind w:left="720"/>
      <w:contextualSpacing/>
    </w:pPr>
  </w:style>
  <w:style w:type="character" w:styleId="IntenseEmphasis">
    <w:name w:val="Intense Emphasis"/>
    <w:basedOn w:val="DefaultParagraphFont"/>
    <w:uiPriority w:val="21"/>
    <w:qFormat/>
    <w:rsid w:val="00214FB2"/>
    <w:rPr>
      <w:i/>
      <w:iCs/>
      <w:color w:val="0F4761" w:themeColor="accent1" w:themeShade="BF"/>
    </w:rPr>
  </w:style>
  <w:style w:type="paragraph" w:styleId="IntenseQuote">
    <w:name w:val="Intense Quote"/>
    <w:basedOn w:val="Normal"/>
    <w:next w:val="Normal"/>
    <w:link w:val="IntenseQuoteChar"/>
    <w:uiPriority w:val="30"/>
    <w:qFormat/>
    <w:rsid w:val="00214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FB2"/>
    <w:rPr>
      <w:i/>
      <w:iCs/>
      <w:color w:val="0F4761" w:themeColor="accent1" w:themeShade="BF"/>
    </w:rPr>
  </w:style>
  <w:style w:type="character" w:styleId="IntenseReference">
    <w:name w:val="Intense Reference"/>
    <w:basedOn w:val="DefaultParagraphFont"/>
    <w:uiPriority w:val="32"/>
    <w:qFormat/>
    <w:rsid w:val="00214FB2"/>
    <w:rPr>
      <w:b/>
      <w:bCs/>
      <w:smallCaps/>
      <w:color w:val="0F4761" w:themeColor="accent1" w:themeShade="BF"/>
      <w:spacing w:val="5"/>
    </w:rPr>
  </w:style>
  <w:style w:type="character" w:styleId="Hyperlink">
    <w:name w:val="Hyperlink"/>
    <w:basedOn w:val="DefaultParagraphFont"/>
    <w:uiPriority w:val="99"/>
    <w:unhideWhenUsed/>
    <w:rsid w:val="00CC4B1D"/>
    <w:rPr>
      <w:color w:val="467886" w:themeColor="hyperlink"/>
      <w:u w:val="single"/>
    </w:rPr>
  </w:style>
  <w:style w:type="character" w:customStyle="1" w:styleId="UnresolvedMention1">
    <w:name w:val="Unresolved Mention1"/>
    <w:basedOn w:val="DefaultParagraphFont"/>
    <w:uiPriority w:val="99"/>
    <w:semiHidden/>
    <w:unhideWhenUsed/>
    <w:rsid w:val="00CC4B1D"/>
    <w:rPr>
      <w:color w:val="605E5C"/>
      <w:shd w:val="clear" w:color="auto" w:fill="E1DFDD"/>
    </w:rPr>
  </w:style>
  <w:style w:type="character" w:customStyle="1" w:styleId="UnresolvedMention2">
    <w:name w:val="Unresolved Mention2"/>
    <w:basedOn w:val="DefaultParagraphFont"/>
    <w:uiPriority w:val="99"/>
    <w:semiHidden/>
    <w:unhideWhenUsed/>
    <w:rsid w:val="009E0D3E"/>
    <w:rPr>
      <w:color w:val="605E5C"/>
      <w:shd w:val="clear" w:color="auto" w:fill="E1DFDD"/>
    </w:rPr>
  </w:style>
  <w:style w:type="table" w:styleId="TableGrid">
    <w:name w:val="Table Grid"/>
    <w:basedOn w:val="TableNormal"/>
    <w:uiPriority w:val="39"/>
    <w:rsid w:val="00C0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rsid w:val="00A87DD9"/>
    <w:pPr>
      <w:keepNext/>
      <w:spacing w:after="240" w:line="240" w:lineRule="auto"/>
    </w:pPr>
    <w:rPr>
      <w:rFonts w:ascii="Helvetica" w:eastAsia="Times New Roman" w:hAnsi="Helvetica" w:cs="Times New Roman"/>
      <w:b/>
      <w:caps/>
      <w:kern w:val="0"/>
      <w:sz w:val="22"/>
      <w:szCs w:val="20"/>
      <w:lang w:val="en-US"/>
      <w14:ligatures w14:val="none"/>
    </w:rPr>
  </w:style>
  <w:style w:type="paragraph" w:styleId="Header">
    <w:name w:val="header"/>
    <w:basedOn w:val="Normal"/>
    <w:link w:val="HeaderChar"/>
    <w:uiPriority w:val="99"/>
    <w:unhideWhenUsed/>
    <w:rsid w:val="00D27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C8"/>
  </w:style>
  <w:style w:type="paragraph" w:styleId="Footer">
    <w:name w:val="footer"/>
    <w:basedOn w:val="Normal"/>
    <w:link w:val="FooterChar"/>
    <w:uiPriority w:val="99"/>
    <w:unhideWhenUsed/>
    <w:rsid w:val="00D27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C8"/>
  </w:style>
  <w:style w:type="character" w:customStyle="1" w:styleId="UnresolvedMention">
    <w:name w:val="Unresolved Mention"/>
    <w:basedOn w:val="DefaultParagraphFont"/>
    <w:uiPriority w:val="99"/>
    <w:semiHidden/>
    <w:unhideWhenUsed/>
    <w:rsid w:val="00310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732">
      <w:bodyDiv w:val="1"/>
      <w:marLeft w:val="0"/>
      <w:marRight w:val="0"/>
      <w:marTop w:val="0"/>
      <w:marBottom w:val="0"/>
      <w:divBdr>
        <w:top w:val="none" w:sz="0" w:space="0" w:color="auto"/>
        <w:left w:val="none" w:sz="0" w:space="0" w:color="auto"/>
        <w:bottom w:val="none" w:sz="0" w:space="0" w:color="auto"/>
        <w:right w:val="none" w:sz="0" w:space="0" w:color="auto"/>
      </w:divBdr>
    </w:div>
    <w:div w:id="197744094">
      <w:bodyDiv w:val="1"/>
      <w:marLeft w:val="0"/>
      <w:marRight w:val="0"/>
      <w:marTop w:val="0"/>
      <w:marBottom w:val="0"/>
      <w:divBdr>
        <w:top w:val="none" w:sz="0" w:space="0" w:color="auto"/>
        <w:left w:val="none" w:sz="0" w:space="0" w:color="auto"/>
        <w:bottom w:val="none" w:sz="0" w:space="0" w:color="auto"/>
        <w:right w:val="none" w:sz="0" w:space="0" w:color="auto"/>
      </w:divBdr>
    </w:div>
    <w:div w:id="342165510">
      <w:bodyDiv w:val="1"/>
      <w:marLeft w:val="0"/>
      <w:marRight w:val="0"/>
      <w:marTop w:val="0"/>
      <w:marBottom w:val="0"/>
      <w:divBdr>
        <w:top w:val="none" w:sz="0" w:space="0" w:color="auto"/>
        <w:left w:val="none" w:sz="0" w:space="0" w:color="auto"/>
        <w:bottom w:val="none" w:sz="0" w:space="0" w:color="auto"/>
        <w:right w:val="none" w:sz="0" w:space="0" w:color="auto"/>
      </w:divBdr>
    </w:div>
    <w:div w:id="422459581">
      <w:bodyDiv w:val="1"/>
      <w:marLeft w:val="0"/>
      <w:marRight w:val="0"/>
      <w:marTop w:val="0"/>
      <w:marBottom w:val="0"/>
      <w:divBdr>
        <w:top w:val="none" w:sz="0" w:space="0" w:color="auto"/>
        <w:left w:val="none" w:sz="0" w:space="0" w:color="auto"/>
        <w:bottom w:val="none" w:sz="0" w:space="0" w:color="auto"/>
        <w:right w:val="none" w:sz="0" w:space="0" w:color="auto"/>
      </w:divBdr>
    </w:div>
    <w:div w:id="135649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buildings15040553" TargetMode="External"/><Relationship Id="rId21" Type="http://schemas.openxmlformats.org/officeDocument/2006/relationships/hyperlink" Target="https://doi.org/10.3390/buildings15040548" TargetMode="External"/><Relationship Id="rId34" Type="http://schemas.openxmlformats.org/officeDocument/2006/relationships/hyperlink" Target="https://doi.org/10.1108/CI-04-2023-0068" TargetMode="External"/><Relationship Id="rId42" Type="http://schemas.openxmlformats.org/officeDocument/2006/relationships/hyperlink" Target="https://www.mckinsey.com/our-people/hemant-ahlawat" TargetMode="External"/><Relationship Id="rId47" Type="http://schemas.openxmlformats.org/officeDocument/2006/relationships/hyperlink" Target="https://doi.org/10.3390/su16156682" TargetMode="External"/><Relationship Id="rId50" Type="http://schemas.openxmlformats.org/officeDocument/2006/relationships/hyperlink" Target="https://doi.org/10.1016/j.ijpe.2021.108346" TargetMode="External"/><Relationship Id="rId55" Type="http://schemas.openxmlformats.org/officeDocument/2006/relationships/hyperlink" Target="https://doi.org/10.1016/j.jclepro.2022.131335"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buildings15111923" TargetMode="External"/><Relationship Id="rId29" Type="http://schemas.openxmlformats.org/officeDocument/2006/relationships/hyperlink" Target="https://doi.org/10.1016/j.joi.2017.08.007" TargetMode="External"/><Relationship Id="rId11" Type="http://schemas.openxmlformats.org/officeDocument/2006/relationships/image" Target="media/image1.png"/><Relationship Id="rId24" Type="http://schemas.openxmlformats.org/officeDocument/2006/relationships/hyperlink" Target="https://doi.org/10.1016/j.ssci.2024.106486" TargetMode="External"/><Relationship Id="rId32" Type="http://schemas.openxmlformats.org/officeDocument/2006/relationships/hyperlink" Target="https://doi.org/10.1002/ajim.23652" TargetMode="External"/><Relationship Id="rId37" Type="http://schemas.openxmlformats.org/officeDocument/2006/relationships/hyperlink" Target="https://arxiv.org/search/econ?searchtype=author&amp;query=Rashid%2C+A" TargetMode="External"/><Relationship Id="rId40" Type="http://schemas.openxmlformats.org/officeDocument/2006/relationships/hyperlink" Target="https://doi.org/10.1016/j.wasman.2022.06.007" TargetMode="External"/><Relationship Id="rId45" Type="http://schemas.openxmlformats.org/officeDocument/2006/relationships/hyperlink" Target="https://www.mckinsey.com/industries/real-estate/our-insights/how-circularity-can-make-the-built-environment-more-sustainable" TargetMode="External"/><Relationship Id="rId53" Type="http://schemas.openxmlformats.org/officeDocument/2006/relationships/hyperlink" Target="https://doi.org/10.3390/app13137989" TargetMode="External"/><Relationship Id="rId58" Type="http://schemas.openxmlformats.org/officeDocument/2006/relationships/hyperlink" Target="https://doi.org/10.1016/j.jclepro.2021.128639"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doi.org/10.46254/NA09.20240022" TargetMode="External"/><Relationship Id="rId14" Type="http://schemas.openxmlformats.org/officeDocument/2006/relationships/image" Target="media/image3.png"/><Relationship Id="rId22" Type="http://schemas.openxmlformats.org/officeDocument/2006/relationships/hyperlink" Target="https://doi.org/10.48550/arXiv.2503.13708" TargetMode="External"/><Relationship Id="rId27" Type="http://schemas.openxmlformats.org/officeDocument/2006/relationships/hyperlink" Target="https://doi.org/10.3390/app11030939" TargetMode="External"/><Relationship Id="rId30" Type="http://schemas.openxmlformats.org/officeDocument/2006/relationships/hyperlink" Target="https://doi.org/10.1136/bmj.n71" TargetMode="External"/><Relationship Id="rId35" Type="http://schemas.openxmlformats.org/officeDocument/2006/relationships/hyperlink" Target="https://doi.org/10.3390/buildings11110501" TargetMode="External"/><Relationship Id="rId43" Type="http://schemas.openxmlformats.org/officeDocument/2006/relationships/hyperlink" Target="https://www.mckinsey.com/our-people/jukka-maksimainen" TargetMode="External"/><Relationship Id="rId48" Type="http://schemas.openxmlformats.org/officeDocument/2006/relationships/hyperlink" Target="https://doi.org/10.1016/j.jclepro.2020.125485" TargetMode="External"/><Relationship Id="rId56" Type="http://schemas.openxmlformats.org/officeDocument/2006/relationships/hyperlink" Target="https://doi.org/10.1016/j.autcon.2023.104746" TargetMode="External"/><Relationship Id="rId64" Type="http://schemas.openxmlformats.org/officeDocument/2006/relationships/footer" Target="footer2.xml"/><Relationship Id="rId8" Type="http://schemas.openxmlformats.org/officeDocument/2006/relationships/hyperlink" Target="https://www.mckinsey.com/our-people/daniele-chiarella" TargetMode="External"/><Relationship Id="rId51" Type="http://schemas.openxmlformats.org/officeDocument/2006/relationships/hyperlink" Target="https://doi.org/10.1016/j.jobe.2023.107362"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doi.org/10.3390/app11030939" TargetMode="External"/><Relationship Id="rId25" Type="http://schemas.openxmlformats.org/officeDocument/2006/relationships/hyperlink" Target="https://doi.org/10.1061/(ASCE)CP.1943-5487.0000979" TargetMode="External"/><Relationship Id="rId33" Type="http://schemas.openxmlformats.org/officeDocument/2006/relationships/hyperlink" Target="https://doi.org/10.3389/fbuil.2024.1451727" TargetMode="External"/><Relationship Id="rId38" Type="http://schemas.openxmlformats.org/officeDocument/2006/relationships/hyperlink" Target="https://doi.org/10.48550/arXiv.2505.13048" TargetMode="External"/><Relationship Id="rId46" Type="http://schemas.openxmlformats.org/officeDocument/2006/relationships/hyperlink" Target="https://doi.org/10.62225/2583049X.2024.4.2.2432" TargetMode="External"/><Relationship Id="rId59" Type="http://schemas.openxmlformats.org/officeDocument/2006/relationships/hyperlink" Target="https://dx.doi.org/10.1016/j.spc.2021.11.032" TargetMode="External"/><Relationship Id="rId67" Type="http://schemas.openxmlformats.org/officeDocument/2006/relationships/fontTable" Target="fontTable.xml"/><Relationship Id="rId20" Type="http://schemas.openxmlformats.org/officeDocument/2006/relationships/hyperlink" Target="https://doi.org/10.1002/ieam.4774" TargetMode="External"/><Relationship Id="rId41" Type="http://schemas.openxmlformats.org/officeDocument/2006/relationships/hyperlink" Target="https://www.mckinsey.com/our-people/daniele-chiarella" TargetMode="External"/><Relationship Id="rId54" Type="http://schemas.openxmlformats.org/officeDocument/2006/relationships/hyperlink" Target="https://doi.org/10.1108/SASBE-05-2023-0111"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89/fbuil.2023.1239757" TargetMode="External"/><Relationship Id="rId23" Type="http://schemas.openxmlformats.org/officeDocument/2006/relationships/hyperlink" Target="https://doi.org/10.3390/su16104094" TargetMode="External"/><Relationship Id="rId28" Type="http://schemas.openxmlformats.org/officeDocument/2006/relationships/hyperlink" Target="https://doi.org/10.5334/bc.58" TargetMode="External"/><Relationship Id="rId36" Type="http://schemas.openxmlformats.org/officeDocument/2006/relationships/hyperlink" Target="https://doi.org/10.3390/su132312989" TargetMode="External"/><Relationship Id="rId49" Type="http://schemas.openxmlformats.org/officeDocument/2006/relationships/hyperlink" Target="https://doi.org/10.1002/bse.3264" TargetMode="External"/><Relationship Id="rId57" Type="http://schemas.openxmlformats.org/officeDocument/2006/relationships/hyperlink" Target="https://doi.org/10.3390/su132312989" TargetMode="External"/><Relationship Id="rId10" Type="http://schemas.openxmlformats.org/officeDocument/2006/relationships/hyperlink" Target="https://www.mckinsey.com/our-people/daniele-chiarella" TargetMode="External"/><Relationship Id="rId31" Type="http://schemas.openxmlformats.org/officeDocument/2006/relationships/hyperlink" Target="https://doi.org/10.1016/j.sftr.2025.100690" TargetMode="External"/><Relationship Id="rId44" Type="http://schemas.openxmlformats.org/officeDocument/2006/relationships/hyperlink" Target="https://www.mckinsey.com/our-people/sebastian-reiter" TargetMode="External"/><Relationship Id="rId52" Type="http://schemas.openxmlformats.org/officeDocument/2006/relationships/hyperlink" Target="https://doi.org/10.1108/SASBE-03-2022-0050" TargetMode="External"/><Relationship Id="rId60" Type="http://schemas.openxmlformats.org/officeDocument/2006/relationships/hyperlink" Target="https://doi.org/10.9734/cjast/2024/v43i104438"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ckinsey.com/our-people/daniele-chiarella" TargetMode="External"/><Relationship Id="rId13" Type="http://schemas.openxmlformats.org/officeDocument/2006/relationships/chart" Target="charts/chart1.xml"/><Relationship Id="rId18" Type="http://schemas.openxmlformats.org/officeDocument/2006/relationships/hyperlink" Target="https://doi.org/10.3390/su151511730" TargetMode="External"/><Relationship Id="rId39" Type="http://schemas.openxmlformats.org/officeDocument/2006/relationships/hyperlink" Target="https://doi.org/10.1016/j.cscee.2025.10115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Sheet2!$A$2:$A$23</c:f>
              <c:strCache>
                <c:ptCount val="22"/>
                <c:pt idx="0">
                  <c:v>Buildings</c:v>
                </c:pt>
                <c:pt idx="1">
                  <c:v>Engineering, Construction &amp; Architectural Management</c:v>
                </c:pt>
                <c:pt idx="2">
                  <c:v>Sustainability</c:v>
                </c:pt>
                <c:pt idx="3">
                  <c:v>Frontier in Built Environment</c:v>
                </c:pt>
                <c:pt idx="4">
                  <c:v>Applied Sciences</c:v>
                </c:pt>
                <c:pt idx="5">
                  <c:v>Environment, Development &amp; Sustainability</c:v>
                </c:pt>
                <c:pt idx="6">
                  <c:v>Integrated Environmental Assessment &amp; Management</c:v>
                </c:pt>
                <c:pt idx="7">
                  <c:v>Safety Science</c:v>
                </c:pt>
                <c:pt idx="8">
                  <c:v>Journal of Computing in Civil Engineering</c:v>
                </c:pt>
                <c:pt idx="9">
                  <c:v>Building and Cities</c:v>
                </c:pt>
                <c:pt idx="10">
                  <c:v>Sustainable Futures</c:v>
                </c:pt>
                <c:pt idx="11">
                  <c:v>Artificial Intelligence Review</c:v>
                </c:pt>
                <c:pt idx="12">
                  <c:v>Construction Innovation</c:v>
                </c:pt>
                <c:pt idx="13">
                  <c:v>Waste Management</c:v>
                </c:pt>
                <c:pt idx="14">
                  <c:v>Journal of Cleaner  Production</c:v>
                </c:pt>
                <c:pt idx="15">
                  <c:v>Iconic Research and Engineering Journals</c:v>
                </c:pt>
                <c:pt idx="16">
                  <c:v>Business Strategy and the Environment</c:v>
                </c:pt>
                <c:pt idx="17">
                  <c:v>Environmental Chemistry Letters</c:v>
                </c:pt>
                <c:pt idx="18">
                  <c:v>Journal of Building Engineering, </c:v>
                </c:pt>
                <c:pt idx="19">
                  <c:v>Smart and Sustainable Built Environment</c:v>
                </c:pt>
                <c:pt idx="20">
                  <c:v>Automation in Construction</c:v>
                </c:pt>
                <c:pt idx="21">
                  <c:v>Sustainable Production and Consumption</c:v>
                </c:pt>
              </c:strCache>
            </c:strRef>
          </c:cat>
          <c:val>
            <c:numRef>
              <c:f>Sheet2!$B$2:$B$23</c:f>
              <c:numCache>
                <c:formatCode>General</c:formatCode>
                <c:ptCount val="22"/>
                <c:pt idx="0">
                  <c:v>5</c:v>
                </c:pt>
                <c:pt idx="1">
                  <c:v>2</c:v>
                </c:pt>
                <c:pt idx="2">
                  <c:v>4</c:v>
                </c:pt>
                <c:pt idx="3">
                  <c:v>3</c:v>
                </c:pt>
                <c:pt idx="4">
                  <c:v>2</c:v>
                </c:pt>
                <c:pt idx="5">
                  <c:v>1</c:v>
                </c:pt>
                <c:pt idx="6">
                  <c:v>1</c:v>
                </c:pt>
                <c:pt idx="7">
                  <c:v>2</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numCache>
            </c:numRef>
          </c:val>
          <c:extLst>
            <c:ext xmlns:c16="http://schemas.microsoft.com/office/drawing/2014/chart" uri="{C3380CC4-5D6E-409C-BE32-E72D297353CC}">
              <c16:uniqueId val="{00000000-3283-4463-AB0F-4310A307DF7C}"/>
            </c:ext>
          </c:extLst>
        </c:ser>
        <c:dLbls>
          <c:showLegendKey val="0"/>
          <c:showVal val="0"/>
          <c:showCatName val="0"/>
          <c:showSerName val="0"/>
          <c:showPercent val="0"/>
          <c:showBubbleSize val="0"/>
        </c:dLbls>
        <c:gapWidth val="182"/>
        <c:axId val="1075849232"/>
        <c:axId val="1075844912"/>
      </c:barChart>
      <c:catAx>
        <c:axId val="1075849232"/>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Journal  Types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75844912"/>
        <c:crosses val="autoZero"/>
        <c:auto val="1"/>
        <c:lblAlgn val="ctr"/>
        <c:lblOffset val="100"/>
        <c:noMultiLvlLbl val="0"/>
      </c:catAx>
      <c:valAx>
        <c:axId val="107584491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Frequency</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849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FFD7E-03FE-48B4-8752-33CD57F4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5080</TotalTime>
  <Pages>14</Pages>
  <Words>7138</Words>
  <Characters>40691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Okimi</dc:creator>
  <cp:keywords/>
  <dc:description/>
  <cp:lastModifiedBy>Thomas Okimi</cp:lastModifiedBy>
  <cp:revision>69</cp:revision>
  <dcterms:created xsi:type="dcterms:W3CDTF">2025-06-25T09:01:00Z</dcterms:created>
  <dcterms:modified xsi:type="dcterms:W3CDTF">2025-07-25T10:23:00Z</dcterms:modified>
</cp:coreProperties>
</file>