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743F0" w14:textId="77777777" w:rsidR="00B9750B" w:rsidRPr="00D933B1" w:rsidRDefault="00B567B9" w:rsidP="00A75EC2">
      <w:pPr>
        <w:jc w:val="center"/>
        <w:rPr>
          <w:rFonts w:ascii="Times New Roman" w:hAnsi="Times New Roman" w:cs="Times New Roman"/>
          <w:b/>
          <w:bCs/>
          <w:sz w:val="32"/>
          <w:szCs w:val="32"/>
        </w:rPr>
      </w:pPr>
      <w:r w:rsidRPr="00D933B1">
        <w:rPr>
          <w:rFonts w:ascii="Times New Roman" w:hAnsi="Times New Roman" w:cs="Times New Roman"/>
          <w:b/>
          <w:bCs/>
          <w:sz w:val="32"/>
          <w:szCs w:val="32"/>
        </w:rPr>
        <w:t>COST ESTIMATION AND ANALYSIS FOR BETTER PROJECT BUDGETING</w:t>
      </w:r>
    </w:p>
    <w:p w14:paraId="2CACA23A" w14:textId="77777777" w:rsidR="00A75EC2" w:rsidRDefault="00A75EC2" w:rsidP="00A75EC2">
      <w:pPr>
        <w:spacing w:after="0"/>
        <w:jc w:val="center"/>
      </w:pPr>
    </w:p>
    <w:p w14:paraId="3146807F" w14:textId="77777777" w:rsidR="0030378E" w:rsidRDefault="0030378E" w:rsidP="00A75EC2">
      <w:pPr>
        <w:spacing w:after="0"/>
        <w:jc w:val="cente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BE6BE1" w14:paraId="08A15BF6" w14:textId="77777777" w:rsidTr="00BE6BE1">
        <w:trPr>
          <w:trHeight w:val="395"/>
        </w:trPr>
        <w:tc>
          <w:tcPr>
            <w:tcW w:w="9350" w:type="dxa"/>
            <w:tcBorders>
              <w:bottom w:val="single" w:sz="12" w:space="0" w:color="auto"/>
            </w:tcBorders>
          </w:tcPr>
          <w:p w14:paraId="75D85E2A" w14:textId="77777777" w:rsidR="00BE6BE1" w:rsidRPr="00D933B1" w:rsidRDefault="00BE6BE1">
            <w:pPr>
              <w:rPr>
                <w:rFonts w:ascii="Arial" w:hAnsi="Arial" w:cs="Arial"/>
                <w:b/>
              </w:rPr>
            </w:pPr>
            <w:r w:rsidRPr="00D933B1">
              <w:rPr>
                <w:rFonts w:ascii="Arial" w:hAnsi="Arial" w:cs="Arial"/>
                <w:b/>
              </w:rPr>
              <w:t>ABSTRACT</w:t>
            </w:r>
          </w:p>
        </w:tc>
      </w:tr>
      <w:tr w:rsidR="00BE6BE1" w:rsidRPr="00BE6BE1" w14:paraId="217409E7" w14:textId="77777777" w:rsidTr="00BE6BE1">
        <w:trPr>
          <w:trHeight w:val="4211"/>
        </w:trPr>
        <w:tc>
          <w:tcPr>
            <w:tcW w:w="9350" w:type="dxa"/>
            <w:tcBorders>
              <w:top w:val="single" w:sz="12" w:space="0" w:color="auto"/>
            </w:tcBorders>
          </w:tcPr>
          <w:p w14:paraId="315192A8" w14:textId="77777777" w:rsidR="00BE6BE1" w:rsidRPr="00D933B1" w:rsidRDefault="00BE6BE1" w:rsidP="00BE6BE1">
            <w:pPr>
              <w:rPr>
                <w:rFonts w:ascii="Arial" w:hAnsi="Arial" w:cs="Arial"/>
                <w:sz w:val="20"/>
              </w:rPr>
            </w:pPr>
            <w:r w:rsidRPr="00D933B1">
              <w:rPr>
                <w:rFonts w:ascii="Arial" w:hAnsi="Arial" w:cs="Arial"/>
                <w:sz w:val="20"/>
              </w:rPr>
              <w:t>Cost estimation and analysis are critical components of effective project planning, serving as the foundation for budgeting, resource allocation, and risk management. Accurate cost estimation enables project managers to predict financial requirements, identify potential cost overruns, and make informed decisions to ensure project success. This paper delves into the methodologies and tools used in cost estimation, including parametric, analogous, and bottom-up approaches, and evaluates their applicability across various project types and industries. Furthermore, the study emphasizes the importance of integrating cost analysis with project scheduling and risk assessment to create a comprehensive planning framework. By leveraging advanced techniques such as Monte Carlo simulations, earned value management (EVM), and machine learning algorithms, this research highlights how modern technologies can enhance the precision and reliability of cost estimates. The paper also explores the impact of external factors, such as market volatility, inflation, and supply chain disruptions, on cost estimation accuracy. Through case studies and empirical data, the study demonstrates how robust cost estimation and analysis can mitigate financial risks, optimize resource utilization, and improve overall project outcomes. The findings underscore the need for continuous refinement of cost estimation practices, supported by data-driven insights and collaborative stakeholder engagement, to adapt to the dynamic nature of project environments. This research contributes to the academic and practical understanding of cost estimation, offering actionable recommendations for project managers and policymakers to enhance project planning and execution in an increasingly complex and uncertain world.</w:t>
            </w:r>
          </w:p>
        </w:tc>
      </w:tr>
    </w:tbl>
    <w:p w14:paraId="7BACB8B5" w14:textId="77777777" w:rsidR="00BE6BE1" w:rsidRPr="00D933B1" w:rsidRDefault="00BE6BE1" w:rsidP="00BE6BE1">
      <w:pPr>
        <w:pStyle w:val="NormalWeb"/>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Arial" w:hAnsi="Arial" w:cs="Arial"/>
        </w:rPr>
      </w:pPr>
      <w:r w:rsidRPr="00D933B1">
        <w:rPr>
          <w:rFonts w:ascii="Arial" w:hAnsi="Arial" w:cs="Arial"/>
          <w:b/>
          <w:sz w:val="22"/>
        </w:rPr>
        <w:t>KEYWORDS</w:t>
      </w:r>
      <w:r w:rsidRPr="00D933B1">
        <w:rPr>
          <w:rFonts w:ascii="Arial" w:hAnsi="Arial" w:cs="Arial"/>
        </w:rPr>
        <w:t xml:space="preserve">: </w:t>
      </w:r>
      <w:r w:rsidRPr="00D933B1">
        <w:rPr>
          <w:rFonts w:ascii="Arial" w:hAnsi="Arial" w:cs="Arial"/>
          <w:sz w:val="20"/>
          <w:szCs w:val="20"/>
        </w:rPr>
        <w:t>Cost Estimation, Cost Analysis, Project Planning, Budgeting, Resource Allocation, Risk Management, Parametric Estimation, Analogous Estimation, Bottom-Up Estimation, Monte Carlo Simulations, Earned Value Management (EVM), Machine Learning, Market Volatility, Inflation, Supply Chain Disruptions, Financial Risk Mitigation, Data-Driven Insights, Stakeholder Engagement, Project Scheduling, Case Studies, Empirical Data.</w:t>
      </w:r>
    </w:p>
    <w:p w14:paraId="2C36F722" w14:textId="77777777" w:rsidR="00BE6BE1" w:rsidRPr="00D933B1" w:rsidRDefault="00BE6BE1" w:rsidP="00BE6BE1">
      <w:pPr>
        <w:pStyle w:val="NormalWeb"/>
        <w:rPr>
          <w:rFonts w:ascii="Arial" w:hAnsi="Arial" w:cs="Arial"/>
          <w:b/>
          <w:sz w:val="22"/>
          <w:szCs w:val="22"/>
        </w:rPr>
      </w:pPr>
      <w:r w:rsidRPr="00D933B1">
        <w:rPr>
          <w:rFonts w:ascii="Arial" w:hAnsi="Arial" w:cs="Arial"/>
          <w:b/>
          <w:sz w:val="22"/>
          <w:szCs w:val="22"/>
        </w:rPr>
        <w:t>1.0 INTRODUCTION</w:t>
      </w:r>
    </w:p>
    <w:p w14:paraId="53B3A519"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and analysis are foundational aspects of civil engineering, essential for the planning, execution, and successful completion of projects. Accurate cost estimation ensures that projects are delivered within the budget, meeting both the client’s financial expectations and the project’s technical requirements. Inadequate or inaccurate cost estimates can lead to significant budget overruns, project delays, and ultimately, project failure (Akinci &amp; Fischer, 1998).</w:t>
      </w:r>
    </w:p>
    <w:p w14:paraId="2DD19071"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and analysis are crucial components of project management in civil engineering, directly influencing the success and viability of projects. Despite the availability of numerous tools and methodologies, the industry continues to face significant challenges in achieving accurate cost estimates. These challenges often result in budget overruns, project delays, and compromised project quality, leading to dissatisfaction among stakeholders (Flyvbjerg et al., 2002; Love et al., 2015).</w:t>
      </w:r>
    </w:p>
    <w:p w14:paraId="5B9F0927" w14:textId="77777777" w:rsidR="00BE6BE1" w:rsidRPr="00D933B1" w:rsidRDefault="00385F48" w:rsidP="00D933B1">
      <w:pPr>
        <w:pStyle w:val="NormalWeb"/>
        <w:spacing w:before="0" w:beforeAutospacing="0" w:after="0" w:afterAutospacing="0"/>
        <w:rPr>
          <w:rFonts w:ascii="Arial" w:hAnsi="Arial" w:cs="Arial"/>
          <w:sz w:val="20"/>
          <w:szCs w:val="20"/>
        </w:rPr>
      </w:pPr>
      <w:r w:rsidRPr="00D933B1">
        <w:rPr>
          <w:rFonts w:ascii="Arial" w:hAnsi="Arial" w:cs="Arial"/>
          <w:sz w:val="20"/>
          <w:szCs w:val="20"/>
        </w:rPr>
        <w:lastRenderedPageBreak/>
        <w:t>One of the primary issues in cost estimation is the inherent uncertainty in predicting future expenses. Civil engineering projects are often large and complex, with numerous variables that can change throughout the project lifecycle. Factors such as fluctuating material costs, labor availability, weather conditions, and unforeseen site conditions contribute to this uncertainty (Ashworth, 2010). Traditional cost estimation methods, while widely used, are often inadequate in addressing these complexities. For example, methods like analogous estimating and parametric estimating rely on historical data and predefined parameters, which may not always reflect the unique aspects of a given project (Akintoye &amp; Fitzgerald, 2000).</w:t>
      </w:r>
    </w:p>
    <w:p w14:paraId="7F2F0FA8"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Cost estimation in civil engineering involves predicting the costs associated with materials, labor, equipment, and overheads required to complete a project. This process is influenced by various factors, including project scope, design complexity, geographical location, and market conditions (Akintoye &amp; Fitzgerald, 2000). These factors introduce uncertainties that can complicate the estimation process. To address these uncertainties, civil engineers use a variety of cost estimation methods, ranging from traditional approaches like unit rate estimation and parametric estimation to more advanced techniques such as probabilistic cost modeling and Building Information Modeling (BIM) (Ashworth, 2010; AACE International, 2016).</w:t>
      </w:r>
    </w:p>
    <w:p w14:paraId="4B788EDA"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BIM, in particular, has transformed the way cost estimation is approached in civil engineering. By integrating project data into a single digital model, BIM enables more accurate and dynamic cost estimation throughout the project lifecycle. Studies have shown that using BIM for cost estimation can reduce the risk of cost overruns by providing real-time data that reflects changes in design, material costs, and labor rates (Bryde et al., 2013). Furthermore, BIM facilitates better communication among project stakeholders, leading to more informed decision-making and enhanced project budgeting (Eastman et al., 2011).</w:t>
      </w:r>
    </w:p>
    <w:p w14:paraId="6B0D0D8C" w14:textId="77777777" w:rsidR="00385F48" w:rsidRPr="00D933B1" w:rsidRDefault="00385F48" w:rsidP="00D933B1">
      <w:pPr>
        <w:spacing w:after="0" w:line="420" w:lineRule="auto"/>
        <w:rPr>
          <w:rFonts w:ascii="Arial" w:hAnsi="Arial" w:cs="Arial"/>
          <w:sz w:val="20"/>
          <w:szCs w:val="20"/>
        </w:rPr>
      </w:pPr>
      <w:r w:rsidRPr="00D933B1">
        <w:rPr>
          <w:rFonts w:ascii="Arial" w:hAnsi="Arial" w:cs="Arial"/>
          <w:sz w:val="20"/>
          <w:szCs w:val="20"/>
        </w:rPr>
        <w:t>The importance of accurate cost estimation extends beyond budgeting; it is also critical for risk management. By conducting a detailed cost analysis, civil engineers can identify potential risks early in the project and develop strategies to mitigate them. This proactive approach to cost management not only helps in maintaining the project budget but also improves the overall efficiency and success rate of civil engineering projects (</w:t>
      </w:r>
      <w:proofErr w:type="spellStart"/>
      <w:r w:rsidRPr="00D933B1">
        <w:rPr>
          <w:rFonts w:ascii="Arial" w:hAnsi="Arial" w:cs="Arial"/>
          <w:sz w:val="20"/>
          <w:szCs w:val="20"/>
        </w:rPr>
        <w:t>Elbeltagi</w:t>
      </w:r>
      <w:proofErr w:type="spellEnd"/>
      <w:r w:rsidRPr="00D933B1">
        <w:rPr>
          <w:rFonts w:ascii="Arial" w:hAnsi="Arial" w:cs="Arial"/>
          <w:sz w:val="20"/>
          <w:szCs w:val="20"/>
        </w:rPr>
        <w:t xml:space="preserve"> &amp; Dawood, 2011).</w:t>
      </w:r>
    </w:p>
    <w:p w14:paraId="6ECD9138" w14:textId="77777777" w:rsidR="00385F48" w:rsidRPr="00D933B1" w:rsidRDefault="00385F48" w:rsidP="00D933B1">
      <w:pPr>
        <w:pStyle w:val="NormalWeb"/>
        <w:spacing w:before="0" w:beforeAutospacing="0" w:after="0" w:afterAutospacing="0"/>
        <w:rPr>
          <w:rFonts w:ascii="Arial" w:hAnsi="Arial" w:cs="Arial"/>
          <w:sz w:val="20"/>
          <w:szCs w:val="20"/>
        </w:rPr>
      </w:pPr>
      <w:r w:rsidRPr="00D933B1">
        <w:rPr>
          <w:rFonts w:ascii="Arial" w:hAnsi="Arial" w:cs="Arial"/>
          <w:sz w:val="20"/>
          <w:szCs w:val="20"/>
        </w:rPr>
        <w:t>Recent research emphasizes the need for continuous improvement in cost estimation practices. The increasing complexity of civil engineering projects, driven by technological advancements and evolving client demands, requires more sophisticated and adaptable cost estimation tools. As a result, the industry is witnessing a shift towards the integration of AI and machine learning algorithms in cost estimation, which promise to further enhance accuracy and efficiency (</w:t>
      </w:r>
      <w:proofErr w:type="spellStart"/>
      <w:r w:rsidRPr="00D933B1">
        <w:rPr>
          <w:rFonts w:ascii="Arial" w:hAnsi="Arial" w:cs="Arial"/>
          <w:sz w:val="20"/>
          <w:szCs w:val="20"/>
        </w:rPr>
        <w:t>Hajdu</w:t>
      </w:r>
      <w:proofErr w:type="spellEnd"/>
      <w:r w:rsidRPr="00D933B1">
        <w:rPr>
          <w:rFonts w:ascii="Arial" w:hAnsi="Arial" w:cs="Arial"/>
          <w:sz w:val="20"/>
          <w:szCs w:val="20"/>
        </w:rPr>
        <w:t xml:space="preserve"> &amp; </w:t>
      </w:r>
      <w:proofErr w:type="spellStart"/>
      <w:r w:rsidRPr="00D933B1">
        <w:rPr>
          <w:rFonts w:ascii="Arial" w:hAnsi="Arial" w:cs="Arial"/>
          <w:sz w:val="20"/>
          <w:szCs w:val="20"/>
        </w:rPr>
        <w:t>Skibniewski</w:t>
      </w:r>
      <w:proofErr w:type="spellEnd"/>
      <w:r w:rsidRPr="00D933B1">
        <w:rPr>
          <w:rFonts w:ascii="Arial" w:hAnsi="Arial" w:cs="Arial"/>
          <w:sz w:val="20"/>
          <w:szCs w:val="20"/>
        </w:rPr>
        <w:t>, 1996; Yang et al., 2016).</w:t>
      </w:r>
    </w:p>
    <w:p w14:paraId="5F48F7C5"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 xml:space="preserve">Another significant issue is the underestimation of project risks. Many cost estimators fail to adequately account for potential risks, leading to optimistic cost estimates that do not reflect the realities of project execution. This underestimation often results in budget overruns when risks materialize. Studies have shown that project managers and cost estimators frequently overlook or underestimate risks due to </w:t>
      </w:r>
      <w:r w:rsidRPr="00D933B1">
        <w:rPr>
          <w:rFonts w:ascii="Arial" w:hAnsi="Arial" w:cs="Arial"/>
          <w:sz w:val="20"/>
          <w:szCs w:val="24"/>
        </w:rPr>
        <w:lastRenderedPageBreak/>
        <w:t>cognitive biases or pressure to present lower costs to secure project approval (</w:t>
      </w:r>
      <w:proofErr w:type="spellStart"/>
      <w:r w:rsidRPr="00D933B1">
        <w:rPr>
          <w:rFonts w:ascii="Arial" w:hAnsi="Arial" w:cs="Arial"/>
          <w:sz w:val="20"/>
          <w:szCs w:val="24"/>
        </w:rPr>
        <w:t>Hajdu</w:t>
      </w:r>
      <w:proofErr w:type="spellEnd"/>
      <w:r w:rsidRPr="00D933B1">
        <w:rPr>
          <w:rFonts w:ascii="Arial" w:hAnsi="Arial" w:cs="Arial"/>
          <w:sz w:val="20"/>
          <w:szCs w:val="24"/>
        </w:rPr>
        <w:t xml:space="preserve"> &amp; </w:t>
      </w:r>
      <w:proofErr w:type="spellStart"/>
      <w:r w:rsidRPr="00D933B1">
        <w:rPr>
          <w:rFonts w:ascii="Arial" w:hAnsi="Arial" w:cs="Arial"/>
          <w:sz w:val="20"/>
          <w:szCs w:val="24"/>
        </w:rPr>
        <w:t>Skibniewski</w:t>
      </w:r>
      <w:proofErr w:type="spellEnd"/>
      <w:r w:rsidRPr="00D933B1">
        <w:rPr>
          <w:rFonts w:ascii="Arial" w:hAnsi="Arial" w:cs="Arial"/>
          <w:sz w:val="20"/>
          <w:szCs w:val="24"/>
        </w:rPr>
        <w:t>, 1996; Love et al., 2015).</w:t>
      </w:r>
    </w:p>
    <w:p w14:paraId="0D562619"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The advent of modern technologies, such as Building Information Modeling (BIM) and advanced cost management software, has introduced new possibilities for improving cost estimation accuracy. However, these technologies are not without their challenges. The adoption of BIM, for instance, requires significant upfront investment in both software and training, which can be a barrier for many firms. Additionally, while BIM provides more detailed and dynamic cost information, its effectiveness depends on the accuracy of the input data and the competency of the users (Bryde et al., 2013; Eastman et al., 2011).</w:t>
      </w:r>
    </w:p>
    <w:p w14:paraId="3D004547" w14:textId="77777777" w:rsidR="00385F48" w:rsidRPr="00D933B1" w:rsidRDefault="00385F48" w:rsidP="00D933B1">
      <w:pPr>
        <w:spacing w:after="0" w:line="420" w:lineRule="auto"/>
        <w:rPr>
          <w:rFonts w:ascii="Arial" w:hAnsi="Arial" w:cs="Arial"/>
          <w:sz w:val="20"/>
          <w:szCs w:val="24"/>
        </w:rPr>
      </w:pPr>
      <w:r w:rsidRPr="00D933B1">
        <w:rPr>
          <w:rFonts w:ascii="Arial" w:hAnsi="Arial" w:cs="Arial"/>
          <w:sz w:val="20"/>
          <w:szCs w:val="24"/>
        </w:rPr>
        <w:t>Furthermore, the integration of cost estimation with overall project management is often lacking. In many cases, cost estimation is treated as a separate function rather than an integral part of project planning and execution. This siloed approach can lead to misalignment between estimated costs and actual project expenditures, exacerbating budgetary issues (</w:t>
      </w:r>
      <w:proofErr w:type="spellStart"/>
      <w:r w:rsidRPr="00D933B1">
        <w:rPr>
          <w:rFonts w:ascii="Arial" w:hAnsi="Arial" w:cs="Arial"/>
          <w:sz w:val="20"/>
          <w:szCs w:val="24"/>
        </w:rPr>
        <w:t>Elbeltagi</w:t>
      </w:r>
      <w:proofErr w:type="spellEnd"/>
      <w:r w:rsidRPr="00D933B1">
        <w:rPr>
          <w:rFonts w:ascii="Arial" w:hAnsi="Arial" w:cs="Arial"/>
          <w:sz w:val="20"/>
          <w:szCs w:val="24"/>
        </w:rPr>
        <w:t xml:space="preserve"> &amp; Dawood, 2011).</w:t>
      </w:r>
    </w:p>
    <w:p w14:paraId="4E6E9779" w14:textId="77777777" w:rsidR="00385F48" w:rsidRPr="00D933B1" w:rsidRDefault="00564BDD" w:rsidP="00D933B1">
      <w:pPr>
        <w:spacing w:before="240" w:after="0" w:line="420" w:lineRule="auto"/>
        <w:rPr>
          <w:rFonts w:ascii="Arial" w:hAnsi="Arial" w:cs="Arial"/>
          <w:b/>
        </w:rPr>
      </w:pPr>
      <w:r w:rsidRPr="00D933B1">
        <w:rPr>
          <w:rFonts w:ascii="Arial" w:hAnsi="Arial" w:cs="Arial"/>
          <w:b/>
        </w:rPr>
        <w:t xml:space="preserve">2.0 </w:t>
      </w:r>
      <w:r w:rsidR="00385F48" w:rsidRPr="00D933B1">
        <w:rPr>
          <w:rFonts w:ascii="Arial" w:hAnsi="Arial" w:cs="Arial"/>
          <w:b/>
        </w:rPr>
        <w:t>MATERIAL AND METHOD</w:t>
      </w:r>
    </w:p>
    <w:p w14:paraId="03B5DF44" w14:textId="77777777" w:rsidR="00385F48" w:rsidRPr="00D933B1" w:rsidRDefault="00564BDD" w:rsidP="00D933B1">
      <w:pPr>
        <w:spacing w:after="0" w:line="420" w:lineRule="auto"/>
        <w:rPr>
          <w:rFonts w:ascii="Arial" w:hAnsi="Arial" w:cs="Arial"/>
          <w:b/>
        </w:rPr>
      </w:pPr>
      <w:r w:rsidRPr="00D933B1">
        <w:rPr>
          <w:rFonts w:ascii="Arial" w:hAnsi="Arial" w:cs="Arial"/>
          <w:b/>
        </w:rPr>
        <w:t xml:space="preserve">2.1 </w:t>
      </w:r>
      <w:r w:rsidR="00385F48" w:rsidRPr="00D933B1">
        <w:rPr>
          <w:rFonts w:ascii="Arial" w:hAnsi="Arial" w:cs="Arial"/>
          <w:b/>
        </w:rPr>
        <w:t>METHODOLOGY</w:t>
      </w:r>
    </w:p>
    <w:p w14:paraId="7342F32A" w14:textId="77777777" w:rsidR="00385F48" w:rsidRPr="00D933B1" w:rsidRDefault="00564BDD" w:rsidP="00385F48">
      <w:pPr>
        <w:spacing w:line="420" w:lineRule="auto"/>
        <w:rPr>
          <w:rFonts w:ascii="Arial" w:hAnsi="Arial" w:cs="Arial"/>
          <w:sz w:val="20"/>
          <w:szCs w:val="20"/>
        </w:rPr>
      </w:pPr>
      <w:r w:rsidRPr="00D933B1">
        <w:rPr>
          <w:rFonts w:ascii="Arial" w:hAnsi="Arial" w:cs="Arial"/>
          <w:sz w:val="20"/>
          <w:szCs w:val="20"/>
        </w:rPr>
        <w:t>The methodology followed a systematic approach to data collection, cost estimation, and analysis. Six cost estimation techniques were applied, including unit rate estimation, factor estimation, detailed quantity takeoff, approximate estimate, parametric estimation, and cost index estimation. These techniques were implemented on a sample project: a single-</w:t>
      </w:r>
      <w:proofErr w:type="spellStart"/>
      <w:r w:rsidRPr="00D933B1">
        <w:rPr>
          <w:rFonts w:ascii="Arial" w:hAnsi="Arial" w:cs="Arial"/>
          <w:sz w:val="20"/>
          <w:szCs w:val="20"/>
        </w:rPr>
        <w:t>storey</w:t>
      </w:r>
      <w:proofErr w:type="spellEnd"/>
      <w:r w:rsidRPr="00D933B1">
        <w:rPr>
          <w:rFonts w:ascii="Arial" w:hAnsi="Arial" w:cs="Arial"/>
          <w:sz w:val="20"/>
          <w:szCs w:val="20"/>
        </w:rPr>
        <w:t xml:space="preserve"> residential building.</w:t>
      </w:r>
    </w:p>
    <w:p w14:paraId="6A778CB0" w14:textId="77777777" w:rsidR="00564BDD" w:rsidRPr="00D933B1" w:rsidRDefault="00564BDD" w:rsidP="00385F48">
      <w:pPr>
        <w:spacing w:line="420" w:lineRule="auto"/>
        <w:rPr>
          <w:rFonts w:ascii="Arial" w:hAnsi="Arial" w:cs="Arial"/>
          <w:b/>
        </w:rPr>
      </w:pPr>
      <w:r w:rsidRPr="00D933B1">
        <w:rPr>
          <w:rFonts w:ascii="Arial" w:hAnsi="Arial" w:cs="Arial"/>
          <w:b/>
        </w:rPr>
        <w:t>2.2 Data Collection</w:t>
      </w:r>
    </w:p>
    <w:p w14:paraId="075D34A7" w14:textId="77777777" w:rsidR="00564BDD" w:rsidRPr="00D933B1" w:rsidRDefault="00564BDD" w:rsidP="00564BDD">
      <w:pPr>
        <w:spacing w:line="420" w:lineRule="auto"/>
        <w:rPr>
          <w:rFonts w:ascii="Arial" w:hAnsi="Arial" w:cs="Arial"/>
          <w:sz w:val="20"/>
          <w:szCs w:val="20"/>
        </w:rPr>
      </w:pPr>
      <w:r>
        <w:rPr>
          <w:sz w:val="28"/>
          <w:szCs w:val="28"/>
        </w:rPr>
        <w:t xml:space="preserve">   </w:t>
      </w:r>
      <w:r w:rsidRPr="00D933B1">
        <w:rPr>
          <w:rFonts w:ascii="Arial" w:hAnsi="Arial" w:cs="Arial"/>
          <w:sz w:val="20"/>
          <w:szCs w:val="20"/>
        </w:rPr>
        <w:t>- Market prices for construction materials (cement, sand, gravel) and labor rates were obtained from local suppliers and contractors.</w:t>
      </w:r>
    </w:p>
    <w:p w14:paraId="1DB98FAF"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Historical project data from similar construction works was sourced to establish baselines for each estimation technique.</w:t>
      </w:r>
    </w:p>
    <w:p w14:paraId="72C9FC12" w14:textId="77777777" w:rsidR="00564BDD" w:rsidRPr="00D933B1" w:rsidRDefault="00564BDD" w:rsidP="00564BDD">
      <w:pPr>
        <w:spacing w:line="420" w:lineRule="auto"/>
        <w:rPr>
          <w:rFonts w:ascii="Arial" w:hAnsi="Arial" w:cs="Arial"/>
          <w:b/>
          <w:bCs/>
        </w:rPr>
      </w:pPr>
      <w:r w:rsidRPr="00D933B1">
        <w:rPr>
          <w:rFonts w:ascii="Arial" w:hAnsi="Arial" w:cs="Arial"/>
          <w:b/>
          <w:bCs/>
        </w:rPr>
        <w:t>2.2.1 Application of Estimation Techniques</w:t>
      </w:r>
    </w:p>
    <w:p w14:paraId="49D83407"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Each cost estimation technique was applied to the project based on the data gathered.</w:t>
      </w:r>
    </w:p>
    <w:p w14:paraId="0650C331"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   - Calculations for material quantities, labor costs, and total project costs were carried out for each technique.</w:t>
      </w:r>
    </w:p>
    <w:p w14:paraId="635CEFB0" w14:textId="77777777" w:rsidR="00564BDD" w:rsidRPr="00D933B1" w:rsidRDefault="00564BDD" w:rsidP="00564BDD">
      <w:pPr>
        <w:spacing w:line="420" w:lineRule="auto"/>
        <w:rPr>
          <w:rFonts w:ascii="Arial" w:hAnsi="Arial" w:cs="Arial"/>
          <w:b/>
          <w:bCs/>
          <w:sz w:val="20"/>
          <w:szCs w:val="20"/>
        </w:rPr>
      </w:pPr>
      <w:r w:rsidRPr="00D933B1">
        <w:rPr>
          <w:rFonts w:ascii="Arial" w:hAnsi="Arial" w:cs="Arial"/>
          <w:b/>
          <w:bCs/>
          <w:sz w:val="20"/>
          <w:szCs w:val="20"/>
        </w:rPr>
        <w:t>2.2.2 Analysis and Comparison</w:t>
      </w:r>
    </w:p>
    <w:p w14:paraId="7F641850"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lastRenderedPageBreak/>
        <w:t xml:space="preserve">   - The results of each estimation technique were analyzed and compared.</w:t>
      </w:r>
    </w:p>
    <w:p w14:paraId="3E05AC0D" w14:textId="77777777" w:rsidR="00564BDD" w:rsidRDefault="00564BDD" w:rsidP="00564BDD">
      <w:pPr>
        <w:spacing w:line="420" w:lineRule="auto"/>
        <w:rPr>
          <w:sz w:val="28"/>
          <w:szCs w:val="28"/>
        </w:rPr>
      </w:pPr>
      <w:r w:rsidRPr="00D933B1">
        <w:rPr>
          <w:rFonts w:ascii="Arial" w:hAnsi="Arial" w:cs="Arial"/>
          <w:sz w:val="20"/>
          <w:szCs w:val="20"/>
        </w:rPr>
        <w:t xml:space="preserve">   - Variations between the techniques were evaluated based on accuracy, simplicity, and relevance to civil engineering projects.</w:t>
      </w:r>
    </w:p>
    <w:p w14:paraId="7AA63347" w14:textId="77777777" w:rsidR="00564BDD" w:rsidRPr="00D933B1" w:rsidRDefault="00564BDD" w:rsidP="00564BDD">
      <w:pPr>
        <w:spacing w:line="420" w:lineRule="auto"/>
        <w:rPr>
          <w:rFonts w:ascii="Arial" w:hAnsi="Arial" w:cs="Arial"/>
          <w:b/>
          <w:bCs/>
        </w:rPr>
      </w:pPr>
      <w:r w:rsidRPr="00D933B1">
        <w:rPr>
          <w:rFonts w:ascii="Arial" w:hAnsi="Arial" w:cs="Arial"/>
          <w:b/>
          <w:bCs/>
        </w:rPr>
        <w:t>2.2.3 Validation</w:t>
      </w:r>
    </w:p>
    <w:p w14:paraId="550A32B6" w14:textId="77777777" w:rsidR="00564BDD" w:rsidRPr="00D933B1" w:rsidRDefault="00564BDD" w:rsidP="00564BDD">
      <w:pPr>
        <w:spacing w:line="420" w:lineRule="auto"/>
        <w:rPr>
          <w:rFonts w:ascii="Arial" w:hAnsi="Arial" w:cs="Arial"/>
        </w:rPr>
      </w:pPr>
      <w:r w:rsidRPr="00D933B1">
        <w:rPr>
          <w:rFonts w:ascii="Arial" w:hAnsi="Arial" w:cs="Arial"/>
        </w:rPr>
        <w:t xml:space="preserve">   - The estimated costs were compared to actual costs from similar past projects to ensure validity and reliability.</w:t>
      </w:r>
    </w:p>
    <w:p w14:paraId="03485D24" w14:textId="77777777" w:rsidR="00564BDD" w:rsidRPr="00D933B1" w:rsidRDefault="00564BDD" w:rsidP="00564BDD">
      <w:pPr>
        <w:spacing w:line="420" w:lineRule="auto"/>
        <w:rPr>
          <w:rFonts w:ascii="Arial" w:hAnsi="Arial" w:cs="Arial"/>
        </w:rPr>
      </w:pPr>
      <w:r w:rsidRPr="00D933B1">
        <w:rPr>
          <w:rFonts w:ascii="Arial" w:hAnsi="Arial" w:cs="Arial"/>
          <w:b/>
          <w:bCs/>
        </w:rPr>
        <w:t>2.3 Materials</w:t>
      </w:r>
    </w:p>
    <w:p w14:paraId="0A29EC92"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following materials were used in the cost estimation process:</w:t>
      </w:r>
    </w:p>
    <w:p w14:paraId="05656341" w14:textId="77777777" w:rsidR="00564BDD" w:rsidRPr="00D933B1" w:rsidRDefault="00564BDD" w:rsidP="00564BDD">
      <w:pPr>
        <w:spacing w:line="420" w:lineRule="auto"/>
        <w:rPr>
          <w:rFonts w:ascii="Arial" w:hAnsi="Arial" w:cs="Arial"/>
          <w:sz w:val="20"/>
          <w:szCs w:val="20"/>
        </w:rPr>
      </w:pPr>
    </w:p>
    <w:p w14:paraId="1D9D604A" w14:textId="77777777" w:rsidR="00564BDD" w:rsidRPr="00D933B1" w:rsidRDefault="00564BDD" w:rsidP="00564BDD">
      <w:pPr>
        <w:pStyle w:val="ListParagraph"/>
        <w:numPr>
          <w:ilvl w:val="0"/>
          <w:numId w:val="2"/>
        </w:numPr>
        <w:spacing w:line="420" w:lineRule="auto"/>
        <w:rPr>
          <w:rFonts w:ascii="Arial" w:hAnsi="Arial" w:cs="Arial"/>
          <w:sz w:val="20"/>
          <w:szCs w:val="20"/>
        </w:rPr>
      </w:pPr>
      <w:r w:rsidRPr="00D933B1">
        <w:rPr>
          <w:rFonts w:ascii="Arial" w:hAnsi="Arial" w:cs="Arial"/>
          <w:sz w:val="20"/>
          <w:szCs w:val="20"/>
        </w:rPr>
        <w:t>Cement (Ordinary Portland Cement): Commonly used for structural components, with a unit price of ₦8,000 per 50 kg bag.</w:t>
      </w:r>
    </w:p>
    <w:p w14:paraId="3983BD7E" w14:textId="77777777" w:rsidR="00564BDD" w:rsidRPr="00D933B1" w:rsidRDefault="00564BDD" w:rsidP="00564BDD">
      <w:pPr>
        <w:pStyle w:val="ListParagraph"/>
        <w:numPr>
          <w:ilvl w:val="0"/>
          <w:numId w:val="3"/>
        </w:numPr>
        <w:spacing w:line="420" w:lineRule="auto"/>
        <w:rPr>
          <w:rFonts w:ascii="Arial" w:hAnsi="Arial" w:cs="Arial"/>
          <w:sz w:val="20"/>
          <w:szCs w:val="20"/>
        </w:rPr>
      </w:pPr>
      <w:r w:rsidRPr="00D933B1">
        <w:rPr>
          <w:rFonts w:ascii="Arial" w:hAnsi="Arial" w:cs="Arial"/>
          <w:sz w:val="20"/>
          <w:szCs w:val="20"/>
        </w:rPr>
        <w:t xml:space="preserve">Sand (Fine Aggregate): Sourced for concrete mixing and foundation works, measured in </w:t>
      </w:r>
      <w:proofErr w:type="spellStart"/>
      <w:r w:rsidRPr="00D933B1">
        <w:rPr>
          <w:rFonts w:ascii="Arial" w:hAnsi="Arial" w:cs="Arial"/>
          <w:sz w:val="20"/>
          <w:szCs w:val="20"/>
        </w:rPr>
        <w:t>tonnes</w:t>
      </w:r>
      <w:proofErr w:type="spellEnd"/>
      <w:r w:rsidRPr="00D933B1">
        <w:rPr>
          <w:rFonts w:ascii="Arial" w:hAnsi="Arial" w:cs="Arial"/>
          <w:sz w:val="20"/>
          <w:szCs w:val="20"/>
        </w:rPr>
        <w:t>.</w:t>
      </w:r>
    </w:p>
    <w:p w14:paraId="0E097014" w14:textId="77777777" w:rsidR="00564BDD" w:rsidRPr="00D933B1" w:rsidRDefault="00564BDD" w:rsidP="00564BDD">
      <w:pPr>
        <w:pStyle w:val="ListParagraph"/>
        <w:numPr>
          <w:ilvl w:val="0"/>
          <w:numId w:val="4"/>
        </w:numPr>
        <w:spacing w:line="420" w:lineRule="auto"/>
        <w:rPr>
          <w:rFonts w:ascii="Arial" w:hAnsi="Arial" w:cs="Arial"/>
          <w:sz w:val="20"/>
          <w:szCs w:val="20"/>
        </w:rPr>
      </w:pPr>
      <w:r w:rsidRPr="00D933B1">
        <w:rPr>
          <w:rFonts w:ascii="Arial" w:hAnsi="Arial" w:cs="Arial"/>
          <w:sz w:val="20"/>
          <w:szCs w:val="20"/>
        </w:rPr>
        <w:t xml:space="preserve">Gravel (Coarse Aggregate): Utilized as a concrete component, measured in </w:t>
      </w:r>
      <w:proofErr w:type="spellStart"/>
      <w:r w:rsidRPr="00D933B1">
        <w:rPr>
          <w:rFonts w:ascii="Arial" w:hAnsi="Arial" w:cs="Arial"/>
          <w:sz w:val="20"/>
          <w:szCs w:val="20"/>
        </w:rPr>
        <w:t>tonnes</w:t>
      </w:r>
      <w:proofErr w:type="spellEnd"/>
      <w:r w:rsidRPr="00D933B1">
        <w:rPr>
          <w:rFonts w:ascii="Arial" w:hAnsi="Arial" w:cs="Arial"/>
          <w:sz w:val="20"/>
          <w:szCs w:val="20"/>
        </w:rPr>
        <w:t>.</w:t>
      </w:r>
    </w:p>
    <w:p w14:paraId="1B1D78EC" w14:textId="77777777" w:rsidR="00564BDD" w:rsidRPr="00D933B1" w:rsidRDefault="00564BDD" w:rsidP="00564BDD">
      <w:pPr>
        <w:pStyle w:val="ListParagraph"/>
        <w:numPr>
          <w:ilvl w:val="0"/>
          <w:numId w:val="5"/>
        </w:numPr>
        <w:spacing w:line="420" w:lineRule="auto"/>
        <w:rPr>
          <w:rFonts w:ascii="Arial" w:hAnsi="Arial" w:cs="Arial"/>
          <w:sz w:val="20"/>
          <w:szCs w:val="20"/>
        </w:rPr>
      </w:pPr>
      <w:r w:rsidRPr="00D933B1">
        <w:rPr>
          <w:rFonts w:ascii="Arial" w:hAnsi="Arial" w:cs="Arial"/>
          <w:sz w:val="20"/>
          <w:szCs w:val="20"/>
        </w:rPr>
        <w:t>Reinforcement Bars (Steel Rods): Employed for reinforcing concrete structures, measured in kilograms.</w:t>
      </w:r>
    </w:p>
    <w:p w14:paraId="54B4BE6A" w14:textId="77777777" w:rsidR="00564BDD" w:rsidRPr="00D933B1" w:rsidRDefault="00564BDD" w:rsidP="00564BDD">
      <w:pPr>
        <w:pStyle w:val="ListParagraph"/>
        <w:numPr>
          <w:ilvl w:val="0"/>
          <w:numId w:val="6"/>
        </w:numPr>
        <w:spacing w:line="420" w:lineRule="auto"/>
        <w:rPr>
          <w:rFonts w:ascii="Arial" w:hAnsi="Arial" w:cs="Arial"/>
          <w:sz w:val="20"/>
          <w:szCs w:val="20"/>
        </w:rPr>
      </w:pPr>
      <w:r w:rsidRPr="00D933B1">
        <w:rPr>
          <w:rFonts w:ascii="Arial" w:hAnsi="Arial" w:cs="Arial"/>
          <w:sz w:val="20"/>
          <w:szCs w:val="20"/>
        </w:rPr>
        <w:t>Water: Potable water used in mixing concrete.</w:t>
      </w:r>
    </w:p>
    <w:p w14:paraId="34F9C9B1"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Material quantities were calculated using standard civil engineering measurement techniques, and prices were based on the current market rates.</w:t>
      </w:r>
    </w:p>
    <w:p w14:paraId="6DBB5554" w14:textId="77777777" w:rsidR="00564BDD" w:rsidRPr="00D933B1" w:rsidRDefault="00564BDD" w:rsidP="00564BDD">
      <w:pPr>
        <w:spacing w:line="420" w:lineRule="auto"/>
        <w:rPr>
          <w:rFonts w:ascii="Arial" w:hAnsi="Arial" w:cs="Arial"/>
          <w:b/>
          <w:bCs/>
        </w:rPr>
      </w:pPr>
      <w:r w:rsidRPr="00D933B1">
        <w:rPr>
          <w:rFonts w:ascii="Arial" w:hAnsi="Arial" w:cs="Arial"/>
          <w:b/>
          <w:bCs/>
        </w:rPr>
        <w:t>2.3 Equipment</w:t>
      </w:r>
    </w:p>
    <w:p w14:paraId="46C5630A"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following equipment was used in the data collection and estimation processes:</w:t>
      </w:r>
    </w:p>
    <w:p w14:paraId="1D754349" w14:textId="77777777" w:rsidR="00564BDD" w:rsidRPr="00D933B1" w:rsidRDefault="00564BDD" w:rsidP="00564BDD">
      <w:pPr>
        <w:pStyle w:val="ListParagraph"/>
        <w:numPr>
          <w:ilvl w:val="0"/>
          <w:numId w:val="7"/>
        </w:numPr>
        <w:spacing w:line="420" w:lineRule="auto"/>
        <w:rPr>
          <w:rFonts w:ascii="Arial" w:hAnsi="Arial" w:cs="Arial"/>
          <w:sz w:val="20"/>
          <w:szCs w:val="20"/>
        </w:rPr>
      </w:pPr>
      <w:r w:rsidRPr="00D933B1">
        <w:rPr>
          <w:rFonts w:ascii="Arial" w:hAnsi="Arial" w:cs="Arial"/>
          <w:sz w:val="20"/>
          <w:szCs w:val="20"/>
        </w:rPr>
        <w:t>Measuring Tape: Used to take dimensional measurements of the building project.</w:t>
      </w:r>
    </w:p>
    <w:p w14:paraId="36A31A64" w14:textId="77777777" w:rsidR="00564BDD" w:rsidRPr="00D933B1" w:rsidRDefault="00564BDD" w:rsidP="00564BDD">
      <w:pPr>
        <w:pStyle w:val="ListParagraph"/>
        <w:numPr>
          <w:ilvl w:val="0"/>
          <w:numId w:val="8"/>
        </w:numPr>
        <w:spacing w:line="420" w:lineRule="auto"/>
        <w:rPr>
          <w:rFonts w:ascii="Arial" w:hAnsi="Arial" w:cs="Arial"/>
          <w:sz w:val="20"/>
          <w:szCs w:val="20"/>
        </w:rPr>
      </w:pPr>
      <w:r w:rsidRPr="00D933B1">
        <w:rPr>
          <w:rFonts w:ascii="Arial" w:hAnsi="Arial" w:cs="Arial"/>
          <w:sz w:val="20"/>
          <w:szCs w:val="20"/>
        </w:rPr>
        <w:t>Weighing Scale: Employed for measuring material quantities, such as cement and aggregates.</w:t>
      </w:r>
    </w:p>
    <w:p w14:paraId="2A38441F" w14:textId="77777777" w:rsidR="00564BDD" w:rsidRPr="00D933B1" w:rsidRDefault="00564BDD" w:rsidP="00564BDD">
      <w:pPr>
        <w:pStyle w:val="ListParagraph"/>
        <w:numPr>
          <w:ilvl w:val="0"/>
          <w:numId w:val="9"/>
        </w:numPr>
        <w:spacing w:line="420" w:lineRule="auto"/>
        <w:rPr>
          <w:rFonts w:ascii="Arial" w:hAnsi="Arial" w:cs="Arial"/>
          <w:sz w:val="20"/>
          <w:szCs w:val="20"/>
        </w:rPr>
      </w:pPr>
      <w:r w:rsidRPr="00D933B1">
        <w:rPr>
          <w:rFonts w:ascii="Arial" w:hAnsi="Arial" w:cs="Arial"/>
          <w:sz w:val="20"/>
          <w:szCs w:val="20"/>
        </w:rPr>
        <w:t>Computer Software (MS Excel): Used for calculations, data analysis, and creating cost estimation tables.</w:t>
      </w:r>
    </w:p>
    <w:p w14:paraId="4B9A3247" w14:textId="77777777" w:rsidR="00564BDD" w:rsidRPr="00D933B1" w:rsidRDefault="00564BDD" w:rsidP="00564BDD">
      <w:pPr>
        <w:pStyle w:val="ListParagraph"/>
        <w:numPr>
          <w:ilvl w:val="0"/>
          <w:numId w:val="10"/>
        </w:numPr>
        <w:spacing w:line="420" w:lineRule="auto"/>
        <w:rPr>
          <w:rFonts w:ascii="Arial" w:hAnsi="Arial" w:cs="Arial"/>
          <w:sz w:val="20"/>
          <w:szCs w:val="20"/>
        </w:rPr>
      </w:pPr>
      <w:r w:rsidRPr="00D933B1">
        <w:rPr>
          <w:rFonts w:ascii="Arial" w:hAnsi="Arial" w:cs="Arial"/>
          <w:sz w:val="20"/>
          <w:szCs w:val="20"/>
        </w:rPr>
        <w:t>Concrete Mixer: Although not directly used in the cost estimation process, it was relevant to the actual construction work.</w:t>
      </w:r>
    </w:p>
    <w:p w14:paraId="75879F89" w14:textId="77777777" w:rsidR="00564BDD" w:rsidRPr="00D933B1" w:rsidRDefault="00564BDD" w:rsidP="00564BDD">
      <w:pPr>
        <w:pStyle w:val="ListParagraph"/>
        <w:numPr>
          <w:ilvl w:val="0"/>
          <w:numId w:val="11"/>
        </w:numPr>
        <w:spacing w:line="420" w:lineRule="auto"/>
        <w:rPr>
          <w:rFonts w:ascii="Arial" w:hAnsi="Arial" w:cs="Arial"/>
          <w:sz w:val="20"/>
          <w:szCs w:val="20"/>
        </w:rPr>
      </w:pPr>
      <w:r w:rsidRPr="00D933B1">
        <w:rPr>
          <w:rFonts w:ascii="Arial" w:hAnsi="Arial" w:cs="Arial"/>
          <w:sz w:val="20"/>
          <w:szCs w:val="20"/>
        </w:rPr>
        <w:t>Calculator: Utilized for quick, on-site cost calculations.</w:t>
      </w:r>
    </w:p>
    <w:p w14:paraId="6F00517D" w14:textId="77777777" w:rsidR="00564BDD" w:rsidRPr="00D933B1" w:rsidRDefault="00564BDD" w:rsidP="00564BDD">
      <w:pPr>
        <w:spacing w:line="420" w:lineRule="auto"/>
        <w:rPr>
          <w:rFonts w:ascii="Arial" w:hAnsi="Arial" w:cs="Arial"/>
        </w:rPr>
      </w:pPr>
      <w:r w:rsidRPr="00D933B1">
        <w:rPr>
          <w:rFonts w:ascii="Arial" w:hAnsi="Arial" w:cs="Arial"/>
          <w:b/>
          <w:bCs/>
        </w:rPr>
        <w:lastRenderedPageBreak/>
        <w:t>2.4 Tests and Procedures</w:t>
      </w:r>
    </w:p>
    <w:p w14:paraId="7A431906" w14:textId="77777777" w:rsidR="00564BDD" w:rsidRPr="00D933B1" w:rsidRDefault="00564BDD" w:rsidP="00D933B1">
      <w:pPr>
        <w:spacing w:line="420" w:lineRule="auto"/>
        <w:rPr>
          <w:rFonts w:ascii="Arial" w:hAnsi="Arial" w:cs="Arial"/>
          <w:sz w:val="20"/>
          <w:szCs w:val="20"/>
        </w:rPr>
      </w:pPr>
      <w:r w:rsidRPr="00D933B1">
        <w:rPr>
          <w:rFonts w:ascii="Arial" w:hAnsi="Arial" w:cs="Arial"/>
          <w:sz w:val="20"/>
          <w:szCs w:val="20"/>
        </w:rPr>
        <w:t>The following procedures were used to apply the cost estimation techniques to the construction project:</w:t>
      </w:r>
    </w:p>
    <w:p w14:paraId="7B23FBAE" w14:textId="77777777" w:rsidR="00564BDD" w:rsidRPr="00D933B1" w:rsidRDefault="00564BDD" w:rsidP="00564BDD">
      <w:pPr>
        <w:spacing w:line="420" w:lineRule="auto"/>
        <w:rPr>
          <w:rFonts w:ascii="Arial" w:hAnsi="Arial" w:cs="Arial"/>
          <w:sz w:val="20"/>
          <w:szCs w:val="20"/>
        </w:rPr>
      </w:pPr>
      <w:r w:rsidRPr="00D933B1">
        <w:rPr>
          <w:rFonts w:ascii="Arial" w:hAnsi="Arial" w:cs="Arial"/>
          <w:b/>
        </w:rPr>
        <w:t>2.4.1 Unit Rate Estimation</w:t>
      </w:r>
      <w:r w:rsidRPr="00564BDD">
        <w:rPr>
          <w:sz w:val="28"/>
          <w:szCs w:val="28"/>
        </w:rPr>
        <w:t xml:space="preserve">: </w:t>
      </w:r>
      <w:r w:rsidRPr="00D933B1">
        <w:rPr>
          <w:rFonts w:ascii="Arial" w:hAnsi="Arial" w:cs="Arial"/>
          <w:sz w:val="20"/>
          <w:szCs w:val="20"/>
        </w:rPr>
        <w:t>The Unit Rate Estimation method followed these steps:</w:t>
      </w:r>
    </w:p>
    <w:p w14:paraId="2E7B2FD5"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1. Quantification of Materials: The required quantities of materials (e.g., cement, sand, gravel, reinforcement bars) were measured based on standard construction procedures.   </w:t>
      </w:r>
    </w:p>
    <w:p w14:paraId="46E6CE54"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2. Application of Unit Prices: The unit prices for materials and labor were applied based on market data.</w:t>
      </w:r>
    </w:p>
    <w:p w14:paraId="1F863F17"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3. Total Cost Calculation: The quantities were multiplied by their respective unit prices to derive the total project cost.</w:t>
      </w:r>
    </w:p>
    <w:p w14:paraId="7C2F0F46" w14:textId="77777777" w:rsidR="00564BDD" w:rsidRPr="00D933B1" w:rsidRDefault="00564BDD" w:rsidP="00564BDD">
      <w:pPr>
        <w:spacing w:line="420" w:lineRule="auto"/>
        <w:rPr>
          <w:rFonts w:ascii="Arial" w:hAnsi="Arial" w:cs="Arial"/>
          <w:sz w:val="20"/>
          <w:szCs w:val="20"/>
        </w:rPr>
      </w:pPr>
      <w:r w:rsidRPr="00D933B1">
        <w:rPr>
          <w:rFonts w:ascii="Arial" w:hAnsi="Arial" w:cs="Arial"/>
          <w:b/>
        </w:rPr>
        <w:t>2.4.2 Factor Estimation</w:t>
      </w:r>
      <w:r w:rsidRPr="00D933B1">
        <w:rPr>
          <w:rFonts w:ascii="Arial" w:hAnsi="Arial" w:cs="Arial"/>
          <w:sz w:val="20"/>
          <w:szCs w:val="20"/>
        </w:rPr>
        <w:t>: The Factor Estimation technique was carried out as follows:</w:t>
      </w:r>
    </w:p>
    <w:p w14:paraId="3469D9EE"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1. Base Cost Calculation:  The base cost, consisting of material and labor costs, was computed.</w:t>
      </w:r>
    </w:p>
    <w:p w14:paraId="5BDA4FB5"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Application of the Factor: A multiplier of 1.25 was applied to account for overheads and contingencies, derived from previous project data.</w:t>
      </w:r>
    </w:p>
    <w:p w14:paraId="6130C132" w14:textId="77777777" w:rsidR="00564BDD" w:rsidRPr="00D933B1" w:rsidRDefault="00564BDD" w:rsidP="00564BDD">
      <w:pPr>
        <w:spacing w:line="420" w:lineRule="auto"/>
        <w:rPr>
          <w:rFonts w:ascii="Arial" w:hAnsi="Arial" w:cs="Arial"/>
          <w:sz w:val="20"/>
          <w:szCs w:val="20"/>
        </w:rPr>
      </w:pPr>
      <w:r w:rsidRPr="00D933B1">
        <w:rPr>
          <w:rFonts w:ascii="Arial" w:hAnsi="Arial" w:cs="Arial"/>
          <w:b/>
          <w:bCs/>
        </w:rPr>
        <w:t>2.4.3 Detailed Quantity Takeoff</w:t>
      </w:r>
      <w:r w:rsidRPr="00564BDD">
        <w:rPr>
          <w:b/>
          <w:bCs/>
          <w:sz w:val="28"/>
          <w:szCs w:val="28"/>
        </w:rPr>
        <w:t xml:space="preserve">: </w:t>
      </w:r>
      <w:r w:rsidR="00BB51EE" w:rsidRPr="00D933B1">
        <w:rPr>
          <w:rFonts w:ascii="Arial" w:hAnsi="Arial" w:cs="Arial"/>
          <w:sz w:val="20"/>
          <w:szCs w:val="20"/>
        </w:rPr>
        <w:t xml:space="preserve">Detailed Quantity Takeoff </w:t>
      </w:r>
      <w:r w:rsidRPr="00D933B1">
        <w:rPr>
          <w:rFonts w:ascii="Arial" w:hAnsi="Arial" w:cs="Arial"/>
          <w:sz w:val="20"/>
          <w:szCs w:val="20"/>
        </w:rPr>
        <w:t>involved these steps:</w:t>
      </w:r>
    </w:p>
    <w:p w14:paraId="26709154"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1. Breakdown of Project Components:  The project was divided into individual work components (e.g., foundation, walls, and roofing).</w:t>
      </w:r>
    </w:p>
    <w:p w14:paraId="47840826"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Quantity Measurement: The quantity of each material needed for every component was measured using standard construction practices.</w:t>
      </w:r>
    </w:p>
    <w:p w14:paraId="2F398255"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3. Application of Unit Rates: The unit rates for materials and labor were applied to calculate the cost for each component.</w:t>
      </w:r>
    </w:p>
    <w:p w14:paraId="4C49B944" w14:textId="77777777" w:rsidR="00564BDD" w:rsidRPr="00D933B1" w:rsidRDefault="00564BDD" w:rsidP="00564BDD">
      <w:pPr>
        <w:spacing w:line="420" w:lineRule="auto"/>
        <w:rPr>
          <w:rFonts w:ascii="Arial" w:hAnsi="Arial" w:cs="Arial"/>
        </w:rPr>
      </w:pPr>
      <w:r w:rsidRPr="00D933B1">
        <w:rPr>
          <w:rFonts w:ascii="Arial" w:hAnsi="Arial" w:cs="Arial"/>
          <w:b/>
          <w:bCs/>
        </w:rPr>
        <w:t>2.4.4 Approximate Estimate</w:t>
      </w:r>
    </w:p>
    <w:p w14:paraId="43553CFF"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Approximate Estimate method was performed as follows:</w:t>
      </w:r>
    </w:p>
    <w:p w14:paraId="3811CD91"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 xml:space="preserve">1. Historical Data Analysis:  Data from similar past projects was analyzed to estimate costs.   </w:t>
      </w:r>
    </w:p>
    <w:p w14:paraId="1E07FFBB" w14:textId="77777777" w:rsidR="00564BDD" w:rsidRPr="00BB51EE" w:rsidRDefault="00564BDD" w:rsidP="00BB51EE">
      <w:pPr>
        <w:spacing w:line="420" w:lineRule="auto"/>
        <w:rPr>
          <w:sz w:val="28"/>
          <w:szCs w:val="28"/>
        </w:rPr>
      </w:pPr>
      <w:r w:rsidRPr="00D933B1">
        <w:rPr>
          <w:rFonts w:ascii="Arial" w:hAnsi="Arial" w:cs="Arial"/>
          <w:sz w:val="20"/>
          <w:szCs w:val="20"/>
        </w:rPr>
        <w:t>2. Adjustment for Market Conditions: The estimated costs were adjusted for current market prices and inflation.</w:t>
      </w:r>
    </w:p>
    <w:p w14:paraId="33EA6A6C" w14:textId="77777777" w:rsidR="00564BDD" w:rsidRPr="00D933B1" w:rsidRDefault="00564BDD" w:rsidP="00564BDD">
      <w:pPr>
        <w:spacing w:line="420" w:lineRule="auto"/>
        <w:rPr>
          <w:rFonts w:ascii="Arial" w:hAnsi="Arial" w:cs="Arial"/>
        </w:rPr>
      </w:pPr>
      <w:r w:rsidRPr="00D933B1">
        <w:rPr>
          <w:rFonts w:ascii="Arial" w:hAnsi="Arial" w:cs="Arial"/>
          <w:b/>
          <w:bCs/>
        </w:rPr>
        <w:lastRenderedPageBreak/>
        <w:t>2.4.5 Parametric Estimation</w:t>
      </w:r>
    </w:p>
    <w:p w14:paraId="430181A2"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Parametric Estimation method followed this procedure:</w:t>
      </w:r>
    </w:p>
    <w:p w14:paraId="2BD6F9DF"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 xml:space="preserve">1. Selection of a Key Parameter: The floor area of the building (120 m²) was chosen as the key parameter.   </w:t>
      </w:r>
    </w:p>
    <w:p w14:paraId="713CA791" w14:textId="77777777" w:rsidR="00564BDD" w:rsidRPr="00D933B1" w:rsidRDefault="00564BDD" w:rsidP="00BB51EE">
      <w:pPr>
        <w:spacing w:line="420" w:lineRule="auto"/>
        <w:rPr>
          <w:rFonts w:ascii="Arial" w:hAnsi="Arial" w:cs="Arial"/>
          <w:sz w:val="20"/>
          <w:szCs w:val="20"/>
        </w:rPr>
      </w:pPr>
      <w:r w:rsidRPr="00D933B1">
        <w:rPr>
          <w:rFonts w:ascii="Arial" w:hAnsi="Arial" w:cs="Arial"/>
          <w:sz w:val="20"/>
          <w:szCs w:val="20"/>
        </w:rPr>
        <w:t>2. Application of Cost per Unit Parameter: The total floor area was multiplied by the cost per square meter (₦45,000) to estimate the total project cost.</w:t>
      </w:r>
    </w:p>
    <w:p w14:paraId="3EF5516C" w14:textId="77777777" w:rsidR="00564BDD" w:rsidRPr="00D933B1" w:rsidRDefault="00564BDD" w:rsidP="00564BDD">
      <w:pPr>
        <w:spacing w:line="420" w:lineRule="auto"/>
        <w:rPr>
          <w:rFonts w:ascii="Arial" w:hAnsi="Arial" w:cs="Arial"/>
          <w:b/>
          <w:bCs/>
        </w:rPr>
      </w:pPr>
      <w:r w:rsidRPr="00D933B1">
        <w:rPr>
          <w:rFonts w:ascii="Arial" w:hAnsi="Arial" w:cs="Arial"/>
          <w:b/>
          <w:bCs/>
        </w:rPr>
        <w:t>2.4.6 Cost Index Estimation</w:t>
      </w:r>
    </w:p>
    <w:p w14:paraId="64417DDD"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The Cost Index Estimation technique was conducted as follows:</w:t>
      </w:r>
    </w:p>
    <w:p w14:paraId="3F867B20"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 xml:space="preserve">1. Collection of Historical Project Data: The cost of a similar project completed in the past was obtained for comparison.   </w:t>
      </w:r>
    </w:p>
    <w:p w14:paraId="252E4D6C" w14:textId="77777777" w:rsidR="00564BDD" w:rsidRPr="00D933B1" w:rsidRDefault="00564BDD" w:rsidP="00564BDD">
      <w:pPr>
        <w:spacing w:line="420" w:lineRule="auto"/>
        <w:rPr>
          <w:rFonts w:ascii="Arial" w:hAnsi="Arial" w:cs="Arial"/>
          <w:sz w:val="20"/>
          <w:szCs w:val="20"/>
        </w:rPr>
      </w:pPr>
      <w:r w:rsidRPr="00D933B1">
        <w:rPr>
          <w:rFonts w:ascii="Arial" w:hAnsi="Arial" w:cs="Arial"/>
          <w:sz w:val="20"/>
          <w:szCs w:val="20"/>
        </w:rPr>
        <w:t>2. Application of Cost Index: A cost index of 1.15 was applied to adjust the historical project cost to the current market rate.</w:t>
      </w:r>
    </w:p>
    <w:p w14:paraId="7C5CF70E" w14:textId="77777777" w:rsidR="00385F48" w:rsidRPr="00D933B1" w:rsidRDefault="00BB51EE" w:rsidP="00385F48">
      <w:pPr>
        <w:pStyle w:val="NormalWeb"/>
        <w:rPr>
          <w:rFonts w:ascii="Arial" w:hAnsi="Arial" w:cs="Arial"/>
          <w:b/>
          <w:sz w:val="22"/>
          <w:szCs w:val="22"/>
        </w:rPr>
      </w:pPr>
      <w:r w:rsidRPr="00D933B1">
        <w:rPr>
          <w:rFonts w:ascii="Arial" w:hAnsi="Arial" w:cs="Arial"/>
          <w:b/>
          <w:sz w:val="22"/>
          <w:szCs w:val="22"/>
        </w:rPr>
        <w:t>3.0 RESULTS AND DISCUSSION</w:t>
      </w:r>
    </w:p>
    <w:p w14:paraId="157ED797" w14:textId="77777777" w:rsidR="00BB51EE" w:rsidRPr="00D933B1" w:rsidRDefault="00BB51EE" w:rsidP="00385F48">
      <w:pPr>
        <w:pStyle w:val="NormalWeb"/>
        <w:rPr>
          <w:rFonts w:ascii="Arial" w:hAnsi="Arial" w:cs="Arial"/>
          <w:b/>
          <w:sz w:val="22"/>
          <w:szCs w:val="22"/>
        </w:rPr>
      </w:pPr>
      <w:r w:rsidRPr="00D933B1">
        <w:rPr>
          <w:rFonts w:ascii="Arial" w:hAnsi="Arial" w:cs="Arial"/>
          <w:b/>
          <w:sz w:val="22"/>
          <w:szCs w:val="22"/>
        </w:rPr>
        <w:t>3.1 Cost Estimation Techniques</w:t>
      </w:r>
    </w:p>
    <w:p w14:paraId="3E2166F1" w14:textId="77777777" w:rsidR="00BB51EE" w:rsidRPr="00D933B1" w:rsidRDefault="00BB51EE" w:rsidP="00BB51EE">
      <w:pPr>
        <w:spacing w:line="420" w:lineRule="auto"/>
        <w:jc w:val="both"/>
        <w:rPr>
          <w:rFonts w:ascii="Arial" w:hAnsi="Arial" w:cs="Arial"/>
          <w:sz w:val="20"/>
          <w:szCs w:val="20"/>
        </w:rPr>
      </w:pPr>
      <w:r w:rsidRPr="00D933B1">
        <w:rPr>
          <w:rFonts w:ascii="Arial" w:hAnsi="Arial" w:cs="Arial"/>
          <w:sz w:val="20"/>
          <w:szCs w:val="20"/>
        </w:rPr>
        <w:t>The six cost estimation techniques utilized for the analysis include:</w:t>
      </w:r>
    </w:p>
    <w:p w14:paraId="2276F00A"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Unit Rate Estimation</w:t>
      </w:r>
    </w:p>
    <w:p w14:paraId="47E363DC"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Factor Estimation</w:t>
      </w:r>
    </w:p>
    <w:p w14:paraId="797AB98C"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Detailed Quantity Takeoff</w:t>
      </w:r>
    </w:p>
    <w:p w14:paraId="742D2CC3"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Approximate Estimate</w:t>
      </w:r>
    </w:p>
    <w:p w14:paraId="041B2D41"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Parametric Estimation</w:t>
      </w:r>
    </w:p>
    <w:p w14:paraId="21A3C632" w14:textId="77777777" w:rsidR="00BB51EE" w:rsidRPr="00D933B1" w:rsidRDefault="00BB51EE" w:rsidP="00BB51EE">
      <w:pPr>
        <w:pStyle w:val="ListParagraph"/>
        <w:numPr>
          <w:ilvl w:val="0"/>
          <w:numId w:val="12"/>
        </w:numPr>
        <w:spacing w:line="420" w:lineRule="auto"/>
        <w:jc w:val="both"/>
        <w:rPr>
          <w:rFonts w:ascii="Arial" w:hAnsi="Arial" w:cs="Arial"/>
          <w:sz w:val="20"/>
          <w:szCs w:val="20"/>
        </w:rPr>
      </w:pPr>
      <w:r w:rsidRPr="00D933B1">
        <w:rPr>
          <w:rFonts w:ascii="Arial" w:hAnsi="Arial" w:cs="Arial"/>
          <w:sz w:val="20"/>
          <w:szCs w:val="20"/>
        </w:rPr>
        <w:t>Cost Index Estimation</w:t>
      </w:r>
    </w:p>
    <w:p w14:paraId="22F72CC1" w14:textId="77777777" w:rsidR="00BB51EE" w:rsidRPr="00D933B1" w:rsidRDefault="00BB51EE" w:rsidP="00BB51EE">
      <w:pPr>
        <w:spacing w:line="420" w:lineRule="auto"/>
        <w:jc w:val="both"/>
        <w:rPr>
          <w:rFonts w:ascii="Arial" w:hAnsi="Arial" w:cs="Arial"/>
          <w:sz w:val="20"/>
          <w:szCs w:val="20"/>
        </w:rPr>
      </w:pPr>
      <w:r w:rsidRPr="00D933B1">
        <w:rPr>
          <w:rFonts w:ascii="Arial" w:hAnsi="Arial" w:cs="Arial"/>
          <w:sz w:val="20"/>
          <w:szCs w:val="20"/>
        </w:rPr>
        <w:t>The following sections provide a detailed presentation of the results derived from these techniques.</w:t>
      </w:r>
    </w:p>
    <w:p w14:paraId="7F7CB19D" w14:textId="77777777" w:rsidR="00BB51EE" w:rsidRDefault="00BB51EE" w:rsidP="00BB51EE">
      <w:pPr>
        <w:spacing w:line="420" w:lineRule="auto"/>
        <w:jc w:val="both"/>
        <w:rPr>
          <w:rFonts w:ascii="Arial" w:hAnsi="Arial" w:cs="Arial"/>
          <w:sz w:val="20"/>
          <w:szCs w:val="20"/>
        </w:rPr>
      </w:pPr>
      <w:r w:rsidRPr="009829E1">
        <w:rPr>
          <w:rFonts w:ascii="Arial" w:hAnsi="Arial" w:cs="Arial"/>
          <w:b/>
          <w:bCs/>
        </w:rPr>
        <w:t>3.2 Unit Rate Estimation:</w:t>
      </w:r>
      <w:r>
        <w:rPr>
          <w:b/>
          <w:bCs/>
          <w:sz w:val="24"/>
          <w:szCs w:val="24"/>
        </w:rPr>
        <w:t xml:space="preserve"> </w:t>
      </w:r>
      <w:r w:rsidRPr="009829E1">
        <w:rPr>
          <w:rFonts w:ascii="Arial" w:hAnsi="Arial" w:cs="Arial"/>
          <w:sz w:val="20"/>
          <w:szCs w:val="20"/>
        </w:rPr>
        <w:t>This technique involves determining the cost per unit of work and multiplying it by the quantity required for the project. For the single-</w:t>
      </w:r>
      <w:proofErr w:type="spellStart"/>
      <w:r w:rsidRPr="009829E1">
        <w:rPr>
          <w:rFonts w:ascii="Arial" w:hAnsi="Arial" w:cs="Arial"/>
          <w:sz w:val="20"/>
          <w:szCs w:val="20"/>
        </w:rPr>
        <w:t>storey</w:t>
      </w:r>
      <w:proofErr w:type="spellEnd"/>
      <w:r w:rsidRPr="009829E1">
        <w:rPr>
          <w:rFonts w:ascii="Arial" w:hAnsi="Arial" w:cs="Arial"/>
          <w:sz w:val="20"/>
          <w:szCs w:val="20"/>
        </w:rPr>
        <w:t xml:space="preserve"> building, the unit rates for materials, labor, and equipment were determined and the results are shown below.</w:t>
      </w:r>
    </w:p>
    <w:p w14:paraId="19B90DBC" w14:textId="70C76B29" w:rsidR="00A37BF9" w:rsidRPr="009829E1" w:rsidRDefault="00A37BF9" w:rsidP="00BB51EE">
      <w:pPr>
        <w:spacing w:line="420" w:lineRule="auto"/>
        <w:jc w:val="both"/>
        <w:rPr>
          <w:rFonts w:ascii="Arial" w:hAnsi="Arial" w:cs="Arial"/>
          <w:sz w:val="20"/>
          <w:szCs w:val="20"/>
        </w:rPr>
      </w:pPr>
      <w:r>
        <w:rPr>
          <w:rFonts w:ascii="Arial" w:hAnsi="Arial" w:cs="Arial"/>
          <w:sz w:val="20"/>
          <w:szCs w:val="20"/>
        </w:rPr>
        <w:t>Table 1.</w:t>
      </w:r>
      <w:r w:rsidR="00604AD1">
        <w:rPr>
          <w:rFonts w:ascii="Arial" w:hAnsi="Arial" w:cs="Arial"/>
          <w:sz w:val="20"/>
          <w:szCs w:val="20"/>
        </w:rPr>
        <w:t xml:space="preserve"> </w:t>
      </w:r>
      <w:r w:rsidR="007F1DD9">
        <w:rPr>
          <w:rFonts w:ascii="Arial" w:hAnsi="Arial" w:cs="Arial"/>
          <w:sz w:val="20"/>
          <w:szCs w:val="20"/>
        </w:rPr>
        <w:t>Results of the u</w:t>
      </w:r>
      <w:r w:rsidR="00604AD1" w:rsidRPr="00604AD1">
        <w:rPr>
          <w:rFonts w:ascii="Arial" w:hAnsi="Arial" w:cs="Arial"/>
          <w:sz w:val="20"/>
          <w:szCs w:val="20"/>
        </w:rPr>
        <w:t xml:space="preserve">nit rates for materials, </w:t>
      </w:r>
      <w:proofErr w:type="spellStart"/>
      <w:r w:rsidR="00604AD1">
        <w:rPr>
          <w:rFonts w:ascii="Arial" w:hAnsi="Arial" w:cs="Arial"/>
          <w:sz w:val="20"/>
          <w:szCs w:val="20"/>
        </w:rPr>
        <w:t>labour</w:t>
      </w:r>
      <w:proofErr w:type="spellEnd"/>
      <w:r w:rsidR="00604AD1" w:rsidRPr="00604AD1">
        <w:rPr>
          <w:rFonts w:ascii="Arial" w:hAnsi="Arial" w:cs="Arial"/>
          <w:sz w:val="20"/>
          <w:szCs w:val="20"/>
        </w:rPr>
        <w:t>, and equipment for the single-</w:t>
      </w:r>
      <w:proofErr w:type="spellStart"/>
      <w:r w:rsidR="00604AD1" w:rsidRPr="00604AD1">
        <w:rPr>
          <w:rFonts w:ascii="Arial" w:hAnsi="Arial" w:cs="Arial"/>
          <w:sz w:val="20"/>
          <w:szCs w:val="20"/>
        </w:rPr>
        <w:t>storey</w:t>
      </w:r>
      <w:proofErr w:type="spellEnd"/>
      <w:r w:rsidR="00604AD1" w:rsidRPr="00604AD1">
        <w:rPr>
          <w:rFonts w:ascii="Arial" w:hAnsi="Arial" w:cs="Arial"/>
          <w:sz w:val="20"/>
          <w:szCs w:val="20"/>
        </w:rPr>
        <w:t xml:space="preserve"> building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5"/>
        <w:gridCol w:w="2197"/>
        <w:gridCol w:w="1633"/>
        <w:gridCol w:w="1915"/>
      </w:tblGrid>
      <w:tr w:rsidR="00BB51EE" w:rsidRPr="009829E1" w14:paraId="1154242F" w14:textId="77777777" w:rsidTr="007C52A4">
        <w:trPr>
          <w:trHeight w:val="815"/>
        </w:trPr>
        <w:tc>
          <w:tcPr>
            <w:tcW w:w="1915" w:type="dxa"/>
            <w:tcBorders>
              <w:top w:val="single" w:sz="4" w:space="0" w:color="auto"/>
              <w:left w:val="single" w:sz="4" w:space="0" w:color="auto"/>
              <w:bottom w:val="single" w:sz="4" w:space="0" w:color="auto"/>
              <w:right w:val="single" w:sz="4" w:space="0" w:color="auto"/>
            </w:tcBorders>
          </w:tcPr>
          <w:p w14:paraId="6DB6DB81"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lastRenderedPageBreak/>
              <w:t>Items</w:t>
            </w:r>
          </w:p>
        </w:tc>
        <w:tc>
          <w:tcPr>
            <w:tcW w:w="2197" w:type="dxa"/>
            <w:tcBorders>
              <w:top w:val="single" w:sz="4" w:space="0" w:color="auto"/>
              <w:left w:val="single" w:sz="4" w:space="0" w:color="auto"/>
              <w:bottom w:val="single" w:sz="4" w:space="0" w:color="auto"/>
              <w:right w:val="single" w:sz="4" w:space="0" w:color="auto"/>
            </w:tcBorders>
          </w:tcPr>
          <w:p w14:paraId="1B0FCD4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 xml:space="preserve">Quantity </w:t>
            </w:r>
          </w:p>
        </w:tc>
        <w:tc>
          <w:tcPr>
            <w:tcW w:w="1633" w:type="dxa"/>
            <w:tcBorders>
              <w:top w:val="single" w:sz="4" w:space="0" w:color="auto"/>
              <w:left w:val="single" w:sz="4" w:space="0" w:color="auto"/>
              <w:bottom w:val="single" w:sz="4" w:space="0" w:color="auto"/>
              <w:right w:val="single" w:sz="4" w:space="0" w:color="auto"/>
            </w:tcBorders>
          </w:tcPr>
          <w:p w14:paraId="4843593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Unit Rate (#)</w:t>
            </w:r>
          </w:p>
        </w:tc>
        <w:tc>
          <w:tcPr>
            <w:tcW w:w="1915" w:type="dxa"/>
            <w:tcBorders>
              <w:top w:val="single" w:sz="4" w:space="0" w:color="auto"/>
              <w:left w:val="single" w:sz="4" w:space="0" w:color="auto"/>
              <w:bottom w:val="single" w:sz="4" w:space="0" w:color="auto"/>
              <w:right w:val="single" w:sz="4" w:space="0" w:color="auto"/>
            </w:tcBorders>
          </w:tcPr>
          <w:p w14:paraId="5AC34C5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Total Cost (#)</w:t>
            </w:r>
          </w:p>
        </w:tc>
      </w:tr>
      <w:tr w:rsidR="00BB51EE" w:rsidRPr="009829E1" w14:paraId="1125153E" w14:textId="77777777" w:rsidTr="007C52A4">
        <w:tc>
          <w:tcPr>
            <w:tcW w:w="1915" w:type="dxa"/>
            <w:tcBorders>
              <w:top w:val="single" w:sz="4" w:space="0" w:color="auto"/>
              <w:left w:val="single" w:sz="4" w:space="0" w:color="auto"/>
              <w:bottom w:val="single" w:sz="4" w:space="0" w:color="auto"/>
              <w:right w:val="single" w:sz="4" w:space="0" w:color="auto"/>
            </w:tcBorders>
          </w:tcPr>
          <w:p w14:paraId="63FCE79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Cement (50kg)</w:t>
            </w:r>
          </w:p>
        </w:tc>
        <w:tc>
          <w:tcPr>
            <w:tcW w:w="2197" w:type="dxa"/>
            <w:tcBorders>
              <w:top w:val="single" w:sz="4" w:space="0" w:color="auto"/>
              <w:left w:val="single" w:sz="4" w:space="0" w:color="auto"/>
              <w:bottom w:val="single" w:sz="4" w:space="0" w:color="auto"/>
              <w:right w:val="single" w:sz="4" w:space="0" w:color="auto"/>
            </w:tcBorders>
          </w:tcPr>
          <w:p w14:paraId="784DF88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200</w:t>
            </w:r>
          </w:p>
        </w:tc>
        <w:tc>
          <w:tcPr>
            <w:tcW w:w="1633" w:type="dxa"/>
            <w:tcBorders>
              <w:top w:val="single" w:sz="4" w:space="0" w:color="auto"/>
              <w:left w:val="single" w:sz="4" w:space="0" w:color="auto"/>
              <w:bottom w:val="single" w:sz="4" w:space="0" w:color="auto"/>
              <w:right w:val="single" w:sz="4" w:space="0" w:color="auto"/>
            </w:tcBorders>
          </w:tcPr>
          <w:p w14:paraId="624531D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8,000</w:t>
            </w:r>
          </w:p>
        </w:tc>
        <w:tc>
          <w:tcPr>
            <w:tcW w:w="1915" w:type="dxa"/>
            <w:tcBorders>
              <w:top w:val="single" w:sz="4" w:space="0" w:color="auto"/>
              <w:left w:val="single" w:sz="4" w:space="0" w:color="auto"/>
              <w:bottom w:val="single" w:sz="4" w:space="0" w:color="auto"/>
              <w:right w:val="single" w:sz="4" w:space="0" w:color="auto"/>
            </w:tcBorders>
          </w:tcPr>
          <w:p w14:paraId="1396897C"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1,600,000</w:t>
            </w:r>
          </w:p>
        </w:tc>
      </w:tr>
      <w:tr w:rsidR="00BB51EE" w:rsidRPr="009829E1" w14:paraId="4AD0CD6C" w14:textId="77777777" w:rsidTr="007C52A4">
        <w:tc>
          <w:tcPr>
            <w:tcW w:w="1915" w:type="dxa"/>
            <w:tcBorders>
              <w:top w:val="single" w:sz="4" w:space="0" w:color="auto"/>
              <w:left w:val="single" w:sz="4" w:space="0" w:color="auto"/>
              <w:bottom w:val="single" w:sz="4" w:space="0" w:color="auto"/>
              <w:right w:val="single" w:sz="4" w:space="0" w:color="auto"/>
            </w:tcBorders>
          </w:tcPr>
          <w:p w14:paraId="56ACB208"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Sand (Trip)</w:t>
            </w:r>
          </w:p>
        </w:tc>
        <w:tc>
          <w:tcPr>
            <w:tcW w:w="2197" w:type="dxa"/>
            <w:tcBorders>
              <w:top w:val="single" w:sz="4" w:space="0" w:color="auto"/>
              <w:left w:val="single" w:sz="4" w:space="0" w:color="auto"/>
              <w:bottom w:val="single" w:sz="4" w:space="0" w:color="auto"/>
              <w:right w:val="single" w:sz="4" w:space="0" w:color="auto"/>
            </w:tcBorders>
          </w:tcPr>
          <w:p w14:paraId="3A36B3D3"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30</w:t>
            </w:r>
          </w:p>
        </w:tc>
        <w:tc>
          <w:tcPr>
            <w:tcW w:w="1633" w:type="dxa"/>
            <w:tcBorders>
              <w:top w:val="single" w:sz="4" w:space="0" w:color="auto"/>
              <w:left w:val="single" w:sz="4" w:space="0" w:color="auto"/>
              <w:bottom w:val="single" w:sz="4" w:space="0" w:color="auto"/>
              <w:right w:val="single" w:sz="4" w:space="0" w:color="auto"/>
            </w:tcBorders>
          </w:tcPr>
          <w:p w14:paraId="5F9D741A"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25,000</w:t>
            </w:r>
          </w:p>
        </w:tc>
        <w:tc>
          <w:tcPr>
            <w:tcW w:w="1915" w:type="dxa"/>
            <w:tcBorders>
              <w:top w:val="single" w:sz="4" w:space="0" w:color="auto"/>
              <w:left w:val="single" w:sz="4" w:space="0" w:color="auto"/>
              <w:bottom w:val="single" w:sz="4" w:space="0" w:color="auto"/>
              <w:right w:val="single" w:sz="4" w:space="0" w:color="auto"/>
            </w:tcBorders>
          </w:tcPr>
          <w:p w14:paraId="367BEA1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750,000</w:t>
            </w:r>
          </w:p>
        </w:tc>
      </w:tr>
      <w:tr w:rsidR="00BB51EE" w:rsidRPr="009829E1" w14:paraId="27E4D86F" w14:textId="77777777" w:rsidTr="007C52A4">
        <w:tc>
          <w:tcPr>
            <w:tcW w:w="1915" w:type="dxa"/>
            <w:tcBorders>
              <w:top w:val="single" w:sz="4" w:space="0" w:color="auto"/>
              <w:left w:val="single" w:sz="4" w:space="0" w:color="auto"/>
              <w:bottom w:val="single" w:sz="4" w:space="0" w:color="auto"/>
              <w:right w:val="single" w:sz="4" w:space="0" w:color="auto"/>
            </w:tcBorders>
          </w:tcPr>
          <w:p w14:paraId="47658A3E"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Gravel (Trip)</w:t>
            </w:r>
          </w:p>
        </w:tc>
        <w:tc>
          <w:tcPr>
            <w:tcW w:w="2197" w:type="dxa"/>
            <w:tcBorders>
              <w:top w:val="single" w:sz="4" w:space="0" w:color="auto"/>
              <w:left w:val="single" w:sz="4" w:space="0" w:color="auto"/>
              <w:bottom w:val="single" w:sz="4" w:space="0" w:color="auto"/>
              <w:right w:val="single" w:sz="4" w:space="0" w:color="auto"/>
            </w:tcBorders>
          </w:tcPr>
          <w:p w14:paraId="1D75367B"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40</w:t>
            </w:r>
          </w:p>
        </w:tc>
        <w:tc>
          <w:tcPr>
            <w:tcW w:w="1633" w:type="dxa"/>
            <w:tcBorders>
              <w:top w:val="single" w:sz="4" w:space="0" w:color="auto"/>
              <w:left w:val="single" w:sz="4" w:space="0" w:color="auto"/>
              <w:bottom w:val="single" w:sz="4" w:space="0" w:color="auto"/>
              <w:right w:val="single" w:sz="4" w:space="0" w:color="auto"/>
            </w:tcBorders>
          </w:tcPr>
          <w:p w14:paraId="34B7CAE0"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30,000</w:t>
            </w:r>
          </w:p>
        </w:tc>
        <w:tc>
          <w:tcPr>
            <w:tcW w:w="1915" w:type="dxa"/>
            <w:tcBorders>
              <w:top w:val="single" w:sz="4" w:space="0" w:color="auto"/>
              <w:left w:val="single" w:sz="4" w:space="0" w:color="auto"/>
              <w:bottom w:val="single" w:sz="4" w:space="0" w:color="auto"/>
              <w:right w:val="single" w:sz="4" w:space="0" w:color="auto"/>
            </w:tcBorders>
          </w:tcPr>
          <w:p w14:paraId="09EEC41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1,200,000</w:t>
            </w:r>
          </w:p>
        </w:tc>
      </w:tr>
      <w:tr w:rsidR="00BB51EE" w:rsidRPr="009829E1" w14:paraId="74912FC5" w14:textId="77777777" w:rsidTr="007C52A4">
        <w:trPr>
          <w:trHeight w:val="706"/>
        </w:trPr>
        <w:tc>
          <w:tcPr>
            <w:tcW w:w="1915" w:type="dxa"/>
            <w:tcBorders>
              <w:top w:val="single" w:sz="4" w:space="0" w:color="auto"/>
              <w:left w:val="single" w:sz="4" w:space="0" w:color="auto"/>
              <w:bottom w:val="single" w:sz="4" w:space="0" w:color="auto"/>
              <w:right w:val="single" w:sz="4" w:space="0" w:color="auto"/>
            </w:tcBorders>
          </w:tcPr>
          <w:p w14:paraId="114FD16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Reinforcement (mm)</w:t>
            </w:r>
          </w:p>
        </w:tc>
        <w:tc>
          <w:tcPr>
            <w:tcW w:w="2197" w:type="dxa"/>
            <w:tcBorders>
              <w:top w:val="single" w:sz="4" w:space="0" w:color="auto"/>
              <w:left w:val="single" w:sz="4" w:space="0" w:color="auto"/>
              <w:bottom w:val="single" w:sz="4" w:space="0" w:color="auto"/>
              <w:right w:val="single" w:sz="4" w:space="0" w:color="auto"/>
            </w:tcBorders>
          </w:tcPr>
          <w:p w14:paraId="3E20FCF0"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w:t>
            </w:r>
          </w:p>
        </w:tc>
        <w:tc>
          <w:tcPr>
            <w:tcW w:w="1633" w:type="dxa"/>
            <w:tcBorders>
              <w:top w:val="single" w:sz="4" w:space="0" w:color="auto"/>
              <w:left w:val="single" w:sz="4" w:space="0" w:color="auto"/>
              <w:bottom w:val="single" w:sz="4" w:space="0" w:color="auto"/>
              <w:right w:val="single" w:sz="4" w:space="0" w:color="auto"/>
            </w:tcBorders>
          </w:tcPr>
          <w:p w14:paraId="1294569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10,000</w:t>
            </w:r>
          </w:p>
        </w:tc>
        <w:tc>
          <w:tcPr>
            <w:tcW w:w="1915" w:type="dxa"/>
            <w:tcBorders>
              <w:top w:val="single" w:sz="4" w:space="0" w:color="auto"/>
              <w:left w:val="single" w:sz="4" w:space="0" w:color="auto"/>
              <w:bottom w:val="single" w:sz="4" w:space="0" w:color="auto"/>
              <w:right w:val="single" w:sz="4" w:space="0" w:color="auto"/>
            </w:tcBorders>
          </w:tcPr>
          <w:p w14:paraId="5FCA725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5,000,000</w:t>
            </w:r>
          </w:p>
        </w:tc>
      </w:tr>
      <w:tr w:rsidR="00BB51EE" w:rsidRPr="009829E1" w14:paraId="1C5EBD26" w14:textId="77777777" w:rsidTr="007C52A4">
        <w:trPr>
          <w:trHeight w:val="322"/>
        </w:trPr>
        <w:tc>
          <w:tcPr>
            <w:tcW w:w="1915" w:type="dxa"/>
            <w:tcBorders>
              <w:top w:val="single" w:sz="4" w:space="0" w:color="auto"/>
              <w:left w:val="single" w:sz="4" w:space="0" w:color="auto"/>
              <w:bottom w:val="single" w:sz="4" w:space="0" w:color="auto"/>
              <w:right w:val="single" w:sz="4" w:space="0" w:color="auto"/>
            </w:tcBorders>
          </w:tcPr>
          <w:p w14:paraId="00E2934E" w14:textId="77777777" w:rsidR="00BB51EE" w:rsidRPr="009829E1" w:rsidRDefault="00BB51EE" w:rsidP="007C52A4">
            <w:pPr>
              <w:spacing w:line="420" w:lineRule="auto"/>
              <w:jc w:val="both"/>
              <w:rPr>
                <w:rFonts w:ascii="Arial" w:hAnsi="Arial" w:cs="Arial"/>
                <w:sz w:val="20"/>
                <w:szCs w:val="20"/>
              </w:rPr>
            </w:pPr>
            <w:proofErr w:type="spellStart"/>
            <w:r w:rsidRPr="009829E1">
              <w:rPr>
                <w:rFonts w:ascii="Arial" w:hAnsi="Arial" w:cs="Arial"/>
                <w:sz w:val="20"/>
                <w:szCs w:val="20"/>
              </w:rPr>
              <w:t>Labour</w:t>
            </w:r>
            <w:proofErr w:type="spellEnd"/>
            <w:r w:rsidRPr="009829E1">
              <w:rPr>
                <w:rFonts w:ascii="Arial" w:hAnsi="Arial" w:cs="Arial"/>
                <w:sz w:val="20"/>
                <w:szCs w:val="20"/>
              </w:rPr>
              <w:t xml:space="preserve"> </w:t>
            </w:r>
          </w:p>
        </w:tc>
        <w:tc>
          <w:tcPr>
            <w:tcW w:w="2197" w:type="dxa"/>
            <w:tcBorders>
              <w:top w:val="single" w:sz="4" w:space="0" w:color="auto"/>
              <w:left w:val="single" w:sz="4" w:space="0" w:color="auto"/>
              <w:bottom w:val="single" w:sz="4" w:space="0" w:color="auto"/>
              <w:right w:val="single" w:sz="4" w:space="0" w:color="auto"/>
            </w:tcBorders>
          </w:tcPr>
          <w:p w14:paraId="0F39B8D5"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20</w:t>
            </w:r>
          </w:p>
        </w:tc>
        <w:tc>
          <w:tcPr>
            <w:tcW w:w="1633" w:type="dxa"/>
            <w:tcBorders>
              <w:top w:val="single" w:sz="4" w:space="0" w:color="auto"/>
              <w:left w:val="single" w:sz="4" w:space="0" w:color="auto"/>
              <w:bottom w:val="single" w:sz="4" w:space="0" w:color="auto"/>
              <w:right w:val="single" w:sz="4" w:space="0" w:color="auto"/>
            </w:tcBorders>
          </w:tcPr>
          <w:p w14:paraId="34747E46"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5,000</w:t>
            </w:r>
          </w:p>
        </w:tc>
        <w:tc>
          <w:tcPr>
            <w:tcW w:w="1915" w:type="dxa"/>
            <w:tcBorders>
              <w:top w:val="single" w:sz="4" w:space="0" w:color="auto"/>
              <w:left w:val="single" w:sz="4" w:space="0" w:color="auto"/>
              <w:bottom w:val="single" w:sz="4" w:space="0" w:color="auto"/>
              <w:right w:val="single" w:sz="4" w:space="0" w:color="auto"/>
            </w:tcBorders>
          </w:tcPr>
          <w:p w14:paraId="741D1FED"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100,000</w:t>
            </w:r>
          </w:p>
        </w:tc>
      </w:tr>
      <w:tr w:rsidR="00BB51EE" w:rsidRPr="009829E1" w14:paraId="6FFD0526" w14:textId="77777777" w:rsidTr="007C52A4">
        <w:tc>
          <w:tcPr>
            <w:tcW w:w="1915" w:type="dxa"/>
            <w:tcBorders>
              <w:top w:val="single" w:sz="4" w:space="0" w:color="auto"/>
              <w:left w:val="single" w:sz="4" w:space="0" w:color="auto"/>
              <w:bottom w:val="single" w:sz="4" w:space="0" w:color="auto"/>
              <w:right w:val="single" w:sz="4" w:space="0" w:color="auto"/>
            </w:tcBorders>
          </w:tcPr>
          <w:p w14:paraId="798B2834"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Total</w:t>
            </w:r>
          </w:p>
        </w:tc>
        <w:tc>
          <w:tcPr>
            <w:tcW w:w="2197" w:type="dxa"/>
            <w:tcBorders>
              <w:top w:val="single" w:sz="4" w:space="0" w:color="auto"/>
              <w:left w:val="single" w:sz="4" w:space="0" w:color="auto"/>
              <w:bottom w:val="single" w:sz="4" w:space="0" w:color="auto"/>
              <w:right w:val="single" w:sz="4" w:space="0" w:color="auto"/>
            </w:tcBorders>
          </w:tcPr>
          <w:p w14:paraId="6A924514" w14:textId="77777777" w:rsidR="00BB51EE" w:rsidRPr="009829E1" w:rsidRDefault="00BB51EE" w:rsidP="007C52A4">
            <w:pPr>
              <w:spacing w:line="420" w:lineRule="auto"/>
              <w:jc w:val="both"/>
              <w:rPr>
                <w:rFonts w:ascii="Arial" w:hAnsi="Arial" w:cs="Arial"/>
                <w:sz w:val="20"/>
                <w:szCs w:val="20"/>
              </w:rPr>
            </w:pPr>
          </w:p>
        </w:tc>
        <w:tc>
          <w:tcPr>
            <w:tcW w:w="1633" w:type="dxa"/>
            <w:tcBorders>
              <w:top w:val="single" w:sz="4" w:space="0" w:color="auto"/>
              <w:left w:val="single" w:sz="4" w:space="0" w:color="auto"/>
              <w:bottom w:val="single" w:sz="4" w:space="0" w:color="auto"/>
              <w:right w:val="single" w:sz="4" w:space="0" w:color="auto"/>
            </w:tcBorders>
          </w:tcPr>
          <w:p w14:paraId="08710994" w14:textId="77777777" w:rsidR="00BB51EE" w:rsidRPr="009829E1" w:rsidRDefault="00BB51EE" w:rsidP="007C52A4">
            <w:pPr>
              <w:spacing w:line="420" w:lineRule="auto"/>
              <w:jc w:val="both"/>
              <w:rPr>
                <w:rFonts w:ascii="Arial" w:hAnsi="Arial" w:cs="Arial"/>
                <w:sz w:val="20"/>
                <w:szCs w:val="20"/>
              </w:rPr>
            </w:pPr>
          </w:p>
        </w:tc>
        <w:tc>
          <w:tcPr>
            <w:tcW w:w="1915" w:type="dxa"/>
            <w:tcBorders>
              <w:top w:val="single" w:sz="4" w:space="0" w:color="auto"/>
              <w:left w:val="single" w:sz="4" w:space="0" w:color="auto"/>
              <w:bottom w:val="single" w:sz="4" w:space="0" w:color="auto"/>
              <w:right w:val="single" w:sz="4" w:space="0" w:color="auto"/>
            </w:tcBorders>
          </w:tcPr>
          <w:p w14:paraId="73892929" w14:textId="77777777" w:rsidR="00BB51EE" w:rsidRPr="009829E1" w:rsidRDefault="00BB51EE" w:rsidP="007C52A4">
            <w:pPr>
              <w:spacing w:line="420" w:lineRule="auto"/>
              <w:jc w:val="both"/>
              <w:rPr>
                <w:rFonts w:ascii="Arial" w:hAnsi="Arial" w:cs="Arial"/>
                <w:sz w:val="20"/>
                <w:szCs w:val="20"/>
              </w:rPr>
            </w:pPr>
            <w:r w:rsidRPr="009829E1">
              <w:rPr>
                <w:rFonts w:ascii="Arial" w:hAnsi="Arial" w:cs="Arial"/>
                <w:sz w:val="20"/>
                <w:szCs w:val="20"/>
              </w:rPr>
              <w:t>8,650,000</w:t>
            </w:r>
          </w:p>
        </w:tc>
      </w:tr>
    </w:tbl>
    <w:p w14:paraId="58BB7B5D" w14:textId="77777777" w:rsidR="00BB51EE" w:rsidRDefault="00BB51EE" w:rsidP="00BB51EE">
      <w:pPr>
        <w:spacing w:line="420" w:lineRule="auto"/>
        <w:jc w:val="both"/>
        <w:rPr>
          <w:sz w:val="24"/>
          <w:szCs w:val="24"/>
        </w:rPr>
      </w:pPr>
    </w:p>
    <w:p w14:paraId="2B7882AB" w14:textId="77777777" w:rsidR="00BB51EE" w:rsidRPr="009829E1" w:rsidRDefault="00BB51EE" w:rsidP="00BB51EE">
      <w:pPr>
        <w:spacing w:line="420" w:lineRule="auto"/>
        <w:jc w:val="both"/>
        <w:rPr>
          <w:rFonts w:ascii="Arial" w:hAnsi="Arial" w:cs="Arial"/>
          <w:b/>
          <w:bCs/>
        </w:rPr>
      </w:pPr>
      <w:r w:rsidRPr="009829E1">
        <w:rPr>
          <w:rFonts w:ascii="Arial" w:hAnsi="Arial" w:cs="Arial"/>
          <w:b/>
          <w:bCs/>
        </w:rPr>
        <w:t>3.3 Factor Estimation</w:t>
      </w:r>
    </w:p>
    <w:p w14:paraId="49399278"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The factor estimation method applies factors based on past project data to estimate the total project cost. For the residential building, a factor of 1.25 was applied to the base cost, which is the sum of direct material and labor costs.</w:t>
      </w:r>
    </w:p>
    <w:p w14:paraId="40B4CFD9"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Base Cost = ₦3,520,000</w:t>
      </w:r>
    </w:p>
    <w:p w14:paraId="739691E5"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Factor Applied = 1.25</w:t>
      </w:r>
    </w:p>
    <w:p w14:paraId="7267E4C4"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Thus, the total cost estimate using factor estimation is:</w:t>
      </w:r>
    </w:p>
    <w:p w14:paraId="16C026AC" w14:textId="77777777" w:rsidR="00BB51EE" w:rsidRPr="009829E1" w:rsidRDefault="00BB51EE" w:rsidP="00BB51EE">
      <w:pPr>
        <w:spacing w:line="420" w:lineRule="auto"/>
        <w:jc w:val="both"/>
        <w:rPr>
          <w:rFonts w:ascii="Arial" w:hAnsi="Arial" w:cs="Arial"/>
          <w:sz w:val="20"/>
          <w:szCs w:val="20"/>
        </w:rPr>
      </w:pPr>
      <w:r w:rsidRPr="009829E1">
        <w:rPr>
          <w:rFonts w:ascii="Arial" w:hAnsi="Arial" w:cs="Arial"/>
          <w:sz w:val="20"/>
          <w:szCs w:val="20"/>
        </w:rPr>
        <w:t xml:space="preserve"> Total Cost = Base Cost X factor applied</w:t>
      </w:r>
    </w:p>
    <w:p w14:paraId="64984483" w14:textId="77777777" w:rsidR="00BB51EE" w:rsidRDefault="00BB51EE" w:rsidP="00BB51EE">
      <w:pPr>
        <w:spacing w:line="420" w:lineRule="auto"/>
        <w:jc w:val="both"/>
        <w:rPr>
          <w:sz w:val="24"/>
          <w:szCs w:val="24"/>
        </w:rPr>
      </w:pPr>
      <w:r w:rsidRPr="009829E1">
        <w:rPr>
          <w:rFonts w:ascii="Arial" w:hAnsi="Arial" w:cs="Arial"/>
          <w:sz w:val="20"/>
          <w:szCs w:val="20"/>
        </w:rPr>
        <w:t>3,520,000 X 1.25= # 4,400,000</w:t>
      </w:r>
    </w:p>
    <w:p w14:paraId="40893FFD" w14:textId="77777777" w:rsidR="00BB51EE" w:rsidRPr="009829E1" w:rsidRDefault="00BB51EE" w:rsidP="00BB51EE">
      <w:pPr>
        <w:spacing w:line="420" w:lineRule="auto"/>
        <w:jc w:val="both"/>
        <w:rPr>
          <w:rFonts w:ascii="Arial" w:hAnsi="Arial" w:cs="Arial"/>
          <w:b/>
          <w:bCs/>
          <w:szCs w:val="20"/>
        </w:rPr>
      </w:pPr>
      <w:r w:rsidRPr="009829E1">
        <w:rPr>
          <w:rFonts w:ascii="Arial" w:hAnsi="Arial" w:cs="Arial"/>
          <w:b/>
          <w:bCs/>
          <w:szCs w:val="20"/>
        </w:rPr>
        <w:t>3.4 Detailed Quantity Takeoff</w:t>
      </w:r>
    </w:p>
    <w:p w14:paraId="6C68A40D" w14:textId="77777777" w:rsidR="00BB51EE" w:rsidRDefault="00BB51EE" w:rsidP="00BB51EE">
      <w:pPr>
        <w:spacing w:line="420" w:lineRule="auto"/>
        <w:jc w:val="both"/>
        <w:rPr>
          <w:rFonts w:ascii="Arial" w:hAnsi="Arial" w:cs="Arial"/>
          <w:sz w:val="20"/>
          <w:szCs w:val="24"/>
        </w:rPr>
      </w:pPr>
      <w:r w:rsidRPr="009829E1">
        <w:rPr>
          <w:rFonts w:ascii="Arial" w:hAnsi="Arial" w:cs="Arial"/>
          <w:sz w:val="20"/>
          <w:szCs w:val="24"/>
        </w:rPr>
        <w:t>This method involves a comprehensive measurement of the quantities of all materials and work items required for the project. The results are based on precise measurements and calculations of individual components of the building.</w:t>
      </w:r>
    </w:p>
    <w:p w14:paraId="4CE639AA" w14:textId="7383341C" w:rsidR="00DB34EE" w:rsidRPr="009829E1" w:rsidRDefault="00DB34EE" w:rsidP="00BB51EE">
      <w:pPr>
        <w:spacing w:line="420" w:lineRule="auto"/>
        <w:jc w:val="both"/>
        <w:rPr>
          <w:rFonts w:ascii="Arial" w:hAnsi="Arial" w:cs="Arial"/>
          <w:sz w:val="20"/>
          <w:szCs w:val="24"/>
        </w:rPr>
      </w:pPr>
      <w:r>
        <w:rPr>
          <w:rFonts w:ascii="Arial" w:hAnsi="Arial" w:cs="Arial"/>
          <w:sz w:val="20"/>
          <w:szCs w:val="24"/>
        </w:rPr>
        <w:t>Table 2.</w:t>
      </w:r>
      <w:r w:rsidR="000E2F66">
        <w:rPr>
          <w:rFonts w:ascii="Arial" w:hAnsi="Arial" w:cs="Arial"/>
          <w:sz w:val="20"/>
          <w:szCs w:val="24"/>
        </w:rPr>
        <w:t xml:space="preserve"> Work component</w:t>
      </w:r>
      <w:r w:rsidR="008D0142">
        <w:rPr>
          <w:rFonts w:ascii="Arial" w:hAnsi="Arial" w:cs="Arial"/>
          <w:sz w:val="20"/>
          <w:szCs w:val="24"/>
        </w:rPr>
        <w:t>s</w:t>
      </w:r>
      <w:r w:rsidR="000E2F66">
        <w:rPr>
          <w:rFonts w:ascii="Arial" w:hAnsi="Arial" w:cs="Arial"/>
          <w:sz w:val="20"/>
          <w:szCs w:val="24"/>
        </w:rPr>
        <w:t xml:space="preserve">, quantities, unit cost and total cost </w:t>
      </w:r>
      <w:r w:rsidR="008D0142">
        <w:rPr>
          <w:rFonts w:ascii="Arial" w:hAnsi="Arial" w:cs="Arial"/>
          <w:sz w:val="20"/>
          <w:szCs w:val="24"/>
        </w:rPr>
        <w:t>for the construction of</w:t>
      </w:r>
      <w:r w:rsidR="000E2F66">
        <w:rPr>
          <w:rFonts w:ascii="Arial" w:hAnsi="Arial" w:cs="Arial"/>
          <w:sz w:val="20"/>
          <w:szCs w:val="24"/>
        </w:rPr>
        <w:t xml:space="preserve"> </w:t>
      </w:r>
      <w:r w:rsidR="00F729B8">
        <w:rPr>
          <w:rFonts w:ascii="Arial" w:hAnsi="Arial" w:cs="Arial"/>
          <w:sz w:val="20"/>
          <w:szCs w:val="24"/>
        </w:rPr>
        <w:t xml:space="preserve">a </w:t>
      </w:r>
      <w:r w:rsidR="000E2F66">
        <w:rPr>
          <w:rFonts w:ascii="Arial" w:hAnsi="Arial" w:cs="Arial"/>
          <w:sz w:val="20"/>
          <w:szCs w:val="24"/>
        </w:rPr>
        <w:t>single-</w:t>
      </w:r>
      <w:proofErr w:type="spellStart"/>
      <w:r w:rsidR="000E2F66">
        <w:rPr>
          <w:rFonts w:ascii="Arial" w:hAnsi="Arial" w:cs="Arial"/>
          <w:sz w:val="20"/>
          <w:szCs w:val="24"/>
        </w:rPr>
        <w:t>storey</w:t>
      </w:r>
      <w:proofErr w:type="spellEnd"/>
      <w:r w:rsidR="000E2F66">
        <w:rPr>
          <w:rFonts w:ascii="Arial" w:hAnsi="Arial" w:cs="Arial"/>
          <w:sz w:val="20"/>
          <w:szCs w:val="24"/>
        </w:rPr>
        <w:t xml:space="preserve"> building</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5"/>
        <w:gridCol w:w="1915"/>
        <w:gridCol w:w="1915"/>
        <w:gridCol w:w="1915"/>
      </w:tblGrid>
      <w:tr w:rsidR="00BB51EE" w:rsidRPr="009829E1" w14:paraId="036A8C88" w14:textId="77777777" w:rsidTr="007C52A4">
        <w:tc>
          <w:tcPr>
            <w:tcW w:w="1915" w:type="dxa"/>
            <w:tcBorders>
              <w:top w:val="single" w:sz="4" w:space="0" w:color="auto"/>
              <w:left w:val="single" w:sz="4" w:space="0" w:color="auto"/>
              <w:bottom w:val="single" w:sz="4" w:space="0" w:color="auto"/>
              <w:right w:val="single" w:sz="4" w:space="0" w:color="auto"/>
            </w:tcBorders>
          </w:tcPr>
          <w:p w14:paraId="056A6A1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Work component </w:t>
            </w:r>
          </w:p>
        </w:tc>
        <w:tc>
          <w:tcPr>
            <w:tcW w:w="1915" w:type="dxa"/>
            <w:tcBorders>
              <w:top w:val="single" w:sz="4" w:space="0" w:color="auto"/>
              <w:left w:val="single" w:sz="4" w:space="0" w:color="auto"/>
              <w:bottom w:val="single" w:sz="4" w:space="0" w:color="auto"/>
              <w:right w:val="single" w:sz="4" w:space="0" w:color="auto"/>
            </w:tcBorders>
          </w:tcPr>
          <w:p w14:paraId="5E7455B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Quantity </w:t>
            </w:r>
          </w:p>
        </w:tc>
        <w:tc>
          <w:tcPr>
            <w:tcW w:w="1915" w:type="dxa"/>
            <w:tcBorders>
              <w:top w:val="single" w:sz="4" w:space="0" w:color="auto"/>
              <w:left w:val="single" w:sz="4" w:space="0" w:color="auto"/>
              <w:bottom w:val="single" w:sz="4" w:space="0" w:color="auto"/>
              <w:right w:val="single" w:sz="4" w:space="0" w:color="auto"/>
            </w:tcBorders>
          </w:tcPr>
          <w:p w14:paraId="3008F5CB"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Unit  Cost (#)</w:t>
            </w:r>
          </w:p>
        </w:tc>
        <w:tc>
          <w:tcPr>
            <w:tcW w:w="1915" w:type="dxa"/>
            <w:tcBorders>
              <w:top w:val="single" w:sz="4" w:space="0" w:color="auto"/>
              <w:left w:val="single" w:sz="4" w:space="0" w:color="auto"/>
              <w:bottom w:val="single" w:sz="4" w:space="0" w:color="auto"/>
              <w:right w:val="single" w:sz="4" w:space="0" w:color="auto"/>
            </w:tcBorders>
          </w:tcPr>
          <w:p w14:paraId="62CA3BF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Total cost (#)</w:t>
            </w:r>
          </w:p>
        </w:tc>
      </w:tr>
      <w:tr w:rsidR="00BB51EE" w:rsidRPr="009829E1" w14:paraId="195936F7" w14:textId="77777777" w:rsidTr="007C52A4">
        <w:tc>
          <w:tcPr>
            <w:tcW w:w="1915" w:type="dxa"/>
            <w:tcBorders>
              <w:top w:val="single" w:sz="4" w:space="0" w:color="auto"/>
              <w:left w:val="single" w:sz="4" w:space="0" w:color="auto"/>
              <w:bottom w:val="single" w:sz="4" w:space="0" w:color="auto"/>
              <w:right w:val="single" w:sz="4" w:space="0" w:color="auto"/>
            </w:tcBorders>
          </w:tcPr>
          <w:p w14:paraId="299DFA2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Foundation </w:t>
            </w:r>
          </w:p>
        </w:tc>
        <w:tc>
          <w:tcPr>
            <w:tcW w:w="1915" w:type="dxa"/>
            <w:tcBorders>
              <w:top w:val="single" w:sz="4" w:space="0" w:color="auto"/>
              <w:left w:val="single" w:sz="4" w:space="0" w:color="auto"/>
              <w:bottom w:val="single" w:sz="4" w:space="0" w:color="auto"/>
              <w:right w:val="single" w:sz="4" w:space="0" w:color="auto"/>
            </w:tcBorders>
          </w:tcPr>
          <w:p w14:paraId="2C934FB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50m³</w:t>
            </w:r>
          </w:p>
        </w:tc>
        <w:tc>
          <w:tcPr>
            <w:tcW w:w="1915" w:type="dxa"/>
            <w:tcBorders>
              <w:top w:val="single" w:sz="4" w:space="0" w:color="auto"/>
              <w:left w:val="single" w:sz="4" w:space="0" w:color="auto"/>
              <w:bottom w:val="single" w:sz="4" w:space="0" w:color="auto"/>
              <w:right w:val="single" w:sz="4" w:space="0" w:color="auto"/>
            </w:tcBorders>
          </w:tcPr>
          <w:p w14:paraId="2A66D2C3"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2,000</w:t>
            </w:r>
          </w:p>
        </w:tc>
        <w:tc>
          <w:tcPr>
            <w:tcW w:w="1915" w:type="dxa"/>
            <w:tcBorders>
              <w:top w:val="single" w:sz="4" w:space="0" w:color="auto"/>
              <w:left w:val="single" w:sz="4" w:space="0" w:color="auto"/>
              <w:bottom w:val="single" w:sz="4" w:space="0" w:color="auto"/>
              <w:right w:val="single" w:sz="4" w:space="0" w:color="auto"/>
            </w:tcBorders>
          </w:tcPr>
          <w:p w14:paraId="45B05928"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1,000,000</w:t>
            </w:r>
          </w:p>
        </w:tc>
      </w:tr>
      <w:tr w:rsidR="00BB51EE" w:rsidRPr="009829E1" w14:paraId="7AF02E0D" w14:textId="77777777" w:rsidTr="007C52A4">
        <w:tc>
          <w:tcPr>
            <w:tcW w:w="1915" w:type="dxa"/>
            <w:tcBorders>
              <w:top w:val="single" w:sz="4" w:space="0" w:color="auto"/>
              <w:left w:val="single" w:sz="4" w:space="0" w:color="auto"/>
              <w:bottom w:val="single" w:sz="4" w:space="0" w:color="auto"/>
              <w:right w:val="single" w:sz="4" w:space="0" w:color="auto"/>
            </w:tcBorders>
          </w:tcPr>
          <w:p w14:paraId="0E9E56A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Concrete </w:t>
            </w:r>
          </w:p>
        </w:tc>
        <w:tc>
          <w:tcPr>
            <w:tcW w:w="1915" w:type="dxa"/>
            <w:tcBorders>
              <w:top w:val="single" w:sz="4" w:space="0" w:color="auto"/>
              <w:left w:val="single" w:sz="4" w:space="0" w:color="auto"/>
              <w:bottom w:val="single" w:sz="4" w:space="0" w:color="auto"/>
              <w:right w:val="single" w:sz="4" w:space="0" w:color="auto"/>
            </w:tcBorders>
          </w:tcPr>
          <w:p w14:paraId="6B6E4177"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150m²</w:t>
            </w:r>
          </w:p>
        </w:tc>
        <w:tc>
          <w:tcPr>
            <w:tcW w:w="1915" w:type="dxa"/>
            <w:tcBorders>
              <w:top w:val="single" w:sz="4" w:space="0" w:color="auto"/>
              <w:left w:val="single" w:sz="4" w:space="0" w:color="auto"/>
              <w:bottom w:val="single" w:sz="4" w:space="0" w:color="auto"/>
              <w:right w:val="single" w:sz="4" w:space="0" w:color="auto"/>
            </w:tcBorders>
          </w:tcPr>
          <w:p w14:paraId="7FD27068"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5,000</w:t>
            </w:r>
          </w:p>
        </w:tc>
        <w:tc>
          <w:tcPr>
            <w:tcW w:w="1915" w:type="dxa"/>
            <w:tcBorders>
              <w:top w:val="single" w:sz="4" w:space="0" w:color="auto"/>
              <w:left w:val="single" w:sz="4" w:space="0" w:color="auto"/>
              <w:bottom w:val="single" w:sz="4" w:space="0" w:color="auto"/>
              <w:right w:val="single" w:sz="4" w:space="0" w:color="auto"/>
            </w:tcBorders>
          </w:tcPr>
          <w:p w14:paraId="472F417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750,000</w:t>
            </w:r>
          </w:p>
        </w:tc>
      </w:tr>
      <w:tr w:rsidR="00BB51EE" w:rsidRPr="009829E1" w14:paraId="18A1E1CB" w14:textId="77777777" w:rsidTr="007C52A4">
        <w:tc>
          <w:tcPr>
            <w:tcW w:w="1915" w:type="dxa"/>
            <w:tcBorders>
              <w:top w:val="single" w:sz="4" w:space="0" w:color="auto"/>
              <w:left w:val="single" w:sz="4" w:space="0" w:color="auto"/>
              <w:bottom w:val="single" w:sz="4" w:space="0" w:color="auto"/>
              <w:right w:val="single" w:sz="4" w:space="0" w:color="auto"/>
            </w:tcBorders>
          </w:tcPr>
          <w:p w14:paraId="6B239A29"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lastRenderedPageBreak/>
              <w:t xml:space="preserve">Formwork </w:t>
            </w:r>
          </w:p>
        </w:tc>
        <w:tc>
          <w:tcPr>
            <w:tcW w:w="1915" w:type="dxa"/>
            <w:tcBorders>
              <w:top w:val="single" w:sz="4" w:space="0" w:color="auto"/>
              <w:left w:val="single" w:sz="4" w:space="0" w:color="auto"/>
              <w:bottom w:val="single" w:sz="4" w:space="0" w:color="auto"/>
              <w:right w:val="single" w:sz="4" w:space="0" w:color="auto"/>
            </w:tcBorders>
          </w:tcPr>
          <w:p w14:paraId="4FDE1765"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200m²</w:t>
            </w:r>
          </w:p>
        </w:tc>
        <w:tc>
          <w:tcPr>
            <w:tcW w:w="1915" w:type="dxa"/>
            <w:tcBorders>
              <w:top w:val="single" w:sz="4" w:space="0" w:color="auto"/>
              <w:left w:val="single" w:sz="4" w:space="0" w:color="auto"/>
              <w:bottom w:val="single" w:sz="4" w:space="0" w:color="auto"/>
              <w:right w:val="single" w:sz="4" w:space="0" w:color="auto"/>
            </w:tcBorders>
          </w:tcPr>
          <w:p w14:paraId="16346B50"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5,000</w:t>
            </w:r>
          </w:p>
        </w:tc>
        <w:tc>
          <w:tcPr>
            <w:tcW w:w="1915" w:type="dxa"/>
            <w:tcBorders>
              <w:top w:val="single" w:sz="4" w:space="0" w:color="auto"/>
              <w:left w:val="single" w:sz="4" w:space="0" w:color="auto"/>
              <w:bottom w:val="single" w:sz="4" w:space="0" w:color="auto"/>
              <w:right w:val="single" w:sz="4" w:space="0" w:color="auto"/>
            </w:tcBorders>
          </w:tcPr>
          <w:p w14:paraId="7405ABEF"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1,000,000</w:t>
            </w:r>
          </w:p>
        </w:tc>
      </w:tr>
      <w:tr w:rsidR="00BB51EE" w:rsidRPr="009829E1" w14:paraId="4E097EC8" w14:textId="77777777" w:rsidTr="007C52A4">
        <w:tc>
          <w:tcPr>
            <w:tcW w:w="1915" w:type="dxa"/>
            <w:tcBorders>
              <w:top w:val="single" w:sz="4" w:space="0" w:color="auto"/>
              <w:left w:val="single" w:sz="4" w:space="0" w:color="auto"/>
              <w:bottom w:val="single" w:sz="4" w:space="0" w:color="auto"/>
              <w:right w:val="single" w:sz="4" w:space="0" w:color="auto"/>
            </w:tcBorders>
          </w:tcPr>
          <w:p w14:paraId="155FE6D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Roofing materials </w:t>
            </w:r>
          </w:p>
        </w:tc>
        <w:tc>
          <w:tcPr>
            <w:tcW w:w="1915" w:type="dxa"/>
            <w:tcBorders>
              <w:top w:val="single" w:sz="4" w:space="0" w:color="auto"/>
              <w:left w:val="single" w:sz="4" w:space="0" w:color="auto"/>
              <w:bottom w:val="single" w:sz="4" w:space="0" w:color="auto"/>
              <w:right w:val="single" w:sz="4" w:space="0" w:color="auto"/>
            </w:tcBorders>
          </w:tcPr>
          <w:p w14:paraId="1B287604"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300m²</w:t>
            </w:r>
          </w:p>
        </w:tc>
        <w:tc>
          <w:tcPr>
            <w:tcW w:w="1915" w:type="dxa"/>
            <w:tcBorders>
              <w:top w:val="single" w:sz="4" w:space="0" w:color="auto"/>
              <w:left w:val="single" w:sz="4" w:space="0" w:color="auto"/>
              <w:bottom w:val="single" w:sz="4" w:space="0" w:color="auto"/>
              <w:right w:val="single" w:sz="4" w:space="0" w:color="auto"/>
            </w:tcBorders>
          </w:tcPr>
          <w:p w14:paraId="7A444719"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4,000</w:t>
            </w:r>
          </w:p>
        </w:tc>
        <w:tc>
          <w:tcPr>
            <w:tcW w:w="1915" w:type="dxa"/>
            <w:tcBorders>
              <w:top w:val="single" w:sz="4" w:space="0" w:color="auto"/>
              <w:left w:val="single" w:sz="4" w:space="0" w:color="auto"/>
              <w:bottom w:val="single" w:sz="4" w:space="0" w:color="auto"/>
              <w:right w:val="single" w:sz="4" w:space="0" w:color="auto"/>
            </w:tcBorders>
          </w:tcPr>
          <w:p w14:paraId="28688D82"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1,200,000</w:t>
            </w:r>
          </w:p>
        </w:tc>
      </w:tr>
      <w:tr w:rsidR="00BB51EE" w:rsidRPr="009829E1" w14:paraId="4F99A5D4" w14:textId="77777777" w:rsidTr="007C52A4">
        <w:tc>
          <w:tcPr>
            <w:tcW w:w="1915" w:type="dxa"/>
            <w:tcBorders>
              <w:top w:val="single" w:sz="4" w:space="0" w:color="auto"/>
              <w:left w:val="single" w:sz="4" w:space="0" w:color="auto"/>
              <w:bottom w:val="single" w:sz="4" w:space="0" w:color="auto"/>
              <w:right w:val="single" w:sz="4" w:space="0" w:color="auto"/>
            </w:tcBorders>
          </w:tcPr>
          <w:p w14:paraId="5D518E3B"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 xml:space="preserve">Total </w:t>
            </w:r>
          </w:p>
        </w:tc>
        <w:tc>
          <w:tcPr>
            <w:tcW w:w="1915" w:type="dxa"/>
            <w:tcBorders>
              <w:top w:val="single" w:sz="4" w:space="0" w:color="auto"/>
              <w:left w:val="single" w:sz="4" w:space="0" w:color="auto"/>
              <w:bottom w:val="single" w:sz="4" w:space="0" w:color="auto"/>
              <w:right w:val="single" w:sz="4" w:space="0" w:color="auto"/>
            </w:tcBorders>
          </w:tcPr>
          <w:p w14:paraId="1CCA4387" w14:textId="77777777" w:rsidR="00BB51EE" w:rsidRPr="009829E1" w:rsidRDefault="00BB51EE" w:rsidP="007C52A4">
            <w:pPr>
              <w:spacing w:line="420" w:lineRule="auto"/>
              <w:jc w:val="both"/>
              <w:rPr>
                <w:rFonts w:ascii="Arial" w:hAnsi="Arial" w:cs="Arial"/>
                <w:sz w:val="20"/>
                <w:szCs w:val="24"/>
              </w:rPr>
            </w:pPr>
          </w:p>
        </w:tc>
        <w:tc>
          <w:tcPr>
            <w:tcW w:w="1915" w:type="dxa"/>
            <w:tcBorders>
              <w:top w:val="single" w:sz="4" w:space="0" w:color="auto"/>
              <w:left w:val="single" w:sz="4" w:space="0" w:color="auto"/>
              <w:bottom w:val="single" w:sz="4" w:space="0" w:color="auto"/>
              <w:right w:val="single" w:sz="4" w:space="0" w:color="auto"/>
            </w:tcBorders>
          </w:tcPr>
          <w:p w14:paraId="168D6092" w14:textId="77777777" w:rsidR="00BB51EE" w:rsidRPr="009829E1" w:rsidRDefault="00BB51EE" w:rsidP="007C52A4">
            <w:pPr>
              <w:spacing w:line="420" w:lineRule="auto"/>
              <w:jc w:val="both"/>
              <w:rPr>
                <w:rFonts w:ascii="Arial" w:hAnsi="Arial" w:cs="Arial"/>
                <w:sz w:val="20"/>
                <w:szCs w:val="24"/>
              </w:rPr>
            </w:pPr>
          </w:p>
        </w:tc>
        <w:tc>
          <w:tcPr>
            <w:tcW w:w="1915" w:type="dxa"/>
            <w:tcBorders>
              <w:top w:val="single" w:sz="4" w:space="0" w:color="auto"/>
              <w:left w:val="single" w:sz="4" w:space="0" w:color="auto"/>
              <w:bottom w:val="single" w:sz="4" w:space="0" w:color="auto"/>
              <w:right w:val="single" w:sz="4" w:space="0" w:color="auto"/>
            </w:tcBorders>
          </w:tcPr>
          <w:p w14:paraId="48BE824D" w14:textId="77777777" w:rsidR="00BB51EE" w:rsidRPr="009829E1" w:rsidRDefault="00BB51EE" w:rsidP="007C52A4">
            <w:pPr>
              <w:spacing w:line="420" w:lineRule="auto"/>
              <w:jc w:val="both"/>
              <w:rPr>
                <w:rFonts w:ascii="Arial" w:hAnsi="Arial" w:cs="Arial"/>
                <w:sz w:val="20"/>
                <w:szCs w:val="24"/>
              </w:rPr>
            </w:pPr>
            <w:r w:rsidRPr="009829E1">
              <w:rPr>
                <w:rFonts w:ascii="Arial" w:hAnsi="Arial" w:cs="Arial"/>
                <w:sz w:val="20"/>
                <w:szCs w:val="24"/>
              </w:rPr>
              <w:t>3,950,000</w:t>
            </w:r>
          </w:p>
        </w:tc>
      </w:tr>
    </w:tbl>
    <w:p w14:paraId="547B9865" w14:textId="77777777" w:rsidR="00BB51EE" w:rsidRDefault="00BB51EE" w:rsidP="00BB51EE">
      <w:pPr>
        <w:spacing w:line="420" w:lineRule="auto"/>
        <w:jc w:val="both"/>
        <w:rPr>
          <w:sz w:val="24"/>
          <w:szCs w:val="24"/>
        </w:rPr>
      </w:pPr>
    </w:p>
    <w:p w14:paraId="2492477D"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3.5 Approximate Estimate</w:t>
      </w:r>
    </w:p>
    <w:p w14:paraId="1ACD565C"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The approximate estimate method provides a quick estimate based on previous project costs of similar nature. This technique was used by referencing past data of residential building construction in the same location.</w:t>
      </w:r>
    </w:p>
    <w:p w14:paraId="5276D9FE" w14:textId="77777777" w:rsidR="00BB51EE" w:rsidRDefault="00BB51EE" w:rsidP="00BB51EE">
      <w:pPr>
        <w:spacing w:line="420" w:lineRule="auto"/>
        <w:rPr>
          <w:sz w:val="24"/>
          <w:szCs w:val="24"/>
        </w:rPr>
      </w:pPr>
      <w:r w:rsidRPr="009829E1">
        <w:rPr>
          <w:rFonts w:ascii="Arial" w:hAnsi="Arial" w:cs="Arial"/>
          <w:sz w:val="20"/>
          <w:szCs w:val="24"/>
        </w:rPr>
        <w:t>Estimated Total Cost: ₦4,800,000 (based on historical data from similar projects)</w:t>
      </w:r>
    </w:p>
    <w:p w14:paraId="3495C58F" w14:textId="77777777" w:rsidR="00BB51EE" w:rsidRPr="009829E1" w:rsidRDefault="00BB51EE" w:rsidP="00BB51EE">
      <w:pPr>
        <w:spacing w:line="420" w:lineRule="auto"/>
        <w:rPr>
          <w:rFonts w:ascii="Arial" w:hAnsi="Arial" w:cs="Arial"/>
          <w:b/>
          <w:bCs/>
          <w:sz w:val="24"/>
          <w:szCs w:val="24"/>
        </w:rPr>
      </w:pPr>
      <w:r w:rsidRPr="009829E1">
        <w:rPr>
          <w:rFonts w:ascii="Arial" w:hAnsi="Arial" w:cs="Arial"/>
          <w:b/>
          <w:bCs/>
          <w:sz w:val="24"/>
          <w:szCs w:val="24"/>
        </w:rPr>
        <w:t>3.6 Parametric Estimation</w:t>
      </w:r>
    </w:p>
    <w:p w14:paraId="70C8C215" w14:textId="77777777" w:rsidR="00BB51EE" w:rsidRPr="009829E1" w:rsidRDefault="00BB51EE" w:rsidP="00BB51EE">
      <w:pPr>
        <w:spacing w:line="420" w:lineRule="auto"/>
        <w:rPr>
          <w:sz w:val="20"/>
          <w:szCs w:val="24"/>
        </w:rPr>
      </w:pPr>
      <w:r w:rsidRPr="009829E1">
        <w:rPr>
          <w:sz w:val="20"/>
          <w:szCs w:val="24"/>
        </w:rPr>
        <w:t xml:space="preserve">The parametric estimation method uses statistical relationships between historical data and project parameters. For this project, the relationship between floor area and total cost was used. </w:t>
      </w:r>
    </w:p>
    <w:p w14:paraId="60CA963D" w14:textId="77777777" w:rsidR="00BB51EE" w:rsidRPr="009829E1" w:rsidRDefault="00BB51EE" w:rsidP="00BB51EE">
      <w:pPr>
        <w:spacing w:line="420" w:lineRule="auto"/>
        <w:rPr>
          <w:sz w:val="20"/>
          <w:szCs w:val="24"/>
        </w:rPr>
      </w:pPr>
      <w:r w:rsidRPr="009829E1">
        <w:rPr>
          <w:sz w:val="20"/>
          <w:szCs w:val="24"/>
        </w:rPr>
        <w:t>The cost per square meter of floor area for similar buildings is ₦45,000.</w:t>
      </w:r>
    </w:p>
    <w:p w14:paraId="56F290AE" w14:textId="77777777" w:rsidR="00BB51EE" w:rsidRPr="009829E1" w:rsidRDefault="00BB51EE" w:rsidP="00BB51EE">
      <w:pPr>
        <w:spacing w:line="420" w:lineRule="auto"/>
        <w:rPr>
          <w:sz w:val="20"/>
          <w:szCs w:val="24"/>
        </w:rPr>
      </w:pPr>
      <w:r w:rsidRPr="009829E1">
        <w:rPr>
          <w:sz w:val="20"/>
          <w:szCs w:val="24"/>
        </w:rPr>
        <w:t xml:space="preserve">Floor Area = 120 m² </w:t>
      </w:r>
    </w:p>
    <w:p w14:paraId="32A539FB" w14:textId="77777777" w:rsidR="00BB51EE" w:rsidRPr="009829E1" w:rsidRDefault="00BB51EE" w:rsidP="00BB51EE">
      <w:pPr>
        <w:spacing w:line="420" w:lineRule="auto"/>
        <w:rPr>
          <w:sz w:val="20"/>
          <w:szCs w:val="24"/>
        </w:rPr>
      </w:pPr>
      <w:r w:rsidRPr="009829E1">
        <w:rPr>
          <w:sz w:val="20"/>
          <w:szCs w:val="24"/>
        </w:rPr>
        <w:t>Cost per Square Meter = ₦45,000</w:t>
      </w:r>
    </w:p>
    <w:p w14:paraId="07AE12B3" w14:textId="77777777" w:rsidR="00BB51EE" w:rsidRPr="009829E1" w:rsidRDefault="00BB51EE" w:rsidP="00BB51EE">
      <w:pPr>
        <w:spacing w:line="420" w:lineRule="auto"/>
        <w:rPr>
          <w:sz w:val="20"/>
          <w:szCs w:val="24"/>
        </w:rPr>
      </w:pPr>
      <w:r w:rsidRPr="009829E1">
        <w:rPr>
          <w:sz w:val="20"/>
          <w:szCs w:val="24"/>
        </w:rPr>
        <w:t xml:space="preserve">Total cost= floor Area x cost per square meter </w:t>
      </w:r>
    </w:p>
    <w:p w14:paraId="3C101F90" w14:textId="77777777" w:rsidR="00BB51EE" w:rsidRPr="009829E1" w:rsidRDefault="00BB51EE" w:rsidP="00BB51EE">
      <w:pPr>
        <w:spacing w:line="420" w:lineRule="auto"/>
        <w:jc w:val="both"/>
        <w:rPr>
          <w:sz w:val="20"/>
          <w:szCs w:val="24"/>
        </w:rPr>
      </w:pPr>
      <w:r w:rsidRPr="009829E1">
        <w:rPr>
          <w:sz w:val="20"/>
          <w:szCs w:val="24"/>
        </w:rPr>
        <w:t>120 X 45,000 = #5,400,000</w:t>
      </w:r>
    </w:p>
    <w:p w14:paraId="5197BC8A"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3.7 Cost Index Estimation</w:t>
      </w:r>
    </w:p>
    <w:p w14:paraId="4528E32F"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Cost index estimation involves adjusting the cost of a previous project using a cost index. For this project, the cost of a similar building constructed in 2020 was ₦4,000,000. The cost index for 2024 is 1.15, meaning costs have increased by 15%.</w:t>
      </w:r>
    </w:p>
    <w:p w14:paraId="4CA04EE0"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Adjusted cost= Index cost x previous cost</w:t>
      </w:r>
    </w:p>
    <w:p w14:paraId="3CFEC82F" w14:textId="77777777" w:rsidR="00BB51EE" w:rsidRDefault="00BB51EE" w:rsidP="00BB51EE">
      <w:pPr>
        <w:pStyle w:val="NormalWeb"/>
      </w:pPr>
      <w:r w:rsidRPr="009829E1">
        <w:rPr>
          <w:rFonts w:ascii="Arial" w:hAnsi="Arial" w:cs="Arial"/>
          <w:sz w:val="20"/>
        </w:rPr>
        <w:t>4,000,000 x 1.15 = #4,600,000</w:t>
      </w:r>
    </w:p>
    <w:p w14:paraId="155280A1" w14:textId="77777777" w:rsidR="00BB51EE" w:rsidRPr="009829E1" w:rsidRDefault="00BB51EE" w:rsidP="00BB51EE">
      <w:pPr>
        <w:spacing w:line="420" w:lineRule="auto"/>
        <w:rPr>
          <w:rFonts w:ascii="Arial" w:hAnsi="Arial" w:cs="Arial"/>
          <w:b/>
          <w:bCs/>
          <w:sz w:val="20"/>
          <w:szCs w:val="24"/>
        </w:rPr>
      </w:pPr>
      <w:r w:rsidRPr="009829E1">
        <w:rPr>
          <w:rFonts w:ascii="Arial" w:hAnsi="Arial" w:cs="Arial"/>
          <w:b/>
          <w:bCs/>
          <w:sz w:val="20"/>
          <w:szCs w:val="24"/>
        </w:rPr>
        <w:t>3.8 Comparative Analysis of Estimation Techniques</w:t>
      </w:r>
    </w:p>
    <w:p w14:paraId="191D53E4" w14:textId="77777777" w:rsidR="00BB51EE" w:rsidRDefault="00BB51EE" w:rsidP="00BB51EE">
      <w:pPr>
        <w:spacing w:line="420" w:lineRule="auto"/>
        <w:rPr>
          <w:rFonts w:ascii="Arial" w:hAnsi="Arial" w:cs="Arial"/>
          <w:sz w:val="20"/>
          <w:szCs w:val="24"/>
        </w:rPr>
      </w:pPr>
      <w:r w:rsidRPr="009829E1">
        <w:rPr>
          <w:rFonts w:ascii="Arial" w:hAnsi="Arial" w:cs="Arial"/>
          <w:sz w:val="20"/>
          <w:szCs w:val="24"/>
        </w:rPr>
        <w:lastRenderedPageBreak/>
        <w:t>The table below provides a comparison of the total costs derived from the six different estimation techniques.</w:t>
      </w:r>
    </w:p>
    <w:p w14:paraId="7A5FD43D" w14:textId="79FCD101" w:rsidR="00776A00" w:rsidRPr="009829E1" w:rsidRDefault="00776A00" w:rsidP="00BB51EE">
      <w:pPr>
        <w:spacing w:line="420" w:lineRule="auto"/>
        <w:rPr>
          <w:rFonts w:ascii="Arial" w:hAnsi="Arial" w:cs="Arial"/>
          <w:sz w:val="20"/>
          <w:szCs w:val="24"/>
        </w:rPr>
      </w:pPr>
      <w:r>
        <w:rPr>
          <w:rFonts w:ascii="Arial" w:hAnsi="Arial" w:cs="Arial"/>
          <w:sz w:val="20"/>
          <w:szCs w:val="24"/>
        </w:rPr>
        <w:t>Table 3.</w:t>
      </w:r>
      <w:r w:rsidR="00BF6833">
        <w:rPr>
          <w:rFonts w:ascii="Arial" w:hAnsi="Arial" w:cs="Arial"/>
          <w:sz w:val="20"/>
          <w:szCs w:val="24"/>
        </w:rPr>
        <w:t xml:space="preserve"> Comparison of the total costs derived from six different estimation methods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9"/>
        <w:gridCol w:w="4671"/>
      </w:tblGrid>
      <w:tr w:rsidR="00BB51EE" w:rsidRPr="009829E1" w14:paraId="02A1873A" w14:textId="77777777" w:rsidTr="007C52A4">
        <w:tc>
          <w:tcPr>
            <w:tcW w:w="4788" w:type="dxa"/>
            <w:tcBorders>
              <w:top w:val="single" w:sz="4" w:space="0" w:color="auto"/>
              <w:left w:val="single" w:sz="4" w:space="0" w:color="auto"/>
              <w:bottom w:val="single" w:sz="4" w:space="0" w:color="auto"/>
              <w:right w:val="single" w:sz="4" w:space="0" w:color="auto"/>
            </w:tcBorders>
          </w:tcPr>
          <w:p w14:paraId="15281C89"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Estimation Technique </w:t>
            </w:r>
          </w:p>
        </w:tc>
        <w:tc>
          <w:tcPr>
            <w:tcW w:w="4788" w:type="dxa"/>
            <w:tcBorders>
              <w:top w:val="single" w:sz="4" w:space="0" w:color="auto"/>
              <w:left w:val="single" w:sz="4" w:space="0" w:color="auto"/>
              <w:bottom w:val="single" w:sz="4" w:space="0" w:color="auto"/>
              <w:right w:val="single" w:sz="4" w:space="0" w:color="auto"/>
            </w:tcBorders>
          </w:tcPr>
          <w:p w14:paraId="3EDB6AEB"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Total Estimated cost (#)</w:t>
            </w:r>
          </w:p>
        </w:tc>
      </w:tr>
      <w:tr w:rsidR="00BB51EE" w:rsidRPr="009829E1" w14:paraId="6C274234" w14:textId="77777777" w:rsidTr="007C52A4">
        <w:tc>
          <w:tcPr>
            <w:tcW w:w="4788" w:type="dxa"/>
            <w:tcBorders>
              <w:top w:val="single" w:sz="4" w:space="0" w:color="auto"/>
              <w:left w:val="single" w:sz="4" w:space="0" w:color="auto"/>
              <w:bottom w:val="single" w:sz="4" w:space="0" w:color="auto"/>
              <w:right w:val="single" w:sz="4" w:space="0" w:color="auto"/>
            </w:tcBorders>
          </w:tcPr>
          <w:p w14:paraId="09CD64FC"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Unit Rate estimation </w:t>
            </w:r>
          </w:p>
        </w:tc>
        <w:tc>
          <w:tcPr>
            <w:tcW w:w="4788" w:type="dxa"/>
            <w:tcBorders>
              <w:top w:val="single" w:sz="4" w:space="0" w:color="auto"/>
              <w:left w:val="single" w:sz="4" w:space="0" w:color="auto"/>
              <w:bottom w:val="single" w:sz="4" w:space="0" w:color="auto"/>
              <w:right w:val="single" w:sz="4" w:space="0" w:color="auto"/>
            </w:tcBorders>
          </w:tcPr>
          <w:p w14:paraId="27A7D1C5"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8,650,000</w:t>
            </w:r>
          </w:p>
        </w:tc>
      </w:tr>
      <w:tr w:rsidR="00BB51EE" w:rsidRPr="009829E1" w14:paraId="7D33F112" w14:textId="77777777" w:rsidTr="007C52A4">
        <w:tc>
          <w:tcPr>
            <w:tcW w:w="4788" w:type="dxa"/>
            <w:tcBorders>
              <w:top w:val="single" w:sz="4" w:space="0" w:color="auto"/>
              <w:left w:val="single" w:sz="4" w:space="0" w:color="auto"/>
              <w:bottom w:val="single" w:sz="4" w:space="0" w:color="auto"/>
              <w:right w:val="single" w:sz="4" w:space="0" w:color="auto"/>
            </w:tcBorders>
          </w:tcPr>
          <w:p w14:paraId="3923B911"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Estimation Factor </w:t>
            </w:r>
          </w:p>
        </w:tc>
        <w:tc>
          <w:tcPr>
            <w:tcW w:w="4788" w:type="dxa"/>
            <w:tcBorders>
              <w:top w:val="single" w:sz="4" w:space="0" w:color="auto"/>
              <w:left w:val="single" w:sz="4" w:space="0" w:color="auto"/>
              <w:bottom w:val="single" w:sz="4" w:space="0" w:color="auto"/>
              <w:right w:val="single" w:sz="4" w:space="0" w:color="auto"/>
            </w:tcBorders>
          </w:tcPr>
          <w:p w14:paraId="2A7FA04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4,400,000</w:t>
            </w:r>
          </w:p>
        </w:tc>
      </w:tr>
      <w:tr w:rsidR="00BB51EE" w:rsidRPr="009829E1" w14:paraId="3C5E3CAA" w14:textId="77777777" w:rsidTr="007C52A4">
        <w:tc>
          <w:tcPr>
            <w:tcW w:w="4788" w:type="dxa"/>
            <w:tcBorders>
              <w:top w:val="single" w:sz="4" w:space="0" w:color="auto"/>
              <w:left w:val="single" w:sz="4" w:space="0" w:color="auto"/>
              <w:bottom w:val="single" w:sz="4" w:space="0" w:color="auto"/>
              <w:right w:val="single" w:sz="4" w:space="0" w:color="auto"/>
            </w:tcBorders>
          </w:tcPr>
          <w:p w14:paraId="4CB42B5C"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Detailed Quantity take off </w:t>
            </w:r>
          </w:p>
        </w:tc>
        <w:tc>
          <w:tcPr>
            <w:tcW w:w="4788" w:type="dxa"/>
            <w:tcBorders>
              <w:top w:val="single" w:sz="4" w:space="0" w:color="auto"/>
              <w:left w:val="single" w:sz="4" w:space="0" w:color="auto"/>
              <w:bottom w:val="single" w:sz="4" w:space="0" w:color="auto"/>
              <w:right w:val="single" w:sz="4" w:space="0" w:color="auto"/>
            </w:tcBorders>
          </w:tcPr>
          <w:p w14:paraId="36F050F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3,950,000</w:t>
            </w:r>
          </w:p>
        </w:tc>
      </w:tr>
      <w:tr w:rsidR="00BB51EE" w:rsidRPr="009829E1" w14:paraId="6A2840B8" w14:textId="77777777" w:rsidTr="007C52A4">
        <w:tc>
          <w:tcPr>
            <w:tcW w:w="4788" w:type="dxa"/>
            <w:tcBorders>
              <w:top w:val="single" w:sz="4" w:space="0" w:color="auto"/>
              <w:left w:val="single" w:sz="4" w:space="0" w:color="auto"/>
              <w:bottom w:val="single" w:sz="4" w:space="0" w:color="auto"/>
              <w:right w:val="single" w:sz="4" w:space="0" w:color="auto"/>
            </w:tcBorders>
          </w:tcPr>
          <w:p w14:paraId="064A1D0E"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Approximate Estimate </w:t>
            </w:r>
          </w:p>
        </w:tc>
        <w:tc>
          <w:tcPr>
            <w:tcW w:w="4788" w:type="dxa"/>
            <w:tcBorders>
              <w:top w:val="single" w:sz="4" w:space="0" w:color="auto"/>
              <w:left w:val="single" w:sz="4" w:space="0" w:color="auto"/>
              <w:bottom w:val="single" w:sz="4" w:space="0" w:color="auto"/>
              <w:right w:val="single" w:sz="4" w:space="0" w:color="auto"/>
            </w:tcBorders>
          </w:tcPr>
          <w:p w14:paraId="644946A6"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4,800,000</w:t>
            </w:r>
          </w:p>
        </w:tc>
      </w:tr>
      <w:tr w:rsidR="00BB51EE" w:rsidRPr="009829E1" w14:paraId="5498AED4" w14:textId="77777777" w:rsidTr="007C52A4">
        <w:tc>
          <w:tcPr>
            <w:tcW w:w="4788" w:type="dxa"/>
            <w:tcBorders>
              <w:top w:val="single" w:sz="4" w:space="0" w:color="auto"/>
              <w:left w:val="single" w:sz="4" w:space="0" w:color="auto"/>
              <w:bottom w:val="single" w:sz="4" w:space="0" w:color="auto"/>
              <w:right w:val="single" w:sz="4" w:space="0" w:color="auto"/>
            </w:tcBorders>
          </w:tcPr>
          <w:p w14:paraId="2547BAB2"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Parametric Estimation </w:t>
            </w:r>
          </w:p>
        </w:tc>
        <w:tc>
          <w:tcPr>
            <w:tcW w:w="4788" w:type="dxa"/>
            <w:tcBorders>
              <w:top w:val="single" w:sz="4" w:space="0" w:color="auto"/>
              <w:left w:val="single" w:sz="4" w:space="0" w:color="auto"/>
              <w:bottom w:val="single" w:sz="4" w:space="0" w:color="auto"/>
              <w:right w:val="single" w:sz="4" w:space="0" w:color="auto"/>
            </w:tcBorders>
          </w:tcPr>
          <w:p w14:paraId="4BD20F10"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5,400,000</w:t>
            </w:r>
          </w:p>
        </w:tc>
      </w:tr>
      <w:tr w:rsidR="00BB51EE" w:rsidRPr="009829E1" w14:paraId="342C3686" w14:textId="77777777" w:rsidTr="007C52A4">
        <w:tc>
          <w:tcPr>
            <w:tcW w:w="4788" w:type="dxa"/>
            <w:tcBorders>
              <w:top w:val="single" w:sz="4" w:space="0" w:color="auto"/>
              <w:left w:val="single" w:sz="4" w:space="0" w:color="auto"/>
              <w:bottom w:val="single" w:sz="4" w:space="0" w:color="auto"/>
              <w:right w:val="single" w:sz="4" w:space="0" w:color="auto"/>
            </w:tcBorders>
          </w:tcPr>
          <w:p w14:paraId="0077E8F1"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 xml:space="preserve">Cost index Estimation </w:t>
            </w:r>
          </w:p>
        </w:tc>
        <w:tc>
          <w:tcPr>
            <w:tcW w:w="4788" w:type="dxa"/>
            <w:tcBorders>
              <w:top w:val="single" w:sz="4" w:space="0" w:color="auto"/>
              <w:left w:val="single" w:sz="4" w:space="0" w:color="auto"/>
              <w:bottom w:val="single" w:sz="4" w:space="0" w:color="auto"/>
              <w:right w:val="single" w:sz="4" w:space="0" w:color="auto"/>
            </w:tcBorders>
          </w:tcPr>
          <w:p w14:paraId="13300493" w14:textId="77777777" w:rsidR="00BB51EE" w:rsidRPr="009829E1" w:rsidRDefault="00BB51EE" w:rsidP="007C52A4">
            <w:pPr>
              <w:spacing w:line="420" w:lineRule="auto"/>
              <w:rPr>
                <w:rFonts w:ascii="Arial" w:hAnsi="Arial" w:cs="Arial"/>
                <w:sz w:val="20"/>
                <w:szCs w:val="24"/>
              </w:rPr>
            </w:pPr>
            <w:r w:rsidRPr="009829E1">
              <w:rPr>
                <w:rFonts w:ascii="Arial" w:hAnsi="Arial" w:cs="Arial"/>
                <w:sz w:val="20"/>
                <w:szCs w:val="24"/>
              </w:rPr>
              <w:t>4,600,000</w:t>
            </w:r>
          </w:p>
        </w:tc>
      </w:tr>
    </w:tbl>
    <w:p w14:paraId="1F347DB9" w14:textId="77777777" w:rsidR="00BB51EE" w:rsidRPr="009829E1" w:rsidRDefault="00BB51EE" w:rsidP="00BB51EE">
      <w:pPr>
        <w:spacing w:line="420" w:lineRule="auto"/>
        <w:rPr>
          <w:rFonts w:ascii="Arial" w:hAnsi="Arial" w:cs="Arial"/>
          <w:sz w:val="20"/>
          <w:szCs w:val="24"/>
        </w:rPr>
      </w:pPr>
    </w:p>
    <w:p w14:paraId="3BC7E588" w14:textId="77777777" w:rsidR="00BB51EE" w:rsidRDefault="00BB51EE" w:rsidP="00BB51EE">
      <w:pPr>
        <w:spacing w:line="420" w:lineRule="auto"/>
        <w:rPr>
          <w:sz w:val="24"/>
          <w:szCs w:val="24"/>
        </w:rPr>
      </w:pPr>
      <w:r w:rsidRPr="009829E1">
        <w:rPr>
          <w:rFonts w:ascii="Arial" w:hAnsi="Arial" w:cs="Arial"/>
          <w:sz w:val="20"/>
          <w:szCs w:val="24"/>
        </w:rPr>
        <w:t>From the comparative analysis, it is evident that the cost estimations vary depending on the methodology used. The Unit Rate Estimation provides the highest cost, while detailed quantity take off yields the lowest. The Detailed Quantity Takeoff method is one of the most accurate techniques but tends to be labor-intensive, while Factor Estimation offers a more simplified and quicker alternative, though it may not be as precise.</w:t>
      </w:r>
    </w:p>
    <w:p w14:paraId="7EBD60E4" w14:textId="77777777" w:rsidR="00BB51EE" w:rsidRPr="009829E1" w:rsidRDefault="00BB51EE" w:rsidP="00BB51EE">
      <w:pPr>
        <w:spacing w:line="420" w:lineRule="auto"/>
        <w:rPr>
          <w:rFonts w:ascii="Arial" w:hAnsi="Arial" w:cs="Arial"/>
          <w:b/>
          <w:bCs/>
          <w:szCs w:val="28"/>
        </w:rPr>
      </w:pPr>
      <w:r w:rsidRPr="009829E1">
        <w:rPr>
          <w:rFonts w:ascii="Arial" w:hAnsi="Arial" w:cs="Arial"/>
          <w:b/>
          <w:bCs/>
          <w:szCs w:val="28"/>
        </w:rPr>
        <w:t>3.9 Manual Method</w:t>
      </w:r>
    </w:p>
    <w:p w14:paraId="423B021D" w14:textId="77777777" w:rsidR="00BB51EE" w:rsidRPr="009829E1" w:rsidRDefault="00BB51EE" w:rsidP="00BB51EE">
      <w:pPr>
        <w:spacing w:line="420" w:lineRule="auto"/>
        <w:rPr>
          <w:rFonts w:ascii="Arial" w:hAnsi="Arial" w:cs="Arial"/>
          <w:sz w:val="24"/>
          <w:szCs w:val="24"/>
        </w:rPr>
      </w:pPr>
      <w:r w:rsidRPr="009829E1">
        <w:rPr>
          <w:rFonts w:ascii="Arial" w:hAnsi="Arial" w:cs="Arial"/>
          <w:sz w:val="20"/>
          <w:szCs w:val="24"/>
        </w:rPr>
        <w:t>This involves hand calculations, where data is analyzed using formulas and computations done manually. It's a traditional method but can be time-consuming and prone to human error.</w:t>
      </w:r>
    </w:p>
    <w:p w14:paraId="6CCCF2F7" w14:textId="77777777" w:rsidR="00BB51EE" w:rsidRPr="009829E1" w:rsidRDefault="00BB51EE" w:rsidP="00BB51EE">
      <w:pPr>
        <w:spacing w:line="420" w:lineRule="auto"/>
        <w:rPr>
          <w:rFonts w:ascii="Arial" w:hAnsi="Arial" w:cs="Arial"/>
          <w:b/>
          <w:bCs/>
          <w:szCs w:val="28"/>
        </w:rPr>
      </w:pPr>
      <w:r w:rsidRPr="009829E1">
        <w:rPr>
          <w:rFonts w:ascii="Arial" w:hAnsi="Arial" w:cs="Arial"/>
          <w:b/>
          <w:bCs/>
          <w:szCs w:val="28"/>
        </w:rPr>
        <w:t>3.10 Excel-Based Method</w:t>
      </w:r>
    </w:p>
    <w:p w14:paraId="0D91E52B"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This involves using Microsoft Excel or similar tools to automate calculations. Formulas are inputted into spreadsheets, making the process faster and more accurate. Excel also allows for easy adjustments and data visualization.</w:t>
      </w:r>
    </w:p>
    <w:p w14:paraId="31116AC7" w14:textId="77777777" w:rsidR="00BB51EE" w:rsidRPr="009829E1" w:rsidRDefault="00BB51EE" w:rsidP="00BB51EE">
      <w:pPr>
        <w:spacing w:line="420" w:lineRule="auto"/>
        <w:rPr>
          <w:rFonts w:ascii="Arial" w:hAnsi="Arial" w:cs="Arial"/>
          <w:sz w:val="18"/>
          <w:szCs w:val="24"/>
        </w:rPr>
      </w:pPr>
      <w:r w:rsidRPr="009829E1">
        <w:rPr>
          <w:rFonts w:ascii="Arial" w:hAnsi="Arial" w:cs="Arial"/>
          <w:b/>
          <w:bCs/>
          <w:sz w:val="20"/>
          <w:szCs w:val="28"/>
        </w:rPr>
        <w:t>Parameters in Cost Estimation</w:t>
      </w:r>
    </w:p>
    <w:p w14:paraId="043A2B10"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Quantity of Materials (Q): Total units of each material required, e.g., number of bags of cement, tons of steel, etc.</w:t>
      </w:r>
    </w:p>
    <w:p w14:paraId="4692C5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Unit Rate (R): Cost per unit of material in Naira (₦).</w:t>
      </w:r>
    </w:p>
    <w:p w14:paraId="07A8EA0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3. Labor Cost (L): Total wages for workers involved in the project.</w:t>
      </w:r>
    </w:p>
    <w:p w14:paraId="7627D9F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4. Transportation Cost (T): Expenses for moving materials to the site.</w:t>
      </w:r>
    </w:p>
    <w:p w14:paraId="71E128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5. Overhead Costs (O): Miscellaneous costs, such as equipment maintenance, site security, etc.</w:t>
      </w:r>
    </w:p>
    <w:p w14:paraId="65D4EB77"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6. Total Cost (C): Overall project cost, calculated as:</w:t>
      </w:r>
    </w:p>
    <w:p w14:paraId="345A230D" w14:textId="77777777" w:rsidR="00BB51EE" w:rsidRPr="009829E1" w:rsidRDefault="00BB51EE" w:rsidP="00BB51EE">
      <w:pPr>
        <w:spacing w:line="420" w:lineRule="auto"/>
        <w:jc w:val="center"/>
        <w:rPr>
          <w:rFonts w:ascii="Arial" w:hAnsi="Arial" w:cs="Arial"/>
          <w:sz w:val="20"/>
          <w:szCs w:val="24"/>
        </w:rPr>
      </w:pPr>
      <w:r w:rsidRPr="009829E1">
        <w:rPr>
          <w:rFonts w:ascii="Arial" w:hAnsi="Arial" w:cs="Arial"/>
          <w:sz w:val="20"/>
          <w:szCs w:val="24"/>
        </w:rPr>
        <w:t xml:space="preserve"> C = (Q X R) + L + R + O</w:t>
      </w:r>
    </w:p>
    <w:p w14:paraId="00FF7601"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Example Project</w:t>
      </w:r>
    </w:p>
    <w:p w14:paraId="635EB464"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Building a 3-bedroom bungalow in Lagos, Nigeria.</w:t>
      </w:r>
    </w:p>
    <w:p w14:paraId="433B4AB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Materials: Cement, Sand, Granite, Steel, Blocks</w:t>
      </w:r>
    </w:p>
    <w:p w14:paraId="54AEA42D"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Quantities Required: Based on project plan</w:t>
      </w:r>
    </w:p>
    <w:p w14:paraId="4ADD2DAF" w14:textId="084098FF" w:rsidR="00BB51EE" w:rsidRPr="009829E1" w:rsidRDefault="007639F9" w:rsidP="00BB51EE">
      <w:pPr>
        <w:spacing w:line="420" w:lineRule="auto"/>
        <w:rPr>
          <w:rFonts w:ascii="Arial" w:hAnsi="Arial" w:cs="Arial"/>
          <w:szCs w:val="24"/>
        </w:rPr>
      </w:pPr>
      <w:r>
        <w:rPr>
          <w:rFonts w:ascii="Arial" w:hAnsi="Arial" w:cs="Arial"/>
          <w:b/>
          <w:bCs/>
          <w:szCs w:val="24"/>
        </w:rPr>
        <w:t xml:space="preserve">Table 4. </w:t>
      </w:r>
      <w:r w:rsidR="00BB51EE" w:rsidRPr="009829E1">
        <w:rPr>
          <w:rFonts w:ascii="Arial" w:hAnsi="Arial" w:cs="Arial"/>
          <w:b/>
          <w:bCs/>
          <w:szCs w:val="24"/>
        </w:rPr>
        <w:t>Manual Method Calculations</w:t>
      </w:r>
      <w:r w:rsidR="00BB51EE" w:rsidRPr="009829E1">
        <w:rPr>
          <w:rFonts w:ascii="Arial" w:hAnsi="Arial" w:cs="Arial"/>
          <w:szCs w:val="24"/>
        </w:rPr>
        <w:t xml:space="preserve"> </w:t>
      </w:r>
    </w:p>
    <w:tbl>
      <w:tblPr>
        <w:tblStyle w:val="TableGrid"/>
        <w:tblW w:w="7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72"/>
        <w:gridCol w:w="1872"/>
        <w:gridCol w:w="1872"/>
        <w:gridCol w:w="1872"/>
      </w:tblGrid>
      <w:tr w:rsidR="00BB51EE" w:rsidRPr="009829E1" w14:paraId="792E5791" w14:textId="77777777" w:rsidTr="007C52A4">
        <w:tc>
          <w:tcPr>
            <w:tcW w:w="1672" w:type="dxa"/>
            <w:tcBorders>
              <w:top w:val="single" w:sz="4" w:space="0" w:color="auto"/>
              <w:left w:val="single" w:sz="4" w:space="0" w:color="auto"/>
              <w:bottom w:val="single" w:sz="4" w:space="0" w:color="auto"/>
              <w:right w:val="single" w:sz="4" w:space="0" w:color="auto"/>
            </w:tcBorders>
          </w:tcPr>
          <w:p w14:paraId="222E7C8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 Materials </w:t>
            </w:r>
          </w:p>
        </w:tc>
        <w:tc>
          <w:tcPr>
            <w:tcW w:w="1872" w:type="dxa"/>
            <w:tcBorders>
              <w:top w:val="single" w:sz="4" w:space="0" w:color="auto"/>
              <w:left w:val="single" w:sz="4" w:space="0" w:color="auto"/>
              <w:bottom w:val="single" w:sz="4" w:space="0" w:color="auto"/>
              <w:right w:val="single" w:sz="4" w:space="0" w:color="auto"/>
            </w:tcBorders>
          </w:tcPr>
          <w:p w14:paraId="6C6BF45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Quantity (Q)</w:t>
            </w:r>
          </w:p>
        </w:tc>
        <w:tc>
          <w:tcPr>
            <w:tcW w:w="1872" w:type="dxa"/>
            <w:tcBorders>
              <w:top w:val="single" w:sz="4" w:space="0" w:color="auto"/>
              <w:left w:val="single" w:sz="4" w:space="0" w:color="auto"/>
              <w:bottom w:val="single" w:sz="4" w:space="0" w:color="auto"/>
              <w:right w:val="single" w:sz="4" w:space="0" w:color="auto"/>
            </w:tcBorders>
          </w:tcPr>
          <w:p w14:paraId="048ADC9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Unit Rate (#)</w:t>
            </w:r>
          </w:p>
        </w:tc>
        <w:tc>
          <w:tcPr>
            <w:tcW w:w="1872" w:type="dxa"/>
            <w:tcBorders>
              <w:top w:val="single" w:sz="4" w:space="0" w:color="auto"/>
              <w:left w:val="single" w:sz="4" w:space="0" w:color="auto"/>
              <w:bottom w:val="single" w:sz="4" w:space="0" w:color="auto"/>
              <w:right w:val="single" w:sz="4" w:space="0" w:color="auto"/>
            </w:tcBorders>
          </w:tcPr>
          <w:p w14:paraId="5E3D8544"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Cost (Q x #)</w:t>
            </w:r>
          </w:p>
        </w:tc>
      </w:tr>
      <w:tr w:rsidR="00BB51EE" w:rsidRPr="009829E1" w14:paraId="258DB726" w14:textId="77777777" w:rsidTr="007C52A4">
        <w:tc>
          <w:tcPr>
            <w:tcW w:w="1672" w:type="dxa"/>
            <w:tcBorders>
              <w:top w:val="single" w:sz="4" w:space="0" w:color="auto"/>
              <w:left w:val="single" w:sz="4" w:space="0" w:color="auto"/>
              <w:bottom w:val="single" w:sz="4" w:space="0" w:color="auto"/>
              <w:right w:val="single" w:sz="4" w:space="0" w:color="auto"/>
            </w:tcBorders>
          </w:tcPr>
          <w:p w14:paraId="01E25C07"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Cement </w:t>
            </w:r>
          </w:p>
        </w:tc>
        <w:tc>
          <w:tcPr>
            <w:tcW w:w="1872" w:type="dxa"/>
            <w:tcBorders>
              <w:top w:val="single" w:sz="4" w:space="0" w:color="auto"/>
              <w:left w:val="single" w:sz="4" w:space="0" w:color="auto"/>
              <w:bottom w:val="single" w:sz="4" w:space="0" w:color="auto"/>
              <w:right w:val="single" w:sz="4" w:space="0" w:color="auto"/>
            </w:tcBorders>
          </w:tcPr>
          <w:p w14:paraId="63F11FE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 bags</w:t>
            </w:r>
          </w:p>
        </w:tc>
        <w:tc>
          <w:tcPr>
            <w:tcW w:w="1872" w:type="dxa"/>
            <w:tcBorders>
              <w:top w:val="single" w:sz="4" w:space="0" w:color="auto"/>
              <w:left w:val="single" w:sz="4" w:space="0" w:color="auto"/>
              <w:bottom w:val="single" w:sz="4" w:space="0" w:color="auto"/>
              <w:right w:val="single" w:sz="4" w:space="0" w:color="auto"/>
            </w:tcBorders>
          </w:tcPr>
          <w:p w14:paraId="3460E27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4,500</w:t>
            </w:r>
          </w:p>
        </w:tc>
        <w:tc>
          <w:tcPr>
            <w:tcW w:w="1872" w:type="dxa"/>
            <w:tcBorders>
              <w:top w:val="single" w:sz="4" w:space="0" w:color="auto"/>
              <w:left w:val="single" w:sz="4" w:space="0" w:color="auto"/>
              <w:bottom w:val="single" w:sz="4" w:space="0" w:color="auto"/>
              <w:right w:val="single" w:sz="4" w:space="0" w:color="auto"/>
            </w:tcBorders>
          </w:tcPr>
          <w:p w14:paraId="03DBE28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1,350,000</w:t>
            </w:r>
          </w:p>
        </w:tc>
      </w:tr>
      <w:tr w:rsidR="00BB51EE" w:rsidRPr="009829E1" w14:paraId="5DB1AFBD" w14:textId="77777777" w:rsidTr="007C52A4">
        <w:tc>
          <w:tcPr>
            <w:tcW w:w="1672" w:type="dxa"/>
            <w:tcBorders>
              <w:top w:val="single" w:sz="4" w:space="0" w:color="auto"/>
              <w:left w:val="single" w:sz="4" w:space="0" w:color="auto"/>
              <w:bottom w:val="single" w:sz="4" w:space="0" w:color="auto"/>
              <w:right w:val="single" w:sz="4" w:space="0" w:color="auto"/>
            </w:tcBorders>
          </w:tcPr>
          <w:p w14:paraId="48B7F47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Sand </w:t>
            </w:r>
          </w:p>
        </w:tc>
        <w:tc>
          <w:tcPr>
            <w:tcW w:w="1872" w:type="dxa"/>
            <w:tcBorders>
              <w:top w:val="single" w:sz="4" w:space="0" w:color="auto"/>
              <w:left w:val="single" w:sz="4" w:space="0" w:color="auto"/>
              <w:bottom w:val="single" w:sz="4" w:space="0" w:color="auto"/>
              <w:right w:val="single" w:sz="4" w:space="0" w:color="auto"/>
            </w:tcBorders>
          </w:tcPr>
          <w:p w14:paraId="5429390A"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20 trips</w:t>
            </w:r>
          </w:p>
        </w:tc>
        <w:tc>
          <w:tcPr>
            <w:tcW w:w="1872" w:type="dxa"/>
            <w:tcBorders>
              <w:top w:val="single" w:sz="4" w:space="0" w:color="auto"/>
              <w:left w:val="single" w:sz="4" w:space="0" w:color="auto"/>
              <w:bottom w:val="single" w:sz="4" w:space="0" w:color="auto"/>
              <w:right w:val="single" w:sz="4" w:space="0" w:color="auto"/>
            </w:tcBorders>
          </w:tcPr>
          <w:p w14:paraId="4C7E11F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30,000</w:t>
            </w:r>
          </w:p>
        </w:tc>
        <w:tc>
          <w:tcPr>
            <w:tcW w:w="1872" w:type="dxa"/>
            <w:tcBorders>
              <w:top w:val="single" w:sz="4" w:space="0" w:color="auto"/>
              <w:left w:val="single" w:sz="4" w:space="0" w:color="auto"/>
              <w:bottom w:val="single" w:sz="4" w:space="0" w:color="auto"/>
              <w:right w:val="single" w:sz="4" w:space="0" w:color="auto"/>
            </w:tcBorders>
          </w:tcPr>
          <w:p w14:paraId="1B85238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w:t>
            </w:r>
          </w:p>
        </w:tc>
      </w:tr>
      <w:tr w:rsidR="00BB51EE" w:rsidRPr="009829E1" w14:paraId="6C1F73B7" w14:textId="77777777" w:rsidTr="007C52A4">
        <w:tc>
          <w:tcPr>
            <w:tcW w:w="1672" w:type="dxa"/>
            <w:tcBorders>
              <w:top w:val="single" w:sz="4" w:space="0" w:color="auto"/>
              <w:left w:val="single" w:sz="4" w:space="0" w:color="auto"/>
              <w:bottom w:val="single" w:sz="4" w:space="0" w:color="auto"/>
              <w:right w:val="single" w:sz="4" w:space="0" w:color="auto"/>
            </w:tcBorders>
          </w:tcPr>
          <w:p w14:paraId="04AFC57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Granite </w:t>
            </w:r>
          </w:p>
        </w:tc>
        <w:tc>
          <w:tcPr>
            <w:tcW w:w="1872" w:type="dxa"/>
            <w:tcBorders>
              <w:top w:val="single" w:sz="4" w:space="0" w:color="auto"/>
              <w:left w:val="single" w:sz="4" w:space="0" w:color="auto"/>
              <w:bottom w:val="single" w:sz="4" w:space="0" w:color="auto"/>
              <w:right w:val="single" w:sz="4" w:space="0" w:color="auto"/>
            </w:tcBorders>
          </w:tcPr>
          <w:p w14:paraId="663858D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15 Tons</w:t>
            </w:r>
          </w:p>
        </w:tc>
        <w:tc>
          <w:tcPr>
            <w:tcW w:w="1872" w:type="dxa"/>
            <w:tcBorders>
              <w:top w:val="single" w:sz="4" w:space="0" w:color="auto"/>
              <w:left w:val="single" w:sz="4" w:space="0" w:color="auto"/>
              <w:bottom w:val="single" w:sz="4" w:space="0" w:color="auto"/>
              <w:right w:val="single" w:sz="4" w:space="0" w:color="auto"/>
            </w:tcBorders>
          </w:tcPr>
          <w:p w14:paraId="1AB47FA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25,000</w:t>
            </w:r>
          </w:p>
        </w:tc>
        <w:tc>
          <w:tcPr>
            <w:tcW w:w="1872" w:type="dxa"/>
            <w:tcBorders>
              <w:top w:val="single" w:sz="4" w:space="0" w:color="auto"/>
              <w:left w:val="single" w:sz="4" w:space="0" w:color="auto"/>
              <w:bottom w:val="single" w:sz="4" w:space="0" w:color="auto"/>
              <w:right w:val="single" w:sz="4" w:space="0" w:color="auto"/>
            </w:tcBorders>
          </w:tcPr>
          <w:p w14:paraId="1991095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375,000</w:t>
            </w:r>
          </w:p>
        </w:tc>
      </w:tr>
      <w:tr w:rsidR="00BB51EE" w:rsidRPr="009829E1" w14:paraId="676B5C9D" w14:textId="77777777" w:rsidTr="007C52A4">
        <w:tc>
          <w:tcPr>
            <w:tcW w:w="1672" w:type="dxa"/>
            <w:tcBorders>
              <w:top w:val="single" w:sz="4" w:space="0" w:color="auto"/>
              <w:left w:val="single" w:sz="4" w:space="0" w:color="auto"/>
              <w:bottom w:val="single" w:sz="4" w:space="0" w:color="auto"/>
              <w:right w:val="single" w:sz="4" w:space="0" w:color="auto"/>
            </w:tcBorders>
          </w:tcPr>
          <w:p w14:paraId="0DA7270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Steel </w:t>
            </w:r>
          </w:p>
        </w:tc>
        <w:tc>
          <w:tcPr>
            <w:tcW w:w="1872" w:type="dxa"/>
            <w:tcBorders>
              <w:top w:val="single" w:sz="4" w:space="0" w:color="auto"/>
              <w:left w:val="single" w:sz="4" w:space="0" w:color="auto"/>
              <w:bottom w:val="single" w:sz="4" w:space="0" w:color="auto"/>
              <w:right w:val="single" w:sz="4" w:space="0" w:color="auto"/>
            </w:tcBorders>
          </w:tcPr>
          <w:p w14:paraId="6090C84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 Tons</w:t>
            </w:r>
          </w:p>
        </w:tc>
        <w:tc>
          <w:tcPr>
            <w:tcW w:w="1872" w:type="dxa"/>
            <w:tcBorders>
              <w:top w:val="single" w:sz="4" w:space="0" w:color="auto"/>
              <w:left w:val="single" w:sz="4" w:space="0" w:color="auto"/>
              <w:bottom w:val="single" w:sz="4" w:space="0" w:color="auto"/>
              <w:right w:val="single" w:sz="4" w:space="0" w:color="auto"/>
            </w:tcBorders>
          </w:tcPr>
          <w:p w14:paraId="2D5F2C7F"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w:t>
            </w:r>
          </w:p>
        </w:tc>
        <w:tc>
          <w:tcPr>
            <w:tcW w:w="1872" w:type="dxa"/>
            <w:tcBorders>
              <w:top w:val="single" w:sz="4" w:space="0" w:color="auto"/>
              <w:left w:val="single" w:sz="4" w:space="0" w:color="auto"/>
              <w:bottom w:val="single" w:sz="4" w:space="0" w:color="auto"/>
              <w:right w:val="single" w:sz="4" w:space="0" w:color="auto"/>
            </w:tcBorders>
          </w:tcPr>
          <w:p w14:paraId="373AD78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6,000,000</w:t>
            </w:r>
          </w:p>
        </w:tc>
      </w:tr>
      <w:tr w:rsidR="00BB51EE" w:rsidRPr="009829E1" w14:paraId="16DA2840" w14:textId="77777777" w:rsidTr="007C52A4">
        <w:tc>
          <w:tcPr>
            <w:tcW w:w="1672" w:type="dxa"/>
            <w:tcBorders>
              <w:top w:val="single" w:sz="4" w:space="0" w:color="auto"/>
              <w:left w:val="single" w:sz="4" w:space="0" w:color="auto"/>
              <w:bottom w:val="single" w:sz="4" w:space="0" w:color="auto"/>
              <w:right w:val="single" w:sz="4" w:space="0" w:color="auto"/>
            </w:tcBorders>
          </w:tcPr>
          <w:p w14:paraId="1CCCD59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Blocks</w:t>
            </w:r>
          </w:p>
        </w:tc>
        <w:tc>
          <w:tcPr>
            <w:tcW w:w="1872" w:type="dxa"/>
            <w:tcBorders>
              <w:top w:val="single" w:sz="4" w:space="0" w:color="auto"/>
              <w:left w:val="single" w:sz="4" w:space="0" w:color="auto"/>
              <w:bottom w:val="single" w:sz="4" w:space="0" w:color="auto"/>
              <w:right w:val="single" w:sz="4" w:space="0" w:color="auto"/>
            </w:tcBorders>
          </w:tcPr>
          <w:p w14:paraId="7929F00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4,000 units</w:t>
            </w:r>
          </w:p>
        </w:tc>
        <w:tc>
          <w:tcPr>
            <w:tcW w:w="1872" w:type="dxa"/>
            <w:tcBorders>
              <w:top w:val="single" w:sz="4" w:space="0" w:color="auto"/>
              <w:left w:val="single" w:sz="4" w:space="0" w:color="auto"/>
              <w:bottom w:val="single" w:sz="4" w:space="0" w:color="auto"/>
              <w:right w:val="single" w:sz="4" w:space="0" w:color="auto"/>
            </w:tcBorders>
          </w:tcPr>
          <w:p w14:paraId="58EAC41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w:t>
            </w:r>
          </w:p>
        </w:tc>
        <w:tc>
          <w:tcPr>
            <w:tcW w:w="1872" w:type="dxa"/>
            <w:tcBorders>
              <w:top w:val="single" w:sz="4" w:space="0" w:color="auto"/>
              <w:left w:val="single" w:sz="4" w:space="0" w:color="auto"/>
              <w:bottom w:val="single" w:sz="4" w:space="0" w:color="auto"/>
              <w:right w:val="single" w:sz="4" w:space="0" w:color="auto"/>
            </w:tcBorders>
          </w:tcPr>
          <w:p w14:paraId="4170939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1,000,000</w:t>
            </w:r>
          </w:p>
        </w:tc>
      </w:tr>
    </w:tbl>
    <w:p w14:paraId="4A46DB6B" w14:textId="77777777" w:rsidR="00BB51EE" w:rsidRPr="009829E1" w:rsidRDefault="00BB51EE" w:rsidP="00BB51EE">
      <w:pPr>
        <w:spacing w:line="420" w:lineRule="auto"/>
        <w:rPr>
          <w:rFonts w:ascii="Arial" w:hAnsi="Arial" w:cs="Arial"/>
          <w:sz w:val="20"/>
          <w:szCs w:val="24"/>
        </w:rPr>
      </w:pPr>
    </w:p>
    <w:p w14:paraId="1B5C6C3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Manual Method Calculation</w:t>
      </w:r>
    </w:p>
    <w:p w14:paraId="43B14E3B"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Step-by-Step Calculation:</w:t>
      </w:r>
    </w:p>
    <w:p w14:paraId="041300C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Multiply quantity by unit rate for each material.</w:t>
      </w:r>
    </w:p>
    <w:p w14:paraId="6810C55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Add the labor, transportation, and overhead costs:</w:t>
      </w:r>
    </w:p>
    <w:p w14:paraId="666FF45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Labor (L): ₦1,500,000</w:t>
      </w:r>
    </w:p>
    <w:p w14:paraId="6FFDCE5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Transportation (T): ₦500,000</w:t>
      </w:r>
    </w:p>
    <w:p w14:paraId="76E137B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Overhead (O): ₦200,000</w:t>
      </w:r>
    </w:p>
    <w:p w14:paraId="39245BF3" w14:textId="77777777" w:rsidR="00BB51EE" w:rsidRPr="009829E1" w:rsidRDefault="00BB51EE" w:rsidP="00BB51EE">
      <w:pPr>
        <w:spacing w:line="420" w:lineRule="auto"/>
        <w:rPr>
          <w:rFonts w:ascii="Arial" w:hAnsi="Arial" w:cs="Arial"/>
          <w:b/>
          <w:bCs/>
          <w:szCs w:val="24"/>
        </w:rPr>
      </w:pPr>
      <w:r w:rsidRPr="009829E1">
        <w:rPr>
          <w:rFonts w:ascii="Arial" w:hAnsi="Arial" w:cs="Arial"/>
          <w:b/>
          <w:bCs/>
          <w:szCs w:val="24"/>
        </w:rPr>
        <w:t>Total Cost</w:t>
      </w:r>
    </w:p>
    <w:p w14:paraId="42E850B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C = material cost + L + T +C</w:t>
      </w:r>
    </w:p>
    <w:p w14:paraId="656D7BB5"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C = (1,350,000 + 600,000 + 375,000 + 6,000,000 + 1,000,000) + 1,500,000 + 500,000 + 200,000]</w:t>
      </w:r>
    </w:p>
    <w:p w14:paraId="342FB8EE" w14:textId="77777777" w:rsidR="00BB51EE" w:rsidRDefault="00BB51EE" w:rsidP="00BB51EE">
      <w:pPr>
        <w:spacing w:line="420" w:lineRule="auto"/>
        <w:rPr>
          <w:sz w:val="24"/>
          <w:szCs w:val="24"/>
        </w:rPr>
      </w:pPr>
      <w:r w:rsidRPr="009829E1">
        <w:rPr>
          <w:rFonts w:ascii="Arial" w:hAnsi="Arial" w:cs="Arial"/>
          <w:sz w:val="20"/>
          <w:szCs w:val="24"/>
        </w:rPr>
        <w:t>C = 11,525,000</w:t>
      </w:r>
    </w:p>
    <w:p w14:paraId="25D644B3" w14:textId="77777777" w:rsidR="00BB51EE" w:rsidRPr="009829E1" w:rsidRDefault="00BB51EE" w:rsidP="00BB51EE">
      <w:pPr>
        <w:spacing w:line="420" w:lineRule="auto"/>
        <w:rPr>
          <w:rFonts w:ascii="Arial" w:hAnsi="Arial" w:cs="Arial"/>
          <w:szCs w:val="24"/>
        </w:rPr>
      </w:pPr>
      <w:r w:rsidRPr="009829E1">
        <w:rPr>
          <w:rFonts w:ascii="Arial" w:hAnsi="Arial" w:cs="Arial"/>
          <w:b/>
          <w:bCs/>
          <w:szCs w:val="24"/>
        </w:rPr>
        <w:t>Excel method calculation</w:t>
      </w:r>
      <w:r w:rsidRPr="009829E1">
        <w:rPr>
          <w:rFonts w:ascii="Arial" w:hAnsi="Arial" w:cs="Arial"/>
          <w:szCs w:val="24"/>
        </w:rPr>
        <w:t xml:space="preserve"> </w:t>
      </w:r>
    </w:p>
    <w:p w14:paraId="28165062" w14:textId="477332AE" w:rsidR="00BB51EE" w:rsidRPr="009829E1" w:rsidRDefault="007639F9" w:rsidP="00BB51EE">
      <w:pPr>
        <w:spacing w:line="420" w:lineRule="auto"/>
        <w:rPr>
          <w:rFonts w:ascii="Arial" w:hAnsi="Arial" w:cs="Arial"/>
          <w:sz w:val="20"/>
          <w:szCs w:val="24"/>
        </w:rPr>
      </w:pPr>
      <w:r>
        <w:rPr>
          <w:rFonts w:ascii="Arial" w:hAnsi="Arial" w:cs="Arial"/>
          <w:sz w:val="20"/>
          <w:szCs w:val="24"/>
        </w:rPr>
        <w:t xml:space="preserve">Table 5. </w:t>
      </w:r>
      <w:r w:rsidR="00BB51EE" w:rsidRPr="009829E1">
        <w:rPr>
          <w:rFonts w:ascii="Arial" w:hAnsi="Arial" w:cs="Arial"/>
          <w:sz w:val="20"/>
          <w:szCs w:val="24"/>
        </w:rPr>
        <w:t>Excel table format</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2"/>
        <w:gridCol w:w="1872"/>
        <w:gridCol w:w="1872"/>
        <w:gridCol w:w="1872"/>
      </w:tblGrid>
      <w:tr w:rsidR="00BB51EE" w:rsidRPr="009829E1" w14:paraId="547F9500" w14:textId="77777777" w:rsidTr="007C52A4">
        <w:trPr>
          <w:trHeight w:val="560"/>
        </w:trPr>
        <w:tc>
          <w:tcPr>
            <w:tcW w:w="1872" w:type="dxa"/>
            <w:tcBorders>
              <w:top w:val="single" w:sz="4" w:space="0" w:color="auto"/>
              <w:left w:val="single" w:sz="4" w:space="0" w:color="auto"/>
              <w:bottom w:val="single" w:sz="4" w:space="0" w:color="auto"/>
              <w:right w:val="single" w:sz="4" w:space="0" w:color="auto"/>
            </w:tcBorders>
          </w:tcPr>
          <w:p w14:paraId="7B1692C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Materials </w:t>
            </w:r>
          </w:p>
        </w:tc>
        <w:tc>
          <w:tcPr>
            <w:tcW w:w="1872" w:type="dxa"/>
            <w:tcBorders>
              <w:top w:val="single" w:sz="4" w:space="0" w:color="auto"/>
              <w:left w:val="single" w:sz="4" w:space="0" w:color="auto"/>
              <w:bottom w:val="single" w:sz="4" w:space="0" w:color="auto"/>
              <w:right w:val="single" w:sz="4" w:space="0" w:color="auto"/>
            </w:tcBorders>
          </w:tcPr>
          <w:p w14:paraId="2C09813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Quantity (Q)</w:t>
            </w:r>
          </w:p>
        </w:tc>
        <w:tc>
          <w:tcPr>
            <w:tcW w:w="1872" w:type="dxa"/>
            <w:tcBorders>
              <w:top w:val="single" w:sz="4" w:space="0" w:color="auto"/>
              <w:left w:val="single" w:sz="4" w:space="0" w:color="auto"/>
              <w:bottom w:val="single" w:sz="4" w:space="0" w:color="auto"/>
              <w:right w:val="single" w:sz="4" w:space="0" w:color="auto"/>
            </w:tcBorders>
          </w:tcPr>
          <w:p w14:paraId="03AFA36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Unit Rate (#)</w:t>
            </w:r>
          </w:p>
        </w:tc>
        <w:tc>
          <w:tcPr>
            <w:tcW w:w="1872" w:type="dxa"/>
            <w:tcBorders>
              <w:top w:val="single" w:sz="4" w:space="0" w:color="auto"/>
              <w:left w:val="single" w:sz="4" w:space="0" w:color="auto"/>
              <w:bottom w:val="single" w:sz="4" w:space="0" w:color="auto"/>
              <w:right w:val="single" w:sz="4" w:space="0" w:color="auto"/>
            </w:tcBorders>
          </w:tcPr>
          <w:p w14:paraId="041C80A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Cost (</w:t>
            </w:r>
            <w:proofErr w:type="spellStart"/>
            <w:r w:rsidRPr="009829E1">
              <w:rPr>
                <w:rFonts w:ascii="Arial" w:hAnsi="Arial" w:cs="Arial"/>
                <w:sz w:val="20"/>
                <w:szCs w:val="24"/>
              </w:rPr>
              <w:t>Qx</w:t>
            </w:r>
            <w:proofErr w:type="spellEnd"/>
            <w:r w:rsidRPr="009829E1">
              <w:rPr>
                <w:rFonts w:ascii="Arial" w:hAnsi="Arial" w:cs="Arial"/>
                <w:sz w:val="20"/>
                <w:szCs w:val="24"/>
              </w:rPr>
              <w:t>#)</w:t>
            </w:r>
          </w:p>
        </w:tc>
      </w:tr>
      <w:tr w:rsidR="00BB51EE" w:rsidRPr="009829E1" w14:paraId="5C82EF89" w14:textId="77777777" w:rsidTr="007C52A4">
        <w:tc>
          <w:tcPr>
            <w:tcW w:w="1872" w:type="dxa"/>
            <w:tcBorders>
              <w:top w:val="single" w:sz="4" w:space="0" w:color="auto"/>
              <w:left w:val="single" w:sz="4" w:space="0" w:color="auto"/>
              <w:bottom w:val="single" w:sz="4" w:space="0" w:color="auto"/>
              <w:right w:val="single" w:sz="4" w:space="0" w:color="auto"/>
            </w:tcBorders>
          </w:tcPr>
          <w:p w14:paraId="3D840C2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Cement </w:t>
            </w:r>
          </w:p>
        </w:tc>
        <w:tc>
          <w:tcPr>
            <w:tcW w:w="1872" w:type="dxa"/>
            <w:tcBorders>
              <w:top w:val="single" w:sz="4" w:space="0" w:color="auto"/>
              <w:left w:val="single" w:sz="4" w:space="0" w:color="auto"/>
              <w:bottom w:val="single" w:sz="4" w:space="0" w:color="auto"/>
              <w:right w:val="single" w:sz="4" w:space="0" w:color="auto"/>
            </w:tcBorders>
          </w:tcPr>
          <w:p w14:paraId="0DD2DDE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w:t>
            </w:r>
          </w:p>
        </w:tc>
        <w:tc>
          <w:tcPr>
            <w:tcW w:w="1872" w:type="dxa"/>
            <w:tcBorders>
              <w:top w:val="single" w:sz="4" w:space="0" w:color="auto"/>
              <w:left w:val="single" w:sz="4" w:space="0" w:color="auto"/>
              <w:bottom w:val="single" w:sz="4" w:space="0" w:color="auto"/>
              <w:right w:val="single" w:sz="4" w:space="0" w:color="auto"/>
            </w:tcBorders>
          </w:tcPr>
          <w:p w14:paraId="6D97C76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4,500</w:t>
            </w:r>
          </w:p>
        </w:tc>
        <w:tc>
          <w:tcPr>
            <w:tcW w:w="1872" w:type="dxa"/>
            <w:tcBorders>
              <w:top w:val="single" w:sz="4" w:space="0" w:color="auto"/>
              <w:left w:val="single" w:sz="4" w:space="0" w:color="auto"/>
              <w:bottom w:val="single" w:sz="4" w:space="0" w:color="auto"/>
              <w:right w:val="single" w:sz="4" w:space="0" w:color="auto"/>
            </w:tcBorders>
          </w:tcPr>
          <w:p w14:paraId="72CA78A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=B2*C2</w:t>
            </w:r>
          </w:p>
        </w:tc>
      </w:tr>
      <w:tr w:rsidR="00BB51EE" w:rsidRPr="009829E1" w14:paraId="065913C1" w14:textId="77777777" w:rsidTr="007C52A4">
        <w:tc>
          <w:tcPr>
            <w:tcW w:w="1872" w:type="dxa"/>
            <w:tcBorders>
              <w:top w:val="single" w:sz="4" w:space="0" w:color="auto"/>
              <w:left w:val="single" w:sz="4" w:space="0" w:color="auto"/>
              <w:bottom w:val="single" w:sz="4" w:space="0" w:color="auto"/>
              <w:right w:val="single" w:sz="4" w:space="0" w:color="auto"/>
            </w:tcBorders>
          </w:tcPr>
          <w:p w14:paraId="262C516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Sand </w:t>
            </w:r>
          </w:p>
        </w:tc>
        <w:tc>
          <w:tcPr>
            <w:tcW w:w="1872" w:type="dxa"/>
            <w:tcBorders>
              <w:top w:val="single" w:sz="4" w:space="0" w:color="auto"/>
              <w:left w:val="single" w:sz="4" w:space="0" w:color="auto"/>
              <w:bottom w:val="single" w:sz="4" w:space="0" w:color="auto"/>
              <w:right w:val="single" w:sz="4" w:space="0" w:color="auto"/>
            </w:tcBorders>
          </w:tcPr>
          <w:p w14:paraId="0D3AE4B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20</w:t>
            </w:r>
          </w:p>
        </w:tc>
        <w:tc>
          <w:tcPr>
            <w:tcW w:w="1872" w:type="dxa"/>
            <w:tcBorders>
              <w:top w:val="single" w:sz="4" w:space="0" w:color="auto"/>
              <w:left w:val="single" w:sz="4" w:space="0" w:color="auto"/>
              <w:bottom w:val="single" w:sz="4" w:space="0" w:color="auto"/>
              <w:right w:val="single" w:sz="4" w:space="0" w:color="auto"/>
            </w:tcBorders>
          </w:tcPr>
          <w:p w14:paraId="2763DD6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30,000</w:t>
            </w:r>
          </w:p>
        </w:tc>
        <w:tc>
          <w:tcPr>
            <w:tcW w:w="1872" w:type="dxa"/>
            <w:tcBorders>
              <w:top w:val="single" w:sz="4" w:space="0" w:color="auto"/>
              <w:left w:val="single" w:sz="4" w:space="0" w:color="auto"/>
              <w:bottom w:val="single" w:sz="4" w:space="0" w:color="auto"/>
              <w:right w:val="single" w:sz="4" w:space="0" w:color="auto"/>
            </w:tcBorders>
          </w:tcPr>
          <w:p w14:paraId="3D30708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=B3*C3</w:t>
            </w:r>
          </w:p>
        </w:tc>
      </w:tr>
      <w:tr w:rsidR="00BB51EE" w:rsidRPr="009829E1" w14:paraId="4E575B68" w14:textId="77777777" w:rsidTr="007C52A4">
        <w:tc>
          <w:tcPr>
            <w:tcW w:w="1872" w:type="dxa"/>
            <w:tcBorders>
              <w:top w:val="single" w:sz="4" w:space="0" w:color="auto"/>
              <w:left w:val="single" w:sz="4" w:space="0" w:color="auto"/>
              <w:bottom w:val="single" w:sz="4" w:space="0" w:color="auto"/>
              <w:right w:val="single" w:sz="4" w:space="0" w:color="auto"/>
            </w:tcBorders>
          </w:tcPr>
          <w:p w14:paraId="2257958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Granite </w:t>
            </w:r>
          </w:p>
        </w:tc>
        <w:tc>
          <w:tcPr>
            <w:tcW w:w="1872" w:type="dxa"/>
            <w:tcBorders>
              <w:top w:val="single" w:sz="4" w:space="0" w:color="auto"/>
              <w:left w:val="single" w:sz="4" w:space="0" w:color="auto"/>
              <w:bottom w:val="single" w:sz="4" w:space="0" w:color="auto"/>
              <w:right w:val="single" w:sz="4" w:space="0" w:color="auto"/>
            </w:tcBorders>
          </w:tcPr>
          <w:p w14:paraId="150F26C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15</w:t>
            </w:r>
          </w:p>
        </w:tc>
        <w:tc>
          <w:tcPr>
            <w:tcW w:w="1872" w:type="dxa"/>
            <w:tcBorders>
              <w:top w:val="single" w:sz="4" w:space="0" w:color="auto"/>
              <w:left w:val="single" w:sz="4" w:space="0" w:color="auto"/>
              <w:bottom w:val="single" w:sz="4" w:space="0" w:color="auto"/>
              <w:right w:val="single" w:sz="4" w:space="0" w:color="auto"/>
            </w:tcBorders>
          </w:tcPr>
          <w:p w14:paraId="015004A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25,000</w:t>
            </w:r>
          </w:p>
        </w:tc>
        <w:tc>
          <w:tcPr>
            <w:tcW w:w="1872" w:type="dxa"/>
            <w:tcBorders>
              <w:top w:val="single" w:sz="4" w:space="0" w:color="auto"/>
              <w:left w:val="single" w:sz="4" w:space="0" w:color="auto"/>
              <w:bottom w:val="single" w:sz="4" w:space="0" w:color="auto"/>
              <w:right w:val="single" w:sz="4" w:space="0" w:color="auto"/>
            </w:tcBorders>
          </w:tcPr>
          <w:p w14:paraId="75D02CE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B4*C4</w:t>
            </w:r>
          </w:p>
        </w:tc>
      </w:tr>
      <w:tr w:rsidR="00BB51EE" w:rsidRPr="009829E1" w14:paraId="201F35D7" w14:textId="77777777" w:rsidTr="007C52A4">
        <w:tc>
          <w:tcPr>
            <w:tcW w:w="1872" w:type="dxa"/>
            <w:tcBorders>
              <w:top w:val="single" w:sz="4" w:space="0" w:color="auto"/>
              <w:left w:val="single" w:sz="4" w:space="0" w:color="auto"/>
              <w:bottom w:val="single" w:sz="4" w:space="0" w:color="auto"/>
              <w:right w:val="single" w:sz="4" w:space="0" w:color="auto"/>
            </w:tcBorders>
          </w:tcPr>
          <w:p w14:paraId="085A80B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Steel</w:t>
            </w:r>
          </w:p>
        </w:tc>
        <w:tc>
          <w:tcPr>
            <w:tcW w:w="1872" w:type="dxa"/>
            <w:tcBorders>
              <w:top w:val="single" w:sz="4" w:space="0" w:color="auto"/>
              <w:left w:val="single" w:sz="4" w:space="0" w:color="auto"/>
              <w:bottom w:val="single" w:sz="4" w:space="0" w:color="auto"/>
              <w:right w:val="single" w:sz="4" w:space="0" w:color="auto"/>
            </w:tcBorders>
          </w:tcPr>
          <w:p w14:paraId="1308E7D1"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10</w:t>
            </w:r>
          </w:p>
        </w:tc>
        <w:tc>
          <w:tcPr>
            <w:tcW w:w="1872" w:type="dxa"/>
            <w:tcBorders>
              <w:top w:val="single" w:sz="4" w:space="0" w:color="auto"/>
              <w:left w:val="single" w:sz="4" w:space="0" w:color="auto"/>
              <w:bottom w:val="single" w:sz="4" w:space="0" w:color="auto"/>
              <w:right w:val="single" w:sz="4" w:space="0" w:color="auto"/>
            </w:tcBorders>
          </w:tcPr>
          <w:p w14:paraId="57B1EFA7"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60,000</w:t>
            </w:r>
          </w:p>
        </w:tc>
        <w:tc>
          <w:tcPr>
            <w:tcW w:w="1872" w:type="dxa"/>
            <w:tcBorders>
              <w:top w:val="single" w:sz="4" w:space="0" w:color="auto"/>
              <w:left w:val="single" w:sz="4" w:space="0" w:color="auto"/>
              <w:bottom w:val="single" w:sz="4" w:space="0" w:color="auto"/>
              <w:right w:val="single" w:sz="4" w:space="0" w:color="auto"/>
            </w:tcBorders>
          </w:tcPr>
          <w:p w14:paraId="6043B26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B5*C5</w:t>
            </w:r>
          </w:p>
        </w:tc>
      </w:tr>
      <w:tr w:rsidR="00BB51EE" w:rsidRPr="009829E1" w14:paraId="389BEDB3" w14:textId="77777777" w:rsidTr="007C52A4">
        <w:tc>
          <w:tcPr>
            <w:tcW w:w="1872" w:type="dxa"/>
            <w:tcBorders>
              <w:top w:val="single" w:sz="4" w:space="0" w:color="auto"/>
              <w:left w:val="single" w:sz="4" w:space="0" w:color="auto"/>
              <w:bottom w:val="single" w:sz="4" w:space="0" w:color="auto"/>
              <w:right w:val="single" w:sz="4" w:space="0" w:color="auto"/>
            </w:tcBorders>
          </w:tcPr>
          <w:p w14:paraId="68614395"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Blocks </w:t>
            </w:r>
          </w:p>
        </w:tc>
        <w:tc>
          <w:tcPr>
            <w:tcW w:w="1872" w:type="dxa"/>
            <w:tcBorders>
              <w:top w:val="single" w:sz="4" w:space="0" w:color="auto"/>
              <w:left w:val="single" w:sz="4" w:space="0" w:color="auto"/>
              <w:bottom w:val="single" w:sz="4" w:space="0" w:color="auto"/>
              <w:right w:val="single" w:sz="4" w:space="0" w:color="auto"/>
            </w:tcBorders>
          </w:tcPr>
          <w:p w14:paraId="766A9A1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4000</w:t>
            </w:r>
          </w:p>
        </w:tc>
        <w:tc>
          <w:tcPr>
            <w:tcW w:w="1872" w:type="dxa"/>
            <w:tcBorders>
              <w:top w:val="single" w:sz="4" w:space="0" w:color="auto"/>
              <w:left w:val="single" w:sz="4" w:space="0" w:color="auto"/>
              <w:bottom w:val="single" w:sz="4" w:space="0" w:color="auto"/>
              <w:right w:val="single" w:sz="4" w:space="0" w:color="auto"/>
            </w:tcBorders>
          </w:tcPr>
          <w:p w14:paraId="72A68B4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250</w:t>
            </w:r>
          </w:p>
        </w:tc>
        <w:tc>
          <w:tcPr>
            <w:tcW w:w="1872" w:type="dxa"/>
            <w:tcBorders>
              <w:top w:val="single" w:sz="4" w:space="0" w:color="auto"/>
              <w:left w:val="single" w:sz="4" w:space="0" w:color="auto"/>
              <w:bottom w:val="single" w:sz="4" w:space="0" w:color="auto"/>
              <w:right w:val="single" w:sz="4" w:space="0" w:color="auto"/>
            </w:tcBorders>
          </w:tcPr>
          <w:p w14:paraId="7A3AB0C2"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B6*C6</w:t>
            </w:r>
          </w:p>
        </w:tc>
      </w:tr>
    </w:tbl>
    <w:p w14:paraId="50FAC32B" w14:textId="77777777" w:rsidR="00BB51EE" w:rsidRPr="009829E1" w:rsidRDefault="00BB51EE" w:rsidP="00BB51EE">
      <w:pPr>
        <w:spacing w:line="420" w:lineRule="auto"/>
        <w:rPr>
          <w:rFonts w:ascii="Arial" w:hAnsi="Arial" w:cs="Arial"/>
          <w:sz w:val="20"/>
          <w:szCs w:val="24"/>
        </w:rPr>
      </w:pPr>
    </w:p>
    <w:p w14:paraId="3F1E2BF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Additional Costs:</w:t>
      </w:r>
    </w:p>
    <w:p w14:paraId="0389EA1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Labor: Input ₦1,500,000</w:t>
      </w:r>
    </w:p>
    <w:p w14:paraId="5CE741A3"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Transportation: Input ₦500,000</w:t>
      </w:r>
    </w:p>
    <w:p w14:paraId="2ECDE1A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Overhead: Input ₦200,000</w:t>
      </w:r>
    </w:p>
    <w:p w14:paraId="2B56C2E6"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Formula for Total Cost in Excel:</w:t>
      </w:r>
    </w:p>
    <w:p w14:paraId="3A7FB55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w:t>
      </w:r>
      <w:proofErr w:type="gramStart"/>
      <w:r w:rsidRPr="009829E1">
        <w:rPr>
          <w:rFonts w:ascii="Arial" w:hAnsi="Arial" w:cs="Arial"/>
          <w:sz w:val="20"/>
          <w:szCs w:val="24"/>
        </w:rPr>
        <w:t>SUM(</w:t>
      </w:r>
      <w:proofErr w:type="gramEnd"/>
      <w:r w:rsidRPr="009829E1">
        <w:rPr>
          <w:rFonts w:ascii="Arial" w:hAnsi="Arial" w:cs="Arial"/>
          <w:sz w:val="20"/>
          <w:szCs w:val="24"/>
        </w:rPr>
        <w:t>D2:D6) + L + T + O</w:t>
      </w:r>
    </w:p>
    <w:p w14:paraId="505D996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D2:D6 is the common range for material costs </w:t>
      </w:r>
    </w:p>
    <w:p w14:paraId="31D2345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L</w:t>
      </w:r>
      <w:proofErr w:type="gramStart"/>
      <w:r w:rsidRPr="009829E1">
        <w:rPr>
          <w:rFonts w:ascii="Arial" w:hAnsi="Arial" w:cs="Arial"/>
          <w:sz w:val="20"/>
          <w:szCs w:val="24"/>
        </w:rPr>
        <w:t>,T,O</w:t>
      </w:r>
      <w:proofErr w:type="gramEnd"/>
      <w:r w:rsidRPr="009829E1">
        <w:rPr>
          <w:rFonts w:ascii="Arial" w:hAnsi="Arial" w:cs="Arial"/>
          <w:sz w:val="20"/>
          <w:szCs w:val="24"/>
        </w:rPr>
        <w:t xml:space="preserve"> are inputted directly into separate cells </w:t>
      </w:r>
    </w:p>
    <w:p w14:paraId="682E00F5" w14:textId="77777777" w:rsidR="00BB51EE" w:rsidRPr="009829E1" w:rsidRDefault="00BB51EE" w:rsidP="00BB51EE">
      <w:pPr>
        <w:spacing w:line="420" w:lineRule="auto"/>
        <w:rPr>
          <w:rFonts w:ascii="Arial" w:hAnsi="Arial" w:cs="Arial"/>
          <w:sz w:val="20"/>
          <w:szCs w:val="24"/>
        </w:rPr>
      </w:pPr>
    </w:p>
    <w:p w14:paraId="47E7A8AC" w14:textId="77777777" w:rsidR="00BB51EE" w:rsidRDefault="00BB51EE" w:rsidP="00BB51EE">
      <w:pPr>
        <w:spacing w:line="420" w:lineRule="auto"/>
        <w:rPr>
          <w:sz w:val="24"/>
          <w:szCs w:val="24"/>
        </w:rPr>
      </w:pPr>
      <w:r w:rsidRPr="009829E1">
        <w:rPr>
          <w:rFonts w:ascii="Arial" w:hAnsi="Arial" w:cs="Arial"/>
          <w:sz w:val="20"/>
          <w:szCs w:val="24"/>
        </w:rPr>
        <w:t>Total Cost output in Excel= #11,525,000</w:t>
      </w:r>
    </w:p>
    <w:p w14:paraId="1D3E9704" w14:textId="77777777" w:rsidR="00BB51EE" w:rsidRDefault="00BB51EE" w:rsidP="00BB51EE">
      <w:pPr>
        <w:spacing w:line="420" w:lineRule="auto"/>
        <w:jc w:val="center"/>
        <w:rPr>
          <w:b/>
          <w:bCs/>
          <w:sz w:val="24"/>
          <w:szCs w:val="24"/>
        </w:rPr>
      </w:pPr>
    </w:p>
    <w:p w14:paraId="053447B4" w14:textId="5E7A60EF" w:rsidR="00BB51EE" w:rsidRPr="009829E1" w:rsidRDefault="007639F9" w:rsidP="00BB51EE">
      <w:pPr>
        <w:spacing w:line="420" w:lineRule="auto"/>
        <w:rPr>
          <w:rFonts w:ascii="Arial" w:hAnsi="Arial" w:cs="Arial"/>
          <w:b/>
          <w:bCs/>
          <w:szCs w:val="24"/>
        </w:rPr>
      </w:pPr>
      <w:r>
        <w:rPr>
          <w:rFonts w:ascii="Arial" w:hAnsi="Arial" w:cs="Arial"/>
          <w:b/>
          <w:bCs/>
          <w:szCs w:val="24"/>
        </w:rPr>
        <w:t xml:space="preserve">Table 6. </w:t>
      </w:r>
      <w:r w:rsidR="00BB51EE" w:rsidRPr="009829E1">
        <w:rPr>
          <w:rFonts w:ascii="Arial" w:hAnsi="Arial" w:cs="Arial"/>
          <w:b/>
          <w:bCs/>
          <w:szCs w:val="24"/>
        </w:rPr>
        <w:t xml:space="preserve">Comparison: Manual &amp; Excel </w:t>
      </w:r>
    </w:p>
    <w:tbl>
      <w:tblPr>
        <w:tblStyle w:val="TableGrid"/>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1"/>
        <w:gridCol w:w="1882"/>
        <w:gridCol w:w="4913"/>
      </w:tblGrid>
      <w:tr w:rsidR="00BB51EE" w:rsidRPr="009829E1" w14:paraId="1B1E5E76" w14:textId="77777777" w:rsidTr="007C52A4">
        <w:tc>
          <w:tcPr>
            <w:tcW w:w="2321" w:type="dxa"/>
            <w:tcBorders>
              <w:top w:val="single" w:sz="4" w:space="0" w:color="auto"/>
              <w:left w:val="single" w:sz="4" w:space="0" w:color="auto"/>
              <w:bottom w:val="single" w:sz="4" w:space="0" w:color="auto"/>
              <w:right w:val="single" w:sz="4" w:space="0" w:color="auto"/>
            </w:tcBorders>
          </w:tcPr>
          <w:p w14:paraId="41AF704D"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lastRenderedPageBreak/>
              <w:t xml:space="preserve">Aspect </w:t>
            </w:r>
          </w:p>
        </w:tc>
        <w:tc>
          <w:tcPr>
            <w:tcW w:w="1882" w:type="dxa"/>
            <w:tcBorders>
              <w:top w:val="single" w:sz="4" w:space="0" w:color="auto"/>
              <w:left w:val="single" w:sz="4" w:space="0" w:color="auto"/>
              <w:bottom w:val="single" w:sz="4" w:space="0" w:color="auto"/>
              <w:right w:val="single" w:sz="4" w:space="0" w:color="auto"/>
            </w:tcBorders>
          </w:tcPr>
          <w:p w14:paraId="0273FE6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Manual </w:t>
            </w:r>
          </w:p>
        </w:tc>
        <w:tc>
          <w:tcPr>
            <w:tcW w:w="4913" w:type="dxa"/>
            <w:tcBorders>
              <w:top w:val="single" w:sz="4" w:space="0" w:color="auto"/>
              <w:left w:val="single" w:sz="4" w:space="0" w:color="auto"/>
              <w:bottom w:val="single" w:sz="4" w:space="0" w:color="auto"/>
              <w:right w:val="single" w:sz="4" w:space="0" w:color="auto"/>
            </w:tcBorders>
          </w:tcPr>
          <w:p w14:paraId="36F2C939"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Excel method </w:t>
            </w:r>
          </w:p>
        </w:tc>
      </w:tr>
      <w:tr w:rsidR="00BB51EE" w:rsidRPr="009829E1" w14:paraId="37A779A2" w14:textId="77777777" w:rsidTr="007C52A4">
        <w:tc>
          <w:tcPr>
            <w:tcW w:w="2321" w:type="dxa"/>
            <w:tcBorders>
              <w:top w:val="single" w:sz="4" w:space="0" w:color="auto"/>
              <w:left w:val="single" w:sz="4" w:space="0" w:color="auto"/>
              <w:bottom w:val="single" w:sz="4" w:space="0" w:color="auto"/>
              <w:right w:val="single" w:sz="4" w:space="0" w:color="auto"/>
            </w:tcBorders>
          </w:tcPr>
          <w:p w14:paraId="771A9BA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Speed</w:t>
            </w:r>
          </w:p>
        </w:tc>
        <w:tc>
          <w:tcPr>
            <w:tcW w:w="1882" w:type="dxa"/>
            <w:tcBorders>
              <w:top w:val="single" w:sz="4" w:space="0" w:color="auto"/>
              <w:left w:val="single" w:sz="4" w:space="0" w:color="auto"/>
              <w:bottom w:val="single" w:sz="4" w:space="0" w:color="auto"/>
              <w:right w:val="single" w:sz="4" w:space="0" w:color="auto"/>
            </w:tcBorders>
          </w:tcPr>
          <w:p w14:paraId="52D3084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Slow, time consuming </w:t>
            </w:r>
          </w:p>
        </w:tc>
        <w:tc>
          <w:tcPr>
            <w:tcW w:w="4913" w:type="dxa"/>
            <w:tcBorders>
              <w:top w:val="single" w:sz="4" w:space="0" w:color="auto"/>
              <w:left w:val="single" w:sz="4" w:space="0" w:color="auto"/>
              <w:bottom w:val="single" w:sz="4" w:space="0" w:color="auto"/>
              <w:right w:val="single" w:sz="4" w:space="0" w:color="auto"/>
            </w:tcBorders>
          </w:tcPr>
          <w:p w14:paraId="04F149C3"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Fast, especially for large data set</w:t>
            </w:r>
          </w:p>
        </w:tc>
      </w:tr>
      <w:tr w:rsidR="00BB51EE" w:rsidRPr="009829E1" w14:paraId="38FCCAC9" w14:textId="77777777" w:rsidTr="007C52A4">
        <w:tc>
          <w:tcPr>
            <w:tcW w:w="2321" w:type="dxa"/>
            <w:tcBorders>
              <w:top w:val="single" w:sz="4" w:space="0" w:color="auto"/>
              <w:left w:val="single" w:sz="4" w:space="0" w:color="auto"/>
              <w:bottom w:val="single" w:sz="4" w:space="0" w:color="auto"/>
              <w:right w:val="single" w:sz="4" w:space="0" w:color="auto"/>
            </w:tcBorders>
          </w:tcPr>
          <w:p w14:paraId="2EF213B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Accuracy </w:t>
            </w:r>
          </w:p>
        </w:tc>
        <w:tc>
          <w:tcPr>
            <w:tcW w:w="1882" w:type="dxa"/>
            <w:tcBorders>
              <w:top w:val="single" w:sz="4" w:space="0" w:color="auto"/>
              <w:left w:val="single" w:sz="4" w:space="0" w:color="auto"/>
              <w:bottom w:val="single" w:sz="4" w:space="0" w:color="auto"/>
              <w:right w:val="single" w:sz="4" w:space="0" w:color="auto"/>
            </w:tcBorders>
          </w:tcPr>
          <w:p w14:paraId="17EC3C56"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Prone to human error </w:t>
            </w:r>
          </w:p>
        </w:tc>
        <w:tc>
          <w:tcPr>
            <w:tcW w:w="4913" w:type="dxa"/>
            <w:tcBorders>
              <w:top w:val="single" w:sz="4" w:space="0" w:color="auto"/>
              <w:left w:val="single" w:sz="4" w:space="0" w:color="auto"/>
              <w:bottom w:val="single" w:sz="4" w:space="0" w:color="auto"/>
              <w:right w:val="single" w:sz="4" w:space="0" w:color="auto"/>
            </w:tcBorders>
          </w:tcPr>
          <w:p w14:paraId="5CD380B0"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High accuracy with correct formulas </w:t>
            </w:r>
          </w:p>
        </w:tc>
      </w:tr>
      <w:tr w:rsidR="00BB51EE" w:rsidRPr="009829E1" w14:paraId="7A6603FF" w14:textId="77777777" w:rsidTr="007C52A4">
        <w:tc>
          <w:tcPr>
            <w:tcW w:w="2321" w:type="dxa"/>
            <w:tcBorders>
              <w:top w:val="single" w:sz="4" w:space="0" w:color="auto"/>
              <w:left w:val="single" w:sz="4" w:space="0" w:color="auto"/>
              <w:bottom w:val="single" w:sz="4" w:space="0" w:color="auto"/>
              <w:right w:val="single" w:sz="4" w:space="0" w:color="auto"/>
            </w:tcBorders>
          </w:tcPr>
          <w:p w14:paraId="54FC5B9B"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Flexibility </w:t>
            </w:r>
          </w:p>
        </w:tc>
        <w:tc>
          <w:tcPr>
            <w:tcW w:w="1882" w:type="dxa"/>
            <w:tcBorders>
              <w:top w:val="single" w:sz="4" w:space="0" w:color="auto"/>
              <w:left w:val="single" w:sz="4" w:space="0" w:color="auto"/>
              <w:bottom w:val="single" w:sz="4" w:space="0" w:color="auto"/>
              <w:right w:val="single" w:sz="4" w:space="0" w:color="auto"/>
            </w:tcBorders>
          </w:tcPr>
          <w:p w14:paraId="70533A4C"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Difficult to update </w:t>
            </w:r>
          </w:p>
        </w:tc>
        <w:tc>
          <w:tcPr>
            <w:tcW w:w="4913" w:type="dxa"/>
            <w:tcBorders>
              <w:top w:val="single" w:sz="4" w:space="0" w:color="auto"/>
              <w:left w:val="single" w:sz="4" w:space="0" w:color="auto"/>
              <w:bottom w:val="single" w:sz="4" w:space="0" w:color="auto"/>
              <w:right w:val="single" w:sz="4" w:space="0" w:color="auto"/>
            </w:tcBorders>
          </w:tcPr>
          <w:p w14:paraId="43F07284"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Easy to adjust and recalculate </w:t>
            </w:r>
          </w:p>
        </w:tc>
      </w:tr>
      <w:tr w:rsidR="00BB51EE" w:rsidRPr="009829E1" w14:paraId="2E77F1D6" w14:textId="77777777" w:rsidTr="007C52A4">
        <w:tc>
          <w:tcPr>
            <w:tcW w:w="2321" w:type="dxa"/>
            <w:tcBorders>
              <w:top w:val="single" w:sz="4" w:space="0" w:color="auto"/>
              <w:left w:val="single" w:sz="4" w:space="0" w:color="auto"/>
              <w:bottom w:val="single" w:sz="4" w:space="0" w:color="auto"/>
              <w:right w:val="single" w:sz="4" w:space="0" w:color="auto"/>
            </w:tcBorders>
          </w:tcPr>
          <w:p w14:paraId="36B449DE"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Visualization </w:t>
            </w:r>
          </w:p>
        </w:tc>
        <w:tc>
          <w:tcPr>
            <w:tcW w:w="1882" w:type="dxa"/>
            <w:tcBorders>
              <w:top w:val="single" w:sz="4" w:space="0" w:color="auto"/>
              <w:left w:val="single" w:sz="4" w:space="0" w:color="auto"/>
              <w:bottom w:val="single" w:sz="4" w:space="0" w:color="auto"/>
              <w:right w:val="single" w:sz="4" w:space="0" w:color="auto"/>
            </w:tcBorders>
          </w:tcPr>
          <w:p w14:paraId="3D82A9C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Limited </w:t>
            </w:r>
          </w:p>
        </w:tc>
        <w:tc>
          <w:tcPr>
            <w:tcW w:w="4913" w:type="dxa"/>
            <w:tcBorders>
              <w:top w:val="single" w:sz="4" w:space="0" w:color="auto"/>
              <w:left w:val="single" w:sz="4" w:space="0" w:color="auto"/>
              <w:bottom w:val="single" w:sz="4" w:space="0" w:color="auto"/>
              <w:right w:val="single" w:sz="4" w:space="0" w:color="auto"/>
            </w:tcBorders>
          </w:tcPr>
          <w:p w14:paraId="58B83938" w14:textId="77777777" w:rsidR="00BB51EE" w:rsidRPr="009829E1" w:rsidRDefault="00BB51EE" w:rsidP="007C52A4">
            <w:pPr>
              <w:spacing w:line="420" w:lineRule="auto"/>
              <w:jc w:val="center"/>
              <w:rPr>
                <w:rFonts w:ascii="Arial" w:hAnsi="Arial" w:cs="Arial"/>
                <w:sz w:val="20"/>
                <w:szCs w:val="24"/>
              </w:rPr>
            </w:pPr>
            <w:r w:rsidRPr="009829E1">
              <w:rPr>
                <w:rFonts w:ascii="Arial" w:hAnsi="Arial" w:cs="Arial"/>
                <w:sz w:val="20"/>
                <w:szCs w:val="24"/>
              </w:rPr>
              <w:t xml:space="preserve">Can include charts and graphs for analysis </w:t>
            </w:r>
          </w:p>
        </w:tc>
      </w:tr>
    </w:tbl>
    <w:p w14:paraId="4A856613" w14:textId="77777777" w:rsidR="00BB51EE" w:rsidRPr="009829E1" w:rsidRDefault="00BB51EE" w:rsidP="00BB51EE">
      <w:pPr>
        <w:pStyle w:val="NormalWeb"/>
        <w:rPr>
          <w:rFonts w:ascii="Arial" w:hAnsi="Arial" w:cs="Arial"/>
          <w:b/>
          <w:sz w:val="22"/>
          <w:szCs w:val="20"/>
        </w:rPr>
      </w:pPr>
      <w:r w:rsidRPr="009829E1">
        <w:rPr>
          <w:rFonts w:ascii="Arial" w:hAnsi="Arial" w:cs="Arial"/>
          <w:b/>
          <w:sz w:val="22"/>
          <w:szCs w:val="20"/>
        </w:rPr>
        <w:t>RECOMMENDATION</w:t>
      </w:r>
    </w:p>
    <w:p w14:paraId="7AA9BDB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Based on the findings from this research, the following recommendations are made to improve cost estimation and project budgeting practices in civil engineering:</w:t>
      </w:r>
    </w:p>
    <w:p w14:paraId="5CE10FD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1. Adopt a Hybrid Approach: It is recommended that civil engineers adopt a hybrid approach to cost estimation, combining methods like Parametric Estimation for early-stage planning with Detailed Quantity Takeoff for final budgeting. This would ensure both speed and accuracy throughout the project lifecycle.</w:t>
      </w:r>
    </w:p>
    <w:p w14:paraId="412A9C94"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2. Regular Market Surveys: To maintain the accuracy of cost estimates, regular market surveys should be conducted to update unit rates for materials and labor. This is particularly crucial in regions where material prices and labor rates are volatile due to economic fluctuations.</w:t>
      </w:r>
    </w:p>
    <w:p w14:paraId="1AC5A6F2"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3. Integration of Technology: Civil engineering firms should consider the use of specialized cost estimation software that integrates real-time market data and automates calculations. Tools like Building Information Modeling (BIM) can significantly improve the precision of Detailed Quantity Takeoff.</w:t>
      </w:r>
    </w:p>
    <w:p w14:paraId="2BA248D7" w14:textId="16B31F21"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4. Incorporate Contingency Planning: To account for unforeseen costs and inflation, a contingency sum should always be factored into the project budget. A </w:t>
      </w:r>
      <w:proofErr w:type="spellStart"/>
      <w:r w:rsidRPr="009829E1">
        <w:rPr>
          <w:rFonts w:ascii="Arial" w:hAnsi="Arial" w:cs="Arial"/>
          <w:sz w:val="20"/>
          <w:szCs w:val="24"/>
        </w:rPr>
        <w:t>ty</w:t>
      </w:r>
      <w:r w:rsidR="008553F4">
        <w:rPr>
          <w:rFonts w:ascii="Arial" w:hAnsi="Arial" w:cs="Arial"/>
          <w:sz w:val="20"/>
          <w:szCs w:val="24"/>
        </w:rPr>
        <w:t>f</w:t>
      </w:r>
      <w:r w:rsidRPr="009829E1">
        <w:rPr>
          <w:rFonts w:ascii="Arial" w:hAnsi="Arial" w:cs="Arial"/>
          <w:sz w:val="20"/>
          <w:szCs w:val="24"/>
        </w:rPr>
        <w:t>al</w:t>
      </w:r>
      <w:proofErr w:type="spellEnd"/>
      <w:r w:rsidRPr="009829E1">
        <w:rPr>
          <w:rFonts w:ascii="Arial" w:hAnsi="Arial" w:cs="Arial"/>
          <w:sz w:val="20"/>
          <w:szCs w:val="24"/>
        </w:rPr>
        <w:t xml:space="preserve"> contingency range of 5% to 10% of the total project cost is recommended to safeguard against potential cost escalations.</w:t>
      </w:r>
    </w:p>
    <w:p w14:paraId="0BD1190E"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5. Periodic Review of Cost Indices: For projects that extend over a long duration, periodic reviews of cost indices should be conducted to ensure that adjustments for inflation and material price increases are accurately reflected in the project budget.</w:t>
      </w:r>
    </w:p>
    <w:p w14:paraId="6FBAE35B" w14:textId="77777777" w:rsidR="00BB51EE" w:rsidRPr="009829E1" w:rsidRDefault="00BB51EE" w:rsidP="00BB51EE">
      <w:pPr>
        <w:pStyle w:val="NormalWeb"/>
        <w:rPr>
          <w:rFonts w:ascii="Arial" w:hAnsi="Arial" w:cs="Arial"/>
          <w:sz w:val="20"/>
        </w:rPr>
      </w:pPr>
      <w:r w:rsidRPr="009829E1">
        <w:rPr>
          <w:rFonts w:ascii="Arial" w:hAnsi="Arial" w:cs="Arial"/>
          <w:sz w:val="20"/>
        </w:rPr>
        <w:t>6. Training in Cost Estimation: Continuous professional development for engineers and quantity surveyors in modern cost estimation techniques is essential. Workshops and seminars focused on advanced estimation tools and practices will enhance their ability to deliver accurate project budgets.</w:t>
      </w:r>
    </w:p>
    <w:p w14:paraId="6FB11FE1" w14:textId="77777777" w:rsidR="00BB51EE" w:rsidRPr="009829E1" w:rsidRDefault="009829E1" w:rsidP="00BB51EE">
      <w:pPr>
        <w:pStyle w:val="NormalWeb"/>
        <w:rPr>
          <w:rFonts w:ascii="Arial" w:hAnsi="Arial" w:cs="Arial"/>
          <w:b/>
          <w:sz w:val="22"/>
          <w:szCs w:val="20"/>
        </w:rPr>
      </w:pPr>
      <w:r w:rsidRPr="009829E1">
        <w:rPr>
          <w:rFonts w:ascii="Arial" w:hAnsi="Arial" w:cs="Arial"/>
          <w:b/>
          <w:sz w:val="22"/>
          <w:szCs w:val="20"/>
        </w:rPr>
        <w:t>CONCLUSION</w:t>
      </w:r>
    </w:p>
    <w:p w14:paraId="7920E475"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lastRenderedPageBreak/>
        <w:t>This project focused on the evaluation of various cost estimation techniques for enhancing the accuracy and effectiveness of project budgeting in civil engineering. The research applied six different cost estimation methods—Unit Rate Estimation, Factor Estimation, Detailed Quantity Takeoff, Approximate Estimate, Parametric Estimation, and Co</w:t>
      </w:r>
      <w:r w:rsidR="00D933B1" w:rsidRPr="009829E1">
        <w:rPr>
          <w:rFonts w:ascii="Arial" w:hAnsi="Arial" w:cs="Arial"/>
          <w:sz w:val="20"/>
          <w:szCs w:val="24"/>
        </w:rPr>
        <w:t>st Index Estimation—on a single-</w:t>
      </w:r>
      <w:proofErr w:type="spellStart"/>
      <w:r w:rsidRPr="009829E1">
        <w:rPr>
          <w:rFonts w:ascii="Arial" w:hAnsi="Arial" w:cs="Arial"/>
          <w:sz w:val="20"/>
          <w:szCs w:val="24"/>
        </w:rPr>
        <w:t>storey</w:t>
      </w:r>
      <w:proofErr w:type="spellEnd"/>
      <w:r w:rsidRPr="009829E1">
        <w:rPr>
          <w:rFonts w:ascii="Arial" w:hAnsi="Arial" w:cs="Arial"/>
          <w:sz w:val="20"/>
          <w:szCs w:val="24"/>
        </w:rPr>
        <w:t xml:space="preserve"> residential building. </w:t>
      </w:r>
    </w:p>
    <w:p w14:paraId="7DE96818"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 xml:space="preserve"> Accuracy of Detailed Quantity Takeoff:  Among the methods applied, Detailed Quantity Takeoff proved to be the most accurate for large-scale projects, as it involved a detailed breakdown of materials, labor, and equipment required. This method allowed for precise cost predictions, minimizing cost overruns and underestimation errors.</w:t>
      </w:r>
    </w:p>
    <w:p w14:paraId="7E4B49D7"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Flexibility of Parametric Estimation: Parametric Estimation was found to be a flexible and time-efficient technique for preliminary budget assessments. Its reliance on cost per unit parameter (e.g., per square meter) made it suitable for early-stage project planning, although it lacks precision for complex projects.</w:t>
      </w:r>
    </w:p>
    <w:p w14:paraId="295CB751"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Factor Estimation for Simplified Calculations: Factor Estimation was useful for quick assessments of overall project cost, especially in scenarios with available historical data. However, this technique is highly dependent on accurate factor determination, and any miscalculation in the factor could lead to significant cost discrepancies.</w:t>
      </w:r>
    </w:p>
    <w:p w14:paraId="64F15BCA" w14:textId="77777777" w:rsidR="00BB51EE" w:rsidRPr="009829E1" w:rsidRDefault="00BB51EE" w:rsidP="00BB51EE">
      <w:pPr>
        <w:spacing w:line="420" w:lineRule="auto"/>
        <w:rPr>
          <w:rFonts w:ascii="Arial" w:hAnsi="Arial" w:cs="Arial"/>
          <w:sz w:val="20"/>
          <w:szCs w:val="24"/>
        </w:rPr>
      </w:pPr>
      <w:r w:rsidRPr="009829E1">
        <w:rPr>
          <w:rFonts w:ascii="Arial" w:hAnsi="Arial" w:cs="Arial"/>
          <w:sz w:val="20"/>
          <w:szCs w:val="24"/>
        </w:rPr>
        <w:t>Inconsistencies in Approximate Estimates: Approximate Estimate was deemed less reliable due to its heavy reliance on historical data without adjusting for detailed project-specific conditions. This method could lead to large variances, particularly in projects where material prices fluctuate or labor costs differ significantly from past trends.</w:t>
      </w:r>
    </w:p>
    <w:p w14:paraId="1A5B4B85" w14:textId="77777777" w:rsidR="00D933B1" w:rsidRPr="009829E1" w:rsidRDefault="00BB51EE" w:rsidP="00D933B1">
      <w:pPr>
        <w:spacing w:line="420" w:lineRule="auto"/>
        <w:rPr>
          <w:rFonts w:ascii="Arial" w:hAnsi="Arial" w:cs="Arial"/>
          <w:sz w:val="20"/>
          <w:szCs w:val="24"/>
        </w:rPr>
      </w:pPr>
      <w:r w:rsidRPr="009829E1">
        <w:rPr>
          <w:rFonts w:ascii="Arial" w:hAnsi="Arial" w:cs="Arial"/>
          <w:sz w:val="20"/>
          <w:szCs w:val="24"/>
        </w:rPr>
        <w:t>Unit Rate Estimation for Standard Projects: Unit Rate Estimation was effective for projects involving standardized components, such as road construction or repetitive building elements. While its accuracy was lower than Detailed Quantity Takeoff, it is well-suited for projects with well-defined unit rates in the local market.</w:t>
      </w:r>
    </w:p>
    <w:p w14:paraId="3B6CFFD0" w14:textId="77777777" w:rsidR="00BB51EE" w:rsidRPr="009829E1" w:rsidRDefault="00BB51EE" w:rsidP="00D933B1">
      <w:pPr>
        <w:spacing w:line="420" w:lineRule="auto"/>
        <w:rPr>
          <w:rFonts w:ascii="Arial" w:hAnsi="Arial" w:cs="Arial"/>
          <w:sz w:val="20"/>
          <w:szCs w:val="24"/>
        </w:rPr>
      </w:pPr>
      <w:r w:rsidRPr="009829E1">
        <w:rPr>
          <w:rFonts w:ascii="Arial" w:hAnsi="Arial" w:cs="Arial"/>
          <w:sz w:val="20"/>
          <w:szCs w:val="24"/>
        </w:rPr>
        <w:t>Cost Index Estimation for Inflationary Adjustments:  Cost Index Estimation served as an efficient tool for adjusting historical costs to reflect current market conditions. However, it was only as reliable as the accuracy of the historical data and the relevance of the cost index used.</w:t>
      </w:r>
    </w:p>
    <w:p w14:paraId="2DCCABA2" w14:textId="77777777" w:rsidR="00211371" w:rsidRDefault="00211371" w:rsidP="00D933B1">
      <w:pPr>
        <w:spacing w:line="420" w:lineRule="auto"/>
        <w:rPr>
          <w:rFonts w:ascii="Arial" w:hAnsi="Arial" w:cs="Arial"/>
          <w:sz w:val="20"/>
        </w:rPr>
      </w:pPr>
    </w:p>
    <w:p w14:paraId="69A3EB47" w14:textId="77777777" w:rsidR="00211371" w:rsidRPr="00211371" w:rsidRDefault="00211371" w:rsidP="00211371">
      <w:pPr>
        <w:spacing w:line="420" w:lineRule="auto"/>
        <w:rPr>
          <w:sz w:val="24"/>
          <w:szCs w:val="24"/>
          <w:lang w:val="en-GB"/>
        </w:rPr>
      </w:pPr>
      <w:r w:rsidRPr="00211371">
        <w:rPr>
          <w:b/>
          <w:bCs/>
          <w:sz w:val="24"/>
          <w:szCs w:val="24"/>
          <w:lang w:val="en-GB"/>
        </w:rPr>
        <w:t>COMPETING INTERESTS DISCLAIMER:</w:t>
      </w:r>
    </w:p>
    <w:p w14:paraId="5085FA01" w14:textId="67E95283" w:rsidR="00211371" w:rsidRDefault="00211371" w:rsidP="00211371">
      <w:pPr>
        <w:spacing w:line="420" w:lineRule="auto"/>
        <w:rPr>
          <w:sz w:val="24"/>
          <w:szCs w:val="24"/>
          <w:lang w:val="en-GB"/>
        </w:rPr>
      </w:pPr>
      <w:r w:rsidRPr="00211371">
        <w:rPr>
          <w:sz w:val="24"/>
          <w:szCs w:val="24"/>
          <w:lang w:val="en-GB"/>
        </w:rPr>
        <w:lastRenderedPageBreak/>
        <w:t>Authors have declared that they have no known competing financial interests OR non-financial interests OR personal relationships that could have appeared to influence the work reported in this paper.</w:t>
      </w:r>
    </w:p>
    <w:p w14:paraId="7D0F674B" w14:textId="52FAA42D" w:rsidR="00992F91" w:rsidRDefault="00992F91" w:rsidP="00211371">
      <w:pPr>
        <w:spacing w:line="420" w:lineRule="auto"/>
        <w:rPr>
          <w:sz w:val="24"/>
          <w:szCs w:val="24"/>
          <w:lang w:val="en-GB"/>
        </w:rPr>
      </w:pPr>
    </w:p>
    <w:p w14:paraId="6A24E223" w14:textId="77777777" w:rsidR="00992F91" w:rsidRPr="00394842" w:rsidRDefault="00992F91" w:rsidP="00992F91">
      <w:pPr>
        <w:rPr>
          <w:highlight w:val="yellow"/>
        </w:rPr>
      </w:pPr>
      <w:r w:rsidRPr="00394842">
        <w:rPr>
          <w:highlight w:val="yellow"/>
        </w:rPr>
        <w:t>Disclaimer (Artificial intelligence)</w:t>
      </w:r>
    </w:p>
    <w:p w14:paraId="24045639" w14:textId="77777777" w:rsidR="00992F91" w:rsidRPr="00394842" w:rsidRDefault="00992F91" w:rsidP="00992F91">
      <w:pPr>
        <w:rPr>
          <w:highlight w:val="yellow"/>
        </w:rPr>
      </w:pPr>
    </w:p>
    <w:p w14:paraId="556C85B3" w14:textId="77777777" w:rsidR="00992F91" w:rsidRPr="00394842" w:rsidRDefault="00992F91" w:rsidP="00992F91">
      <w:pPr>
        <w:rPr>
          <w:highlight w:val="yellow"/>
        </w:rPr>
      </w:pPr>
      <w:r w:rsidRPr="00394842">
        <w:rPr>
          <w:highlight w:val="yellow"/>
        </w:rPr>
        <w:t xml:space="preserve">Option 1: </w:t>
      </w:r>
    </w:p>
    <w:p w14:paraId="3F51F852" w14:textId="7DEDDDEA" w:rsidR="00992F91" w:rsidRPr="00394842" w:rsidRDefault="00930383" w:rsidP="00992F91">
      <w:pPr>
        <w:rPr>
          <w:highlight w:val="yellow"/>
        </w:rPr>
      </w:pPr>
      <w:r>
        <w:rPr>
          <w:highlight w:val="yellow"/>
        </w:rPr>
        <w:t>Author declares that there was NO generative AI technologies</w:t>
      </w:r>
      <w:bookmarkStart w:id="0" w:name="_GoBack"/>
      <w:bookmarkEnd w:id="0"/>
    </w:p>
    <w:p w14:paraId="46B048E4" w14:textId="77777777" w:rsidR="00992F91" w:rsidRPr="00394842" w:rsidRDefault="00992F91" w:rsidP="00992F91">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3E92A44" w14:textId="77777777" w:rsidR="00992F91" w:rsidRPr="00394842" w:rsidRDefault="00992F91" w:rsidP="00992F91">
      <w:pPr>
        <w:rPr>
          <w:highlight w:val="yellow"/>
        </w:rPr>
      </w:pPr>
    </w:p>
    <w:p w14:paraId="530771EE" w14:textId="77777777" w:rsidR="00992F91" w:rsidRPr="00394842" w:rsidRDefault="00992F91" w:rsidP="00992F91">
      <w:pPr>
        <w:rPr>
          <w:highlight w:val="yellow"/>
        </w:rPr>
      </w:pPr>
      <w:r w:rsidRPr="00394842">
        <w:rPr>
          <w:highlight w:val="yellow"/>
        </w:rPr>
        <w:t xml:space="preserve">Option 2: </w:t>
      </w:r>
    </w:p>
    <w:p w14:paraId="5FAAA1C8" w14:textId="77777777" w:rsidR="00992F91" w:rsidRPr="00394842" w:rsidRDefault="00992F91" w:rsidP="00992F91">
      <w:pPr>
        <w:rPr>
          <w:highlight w:val="yellow"/>
        </w:rPr>
      </w:pPr>
    </w:p>
    <w:p w14:paraId="300D6C32" w14:textId="77777777" w:rsidR="00992F91" w:rsidRPr="00394842" w:rsidRDefault="00992F91" w:rsidP="00992F91">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FC7B48" w14:textId="77777777" w:rsidR="00992F91" w:rsidRPr="00394842" w:rsidRDefault="00992F91" w:rsidP="00992F91">
      <w:pPr>
        <w:rPr>
          <w:highlight w:val="yellow"/>
        </w:rPr>
      </w:pPr>
    </w:p>
    <w:p w14:paraId="2A1226B7" w14:textId="77777777" w:rsidR="00992F91" w:rsidRPr="00394842" w:rsidRDefault="00992F91" w:rsidP="00992F91">
      <w:pPr>
        <w:rPr>
          <w:highlight w:val="yellow"/>
        </w:rPr>
      </w:pPr>
      <w:r w:rsidRPr="00394842">
        <w:rPr>
          <w:highlight w:val="yellow"/>
        </w:rPr>
        <w:t>Details of the AI usage are given below:</w:t>
      </w:r>
    </w:p>
    <w:p w14:paraId="1563FEBE" w14:textId="77777777" w:rsidR="00992F91" w:rsidRPr="00394842" w:rsidRDefault="00992F91" w:rsidP="00992F91">
      <w:pPr>
        <w:rPr>
          <w:highlight w:val="yellow"/>
        </w:rPr>
      </w:pPr>
      <w:r w:rsidRPr="00394842">
        <w:rPr>
          <w:highlight w:val="yellow"/>
        </w:rPr>
        <w:t>1.</w:t>
      </w:r>
    </w:p>
    <w:p w14:paraId="383084B5" w14:textId="77777777" w:rsidR="00992F91" w:rsidRPr="00394842" w:rsidRDefault="00992F91" w:rsidP="00992F91">
      <w:pPr>
        <w:rPr>
          <w:highlight w:val="yellow"/>
        </w:rPr>
      </w:pPr>
      <w:r w:rsidRPr="00394842">
        <w:rPr>
          <w:highlight w:val="yellow"/>
        </w:rPr>
        <w:t>2.</w:t>
      </w:r>
    </w:p>
    <w:p w14:paraId="385FEABF" w14:textId="77777777" w:rsidR="00992F91" w:rsidRPr="00165217" w:rsidRDefault="00992F91" w:rsidP="00992F91">
      <w:r w:rsidRPr="00394842">
        <w:rPr>
          <w:highlight w:val="yellow"/>
        </w:rPr>
        <w:t>3.</w:t>
      </w:r>
    </w:p>
    <w:p w14:paraId="74793CF8" w14:textId="77777777" w:rsidR="00992F91" w:rsidRPr="00211371" w:rsidRDefault="00992F91" w:rsidP="00211371">
      <w:pPr>
        <w:spacing w:line="420" w:lineRule="auto"/>
        <w:rPr>
          <w:sz w:val="24"/>
          <w:szCs w:val="24"/>
          <w:lang w:val="en-GB"/>
        </w:rPr>
      </w:pPr>
    </w:p>
    <w:p w14:paraId="1D4732A4" w14:textId="77777777" w:rsidR="00211371" w:rsidRDefault="00211371" w:rsidP="00D933B1">
      <w:pPr>
        <w:spacing w:line="420" w:lineRule="auto"/>
        <w:rPr>
          <w:sz w:val="24"/>
          <w:szCs w:val="24"/>
        </w:rPr>
      </w:pPr>
    </w:p>
    <w:p w14:paraId="2FA6EB83" w14:textId="77777777" w:rsidR="00D933B1" w:rsidRPr="009829E1" w:rsidRDefault="00D933B1" w:rsidP="00D933B1">
      <w:pPr>
        <w:spacing w:line="420" w:lineRule="auto"/>
        <w:rPr>
          <w:rFonts w:ascii="Arial" w:hAnsi="Arial" w:cs="Arial"/>
          <w:b/>
          <w:szCs w:val="24"/>
        </w:rPr>
      </w:pPr>
      <w:r w:rsidRPr="009829E1">
        <w:rPr>
          <w:rFonts w:ascii="Arial" w:hAnsi="Arial" w:cs="Arial"/>
          <w:b/>
          <w:szCs w:val="24"/>
        </w:rPr>
        <w:t>REFERENCES</w:t>
      </w:r>
    </w:p>
    <w:p w14:paraId="31A5CC32"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AACE International. (2016). Cost Estimation and Management. AACE International.</w:t>
      </w:r>
    </w:p>
    <w:p w14:paraId="40975834" w14:textId="77777777" w:rsidR="00D933B1" w:rsidRPr="009829E1" w:rsidRDefault="00D933B1" w:rsidP="00D933B1">
      <w:pPr>
        <w:spacing w:line="420" w:lineRule="auto"/>
        <w:rPr>
          <w:rFonts w:ascii="Arial" w:hAnsi="Arial" w:cs="Arial"/>
          <w:szCs w:val="24"/>
        </w:rPr>
      </w:pPr>
      <w:r w:rsidRPr="009829E1">
        <w:rPr>
          <w:rFonts w:ascii="Arial" w:hAnsi="Arial" w:cs="Arial"/>
          <w:szCs w:val="24"/>
        </w:rPr>
        <w:lastRenderedPageBreak/>
        <w:t xml:space="preserve">- </w:t>
      </w:r>
      <w:proofErr w:type="spellStart"/>
      <w:r w:rsidRPr="009829E1">
        <w:rPr>
          <w:rFonts w:ascii="Arial" w:hAnsi="Arial" w:cs="Arial"/>
          <w:szCs w:val="24"/>
        </w:rPr>
        <w:t>Aibinu</w:t>
      </w:r>
      <w:proofErr w:type="spellEnd"/>
      <w:r w:rsidRPr="009829E1">
        <w:rPr>
          <w:rFonts w:ascii="Arial" w:hAnsi="Arial" w:cs="Arial"/>
          <w:szCs w:val="24"/>
        </w:rPr>
        <w:t xml:space="preserve">, A, &amp; </w:t>
      </w:r>
      <w:proofErr w:type="spellStart"/>
      <w:r w:rsidRPr="009829E1">
        <w:rPr>
          <w:rFonts w:ascii="Arial" w:hAnsi="Arial" w:cs="Arial"/>
          <w:szCs w:val="24"/>
        </w:rPr>
        <w:t>Jagboro</w:t>
      </w:r>
      <w:proofErr w:type="spellEnd"/>
      <w:r w:rsidRPr="009829E1">
        <w:rPr>
          <w:rFonts w:ascii="Arial" w:hAnsi="Arial" w:cs="Arial"/>
          <w:szCs w:val="24"/>
        </w:rPr>
        <w:t>, G. (2002). The effects of construction delays on project delivery in Nigerian construction industry. International Journal of Project Management, 20(8), 593-599.</w:t>
      </w:r>
    </w:p>
    <w:p w14:paraId="091FAC0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Akintoye, A., &amp; Fitzgerald, E. (2000). A survey of current cost estimating practices in the UK. Construction Management and Economics, 18(2), 161-172.</w:t>
      </w:r>
    </w:p>
    <w:p w14:paraId="1F16E93A"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Akinci, B., &amp; Fischer, M. (1998). Factors affecting contractors' risk of cost overburden. Journal of Construction Engineering and Management, 124(6), 425-433.</w:t>
      </w:r>
    </w:p>
    <w:p w14:paraId="4CFE0C6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Ashworth, A. (2010). Cost Studies of Buildings (5th ed.). Pearson Education Limited.</w:t>
      </w:r>
    </w:p>
    <w:p w14:paraId="492E4C9E"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Azhar, S. (2011). Building Information Modeling (BIM): Trends, Benefits, Risks, and Challenges for the AEC Industry. Leadership and Management in Engineering, 11(3), 241-252.</w:t>
      </w:r>
    </w:p>
    <w:p w14:paraId="103E1FA5"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Bryde, D., </w:t>
      </w:r>
      <w:proofErr w:type="spellStart"/>
      <w:r w:rsidRPr="009829E1">
        <w:rPr>
          <w:rFonts w:ascii="Arial" w:hAnsi="Arial" w:cs="Arial"/>
          <w:szCs w:val="24"/>
        </w:rPr>
        <w:t>Broquetas</w:t>
      </w:r>
      <w:proofErr w:type="spellEnd"/>
      <w:r w:rsidRPr="009829E1">
        <w:rPr>
          <w:rFonts w:ascii="Arial" w:hAnsi="Arial" w:cs="Arial"/>
          <w:szCs w:val="24"/>
        </w:rPr>
        <w:t>, M. &amp; Volm, J.  (2013). The project benefits of Building Information Modelling (BIM). International Journal of Project Management, 31(7), 971-980.</w:t>
      </w:r>
    </w:p>
    <w:p w14:paraId="3A50B30A"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Eastman</w:t>
      </w:r>
      <w:proofErr w:type="gramStart"/>
      <w:r w:rsidRPr="009829E1">
        <w:rPr>
          <w:rFonts w:ascii="Arial" w:hAnsi="Arial" w:cs="Arial"/>
          <w:szCs w:val="24"/>
        </w:rPr>
        <w:t>,  &amp;</w:t>
      </w:r>
      <w:proofErr w:type="gramEnd"/>
      <w:r w:rsidRPr="009829E1">
        <w:rPr>
          <w:rFonts w:ascii="Arial" w:hAnsi="Arial" w:cs="Arial"/>
          <w:szCs w:val="24"/>
        </w:rPr>
        <w:t xml:space="preserve"> Liston, K. (2011). BIM Handbook: A Guide to Building Information Modeling for Owners, Managers, Designers, Engineers, and Contractors (2nd ed.). John Wiley &amp; Sons.</w:t>
      </w:r>
    </w:p>
    <w:p w14:paraId="44F16604"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w:t>
      </w:r>
      <w:proofErr w:type="spellStart"/>
      <w:r w:rsidRPr="009829E1">
        <w:rPr>
          <w:rFonts w:ascii="Arial" w:hAnsi="Arial" w:cs="Arial"/>
          <w:szCs w:val="24"/>
        </w:rPr>
        <w:t>Elbeltagi</w:t>
      </w:r>
      <w:proofErr w:type="spellEnd"/>
      <w:r w:rsidRPr="009829E1">
        <w:rPr>
          <w:rFonts w:ascii="Arial" w:hAnsi="Arial" w:cs="Arial"/>
          <w:szCs w:val="24"/>
        </w:rPr>
        <w:t>, E., &amp; Dawood, M. (2011). Risk-based cost estimation models for construction projects. Automation in Construction, 20(5), 571-580.</w:t>
      </w:r>
    </w:p>
    <w:p w14:paraId="7BE38A0E"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Elhag &amp; </w:t>
      </w:r>
      <w:proofErr w:type="gramStart"/>
      <w:r w:rsidRPr="009829E1">
        <w:rPr>
          <w:rFonts w:ascii="Arial" w:hAnsi="Arial" w:cs="Arial"/>
          <w:szCs w:val="24"/>
        </w:rPr>
        <w:t>Ballal  (</w:t>
      </w:r>
      <w:proofErr w:type="gramEnd"/>
      <w:r w:rsidRPr="009829E1">
        <w:rPr>
          <w:rFonts w:ascii="Arial" w:hAnsi="Arial" w:cs="Arial"/>
          <w:szCs w:val="24"/>
        </w:rPr>
        <w:t>2005). Critical determinants of construction tendering costs: Quantity surveyors' standpoint. International Journal of Project Management, 23(7), 538-545.</w:t>
      </w:r>
    </w:p>
    <w:p w14:paraId="63343CC9"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Fleming, Q. W., &amp; Koppelman, J. M. (2016). Earned Value Project Management. Project Management Institute.</w:t>
      </w:r>
    </w:p>
    <w:p w14:paraId="660CD50B" w14:textId="77777777" w:rsidR="00D933B1" w:rsidRPr="009829E1" w:rsidRDefault="00D933B1" w:rsidP="00D933B1">
      <w:pPr>
        <w:spacing w:line="420" w:lineRule="auto"/>
        <w:rPr>
          <w:rFonts w:ascii="Arial" w:hAnsi="Arial" w:cs="Arial"/>
          <w:szCs w:val="24"/>
        </w:rPr>
      </w:pPr>
      <w:r w:rsidRPr="009829E1">
        <w:rPr>
          <w:rFonts w:ascii="Arial" w:hAnsi="Arial" w:cs="Arial"/>
          <w:szCs w:val="24"/>
        </w:rPr>
        <w:t xml:space="preserve">- </w:t>
      </w:r>
      <w:proofErr w:type="spellStart"/>
      <w:r w:rsidRPr="009829E1">
        <w:rPr>
          <w:rFonts w:ascii="Arial" w:hAnsi="Arial" w:cs="Arial"/>
          <w:szCs w:val="24"/>
        </w:rPr>
        <w:t>Flyvbjerg</w:t>
      </w:r>
      <w:proofErr w:type="spellEnd"/>
      <w:r w:rsidRPr="009829E1">
        <w:rPr>
          <w:rFonts w:ascii="Arial" w:hAnsi="Arial" w:cs="Arial"/>
          <w:szCs w:val="24"/>
        </w:rPr>
        <w:t xml:space="preserve">, &amp; </w:t>
      </w:r>
      <w:proofErr w:type="spellStart"/>
      <w:r w:rsidRPr="009829E1">
        <w:rPr>
          <w:rFonts w:ascii="Arial" w:hAnsi="Arial" w:cs="Arial"/>
          <w:szCs w:val="24"/>
        </w:rPr>
        <w:t>Rothengatter</w:t>
      </w:r>
      <w:proofErr w:type="spellEnd"/>
      <w:r w:rsidRPr="009829E1">
        <w:rPr>
          <w:rFonts w:ascii="Arial" w:hAnsi="Arial" w:cs="Arial"/>
          <w:szCs w:val="24"/>
        </w:rPr>
        <w:t>, W. (2002). Megaprojects and Risk: An Anatomy of Ambition. Cambridge University Press.</w:t>
      </w:r>
    </w:p>
    <w:p w14:paraId="1555E1AA" w14:textId="77777777" w:rsidR="00D933B1" w:rsidRPr="00D933B1" w:rsidRDefault="00D933B1" w:rsidP="00D933B1">
      <w:pPr>
        <w:spacing w:line="420" w:lineRule="auto"/>
        <w:rPr>
          <w:sz w:val="24"/>
          <w:szCs w:val="24"/>
        </w:rPr>
      </w:pPr>
      <w:r w:rsidRPr="009829E1">
        <w:rPr>
          <w:rFonts w:ascii="Arial" w:hAnsi="Arial" w:cs="Arial"/>
          <w:szCs w:val="24"/>
        </w:rPr>
        <w:t>- Flyvbjerg, &amp; Buhl, S. L. (2009). Underestimating costs in public works</w:t>
      </w:r>
    </w:p>
    <w:sectPr w:rsidR="00D933B1" w:rsidRPr="00D933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E8DA8" w14:textId="77777777" w:rsidR="00845ECB" w:rsidRDefault="00845ECB" w:rsidP="0030378E">
      <w:pPr>
        <w:spacing w:after="0" w:line="240" w:lineRule="auto"/>
      </w:pPr>
      <w:r>
        <w:separator/>
      </w:r>
    </w:p>
  </w:endnote>
  <w:endnote w:type="continuationSeparator" w:id="0">
    <w:p w14:paraId="5C19DF89" w14:textId="77777777" w:rsidR="00845ECB" w:rsidRDefault="00845ECB" w:rsidP="0030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5BB2" w14:textId="77777777" w:rsidR="0030378E" w:rsidRDefault="00303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7319" w14:textId="77777777" w:rsidR="0030378E" w:rsidRDefault="00303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64A7" w14:textId="77777777" w:rsidR="0030378E" w:rsidRDefault="0030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97B62" w14:textId="77777777" w:rsidR="00845ECB" w:rsidRDefault="00845ECB" w:rsidP="0030378E">
      <w:pPr>
        <w:spacing w:after="0" w:line="240" w:lineRule="auto"/>
      </w:pPr>
      <w:r>
        <w:separator/>
      </w:r>
    </w:p>
  </w:footnote>
  <w:footnote w:type="continuationSeparator" w:id="0">
    <w:p w14:paraId="52BB7A33" w14:textId="77777777" w:rsidR="00845ECB" w:rsidRDefault="00845ECB" w:rsidP="0030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E4B3" w14:textId="5A8A9567" w:rsidR="0030378E" w:rsidRDefault="00845ECB">
    <w:pPr>
      <w:pStyle w:val="Header"/>
    </w:pPr>
    <w:r>
      <w:rPr>
        <w:noProof/>
      </w:rPr>
      <w:pict w14:anchorId="0FF2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44ED1" w14:textId="4C8DF5FB" w:rsidR="0030378E" w:rsidRDefault="00845ECB">
    <w:pPr>
      <w:pStyle w:val="Header"/>
    </w:pPr>
    <w:r>
      <w:rPr>
        <w:noProof/>
      </w:rPr>
      <w:pict w14:anchorId="78400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56F28" w14:textId="59724E7B" w:rsidR="0030378E" w:rsidRDefault="00845ECB">
    <w:pPr>
      <w:pStyle w:val="Header"/>
    </w:pPr>
    <w:r>
      <w:rPr>
        <w:noProof/>
      </w:rPr>
      <w:pict w14:anchorId="50FEC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62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D1240"/>
    <w:multiLevelType w:val="multilevel"/>
    <w:tmpl w:val="BE8EDC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KwMDQwMDcwMTM0tzRT0lEKTi0uzszPAykwrAUAz9yVHSwAAAA="/>
  </w:docVars>
  <w:rsids>
    <w:rsidRoot w:val="00B567B9"/>
    <w:rsid w:val="000E2F66"/>
    <w:rsid w:val="00211371"/>
    <w:rsid w:val="00247FFC"/>
    <w:rsid w:val="0030378E"/>
    <w:rsid w:val="003832A0"/>
    <w:rsid w:val="00385F48"/>
    <w:rsid w:val="004B7594"/>
    <w:rsid w:val="00564BDD"/>
    <w:rsid w:val="00604AD1"/>
    <w:rsid w:val="007639F9"/>
    <w:rsid w:val="00776A00"/>
    <w:rsid w:val="007F1DD9"/>
    <w:rsid w:val="00845ECB"/>
    <w:rsid w:val="008553F4"/>
    <w:rsid w:val="008D0142"/>
    <w:rsid w:val="00930383"/>
    <w:rsid w:val="009829E1"/>
    <w:rsid w:val="00985ACA"/>
    <w:rsid w:val="00992F91"/>
    <w:rsid w:val="009A6342"/>
    <w:rsid w:val="00A37BF9"/>
    <w:rsid w:val="00A75EC2"/>
    <w:rsid w:val="00AA4BE6"/>
    <w:rsid w:val="00B567B9"/>
    <w:rsid w:val="00B9750B"/>
    <w:rsid w:val="00BB51EE"/>
    <w:rsid w:val="00BE6BE1"/>
    <w:rsid w:val="00BF6833"/>
    <w:rsid w:val="00C4268C"/>
    <w:rsid w:val="00C7691F"/>
    <w:rsid w:val="00CF49DA"/>
    <w:rsid w:val="00D933B1"/>
    <w:rsid w:val="00DB34EE"/>
    <w:rsid w:val="00EC3546"/>
    <w:rsid w:val="00F63FEB"/>
    <w:rsid w:val="00F7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2B4202"/>
  <w15:chartTrackingRefBased/>
  <w15:docId w15:val="{9BD99E83-9A28-4E31-A143-189D79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EC2"/>
    <w:rPr>
      <w:color w:val="0563C1" w:themeColor="hyperlink"/>
      <w:u w:val="single"/>
    </w:rPr>
  </w:style>
  <w:style w:type="paragraph" w:styleId="NormalWeb">
    <w:name w:val="Normal (Web)"/>
    <w:basedOn w:val="Normal"/>
    <w:uiPriority w:val="99"/>
    <w:unhideWhenUsed/>
    <w:rsid w:val="00BE6BE1"/>
    <w:pPr>
      <w:spacing w:before="100" w:beforeAutospacing="1" w:after="100" w:afterAutospacing="1" w:line="240" w:lineRule="auto"/>
    </w:pPr>
    <w:rPr>
      <w:rFonts w:ascii="Times New Roman" w:eastAsia="Times New Roman" w:hAnsi="Times New Roman" w:cs="Times New Roman"/>
      <w:sz w:val="24"/>
      <w:szCs w:val="24"/>
    </w:rPr>
  </w:style>
  <w:style w:type="table" w:styleId="MediumGrid3">
    <w:name w:val="Medium Grid 3"/>
    <w:basedOn w:val="TableNormal"/>
    <w:rsid w:val="00385F48"/>
    <w:pPr>
      <w:spacing w:after="0" w:line="240" w:lineRule="auto"/>
    </w:pPr>
    <w:rPr>
      <w:rFonts w:ascii="Calibri" w:eastAsia="SimSun" w:hAnsi="Calibri" w:cs="Times New Roman"/>
      <w:sz w:val="20"/>
      <w:szCs w:val="20"/>
      <w:lang w:eastAsia="zh-CN"/>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paragraph" w:styleId="ListParagraph">
    <w:name w:val="List Paragraph"/>
    <w:basedOn w:val="Normal"/>
    <w:uiPriority w:val="34"/>
    <w:qFormat/>
    <w:rsid w:val="00564BDD"/>
    <w:pPr>
      <w:spacing w:after="200" w:line="276" w:lineRule="auto"/>
      <w:ind w:left="720"/>
      <w:contextualSpacing/>
    </w:pPr>
    <w:rPr>
      <w:rFonts w:ascii="Calibri" w:eastAsia="SimSun" w:hAnsi="Calibri" w:cs="Times New Roman"/>
      <w:lang w:eastAsia="zh-CN"/>
    </w:rPr>
  </w:style>
  <w:style w:type="character" w:customStyle="1" w:styleId="UnresolvedMention">
    <w:name w:val="Unresolved Mention"/>
    <w:basedOn w:val="DefaultParagraphFont"/>
    <w:uiPriority w:val="99"/>
    <w:semiHidden/>
    <w:unhideWhenUsed/>
    <w:rsid w:val="00CF49DA"/>
    <w:rPr>
      <w:color w:val="605E5C"/>
      <w:shd w:val="clear" w:color="auto" w:fill="E1DFDD"/>
    </w:rPr>
  </w:style>
  <w:style w:type="paragraph" w:styleId="Header">
    <w:name w:val="header"/>
    <w:basedOn w:val="Normal"/>
    <w:link w:val="HeaderChar"/>
    <w:uiPriority w:val="99"/>
    <w:unhideWhenUsed/>
    <w:rsid w:val="0030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8E"/>
  </w:style>
  <w:style w:type="paragraph" w:styleId="Footer">
    <w:name w:val="footer"/>
    <w:basedOn w:val="Normal"/>
    <w:link w:val="FooterChar"/>
    <w:uiPriority w:val="99"/>
    <w:unhideWhenUsed/>
    <w:rsid w:val="0030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6086">
      <w:bodyDiv w:val="1"/>
      <w:marLeft w:val="0"/>
      <w:marRight w:val="0"/>
      <w:marTop w:val="0"/>
      <w:marBottom w:val="0"/>
      <w:divBdr>
        <w:top w:val="none" w:sz="0" w:space="0" w:color="auto"/>
        <w:left w:val="none" w:sz="0" w:space="0" w:color="auto"/>
        <w:bottom w:val="none" w:sz="0" w:space="0" w:color="auto"/>
        <w:right w:val="none" w:sz="0" w:space="0" w:color="auto"/>
      </w:divBdr>
      <w:divsChild>
        <w:div w:id="1319655476">
          <w:marLeft w:val="0"/>
          <w:marRight w:val="0"/>
          <w:marTop w:val="100"/>
          <w:marBottom w:val="100"/>
          <w:divBdr>
            <w:top w:val="none" w:sz="0" w:space="0" w:color="auto"/>
            <w:left w:val="none" w:sz="0" w:space="0" w:color="auto"/>
            <w:bottom w:val="none" w:sz="0" w:space="0" w:color="auto"/>
            <w:right w:val="none" w:sz="0" w:space="0" w:color="auto"/>
          </w:divBdr>
          <w:divsChild>
            <w:div w:id="400173725">
              <w:marLeft w:val="0"/>
              <w:marRight w:val="0"/>
              <w:marTop w:val="0"/>
              <w:marBottom w:val="0"/>
              <w:divBdr>
                <w:top w:val="none" w:sz="0" w:space="0" w:color="auto"/>
                <w:left w:val="none" w:sz="0" w:space="0" w:color="auto"/>
                <w:bottom w:val="none" w:sz="0" w:space="0" w:color="auto"/>
                <w:right w:val="none" w:sz="0" w:space="0" w:color="auto"/>
              </w:divBdr>
              <w:divsChild>
                <w:div w:id="16594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15</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dc:creator>
  <cp:keywords/>
  <dc:description/>
  <cp:lastModifiedBy>MOS</cp:lastModifiedBy>
  <cp:revision>43</cp:revision>
  <dcterms:created xsi:type="dcterms:W3CDTF">2025-02-26T13:27:00Z</dcterms:created>
  <dcterms:modified xsi:type="dcterms:W3CDTF">2025-06-03T11:37:00Z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275dac40-9830-4586-bcb8-0aa869b3aadc</vt:lpwstr>
  </property>
</Properties>
</file>