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D89D" w14:textId="50F7AFE1" w:rsidR="00D06CAA" w:rsidRDefault="00D06CAA" w:rsidP="009C69CA">
      <w:pPr>
        <w:pStyle w:val="MDPI13authornames"/>
        <w:spacing w:line="240" w:lineRule="auto"/>
        <w:jc w:val="both"/>
        <w:rPr>
          <w:rFonts w:ascii="Times New Roman" w:hAnsi="Times New Roman"/>
          <w:sz w:val="36"/>
          <w:szCs w:val="36"/>
          <w:lang w:val="en-GB" w:eastAsia="zh-CN"/>
        </w:rPr>
      </w:pPr>
      <w:r w:rsidRPr="00D06CAA">
        <w:rPr>
          <w:rFonts w:ascii="Times New Roman" w:hAnsi="Times New Roman"/>
          <w:sz w:val="36"/>
          <w:szCs w:val="36"/>
          <w:lang w:val="en-GB" w:eastAsia="zh-CN"/>
        </w:rPr>
        <w:t>Original Research Article</w:t>
      </w:r>
    </w:p>
    <w:p w14:paraId="63082795" w14:textId="77777777" w:rsidR="00D06CAA" w:rsidRDefault="00D06CAA" w:rsidP="009C69CA">
      <w:pPr>
        <w:pStyle w:val="MDPI13authornames"/>
        <w:spacing w:line="240" w:lineRule="auto"/>
        <w:jc w:val="both"/>
        <w:rPr>
          <w:rFonts w:ascii="Times New Roman" w:hAnsi="Times New Roman"/>
          <w:sz w:val="36"/>
          <w:szCs w:val="36"/>
          <w:lang w:val="en-GB" w:eastAsia="zh-CN"/>
        </w:rPr>
      </w:pPr>
    </w:p>
    <w:p w14:paraId="4A654A8F" w14:textId="317C663E" w:rsidR="00244390" w:rsidRPr="005C371A" w:rsidRDefault="00E04C34" w:rsidP="009C69CA">
      <w:pPr>
        <w:pStyle w:val="MDPI13authornames"/>
        <w:spacing w:line="240" w:lineRule="auto"/>
        <w:jc w:val="both"/>
        <w:rPr>
          <w:rFonts w:ascii="Times New Roman" w:hAnsi="Times New Roman"/>
          <w:sz w:val="36"/>
          <w:szCs w:val="36"/>
          <w:lang w:val="en-GB" w:eastAsia="zh-CN"/>
        </w:rPr>
      </w:pPr>
      <w:r w:rsidRPr="00E04C34">
        <w:rPr>
          <w:rFonts w:ascii="Times New Roman" w:hAnsi="Times New Roman"/>
          <w:sz w:val="36"/>
          <w:szCs w:val="36"/>
          <w:lang w:val="en-GB" w:eastAsia="zh-CN"/>
        </w:rPr>
        <w:t xml:space="preserve">Economic Performance of Enterprises </w:t>
      </w:r>
      <w:r w:rsidR="002046A8">
        <w:rPr>
          <w:rFonts w:ascii="Times New Roman" w:hAnsi="Times New Roman"/>
          <w:sz w:val="36"/>
          <w:szCs w:val="36"/>
          <w:lang w:val="en-GB" w:eastAsia="zh-CN"/>
        </w:rPr>
        <w:t>Under</w:t>
      </w:r>
      <w:r w:rsidRPr="00E04C34">
        <w:rPr>
          <w:rFonts w:ascii="Times New Roman" w:hAnsi="Times New Roman"/>
          <w:sz w:val="36"/>
          <w:szCs w:val="36"/>
          <w:lang w:val="en-GB" w:eastAsia="zh-CN"/>
        </w:rPr>
        <w:t xml:space="preserve"> Economic Empowerment Schemes in Tanzania:  </w:t>
      </w:r>
      <w:r w:rsidR="002046A8" w:rsidRPr="002046A8">
        <w:rPr>
          <w:rFonts w:ascii="Times New Roman" w:hAnsi="Times New Roman"/>
          <w:sz w:val="36"/>
          <w:szCs w:val="36"/>
          <w:lang w:val="en-GB" w:eastAsia="zh-CN"/>
        </w:rPr>
        <w:t>Comparative Insights from Mara and Arusha</w:t>
      </w:r>
      <w:r w:rsidRPr="00E04C34">
        <w:rPr>
          <w:rFonts w:ascii="Times New Roman" w:hAnsi="Times New Roman"/>
          <w:sz w:val="36"/>
          <w:szCs w:val="36"/>
          <w:lang w:val="en-GB" w:eastAsia="zh-CN"/>
        </w:rPr>
        <w:t xml:space="preserve"> Regions</w:t>
      </w:r>
      <w:r w:rsidR="00244390" w:rsidRPr="005C371A">
        <w:rPr>
          <w:rFonts w:ascii="Times New Roman" w:hAnsi="Times New Roman"/>
          <w:sz w:val="36"/>
          <w:szCs w:val="36"/>
          <w:lang w:val="en-GB" w:eastAsia="zh-CN"/>
        </w:rPr>
        <w:t xml:space="preserve"> </w:t>
      </w:r>
    </w:p>
    <w:p w14:paraId="3B130FCC" w14:textId="5725DCF0" w:rsidR="00F519F5" w:rsidRDefault="00F519F5" w:rsidP="00872DF2">
      <w:pPr>
        <w:spacing w:after="0" w:line="360" w:lineRule="auto"/>
        <w:jc w:val="both"/>
        <w:rPr>
          <w:rFonts w:ascii="Times New Roman" w:hAnsi="Times New Roman" w:cs="Times New Roman"/>
          <w:sz w:val="24"/>
          <w:szCs w:val="24"/>
        </w:rPr>
      </w:pPr>
    </w:p>
    <w:p w14:paraId="6299CD49" w14:textId="77777777" w:rsidR="00391E00" w:rsidRPr="00872DF2" w:rsidRDefault="00391E00" w:rsidP="00872DF2">
      <w:pPr>
        <w:spacing w:after="0" w:line="360" w:lineRule="auto"/>
        <w:jc w:val="both"/>
        <w:rPr>
          <w:rFonts w:ascii="Times New Roman" w:hAnsi="Times New Roman" w:cs="Times New Roman"/>
          <w:sz w:val="24"/>
          <w:szCs w:val="24"/>
        </w:rPr>
      </w:pPr>
    </w:p>
    <w:p w14:paraId="6551C9E4" w14:textId="77777777" w:rsidR="004F26E5" w:rsidRPr="00872DF2" w:rsidRDefault="00C73B31" w:rsidP="00951C25">
      <w:pPr>
        <w:pStyle w:val="Heading1"/>
        <w:spacing w:before="0" w:line="24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rPr>
        <w:t>Abstract</w:t>
      </w:r>
    </w:p>
    <w:p w14:paraId="06607305" w14:textId="75CBDCB2" w:rsidR="0044309D" w:rsidRPr="0044309D" w:rsidRDefault="0044309D" w:rsidP="00951C25">
      <w:pPr>
        <w:pStyle w:val="Heading1"/>
        <w:spacing w:before="0" w:line="360" w:lineRule="auto"/>
        <w:jc w:val="both"/>
        <w:rPr>
          <w:rFonts w:ascii="Times New Roman" w:eastAsiaTheme="minorEastAsia" w:hAnsi="Times New Roman" w:cs="Times New Roman"/>
          <w:b w:val="0"/>
          <w:bCs w:val="0"/>
          <w:color w:val="auto"/>
          <w:sz w:val="24"/>
          <w:szCs w:val="24"/>
          <w:lang w:val="en-GB"/>
        </w:rPr>
      </w:pPr>
      <w:r w:rsidRPr="0044309D">
        <w:rPr>
          <w:rFonts w:ascii="Times New Roman" w:eastAsiaTheme="minorEastAsia" w:hAnsi="Times New Roman" w:cs="Times New Roman"/>
          <w:b w:val="0"/>
          <w:bCs w:val="0"/>
          <w:color w:val="auto"/>
          <w:sz w:val="24"/>
          <w:szCs w:val="24"/>
          <w:lang w:val="en-GB"/>
        </w:rPr>
        <w:t xml:space="preserve">Economic Empowerment Schemes (EES) play a critical role in inclusive growth and poverty reduction in developing countries. </w:t>
      </w:r>
      <w:r w:rsidR="00653F2D" w:rsidRPr="00653F2D">
        <w:rPr>
          <w:rFonts w:ascii="Times New Roman" w:eastAsiaTheme="minorEastAsia" w:hAnsi="Times New Roman" w:cs="Times New Roman"/>
          <w:b w:val="0"/>
          <w:bCs w:val="0"/>
          <w:color w:val="auto"/>
          <w:sz w:val="24"/>
          <w:szCs w:val="24"/>
          <w:lang w:val="en-GB"/>
        </w:rPr>
        <w:t>This study evaluated the economic performance of micro, small, and medium-sized enterprises (MSMEs) funded under Tanzania’s Local Government Authority (LGA) revolving loan schemes using cross-sectional data from 495 beneficiaries. It applied both quantitative and qualitative methods through interviews and structured questionnaires</w:t>
      </w:r>
      <w:r w:rsidRPr="0044309D">
        <w:rPr>
          <w:rFonts w:ascii="Times New Roman" w:eastAsiaTheme="minorEastAsia" w:hAnsi="Times New Roman" w:cs="Times New Roman"/>
          <w:b w:val="0"/>
          <w:bCs w:val="0"/>
          <w:color w:val="auto"/>
          <w:sz w:val="24"/>
          <w:szCs w:val="24"/>
          <w:lang w:val="en-GB"/>
        </w:rPr>
        <w:t>.</w:t>
      </w:r>
      <w:r>
        <w:rPr>
          <w:rFonts w:ascii="Times New Roman" w:eastAsiaTheme="minorEastAsia" w:hAnsi="Times New Roman" w:cs="Times New Roman"/>
          <w:b w:val="0"/>
          <w:bCs w:val="0"/>
          <w:color w:val="auto"/>
          <w:sz w:val="24"/>
          <w:szCs w:val="24"/>
          <w:lang w:val="en-GB"/>
        </w:rPr>
        <w:t xml:space="preserve"> </w:t>
      </w:r>
      <w:r w:rsidRPr="0044309D">
        <w:rPr>
          <w:rFonts w:ascii="Times New Roman" w:eastAsiaTheme="minorEastAsia" w:hAnsi="Times New Roman" w:cs="Times New Roman"/>
          <w:b w:val="0"/>
          <w:bCs w:val="0"/>
          <w:color w:val="auto"/>
          <w:sz w:val="24"/>
          <w:szCs w:val="24"/>
          <w:lang w:val="en-GB"/>
        </w:rPr>
        <w:t xml:space="preserve">Using descriptive statistics, Net Profit Margin (NPM), Return on Investment (ROI), and Benefit-Cost Ratio (BCR), the study found </w:t>
      </w:r>
      <w:r>
        <w:rPr>
          <w:rFonts w:ascii="Times New Roman" w:eastAsiaTheme="minorEastAsia" w:hAnsi="Times New Roman" w:cs="Times New Roman"/>
          <w:b w:val="0"/>
          <w:bCs w:val="0"/>
          <w:color w:val="auto"/>
          <w:sz w:val="24"/>
          <w:szCs w:val="24"/>
          <w:lang w:val="en-GB"/>
        </w:rPr>
        <w:t xml:space="preserve">an </w:t>
      </w:r>
      <w:r w:rsidRPr="0044309D">
        <w:rPr>
          <w:rFonts w:ascii="Times New Roman" w:eastAsiaTheme="minorEastAsia" w:hAnsi="Times New Roman" w:cs="Times New Roman"/>
          <w:b w:val="0"/>
          <w:bCs w:val="0"/>
          <w:color w:val="auto"/>
          <w:sz w:val="24"/>
          <w:szCs w:val="24"/>
          <w:lang w:val="en-GB"/>
        </w:rPr>
        <w:t xml:space="preserve">average ROI of </w:t>
      </w:r>
      <w:r w:rsidR="003976F1" w:rsidRPr="003976F1">
        <w:rPr>
          <w:rFonts w:ascii="Times New Roman" w:eastAsiaTheme="minorEastAsia" w:hAnsi="Times New Roman" w:cs="Times New Roman"/>
          <w:b w:val="0"/>
          <w:bCs w:val="0"/>
          <w:color w:val="auto"/>
          <w:sz w:val="24"/>
          <w:szCs w:val="24"/>
          <w:lang w:val="en-GB"/>
        </w:rPr>
        <w:t>538.7</w:t>
      </w:r>
      <w:r w:rsidRPr="0044309D">
        <w:rPr>
          <w:rFonts w:ascii="Times New Roman" w:eastAsiaTheme="minorEastAsia" w:hAnsi="Times New Roman" w:cs="Times New Roman"/>
          <w:b w:val="0"/>
          <w:bCs w:val="0"/>
          <w:color w:val="auto"/>
          <w:sz w:val="24"/>
          <w:szCs w:val="24"/>
          <w:lang w:val="en-GB"/>
        </w:rPr>
        <w:t xml:space="preserve">% and BCR of </w:t>
      </w:r>
      <w:r w:rsidR="003976F1">
        <w:rPr>
          <w:rFonts w:ascii="Times New Roman" w:eastAsiaTheme="minorEastAsia" w:hAnsi="Times New Roman" w:cs="Times New Roman"/>
          <w:b w:val="0"/>
          <w:bCs w:val="0"/>
          <w:color w:val="auto"/>
          <w:sz w:val="24"/>
          <w:szCs w:val="24"/>
          <w:lang w:val="en-GB"/>
        </w:rPr>
        <w:t>6</w:t>
      </w:r>
      <w:r w:rsidRPr="0044309D">
        <w:rPr>
          <w:rFonts w:ascii="Times New Roman" w:eastAsiaTheme="minorEastAsia" w:hAnsi="Times New Roman" w:cs="Times New Roman"/>
          <w:b w:val="0"/>
          <w:bCs w:val="0"/>
          <w:color w:val="auto"/>
          <w:sz w:val="24"/>
          <w:szCs w:val="24"/>
          <w:lang w:val="en-GB"/>
        </w:rPr>
        <w:t>.</w:t>
      </w:r>
      <w:r w:rsidR="003976F1">
        <w:rPr>
          <w:rFonts w:ascii="Times New Roman" w:eastAsiaTheme="minorEastAsia" w:hAnsi="Times New Roman" w:cs="Times New Roman"/>
          <w:b w:val="0"/>
          <w:bCs w:val="0"/>
          <w:color w:val="auto"/>
          <w:sz w:val="24"/>
          <w:szCs w:val="24"/>
          <w:lang w:val="en-GB"/>
        </w:rPr>
        <w:t>4</w:t>
      </w:r>
      <w:r w:rsidRPr="0044309D">
        <w:rPr>
          <w:rFonts w:ascii="Times New Roman" w:eastAsiaTheme="minorEastAsia" w:hAnsi="Times New Roman" w:cs="Times New Roman"/>
          <w:b w:val="0"/>
          <w:bCs w:val="0"/>
          <w:color w:val="auto"/>
          <w:sz w:val="24"/>
          <w:szCs w:val="24"/>
          <w:lang w:val="en-GB"/>
        </w:rPr>
        <w:t xml:space="preserve"> across enterprises, indicating enhanced viability post-loan. Profitability rose by an average of 38%, with significant gains in crop production, retail, and construction sectors. Employment generation increased by 42%, with higher female participation, and revenue growth averaged 33% post-loan. Business expansion was evident, with 61% of enterprises formalizing operations and acquiring new assets, particularly among women and youth.</w:t>
      </w:r>
      <w:r>
        <w:rPr>
          <w:rFonts w:ascii="Times New Roman" w:eastAsiaTheme="minorEastAsia" w:hAnsi="Times New Roman" w:cs="Times New Roman"/>
          <w:b w:val="0"/>
          <w:bCs w:val="0"/>
          <w:color w:val="auto"/>
          <w:sz w:val="24"/>
          <w:szCs w:val="24"/>
          <w:lang w:val="en-GB"/>
        </w:rPr>
        <w:t xml:space="preserve"> </w:t>
      </w:r>
      <w:r w:rsidRPr="0044309D">
        <w:rPr>
          <w:rFonts w:ascii="Times New Roman" w:eastAsiaTheme="minorEastAsia" w:hAnsi="Times New Roman" w:cs="Times New Roman"/>
          <w:b w:val="0"/>
          <w:bCs w:val="0"/>
          <w:color w:val="auto"/>
          <w:sz w:val="24"/>
          <w:szCs w:val="24"/>
          <w:lang w:val="en-GB"/>
        </w:rPr>
        <w:t>These results underscore the effectiveness of EES in improving profitability, viability, and employment generation while revealing regional disparities in outcomes. Post-loan support, including market linkages and training, is essential to sustain growth and reduce regional disparities in economic outcomes.</w:t>
      </w:r>
    </w:p>
    <w:p w14:paraId="0DBB264B" w14:textId="73239169" w:rsidR="002F43D9" w:rsidRPr="00872DF2" w:rsidRDefault="002F43D9" w:rsidP="00602E84">
      <w:pPr>
        <w:spacing w:after="0" w:line="360" w:lineRule="auto"/>
        <w:jc w:val="both"/>
        <w:rPr>
          <w:rFonts w:ascii="Times New Roman" w:hAnsi="Times New Roman" w:cs="Times New Roman"/>
          <w:sz w:val="24"/>
          <w:szCs w:val="24"/>
          <w:lang w:val="en-GB"/>
        </w:rPr>
      </w:pPr>
    </w:p>
    <w:p w14:paraId="5FB8C564" w14:textId="3263E6A4" w:rsidR="00C412D6" w:rsidRPr="00872DF2" w:rsidRDefault="00C73B31" w:rsidP="00872DF2">
      <w:pPr>
        <w:pStyle w:val="Default"/>
        <w:spacing w:line="360" w:lineRule="auto"/>
        <w:ind w:left="1260" w:hanging="1260"/>
        <w:jc w:val="both"/>
        <w:rPr>
          <w:rFonts w:ascii="Times New Roman" w:hAnsi="Times New Roman" w:cs="Times New Roman"/>
          <w:lang w:val="en-GB"/>
        </w:rPr>
      </w:pPr>
      <w:r w:rsidRPr="00872DF2">
        <w:rPr>
          <w:rFonts w:ascii="Times New Roman" w:hAnsi="Times New Roman" w:cs="Times New Roman"/>
          <w:b/>
          <w:lang w:val="en-GB"/>
        </w:rPr>
        <w:t>Keywords:</w:t>
      </w:r>
      <w:r w:rsidR="00750546" w:rsidRPr="00872DF2">
        <w:rPr>
          <w:rFonts w:ascii="Times New Roman" w:hAnsi="Times New Roman" w:cs="Times New Roman"/>
          <w:lang w:val="en-GB"/>
        </w:rPr>
        <w:t xml:space="preserve"> </w:t>
      </w:r>
      <w:r w:rsidR="006B409E" w:rsidRPr="00872DF2">
        <w:rPr>
          <w:rFonts w:ascii="Times New Roman" w:hAnsi="Times New Roman" w:cs="Times New Roman"/>
          <w:lang w:val="en-GB"/>
        </w:rPr>
        <w:t>Economic Empowerment Schemes</w:t>
      </w:r>
      <w:r w:rsidR="0093065B" w:rsidRPr="00872DF2">
        <w:rPr>
          <w:rFonts w:ascii="Times New Roman" w:hAnsi="Times New Roman" w:cs="Times New Roman"/>
          <w:lang w:val="en-GB"/>
        </w:rPr>
        <w:t xml:space="preserve">, enterprise performance, </w:t>
      </w:r>
      <w:r w:rsidR="00A94E07">
        <w:rPr>
          <w:rFonts w:ascii="Times New Roman" w:hAnsi="Times New Roman" w:cs="Times New Roman"/>
          <w:lang w:val="en-GB"/>
        </w:rPr>
        <w:t xml:space="preserve">Financial Inclusion, </w:t>
      </w:r>
      <w:r w:rsidR="00A45C4C" w:rsidRPr="00872DF2">
        <w:rPr>
          <w:rFonts w:ascii="Times New Roman" w:hAnsi="Times New Roman" w:cs="Times New Roman"/>
          <w:lang w:val="en-GB"/>
        </w:rPr>
        <w:t>Net Profit Margin, Return on Investment, and Benefit-Cost Ratio</w:t>
      </w:r>
      <w:r w:rsidR="0093065B" w:rsidRPr="00872DF2">
        <w:rPr>
          <w:rFonts w:ascii="Times New Roman" w:hAnsi="Times New Roman" w:cs="Times New Roman"/>
          <w:lang w:val="en-GB"/>
        </w:rPr>
        <w:t>, local government loan schemes</w:t>
      </w:r>
      <w:r w:rsidR="00A45C4C" w:rsidRPr="00872DF2">
        <w:rPr>
          <w:rFonts w:ascii="Times New Roman" w:hAnsi="Times New Roman" w:cs="Times New Roman"/>
          <w:lang w:val="en-GB"/>
        </w:rPr>
        <w:t>, Tanzania.</w:t>
      </w:r>
    </w:p>
    <w:p w14:paraId="4E79655E" w14:textId="3B2FA8FC" w:rsidR="004F26E5" w:rsidRPr="00872DF2" w:rsidRDefault="00C73B31" w:rsidP="00872DF2">
      <w:pPr>
        <w:pStyle w:val="Heading1"/>
        <w:spacing w:before="0" w:line="36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eastAsia="zh-CN"/>
        </w:rPr>
        <w:lastRenderedPageBreak/>
        <w:t xml:space="preserve">1. </w:t>
      </w:r>
      <w:r w:rsidRPr="00872DF2">
        <w:rPr>
          <w:rFonts w:ascii="Times New Roman" w:hAnsi="Times New Roman" w:cs="Times New Roman"/>
          <w:color w:val="auto"/>
          <w:sz w:val="24"/>
          <w:szCs w:val="24"/>
          <w:lang w:val="en-GB"/>
        </w:rPr>
        <w:t>Introdu</w:t>
      </w:r>
      <w:r w:rsidR="005C4ABF" w:rsidRPr="00872DF2">
        <w:rPr>
          <w:rFonts w:ascii="Times New Roman" w:hAnsi="Times New Roman" w:cs="Times New Roman"/>
          <w:color w:val="auto"/>
          <w:sz w:val="24"/>
          <w:szCs w:val="24"/>
          <w:lang w:val="en-GB"/>
        </w:rPr>
        <w:t xml:space="preserve">ction </w:t>
      </w:r>
    </w:p>
    <w:p w14:paraId="6A0088B8" w14:textId="77777777" w:rsidR="000E4BE9" w:rsidRDefault="000E4BE9" w:rsidP="00951C25">
      <w:pPr>
        <w:pStyle w:val="Heading1"/>
        <w:spacing w:before="0" w:after="240" w:line="360" w:lineRule="auto"/>
        <w:jc w:val="both"/>
        <w:rPr>
          <w:rFonts w:ascii="Times New Roman" w:eastAsiaTheme="minorEastAsia" w:hAnsi="Times New Roman" w:cs="Times New Roman"/>
          <w:b w:val="0"/>
          <w:bCs w:val="0"/>
          <w:color w:val="000000"/>
          <w:sz w:val="24"/>
          <w:szCs w:val="24"/>
          <w:lang w:val="en-GB"/>
        </w:rPr>
      </w:pPr>
      <w:r w:rsidRPr="000E4BE9">
        <w:rPr>
          <w:rFonts w:ascii="Times New Roman" w:eastAsiaTheme="minorEastAsia" w:hAnsi="Times New Roman" w:cs="Times New Roman"/>
          <w:b w:val="0"/>
          <w:bCs w:val="0"/>
          <w:color w:val="000000"/>
          <w:sz w:val="24"/>
          <w:szCs w:val="24"/>
          <w:lang w:val="en-GB"/>
        </w:rPr>
        <w:t>Economic empowerment schemes are essential for promoting inclusive growth, poverty reduction, and sustainable livelihoods in developing countries. In Tanzania, Local Government Authorities (LGAs) have launched revolving loan schemes and grants targeting women, youth, and persons with disabilities to support their participation in micro-, small-, and medium-sized enterprises (MSMEs) (URT, 2020). These initiatives align with national development frameworks, such as the Tanzania Development Vision 2025 and the Third Five-Year Development Plan III, which aim to promote equitable economic engagement and reduce financial barriers among marginalized groups (URT, 2000; URT, 2019). However, empirical evidence on the economic performance of enterprises funded by these schemes remains limited, particularly across Tanzania’s diverse regions.</w:t>
      </w:r>
    </w:p>
    <w:p w14:paraId="0D2FED6F" w14:textId="26A1BAA8" w:rsidR="000E4BE9" w:rsidRPr="000E4BE9" w:rsidRDefault="000E4BE9" w:rsidP="00951C25">
      <w:pPr>
        <w:pStyle w:val="Heading1"/>
        <w:spacing w:before="0" w:after="240" w:line="360" w:lineRule="auto"/>
        <w:jc w:val="both"/>
        <w:rPr>
          <w:rFonts w:ascii="Times New Roman" w:eastAsiaTheme="minorEastAsia" w:hAnsi="Times New Roman" w:cs="Times New Roman"/>
          <w:b w:val="0"/>
          <w:bCs w:val="0"/>
          <w:color w:val="000000"/>
          <w:sz w:val="24"/>
          <w:szCs w:val="24"/>
          <w:lang w:val="en-GB"/>
        </w:rPr>
      </w:pPr>
      <w:r w:rsidRPr="000E4BE9">
        <w:rPr>
          <w:rFonts w:ascii="Times New Roman" w:eastAsiaTheme="minorEastAsia" w:hAnsi="Times New Roman" w:cs="Times New Roman"/>
          <w:b w:val="0"/>
          <w:bCs w:val="0"/>
          <w:color w:val="000000"/>
          <w:sz w:val="24"/>
          <w:szCs w:val="24"/>
          <w:lang w:val="en-GB"/>
        </w:rPr>
        <w:t>Microfinance and LGA-led credit interventions have been recognized widely as catalysts for entrepreneurship and financial inclusion among low-income and marginalized populations (</w:t>
      </w:r>
      <w:proofErr w:type="spellStart"/>
      <w:r w:rsidRPr="000E4BE9">
        <w:rPr>
          <w:rFonts w:ascii="Times New Roman" w:eastAsiaTheme="minorEastAsia" w:hAnsi="Times New Roman" w:cs="Times New Roman"/>
          <w:b w:val="0"/>
          <w:bCs w:val="0"/>
          <w:color w:val="000000"/>
          <w:sz w:val="24"/>
          <w:szCs w:val="24"/>
          <w:lang w:val="en-GB"/>
        </w:rPr>
        <w:t>Ledgerwood</w:t>
      </w:r>
      <w:proofErr w:type="spellEnd"/>
      <w:r w:rsidRPr="000E4BE9">
        <w:rPr>
          <w:rFonts w:ascii="Times New Roman" w:eastAsiaTheme="minorEastAsia" w:hAnsi="Times New Roman" w:cs="Times New Roman"/>
          <w:b w:val="0"/>
          <w:bCs w:val="0"/>
          <w:color w:val="000000"/>
          <w:sz w:val="24"/>
          <w:szCs w:val="24"/>
          <w:lang w:val="en-GB"/>
        </w:rPr>
        <w:t>, 2013; Bateman &amp; Chang, 2012). Global studies show that access to microcredit is linked with improved income, asset accumulation, and business growth (</w:t>
      </w:r>
      <w:proofErr w:type="spellStart"/>
      <w:r w:rsidRPr="000E4BE9">
        <w:rPr>
          <w:rFonts w:ascii="Times New Roman" w:eastAsiaTheme="minorEastAsia" w:hAnsi="Times New Roman" w:cs="Times New Roman"/>
          <w:b w:val="0"/>
          <w:bCs w:val="0"/>
          <w:color w:val="000000"/>
          <w:sz w:val="24"/>
          <w:szCs w:val="24"/>
          <w:lang w:val="en-GB"/>
        </w:rPr>
        <w:t>Karlan</w:t>
      </w:r>
      <w:proofErr w:type="spellEnd"/>
      <w:r w:rsidRPr="000E4BE9">
        <w:rPr>
          <w:rFonts w:ascii="Times New Roman" w:eastAsiaTheme="minorEastAsia" w:hAnsi="Times New Roman" w:cs="Times New Roman"/>
          <w:b w:val="0"/>
          <w:bCs w:val="0"/>
          <w:color w:val="000000"/>
          <w:sz w:val="24"/>
          <w:szCs w:val="24"/>
          <w:lang w:val="en-GB"/>
        </w:rPr>
        <w:t xml:space="preserve"> &amp; Valdivia, 2011; </w:t>
      </w:r>
      <w:proofErr w:type="spellStart"/>
      <w:r w:rsidRPr="000E4BE9">
        <w:rPr>
          <w:rFonts w:ascii="Times New Roman" w:eastAsiaTheme="minorEastAsia" w:hAnsi="Times New Roman" w:cs="Times New Roman"/>
          <w:b w:val="0"/>
          <w:bCs w:val="0"/>
          <w:color w:val="000000"/>
          <w:sz w:val="24"/>
          <w:szCs w:val="24"/>
          <w:lang w:val="en-GB"/>
        </w:rPr>
        <w:t>Khandker</w:t>
      </w:r>
      <w:proofErr w:type="spellEnd"/>
      <w:r w:rsidRPr="000E4BE9">
        <w:rPr>
          <w:rFonts w:ascii="Times New Roman" w:eastAsiaTheme="minorEastAsia" w:hAnsi="Times New Roman" w:cs="Times New Roman"/>
          <w:b w:val="0"/>
          <w:bCs w:val="0"/>
          <w:color w:val="000000"/>
          <w:sz w:val="24"/>
          <w:szCs w:val="24"/>
          <w:lang w:val="en-GB"/>
        </w:rPr>
        <w:t xml:space="preserve"> &amp; Samad, 2014), though such outcomes are often contingent on complementary support like training and market access, which are frequently lacking (Bateman, 2010; </w:t>
      </w:r>
      <w:proofErr w:type="spellStart"/>
      <w:r w:rsidRPr="000E4BE9">
        <w:rPr>
          <w:rFonts w:ascii="Times New Roman" w:eastAsiaTheme="minorEastAsia" w:hAnsi="Times New Roman" w:cs="Times New Roman"/>
          <w:b w:val="0"/>
          <w:bCs w:val="0"/>
          <w:color w:val="000000"/>
          <w:sz w:val="24"/>
          <w:szCs w:val="24"/>
          <w:lang w:val="en-GB"/>
        </w:rPr>
        <w:t>Duvendack</w:t>
      </w:r>
      <w:proofErr w:type="spellEnd"/>
      <w:r w:rsidRPr="000E4BE9">
        <w:rPr>
          <w:rFonts w:ascii="Times New Roman" w:eastAsiaTheme="minorEastAsia" w:hAnsi="Times New Roman" w:cs="Times New Roman"/>
          <w:b w:val="0"/>
          <w:bCs w:val="0"/>
          <w:color w:val="000000"/>
          <w:sz w:val="24"/>
          <w:szCs w:val="24"/>
          <w:lang w:val="en-GB"/>
        </w:rPr>
        <w:t xml:space="preserve"> et al., 2011). In Tanzania, microcredit programs have demonstrated promise in increasing business income and improving household welfare for women and youth, yet high costs and limited market integration remain significant constraints (</w:t>
      </w:r>
      <w:proofErr w:type="spellStart"/>
      <w:r w:rsidRPr="000E4BE9">
        <w:rPr>
          <w:rFonts w:ascii="Times New Roman" w:eastAsiaTheme="minorEastAsia" w:hAnsi="Times New Roman" w:cs="Times New Roman"/>
          <w:b w:val="0"/>
          <w:bCs w:val="0"/>
          <w:color w:val="000000"/>
          <w:sz w:val="24"/>
          <w:szCs w:val="24"/>
          <w:lang w:val="en-GB"/>
        </w:rPr>
        <w:t>Isaga</w:t>
      </w:r>
      <w:proofErr w:type="spellEnd"/>
      <w:r w:rsidRPr="000E4BE9">
        <w:rPr>
          <w:rFonts w:ascii="Times New Roman" w:eastAsiaTheme="minorEastAsia" w:hAnsi="Times New Roman" w:cs="Times New Roman"/>
          <w:b w:val="0"/>
          <w:bCs w:val="0"/>
          <w:color w:val="000000"/>
          <w:sz w:val="24"/>
          <w:szCs w:val="24"/>
          <w:lang w:val="en-GB"/>
        </w:rPr>
        <w:t xml:space="preserve">, 2018; Cho &amp; </w:t>
      </w:r>
      <w:proofErr w:type="spellStart"/>
      <w:r w:rsidRPr="000E4BE9">
        <w:rPr>
          <w:rFonts w:ascii="Times New Roman" w:eastAsiaTheme="minorEastAsia" w:hAnsi="Times New Roman" w:cs="Times New Roman"/>
          <w:b w:val="0"/>
          <w:bCs w:val="0"/>
          <w:color w:val="000000"/>
          <w:sz w:val="24"/>
          <w:szCs w:val="24"/>
          <w:lang w:val="en-GB"/>
        </w:rPr>
        <w:t>Honorati</w:t>
      </w:r>
      <w:proofErr w:type="spellEnd"/>
      <w:r w:rsidRPr="000E4BE9">
        <w:rPr>
          <w:rFonts w:ascii="Times New Roman" w:eastAsiaTheme="minorEastAsia" w:hAnsi="Times New Roman" w:cs="Times New Roman"/>
          <w:b w:val="0"/>
          <w:bCs w:val="0"/>
          <w:color w:val="000000"/>
          <w:sz w:val="24"/>
          <w:szCs w:val="24"/>
          <w:lang w:val="en-GB"/>
        </w:rPr>
        <w:t>, 2014).</w:t>
      </w:r>
    </w:p>
    <w:p w14:paraId="618103D2" w14:textId="4AD785C4" w:rsidR="000E4BE9" w:rsidRPr="000E4BE9" w:rsidRDefault="000E4BE9" w:rsidP="00951C25">
      <w:pPr>
        <w:pStyle w:val="Heading1"/>
        <w:spacing w:before="0" w:after="240" w:line="360" w:lineRule="auto"/>
        <w:jc w:val="both"/>
        <w:rPr>
          <w:rFonts w:ascii="Times New Roman" w:eastAsiaTheme="minorEastAsia" w:hAnsi="Times New Roman" w:cs="Times New Roman"/>
          <w:b w:val="0"/>
          <w:bCs w:val="0"/>
          <w:color w:val="000000"/>
          <w:sz w:val="24"/>
          <w:szCs w:val="24"/>
          <w:lang w:val="en-GB"/>
        </w:rPr>
      </w:pPr>
      <w:r w:rsidRPr="000E4BE9">
        <w:rPr>
          <w:rFonts w:ascii="Times New Roman" w:eastAsiaTheme="minorEastAsia" w:hAnsi="Times New Roman" w:cs="Times New Roman"/>
          <w:b w:val="0"/>
          <w:bCs w:val="0"/>
          <w:color w:val="000000"/>
          <w:sz w:val="24"/>
          <w:szCs w:val="24"/>
          <w:lang w:val="en-GB"/>
        </w:rPr>
        <w:lastRenderedPageBreak/>
        <w:t>A comprehensive evaluation of economic empowerment programs necessitates examining profitability, viability, revenue growth, business expansion, and employment generation (</w:t>
      </w:r>
      <w:proofErr w:type="spellStart"/>
      <w:r w:rsidRPr="000E4BE9">
        <w:rPr>
          <w:rFonts w:ascii="Times New Roman" w:eastAsiaTheme="minorEastAsia" w:hAnsi="Times New Roman" w:cs="Times New Roman"/>
          <w:b w:val="0"/>
          <w:bCs w:val="0"/>
          <w:color w:val="000000"/>
          <w:sz w:val="24"/>
          <w:szCs w:val="24"/>
          <w:lang w:val="en-GB"/>
        </w:rPr>
        <w:t>Ledgerwood</w:t>
      </w:r>
      <w:proofErr w:type="spellEnd"/>
      <w:r w:rsidRPr="000E4BE9">
        <w:rPr>
          <w:rFonts w:ascii="Times New Roman" w:eastAsiaTheme="minorEastAsia" w:hAnsi="Times New Roman" w:cs="Times New Roman"/>
          <w:b w:val="0"/>
          <w:bCs w:val="0"/>
          <w:color w:val="000000"/>
          <w:sz w:val="24"/>
          <w:szCs w:val="24"/>
          <w:lang w:val="en-GB"/>
        </w:rPr>
        <w:t xml:space="preserve">, 2013; Yunus &amp; </w:t>
      </w:r>
      <w:proofErr w:type="spellStart"/>
      <w:r w:rsidRPr="000E4BE9">
        <w:rPr>
          <w:rFonts w:ascii="Times New Roman" w:eastAsiaTheme="minorEastAsia" w:hAnsi="Times New Roman" w:cs="Times New Roman"/>
          <w:b w:val="0"/>
          <w:bCs w:val="0"/>
          <w:color w:val="000000"/>
          <w:sz w:val="24"/>
          <w:szCs w:val="24"/>
          <w:lang w:val="en-GB"/>
        </w:rPr>
        <w:t>Moingeon</w:t>
      </w:r>
      <w:proofErr w:type="spellEnd"/>
      <w:r w:rsidRPr="000E4BE9">
        <w:rPr>
          <w:rFonts w:ascii="Times New Roman" w:eastAsiaTheme="minorEastAsia" w:hAnsi="Times New Roman" w:cs="Times New Roman"/>
          <w:b w:val="0"/>
          <w:bCs w:val="0"/>
          <w:color w:val="000000"/>
          <w:sz w:val="24"/>
          <w:szCs w:val="24"/>
          <w:lang w:val="en-GB"/>
        </w:rPr>
        <w:t>, 2010). These indicators help assess enterprise sustainability and alignment with SDG 8 (Decent Work and Economic Growth) and SDG 10 (Reduced Inequalities) (ILO, 2017). Regional variations are also critical to understanding structural impacts—for example, Arusha’s stronger infrastructure and market connectivity can amplify enterprise scalability, while Mara’s rural economic limitations may restrict growth (IFAD, 2020; Scoones, 2015). Moreover, demographic factors—such as gender, age, education, and household composition—affect beneficiaries’ capacity to effectively utilize empowerment funds, with women and youth often facing distinct barriers (</w:t>
      </w:r>
      <w:proofErr w:type="spellStart"/>
      <w:r w:rsidRPr="000E4BE9">
        <w:rPr>
          <w:rFonts w:ascii="Times New Roman" w:eastAsiaTheme="minorEastAsia" w:hAnsi="Times New Roman" w:cs="Times New Roman"/>
          <w:b w:val="0"/>
          <w:bCs w:val="0"/>
          <w:color w:val="000000"/>
          <w:sz w:val="24"/>
          <w:szCs w:val="24"/>
          <w:lang w:val="en-GB"/>
        </w:rPr>
        <w:t>Mayoux</w:t>
      </w:r>
      <w:proofErr w:type="spellEnd"/>
      <w:r w:rsidRPr="000E4BE9">
        <w:rPr>
          <w:rFonts w:ascii="Times New Roman" w:eastAsiaTheme="minorEastAsia" w:hAnsi="Times New Roman" w:cs="Times New Roman"/>
          <w:b w:val="0"/>
          <w:bCs w:val="0"/>
          <w:color w:val="000000"/>
          <w:sz w:val="24"/>
          <w:szCs w:val="24"/>
          <w:lang w:val="en-GB"/>
        </w:rPr>
        <w:t>, 2001; </w:t>
      </w:r>
      <w:proofErr w:type="spellStart"/>
      <w:r w:rsidRPr="000E4BE9">
        <w:rPr>
          <w:rFonts w:ascii="Times New Roman" w:eastAsiaTheme="minorEastAsia" w:hAnsi="Times New Roman" w:cs="Times New Roman"/>
          <w:b w:val="0"/>
          <w:bCs w:val="0"/>
          <w:color w:val="000000"/>
          <w:sz w:val="24"/>
          <w:szCs w:val="24"/>
          <w:lang w:val="en-GB"/>
        </w:rPr>
        <w:t>Demirgüç‑Kunt</w:t>
      </w:r>
      <w:proofErr w:type="spellEnd"/>
      <w:r w:rsidRPr="000E4BE9">
        <w:rPr>
          <w:rFonts w:ascii="Times New Roman" w:eastAsiaTheme="minorEastAsia" w:hAnsi="Times New Roman" w:cs="Times New Roman"/>
          <w:b w:val="0"/>
          <w:bCs w:val="0"/>
          <w:color w:val="000000"/>
          <w:sz w:val="24"/>
          <w:szCs w:val="24"/>
          <w:lang w:val="en-GB"/>
        </w:rPr>
        <w:t xml:space="preserve"> et al., 2020).</w:t>
      </w:r>
    </w:p>
    <w:p w14:paraId="1B834104" w14:textId="1E15B681" w:rsidR="000E4BE9" w:rsidRPr="000E4BE9" w:rsidRDefault="000E4BE9" w:rsidP="00951C25">
      <w:pPr>
        <w:pStyle w:val="Heading1"/>
        <w:spacing w:before="0" w:after="240" w:line="360" w:lineRule="auto"/>
        <w:jc w:val="both"/>
        <w:rPr>
          <w:rFonts w:ascii="Times New Roman" w:eastAsiaTheme="minorEastAsia" w:hAnsi="Times New Roman" w:cs="Times New Roman"/>
          <w:b w:val="0"/>
          <w:bCs w:val="0"/>
          <w:color w:val="000000"/>
          <w:sz w:val="24"/>
          <w:szCs w:val="24"/>
          <w:lang w:val="en-GB"/>
        </w:rPr>
      </w:pPr>
      <w:r w:rsidRPr="000E4BE9">
        <w:rPr>
          <w:rFonts w:ascii="Times New Roman" w:eastAsiaTheme="minorEastAsia" w:hAnsi="Times New Roman" w:cs="Times New Roman"/>
          <w:b w:val="0"/>
          <w:bCs w:val="0"/>
          <w:color w:val="000000"/>
          <w:sz w:val="24"/>
          <w:szCs w:val="24"/>
          <w:lang w:val="en-GB"/>
        </w:rPr>
        <w:t>Tanzania’s pro-poor Economic Empowerment Scheme (EES), operational since 1993, mandates LGAs to allocate 10% of their annual revenues toward interest-free loans for women, youth, and persons with disabilities (URT, 2007; URT, 2019). Despite this, performance evaluations reveal persistent implementation challenges—such as inadequate post-loan support, poor monitoring, and insufficient capacity-building—which undermine the intended impact of these schemes.</w:t>
      </w:r>
    </w:p>
    <w:p w14:paraId="166DA331" w14:textId="69971172" w:rsidR="00E0583D" w:rsidRPr="00872DF2" w:rsidRDefault="000E4BE9" w:rsidP="00951C25">
      <w:pPr>
        <w:pStyle w:val="Heading1"/>
        <w:spacing w:line="360" w:lineRule="auto"/>
        <w:jc w:val="both"/>
        <w:rPr>
          <w:rFonts w:ascii="Times New Roman" w:hAnsi="Times New Roman" w:cs="Times New Roman"/>
          <w:lang w:val="en-GB"/>
        </w:rPr>
      </w:pPr>
      <w:r w:rsidRPr="000E4BE9">
        <w:rPr>
          <w:rFonts w:ascii="Times New Roman" w:eastAsiaTheme="minorEastAsia" w:hAnsi="Times New Roman" w:cs="Times New Roman"/>
          <w:b w:val="0"/>
          <w:bCs w:val="0"/>
          <w:color w:val="000000"/>
          <w:sz w:val="24"/>
          <w:szCs w:val="24"/>
          <w:lang w:val="en-GB"/>
        </w:rPr>
        <w:t xml:space="preserve">While studies of microfinance in Tanzania exist, region-specific analyses of outcomes like profitability, viability, and employment generation from LGA-administered schemes are scarce. This gap is significant given recent findings on the effects of COVID-19 on microenterprise resilience in East Africa. For example, </w:t>
      </w:r>
      <w:proofErr w:type="spellStart"/>
      <w:r w:rsidRPr="000E4BE9">
        <w:rPr>
          <w:rFonts w:ascii="Times New Roman" w:eastAsiaTheme="minorEastAsia" w:hAnsi="Times New Roman" w:cs="Times New Roman"/>
          <w:b w:val="0"/>
          <w:bCs w:val="0"/>
          <w:color w:val="000000"/>
          <w:sz w:val="24"/>
          <w:szCs w:val="24"/>
          <w:lang w:val="en-GB"/>
        </w:rPr>
        <w:t>Zribi</w:t>
      </w:r>
      <w:proofErr w:type="spellEnd"/>
      <w:r w:rsidRPr="000E4BE9">
        <w:rPr>
          <w:rFonts w:ascii="Times New Roman" w:eastAsiaTheme="minorEastAsia" w:hAnsi="Times New Roman" w:cs="Times New Roman"/>
          <w:b w:val="0"/>
          <w:bCs w:val="0"/>
          <w:color w:val="000000"/>
          <w:sz w:val="24"/>
          <w:szCs w:val="24"/>
          <w:lang w:val="en-GB"/>
        </w:rPr>
        <w:t xml:space="preserve"> (2022) observed that African SMEs shifted toward crowdfunding and digital financial services to remain afloat during lockdowns</w:t>
      </w:r>
      <w:r>
        <w:rPr>
          <w:rFonts w:ascii="Times New Roman" w:eastAsiaTheme="minorEastAsia" w:hAnsi="Times New Roman" w:cs="Times New Roman"/>
          <w:b w:val="0"/>
          <w:bCs w:val="0"/>
          <w:color w:val="000000"/>
          <w:sz w:val="24"/>
          <w:szCs w:val="24"/>
          <w:lang w:val="en-GB"/>
        </w:rPr>
        <w:t>,</w:t>
      </w:r>
      <w:r w:rsidRPr="000E4BE9">
        <w:rPr>
          <w:rFonts w:ascii="Times New Roman" w:eastAsiaTheme="minorEastAsia" w:hAnsi="Times New Roman" w:cs="Times New Roman"/>
          <w:b w:val="0"/>
          <w:bCs w:val="0"/>
          <w:color w:val="000000"/>
          <w:sz w:val="24"/>
          <w:szCs w:val="24"/>
          <w:lang w:val="en-GB"/>
        </w:rPr>
        <w:t xml:space="preserve"> while </w:t>
      </w:r>
      <w:proofErr w:type="spellStart"/>
      <w:r w:rsidRPr="000E4BE9">
        <w:rPr>
          <w:rFonts w:ascii="Times New Roman" w:eastAsiaTheme="minorEastAsia" w:hAnsi="Times New Roman" w:cs="Times New Roman"/>
          <w:b w:val="0"/>
          <w:bCs w:val="0"/>
          <w:color w:val="000000"/>
          <w:sz w:val="24"/>
          <w:szCs w:val="24"/>
          <w:lang w:val="en-GB"/>
        </w:rPr>
        <w:t>Engidaw</w:t>
      </w:r>
      <w:proofErr w:type="spellEnd"/>
      <w:r w:rsidRPr="000E4BE9">
        <w:rPr>
          <w:rFonts w:ascii="Times New Roman" w:eastAsiaTheme="minorEastAsia" w:hAnsi="Times New Roman" w:cs="Times New Roman"/>
          <w:b w:val="0"/>
          <w:bCs w:val="0"/>
          <w:color w:val="000000"/>
          <w:sz w:val="24"/>
          <w:szCs w:val="24"/>
          <w:lang w:val="en-GB"/>
        </w:rPr>
        <w:t xml:space="preserve"> (2022) reported that Ethiopian microenterprises adjusted operations and relied on coping mechanisms in response to pandemic-induced disruptions</w:t>
      </w:r>
      <w:r>
        <w:rPr>
          <w:rFonts w:ascii="Times New Roman" w:eastAsiaTheme="minorEastAsia" w:hAnsi="Times New Roman" w:cs="Times New Roman"/>
          <w:b w:val="0"/>
          <w:bCs w:val="0"/>
          <w:color w:val="000000"/>
          <w:sz w:val="24"/>
          <w:szCs w:val="24"/>
          <w:lang w:val="en-GB"/>
        </w:rPr>
        <w:t xml:space="preserve">. </w:t>
      </w:r>
      <w:r w:rsidRPr="000E4BE9">
        <w:rPr>
          <w:rFonts w:ascii="Times New Roman" w:eastAsiaTheme="minorEastAsia" w:hAnsi="Times New Roman" w:cs="Times New Roman"/>
          <w:b w:val="0"/>
          <w:bCs w:val="0"/>
          <w:color w:val="000000"/>
          <w:sz w:val="24"/>
          <w:szCs w:val="24"/>
          <w:lang w:val="en-GB"/>
        </w:rPr>
        <w:t>These regional case studies highlight the importance of adaptive financial models and digital inclusion in building post-crisis MSME resilience.</w:t>
      </w:r>
    </w:p>
    <w:p w14:paraId="0DCC5F43" w14:textId="45A85972" w:rsidR="00E30F50" w:rsidRPr="00872DF2" w:rsidRDefault="000E4BE9" w:rsidP="00872DF2">
      <w:pPr>
        <w:pStyle w:val="Default"/>
        <w:spacing w:line="360" w:lineRule="auto"/>
        <w:ind w:firstLine="450"/>
        <w:jc w:val="both"/>
        <w:rPr>
          <w:rFonts w:ascii="Times New Roman" w:eastAsia="SimSun" w:hAnsi="Times New Roman" w:cs="Times New Roman"/>
          <w:lang w:val="en-GB" w:eastAsia="zh-CN"/>
        </w:rPr>
      </w:pPr>
      <w:r>
        <w:rPr>
          <w:rFonts w:ascii="Times New Roman" w:hAnsi="Times New Roman" w:cs="Times New Roman"/>
          <w:lang w:val="en-GB"/>
        </w:rPr>
        <w:t xml:space="preserve">Based on </w:t>
      </w:r>
      <w:r w:rsidR="00E0583D" w:rsidRPr="00872DF2">
        <w:rPr>
          <w:rFonts w:ascii="Times New Roman" w:hAnsi="Times New Roman" w:cs="Times New Roman"/>
          <w:lang w:val="en-GB"/>
        </w:rPr>
        <w:t xml:space="preserve">this background, this study aims to evaluate the economic performance of enterprises established through Economic Empowerment Schemes in Tanzania, using evidence from the Mara and Arusha regions. By </w:t>
      </w:r>
      <w:proofErr w:type="spellStart"/>
      <w:r w:rsidR="00E0583D" w:rsidRPr="00872DF2">
        <w:rPr>
          <w:rFonts w:ascii="Times New Roman" w:hAnsi="Times New Roman" w:cs="Times New Roman"/>
          <w:lang w:val="en-GB"/>
        </w:rPr>
        <w:t>analyzing</w:t>
      </w:r>
      <w:proofErr w:type="spellEnd"/>
      <w:r w:rsidR="00E0583D" w:rsidRPr="00872DF2">
        <w:rPr>
          <w:rFonts w:ascii="Times New Roman" w:hAnsi="Times New Roman" w:cs="Times New Roman"/>
          <w:lang w:val="en-GB"/>
        </w:rPr>
        <w:t xml:space="preserve"> profitability, viability, business expansion, employment generation, and revenue growth among LGA loan beneficiaries, the study provides </w:t>
      </w:r>
      <w:r w:rsidR="00E0583D" w:rsidRPr="00872DF2">
        <w:rPr>
          <w:rFonts w:ascii="Times New Roman" w:hAnsi="Times New Roman" w:cs="Times New Roman"/>
          <w:lang w:val="en-GB"/>
        </w:rPr>
        <w:lastRenderedPageBreak/>
        <w:t>context-specific insights to guide policy and programming aimed at strengthening the effectiveness of economic empowerment initiatives in advancing inclusive economic development in Tanzania</w:t>
      </w:r>
      <w:r w:rsidR="00AD6D5E" w:rsidRPr="00872DF2">
        <w:rPr>
          <w:rFonts w:ascii="Times New Roman" w:hAnsi="Times New Roman" w:cs="Times New Roman"/>
          <w:lang w:val="en-GB"/>
        </w:rPr>
        <w:t>.</w:t>
      </w:r>
    </w:p>
    <w:p w14:paraId="746F5292" w14:textId="73B5716F" w:rsidR="00C412D6" w:rsidRPr="00872DF2" w:rsidRDefault="00C73B31" w:rsidP="00872DF2">
      <w:pPr>
        <w:pStyle w:val="Heading1"/>
        <w:spacing w:before="0" w:line="360" w:lineRule="auto"/>
        <w:jc w:val="both"/>
        <w:rPr>
          <w:rFonts w:ascii="Times New Roman" w:hAnsi="Times New Roman" w:cs="Times New Roman"/>
          <w:color w:val="auto"/>
          <w:sz w:val="24"/>
          <w:szCs w:val="24"/>
          <w:lang w:val="en-GB" w:eastAsia="zh-CN"/>
        </w:rPr>
      </w:pPr>
      <w:r w:rsidRPr="00872DF2">
        <w:rPr>
          <w:rFonts w:ascii="Times New Roman" w:hAnsi="Times New Roman" w:cs="Times New Roman"/>
          <w:color w:val="auto"/>
          <w:sz w:val="24"/>
          <w:szCs w:val="24"/>
          <w:lang w:val="en-GB" w:eastAsia="zh-CN"/>
        </w:rPr>
        <w:t xml:space="preserve">2. </w:t>
      </w:r>
      <w:r w:rsidR="00C9130A" w:rsidRPr="00872DF2">
        <w:rPr>
          <w:rFonts w:ascii="Times New Roman" w:hAnsi="Times New Roman" w:cs="Times New Roman"/>
          <w:color w:val="auto"/>
          <w:sz w:val="24"/>
          <w:szCs w:val="24"/>
          <w:lang w:val="en-GB" w:eastAsia="zh-CN"/>
        </w:rPr>
        <w:t>Methodology</w:t>
      </w:r>
    </w:p>
    <w:p w14:paraId="6DBFA4F2" w14:textId="4F25DDDF" w:rsidR="005F46A7" w:rsidRPr="00872DF2" w:rsidRDefault="00C73B31" w:rsidP="00872DF2">
      <w:pPr>
        <w:pStyle w:val="Heading2"/>
        <w:spacing w:before="0" w:line="36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rPr>
        <w:t xml:space="preserve">2.1. </w:t>
      </w:r>
      <w:r w:rsidR="00C9130A" w:rsidRPr="00872DF2">
        <w:rPr>
          <w:rFonts w:ascii="Times New Roman" w:hAnsi="Times New Roman" w:cs="Times New Roman"/>
          <w:color w:val="auto"/>
          <w:sz w:val="24"/>
          <w:szCs w:val="24"/>
          <w:lang w:val="en-GB"/>
        </w:rPr>
        <w:t>Description of the Study Area</w:t>
      </w:r>
    </w:p>
    <w:p w14:paraId="22AD8240" w14:textId="01BBEBEB"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This study was conducted in ten Local Government Authorities (LGAs) across Arusha and Mara regions, purposively selected for their active participation in the Economic Empowerment Scheme (EES) and the presence of private pro-poor loan initiatives, allowing comparative analysis under diverse credit support systems.</w:t>
      </w:r>
    </w:p>
    <w:p w14:paraId="14558F85" w14:textId="6709C150"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Arusha Region was chosen for its mix of urban, peri-urban, and rural-pastoralist economies, its role as a hub for tourism and livestock trade, and its proximity to Kenya, which facilitates cross-border enterprise activities. Key locations in Arusha include Arusha City (Lat: 3.39° S, </w:t>
      </w:r>
      <w:proofErr w:type="gramStart"/>
      <w:r w:rsidRPr="00872DF2">
        <w:rPr>
          <w:rFonts w:ascii="Times New Roman" w:eastAsia="SimSun" w:hAnsi="Times New Roman" w:cs="Times New Roman"/>
          <w:bCs/>
          <w:sz w:val="24"/>
          <w:szCs w:val="24"/>
          <w:shd w:val="clear" w:color="auto" w:fill="FFFFFF"/>
          <w:lang w:val="en-GB" w:eastAsia="zh-CN"/>
        </w:rPr>
        <w:t>Long</w:t>
      </w:r>
      <w:proofErr w:type="gramEnd"/>
      <w:r w:rsidRPr="00872DF2">
        <w:rPr>
          <w:rFonts w:ascii="Times New Roman" w:eastAsia="SimSun" w:hAnsi="Times New Roman" w:cs="Times New Roman"/>
          <w:bCs/>
          <w:sz w:val="24"/>
          <w:szCs w:val="24"/>
          <w:shd w:val="clear" w:color="auto" w:fill="FFFFFF"/>
          <w:lang w:val="en-GB" w:eastAsia="zh-CN"/>
        </w:rPr>
        <w:t xml:space="preserve">: 36.68° E, approximately 420 km from Dodoma), </w:t>
      </w:r>
      <w:proofErr w:type="spellStart"/>
      <w:r w:rsidRPr="00872DF2">
        <w:rPr>
          <w:rFonts w:ascii="Times New Roman" w:eastAsia="SimSun" w:hAnsi="Times New Roman" w:cs="Times New Roman"/>
          <w:bCs/>
          <w:sz w:val="24"/>
          <w:szCs w:val="24"/>
          <w:shd w:val="clear" w:color="auto" w:fill="FFFFFF"/>
          <w:lang w:val="en-GB" w:eastAsia="zh-CN"/>
        </w:rPr>
        <w:t>Monduli</w:t>
      </w:r>
      <w:proofErr w:type="spellEnd"/>
      <w:r w:rsidRPr="00872DF2">
        <w:rPr>
          <w:rFonts w:ascii="Times New Roman" w:eastAsia="SimSun" w:hAnsi="Times New Roman" w:cs="Times New Roman"/>
          <w:bCs/>
          <w:sz w:val="24"/>
          <w:szCs w:val="24"/>
          <w:shd w:val="clear" w:color="auto" w:fill="FFFFFF"/>
          <w:lang w:val="en-GB" w:eastAsia="zh-CN"/>
        </w:rPr>
        <w:t xml:space="preserve"> (3.30° S, 36.48° E, around 400 km from Dodoma), </w:t>
      </w:r>
      <w:proofErr w:type="spellStart"/>
      <w:r w:rsidRPr="00872DF2">
        <w:rPr>
          <w:rFonts w:ascii="Times New Roman" w:eastAsia="SimSun" w:hAnsi="Times New Roman" w:cs="Times New Roman"/>
          <w:bCs/>
          <w:sz w:val="24"/>
          <w:szCs w:val="24"/>
          <w:shd w:val="clear" w:color="auto" w:fill="FFFFFF"/>
          <w:lang w:val="en-GB" w:eastAsia="zh-CN"/>
        </w:rPr>
        <w:t>Longido</w:t>
      </w:r>
      <w:proofErr w:type="spellEnd"/>
      <w:r w:rsidRPr="00872DF2">
        <w:rPr>
          <w:rFonts w:ascii="Times New Roman" w:eastAsia="SimSun" w:hAnsi="Times New Roman" w:cs="Times New Roman"/>
          <w:bCs/>
          <w:sz w:val="24"/>
          <w:szCs w:val="24"/>
          <w:shd w:val="clear" w:color="auto" w:fill="FFFFFF"/>
          <w:lang w:val="en-GB" w:eastAsia="zh-CN"/>
        </w:rPr>
        <w:t xml:space="preserve"> (2.72° S, 36.72° E, about 480 km from Dodoma), and Ngorongoro (2.99° S, 35.54° E, approximately 570 km from Dodoma).</w:t>
      </w:r>
    </w:p>
    <w:p w14:paraId="50D834D4" w14:textId="77777777"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Mara Region was selected for its strong agricultural base, including coffee, cotton, and subsistence crops, as well as fisheries and small-scale trade along Lake Victoria, offering a contrasting socio-economic setting to Arusha. Key locations in Mara include </w:t>
      </w:r>
      <w:proofErr w:type="spellStart"/>
      <w:r w:rsidRPr="00872DF2">
        <w:rPr>
          <w:rFonts w:ascii="Times New Roman" w:eastAsia="SimSun" w:hAnsi="Times New Roman" w:cs="Times New Roman"/>
          <w:bCs/>
          <w:sz w:val="24"/>
          <w:szCs w:val="24"/>
          <w:shd w:val="clear" w:color="auto" w:fill="FFFFFF"/>
          <w:lang w:val="en-GB" w:eastAsia="zh-CN"/>
        </w:rPr>
        <w:t>Musoma</w:t>
      </w:r>
      <w:proofErr w:type="spellEnd"/>
      <w:r w:rsidRPr="00872DF2">
        <w:rPr>
          <w:rFonts w:ascii="Times New Roman" w:eastAsia="SimSun" w:hAnsi="Times New Roman" w:cs="Times New Roman"/>
          <w:bCs/>
          <w:sz w:val="24"/>
          <w:szCs w:val="24"/>
          <w:shd w:val="clear" w:color="auto" w:fill="FFFFFF"/>
          <w:lang w:val="en-GB" w:eastAsia="zh-CN"/>
        </w:rPr>
        <w:t xml:space="preserve"> (1.50° S, 33.80° E, approximately 900 km from Dodoma), </w:t>
      </w:r>
      <w:proofErr w:type="spellStart"/>
      <w:r w:rsidRPr="00872DF2">
        <w:rPr>
          <w:rFonts w:ascii="Times New Roman" w:eastAsia="SimSun" w:hAnsi="Times New Roman" w:cs="Times New Roman"/>
          <w:bCs/>
          <w:sz w:val="24"/>
          <w:szCs w:val="24"/>
          <w:shd w:val="clear" w:color="auto" w:fill="FFFFFF"/>
          <w:lang w:val="en-GB" w:eastAsia="zh-CN"/>
        </w:rPr>
        <w:t>Bunda</w:t>
      </w:r>
      <w:proofErr w:type="spellEnd"/>
      <w:r w:rsidRPr="00872DF2">
        <w:rPr>
          <w:rFonts w:ascii="Times New Roman" w:eastAsia="SimSun" w:hAnsi="Times New Roman" w:cs="Times New Roman"/>
          <w:bCs/>
          <w:sz w:val="24"/>
          <w:szCs w:val="24"/>
          <w:shd w:val="clear" w:color="auto" w:fill="FFFFFF"/>
          <w:lang w:val="en-GB" w:eastAsia="zh-CN"/>
        </w:rPr>
        <w:t xml:space="preserve"> (2.00° S, 33.82° E, around 850 km), </w:t>
      </w:r>
      <w:proofErr w:type="spellStart"/>
      <w:r w:rsidRPr="00872DF2">
        <w:rPr>
          <w:rFonts w:ascii="Times New Roman" w:eastAsia="SimSun" w:hAnsi="Times New Roman" w:cs="Times New Roman"/>
          <w:bCs/>
          <w:sz w:val="24"/>
          <w:szCs w:val="24"/>
          <w:shd w:val="clear" w:color="auto" w:fill="FFFFFF"/>
          <w:lang w:val="en-GB" w:eastAsia="zh-CN"/>
        </w:rPr>
        <w:t>Butiama</w:t>
      </w:r>
      <w:proofErr w:type="spellEnd"/>
      <w:r w:rsidRPr="00872DF2">
        <w:rPr>
          <w:rFonts w:ascii="Times New Roman" w:eastAsia="SimSun" w:hAnsi="Times New Roman" w:cs="Times New Roman"/>
          <w:bCs/>
          <w:sz w:val="24"/>
          <w:szCs w:val="24"/>
          <w:shd w:val="clear" w:color="auto" w:fill="FFFFFF"/>
          <w:lang w:val="en-GB" w:eastAsia="zh-CN"/>
        </w:rPr>
        <w:t xml:space="preserve"> (1.76° S, 33.97° E, about 880 km), </w:t>
      </w:r>
      <w:proofErr w:type="spellStart"/>
      <w:r w:rsidRPr="00872DF2">
        <w:rPr>
          <w:rFonts w:ascii="Times New Roman" w:eastAsia="SimSun" w:hAnsi="Times New Roman" w:cs="Times New Roman"/>
          <w:bCs/>
          <w:sz w:val="24"/>
          <w:szCs w:val="24"/>
          <w:shd w:val="clear" w:color="auto" w:fill="FFFFFF"/>
          <w:lang w:val="en-GB" w:eastAsia="zh-CN"/>
        </w:rPr>
        <w:t>Rorya</w:t>
      </w:r>
      <w:proofErr w:type="spellEnd"/>
      <w:r w:rsidRPr="00872DF2">
        <w:rPr>
          <w:rFonts w:ascii="Times New Roman" w:eastAsia="SimSun" w:hAnsi="Times New Roman" w:cs="Times New Roman"/>
          <w:bCs/>
          <w:sz w:val="24"/>
          <w:szCs w:val="24"/>
          <w:shd w:val="clear" w:color="auto" w:fill="FFFFFF"/>
          <w:lang w:val="en-GB" w:eastAsia="zh-CN"/>
        </w:rPr>
        <w:t xml:space="preserve"> (1.15° S, 34.00° E, approximately 950 km), Serengeti (2.00° S, 34.78° E, around 830 km), and </w:t>
      </w:r>
      <w:proofErr w:type="spellStart"/>
      <w:r w:rsidRPr="00872DF2">
        <w:rPr>
          <w:rFonts w:ascii="Times New Roman" w:eastAsia="SimSun" w:hAnsi="Times New Roman" w:cs="Times New Roman"/>
          <w:bCs/>
          <w:sz w:val="24"/>
          <w:szCs w:val="24"/>
          <w:shd w:val="clear" w:color="auto" w:fill="FFFFFF"/>
          <w:lang w:val="en-GB" w:eastAsia="zh-CN"/>
        </w:rPr>
        <w:t>Tarime</w:t>
      </w:r>
      <w:proofErr w:type="spellEnd"/>
      <w:r w:rsidRPr="00872DF2">
        <w:rPr>
          <w:rFonts w:ascii="Times New Roman" w:eastAsia="SimSun" w:hAnsi="Times New Roman" w:cs="Times New Roman"/>
          <w:bCs/>
          <w:sz w:val="24"/>
          <w:szCs w:val="24"/>
          <w:shd w:val="clear" w:color="auto" w:fill="FFFFFF"/>
          <w:lang w:val="en-GB" w:eastAsia="zh-CN"/>
        </w:rPr>
        <w:t xml:space="preserve"> (1.35° S, 34.47° E, about 940 km from Dodoma).</w:t>
      </w:r>
    </w:p>
    <w:p w14:paraId="176FDF40" w14:textId="1F38606F" w:rsidR="00D62B7C"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These regions provide diverse </w:t>
      </w:r>
      <w:proofErr w:type="spellStart"/>
      <w:r w:rsidRPr="00872DF2">
        <w:rPr>
          <w:rFonts w:ascii="Times New Roman" w:eastAsia="SimSun" w:hAnsi="Times New Roman" w:cs="Times New Roman"/>
          <w:bCs/>
          <w:sz w:val="24"/>
          <w:szCs w:val="24"/>
          <w:shd w:val="clear" w:color="auto" w:fill="FFFFFF"/>
          <w:lang w:val="en-GB" w:eastAsia="zh-CN"/>
        </w:rPr>
        <w:t>agro</w:t>
      </w:r>
      <w:proofErr w:type="spellEnd"/>
      <w:r w:rsidRPr="00872DF2">
        <w:rPr>
          <w:rFonts w:ascii="Times New Roman" w:eastAsia="SimSun" w:hAnsi="Times New Roman" w:cs="Times New Roman"/>
          <w:bCs/>
          <w:sz w:val="24"/>
          <w:szCs w:val="24"/>
          <w:shd w:val="clear" w:color="auto" w:fill="FFFFFF"/>
          <w:lang w:val="en-GB" w:eastAsia="zh-CN"/>
        </w:rPr>
        <w:t>-ecological, infrastructural, and livelihood contexts, essential for examining how LGA loans influence enterprise profitability and viability across different environments in Tanzania</w:t>
      </w:r>
      <w:r w:rsidR="003F5DC1" w:rsidRPr="00872DF2">
        <w:rPr>
          <w:rFonts w:ascii="Times New Roman" w:eastAsia="SimSun" w:hAnsi="Times New Roman" w:cs="Times New Roman"/>
          <w:bCs/>
          <w:sz w:val="24"/>
          <w:szCs w:val="24"/>
          <w:shd w:val="clear" w:color="auto" w:fill="FFFFFF"/>
          <w:lang w:val="en-GB" w:eastAsia="zh-CN"/>
        </w:rPr>
        <w:t>.</w:t>
      </w:r>
    </w:p>
    <w:p w14:paraId="39D45B70" w14:textId="2820C57E" w:rsidR="001F6C18" w:rsidRPr="005C371A" w:rsidRDefault="00C73B31" w:rsidP="00872DF2">
      <w:pPr>
        <w:pStyle w:val="Heading2"/>
        <w:spacing w:before="0" w:line="360" w:lineRule="auto"/>
        <w:jc w:val="both"/>
        <w:rPr>
          <w:rFonts w:ascii="Times New Roman" w:hAnsi="Times New Roman" w:cs="Times New Roman"/>
          <w:color w:val="auto"/>
          <w:sz w:val="32"/>
          <w:szCs w:val="32"/>
          <w:shd w:val="clear" w:color="auto" w:fill="FFFFFF"/>
          <w:lang w:val="en-GB" w:eastAsia="zh-CN"/>
        </w:rPr>
      </w:pPr>
      <w:r w:rsidRPr="005C371A">
        <w:rPr>
          <w:rFonts w:ascii="Times New Roman" w:hAnsi="Times New Roman" w:cs="Times New Roman"/>
          <w:color w:val="auto"/>
          <w:sz w:val="32"/>
          <w:szCs w:val="32"/>
          <w:shd w:val="clear" w:color="auto" w:fill="FFFFFF"/>
          <w:lang w:val="en-GB" w:eastAsia="zh-CN"/>
        </w:rPr>
        <w:t xml:space="preserve">2.2. </w:t>
      </w:r>
      <w:r w:rsidR="00563E0C" w:rsidRPr="00563E0C">
        <w:rPr>
          <w:rFonts w:ascii="Times New Roman" w:hAnsi="Times New Roman" w:cs="Times New Roman"/>
          <w:color w:val="auto"/>
          <w:sz w:val="32"/>
          <w:szCs w:val="32"/>
          <w:shd w:val="clear" w:color="auto" w:fill="FFFFFF"/>
          <w:lang w:val="en-GB" w:eastAsia="zh-CN"/>
        </w:rPr>
        <w:t>Sampling Procedures and Sample Size</w:t>
      </w:r>
    </w:p>
    <w:p w14:paraId="4B1401DD" w14:textId="2BE1DE61" w:rsidR="00563E0C" w:rsidRDefault="00563E0C" w:rsidP="00872DF2">
      <w:pPr>
        <w:pStyle w:val="NormalWeb"/>
        <w:spacing w:before="0" w:beforeAutospacing="0" w:after="0" w:line="360" w:lineRule="auto"/>
        <w:jc w:val="both"/>
      </w:pPr>
      <w:r>
        <w:t>This study employed multistage sampling procedures to ensure diversity and proportionality in participant representation across the Arusha and Mara regions</w:t>
      </w:r>
      <w:r w:rsidR="007251E7">
        <w:t xml:space="preserve"> (Table 1)</w:t>
      </w:r>
      <w:r>
        <w:t>.</w:t>
      </w:r>
    </w:p>
    <w:p w14:paraId="5AABCF28" w14:textId="77777777" w:rsidR="00563E0C" w:rsidRDefault="00563E0C" w:rsidP="00872DF2">
      <w:pPr>
        <w:pStyle w:val="NormalWeb"/>
        <w:spacing w:after="0" w:line="360" w:lineRule="auto"/>
        <w:jc w:val="both"/>
      </w:pPr>
      <w:r>
        <w:t xml:space="preserve"> In the first stage, Arusha and Mara regions were purposively selected based on their significant engagement with Local Government Authority (LGA) loan schemes, diverse entrepreneurial </w:t>
      </w:r>
      <w:r>
        <w:lastRenderedPageBreak/>
        <w:t xml:space="preserve">activities, and varied </w:t>
      </w:r>
      <w:proofErr w:type="spellStart"/>
      <w:r>
        <w:t>agro</w:t>
      </w:r>
      <w:proofErr w:type="spellEnd"/>
      <w:r>
        <w:t xml:space="preserve">-ecological characteristics. These criteria ensured the regions would provide rich and relevant data for assessing the profitability and viability of enterprises among LGA loan beneficiaries. </w:t>
      </w:r>
    </w:p>
    <w:p w14:paraId="434FCC94" w14:textId="77777777" w:rsidR="00563E0C" w:rsidRDefault="00563E0C" w:rsidP="00872DF2">
      <w:pPr>
        <w:pStyle w:val="NormalWeb"/>
        <w:spacing w:after="0" w:line="360" w:lineRule="auto"/>
        <w:jc w:val="both"/>
      </w:pPr>
      <w:r>
        <w:t>In the second stage, districts within each region were purposively chosen to capture a range of urban, peri-urban, and rural settings relevant to LGA loan beneficiaries. This step allowed the study to reflect different business environments and socio-economic contexts within each region.</w:t>
      </w:r>
    </w:p>
    <w:p w14:paraId="5596A304" w14:textId="77777777" w:rsidR="007251E7" w:rsidRDefault="00563E0C" w:rsidP="00872DF2">
      <w:pPr>
        <w:pStyle w:val="NormalWeb"/>
        <w:spacing w:after="0" w:line="360" w:lineRule="auto"/>
        <w:jc w:val="both"/>
      </w:pPr>
      <w:r>
        <w:t>The third stage involved proportional stratified sampling within each district, based on administrative wards. This approach ensured fair representation of various economic activities among entrepreneurs while maintaining proportionality in the distribution of the sample.</w:t>
      </w:r>
    </w:p>
    <w:p w14:paraId="22C4B294" w14:textId="626EF415" w:rsidR="00994220" w:rsidRDefault="00563E0C" w:rsidP="00872DF2">
      <w:pPr>
        <w:pStyle w:val="NormalWeb"/>
        <w:spacing w:after="0" w:line="360" w:lineRule="auto"/>
        <w:jc w:val="both"/>
      </w:pPr>
      <w:r>
        <w:t xml:space="preserve"> In the fourth stage, systematic random sampling was applied to select individual participants from lists of LGA loan beneficiaries obtained from district LGA offices. A sampling interval was calculated based on the total number of beneficiaries in each district relative to the allocated district sample to guide the systematic selection of participants.</w:t>
      </w:r>
    </w:p>
    <w:p w14:paraId="47B18357" w14:textId="08FE86D1" w:rsidR="007251E7" w:rsidRDefault="007251E7" w:rsidP="00872DF2">
      <w:pPr>
        <w:pStyle w:val="NormalWeb"/>
        <w:spacing w:after="0" w:line="360" w:lineRule="auto"/>
        <w:jc w:val="both"/>
      </w:pPr>
      <w:r>
        <w:t>Hence, t</w:t>
      </w:r>
      <w:r w:rsidRPr="007251E7">
        <w:t>he sample size was determined using Yamane’s (1967) formula for known populations</w:t>
      </w:r>
      <w:r>
        <w:t xml:space="preserve"> (see Eq. </w:t>
      </w:r>
      <w:r w:rsidR="009E55F1">
        <w:t>1</w:t>
      </w:r>
      <w:r>
        <w:t>)</w:t>
      </w:r>
      <w:r w:rsidRPr="007251E7">
        <w:t>:</w:t>
      </w:r>
    </w:p>
    <w:p w14:paraId="2FA0D201" w14:textId="1BCB2937" w:rsidR="007251E7" w:rsidRPr="00195A8B" w:rsidRDefault="007251E7" w:rsidP="00872DF2">
      <w:pPr>
        <w:pStyle w:val="NormalWeb"/>
        <w:spacing w:after="0" w:line="360" w:lineRule="auto"/>
        <w:jc w:val="both"/>
      </w:pPr>
      <m:oMathPara>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 xml:space="preserve">                                                                             (1)</m:t>
          </m:r>
        </m:oMath>
      </m:oMathPara>
    </w:p>
    <w:p w14:paraId="3EF30BA2" w14:textId="77777777" w:rsidR="00E77EF6" w:rsidRPr="00E77EF6" w:rsidRDefault="00E77EF6" w:rsidP="00872DF2">
      <w:pPr>
        <w:pStyle w:val="NormalWeb"/>
        <w:spacing w:before="0" w:beforeAutospacing="0" w:after="0" w:afterAutospacing="0" w:line="360" w:lineRule="auto"/>
        <w:jc w:val="both"/>
      </w:pPr>
      <w:r w:rsidRPr="00E77EF6">
        <w:t>where:</w:t>
      </w:r>
    </w:p>
    <w:p w14:paraId="0D1219C6" w14:textId="7576196B" w:rsidR="00E77EF6" w:rsidRPr="00E77EF6" w:rsidRDefault="00E77EF6" w:rsidP="00872DF2">
      <w:pPr>
        <w:pStyle w:val="NormalWeb"/>
        <w:numPr>
          <w:ilvl w:val="0"/>
          <w:numId w:val="37"/>
        </w:numPr>
        <w:spacing w:before="0" w:beforeAutospacing="0" w:after="0" w:line="360" w:lineRule="auto"/>
        <w:jc w:val="both"/>
      </w:pPr>
      <w:r w:rsidRPr="00E77EF6">
        <w:rPr>
          <w:i/>
          <w:iCs/>
        </w:rPr>
        <w:t>n</w:t>
      </w:r>
      <w:r w:rsidRPr="00E77EF6">
        <w:t xml:space="preserve"> = sample size</w:t>
      </w:r>
    </w:p>
    <w:p w14:paraId="0A738531" w14:textId="143CA498" w:rsidR="00E77EF6" w:rsidRPr="00E77EF6" w:rsidRDefault="00E77EF6" w:rsidP="00872DF2">
      <w:pPr>
        <w:pStyle w:val="NormalWeb"/>
        <w:numPr>
          <w:ilvl w:val="0"/>
          <w:numId w:val="37"/>
        </w:numPr>
        <w:spacing w:before="0" w:beforeAutospacing="0" w:after="0" w:line="360" w:lineRule="auto"/>
        <w:jc w:val="both"/>
      </w:pPr>
      <w:r w:rsidRPr="00E77EF6">
        <w:rPr>
          <w:i/>
          <w:iCs/>
        </w:rPr>
        <w:t>N</w:t>
      </w:r>
      <w:r w:rsidRPr="00E77EF6">
        <w:t xml:space="preserve"> = population size</w:t>
      </w:r>
    </w:p>
    <w:p w14:paraId="0CC96E7D" w14:textId="01358C5C" w:rsidR="00E77EF6" w:rsidRPr="00E77EF6" w:rsidRDefault="00E77EF6" w:rsidP="00872DF2">
      <w:pPr>
        <w:pStyle w:val="NormalWeb"/>
        <w:numPr>
          <w:ilvl w:val="0"/>
          <w:numId w:val="37"/>
        </w:numPr>
        <w:spacing w:before="0" w:beforeAutospacing="0" w:after="0" w:line="360" w:lineRule="auto"/>
        <w:jc w:val="both"/>
      </w:pPr>
      <w:r w:rsidRPr="00E77EF6">
        <w:rPr>
          <w:i/>
          <w:iCs/>
        </w:rPr>
        <w:t>e</w:t>
      </w:r>
      <w:r w:rsidRPr="00E77EF6">
        <w:t xml:space="preserve"> = margin of error (5%)</w:t>
      </w:r>
    </w:p>
    <w:p w14:paraId="26A0620A" w14:textId="77777777" w:rsidR="00E77EF6" w:rsidRPr="00E77EF6" w:rsidRDefault="00E77EF6" w:rsidP="00872DF2">
      <w:pPr>
        <w:pStyle w:val="NormalWeb"/>
        <w:spacing w:after="0" w:line="360" w:lineRule="auto"/>
        <w:jc w:val="both"/>
      </w:pPr>
      <w:r w:rsidRPr="00E77EF6">
        <w:t xml:space="preserve">This calculation, alongside field realities, yielded a total sample of 495 respondents, strategically distributed across districts as shown in </w:t>
      </w:r>
      <w:r w:rsidRPr="00E77EF6">
        <w:rPr>
          <w:b/>
          <w:bCs/>
        </w:rPr>
        <w:t>Table 1</w:t>
      </w:r>
      <w:r w:rsidRPr="00E77EF6">
        <w:t>.</w:t>
      </w:r>
    </w:p>
    <w:p w14:paraId="5E7AEC6C" w14:textId="77777777" w:rsidR="00711E57" w:rsidRPr="00711E57" w:rsidRDefault="00711E57" w:rsidP="00711E57">
      <w:pPr>
        <w:spacing w:before="100" w:beforeAutospacing="1" w:after="0" w:line="240" w:lineRule="auto"/>
        <w:outlineLvl w:val="2"/>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Table 1: Distribution of the Sample Size</w:t>
      </w:r>
    </w:p>
    <w:tbl>
      <w:tblPr>
        <w:tblStyle w:val="TableGrid2"/>
        <w:tblW w:w="5000" w:type="pct"/>
        <w:tblLook w:val="04A0" w:firstRow="1" w:lastRow="0" w:firstColumn="1" w:lastColumn="0" w:noHBand="0" w:noVBand="1"/>
      </w:tblPr>
      <w:tblGrid>
        <w:gridCol w:w="1836"/>
        <w:gridCol w:w="3910"/>
        <w:gridCol w:w="1568"/>
        <w:gridCol w:w="2262"/>
      </w:tblGrid>
      <w:tr w:rsidR="00711E57" w:rsidRPr="00711E57" w14:paraId="2FF01509" w14:textId="77777777" w:rsidTr="00711E57">
        <w:tc>
          <w:tcPr>
            <w:tcW w:w="938" w:type="pct"/>
            <w:hideMark/>
          </w:tcPr>
          <w:p w14:paraId="2CCCC29A"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Region</w:t>
            </w:r>
          </w:p>
        </w:tc>
        <w:tc>
          <w:tcPr>
            <w:tcW w:w="1998" w:type="pct"/>
            <w:hideMark/>
          </w:tcPr>
          <w:p w14:paraId="46525FD8"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Districts</w:t>
            </w:r>
          </w:p>
        </w:tc>
        <w:tc>
          <w:tcPr>
            <w:tcW w:w="801" w:type="pct"/>
            <w:hideMark/>
          </w:tcPr>
          <w:p w14:paraId="6133A966"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Frequency</w:t>
            </w:r>
          </w:p>
        </w:tc>
        <w:tc>
          <w:tcPr>
            <w:tcW w:w="1156" w:type="pct"/>
            <w:hideMark/>
          </w:tcPr>
          <w:p w14:paraId="15F69648"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Percentage (%)</w:t>
            </w:r>
          </w:p>
        </w:tc>
      </w:tr>
      <w:tr w:rsidR="00711E57" w:rsidRPr="00711E57" w14:paraId="04D97B45" w14:textId="77777777" w:rsidTr="00711E57">
        <w:tc>
          <w:tcPr>
            <w:tcW w:w="938" w:type="pct"/>
            <w:hideMark/>
          </w:tcPr>
          <w:p w14:paraId="2863BBAF"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Arusha</w:t>
            </w:r>
          </w:p>
        </w:tc>
        <w:tc>
          <w:tcPr>
            <w:tcW w:w="1998" w:type="pct"/>
            <w:hideMark/>
          </w:tcPr>
          <w:p w14:paraId="1523F20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Arusha City Council</w:t>
            </w:r>
          </w:p>
        </w:tc>
        <w:tc>
          <w:tcPr>
            <w:tcW w:w="801" w:type="pct"/>
            <w:hideMark/>
          </w:tcPr>
          <w:p w14:paraId="1F07EA81"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113</w:t>
            </w:r>
          </w:p>
        </w:tc>
        <w:tc>
          <w:tcPr>
            <w:tcW w:w="1156" w:type="pct"/>
            <w:hideMark/>
          </w:tcPr>
          <w:p w14:paraId="0DBC1E0C"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32.9</w:t>
            </w:r>
          </w:p>
        </w:tc>
      </w:tr>
      <w:tr w:rsidR="00711E57" w:rsidRPr="00711E57" w14:paraId="711B3113" w14:textId="77777777" w:rsidTr="00711E57">
        <w:tc>
          <w:tcPr>
            <w:tcW w:w="938" w:type="pct"/>
            <w:hideMark/>
          </w:tcPr>
          <w:p w14:paraId="265AAF6E"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0008CCA2"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Longido</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6C9F02C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59</w:t>
            </w:r>
          </w:p>
        </w:tc>
        <w:tc>
          <w:tcPr>
            <w:tcW w:w="1156" w:type="pct"/>
            <w:hideMark/>
          </w:tcPr>
          <w:p w14:paraId="2B3A27F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17.2</w:t>
            </w:r>
          </w:p>
        </w:tc>
      </w:tr>
      <w:tr w:rsidR="00711E57" w:rsidRPr="00711E57" w14:paraId="399815A7" w14:textId="77777777" w:rsidTr="00711E57">
        <w:tc>
          <w:tcPr>
            <w:tcW w:w="938" w:type="pct"/>
            <w:hideMark/>
          </w:tcPr>
          <w:p w14:paraId="3B368EA7"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70B741C"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Monduli</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4D722F0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122</w:t>
            </w:r>
          </w:p>
        </w:tc>
        <w:tc>
          <w:tcPr>
            <w:tcW w:w="1156" w:type="pct"/>
            <w:hideMark/>
          </w:tcPr>
          <w:p w14:paraId="3083567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35.6</w:t>
            </w:r>
          </w:p>
        </w:tc>
      </w:tr>
      <w:tr w:rsidR="00711E57" w:rsidRPr="00711E57" w14:paraId="1DD342A7" w14:textId="77777777" w:rsidTr="00711E57">
        <w:tc>
          <w:tcPr>
            <w:tcW w:w="938" w:type="pct"/>
            <w:hideMark/>
          </w:tcPr>
          <w:p w14:paraId="1A837106"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F93C65A"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Ngorongoro District Council</w:t>
            </w:r>
          </w:p>
        </w:tc>
        <w:tc>
          <w:tcPr>
            <w:tcW w:w="801" w:type="pct"/>
            <w:hideMark/>
          </w:tcPr>
          <w:p w14:paraId="232D3600"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49</w:t>
            </w:r>
          </w:p>
        </w:tc>
        <w:tc>
          <w:tcPr>
            <w:tcW w:w="1156" w:type="pct"/>
            <w:hideMark/>
          </w:tcPr>
          <w:p w14:paraId="187D668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14.3</w:t>
            </w:r>
          </w:p>
        </w:tc>
      </w:tr>
      <w:tr w:rsidR="00711E57" w:rsidRPr="00711E57" w14:paraId="086C0891" w14:textId="77777777" w:rsidTr="00711E57">
        <w:tc>
          <w:tcPr>
            <w:tcW w:w="938" w:type="pct"/>
            <w:hideMark/>
          </w:tcPr>
          <w:p w14:paraId="4CB0D2F0"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Sub-total</w:t>
            </w:r>
          </w:p>
        </w:tc>
        <w:tc>
          <w:tcPr>
            <w:tcW w:w="1998" w:type="pct"/>
            <w:hideMark/>
          </w:tcPr>
          <w:p w14:paraId="36992BF6"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2D384FF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343</w:t>
            </w:r>
          </w:p>
        </w:tc>
        <w:tc>
          <w:tcPr>
            <w:tcW w:w="1156" w:type="pct"/>
            <w:hideMark/>
          </w:tcPr>
          <w:p w14:paraId="64616BA8"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r w:rsidR="00711E57" w:rsidRPr="00711E57" w14:paraId="33948A23" w14:textId="77777777" w:rsidTr="00711E57">
        <w:tc>
          <w:tcPr>
            <w:tcW w:w="938" w:type="pct"/>
            <w:hideMark/>
          </w:tcPr>
          <w:p w14:paraId="339151CF"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Mara</w:t>
            </w:r>
          </w:p>
        </w:tc>
        <w:tc>
          <w:tcPr>
            <w:tcW w:w="1998" w:type="pct"/>
            <w:hideMark/>
          </w:tcPr>
          <w:p w14:paraId="68FC2F57"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Bunda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2DB0FED7"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32</w:t>
            </w:r>
          </w:p>
        </w:tc>
        <w:tc>
          <w:tcPr>
            <w:tcW w:w="1156" w:type="pct"/>
            <w:hideMark/>
          </w:tcPr>
          <w:p w14:paraId="7A2D369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21.1</w:t>
            </w:r>
          </w:p>
        </w:tc>
      </w:tr>
      <w:tr w:rsidR="00711E57" w:rsidRPr="00711E57" w14:paraId="0DFE1184" w14:textId="77777777" w:rsidTr="00711E57">
        <w:tc>
          <w:tcPr>
            <w:tcW w:w="938" w:type="pct"/>
            <w:hideMark/>
          </w:tcPr>
          <w:p w14:paraId="6484329C"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E9678F7"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Butiama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2DAB83F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14</w:t>
            </w:r>
          </w:p>
        </w:tc>
        <w:tc>
          <w:tcPr>
            <w:tcW w:w="1156" w:type="pct"/>
            <w:hideMark/>
          </w:tcPr>
          <w:p w14:paraId="27F21AE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9.2</w:t>
            </w:r>
          </w:p>
        </w:tc>
      </w:tr>
      <w:tr w:rsidR="00711E57" w:rsidRPr="00711E57" w14:paraId="790A919D" w14:textId="77777777" w:rsidTr="00711E57">
        <w:tc>
          <w:tcPr>
            <w:tcW w:w="938" w:type="pct"/>
            <w:hideMark/>
          </w:tcPr>
          <w:p w14:paraId="66F2BE61"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097E8FBE"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Musoma</w:t>
            </w:r>
            <w:proofErr w:type="spellEnd"/>
            <w:r w:rsidRPr="00711E57">
              <w:rPr>
                <w:rFonts w:ascii="Times New Roman" w:eastAsia="Times New Roman" w:hAnsi="Times New Roman" w:cs="Times New Roman"/>
                <w:sz w:val="24"/>
                <w:szCs w:val="24"/>
                <w:lang w:eastAsia="zh-CN"/>
              </w:rPr>
              <w:t xml:space="preserve"> Municipal Council</w:t>
            </w:r>
          </w:p>
        </w:tc>
        <w:tc>
          <w:tcPr>
            <w:tcW w:w="801" w:type="pct"/>
            <w:hideMark/>
          </w:tcPr>
          <w:p w14:paraId="575D333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29</w:t>
            </w:r>
          </w:p>
        </w:tc>
        <w:tc>
          <w:tcPr>
            <w:tcW w:w="1156" w:type="pct"/>
            <w:hideMark/>
          </w:tcPr>
          <w:p w14:paraId="2D82412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19.1</w:t>
            </w:r>
          </w:p>
        </w:tc>
      </w:tr>
      <w:tr w:rsidR="00711E57" w:rsidRPr="00711E57" w14:paraId="21B339F6" w14:textId="77777777" w:rsidTr="00711E57">
        <w:tc>
          <w:tcPr>
            <w:tcW w:w="938" w:type="pct"/>
            <w:hideMark/>
          </w:tcPr>
          <w:p w14:paraId="25813E6E"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6A44C851"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Rorya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6BC5BAC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25</w:t>
            </w:r>
          </w:p>
        </w:tc>
        <w:tc>
          <w:tcPr>
            <w:tcW w:w="1156" w:type="pct"/>
            <w:hideMark/>
          </w:tcPr>
          <w:p w14:paraId="1B9AEE43"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16.4</w:t>
            </w:r>
          </w:p>
        </w:tc>
      </w:tr>
      <w:tr w:rsidR="00711E57" w:rsidRPr="00711E57" w14:paraId="126641B7" w14:textId="77777777" w:rsidTr="00711E57">
        <w:tc>
          <w:tcPr>
            <w:tcW w:w="938" w:type="pct"/>
            <w:hideMark/>
          </w:tcPr>
          <w:p w14:paraId="73C35FFD"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2946740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Serengeti District Council</w:t>
            </w:r>
          </w:p>
        </w:tc>
        <w:tc>
          <w:tcPr>
            <w:tcW w:w="801" w:type="pct"/>
            <w:hideMark/>
          </w:tcPr>
          <w:p w14:paraId="0EDD3763"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36</w:t>
            </w:r>
          </w:p>
        </w:tc>
        <w:tc>
          <w:tcPr>
            <w:tcW w:w="1156" w:type="pct"/>
            <w:hideMark/>
          </w:tcPr>
          <w:p w14:paraId="57A28F7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23.7</w:t>
            </w:r>
          </w:p>
        </w:tc>
      </w:tr>
      <w:tr w:rsidR="00711E57" w:rsidRPr="00711E57" w14:paraId="3C3387E1" w14:textId="77777777" w:rsidTr="00711E57">
        <w:tc>
          <w:tcPr>
            <w:tcW w:w="938" w:type="pct"/>
            <w:hideMark/>
          </w:tcPr>
          <w:p w14:paraId="77F3C485"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5DC7279D"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Tarime</w:t>
            </w:r>
            <w:proofErr w:type="spellEnd"/>
            <w:r w:rsidRPr="00711E57">
              <w:rPr>
                <w:rFonts w:ascii="Times New Roman" w:eastAsia="Times New Roman" w:hAnsi="Times New Roman" w:cs="Times New Roman"/>
                <w:sz w:val="24"/>
                <w:szCs w:val="24"/>
                <w:lang w:eastAsia="zh-CN"/>
              </w:rPr>
              <w:t xml:space="preserve"> Town Council</w:t>
            </w:r>
          </w:p>
        </w:tc>
        <w:tc>
          <w:tcPr>
            <w:tcW w:w="801" w:type="pct"/>
            <w:hideMark/>
          </w:tcPr>
          <w:p w14:paraId="3C47914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16</w:t>
            </w:r>
          </w:p>
        </w:tc>
        <w:tc>
          <w:tcPr>
            <w:tcW w:w="1156" w:type="pct"/>
            <w:hideMark/>
          </w:tcPr>
          <w:p w14:paraId="209CD8B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10.5</w:t>
            </w:r>
          </w:p>
        </w:tc>
      </w:tr>
      <w:tr w:rsidR="00711E57" w:rsidRPr="00711E57" w14:paraId="4C61693E" w14:textId="77777777" w:rsidTr="00711E57">
        <w:tc>
          <w:tcPr>
            <w:tcW w:w="938" w:type="pct"/>
            <w:hideMark/>
          </w:tcPr>
          <w:p w14:paraId="1FF0859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Sub-total</w:t>
            </w:r>
          </w:p>
        </w:tc>
        <w:tc>
          <w:tcPr>
            <w:tcW w:w="1998" w:type="pct"/>
            <w:hideMark/>
          </w:tcPr>
          <w:p w14:paraId="69413323"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0553C4A6"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152</w:t>
            </w:r>
          </w:p>
        </w:tc>
        <w:tc>
          <w:tcPr>
            <w:tcW w:w="1156" w:type="pct"/>
            <w:hideMark/>
          </w:tcPr>
          <w:p w14:paraId="79ABBC3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r w:rsidR="00711E57" w:rsidRPr="00711E57" w14:paraId="405B52DD" w14:textId="77777777" w:rsidTr="00711E57">
        <w:tc>
          <w:tcPr>
            <w:tcW w:w="938" w:type="pct"/>
            <w:hideMark/>
          </w:tcPr>
          <w:p w14:paraId="500F5DBE"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Grand Total</w:t>
            </w:r>
          </w:p>
        </w:tc>
        <w:tc>
          <w:tcPr>
            <w:tcW w:w="1998" w:type="pct"/>
            <w:hideMark/>
          </w:tcPr>
          <w:p w14:paraId="788C2347"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33325228"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495</w:t>
            </w:r>
          </w:p>
        </w:tc>
        <w:tc>
          <w:tcPr>
            <w:tcW w:w="1156" w:type="pct"/>
            <w:hideMark/>
          </w:tcPr>
          <w:p w14:paraId="2C8689A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bl>
    <w:p w14:paraId="4A0F7EC8" w14:textId="0664C629" w:rsidR="00711E57" w:rsidRPr="00563E0C" w:rsidRDefault="00711E57" w:rsidP="009C69CA">
      <w:pPr>
        <w:spacing w:after="100" w:afterAutospacing="1" w:line="240" w:lineRule="auto"/>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Source:</w:t>
      </w:r>
      <w:r w:rsidRPr="00711E57">
        <w:rPr>
          <w:rFonts w:ascii="Times New Roman" w:eastAsia="Times New Roman" w:hAnsi="Times New Roman" w:cs="Times New Roman"/>
          <w:sz w:val="24"/>
          <w:szCs w:val="24"/>
          <w:lang w:eastAsia="zh-CN"/>
        </w:rPr>
        <w:t xml:space="preserve"> Survey field data, 2023</w:t>
      </w:r>
      <w:r w:rsidR="009C69CA">
        <w:rPr>
          <w:rFonts w:ascii="Times New Roman" w:eastAsia="Times New Roman" w:hAnsi="Times New Roman" w:cs="Times New Roman"/>
          <w:sz w:val="24"/>
          <w:szCs w:val="24"/>
          <w:lang w:eastAsia="zh-CN"/>
        </w:rPr>
        <w:t>/2024</w:t>
      </w:r>
    </w:p>
    <w:p w14:paraId="6874F303" w14:textId="4677A56F" w:rsidR="00F978DD" w:rsidRPr="00F978DD" w:rsidRDefault="00F978DD" w:rsidP="00F978DD">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F978DD">
        <w:rPr>
          <w:rFonts w:ascii="Times New Roman" w:eastAsia="SimSun" w:hAnsi="Times New Roman" w:cs="Times New Roman"/>
          <w:b/>
          <w:sz w:val="24"/>
          <w:szCs w:val="24"/>
          <w:shd w:val="clear" w:color="auto" w:fill="FFFFFF"/>
          <w:lang w:val="en-GB" w:eastAsia="zh-CN"/>
        </w:rPr>
        <w:t>2.3. Data Collection</w:t>
      </w:r>
    </w:p>
    <w:p w14:paraId="4ABECBB0" w14:textId="3EE107EF" w:rsidR="00F978DD" w:rsidRDefault="00063922" w:rsidP="003B3386">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063922">
        <w:rPr>
          <w:rFonts w:ascii="Times New Roman" w:eastAsia="SimSun" w:hAnsi="Times New Roman" w:cs="Times New Roman"/>
          <w:bCs/>
          <w:sz w:val="24"/>
          <w:szCs w:val="24"/>
          <w:shd w:val="clear" w:color="auto" w:fill="FFFFFF"/>
          <w:lang w:val="en-GB" w:eastAsia="zh-CN"/>
        </w:rPr>
        <w:t>Data collection was conducted over a three-month cross-sectional period (January</w:t>
      </w:r>
      <w:r>
        <w:rPr>
          <w:rFonts w:ascii="Times New Roman" w:eastAsia="SimSun" w:hAnsi="Times New Roman" w:cs="Times New Roman"/>
          <w:bCs/>
          <w:sz w:val="24"/>
          <w:szCs w:val="24"/>
          <w:shd w:val="clear" w:color="auto" w:fill="FFFFFF"/>
          <w:lang w:val="en-GB" w:eastAsia="zh-CN"/>
        </w:rPr>
        <w:t xml:space="preserve"> 2023</w:t>
      </w:r>
      <w:r w:rsidRPr="00063922">
        <w:rPr>
          <w:rFonts w:ascii="Times New Roman" w:eastAsia="SimSun" w:hAnsi="Times New Roman" w:cs="Times New Roman"/>
          <w:bCs/>
          <w:sz w:val="24"/>
          <w:szCs w:val="24"/>
          <w:shd w:val="clear" w:color="auto" w:fill="FFFFFF"/>
          <w:lang w:val="en-GB" w:eastAsia="zh-CN"/>
        </w:rPr>
        <w:t>–April 202</w:t>
      </w:r>
      <w:r>
        <w:rPr>
          <w:rFonts w:ascii="Times New Roman" w:eastAsia="SimSun" w:hAnsi="Times New Roman" w:cs="Times New Roman"/>
          <w:bCs/>
          <w:sz w:val="24"/>
          <w:szCs w:val="24"/>
          <w:shd w:val="clear" w:color="auto" w:fill="FFFFFF"/>
          <w:lang w:val="en-GB" w:eastAsia="zh-CN"/>
        </w:rPr>
        <w:t>4</w:t>
      </w:r>
      <w:r w:rsidRPr="00063922">
        <w:rPr>
          <w:rFonts w:ascii="Times New Roman" w:eastAsia="SimSun" w:hAnsi="Times New Roman" w:cs="Times New Roman"/>
          <w:bCs/>
          <w:sz w:val="24"/>
          <w:szCs w:val="24"/>
          <w:shd w:val="clear" w:color="auto" w:fill="FFFFFF"/>
          <w:lang w:val="en-GB" w:eastAsia="zh-CN"/>
        </w:rPr>
        <w:t>) using a participatory approach. Pre-tested structured questionnaires, in-depth interviews, focus group discussions, checklists, and consent forms were utilized as data collection tools. Key stakeholders, including District Executive Directors, loan officers, and community development officers, participated in focus group discussions and in-depth interviews to inform the EES component.</w:t>
      </w:r>
    </w:p>
    <w:p w14:paraId="3D81D10C" w14:textId="3AF4CF1C" w:rsidR="008E4E21" w:rsidRPr="008E4E21" w:rsidRDefault="008E4E21" w:rsidP="008E4E21">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8E4E21">
        <w:rPr>
          <w:rFonts w:ascii="Times New Roman" w:eastAsia="SimSun" w:hAnsi="Times New Roman" w:cs="Times New Roman"/>
          <w:b/>
          <w:sz w:val="24"/>
          <w:szCs w:val="24"/>
          <w:shd w:val="clear" w:color="auto" w:fill="FFFFFF"/>
          <w:lang w:val="en-GB" w:eastAsia="zh-CN"/>
        </w:rPr>
        <w:t>2.4. Ethical Considerations</w:t>
      </w:r>
    </w:p>
    <w:p w14:paraId="65037FFB" w14:textId="02EF6E58" w:rsidR="008E4E21" w:rsidRPr="005C371A" w:rsidRDefault="008E4E21" w:rsidP="003B3386">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8E4E21">
        <w:rPr>
          <w:rFonts w:ascii="Times New Roman" w:eastAsia="SimSun" w:hAnsi="Times New Roman" w:cs="Times New Roman"/>
          <w:bCs/>
          <w:sz w:val="24"/>
          <w:szCs w:val="24"/>
          <w:shd w:val="clear" w:color="auto" w:fill="FFFFFF"/>
          <w:lang w:val="en-GB" w:eastAsia="zh-CN"/>
        </w:rPr>
        <w:t>To ensure ethical compliance, clearance was obtained from the Tanzania Commission for Science and Technology, and informed consent was sought from all participants, with interviews conducted privately to ensure confidentiality and impartiality. Data collection was supported by loan officers and community development officers for facilitation, but they were excluded during interviews to avoid bias.</w:t>
      </w:r>
    </w:p>
    <w:p w14:paraId="6F0397E7" w14:textId="3134ABC0" w:rsidR="004F26E5" w:rsidRPr="005C4ABF" w:rsidRDefault="008125B5">
      <w:pPr>
        <w:pStyle w:val="Heading2"/>
        <w:spacing w:before="0" w:line="480" w:lineRule="auto"/>
        <w:jc w:val="both"/>
        <w:rPr>
          <w:rFonts w:ascii="Times New Roman" w:hAnsi="Times New Roman" w:cs="Times New Roman"/>
          <w:color w:val="auto"/>
          <w:sz w:val="24"/>
          <w:szCs w:val="24"/>
          <w:lang w:val="en-GB"/>
        </w:rPr>
      </w:pPr>
      <w:r w:rsidRPr="005C4ABF">
        <w:rPr>
          <w:rFonts w:ascii="Times New Roman" w:hAnsi="Times New Roman" w:cs="Times New Roman"/>
          <w:color w:val="auto"/>
          <w:sz w:val="24"/>
          <w:szCs w:val="24"/>
          <w:lang w:val="en-GB"/>
        </w:rPr>
        <w:t>2.</w:t>
      </w:r>
      <w:r w:rsidR="008E4E21" w:rsidRPr="005C4ABF">
        <w:rPr>
          <w:rFonts w:ascii="Times New Roman" w:hAnsi="Times New Roman" w:cs="Times New Roman"/>
          <w:color w:val="auto"/>
          <w:sz w:val="24"/>
          <w:szCs w:val="24"/>
          <w:lang w:val="en-GB"/>
        </w:rPr>
        <w:t>5</w:t>
      </w:r>
      <w:r w:rsidR="00C73B31" w:rsidRPr="005C4ABF">
        <w:rPr>
          <w:rFonts w:ascii="Times New Roman" w:hAnsi="Times New Roman" w:cs="Times New Roman"/>
          <w:color w:val="auto"/>
          <w:sz w:val="24"/>
          <w:szCs w:val="24"/>
          <w:lang w:val="en-GB"/>
        </w:rPr>
        <w:t xml:space="preserve">. </w:t>
      </w:r>
      <w:r w:rsidR="00BC6367" w:rsidRPr="005C4ABF">
        <w:rPr>
          <w:rFonts w:ascii="Times New Roman" w:hAnsi="Times New Roman" w:cs="Times New Roman"/>
          <w:color w:val="auto"/>
          <w:sz w:val="24"/>
          <w:szCs w:val="24"/>
          <w:lang w:val="en-GB"/>
        </w:rPr>
        <w:t>Data Analysis</w:t>
      </w:r>
      <w:r w:rsidR="004E78D5" w:rsidRPr="005C4ABF">
        <w:rPr>
          <w:rFonts w:ascii="Times New Roman" w:hAnsi="Times New Roman" w:cs="Times New Roman"/>
          <w:color w:val="auto"/>
          <w:sz w:val="24"/>
          <w:szCs w:val="24"/>
          <w:lang w:val="en-GB"/>
        </w:rPr>
        <w:t xml:space="preserve"> Models</w:t>
      </w:r>
    </w:p>
    <w:p w14:paraId="77E76556" w14:textId="667C54F6" w:rsidR="00A737E6" w:rsidRDefault="0000787D">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5C371A">
        <w:rPr>
          <w:rFonts w:ascii="Times New Roman" w:eastAsia="SimSun" w:hAnsi="Times New Roman" w:cs="Times New Roman"/>
          <w:bCs/>
          <w:sz w:val="24"/>
          <w:szCs w:val="24"/>
          <w:shd w:val="clear" w:color="auto" w:fill="FFFFFF"/>
          <w:lang w:val="en-GB" w:eastAsia="zh-CN"/>
        </w:rPr>
        <w:t xml:space="preserve">This study used </w:t>
      </w:r>
      <w:r w:rsidR="008E4E21">
        <w:rPr>
          <w:rFonts w:ascii="Times New Roman" w:eastAsia="SimSun" w:hAnsi="Times New Roman" w:cs="Times New Roman"/>
          <w:bCs/>
          <w:sz w:val="24"/>
          <w:szCs w:val="24"/>
          <w:shd w:val="clear" w:color="auto" w:fill="FFFFFF"/>
          <w:lang w:val="en-GB" w:eastAsia="zh-CN"/>
        </w:rPr>
        <w:t>economic</w:t>
      </w:r>
      <w:r w:rsidRPr="005C371A">
        <w:rPr>
          <w:rFonts w:ascii="Times New Roman" w:eastAsia="SimSun" w:hAnsi="Times New Roman" w:cs="Times New Roman"/>
          <w:bCs/>
          <w:sz w:val="24"/>
          <w:szCs w:val="24"/>
          <w:shd w:val="clear" w:color="auto" w:fill="FFFFFF"/>
          <w:lang w:val="en-GB" w:eastAsia="zh-CN"/>
        </w:rPr>
        <w:t xml:space="preserve"> analysis models together with inferential and descriptive statistics to </w:t>
      </w:r>
      <w:proofErr w:type="spellStart"/>
      <w:r w:rsidRPr="005C371A">
        <w:rPr>
          <w:rFonts w:ascii="Times New Roman" w:eastAsia="SimSun" w:hAnsi="Times New Roman" w:cs="Times New Roman"/>
          <w:bCs/>
          <w:sz w:val="24"/>
          <w:szCs w:val="24"/>
          <w:shd w:val="clear" w:color="auto" w:fill="FFFFFF"/>
          <w:lang w:val="en-GB" w:eastAsia="zh-CN"/>
        </w:rPr>
        <w:t>analyze</w:t>
      </w:r>
      <w:proofErr w:type="spellEnd"/>
      <w:r w:rsidRPr="005C371A">
        <w:rPr>
          <w:rFonts w:ascii="Times New Roman" w:eastAsia="SimSun" w:hAnsi="Times New Roman" w:cs="Times New Roman"/>
          <w:bCs/>
          <w:sz w:val="24"/>
          <w:szCs w:val="24"/>
          <w:shd w:val="clear" w:color="auto" w:fill="FFFFFF"/>
          <w:lang w:val="en-GB" w:eastAsia="zh-CN"/>
        </w:rPr>
        <w:t xml:space="preserve"> data</w:t>
      </w:r>
      <w:r w:rsidR="00520373" w:rsidRPr="005C371A">
        <w:rPr>
          <w:rFonts w:ascii="Times New Roman" w:eastAsia="SimSun" w:hAnsi="Times New Roman" w:cs="Times New Roman"/>
          <w:bCs/>
          <w:sz w:val="24"/>
          <w:szCs w:val="24"/>
          <w:shd w:val="clear" w:color="auto" w:fill="FFFFFF"/>
          <w:lang w:val="en-GB" w:eastAsia="zh-CN"/>
        </w:rPr>
        <w:t>.</w:t>
      </w:r>
      <w:r w:rsidR="008E4E21">
        <w:rPr>
          <w:rFonts w:ascii="Times New Roman" w:eastAsia="SimSun" w:hAnsi="Times New Roman" w:cs="Times New Roman"/>
          <w:bCs/>
          <w:sz w:val="24"/>
          <w:szCs w:val="24"/>
          <w:shd w:val="clear" w:color="auto" w:fill="FFFFFF"/>
          <w:lang w:val="en-GB" w:eastAsia="zh-CN"/>
        </w:rPr>
        <w:t xml:space="preserve"> </w:t>
      </w:r>
      <w:r w:rsidR="008E4E21" w:rsidRPr="008E4E21">
        <w:rPr>
          <w:rFonts w:ascii="Times New Roman" w:eastAsia="SimSun" w:hAnsi="Times New Roman" w:cs="Times New Roman"/>
          <w:bCs/>
          <w:sz w:val="24"/>
          <w:szCs w:val="24"/>
          <w:shd w:val="clear" w:color="auto" w:fill="FFFFFF"/>
          <w:lang w:val="en-GB" w:eastAsia="zh-CN"/>
        </w:rPr>
        <w:t xml:space="preserve">Data were entered and cleaned using </w:t>
      </w:r>
      <w:proofErr w:type="spellStart"/>
      <w:r w:rsidR="008E4E21" w:rsidRPr="008E4E21">
        <w:rPr>
          <w:rFonts w:ascii="Times New Roman" w:eastAsia="SimSun" w:hAnsi="Times New Roman" w:cs="Times New Roman"/>
          <w:bCs/>
          <w:sz w:val="24"/>
          <w:szCs w:val="24"/>
          <w:shd w:val="clear" w:color="auto" w:fill="FFFFFF"/>
          <w:lang w:val="en-GB" w:eastAsia="zh-CN"/>
        </w:rPr>
        <w:t>CSPro</w:t>
      </w:r>
      <w:proofErr w:type="spellEnd"/>
      <w:r w:rsidR="008E4E21" w:rsidRPr="008E4E21">
        <w:rPr>
          <w:rFonts w:ascii="Times New Roman" w:eastAsia="SimSun" w:hAnsi="Times New Roman" w:cs="Times New Roman"/>
          <w:bCs/>
          <w:sz w:val="24"/>
          <w:szCs w:val="24"/>
          <w:shd w:val="clear" w:color="auto" w:fill="FFFFFF"/>
          <w:lang w:val="en-GB" w:eastAsia="zh-CN"/>
        </w:rPr>
        <w:t xml:space="preserve"> and further </w:t>
      </w:r>
      <w:proofErr w:type="spellStart"/>
      <w:r w:rsidR="008E4E21" w:rsidRPr="008E4E21">
        <w:rPr>
          <w:rFonts w:ascii="Times New Roman" w:eastAsia="SimSun" w:hAnsi="Times New Roman" w:cs="Times New Roman"/>
          <w:bCs/>
          <w:sz w:val="24"/>
          <w:szCs w:val="24"/>
          <w:shd w:val="clear" w:color="auto" w:fill="FFFFFF"/>
          <w:lang w:val="en-GB" w:eastAsia="zh-CN"/>
        </w:rPr>
        <w:t>analyzed</w:t>
      </w:r>
      <w:proofErr w:type="spellEnd"/>
      <w:r w:rsidR="008E4E21" w:rsidRPr="008E4E21">
        <w:rPr>
          <w:rFonts w:ascii="Times New Roman" w:eastAsia="SimSun" w:hAnsi="Times New Roman" w:cs="Times New Roman"/>
          <w:bCs/>
          <w:sz w:val="24"/>
          <w:szCs w:val="24"/>
          <w:shd w:val="clear" w:color="auto" w:fill="FFFFFF"/>
          <w:lang w:val="en-GB" w:eastAsia="zh-CN"/>
        </w:rPr>
        <w:t xml:space="preserve"> using </w:t>
      </w:r>
      <w:r w:rsidR="005B4A11">
        <w:rPr>
          <w:rFonts w:ascii="Times New Roman" w:eastAsia="SimSun" w:hAnsi="Times New Roman" w:cs="Times New Roman"/>
          <w:bCs/>
          <w:sz w:val="24"/>
          <w:szCs w:val="24"/>
          <w:shd w:val="clear" w:color="auto" w:fill="FFFFFF"/>
          <w:lang w:val="en-GB" w:eastAsia="zh-CN"/>
        </w:rPr>
        <w:t xml:space="preserve">Stata and </w:t>
      </w:r>
      <w:r w:rsidR="008E4E21" w:rsidRPr="008E4E21">
        <w:rPr>
          <w:rFonts w:ascii="Times New Roman" w:eastAsia="SimSun" w:hAnsi="Times New Roman" w:cs="Times New Roman"/>
          <w:bCs/>
          <w:sz w:val="24"/>
          <w:szCs w:val="24"/>
          <w:shd w:val="clear" w:color="auto" w:fill="FFFFFF"/>
          <w:lang w:val="en-GB" w:eastAsia="zh-CN"/>
        </w:rPr>
        <w:t xml:space="preserve">SPSS for descriptive and inferential statistics. Key indicators for evaluating economic </w:t>
      </w:r>
      <w:r w:rsidR="008E4E21" w:rsidRPr="008E4E21">
        <w:rPr>
          <w:rFonts w:ascii="Times New Roman" w:eastAsia="SimSun" w:hAnsi="Times New Roman" w:cs="Times New Roman"/>
          <w:bCs/>
          <w:sz w:val="24"/>
          <w:szCs w:val="24"/>
          <w:shd w:val="clear" w:color="auto" w:fill="FFFFFF"/>
          <w:lang w:val="en-GB" w:eastAsia="zh-CN"/>
        </w:rPr>
        <w:lastRenderedPageBreak/>
        <w:t xml:space="preserve">performance included profitability, viability, </w:t>
      </w:r>
      <w:bookmarkStart w:id="0" w:name="_Hlk202907568"/>
      <w:r w:rsidR="008E4E21" w:rsidRPr="008E4E21">
        <w:rPr>
          <w:rFonts w:ascii="Times New Roman" w:eastAsia="SimSun" w:hAnsi="Times New Roman" w:cs="Times New Roman"/>
          <w:bCs/>
          <w:sz w:val="24"/>
          <w:szCs w:val="24"/>
          <w:shd w:val="clear" w:color="auto" w:fill="FFFFFF"/>
          <w:lang w:val="en-GB" w:eastAsia="zh-CN"/>
        </w:rPr>
        <w:t>business expansion, revenue growth, and employment generation</w:t>
      </w:r>
      <w:bookmarkEnd w:id="0"/>
      <w:r w:rsidR="008E4E21" w:rsidRPr="008E4E21">
        <w:rPr>
          <w:rFonts w:ascii="Times New Roman" w:eastAsia="SimSun" w:hAnsi="Times New Roman" w:cs="Times New Roman"/>
          <w:bCs/>
          <w:sz w:val="24"/>
          <w:szCs w:val="24"/>
          <w:shd w:val="clear" w:color="auto" w:fill="FFFFFF"/>
          <w:lang w:val="en-GB" w:eastAsia="zh-CN"/>
        </w:rPr>
        <w:t>.</w:t>
      </w:r>
    </w:p>
    <w:p w14:paraId="0CED7E46" w14:textId="0EF7857F" w:rsidR="008E4E21" w:rsidRDefault="005B4A11">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Pr>
          <w:rFonts w:ascii="Times New Roman" w:eastAsia="SimSun" w:hAnsi="Times New Roman" w:cs="Times New Roman"/>
          <w:bCs/>
          <w:sz w:val="24"/>
          <w:szCs w:val="24"/>
          <w:shd w:val="clear" w:color="auto" w:fill="FFFFFF"/>
          <w:lang w:val="en-GB" w:eastAsia="zh-CN"/>
        </w:rPr>
        <w:t>Notably, d</w:t>
      </w:r>
      <w:r w:rsidR="008E4E21">
        <w:rPr>
          <w:rFonts w:ascii="Times New Roman" w:eastAsia="SimSun" w:hAnsi="Times New Roman" w:cs="Times New Roman"/>
          <w:bCs/>
          <w:sz w:val="24"/>
          <w:szCs w:val="24"/>
          <w:shd w:val="clear" w:color="auto" w:fill="FFFFFF"/>
          <w:lang w:val="en-GB" w:eastAsia="zh-CN"/>
        </w:rPr>
        <w:t xml:space="preserve">escriptive analysis was used to analyse the </w:t>
      </w:r>
      <w:r w:rsidR="008E4E21" w:rsidRPr="008E4E21">
        <w:rPr>
          <w:rFonts w:ascii="Times New Roman" w:eastAsia="SimSun" w:hAnsi="Times New Roman" w:cs="Times New Roman"/>
          <w:bCs/>
          <w:sz w:val="24"/>
          <w:szCs w:val="24"/>
          <w:shd w:val="clear" w:color="auto" w:fill="FFFFFF"/>
          <w:lang w:val="en-GB" w:eastAsia="zh-CN"/>
        </w:rPr>
        <w:t>business expansion</w:t>
      </w:r>
      <w:r w:rsidR="008E4E21">
        <w:rPr>
          <w:rFonts w:ascii="Times New Roman" w:eastAsia="SimSun" w:hAnsi="Times New Roman" w:cs="Times New Roman"/>
          <w:bCs/>
          <w:sz w:val="24"/>
          <w:szCs w:val="24"/>
          <w:shd w:val="clear" w:color="auto" w:fill="FFFFFF"/>
          <w:lang w:val="en-GB" w:eastAsia="zh-CN"/>
        </w:rPr>
        <w:t xml:space="preserve"> an</w:t>
      </w:r>
      <w:r w:rsidR="008E4E21" w:rsidRPr="008E4E21">
        <w:rPr>
          <w:rFonts w:ascii="Times New Roman" w:eastAsia="SimSun" w:hAnsi="Times New Roman" w:cs="Times New Roman"/>
          <w:bCs/>
          <w:sz w:val="24"/>
          <w:szCs w:val="24"/>
          <w:shd w:val="clear" w:color="auto" w:fill="FFFFFF"/>
          <w:lang w:val="en-GB" w:eastAsia="zh-CN"/>
        </w:rPr>
        <w:t>d employment generation</w:t>
      </w:r>
      <w:r w:rsidR="008E4E21">
        <w:rPr>
          <w:rFonts w:ascii="Times New Roman" w:eastAsia="SimSun" w:hAnsi="Times New Roman" w:cs="Times New Roman"/>
          <w:bCs/>
          <w:sz w:val="24"/>
          <w:szCs w:val="24"/>
          <w:shd w:val="clear" w:color="auto" w:fill="FFFFFF"/>
          <w:lang w:val="en-GB" w:eastAsia="zh-CN"/>
        </w:rPr>
        <w:t xml:space="preserve">. </w:t>
      </w:r>
      <w:r w:rsidR="003E10B1">
        <w:rPr>
          <w:rFonts w:ascii="Times New Roman" w:eastAsia="SimSun" w:hAnsi="Times New Roman" w:cs="Times New Roman"/>
          <w:bCs/>
          <w:sz w:val="24"/>
          <w:szCs w:val="24"/>
          <w:shd w:val="clear" w:color="auto" w:fill="FFFFFF"/>
          <w:lang w:val="en-GB" w:eastAsia="zh-CN"/>
        </w:rPr>
        <w:t xml:space="preserve">Economic analysis was used to analyse the </w:t>
      </w:r>
      <w:r w:rsidR="003E10B1" w:rsidRPr="003E10B1">
        <w:rPr>
          <w:rFonts w:ascii="Times New Roman" w:eastAsia="SimSun" w:hAnsi="Times New Roman" w:cs="Times New Roman"/>
          <w:bCs/>
          <w:sz w:val="24"/>
          <w:szCs w:val="24"/>
          <w:shd w:val="clear" w:color="auto" w:fill="FFFFFF"/>
          <w:lang w:val="en-GB" w:eastAsia="zh-CN"/>
        </w:rPr>
        <w:t>revenue growth</w:t>
      </w:r>
      <w:r w:rsidR="003E10B1">
        <w:rPr>
          <w:rFonts w:ascii="Times New Roman" w:eastAsia="SimSun" w:hAnsi="Times New Roman" w:cs="Times New Roman"/>
          <w:bCs/>
          <w:sz w:val="24"/>
          <w:szCs w:val="24"/>
          <w:shd w:val="clear" w:color="auto" w:fill="FFFFFF"/>
          <w:lang w:val="en-GB" w:eastAsia="zh-CN"/>
        </w:rPr>
        <w:t>,</w:t>
      </w:r>
      <w:r w:rsidR="003E10B1" w:rsidRPr="003E10B1">
        <w:rPr>
          <w:rFonts w:ascii="Times New Roman" w:eastAsia="SimSun" w:hAnsi="Times New Roman" w:cs="Times New Roman"/>
          <w:bCs/>
          <w:sz w:val="24"/>
          <w:szCs w:val="24"/>
          <w:shd w:val="clear" w:color="auto" w:fill="FFFFFF"/>
          <w:lang w:val="en-GB" w:eastAsia="zh-CN"/>
        </w:rPr>
        <w:t xml:space="preserve"> profitability, </w:t>
      </w:r>
      <w:r w:rsidR="003E10B1">
        <w:rPr>
          <w:rFonts w:ascii="Times New Roman" w:eastAsia="SimSun" w:hAnsi="Times New Roman" w:cs="Times New Roman"/>
          <w:bCs/>
          <w:sz w:val="24"/>
          <w:szCs w:val="24"/>
          <w:shd w:val="clear" w:color="auto" w:fill="FFFFFF"/>
          <w:lang w:val="en-GB" w:eastAsia="zh-CN"/>
        </w:rPr>
        <w:t xml:space="preserve">and </w:t>
      </w:r>
      <w:r w:rsidR="003E10B1" w:rsidRPr="003E10B1">
        <w:rPr>
          <w:rFonts w:ascii="Times New Roman" w:eastAsia="SimSun" w:hAnsi="Times New Roman" w:cs="Times New Roman"/>
          <w:bCs/>
          <w:sz w:val="24"/>
          <w:szCs w:val="24"/>
          <w:shd w:val="clear" w:color="auto" w:fill="FFFFFF"/>
          <w:lang w:val="en-GB" w:eastAsia="zh-CN"/>
        </w:rPr>
        <w:t>viability</w:t>
      </w:r>
      <w:r w:rsidR="009A07F1">
        <w:rPr>
          <w:rFonts w:ascii="Times New Roman" w:eastAsia="SimSun" w:hAnsi="Times New Roman" w:cs="Times New Roman"/>
          <w:bCs/>
          <w:sz w:val="24"/>
          <w:szCs w:val="24"/>
          <w:shd w:val="clear" w:color="auto" w:fill="FFFFFF"/>
          <w:lang w:val="en-GB" w:eastAsia="zh-CN"/>
        </w:rPr>
        <w:t xml:space="preserve"> as stipulated below.</w:t>
      </w:r>
    </w:p>
    <w:p w14:paraId="797D1185" w14:textId="64A1D044" w:rsidR="003E10B1" w:rsidRPr="009A07F1" w:rsidRDefault="003E10B1" w:rsidP="009A07F1">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bookmarkStart w:id="1" w:name="_Hlk202909290"/>
      <w:r w:rsidRPr="009A07F1">
        <w:rPr>
          <w:rFonts w:ascii="Times New Roman" w:eastAsia="SimSun" w:hAnsi="Times New Roman" w:cs="Times New Roman"/>
          <w:b/>
          <w:sz w:val="24"/>
          <w:szCs w:val="24"/>
          <w:shd w:val="clear" w:color="auto" w:fill="FFFFFF"/>
          <w:lang w:val="en-GB" w:eastAsia="zh-CN"/>
        </w:rPr>
        <w:t xml:space="preserve">2.5.1. </w:t>
      </w:r>
      <w:r w:rsidR="00470027" w:rsidRPr="009A07F1">
        <w:rPr>
          <w:rFonts w:ascii="Times New Roman" w:eastAsia="SimSun" w:hAnsi="Times New Roman" w:cs="Times New Roman"/>
          <w:b/>
          <w:sz w:val="24"/>
          <w:szCs w:val="24"/>
          <w:shd w:val="clear" w:color="auto" w:fill="FFFFFF"/>
          <w:lang w:val="en-GB" w:eastAsia="zh-CN"/>
        </w:rPr>
        <w:t xml:space="preserve">Profitability </w:t>
      </w:r>
      <w:r w:rsidR="00470027" w:rsidRPr="00F672E4">
        <w:rPr>
          <w:rFonts w:ascii="Times New Roman" w:eastAsia="SimSun" w:hAnsi="Times New Roman" w:cs="Times New Roman"/>
          <w:b/>
          <w:sz w:val="24"/>
          <w:szCs w:val="24"/>
          <w:shd w:val="clear" w:color="auto" w:fill="FFFFFF"/>
          <w:lang w:val="en-GB" w:eastAsia="zh-CN"/>
        </w:rPr>
        <w:t>Analysis</w:t>
      </w:r>
      <w:r w:rsidR="00F672E4" w:rsidRPr="00F672E4">
        <w:rPr>
          <w:rFonts w:ascii="Times New Roman" w:eastAsia="SimSun" w:hAnsi="Times New Roman" w:cs="Times New Roman"/>
          <w:b/>
          <w:sz w:val="24"/>
          <w:szCs w:val="24"/>
          <w:shd w:val="clear" w:color="auto" w:fill="FFFFFF"/>
          <w:lang w:val="en-GB" w:eastAsia="zh-CN"/>
        </w:rPr>
        <w:t xml:space="preserve"> </w:t>
      </w:r>
      <w:r w:rsidR="009A07F1" w:rsidRPr="009A07F1">
        <w:rPr>
          <w:rFonts w:ascii="Times New Roman" w:eastAsia="SimSun" w:hAnsi="Times New Roman" w:cs="Times New Roman"/>
          <w:b/>
          <w:sz w:val="24"/>
          <w:szCs w:val="24"/>
          <w:shd w:val="clear" w:color="auto" w:fill="FFFFFF"/>
          <w:lang w:val="en-GB" w:eastAsia="zh-CN"/>
        </w:rPr>
        <w:t xml:space="preserve">of Enterprises Established through Economic Empowerment Schemes </w:t>
      </w:r>
    </w:p>
    <w:bookmarkEnd w:id="1"/>
    <w:p w14:paraId="39690A09" w14:textId="4F7DF869" w:rsidR="009A07F1" w:rsidRPr="009A07F1" w:rsidRDefault="0024191A" w:rsidP="009A07F1">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Cs/>
          <w:sz w:val="24"/>
          <w:szCs w:val="24"/>
          <w:shd w:val="clear" w:color="auto" w:fill="FFFFFF"/>
          <w:lang w:val="en-GB" w:eastAsia="zh-CN"/>
        </w:rPr>
        <w:t xml:space="preserve">Profitability was </w:t>
      </w:r>
      <w:proofErr w:type="spellStart"/>
      <w:r w:rsidRPr="0024191A">
        <w:rPr>
          <w:rFonts w:ascii="Times New Roman" w:eastAsia="SimSun" w:hAnsi="Times New Roman" w:cs="Times New Roman"/>
          <w:bCs/>
          <w:sz w:val="24"/>
          <w:szCs w:val="24"/>
          <w:shd w:val="clear" w:color="auto" w:fill="FFFFFF"/>
          <w:lang w:val="en-GB" w:eastAsia="zh-CN"/>
        </w:rPr>
        <w:t>analyzed</w:t>
      </w:r>
      <w:proofErr w:type="spellEnd"/>
      <w:r w:rsidRPr="0024191A">
        <w:rPr>
          <w:rFonts w:ascii="Times New Roman" w:eastAsia="SimSun" w:hAnsi="Times New Roman" w:cs="Times New Roman"/>
          <w:bCs/>
          <w:sz w:val="24"/>
          <w:szCs w:val="24"/>
          <w:shd w:val="clear" w:color="auto" w:fill="FFFFFF"/>
          <w:lang w:val="en-GB" w:eastAsia="zh-CN"/>
        </w:rPr>
        <w:t xml:space="preserve"> using Net Profit Margin (NPM) and Return on Investment (ROI) to assess the financial health, operational efficiency, and investment effectiveness of the enterprises supported under Economic Empowerment Schemes</w:t>
      </w:r>
      <w:r w:rsidR="009A07F1" w:rsidRPr="009A07F1">
        <w:rPr>
          <w:rFonts w:ascii="Times New Roman" w:eastAsia="SimSun" w:hAnsi="Times New Roman" w:cs="Times New Roman"/>
          <w:bCs/>
          <w:sz w:val="24"/>
          <w:szCs w:val="24"/>
          <w:shd w:val="clear" w:color="auto" w:fill="FFFFFF"/>
          <w:lang w:val="en-GB" w:eastAsia="zh-CN"/>
        </w:rPr>
        <w:t>.</w:t>
      </w:r>
    </w:p>
    <w:p w14:paraId="6289BA9E" w14:textId="11FBD8A3" w:rsidR="009A07F1" w:rsidRDefault="0024191A"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
          <w:sz w:val="24"/>
          <w:szCs w:val="24"/>
          <w:shd w:val="clear" w:color="auto" w:fill="FFFFFF"/>
          <w:lang w:val="en-GB" w:eastAsia="zh-CN"/>
        </w:rPr>
        <w:t>Net Profit Margin (NPM)</w:t>
      </w:r>
      <w:r w:rsidR="009A07F1" w:rsidRPr="009A07F1">
        <w:rPr>
          <w:rFonts w:ascii="Times New Roman" w:eastAsia="SimSun" w:hAnsi="Times New Roman" w:cs="Times New Roman"/>
          <w:bCs/>
          <w:sz w:val="24"/>
          <w:szCs w:val="24"/>
          <w:shd w:val="clear" w:color="auto" w:fill="FFFFFF"/>
          <w:lang w:val="en-GB" w:eastAsia="zh-CN"/>
        </w:rPr>
        <w:t>:</w:t>
      </w:r>
    </w:p>
    <w:p w14:paraId="0ADA1FF1" w14:textId="7235EE40" w:rsidR="0024191A" w:rsidRDefault="0024191A"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Cs/>
          <w:sz w:val="24"/>
          <w:szCs w:val="24"/>
          <w:shd w:val="clear" w:color="auto" w:fill="FFFFFF"/>
          <w:lang w:val="en-GB" w:eastAsia="zh-CN"/>
        </w:rPr>
        <w:t>The Net Profit Margin (NPM) evaluates the proportion of revenue that remains as profit after accounting for all costs, indicating the enterprise’s efficiency in managing both variable and fixed costs</w:t>
      </w:r>
      <w:r w:rsidR="00B60F84">
        <w:rPr>
          <w:rFonts w:ascii="Times New Roman" w:eastAsia="SimSun" w:hAnsi="Times New Roman" w:cs="Times New Roman"/>
          <w:bCs/>
          <w:sz w:val="24"/>
          <w:szCs w:val="24"/>
          <w:shd w:val="clear" w:color="auto" w:fill="FFFFFF"/>
          <w:lang w:val="en-GB" w:eastAsia="zh-CN"/>
        </w:rPr>
        <w:t xml:space="preserve"> (see Eq.</w:t>
      </w:r>
      <w:r w:rsidR="00253AAB">
        <w:rPr>
          <w:rFonts w:ascii="Times New Roman" w:eastAsia="SimSun" w:hAnsi="Times New Roman" w:cs="Times New Roman"/>
          <w:bCs/>
          <w:sz w:val="24"/>
          <w:szCs w:val="24"/>
          <w:shd w:val="clear" w:color="auto" w:fill="FFFFFF"/>
          <w:lang w:val="en-GB" w:eastAsia="zh-CN"/>
        </w:rPr>
        <w:t>2</w:t>
      </w:r>
      <w:r w:rsidR="00B60F84">
        <w:rPr>
          <w:rFonts w:ascii="Times New Roman" w:eastAsia="SimSun" w:hAnsi="Times New Roman" w:cs="Times New Roman"/>
          <w:bCs/>
          <w:sz w:val="24"/>
          <w:szCs w:val="24"/>
          <w:shd w:val="clear" w:color="auto" w:fill="FFFFFF"/>
          <w:lang w:val="en-GB" w:eastAsia="zh-CN"/>
        </w:rPr>
        <w:t>)</w:t>
      </w:r>
      <w:r w:rsidRPr="0024191A">
        <w:rPr>
          <w:rFonts w:ascii="Times New Roman" w:eastAsia="SimSun" w:hAnsi="Times New Roman" w:cs="Times New Roman"/>
          <w:bCs/>
          <w:sz w:val="24"/>
          <w:szCs w:val="24"/>
          <w:shd w:val="clear" w:color="auto" w:fill="FFFFFF"/>
          <w:lang w:val="en-GB" w:eastAsia="zh-CN"/>
        </w:rPr>
        <w:t>.</w:t>
      </w:r>
    </w:p>
    <w:p w14:paraId="3A779510" w14:textId="705F2D6E" w:rsidR="0024191A" w:rsidRPr="00B60F84" w:rsidRDefault="00B60F84"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m:oMathPara>
        <m:oMath>
          <m:r>
            <w:rPr>
              <w:rFonts w:ascii="Cambria Math" w:eastAsia="SimSun" w:hAnsi="Cambria Math" w:cs="Times New Roman"/>
              <w:sz w:val="24"/>
              <w:szCs w:val="24"/>
              <w:shd w:val="clear" w:color="auto" w:fill="FFFFFF"/>
              <w:lang w:val="en-GB" w:eastAsia="zh-CN"/>
            </w:rPr>
            <m:t>NPM=TR-TC                                                                            (2)</m:t>
          </m:r>
        </m:oMath>
      </m:oMathPara>
    </w:p>
    <w:p w14:paraId="3D8CF733" w14:textId="77777777" w:rsidR="00B60F84" w:rsidRPr="00B60F84" w:rsidRDefault="00B60F8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where:</w:t>
      </w:r>
    </w:p>
    <w:p w14:paraId="63F42A01" w14:textId="27F2FC01" w:rsidR="00B60F84" w:rsidRP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NPM = Net Profit Margin (TZS)</w:t>
      </w:r>
    </w:p>
    <w:p w14:paraId="28FC5755" w14:textId="23C53C0B" w:rsidR="00B60F84" w:rsidRP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TR = Total Revenue (TZS), representing the total monetary value of goods and services sold by the enterprise within the analysis period.</w:t>
      </w:r>
    </w:p>
    <w:p w14:paraId="582D3F49" w14:textId="6921E7B3" w:rsid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TC = Total Costs (TZS), which include both total variable costs (e.g., raw materials, direct labor) and total fixed costs (e.g., rent, depreciation).</w:t>
      </w:r>
    </w:p>
    <w:p w14:paraId="0DDEB259" w14:textId="15AA6CC4" w:rsidR="00B60F84" w:rsidRDefault="00BC031A" w:rsidP="00B60F84">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eastAsia="zh-CN"/>
        </w:rPr>
      </w:pPr>
      <w:r w:rsidRPr="00BC031A">
        <w:rPr>
          <w:rFonts w:ascii="Times New Roman" w:eastAsia="SimSun" w:hAnsi="Times New Roman" w:cs="Times New Roman"/>
          <w:b/>
          <w:sz w:val="24"/>
          <w:szCs w:val="24"/>
          <w:shd w:val="clear" w:color="auto" w:fill="FFFFFF"/>
          <w:lang w:eastAsia="zh-CN"/>
        </w:rPr>
        <w:t>Return on Investment (ROI)</w:t>
      </w:r>
      <w:r w:rsidR="00B60F84" w:rsidRPr="00BC031A">
        <w:rPr>
          <w:rFonts w:ascii="Times New Roman" w:eastAsia="SimSun" w:hAnsi="Times New Roman" w:cs="Times New Roman"/>
          <w:b/>
          <w:sz w:val="24"/>
          <w:szCs w:val="24"/>
          <w:shd w:val="clear" w:color="auto" w:fill="FFFFFF"/>
          <w:lang w:eastAsia="zh-CN"/>
        </w:rPr>
        <w:t>:</w:t>
      </w:r>
    </w:p>
    <w:p w14:paraId="4D30A9E5" w14:textId="69B646A2" w:rsidR="00B60F84" w:rsidRDefault="00BC031A"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C031A">
        <w:rPr>
          <w:rFonts w:ascii="Times New Roman" w:eastAsia="SimSun" w:hAnsi="Times New Roman" w:cs="Times New Roman"/>
          <w:bCs/>
          <w:sz w:val="24"/>
          <w:szCs w:val="24"/>
          <w:shd w:val="clear" w:color="auto" w:fill="FFFFFF"/>
          <w:lang w:eastAsia="zh-CN"/>
        </w:rPr>
        <w:lastRenderedPageBreak/>
        <w:t>Return on Investment (ROI) measures the efficiency and profitability of an investment by comparing net profit to the total cost incurred, reflecting the returns gained per unit of investment</w:t>
      </w:r>
      <w:r w:rsidR="00F672E4">
        <w:rPr>
          <w:rFonts w:ascii="Times New Roman" w:eastAsia="SimSun" w:hAnsi="Times New Roman" w:cs="Times New Roman"/>
          <w:bCs/>
          <w:sz w:val="24"/>
          <w:szCs w:val="24"/>
          <w:shd w:val="clear" w:color="auto" w:fill="FFFFFF"/>
          <w:lang w:eastAsia="zh-CN"/>
        </w:rPr>
        <w:t xml:space="preserve"> (see Eq.</w:t>
      </w:r>
      <w:r w:rsidR="00253AAB">
        <w:rPr>
          <w:rFonts w:ascii="Times New Roman" w:eastAsia="SimSun" w:hAnsi="Times New Roman" w:cs="Times New Roman"/>
          <w:bCs/>
          <w:sz w:val="24"/>
          <w:szCs w:val="24"/>
          <w:shd w:val="clear" w:color="auto" w:fill="FFFFFF"/>
          <w:lang w:eastAsia="zh-CN"/>
        </w:rPr>
        <w:t>3</w:t>
      </w:r>
      <w:r w:rsidR="00F672E4">
        <w:rPr>
          <w:rFonts w:ascii="Times New Roman" w:eastAsia="SimSun" w:hAnsi="Times New Roman" w:cs="Times New Roman"/>
          <w:bCs/>
          <w:sz w:val="24"/>
          <w:szCs w:val="24"/>
          <w:shd w:val="clear" w:color="auto" w:fill="FFFFFF"/>
          <w:lang w:eastAsia="zh-CN"/>
        </w:rPr>
        <w:t>)</w:t>
      </w:r>
    </w:p>
    <w:p w14:paraId="7E69EF82" w14:textId="052703BA" w:rsidR="00B60F8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m:t>ROI=</m:t>
          </m:r>
          <m:d>
            <m:dPr>
              <m:ctrlPr>
                <w:rPr>
                  <w:rFonts w:ascii="Cambria Math" w:eastAsia="SimSun" w:hAnsi="Cambria Math" w:cs="Times New Roman"/>
                  <w:bCs/>
                  <w:i/>
                  <w:sz w:val="24"/>
                  <w:szCs w:val="24"/>
                  <w:shd w:val="clear" w:color="auto" w:fill="FFFFFF"/>
                  <w:lang w:eastAsia="zh-CN"/>
                </w:rPr>
              </m:ctrlPr>
            </m:dPr>
            <m:e>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NPM</m:t>
                  </m:r>
                </m:num>
                <m:den>
                  <m:r>
                    <w:rPr>
                      <w:rFonts w:ascii="Cambria Math" w:eastAsia="SimSun" w:hAnsi="Cambria Math" w:cs="Times New Roman"/>
                      <w:sz w:val="24"/>
                      <w:szCs w:val="24"/>
                      <w:shd w:val="clear" w:color="auto" w:fill="FFFFFF"/>
                      <w:lang w:eastAsia="zh-CN"/>
                    </w:rPr>
                    <m:t>TC</m:t>
                  </m:r>
                </m:den>
              </m:f>
            </m:e>
          </m:d>
          <m:r>
            <w:rPr>
              <w:rFonts w:ascii="Cambria Math" w:eastAsia="SimSun" w:hAnsi="Cambria Math" w:cs="Times New Roman"/>
              <w:sz w:val="24"/>
              <w:szCs w:val="24"/>
              <w:shd w:val="clear" w:color="auto" w:fill="FFFFFF"/>
              <w:lang w:eastAsia="zh-CN"/>
            </w:rPr>
            <m:t>×100%                                                                         (3)</m:t>
          </m:r>
        </m:oMath>
      </m:oMathPara>
    </w:p>
    <w:p w14:paraId="2416648D" w14:textId="77777777" w:rsidR="00F672E4" w:rsidRP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where:</w:t>
      </w:r>
    </w:p>
    <w:p w14:paraId="0A1C3CC8" w14:textId="0AED2812"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ROI = Return on Investment (%)</w:t>
      </w:r>
    </w:p>
    <w:p w14:paraId="78548A09" w14:textId="28BFEF7C"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NP</w:t>
      </w:r>
      <w:r>
        <w:rPr>
          <w:rFonts w:ascii="Times New Roman" w:eastAsia="SimSun" w:hAnsi="Times New Roman" w:cs="Times New Roman"/>
          <w:bCs/>
          <w:sz w:val="24"/>
          <w:szCs w:val="24"/>
          <w:shd w:val="clear" w:color="auto" w:fill="FFFFFF"/>
          <w:lang w:eastAsia="zh-CN"/>
        </w:rPr>
        <w:t>M</w:t>
      </w:r>
      <w:r w:rsidRPr="00F672E4">
        <w:rPr>
          <w:rFonts w:ascii="Times New Roman" w:eastAsia="SimSun" w:hAnsi="Times New Roman" w:cs="Times New Roman"/>
          <w:bCs/>
          <w:sz w:val="24"/>
          <w:szCs w:val="24"/>
          <w:shd w:val="clear" w:color="auto" w:fill="FFFFFF"/>
          <w:lang w:eastAsia="zh-CN"/>
        </w:rPr>
        <w:t xml:space="preserve"> = Net Profit Margin (TZS)</w:t>
      </w:r>
    </w:p>
    <w:p w14:paraId="5E40831D" w14:textId="7E07C71E"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TC = Total Costs (TZS)</w:t>
      </w:r>
    </w:p>
    <w:p w14:paraId="6BF2D583" w14:textId="77777777" w:rsid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 xml:space="preserve">A </w:t>
      </w:r>
      <w:r w:rsidRPr="00F672E4">
        <w:rPr>
          <w:rFonts w:ascii="Times New Roman" w:eastAsia="SimSun" w:hAnsi="Times New Roman" w:cs="Times New Roman"/>
          <w:b/>
          <w:bCs/>
          <w:sz w:val="24"/>
          <w:szCs w:val="24"/>
          <w:shd w:val="clear" w:color="auto" w:fill="FFFFFF"/>
          <w:lang w:eastAsia="zh-CN"/>
        </w:rPr>
        <w:t>higher ROI</w:t>
      </w:r>
      <w:r w:rsidRPr="00F672E4">
        <w:rPr>
          <w:rFonts w:ascii="Times New Roman" w:eastAsia="SimSun" w:hAnsi="Times New Roman" w:cs="Times New Roman"/>
          <w:bCs/>
          <w:sz w:val="24"/>
          <w:szCs w:val="24"/>
          <w:shd w:val="clear" w:color="auto" w:fill="FFFFFF"/>
          <w:lang w:eastAsia="zh-CN"/>
        </w:rPr>
        <w:t xml:space="preserve"> indicates better investment efficiency and enterprise profitability, demonstrating the potential for the business to generate sufficient returns over the investment period.</w:t>
      </w:r>
    </w:p>
    <w:p w14:paraId="6DBE88E3" w14:textId="7725AA0A" w:rsidR="00F672E4" w:rsidRPr="009A07F1" w:rsidRDefault="00F672E4" w:rsidP="00F672E4">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9A07F1">
        <w:rPr>
          <w:rFonts w:ascii="Times New Roman" w:eastAsia="SimSun" w:hAnsi="Times New Roman" w:cs="Times New Roman"/>
          <w:b/>
          <w:sz w:val="24"/>
          <w:szCs w:val="24"/>
          <w:shd w:val="clear" w:color="auto" w:fill="FFFFFF"/>
          <w:lang w:val="en-GB" w:eastAsia="zh-CN"/>
        </w:rPr>
        <w:t>2.5.</w:t>
      </w:r>
      <w:r>
        <w:rPr>
          <w:rFonts w:ascii="Times New Roman" w:eastAsia="SimSun" w:hAnsi="Times New Roman" w:cs="Times New Roman"/>
          <w:b/>
          <w:sz w:val="24"/>
          <w:szCs w:val="24"/>
          <w:shd w:val="clear" w:color="auto" w:fill="FFFFFF"/>
          <w:lang w:val="en-GB" w:eastAsia="zh-CN"/>
        </w:rPr>
        <w:t>2</w:t>
      </w:r>
      <w:r w:rsidRPr="009A07F1">
        <w:rPr>
          <w:rFonts w:ascii="Times New Roman" w:eastAsia="SimSun" w:hAnsi="Times New Roman" w:cs="Times New Roman"/>
          <w:b/>
          <w:sz w:val="24"/>
          <w:szCs w:val="24"/>
          <w:shd w:val="clear" w:color="auto" w:fill="FFFFFF"/>
          <w:lang w:val="en-GB" w:eastAsia="zh-CN"/>
        </w:rPr>
        <w:t xml:space="preserve">. </w:t>
      </w:r>
      <w:r w:rsidRPr="00F672E4">
        <w:rPr>
          <w:rFonts w:ascii="Times New Roman" w:eastAsia="SimSun" w:hAnsi="Times New Roman" w:cs="Times New Roman"/>
          <w:b/>
          <w:sz w:val="24"/>
          <w:szCs w:val="24"/>
          <w:shd w:val="clear" w:color="auto" w:fill="FFFFFF"/>
          <w:lang w:val="en-GB" w:eastAsia="zh-CN"/>
        </w:rPr>
        <w:t>Viability Analysis</w:t>
      </w:r>
      <w:r>
        <w:rPr>
          <w:rFonts w:ascii="Times New Roman" w:eastAsia="SimSun" w:hAnsi="Times New Roman" w:cs="Times New Roman"/>
          <w:b/>
          <w:sz w:val="24"/>
          <w:szCs w:val="24"/>
          <w:shd w:val="clear" w:color="auto" w:fill="FFFFFF"/>
          <w:lang w:val="en-GB" w:eastAsia="zh-CN"/>
        </w:rPr>
        <w:t xml:space="preserve"> </w:t>
      </w:r>
      <w:r w:rsidRPr="009A07F1">
        <w:rPr>
          <w:rFonts w:ascii="Times New Roman" w:eastAsia="SimSun" w:hAnsi="Times New Roman" w:cs="Times New Roman"/>
          <w:b/>
          <w:sz w:val="24"/>
          <w:szCs w:val="24"/>
          <w:shd w:val="clear" w:color="auto" w:fill="FFFFFF"/>
          <w:lang w:val="en-GB" w:eastAsia="zh-CN"/>
        </w:rPr>
        <w:t>of Enterprises Established through Economic Empowerment Schemes</w:t>
      </w:r>
    </w:p>
    <w:p w14:paraId="475DBCD1" w14:textId="24EFCD3F" w:rsidR="00B60F8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Viability was assessed using the Benefit-Cost Ratio (BCR), which quantifies the economic worthiness of an enterprise by comparing the present value of benefits to the present value of costs</w:t>
      </w:r>
      <w:r>
        <w:rPr>
          <w:rFonts w:ascii="Times New Roman" w:eastAsia="SimSun" w:hAnsi="Times New Roman" w:cs="Times New Roman"/>
          <w:bCs/>
          <w:sz w:val="24"/>
          <w:szCs w:val="24"/>
          <w:shd w:val="clear" w:color="auto" w:fill="FFFFFF"/>
          <w:lang w:eastAsia="zh-CN"/>
        </w:rPr>
        <w:t xml:space="preserve"> (see Eq. </w:t>
      </w:r>
      <w:r w:rsidR="00253AAB">
        <w:rPr>
          <w:rFonts w:ascii="Times New Roman" w:eastAsia="SimSun" w:hAnsi="Times New Roman" w:cs="Times New Roman"/>
          <w:bCs/>
          <w:sz w:val="24"/>
          <w:szCs w:val="24"/>
          <w:shd w:val="clear" w:color="auto" w:fill="FFFFFF"/>
          <w:lang w:eastAsia="zh-CN"/>
        </w:rPr>
        <w:t>4</w:t>
      </w:r>
      <w:r>
        <w:rPr>
          <w:rFonts w:ascii="Times New Roman" w:eastAsia="SimSun" w:hAnsi="Times New Roman" w:cs="Times New Roman"/>
          <w:bCs/>
          <w:sz w:val="24"/>
          <w:szCs w:val="24"/>
          <w:shd w:val="clear" w:color="auto" w:fill="FFFFFF"/>
          <w:lang w:eastAsia="zh-CN"/>
        </w:rPr>
        <w:t>)</w:t>
      </w:r>
      <w:r w:rsidRPr="00F672E4">
        <w:rPr>
          <w:rFonts w:ascii="Times New Roman" w:eastAsia="SimSun" w:hAnsi="Times New Roman" w:cs="Times New Roman"/>
          <w:bCs/>
          <w:sz w:val="24"/>
          <w:szCs w:val="24"/>
          <w:shd w:val="clear" w:color="auto" w:fill="FFFFFF"/>
          <w:lang w:eastAsia="zh-CN"/>
        </w:rPr>
        <w:t>.</w:t>
      </w:r>
    </w:p>
    <w:p w14:paraId="74718A9A" w14:textId="05459AEF"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m:t>BCR=</m:t>
          </m:r>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PV(B)</m:t>
              </m:r>
            </m:num>
            <m:den>
              <m:r>
                <w:rPr>
                  <w:rFonts w:ascii="Cambria Math" w:eastAsia="SimSun" w:hAnsi="Cambria Math" w:cs="Times New Roman"/>
                  <w:sz w:val="24"/>
                  <w:szCs w:val="24"/>
                  <w:shd w:val="clear" w:color="auto" w:fill="FFFFFF"/>
                  <w:lang w:eastAsia="zh-CN"/>
                </w:rPr>
                <m:t>PV(C)</m:t>
              </m:r>
            </m:den>
          </m:f>
          <m:r>
            <w:rPr>
              <w:rFonts w:ascii="Cambria Math" w:eastAsia="SimSun" w:hAnsi="Cambria Math" w:cs="Times New Roman"/>
              <w:sz w:val="24"/>
              <w:szCs w:val="24"/>
              <w:shd w:val="clear" w:color="auto" w:fill="FFFFFF"/>
              <w:lang w:eastAsia="zh-CN"/>
            </w:rPr>
            <m:t xml:space="preserve">                                                                                      (4)</m:t>
          </m:r>
        </m:oMath>
      </m:oMathPara>
    </w:p>
    <w:p w14:paraId="39338E13" w14:textId="77777777" w:rsidR="00F672E4" w:rsidRP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where:</w:t>
      </w:r>
    </w:p>
    <w:p w14:paraId="09DE3A5C" w14:textId="620F711C" w:rsidR="00F672E4" w:rsidRPr="00F672E4" w:rsidRDefault="00F672E4" w:rsidP="00F672E4">
      <w:pPr>
        <w:numPr>
          <w:ilvl w:val="0"/>
          <w:numId w:val="18"/>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PV(B) = Present Value of Benefits, representing the discounted monetary benefits generated over the analysis period.</w:t>
      </w:r>
    </w:p>
    <w:p w14:paraId="2D718B87" w14:textId="13055573" w:rsidR="00F672E4" w:rsidRPr="00F672E4" w:rsidRDefault="00F672E4" w:rsidP="00F672E4">
      <w:pPr>
        <w:numPr>
          <w:ilvl w:val="0"/>
          <w:numId w:val="18"/>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PV(C) = Present Value of Costs, representing the discounted monetary costs incurred during the same period.</w:t>
      </w:r>
    </w:p>
    <w:p w14:paraId="142EDA4C" w14:textId="0CA2BEE4"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 xml:space="preserve">To compute the present values, the following formula </w:t>
      </w:r>
      <w:r>
        <w:rPr>
          <w:rFonts w:ascii="Times New Roman" w:eastAsia="SimSun" w:hAnsi="Times New Roman" w:cs="Times New Roman"/>
          <w:bCs/>
          <w:sz w:val="24"/>
          <w:szCs w:val="24"/>
          <w:shd w:val="clear" w:color="auto" w:fill="FFFFFF"/>
          <w:lang w:eastAsia="zh-CN"/>
        </w:rPr>
        <w:t>was</w:t>
      </w:r>
      <w:r w:rsidRPr="00F672E4">
        <w:rPr>
          <w:rFonts w:ascii="Times New Roman" w:eastAsia="SimSun" w:hAnsi="Times New Roman" w:cs="Times New Roman"/>
          <w:bCs/>
          <w:sz w:val="24"/>
          <w:szCs w:val="24"/>
          <w:shd w:val="clear" w:color="auto" w:fill="FFFFFF"/>
          <w:lang w:eastAsia="zh-CN"/>
        </w:rPr>
        <w:t xml:space="preserve"> applied</w:t>
      </w:r>
      <w:r w:rsidR="00253AAB">
        <w:rPr>
          <w:rFonts w:ascii="Times New Roman" w:eastAsia="SimSun" w:hAnsi="Times New Roman" w:cs="Times New Roman"/>
          <w:bCs/>
          <w:sz w:val="24"/>
          <w:szCs w:val="24"/>
          <w:shd w:val="clear" w:color="auto" w:fill="FFFFFF"/>
          <w:lang w:eastAsia="zh-CN"/>
        </w:rPr>
        <w:t xml:space="preserve"> (see Eq. 5).</w:t>
      </w:r>
    </w:p>
    <w:p w14:paraId="2881B59E" w14:textId="5C5440FA"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w:lastRenderedPageBreak/>
            <m:t>PV=</m:t>
          </m:r>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FV</m:t>
              </m:r>
            </m:num>
            <m:den>
              <m:sSup>
                <m:sSupPr>
                  <m:ctrlPr>
                    <w:rPr>
                      <w:rFonts w:ascii="Cambria Math" w:eastAsia="SimSun" w:hAnsi="Cambria Math" w:cs="Times New Roman"/>
                      <w:bCs/>
                      <w:i/>
                      <w:sz w:val="24"/>
                      <w:szCs w:val="24"/>
                      <w:shd w:val="clear" w:color="auto" w:fill="FFFFFF"/>
                      <w:lang w:eastAsia="zh-CN"/>
                    </w:rPr>
                  </m:ctrlPr>
                </m:sSupPr>
                <m:e>
                  <m:r>
                    <w:rPr>
                      <w:rFonts w:ascii="Cambria Math" w:eastAsia="SimSun" w:hAnsi="Cambria Math" w:cs="Times New Roman"/>
                      <w:sz w:val="24"/>
                      <w:szCs w:val="24"/>
                      <w:shd w:val="clear" w:color="auto" w:fill="FFFFFF"/>
                      <w:lang w:eastAsia="zh-CN"/>
                    </w:rPr>
                    <m:t>(1-r)</m:t>
                  </m:r>
                </m:e>
                <m:sup>
                  <m:r>
                    <w:rPr>
                      <w:rFonts w:ascii="Cambria Math" w:eastAsia="SimSun" w:hAnsi="Cambria Math" w:cs="Times New Roman"/>
                      <w:sz w:val="24"/>
                      <w:szCs w:val="24"/>
                      <w:shd w:val="clear" w:color="auto" w:fill="FFFFFF"/>
                      <w:lang w:eastAsia="zh-CN"/>
                    </w:rPr>
                    <m:t>n</m:t>
                  </m:r>
                </m:sup>
              </m:sSup>
            </m:den>
          </m:f>
          <m:r>
            <w:rPr>
              <w:rFonts w:ascii="Cambria Math" w:eastAsia="SimSun" w:hAnsi="Cambria Math" w:cs="Times New Roman"/>
              <w:sz w:val="24"/>
              <w:szCs w:val="24"/>
              <w:shd w:val="clear" w:color="auto" w:fill="FFFFFF"/>
              <w:lang w:eastAsia="zh-CN"/>
            </w:rPr>
            <m:t xml:space="preserve">                                                                                                           (5)   </m:t>
          </m:r>
        </m:oMath>
      </m:oMathPara>
    </w:p>
    <w:p w14:paraId="0CDD8737" w14:textId="77777777" w:rsidR="00730ECE" w:rsidRPr="00730ECE" w:rsidRDefault="00730ECE" w:rsidP="00730ECE">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sz w:val="24"/>
          <w:szCs w:val="24"/>
          <w:shd w:val="clear" w:color="auto" w:fill="FFFFFF"/>
          <w:lang w:eastAsia="zh-CN"/>
        </w:rPr>
        <w:t>where:</w:t>
      </w:r>
    </w:p>
    <w:p w14:paraId="299910D7" w14:textId="4EE80314"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FV</w:t>
      </w:r>
      <w:r w:rsidRPr="00730ECE">
        <w:rPr>
          <w:rFonts w:ascii="Times New Roman" w:eastAsia="SimSun" w:hAnsi="Times New Roman" w:cs="Times New Roman"/>
          <w:bCs/>
          <w:sz w:val="24"/>
          <w:szCs w:val="24"/>
          <w:shd w:val="clear" w:color="auto" w:fill="FFFFFF"/>
          <w:lang w:eastAsia="zh-CN"/>
        </w:rPr>
        <w:t xml:space="preserve"> = Future Value of benefits or costs in year </w:t>
      </w:r>
      <w:r w:rsidRPr="00730ECE">
        <w:rPr>
          <w:rFonts w:ascii="Times New Roman" w:eastAsia="SimSun" w:hAnsi="Times New Roman" w:cs="Times New Roman"/>
          <w:bCs/>
          <w:i/>
          <w:iCs/>
          <w:sz w:val="24"/>
          <w:szCs w:val="24"/>
          <w:shd w:val="clear" w:color="auto" w:fill="FFFFFF"/>
          <w:lang w:eastAsia="zh-CN"/>
        </w:rPr>
        <w:t>n</w:t>
      </w:r>
      <w:r w:rsidRPr="00730ECE">
        <w:rPr>
          <w:rFonts w:ascii="Times New Roman" w:eastAsia="SimSun" w:hAnsi="Times New Roman" w:cs="Times New Roman"/>
          <w:bCs/>
          <w:sz w:val="24"/>
          <w:szCs w:val="24"/>
          <w:shd w:val="clear" w:color="auto" w:fill="FFFFFF"/>
          <w:lang w:eastAsia="zh-CN"/>
        </w:rPr>
        <w:t>,</w:t>
      </w:r>
    </w:p>
    <w:p w14:paraId="7027C2FF" w14:textId="477D3D55"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 xml:space="preserve">r </w:t>
      </w:r>
      <w:r w:rsidRPr="00730ECE">
        <w:rPr>
          <w:rFonts w:ascii="Times New Roman" w:eastAsia="SimSun" w:hAnsi="Times New Roman" w:cs="Times New Roman"/>
          <w:bCs/>
          <w:sz w:val="24"/>
          <w:szCs w:val="24"/>
          <w:shd w:val="clear" w:color="auto" w:fill="FFFFFF"/>
          <w:lang w:eastAsia="zh-CN"/>
        </w:rPr>
        <w:t>= Discount rate (expressed as a decimal),</w:t>
      </w:r>
    </w:p>
    <w:p w14:paraId="4070A7FF" w14:textId="44D8BAC1"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n</w:t>
      </w:r>
      <w:r w:rsidRPr="00730ECE">
        <w:rPr>
          <w:rFonts w:ascii="Times New Roman" w:eastAsia="SimSun" w:hAnsi="Times New Roman" w:cs="Times New Roman"/>
          <w:bCs/>
          <w:sz w:val="24"/>
          <w:szCs w:val="24"/>
          <w:shd w:val="clear" w:color="auto" w:fill="FFFFFF"/>
          <w:lang w:eastAsia="zh-CN"/>
        </w:rPr>
        <w:t xml:space="preserve"> = Number of years into the future.</w:t>
      </w:r>
    </w:p>
    <w:p w14:paraId="7B3D9307" w14:textId="7196C8E7" w:rsidR="00F672E4" w:rsidRPr="00B60F84" w:rsidRDefault="00730ECE"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470027">
        <w:rPr>
          <w:rFonts w:ascii="Times New Roman" w:eastAsia="SimSun" w:hAnsi="Times New Roman" w:cs="Times New Roman"/>
          <w:b/>
          <w:sz w:val="24"/>
          <w:szCs w:val="24"/>
          <w:shd w:val="clear" w:color="auto" w:fill="FFFFFF"/>
          <w:lang w:eastAsia="zh-CN"/>
        </w:rPr>
        <w:t>Note</w:t>
      </w:r>
      <w:r>
        <w:rPr>
          <w:rFonts w:ascii="Times New Roman" w:eastAsia="SimSun" w:hAnsi="Times New Roman" w:cs="Times New Roman"/>
          <w:bCs/>
          <w:sz w:val="24"/>
          <w:szCs w:val="24"/>
          <w:shd w:val="clear" w:color="auto" w:fill="FFFFFF"/>
          <w:lang w:eastAsia="zh-CN"/>
        </w:rPr>
        <w:t xml:space="preserve">: </w:t>
      </w:r>
      <w:r w:rsidRPr="00730ECE">
        <w:rPr>
          <w:rFonts w:ascii="Times New Roman" w:eastAsia="SimSun" w:hAnsi="Times New Roman" w:cs="Times New Roman"/>
          <w:bCs/>
          <w:sz w:val="24"/>
          <w:szCs w:val="24"/>
          <w:shd w:val="clear" w:color="auto" w:fill="FFFFFF"/>
          <w:lang w:eastAsia="zh-CN"/>
        </w:rPr>
        <w:t xml:space="preserve">A </w:t>
      </w:r>
      <w:r w:rsidRPr="00730ECE">
        <w:rPr>
          <w:rFonts w:ascii="Times New Roman" w:eastAsia="SimSun" w:hAnsi="Times New Roman" w:cs="Times New Roman"/>
          <w:b/>
          <w:bCs/>
          <w:sz w:val="24"/>
          <w:szCs w:val="24"/>
          <w:shd w:val="clear" w:color="auto" w:fill="FFFFFF"/>
          <w:lang w:eastAsia="zh-CN"/>
        </w:rPr>
        <w:t>BCR &gt; 1</w:t>
      </w:r>
      <w:r w:rsidRPr="00730ECE">
        <w:rPr>
          <w:rFonts w:ascii="Times New Roman" w:eastAsia="SimSun" w:hAnsi="Times New Roman" w:cs="Times New Roman"/>
          <w:bCs/>
          <w:sz w:val="24"/>
          <w:szCs w:val="24"/>
          <w:shd w:val="clear" w:color="auto" w:fill="FFFFFF"/>
          <w:lang w:eastAsia="zh-CN"/>
        </w:rPr>
        <w:t xml:space="preserve"> indicates that the enterprise is viable, generating benefits exceeding its costs, while a </w:t>
      </w:r>
      <w:r w:rsidRPr="00730ECE">
        <w:rPr>
          <w:rFonts w:ascii="Times New Roman" w:eastAsia="SimSun" w:hAnsi="Times New Roman" w:cs="Times New Roman"/>
          <w:b/>
          <w:bCs/>
          <w:sz w:val="24"/>
          <w:szCs w:val="24"/>
          <w:shd w:val="clear" w:color="auto" w:fill="FFFFFF"/>
          <w:lang w:eastAsia="zh-CN"/>
        </w:rPr>
        <w:t>BCR &lt; 1</w:t>
      </w:r>
      <w:r w:rsidRPr="00730ECE">
        <w:rPr>
          <w:rFonts w:ascii="Times New Roman" w:eastAsia="SimSun" w:hAnsi="Times New Roman" w:cs="Times New Roman"/>
          <w:bCs/>
          <w:sz w:val="24"/>
          <w:szCs w:val="24"/>
          <w:shd w:val="clear" w:color="auto" w:fill="FFFFFF"/>
          <w:lang w:eastAsia="zh-CN"/>
        </w:rPr>
        <w:t xml:space="preserve"> suggests the enterprise may not sustain its operations without additional support.</w:t>
      </w:r>
    </w:p>
    <w:p w14:paraId="03278E28" w14:textId="63FCD927" w:rsidR="0000787D" w:rsidRPr="005D19F9" w:rsidRDefault="0000787D" w:rsidP="0000787D">
      <w:pPr>
        <w:pStyle w:val="Heading2"/>
        <w:spacing w:before="0" w:line="480" w:lineRule="auto"/>
        <w:jc w:val="both"/>
        <w:rPr>
          <w:rFonts w:ascii="Times New Roman" w:hAnsi="Times New Roman" w:cs="Times New Roman"/>
          <w:color w:val="auto"/>
          <w:sz w:val="24"/>
          <w:szCs w:val="24"/>
        </w:rPr>
      </w:pPr>
      <w:r w:rsidRPr="005D19F9">
        <w:rPr>
          <w:rFonts w:ascii="Times New Roman" w:hAnsi="Times New Roman" w:cs="Times New Roman"/>
          <w:color w:val="auto"/>
          <w:sz w:val="24"/>
          <w:szCs w:val="24"/>
        </w:rPr>
        <w:lastRenderedPageBreak/>
        <w:t>2.</w:t>
      </w:r>
      <w:r w:rsidR="00470027" w:rsidRPr="005D19F9">
        <w:rPr>
          <w:rFonts w:ascii="Times New Roman" w:hAnsi="Times New Roman" w:cs="Times New Roman"/>
          <w:color w:val="auto"/>
          <w:sz w:val="24"/>
          <w:szCs w:val="24"/>
        </w:rPr>
        <w:t>6.</w:t>
      </w:r>
      <w:r w:rsidRPr="005D19F9">
        <w:rPr>
          <w:rFonts w:ascii="Times New Roman" w:hAnsi="Times New Roman" w:cs="Times New Roman"/>
          <w:color w:val="auto"/>
          <w:sz w:val="24"/>
          <w:szCs w:val="24"/>
        </w:rPr>
        <w:t xml:space="preserve"> </w:t>
      </w:r>
      <w:r w:rsidR="00470027" w:rsidRPr="005D19F9">
        <w:rPr>
          <w:rFonts w:ascii="Times New Roman" w:hAnsi="Times New Roman" w:cs="Times New Roman"/>
          <w:color w:val="auto"/>
          <w:sz w:val="24"/>
          <w:szCs w:val="24"/>
        </w:rPr>
        <w:t>Theoretical Framework</w:t>
      </w:r>
    </w:p>
    <w:p w14:paraId="16A7BE6F" w14:textId="77777777" w:rsidR="000D659F" w:rsidRDefault="000D659F" w:rsidP="000D659F">
      <w:pPr>
        <w:pStyle w:val="Heading2"/>
        <w:spacing w:line="480" w:lineRule="auto"/>
        <w:jc w:val="both"/>
        <w:rPr>
          <w:rFonts w:ascii="Times New Roman" w:eastAsia="SimSun" w:hAnsi="Times New Roman" w:cs="Times New Roman"/>
          <w:b w:val="0"/>
          <w:color w:val="auto"/>
          <w:sz w:val="24"/>
          <w:szCs w:val="24"/>
          <w:shd w:val="clear" w:color="auto" w:fill="FFFFFF"/>
          <w:lang w:val="en-GB" w:eastAsia="zh-CN"/>
        </w:rPr>
      </w:pPr>
      <w:r w:rsidRPr="000D659F">
        <w:rPr>
          <w:rFonts w:ascii="Times New Roman" w:eastAsia="SimSun" w:hAnsi="Times New Roman" w:cs="Times New Roman"/>
          <w:b w:val="0"/>
          <w:color w:val="auto"/>
          <w:sz w:val="24"/>
          <w:szCs w:val="24"/>
          <w:shd w:val="clear" w:color="auto" w:fill="FFFFFF"/>
          <w:lang w:val="en-GB" w:eastAsia="zh-CN"/>
        </w:rPr>
        <w:t>The study was guided by the Financial Inclusion Theory, which posits that access to credit and financial services enables marginalized populations to engage in productive economic activities, thereby fostering enterprise growth and poverty reduction (</w:t>
      </w:r>
      <w:proofErr w:type="spellStart"/>
      <w:r w:rsidRPr="000D659F">
        <w:rPr>
          <w:rFonts w:ascii="Times New Roman" w:eastAsia="SimSun" w:hAnsi="Times New Roman" w:cs="Times New Roman"/>
          <w:b w:val="0"/>
          <w:color w:val="auto"/>
          <w:sz w:val="24"/>
          <w:szCs w:val="24"/>
          <w:shd w:val="clear" w:color="auto" w:fill="FFFFFF"/>
          <w:lang w:val="en-GB" w:eastAsia="zh-CN"/>
        </w:rPr>
        <w:t>Ledgerwood</w:t>
      </w:r>
      <w:proofErr w:type="spellEnd"/>
      <w:r w:rsidRPr="000D659F">
        <w:rPr>
          <w:rFonts w:ascii="Times New Roman" w:eastAsia="SimSun" w:hAnsi="Times New Roman" w:cs="Times New Roman"/>
          <w:b w:val="0"/>
          <w:color w:val="auto"/>
          <w:sz w:val="24"/>
          <w:szCs w:val="24"/>
          <w:shd w:val="clear" w:color="auto" w:fill="FFFFFF"/>
          <w:lang w:val="en-GB" w:eastAsia="zh-CN"/>
        </w:rPr>
        <w:t>, 2013). It was further informed by the Sustainable Livelihoods Framework, which emphasizes the role of financial capital in enhancing the resilience, productivity, and adaptive capacities of households and enterprises (Scoones, 2015). Together, these frameworks provided a robust analytical lens for evaluating how Economic Empowerment Schemes (EES) and pro-poor credit interventions contribute to sustainable economic development, employment creation, and income generation across the Arusha and Mara regions—supporting the broader objectives of SDG 8 (Decent Work and Economic Growth) and SDG 10 (Reduced Inequalities).</w:t>
      </w:r>
    </w:p>
    <w:p w14:paraId="601B20F9" w14:textId="51F9CA0D" w:rsidR="003152D7" w:rsidRPr="00951C25" w:rsidRDefault="000D659F" w:rsidP="00951C25">
      <w:pPr>
        <w:pStyle w:val="Heading2"/>
        <w:spacing w:line="480" w:lineRule="auto"/>
        <w:jc w:val="both"/>
        <w:rPr>
          <w:rFonts w:ascii="Times New Roman" w:eastAsia="SimSun" w:hAnsi="Times New Roman" w:cs="Times New Roman"/>
          <w:b w:val="0"/>
          <w:color w:val="auto"/>
          <w:sz w:val="24"/>
          <w:szCs w:val="24"/>
          <w:shd w:val="clear" w:color="auto" w:fill="FFFFFF"/>
          <w:lang w:val="en-GB" w:eastAsia="zh-CN"/>
        </w:rPr>
      </w:pPr>
      <w:r w:rsidRPr="000D659F">
        <w:rPr>
          <w:rFonts w:ascii="Times New Roman" w:eastAsia="SimSun" w:hAnsi="Times New Roman" w:cs="Times New Roman"/>
          <w:b w:val="0"/>
          <w:color w:val="auto"/>
          <w:sz w:val="24"/>
          <w:szCs w:val="24"/>
          <w:shd w:val="clear" w:color="auto" w:fill="FFFFFF"/>
          <w:lang w:val="en-GB" w:eastAsia="zh-CN"/>
        </w:rPr>
        <w:t xml:space="preserve">Empirical evidence from recent studies reinforces this approach. </w:t>
      </w:r>
      <w:proofErr w:type="spellStart"/>
      <w:r w:rsidRPr="000D659F">
        <w:rPr>
          <w:rFonts w:ascii="Times New Roman" w:eastAsia="SimSun" w:hAnsi="Times New Roman" w:cs="Times New Roman"/>
          <w:b w:val="0"/>
          <w:color w:val="auto"/>
          <w:sz w:val="24"/>
          <w:szCs w:val="24"/>
          <w:shd w:val="clear" w:color="auto" w:fill="FFFFFF"/>
          <w:lang w:val="en-GB" w:eastAsia="zh-CN"/>
        </w:rPr>
        <w:t>Palanichamy</w:t>
      </w:r>
      <w:proofErr w:type="spellEnd"/>
      <w:r w:rsidRPr="000D659F">
        <w:rPr>
          <w:rFonts w:ascii="Times New Roman" w:eastAsia="SimSun" w:hAnsi="Times New Roman" w:cs="Times New Roman"/>
          <w:b w:val="0"/>
          <w:color w:val="auto"/>
          <w:sz w:val="24"/>
          <w:szCs w:val="24"/>
          <w:shd w:val="clear" w:color="auto" w:fill="FFFFFF"/>
          <w:lang w:val="en-GB" w:eastAsia="zh-CN"/>
        </w:rPr>
        <w:t xml:space="preserve"> et al. (2024), in their assessment of financial inclusion impacts in Pondicherry, found that structured banking interventions significantly improved income levels and enterprise sustainability among marginalized groups. Similarly, Sahu et al. (2024) demonstrated that financial empowerment programs targeting tribal women led to improved livelihood outcomes and social inclusion, particularly when paired with supportive institutional mechanisms. These findings support the present study’s assertion that access to financial capital—when combined with local institutional support and contextual responsiveness—can drive meaningful and inclusive enterprise development, particularly for women, youth, and persons with disabilities in both urban and rural settings.</w:t>
      </w:r>
    </w:p>
    <w:p w14:paraId="39D19F43" w14:textId="37228E3E" w:rsidR="00195A8B" w:rsidRPr="00E77EF6" w:rsidRDefault="00C73B31" w:rsidP="00195A8B">
      <w:pPr>
        <w:pStyle w:val="Heading1"/>
        <w:spacing w:before="0" w:line="480" w:lineRule="auto"/>
        <w:jc w:val="both"/>
        <w:rPr>
          <w:rFonts w:ascii="Times New Roman" w:hAnsi="Times New Roman" w:cs="Times New Roman"/>
          <w:color w:val="auto"/>
          <w:sz w:val="24"/>
          <w:szCs w:val="24"/>
          <w:lang w:val="en-GB"/>
        </w:rPr>
      </w:pPr>
      <w:r w:rsidRPr="00E77EF6">
        <w:rPr>
          <w:rFonts w:ascii="Times New Roman" w:hAnsi="Times New Roman" w:cs="Times New Roman"/>
          <w:color w:val="auto"/>
          <w:sz w:val="24"/>
          <w:szCs w:val="24"/>
          <w:lang w:val="en-GB"/>
        </w:rPr>
        <w:t>3. Results and Discussions</w:t>
      </w:r>
    </w:p>
    <w:p w14:paraId="39D7A455" w14:textId="3EBB0A36" w:rsidR="00195A8B" w:rsidRPr="00195A8B" w:rsidRDefault="00195A8B" w:rsidP="00195A8B">
      <w:pPr>
        <w:pStyle w:val="ListParagraph"/>
        <w:numPr>
          <w:ilvl w:val="1"/>
          <w:numId w:val="35"/>
        </w:numPr>
        <w:adjustRightInd w:val="0"/>
        <w:spacing w:after="120" w:line="259" w:lineRule="auto"/>
        <w:ind w:left="360"/>
        <w:contextualSpacing w:val="0"/>
        <w:jc w:val="both"/>
        <w:rPr>
          <w:rFonts w:ascii="Times New Roman" w:eastAsia="Calibri" w:hAnsi="Times New Roman" w:cs="Times New Roman"/>
          <w:b/>
          <w:bCs/>
          <w:kern w:val="2"/>
          <w:sz w:val="24"/>
          <w:szCs w:val="24"/>
          <w:lang w:val="en-GB" w:eastAsia="en-US"/>
        </w:rPr>
      </w:pPr>
      <w:bookmarkStart w:id="2" w:name="_Hlk202847549"/>
      <w:r w:rsidRPr="00195A8B">
        <w:rPr>
          <w:rFonts w:ascii="Times New Roman" w:eastAsia="Calibri" w:hAnsi="Times New Roman" w:cs="Times New Roman"/>
          <w:b/>
          <w:bCs/>
          <w:kern w:val="2"/>
          <w:sz w:val="24"/>
          <w:szCs w:val="24"/>
          <w:lang w:val="en-GB" w:eastAsia="en-US"/>
        </w:rPr>
        <w:lastRenderedPageBreak/>
        <w:t xml:space="preserve">Comparison of </w:t>
      </w:r>
      <w:bookmarkEnd w:id="2"/>
      <w:r w:rsidRPr="00195A8B">
        <w:rPr>
          <w:rFonts w:ascii="Times New Roman" w:eastAsia="Calibri" w:hAnsi="Times New Roman" w:cs="Times New Roman"/>
          <w:b/>
          <w:bCs/>
          <w:kern w:val="2"/>
          <w:sz w:val="24"/>
          <w:szCs w:val="24"/>
          <w:lang w:val="en-GB" w:eastAsia="en-US"/>
        </w:rPr>
        <w:t xml:space="preserve">Socio-Economic Characteristics of </w:t>
      </w:r>
      <w:r w:rsidR="00602E84">
        <w:rPr>
          <w:rFonts w:ascii="Times New Roman" w:eastAsia="Calibri" w:hAnsi="Times New Roman" w:cs="Times New Roman"/>
          <w:b/>
          <w:bCs/>
          <w:kern w:val="2"/>
          <w:sz w:val="24"/>
          <w:szCs w:val="24"/>
          <w:lang w:val="en-GB" w:eastAsia="en-US"/>
        </w:rPr>
        <w:t xml:space="preserve">Loan </w:t>
      </w:r>
      <w:r w:rsidRPr="00195A8B">
        <w:rPr>
          <w:rFonts w:ascii="Times New Roman" w:eastAsia="Calibri" w:hAnsi="Times New Roman" w:cs="Times New Roman"/>
          <w:b/>
          <w:bCs/>
          <w:kern w:val="2"/>
          <w:sz w:val="24"/>
          <w:szCs w:val="24"/>
          <w:lang w:val="en-GB" w:eastAsia="en-US"/>
        </w:rPr>
        <w:t>Beneficiaries between Arusha and Mara Regions</w:t>
      </w:r>
    </w:p>
    <w:p w14:paraId="5FF46C79" w14:textId="014B3703" w:rsidR="0063570E" w:rsidRPr="00951C25" w:rsidRDefault="0063570E" w:rsidP="00951C25">
      <w:pPr>
        <w:adjustRightInd w:val="0"/>
        <w:spacing w:after="120" w:line="360" w:lineRule="auto"/>
        <w:jc w:val="both"/>
        <w:rPr>
          <w:rFonts w:ascii="Times New Roman" w:eastAsia="Calibri" w:hAnsi="Times New Roman" w:cs="Times New Roman"/>
          <w:bCs/>
          <w:kern w:val="2"/>
          <w:sz w:val="24"/>
          <w:szCs w:val="24"/>
          <w:lang w:val="en-GB" w:eastAsia="en-US"/>
        </w:rPr>
      </w:pPr>
      <w:r w:rsidRPr="00951C25">
        <w:rPr>
          <w:rFonts w:ascii="Times New Roman" w:eastAsia="Calibri" w:hAnsi="Times New Roman" w:cs="Times New Roman"/>
          <w:bCs/>
          <w:kern w:val="2"/>
          <w:sz w:val="24"/>
          <w:szCs w:val="24"/>
          <w:lang w:val="en-GB" w:eastAsia="en-US"/>
        </w:rPr>
        <w:t xml:space="preserve">As shown in </w:t>
      </w:r>
      <w:r w:rsidRPr="0063570E">
        <w:rPr>
          <w:rFonts w:ascii="Times New Roman" w:eastAsia="Calibri" w:hAnsi="Times New Roman" w:cs="Times New Roman"/>
          <w:bCs/>
          <w:kern w:val="2"/>
          <w:sz w:val="24"/>
          <w:szCs w:val="24"/>
          <w:lang w:val="en-GB" w:eastAsia="en-US"/>
        </w:rPr>
        <w:t xml:space="preserve">Figure </w:t>
      </w:r>
      <w:r w:rsidR="00602E84">
        <w:rPr>
          <w:rFonts w:ascii="Times New Roman" w:eastAsia="Calibri" w:hAnsi="Times New Roman" w:cs="Times New Roman"/>
          <w:bCs/>
          <w:kern w:val="2"/>
          <w:sz w:val="24"/>
          <w:szCs w:val="24"/>
          <w:lang w:val="en-GB" w:eastAsia="en-US"/>
        </w:rPr>
        <w:t>1</w:t>
      </w:r>
      <w:r w:rsidRPr="00951C25">
        <w:rPr>
          <w:rFonts w:ascii="Times New Roman" w:eastAsia="Calibri" w:hAnsi="Times New Roman" w:cs="Times New Roman"/>
          <w:bCs/>
          <w:kern w:val="2"/>
          <w:sz w:val="24"/>
          <w:szCs w:val="24"/>
          <w:lang w:val="en-GB" w:eastAsia="en-US"/>
        </w:rPr>
        <w:t xml:space="preserve">, the comparative analysis of continuous variables reveals key structural differences between the two regions. The average household size in Mara (6 members) is slightly higher than in Arusha (5 members), with a standard deviation of 3 and 2, respectively. This aligns with FAO (2018), which highlighted that rural, agrarian regions like Mara typically exhibit larger household sizes, as households often operate as </w:t>
      </w:r>
      <w:proofErr w:type="spellStart"/>
      <w:r w:rsidRPr="00951C25">
        <w:rPr>
          <w:rFonts w:ascii="Times New Roman" w:eastAsia="Calibri" w:hAnsi="Times New Roman" w:cs="Times New Roman"/>
          <w:bCs/>
          <w:kern w:val="2"/>
          <w:sz w:val="24"/>
          <w:szCs w:val="24"/>
          <w:lang w:val="en-GB" w:eastAsia="en-US"/>
        </w:rPr>
        <w:t>labor</w:t>
      </w:r>
      <w:proofErr w:type="spellEnd"/>
      <w:r w:rsidRPr="00951C25">
        <w:rPr>
          <w:rFonts w:ascii="Times New Roman" w:eastAsia="Calibri" w:hAnsi="Times New Roman" w:cs="Times New Roman"/>
          <w:bCs/>
          <w:kern w:val="2"/>
          <w:sz w:val="24"/>
          <w:szCs w:val="24"/>
          <w:lang w:val="en-GB" w:eastAsia="en-US"/>
        </w:rPr>
        <w:t xml:space="preserve"> units for farming activities. Larger household sizes in Mara may also reflect extended family norms and greater land availability, contrasting with Arusha’s more peri-urban, service-oriented economy where smaller nuclear households are more practical.</w:t>
      </w:r>
    </w:p>
    <w:p w14:paraId="6F2DA971" w14:textId="77777777" w:rsidR="0063570E" w:rsidRPr="00951C25" w:rsidRDefault="0063570E" w:rsidP="00951C25">
      <w:pPr>
        <w:adjustRightInd w:val="0"/>
        <w:spacing w:after="120" w:line="360" w:lineRule="auto"/>
        <w:jc w:val="both"/>
        <w:rPr>
          <w:rFonts w:ascii="Times New Roman" w:eastAsia="Calibri" w:hAnsi="Times New Roman" w:cs="Times New Roman"/>
          <w:bCs/>
          <w:kern w:val="2"/>
          <w:sz w:val="24"/>
          <w:szCs w:val="24"/>
          <w:lang w:val="en-GB" w:eastAsia="en-US"/>
        </w:rPr>
      </w:pPr>
      <w:r w:rsidRPr="00951C25">
        <w:rPr>
          <w:rFonts w:ascii="Times New Roman" w:eastAsia="Calibri" w:hAnsi="Times New Roman" w:cs="Times New Roman"/>
          <w:bCs/>
          <w:kern w:val="2"/>
          <w:sz w:val="24"/>
          <w:szCs w:val="24"/>
          <w:lang w:val="en-GB" w:eastAsia="en-US"/>
        </w:rPr>
        <w:t xml:space="preserve">The disparity is more pronounced in farm size, where the mean in Mara is 21 acres—three times higher than Arusha’s 7 acres. This significant difference is accompanied by greater variability in Mara (SD = 116) compared to Arusha (SD = 49), with farm sizes in Mara ranging up to 1,000 acres. This confirms the findings of Jayne et al. (2016), who noted that landholding tends to be more expansive in sparsely populated, agriculture-dependent regions due to lower land pressure and </w:t>
      </w:r>
      <w:proofErr w:type="spellStart"/>
      <w:r w:rsidRPr="00951C25">
        <w:rPr>
          <w:rFonts w:ascii="Times New Roman" w:eastAsia="Calibri" w:hAnsi="Times New Roman" w:cs="Times New Roman"/>
          <w:bCs/>
          <w:kern w:val="2"/>
          <w:sz w:val="24"/>
          <w:szCs w:val="24"/>
          <w:lang w:val="en-GB" w:eastAsia="en-US"/>
        </w:rPr>
        <w:t>favorable</w:t>
      </w:r>
      <w:proofErr w:type="spellEnd"/>
      <w:r w:rsidRPr="00951C25">
        <w:rPr>
          <w:rFonts w:ascii="Times New Roman" w:eastAsia="Calibri" w:hAnsi="Times New Roman" w:cs="Times New Roman"/>
          <w:bCs/>
          <w:kern w:val="2"/>
          <w:sz w:val="24"/>
          <w:szCs w:val="24"/>
          <w:lang w:val="en-GB" w:eastAsia="en-US"/>
        </w:rPr>
        <w:t xml:space="preserve"> land tenure systems. For policymakers and development partners, this suggests a differentiated approach: enterprise intensification and value addition in Arusha versus </w:t>
      </w:r>
      <w:proofErr w:type="spellStart"/>
      <w:r w:rsidRPr="00951C25">
        <w:rPr>
          <w:rFonts w:ascii="Times New Roman" w:eastAsia="Calibri" w:hAnsi="Times New Roman" w:cs="Times New Roman"/>
          <w:bCs/>
          <w:kern w:val="2"/>
          <w:sz w:val="24"/>
          <w:szCs w:val="24"/>
          <w:lang w:val="en-GB" w:eastAsia="en-US"/>
        </w:rPr>
        <w:t>agro</w:t>
      </w:r>
      <w:proofErr w:type="spellEnd"/>
      <w:r w:rsidRPr="00951C25">
        <w:rPr>
          <w:rFonts w:ascii="Times New Roman" w:eastAsia="Calibri" w:hAnsi="Times New Roman" w:cs="Times New Roman"/>
          <w:bCs/>
          <w:kern w:val="2"/>
          <w:sz w:val="24"/>
          <w:szCs w:val="24"/>
          <w:lang w:val="en-GB" w:eastAsia="en-US"/>
        </w:rPr>
        <w:t>-enterprise diversification and commercialization in Mara.</w:t>
      </w:r>
    </w:p>
    <w:p w14:paraId="79D36430" w14:textId="27C1719D" w:rsidR="0063570E" w:rsidRPr="00951C25" w:rsidRDefault="0063570E" w:rsidP="00951C25">
      <w:pPr>
        <w:adjustRightInd w:val="0"/>
        <w:spacing w:after="120" w:line="360" w:lineRule="auto"/>
        <w:jc w:val="both"/>
        <w:rPr>
          <w:rFonts w:ascii="Times New Roman" w:eastAsia="Calibri" w:hAnsi="Times New Roman" w:cs="Times New Roman"/>
          <w:bCs/>
          <w:kern w:val="2"/>
          <w:sz w:val="24"/>
          <w:szCs w:val="24"/>
          <w:lang w:val="en-GB" w:eastAsia="en-US"/>
        </w:rPr>
      </w:pPr>
      <w:r w:rsidRPr="00951C25">
        <w:rPr>
          <w:rFonts w:ascii="Times New Roman" w:eastAsia="Calibri" w:hAnsi="Times New Roman" w:cs="Times New Roman"/>
          <w:bCs/>
          <w:kern w:val="2"/>
          <w:sz w:val="24"/>
          <w:szCs w:val="24"/>
          <w:lang w:val="en-GB" w:eastAsia="en-US"/>
        </w:rPr>
        <w:t>Turning to categorical variables</w:t>
      </w:r>
      <w:r w:rsidRPr="0063570E">
        <w:rPr>
          <w:rFonts w:ascii="Times New Roman" w:eastAsia="Calibri" w:hAnsi="Times New Roman" w:cs="Times New Roman"/>
          <w:bCs/>
          <w:kern w:val="2"/>
          <w:sz w:val="24"/>
          <w:szCs w:val="24"/>
          <w:lang w:val="en-GB" w:eastAsia="en-US"/>
        </w:rPr>
        <w:t xml:space="preserve"> (Figure </w:t>
      </w:r>
      <w:r w:rsidR="00602E84">
        <w:rPr>
          <w:rFonts w:ascii="Times New Roman" w:eastAsia="Calibri" w:hAnsi="Times New Roman" w:cs="Times New Roman"/>
          <w:bCs/>
          <w:kern w:val="2"/>
          <w:sz w:val="24"/>
          <w:szCs w:val="24"/>
          <w:lang w:val="en-GB" w:eastAsia="en-US"/>
        </w:rPr>
        <w:t>2</w:t>
      </w:r>
      <w:r w:rsidRPr="0063570E">
        <w:rPr>
          <w:rFonts w:ascii="Times New Roman" w:eastAsia="Calibri" w:hAnsi="Times New Roman" w:cs="Times New Roman"/>
          <w:bCs/>
          <w:kern w:val="2"/>
          <w:sz w:val="24"/>
          <w:szCs w:val="24"/>
          <w:lang w:val="en-GB" w:eastAsia="en-US"/>
        </w:rPr>
        <w:t>)</w:t>
      </w:r>
      <w:r w:rsidRPr="00951C25">
        <w:rPr>
          <w:rFonts w:ascii="Times New Roman" w:eastAsia="Calibri" w:hAnsi="Times New Roman" w:cs="Times New Roman"/>
          <w:bCs/>
          <w:kern w:val="2"/>
          <w:sz w:val="24"/>
          <w:szCs w:val="24"/>
          <w:lang w:val="en-GB" w:eastAsia="en-US"/>
        </w:rPr>
        <w:t xml:space="preserve">, the gender distribution indicates that Arusha has a higher proportion of female participants (66.7%) compared to Mara (33.3%). This supports </w:t>
      </w:r>
      <w:proofErr w:type="spellStart"/>
      <w:r w:rsidRPr="00951C25">
        <w:rPr>
          <w:rFonts w:ascii="Times New Roman" w:eastAsia="Calibri" w:hAnsi="Times New Roman" w:cs="Times New Roman"/>
          <w:bCs/>
          <w:kern w:val="2"/>
          <w:sz w:val="24"/>
          <w:szCs w:val="24"/>
          <w:lang w:val="en-GB" w:eastAsia="en-US"/>
        </w:rPr>
        <w:t>Makombe</w:t>
      </w:r>
      <w:proofErr w:type="spellEnd"/>
      <w:r w:rsidRPr="00951C25">
        <w:rPr>
          <w:rFonts w:ascii="Times New Roman" w:eastAsia="Calibri" w:hAnsi="Times New Roman" w:cs="Times New Roman"/>
          <w:bCs/>
          <w:kern w:val="2"/>
          <w:sz w:val="24"/>
          <w:szCs w:val="24"/>
          <w:lang w:val="en-GB" w:eastAsia="en-US"/>
        </w:rPr>
        <w:t xml:space="preserve"> et al. (1999) and Ellis et al. (2007), who observed that Tanzanian women are more actively engaged in microenterprise initiatives, particularly where group lending and social capital are prevalent. The data suggest that empowerment initiatives in Arusha are more inclusive of women, potentially due to better outreach mechanisms or the presence of more structured women's organizations.</w:t>
      </w:r>
    </w:p>
    <w:p w14:paraId="43B1605C" w14:textId="77777777" w:rsidR="0063570E" w:rsidRPr="00951C25" w:rsidRDefault="0063570E" w:rsidP="00951C25">
      <w:pPr>
        <w:adjustRightInd w:val="0"/>
        <w:spacing w:after="120" w:line="360" w:lineRule="auto"/>
        <w:jc w:val="both"/>
        <w:rPr>
          <w:rFonts w:ascii="Times New Roman" w:eastAsia="Calibri" w:hAnsi="Times New Roman" w:cs="Times New Roman"/>
          <w:bCs/>
          <w:kern w:val="2"/>
          <w:sz w:val="24"/>
          <w:szCs w:val="24"/>
          <w:lang w:val="en-GB" w:eastAsia="en-US"/>
        </w:rPr>
      </w:pPr>
      <w:r w:rsidRPr="00951C25">
        <w:rPr>
          <w:rFonts w:ascii="Times New Roman" w:eastAsia="Calibri" w:hAnsi="Times New Roman" w:cs="Times New Roman"/>
          <w:bCs/>
          <w:kern w:val="2"/>
          <w:sz w:val="24"/>
          <w:szCs w:val="24"/>
          <w:lang w:val="en-GB" w:eastAsia="en-US"/>
        </w:rPr>
        <w:t xml:space="preserve">The age distribution further highlights regional disparities in demographic engagement. In Arusha, younger age groups dominate: 85.7% of the 18–24 age group and 78.5% of the 25–34 group are from Arusha. In contrast, Mara has a relatively larger share of older age groups, especially those aged 44–64. This may imply that while Arusha's programs are resonating with youth, Mara's beneficiaries include more experienced individuals, perhaps reflecting a more conservative or community-anchored approach to enterprise. This aligns with Filmer &amp; Fox </w:t>
      </w:r>
      <w:r w:rsidRPr="00951C25">
        <w:rPr>
          <w:rFonts w:ascii="Times New Roman" w:eastAsia="Calibri" w:hAnsi="Times New Roman" w:cs="Times New Roman"/>
          <w:bCs/>
          <w:kern w:val="2"/>
          <w:sz w:val="24"/>
          <w:szCs w:val="24"/>
          <w:lang w:val="en-GB" w:eastAsia="en-US"/>
        </w:rPr>
        <w:lastRenderedPageBreak/>
        <w:t>(2014), who noted that youth are more likely to participate in dynamic and tech-driven entrepreneurship in urbanized settings.</w:t>
      </w:r>
    </w:p>
    <w:p w14:paraId="1FEFABF9" w14:textId="77777777" w:rsidR="0063570E" w:rsidRPr="00951C25" w:rsidRDefault="0063570E" w:rsidP="00951C25">
      <w:pPr>
        <w:adjustRightInd w:val="0"/>
        <w:spacing w:after="120" w:line="360" w:lineRule="auto"/>
        <w:jc w:val="both"/>
        <w:rPr>
          <w:rFonts w:ascii="Times New Roman" w:eastAsia="Calibri" w:hAnsi="Times New Roman" w:cs="Times New Roman"/>
          <w:bCs/>
          <w:kern w:val="2"/>
          <w:sz w:val="24"/>
          <w:szCs w:val="24"/>
          <w:lang w:val="en-GB" w:eastAsia="en-US"/>
        </w:rPr>
      </w:pPr>
      <w:r w:rsidRPr="00951C25">
        <w:rPr>
          <w:rFonts w:ascii="Times New Roman" w:eastAsia="Calibri" w:hAnsi="Times New Roman" w:cs="Times New Roman"/>
          <w:bCs/>
          <w:kern w:val="2"/>
          <w:sz w:val="24"/>
          <w:szCs w:val="24"/>
          <w:lang w:val="en-GB" w:eastAsia="en-US"/>
        </w:rPr>
        <w:t>Educational attainment shows a mixed pattern. Arusha outperforms Mara in secondary and post-secondary levels: for instance, 90% of Bachelor degree holders and all Postgraduates are from Arusha, while Mara has a larger share of beneficiaries with primary education (54.7%) and incomplete secondary (68.33%). These differences reflect regional education disparities documented in URT (2021) and UNESCO (2015). Additionally, the data reveal that people with disabilities (PWD) in Mara have lower educational achievements, reinforcing ILO (2020)’s call for inclusive education as a foundation for equitable economic empowerment. This suggests that education-focused interventions in Mara—especially for youth, women, and PWDs—could significantly improve the quality and sustainability of entrepreneurial outcomes.</w:t>
      </w:r>
    </w:p>
    <w:p w14:paraId="46FD8CCB" w14:textId="005022EF" w:rsidR="003C0C03" w:rsidRPr="00951C25" w:rsidRDefault="0063570E" w:rsidP="00951C25">
      <w:pPr>
        <w:spacing w:line="360" w:lineRule="auto"/>
        <w:jc w:val="both"/>
        <w:rPr>
          <w:rFonts w:ascii="Times New Roman" w:hAnsi="Times New Roman" w:cs="Times New Roman"/>
          <w:sz w:val="24"/>
          <w:szCs w:val="24"/>
          <w:lang w:eastAsia="en-US"/>
        </w:rPr>
      </w:pPr>
      <w:r w:rsidRPr="00951C25">
        <w:rPr>
          <w:rFonts w:ascii="Times New Roman" w:eastAsia="Calibri" w:hAnsi="Times New Roman" w:cs="Times New Roman"/>
          <w:bCs/>
          <w:kern w:val="2"/>
          <w:sz w:val="24"/>
          <w:szCs w:val="24"/>
          <w:lang w:val="en-GB" w:eastAsia="en-US"/>
        </w:rPr>
        <w:t xml:space="preserve">Regarding marital status, monogamous unions dominate in both regions but are more pronounced in Arusha (66.9%) than in Mara (33.1%). Interestingly, polygamy rates are also high in Arusha (64%), contrary to expectations based on traditional norms in Mara. This may point to unique cultural practices in specific communities within Arusha or indicate broader acceptance of polygamous arrangements. As </w:t>
      </w:r>
      <w:proofErr w:type="spellStart"/>
      <w:r w:rsidRPr="00951C25">
        <w:rPr>
          <w:rFonts w:ascii="Times New Roman" w:eastAsia="Calibri" w:hAnsi="Times New Roman" w:cs="Times New Roman"/>
          <w:bCs/>
          <w:kern w:val="2"/>
          <w:sz w:val="24"/>
          <w:szCs w:val="24"/>
          <w:lang w:val="en-GB" w:eastAsia="en-US"/>
        </w:rPr>
        <w:t>Lugalla</w:t>
      </w:r>
      <w:proofErr w:type="spellEnd"/>
      <w:r w:rsidRPr="00951C25">
        <w:rPr>
          <w:rFonts w:ascii="Times New Roman" w:eastAsia="Calibri" w:hAnsi="Times New Roman" w:cs="Times New Roman"/>
          <w:bCs/>
          <w:kern w:val="2"/>
          <w:sz w:val="24"/>
          <w:szCs w:val="24"/>
          <w:lang w:val="en-GB" w:eastAsia="en-US"/>
        </w:rPr>
        <w:t xml:space="preserve"> (1995) noted, such marital structures influence household </w:t>
      </w:r>
      <w:proofErr w:type="spellStart"/>
      <w:r w:rsidRPr="00951C25">
        <w:rPr>
          <w:rFonts w:ascii="Times New Roman" w:eastAsia="Calibri" w:hAnsi="Times New Roman" w:cs="Times New Roman"/>
          <w:bCs/>
          <w:kern w:val="2"/>
          <w:sz w:val="24"/>
          <w:szCs w:val="24"/>
          <w:lang w:val="en-GB" w:eastAsia="en-US"/>
        </w:rPr>
        <w:t>labor</w:t>
      </w:r>
      <w:proofErr w:type="spellEnd"/>
      <w:r w:rsidRPr="00951C25">
        <w:rPr>
          <w:rFonts w:ascii="Times New Roman" w:eastAsia="Calibri" w:hAnsi="Times New Roman" w:cs="Times New Roman"/>
          <w:bCs/>
          <w:kern w:val="2"/>
          <w:sz w:val="24"/>
          <w:szCs w:val="24"/>
          <w:lang w:val="en-GB" w:eastAsia="en-US"/>
        </w:rPr>
        <w:t xml:space="preserve"> allocation and decision-making, which can directly affect enterprise operation and financial planning.</w:t>
      </w:r>
    </w:p>
    <w:p w14:paraId="2A8EDDF6" w14:textId="0FADDA24" w:rsidR="003E0D8A" w:rsidRDefault="003E0D8A" w:rsidP="003E0D8A">
      <w:pPr>
        <w:tabs>
          <w:tab w:val="left" w:pos="720"/>
        </w:tabs>
        <w:spacing w:after="0" w:line="259" w:lineRule="auto"/>
        <w:contextualSpacing/>
        <w:jc w:val="both"/>
        <w:rPr>
          <w:rFonts w:ascii="Times New Roman" w:eastAsia="Calibri" w:hAnsi="Times New Roman" w:cs="Times New Roman"/>
          <w:b/>
          <w:kern w:val="2"/>
          <w:sz w:val="24"/>
          <w:szCs w:val="24"/>
          <w:lang w:eastAsia="en-US"/>
        </w:rPr>
      </w:pPr>
      <w:r w:rsidRPr="003E0D8A">
        <w:rPr>
          <w:rFonts w:ascii="Times New Roman" w:eastAsia="Calibri" w:hAnsi="Times New Roman" w:cs="Times New Roman"/>
          <w:b/>
          <w:kern w:val="2"/>
          <w:sz w:val="24"/>
          <w:szCs w:val="24"/>
          <w:lang w:eastAsia="en-US"/>
        </w:rPr>
        <w:lastRenderedPageBreak/>
        <w:drawing>
          <wp:inline distT="0" distB="0" distL="0" distR="0" wp14:anchorId="7D523441" wp14:editId="2521F84A">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0BE7428A" w14:textId="570A23BA" w:rsidR="003E0D8A" w:rsidRPr="00951C25" w:rsidRDefault="003E0D8A" w:rsidP="00951C25">
      <w:pPr>
        <w:tabs>
          <w:tab w:val="left" w:pos="720"/>
        </w:tabs>
        <w:spacing w:after="0" w:line="259" w:lineRule="auto"/>
        <w:contextualSpacing/>
        <w:jc w:val="both"/>
        <w:rPr>
          <w:rFonts w:ascii="Times New Roman" w:eastAsia="Calibri" w:hAnsi="Times New Roman" w:cs="Times New Roman"/>
          <w:b/>
          <w:i/>
          <w:iCs/>
          <w:kern w:val="2"/>
          <w:lang w:eastAsia="en-US"/>
        </w:rPr>
      </w:pPr>
      <w:r w:rsidRPr="00951C25">
        <w:rPr>
          <w:rFonts w:ascii="Times New Roman" w:eastAsia="Calibri" w:hAnsi="Times New Roman" w:cs="Times New Roman"/>
          <w:b/>
          <w:kern w:val="2"/>
          <w:lang w:eastAsia="en-US"/>
        </w:rPr>
        <w:t>Source:</w:t>
      </w:r>
      <w:r w:rsidRPr="00951C25">
        <w:rPr>
          <w:rFonts w:ascii="Times New Roman" w:eastAsia="Calibri" w:hAnsi="Times New Roman" w:cs="Times New Roman"/>
          <w:bCs/>
          <w:kern w:val="2"/>
          <w:lang w:eastAsia="en-US"/>
        </w:rPr>
        <w:t xml:space="preserve"> Survey field data, 2023/2024</w:t>
      </w:r>
      <w:r w:rsidRPr="00951C25">
        <w:rPr>
          <w:rFonts w:ascii="Times New Roman" w:eastAsia="Calibri" w:hAnsi="Times New Roman" w:cs="Times New Roman"/>
          <w:bCs/>
          <w:kern w:val="2"/>
          <w:lang w:eastAsia="en-US"/>
        </w:rPr>
        <w:t xml:space="preserve">. Note. </w:t>
      </w:r>
      <w:r w:rsidRPr="00951C25">
        <w:rPr>
          <w:rFonts w:ascii="Times New Roman" w:eastAsia="Calibri" w:hAnsi="Times New Roman" w:cs="Times New Roman"/>
          <w:b/>
          <w:i/>
          <w:iCs/>
          <w:kern w:val="2"/>
          <w:lang w:eastAsia="en-US"/>
        </w:rPr>
        <w:t>Error bars represent the standard deviation.</w:t>
      </w:r>
    </w:p>
    <w:p w14:paraId="0599C1B2" w14:textId="3015A916" w:rsidR="003E0D8A" w:rsidRPr="003E0D8A" w:rsidRDefault="003E0D8A" w:rsidP="00951C25">
      <w:pPr>
        <w:tabs>
          <w:tab w:val="left" w:pos="720"/>
        </w:tabs>
        <w:spacing w:after="0" w:line="240" w:lineRule="auto"/>
        <w:ind w:left="1008" w:hanging="1008"/>
        <w:contextualSpacing/>
        <w:jc w:val="both"/>
        <w:rPr>
          <w:rFonts w:ascii="Times New Roman" w:eastAsia="Calibri" w:hAnsi="Times New Roman" w:cs="Times New Roman"/>
          <w:b/>
          <w:bCs/>
          <w:kern w:val="2"/>
          <w:lang w:val="en-GB" w:eastAsia="en-US"/>
        </w:rPr>
      </w:pPr>
      <w:r>
        <w:rPr>
          <w:rFonts w:ascii="Times New Roman" w:eastAsia="Calibri" w:hAnsi="Times New Roman" w:cs="Times New Roman"/>
          <w:b/>
          <w:bCs/>
          <w:kern w:val="2"/>
          <w:lang w:val="en-GB" w:eastAsia="en-US"/>
        </w:rPr>
        <w:t>Figure</w:t>
      </w:r>
      <w:r w:rsidRPr="003E0D8A">
        <w:rPr>
          <w:rFonts w:ascii="Times New Roman" w:eastAsia="Calibri" w:hAnsi="Times New Roman" w:cs="Times New Roman"/>
          <w:b/>
          <w:bCs/>
          <w:kern w:val="2"/>
          <w:lang w:val="en-GB" w:eastAsia="en-US"/>
        </w:rPr>
        <w:t xml:space="preserve"> </w:t>
      </w:r>
      <w:proofErr w:type="gramStart"/>
      <w:r w:rsidR="00AE0D51">
        <w:rPr>
          <w:rFonts w:ascii="Times New Roman" w:eastAsia="Calibri" w:hAnsi="Times New Roman" w:cs="Times New Roman"/>
          <w:b/>
          <w:bCs/>
          <w:kern w:val="2"/>
          <w:lang w:val="en-GB" w:eastAsia="en-US"/>
        </w:rPr>
        <w:t>1</w:t>
      </w:r>
      <w:r>
        <w:rPr>
          <w:rFonts w:ascii="Times New Roman" w:eastAsia="Calibri" w:hAnsi="Times New Roman" w:cs="Times New Roman"/>
          <w:b/>
          <w:bCs/>
          <w:kern w:val="2"/>
          <w:lang w:val="en-GB" w:eastAsia="en-US"/>
        </w:rPr>
        <w:t xml:space="preserve"> </w:t>
      </w:r>
      <w:r w:rsidRPr="003E0D8A">
        <w:rPr>
          <w:rFonts w:ascii="Times New Roman" w:eastAsia="Calibri" w:hAnsi="Times New Roman" w:cs="Times New Roman"/>
          <w:b/>
          <w:bCs/>
          <w:kern w:val="2"/>
          <w:lang w:val="en-GB" w:eastAsia="en-US"/>
        </w:rPr>
        <w:t>.</w:t>
      </w:r>
      <w:proofErr w:type="gramEnd"/>
      <w:r w:rsidRPr="003E0D8A">
        <w:rPr>
          <w:rFonts w:ascii="Times New Roman" w:eastAsia="Calibri" w:hAnsi="Times New Roman" w:cs="Times New Roman"/>
          <w:b/>
          <w:bCs/>
          <w:kern w:val="2"/>
          <w:lang w:val="en-GB" w:eastAsia="en-US"/>
        </w:rPr>
        <w:t xml:space="preserve"> Comparison of Continuous Variables in Socio-economic Characteristics of Beneficiaries between Arusha and Mara Regions</w:t>
      </w:r>
    </w:p>
    <w:p w14:paraId="3801B149" w14:textId="149D9160" w:rsidR="00BD470D" w:rsidRDefault="00BD470D" w:rsidP="00AC0D90">
      <w:pPr>
        <w:tabs>
          <w:tab w:val="left" w:pos="720"/>
        </w:tabs>
        <w:spacing w:after="160" w:line="360" w:lineRule="auto"/>
        <w:contextualSpacing/>
        <w:jc w:val="both"/>
        <w:rPr>
          <w:rFonts w:ascii="Times New Roman" w:eastAsia="Calibri" w:hAnsi="Times New Roman" w:cs="Times New Roman"/>
          <w:bCs/>
          <w:kern w:val="2"/>
          <w:sz w:val="24"/>
          <w:szCs w:val="24"/>
          <w:lang w:eastAsia="en-US"/>
        </w:rPr>
      </w:pPr>
    </w:p>
    <w:p w14:paraId="1F3C3C10" w14:textId="66691E71" w:rsidR="00AC0D90" w:rsidRPr="00AC0D90" w:rsidRDefault="007C13E3" w:rsidP="00AC0D90">
      <w:pPr>
        <w:tabs>
          <w:tab w:val="left" w:pos="720"/>
        </w:tabs>
        <w:spacing w:after="160" w:line="360" w:lineRule="auto"/>
        <w:contextualSpacing/>
        <w:jc w:val="both"/>
        <w:rPr>
          <w:rFonts w:ascii="Times New Roman" w:eastAsia="Calibri" w:hAnsi="Times New Roman" w:cs="Times New Roman"/>
          <w:bCs/>
          <w:kern w:val="2"/>
          <w:sz w:val="24"/>
          <w:szCs w:val="24"/>
          <w:lang w:eastAsia="en-US"/>
        </w:rPr>
      </w:pPr>
      <w:r w:rsidRPr="00951C25">
        <w:rPr>
          <w:rFonts w:ascii="Times New Roman" w:eastAsia="DengXian" w:hAnsi="Times New Roman" w:cs="Times New Roman"/>
          <w:noProof/>
          <w:kern w:val="2"/>
          <w:sz w:val="24"/>
          <w:szCs w:val="24"/>
          <w:lang w:eastAsia="zh-CN"/>
        </w:rPr>
        <w:drawing>
          <wp:inline distT="0" distB="0" distL="0" distR="0" wp14:anchorId="69C1C105" wp14:editId="2784E409">
            <wp:extent cx="6240780" cy="3865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9886" cy="3895659"/>
                    </a:xfrm>
                    <a:prstGeom prst="rect">
                      <a:avLst/>
                    </a:prstGeom>
                    <a:noFill/>
                  </pic:spPr>
                </pic:pic>
              </a:graphicData>
            </a:graphic>
          </wp:inline>
        </w:drawing>
      </w:r>
    </w:p>
    <w:p w14:paraId="0C8BF7F6" w14:textId="4B2DBA8A" w:rsidR="007C13E3" w:rsidRDefault="007C13E3" w:rsidP="007C13E3">
      <w:pPr>
        <w:tabs>
          <w:tab w:val="left" w:pos="720"/>
        </w:tabs>
        <w:spacing w:after="0" w:line="259" w:lineRule="auto"/>
        <w:ind w:left="1152" w:hanging="1152"/>
        <w:contextualSpacing/>
        <w:jc w:val="both"/>
        <w:rPr>
          <w:rFonts w:ascii="Times New Roman" w:eastAsia="Calibri" w:hAnsi="Times New Roman" w:cs="Times New Roman"/>
          <w:bCs/>
          <w:kern w:val="2"/>
          <w:sz w:val="24"/>
          <w:szCs w:val="24"/>
          <w:lang w:eastAsia="en-US"/>
        </w:rPr>
      </w:pPr>
      <w:bookmarkStart w:id="3" w:name="_Hlk203164685"/>
      <w:r w:rsidRPr="00951C25">
        <w:rPr>
          <w:rFonts w:ascii="Times New Roman" w:eastAsia="Calibri" w:hAnsi="Times New Roman" w:cs="Times New Roman"/>
          <w:b/>
          <w:kern w:val="2"/>
          <w:sz w:val="24"/>
          <w:szCs w:val="24"/>
          <w:lang w:eastAsia="en-US"/>
        </w:rPr>
        <w:lastRenderedPageBreak/>
        <w:t>Source:</w:t>
      </w:r>
      <w:r w:rsidRPr="007C13E3">
        <w:rPr>
          <w:rFonts w:ascii="Times New Roman" w:eastAsia="Calibri" w:hAnsi="Times New Roman" w:cs="Times New Roman"/>
          <w:bCs/>
          <w:kern w:val="2"/>
          <w:sz w:val="24"/>
          <w:szCs w:val="24"/>
          <w:lang w:eastAsia="en-US"/>
        </w:rPr>
        <w:t xml:space="preserve"> Survey field data, 2023/2024</w:t>
      </w:r>
    </w:p>
    <w:bookmarkEnd w:id="3"/>
    <w:p w14:paraId="5B4D5E72" w14:textId="7854FAFB" w:rsidR="007C13E3" w:rsidRPr="003E0D8A" w:rsidRDefault="007C13E3" w:rsidP="00951C25">
      <w:pPr>
        <w:tabs>
          <w:tab w:val="left" w:pos="720"/>
        </w:tabs>
        <w:spacing w:after="0" w:line="259" w:lineRule="auto"/>
        <w:ind w:left="1152" w:hanging="1152"/>
        <w:contextualSpacing/>
        <w:jc w:val="both"/>
        <w:rPr>
          <w:rFonts w:ascii="Times New Roman" w:eastAsia="Calibri" w:hAnsi="Times New Roman" w:cs="Times New Roman"/>
          <w:b/>
          <w:kern w:val="2"/>
          <w:lang w:val="en-GB" w:eastAsia="en-US"/>
        </w:rPr>
      </w:pPr>
      <w:r w:rsidRPr="00951C25">
        <w:rPr>
          <w:rFonts w:ascii="Times New Roman" w:eastAsia="Calibri" w:hAnsi="Times New Roman" w:cs="Times New Roman"/>
          <w:b/>
          <w:kern w:val="2"/>
          <w:sz w:val="24"/>
          <w:szCs w:val="24"/>
          <w:lang w:eastAsia="en-US"/>
        </w:rPr>
        <w:t xml:space="preserve">Figure </w:t>
      </w:r>
      <w:r w:rsidR="00AE0D51">
        <w:rPr>
          <w:rFonts w:ascii="Times New Roman" w:eastAsia="Calibri" w:hAnsi="Times New Roman" w:cs="Times New Roman"/>
          <w:b/>
          <w:kern w:val="2"/>
          <w:sz w:val="24"/>
          <w:szCs w:val="24"/>
          <w:lang w:eastAsia="en-US"/>
        </w:rPr>
        <w:t>2</w:t>
      </w:r>
      <w:r w:rsidRPr="00951C25">
        <w:rPr>
          <w:rFonts w:ascii="Times New Roman" w:eastAsia="Calibri" w:hAnsi="Times New Roman" w:cs="Times New Roman"/>
          <w:b/>
          <w:kern w:val="2"/>
          <w:sz w:val="24"/>
          <w:szCs w:val="24"/>
          <w:lang w:eastAsia="en-US"/>
        </w:rPr>
        <w:t xml:space="preserve">. </w:t>
      </w:r>
      <w:r w:rsidRPr="003E0D8A">
        <w:rPr>
          <w:rFonts w:ascii="Times New Roman" w:eastAsia="Calibri" w:hAnsi="Times New Roman" w:cs="Times New Roman"/>
          <w:b/>
          <w:kern w:val="2"/>
          <w:lang w:val="en-GB" w:eastAsia="en-US"/>
        </w:rPr>
        <w:t xml:space="preserve">Comparison of </w:t>
      </w:r>
      <w:r w:rsidRPr="003E0D8A">
        <w:rPr>
          <w:rFonts w:ascii="Times New Roman" w:eastAsia="Calibri" w:hAnsi="Times New Roman" w:cs="Times New Roman"/>
          <w:b/>
          <w:kern w:val="2"/>
          <w:lang w:val="en-GB" w:eastAsia="en-US"/>
        </w:rPr>
        <w:t>Categorical</w:t>
      </w:r>
      <w:r w:rsidR="003E0D8A" w:rsidRPr="003E0D8A">
        <w:rPr>
          <w:rFonts w:ascii="Times New Roman" w:eastAsia="Calibri" w:hAnsi="Times New Roman" w:cs="Times New Roman"/>
          <w:b/>
          <w:kern w:val="2"/>
          <w:lang w:val="en-GB" w:eastAsia="en-US"/>
        </w:rPr>
        <w:t xml:space="preserve"> Variables in</w:t>
      </w:r>
      <w:r w:rsidRPr="003E0D8A">
        <w:rPr>
          <w:rFonts w:ascii="Times New Roman" w:eastAsia="Calibri" w:hAnsi="Times New Roman" w:cs="Times New Roman"/>
          <w:b/>
          <w:kern w:val="2"/>
          <w:lang w:val="en-GB" w:eastAsia="en-US"/>
        </w:rPr>
        <w:t xml:space="preserve"> </w:t>
      </w:r>
      <w:r w:rsidRPr="003E0D8A">
        <w:rPr>
          <w:rFonts w:ascii="Times New Roman" w:eastAsia="Calibri" w:hAnsi="Times New Roman" w:cs="Times New Roman"/>
          <w:b/>
          <w:kern w:val="2"/>
          <w:lang w:val="en-GB" w:eastAsia="en-US"/>
        </w:rPr>
        <w:t>Socio-economic Characteristics of Beneficiaries between Arusha and Mara Regions</w:t>
      </w:r>
    </w:p>
    <w:p w14:paraId="4F9C430F" w14:textId="368C6DD1" w:rsidR="00C93F7A" w:rsidRPr="00195A8B" w:rsidRDefault="00C93F7A" w:rsidP="00195A8B">
      <w:pPr>
        <w:spacing w:after="160" w:line="259" w:lineRule="auto"/>
        <w:jc w:val="both"/>
        <w:rPr>
          <w:rFonts w:ascii="Times New Roman" w:eastAsia="Calibri" w:hAnsi="Times New Roman" w:cs="Times New Roman"/>
          <w:kern w:val="2"/>
          <w:sz w:val="24"/>
          <w:szCs w:val="24"/>
          <w:lang w:eastAsia="en-US"/>
        </w:rPr>
      </w:pPr>
    </w:p>
    <w:p w14:paraId="64060067" w14:textId="2FB13A69" w:rsidR="00195A8B" w:rsidRPr="00195A8B" w:rsidRDefault="00E77EF6" w:rsidP="00E77EF6">
      <w:pPr>
        <w:adjustRightInd w:val="0"/>
        <w:spacing w:after="0" w:line="259" w:lineRule="auto"/>
        <w:rPr>
          <w:rFonts w:ascii="Times New Roman" w:eastAsia="Calibri" w:hAnsi="Times New Roman" w:cs="Times New Roman"/>
          <w:b/>
          <w:bCs/>
          <w:kern w:val="2"/>
          <w:sz w:val="24"/>
          <w:szCs w:val="24"/>
          <w:lang w:val="en-GB" w:eastAsia="en-US"/>
        </w:rPr>
      </w:pPr>
      <w:r>
        <w:rPr>
          <w:rFonts w:ascii="Times New Roman" w:eastAsia="Calibri" w:hAnsi="Times New Roman" w:cs="Times New Roman"/>
          <w:b/>
          <w:bCs/>
          <w:kern w:val="2"/>
          <w:sz w:val="24"/>
          <w:szCs w:val="24"/>
          <w:lang w:val="en-GB" w:eastAsia="en-US"/>
        </w:rPr>
        <w:t>3.2. Comparison</w:t>
      </w:r>
      <w:r w:rsidR="00195A8B" w:rsidRPr="00195A8B">
        <w:rPr>
          <w:rFonts w:ascii="Times New Roman" w:eastAsia="Calibri" w:hAnsi="Times New Roman" w:cs="Times New Roman"/>
          <w:b/>
          <w:bCs/>
          <w:kern w:val="2"/>
          <w:sz w:val="24"/>
          <w:szCs w:val="24"/>
          <w:lang w:val="en-GB" w:eastAsia="en-US"/>
        </w:rPr>
        <w:t xml:space="preserve"> of Economic Characteristics of Loan Beneficiaries between Arusha and Mara Regions</w:t>
      </w:r>
    </w:p>
    <w:p w14:paraId="554A6A73" w14:textId="7C9F2345" w:rsidR="00195A8B" w:rsidRPr="00195A8B" w:rsidRDefault="00E77EF6" w:rsidP="00195A8B">
      <w:pPr>
        <w:adjustRightInd w:val="0"/>
        <w:spacing w:after="0" w:line="259" w:lineRule="auto"/>
        <w:jc w:val="both"/>
        <w:rPr>
          <w:rFonts w:ascii="Times New Roman" w:eastAsia="Calibri" w:hAnsi="Times New Roman" w:cs="Times New Roman"/>
          <w:kern w:val="2"/>
          <w:sz w:val="24"/>
          <w:szCs w:val="24"/>
          <w:lang w:val="en-GB" w:eastAsia="en-US"/>
        </w:rPr>
      </w:pPr>
      <w:r>
        <w:rPr>
          <w:rFonts w:ascii="Times New Roman" w:eastAsia="Calibri" w:hAnsi="Times New Roman" w:cs="Times New Roman"/>
          <w:b/>
          <w:bCs/>
          <w:kern w:val="2"/>
          <w:sz w:val="24"/>
          <w:szCs w:val="24"/>
          <w:lang w:eastAsia="en-US"/>
        </w:rPr>
        <w:t>3.2.1.</w:t>
      </w:r>
      <w:r w:rsidR="00195A8B" w:rsidRPr="00195A8B">
        <w:rPr>
          <w:rFonts w:ascii="Times New Roman" w:eastAsia="Calibri" w:hAnsi="Times New Roman" w:cs="Times New Roman"/>
          <w:b/>
          <w:bCs/>
          <w:kern w:val="2"/>
          <w:sz w:val="24"/>
          <w:szCs w:val="24"/>
          <w:lang w:eastAsia="en-US"/>
        </w:rPr>
        <w:t xml:space="preserve"> Comparison of Enterprises Operated among Loan Beneficiaries between Arusha and Mara Regions</w:t>
      </w:r>
    </w:p>
    <w:p w14:paraId="22E2A15C" w14:textId="23992FB8"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comparative analysis of enterprises operated among Loan beneficiaries in Arusha and Mara reveals notable regional and demographic variations reflecting economic structures, resource endowments, and livelihood strategies within these regions (Figure </w:t>
      </w:r>
      <w:r w:rsidR="00AE0D51">
        <w:rPr>
          <w:rFonts w:ascii="Times New Roman" w:eastAsia="Calibri" w:hAnsi="Times New Roman" w:cs="Times New Roman"/>
          <w:kern w:val="2"/>
          <w:sz w:val="24"/>
          <w:szCs w:val="24"/>
          <w:lang w:val="en-GB" w:eastAsia="en-US"/>
        </w:rPr>
        <w:t>3</w:t>
      </w:r>
      <w:r w:rsidRPr="00195A8B">
        <w:rPr>
          <w:rFonts w:ascii="Times New Roman" w:eastAsia="Calibri" w:hAnsi="Times New Roman" w:cs="Times New Roman"/>
          <w:kern w:val="2"/>
          <w:sz w:val="24"/>
          <w:szCs w:val="24"/>
          <w:lang w:val="en-GB" w:eastAsia="en-US"/>
        </w:rPr>
        <w:t>).</w:t>
      </w:r>
    </w:p>
    <w:p w14:paraId="6B55094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In Arusha, women’s groups predominantly engage in petty business (72.3%), consistent with </w:t>
      </w:r>
      <w:proofErr w:type="spellStart"/>
      <w:r w:rsidRPr="00195A8B">
        <w:rPr>
          <w:rFonts w:ascii="Times New Roman" w:eastAsia="Calibri" w:hAnsi="Times New Roman" w:cs="Times New Roman"/>
          <w:kern w:val="2"/>
          <w:sz w:val="24"/>
          <w:szCs w:val="24"/>
          <w:lang w:val="en-GB" w:eastAsia="en-US"/>
        </w:rPr>
        <w:t>Chongela</w:t>
      </w:r>
      <w:proofErr w:type="spellEnd"/>
      <w:r w:rsidRPr="00195A8B">
        <w:rPr>
          <w:rFonts w:ascii="Times New Roman" w:eastAsia="Calibri" w:hAnsi="Times New Roman" w:cs="Times New Roman"/>
          <w:kern w:val="2"/>
          <w:sz w:val="24"/>
          <w:szCs w:val="24"/>
          <w:lang w:val="en-GB" w:eastAsia="en-US"/>
        </w:rPr>
        <w:t xml:space="preserve"> (2015) and ILO (2019), which highlight the prevalence of trade-based microenterprises in urban and peri-urban Tanzanian settings, where access to markets facilitates small-scale retail and informal trade as a viable livelihood strategy for women. Livestock keeping (38.7%) and crop production (13.4%) also feature prominently, indicating partial engagement with </w:t>
      </w:r>
      <w:proofErr w:type="spellStart"/>
      <w:r w:rsidRPr="00195A8B">
        <w:rPr>
          <w:rFonts w:ascii="Times New Roman" w:eastAsia="Calibri" w:hAnsi="Times New Roman" w:cs="Times New Roman"/>
          <w:kern w:val="2"/>
          <w:sz w:val="24"/>
          <w:szCs w:val="24"/>
          <w:lang w:val="en-GB" w:eastAsia="en-US"/>
        </w:rPr>
        <w:t>agri</w:t>
      </w:r>
      <w:proofErr w:type="spellEnd"/>
      <w:r w:rsidRPr="00195A8B">
        <w:rPr>
          <w:rFonts w:ascii="Times New Roman" w:eastAsia="Calibri" w:hAnsi="Times New Roman" w:cs="Times New Roman"/>
          <w:kern w:val="2"/>
          <w:sz w:val="24"/>
          <w:szCs w:val="24"/>
          <w:lang w:val="en-GB" w:eastAsia="en-US"/>
        </w:rPr>
        <w:t>-based activities, although land scarcity in Arusha limits extensive cultivation, in line with URT (2021) findings on urban agricultural practices. The engagement in formal employment (12.6%) and poultry keeping (14.3%) underscores a diversification strategy often recommended in economic empowerment literature (see Kabeer, 1999; Scoones, 2015) as a means of risk mitigation in the face of fluctuating market and climate conditions.</w:t>
      </w:r>
    </w:p>
    <w:p w14:paraId="385103B7"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For youth-led groups in Arusha, petty business (50.9%) and livestock keeping (39.6%) are also predominant, aligning with </w:t>
      </w:r>
      <w:proofErr w:type="spellStart"/>
      <w:r w:rsidRPr="00195A8B">
        <w:rPr>
          <w:rFonts w:ascii="Times New Roman" w:eastAsia="Calibri" w:hAnsi="Times New Roman" w:cs="Times New Roman"/>
          <w:kern w:val="2"/>
          <w:sz w:val="24"/>
          <w:szCs w:val="24"/>
          <w:lang w:val="en-GB" w:eastAsia="en-US"/>
        </w:rPr>
        <w:t>Martey</w:t>
      </w:r>
      <w:proofErr w:type="spellEnd"/>
      <w:r w:rsidRPr="00195A8B">
        <w:rPr>
          <w:rFonts w:ascii="Times New Roman" w:eastAsia="Calibri" w:hAnsi="Times New Roman" w:cs="Times New Roman"/>
          <w:kern w:val="2"/>
          <w:sz w:val="24"/>
          <w:szCs w:val="24"/>
          <w:lang w:val="en-GB" w:eastAsia="en-US"/>
        </w:rPr>
        <w:t xml:space="preserve"> et al. (2012) who argue that youth entrepreneurs often gravitate toward low-capital, quick-return ventures like petty trading while engaging in livestock as a form of capital accumulation. The relatively lower engagement in crop production (20.8%) reflects urban land constraints, while the inclusion of transportation services (15.1%) indicates adaptive entrepreneurship among youth responding to mobility service gaps, a trend similarly observed in youth studies in urban Kenya and Ghana (World Bank, 2014; Filmer &amp; Fox, 2014). The engagement in construction services (1.9%) indicates minor but notable diversification toward semi-skilled sectors.</w:t>
      </w:r>
    </w:p>
    <w:p w14:paraId="17085C20"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For special needs groups in Arusha, the sole enterprise type reported is livestock keeping (100%), reflecting limited diversification. This narrow focus may result from accessibility </w:t>
      </w:r>
      <w:r w:rsidRPr="00195A8B">
        <w:rPr>
          <w:rFonts w:ascii="Times New Roman" w:eastAsia="Calibri" w:hAnsi="Times New Roman" w:cs="Times New Roman"/>
          <w:kern w:val="2"/>
          <w:sz w:val="24"/>
          <w:szCs w:val="24"/>
          <w:lang w:val="en-GB" w:eastAsia="en-US"/>
        </w:rPr>
        <w:lastRenderedPageBreak/>
        <w:t>challenges, resource constraints, and limited targeted support for enterprise diversification among PWDs, consistent with ILO (2020) recommendations for targeted interventions to broaden enterprise participation for PWDs.</w:t>
      </w:r>
    </w:p>
    <w:p w14:paraId="36C2E68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In Mara, women’s groups display higher participation in crop production (55.7%) and livestock keeping (39.3%), alongside petty business (75.4%). The higher engagement in agriculture reflects Mara’s rural and agrarian context, where land availability allows for broader crop and livestock enterprises, consistent with Jayne et al. (2016) on rural enterprise patterns in Tanzania. Poultry (16.4%) supplements these activities, often serving as a secondary income source and food security buffer, aligning with FAO (2018) insights on rural women’s economic resilience strategies.</w:t>
      </w:r>
    </w:p>
    <w:p w14:paraId="6E12BE0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Youth groups in Mara also reflect strong participation in crop production (57.1%), livestock keeping (61.9%), and petty business (66.7%), indicating an integrated agribusiness approach. The inclusion of construction services (14.3%) and poultry (14.3%) suggests a diversification pattern that aligns with Fox &amp; Kaul (2017), who noted that youth in rural Africa increasingly engage in multi-enterprise livelihoods to address seasonality and market volatility. These patterns illustrate that youth in Mara leverage available land resources while seeking supplementary income streams in services and small-scale agribusiness.</w:t>
      </w:r>
    </w:p>
    <w:p w14:paraId="60101AF5"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Special needs groups in Mara show notable enterprise diversity, with engagement in crop production (66.7%), petty business (73.3%), livestock keeping (40.0%), and poultry (20%). This diversity is encouraging, indicating potential improvements in inclusive economic participation among PWDs in rural contexts, contrasting with the narrower participation seen in Arusha. However, the lower participation in construction services (6.7%) suggests limited entry into skilled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markets, consistent with Banks &amp; Polack (2014), who highlight structural barriers faced by PWDs in diversifying their economic activities.</w:t>
      </w:r>
    </w:p>
    <w:p w14:paraId="64E706BD"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Overall, the findings reveal that while petty business remains a dominant enterprise type across both regions, Mara beneficiaries exhibit stronger participation in agriculture-based enterprises compared to Arusha, reflecting regional resource endowments and economic structures. This aligns with Scoones (2015), who emphasizes that livelihood choices are shaped by access to assets, institutional frameworks, and broader socio-economic conditions.</w:t>
      </w:r>
    </w:p>
    <w:p w14:paraId="36CB0004" w14:textId="77777777" w:rsidR="00195A8B" w:rsidRPr="00195A8B" w:rsidRDefault="00195A8B" w:rsidP="00951C25">
      <w:pPr>
        <w:spacing w:after="0" w:line="259" w:lineRule="auto"/>
        <w:jc w:val="center"/>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noProof/>
          <w:kern w:val="2"/>
          <w:sz w:val="24"/>
          <w:szCs w:val="24"/>
          <w:lang w:val="en-GB" w:eastAsia="en-US"/>
        </w:rPr>
        <w:lastRenderedPageBreak/>
        <w:drawing>
          <wp:inline distT="0" distB="0" distL="0" distR="0" wp14:anchorId="3A9FB76C" wp14:editId="1C4C84E6">
            <wp:extent cx="5731510" cy="2866390"/>
            <wp:effectExtent l="0" t="0" r="2540" b="0"/>
            <wp:docPr id="59218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866390"/>
                    </a:xfrm>
                    <a:prstGeom prst="rect">
                      <a:avLst/>
                    </a:prstGeom>
                    <a:noFill/>
                    <a:ln>
                      <a:noFill/>
                    </a:ln>
                  </pic:spPr>
                </pic:pic>
              </a:graphicData>
            </a:graphic>
          </wp:inline>
        </w:drawing>
      </w:r>
    </w:p>
    <w:p w14:paraId="52E43AB5" w14:textId="0E69EC57" w:rsidR="00AE0D51" w:rsidRPr="00951C25" w:rsidRDefault="00AE0D51" w:rsidP="00951C25">
      <w:pPr>
        <w:spacing w:after="0" w:line="259" w:lineRule="auto"/>
        <w:jc w:val="both"/>
        <w:rPr>
          <w:rFonts w:ascii="Times New Roman" w:eastAsia="Calibri" w:hAnsi="Times New Roman" w:cs="Times New Roman"/>
          <w:kern w:val="2"/>
          <w:lang w:eastAsia="en-US"/>
        </w:rPr>
      </w:pPr>
      <w:r w:rsidRPr="00951C25">
        <w:rPr>
          <w:rFonts w:ascii="Times New Roman" w:eastAsia="Calibri" w:hAnsi="Times New Roman" w:cs="Times New Roman"/>
          <w:b/>
          <w:bCs/>
          <w:kern w:val="2"/>
          <w:lang w:eastAsia="en-US"/>
        </w:rPr>
        <w:t>Source</w:t>
      </w:r>
      <w:r w:rsidRPr="00951C25">
        <w:rPr>
          <w:rFonts w:ascii="Times New Roman" w:eastAsia="Calibri" w:hAnsi="Times New Roman" w:cs="Times New Roman"/>
          <w:kern w:val="2"/>
          <w:lang w:eastAsia="en-US"/>
        </w:rPr>
        <w:t>: Survey field data, 2023/2024</w:t>
      </w:r>
    </w:p>
    <w:p w14:paraId="24CC583F" w14:textId="0F2D7B36" w:rsidR="00195A8B" w:rsidRPr="00951C25" w:rsidRDefault="00195A8B" w:rsidP="00951C25">
      <w:pPr>
        <w:spacing w:after="0" w:line="240" w:lineRule="auto"/>
        <w:jc w:val="center"/>
        <w:rPr>
          <w:rFonts w:ascii="Times New Roman" w:eastAsia="Calibri" w:hAnsi="Times New Roman" w:cs="Times New Roman"/>
          <w:b/>
          <w:bCs/>
          <w:kern w:val="2"/>
          <w:lang w:val="en-GB" w:eastAsia="en-US"/>
        </w:rPr>
      </w:pPr>
      <w:r w:rsidRPr="00951C25">
        <w:rPr>
          <w:rFonts w:ascii="Times New Roman" w:eastAsia="Calibri" w:hAnsi="Times New Roman" w:cs="Times New Roman"/>
          <w:b/>
          <w:bCs/>
          <w:kern w:val="2"/>
          <w:lang w:val="en-GB" w:eastAsia="en-US"/>
        </w:rPr>
        <w:t xml:space="preserve">Figure </w:t>
      </w:r>
      <w:r w:rsidR="00AE0D51" w:rsidRPr="00951C25">
        <w:rPr>
          <w:rFonts w:ascii="Times New Roman" w:eastAsia="Calibri" w:hAnsi="Times New Roman" w:cs="Times New Roman"/>
          <w:b/>
          <w:bCs/>
          <w:kern w:val="2"/>
          <w:lang w:val="en-GB" w:eastAsia="en-US"/>
        </w:rPr>
        <w:t>3</w:t>
      </w:r>
      <w:r w:rsidRPr="00951C25">
        <w:rPr>
          <w:rFonts w:ascii="Times New Roman" w:eastAsia="Calibri" w:hAnsi="Times New Roman" w:cs="Times New Roman"/>
          <w:b/>
          <w:bCs/>
          <w:kern w:val="2"/>
          <w:lang w:val="en-GB" w:eastAsia="en-US"/>
        </w:rPr>
        <w:t xml:space="preserve">.  </w:t>
      </w:r>
      <w:r w:rsidRPr="00951C25">
        <w:rPr>
          <w:rFonts w:ascii="Times New Roman" w:eastAsia="Calibri" w:hAnsi="Times New Roman" w:cs="Times New Roman"/>
          <w:b/>
          <w:bCs/>
          <w:kern w:val="2"/>
          <w:lang w:eastAsia="en-US"/>
        </w:rPr>
        <w:t>Comparison of Enterprises Operated among Loan Beneficiaries between Arusha and Mara Regions</w:t>
      </w:r>
      <w:r w:rsidR="00AE0D51">
        <w:rPr>
          <w:rFonts w:ascii="Times New Roman" w:eastAsia="Calibri" w:hAnsi="Times New Roman" w:cs="Times New Roman"/>
          <w:b/>
          <w:bCs/>
          <w:kern w:val="2"/>
          <w:lang w:eastAsia="en-US"/>
        </w:rPr>
        <w:t xml:space="preserve"> </w:t>
      </w:r>
    </w:p>
    <w:p w14:paraId="4E62249B" w14:textId="4043475C" w:rsidR="00195A8B" w:rsidRPr="00DF60D8" w:rsidRDefault="00195A8B" w:rsidP="00DF60D8">
      <w:pPr>
        <w:pStyle w:val="ListParagraph"/>
        <w:numPr>
          <w:ilvl w:val="2"/>
          <w:numId w:val="38"/>
        </w:numPr>
        <w:spacing w:after="120" w:line="259" w:lineRule="auto"/>
        <w:contextualSpacing w:val="0"/>
        <w:jc w:val="both"/>
        <w:rPr>
          <w:rFonts w:ascii="Times New Roman" w:eastAsia="Calibri" w:hAnsi="Times New Roman" w:cs="Times New Roman"/>
          <w:b/>
          <w:bCs/>
          <w:kern w:val="2"/>
          <w:sz w:val="24"/>
          <w:szCs w:val="24"/>
          <w:lang w:eastAsia="en-US"/>
        </w:rPr>
      </w:pPr>
      <w:bookmarkStart w:id="4" w:name="_Toc158241361"/>
      <w:r w:rsidRPr="00DF60D8">
        <w:rPr>
          <w:rFonts w:ascii="Times New Roman" w:eastAsia="Calibri" w:hAnsi="Times New Roman" w:cs="Times New Roman"/>
          <w:b/>
          <w:bCs/>
          <w:kern w:val="2"/>
          <w:sz w:val="24"/>
          <w:szCs w:val="24"/>
          <w:lang w:eastAsia="en-US"/>
        </w:rPr>
        <w:t xml:space="preserve">Comparison of the Amount of Loan Received per </w:t>
      </w:r>
      <w:bookmarkEnd w:id="4"/>
      <w:r w:rsidRPr="00DF60D8">
        <w:rPr>
          <w:rFonts w:ascii="Times New Roman" w:eastAsia="Calibri" w:hAnsi="Times New Roman" w:cs="Times New Roman"/>
          <w:b/>
          <w:bCs/>
          <w:kern w:val="2"/>
          <w:sz w:val="24"/>
          <w:szCs w:val="24"/>
          <w:lang w:eastAsia="en-US"/>
        </w:rPr>
        <w:t>Loan Beneficiaries between Arusha and Mara Regions</w:t>
      </w:r>
    </w:p>
    <w:p w14:paraId="75236E46" w14:textId="77777777" w:rsidR="00E85188" w:rsidRDefault="00E85188" w:rsidP="005C4ABF">
      <w:pPr>
        <w:spacing w:after="160" w:line="360" w:lineRule="auto"/>
        <w:jc w:val="both"/>
        <w:rPr>
          <w:rFonts w:ascii="Times New Roman" w:eastAsia="Calibri" w:hAnsi="Times New Roman" w:cs="Times New Roman"/>
          <w:kern w:val="2"/>
          <w:sz w:val="24"/>
          <w:szCs w:val="24"/>
          <w:lang w:eastAsia="en-US"/>
        </w:rPr>
      </w:pPr>
    </w:p>
    <w:p w14:paraId="015B8BD4" w14:textId="74279C5C"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r w:rsidRPr="00E85188">
        <w:rPr>
          <w:rFonts w:ascii="Times New Roman" w:eastAsia="Calibri" w:hAnsi="Times New Roman" w:cs="Times New Roman"/>
          <w:kern w:val="2"/>
          <w:sz w:val="24"/>
          <w:szCs w:val="24"/>
          <w:lang w:eastAsia="en-US"/>
        </w:rPr>
        <w:t>The observed variation in the amount of loans received by different beneficiary groups across Arusha and Mara reflects diverse financial needs, business scales, and local institutional dynamics influencing loan disbursement under economic empowerment schemes (Table 2). In Arusha, youth groups secured significantly higher average loan amounts (11,278,125 TZS) than their counterparts in Mara (5,931,238.1 TZS). This may indicate that youth-led enterprises in Arusha engage in larger-scale or more capital-intensive ventures—potentially in sectors like transportation and livestock trading</w:t>
      </w:r>
      <w:r>
        <w:rPr>
          <w:rFonts w:ascii="Times New Roman" w:eastAsia="Calibri" w:hAnsi="Times New Roman" w:cs="Times New Roman"/>
          <w:kern w:val="2"/>
          <w:sz w:val="24"/>
          <w:szCs w:val="24"/>
          <w:lang w:eastAsia="en-US"/>
        </w:rPr>
        <w:t xml:space="preserve">, </w:t>
      </w:r>
      <w:r w:rsidRPr="00E85188">
        <w:rPr>
          <w:rFonts w:ascii="Times New Roman" w:eastAsia="Calibri" w:hAnsi="Times New Roman" w:cs="Times New Roman"/>
          <w:kern w:val="2"/>
          <w:sz w:val="24"/>
          <w:szCs w:val="24"/>
          <w:lang w:eastAsia="en-US"/>
        </w:rPr>
        <w:t xml:space="preserve">which require higher upfront investments. This aligns with </w:t>
      </w:r>
      <w:proofErr w:type="spellStart"/>
      <w:r w:rsidRPr="00E85188">
        <w:rPr>
          <w:rFonts w:ascii="Times New Roman" w:eastAsia="Calibri" w:hAnsi="Times New Roman" w:cs="Times New Roman"/>
          <w:kern w:val="2"/>
          <w:sz w:val="24"/>
          <w:szCs w:val="24"/>
          <w:lang w:eastAsia="en-US"/>
        </w:rPr>
        <w:t>Martey</w:t>
      </w:r>
      <w:proofErr w:type="spellEnd"/>
      <w:r w:rsidRPr="00E85188">
        <w:rPr>
          <w:rFonts w:ascii="Times New Roman" w:eastAsia="Calibri" w:hAnsi="Times New Roman" w:cs="Times New Roman"/>
          <w:kern w:val="2"/>
          <w:sz w:val="24"/>
          <w:szCs w:val="24"/>
          <w:lang w:eastAsia="en-US"/>
        </w:rPr>
        <w:t xml:space="preserve"> et al. (2012) and </w:t>
      </w:r>
      <w:proofErr w:type="spellStart"/>
      <w:r w:rsidRPr="00E85188">
        <w:rPr>
          <w:rFonts w:ascii="Times New Roman" w:eastAsia="Calibri" w:hAnsi="Times New Roman" w:cs="Times New Roman"/>
          <w:kern w:val="2"/>
          <w:sz w:val="24"/>
          <w:szCs w:val="24"/>
          <w:lang w:eastAsia="en-US"/>
        </w:rPr>
        <w:t>Chongela</w:t>
      </w:r>
      <w:proofErr w:type="spellEnd"/>
      <w:r w:rsidRPr="00E85188">
        <w:rPr>
          <w:rFonts w:ascii="Times New Roman" w:eastAsia="Calibri" w:hAnsi="Times New Roman" w:cs="Times New Roman"/>
          <w:kern w:val="2"/>
          <w:sz w:val="24"/>
          <w:szCs w:val="24"/>
          <w:lang w:eastAsia="en-US"/>
        </w:rPr>
        <w:t xml:space="preserve"> (2015), who emphasize that youth entrepreneurs in urbanizing areas often seek larger loans to scale operations in high-return but capital-demanding activities, reflecting a higher entrepreneurial ambition where market opportunities exist.</w:t>
      </w:r>
    </w:p>
    <w:p w14:paraId="6E4EBD30"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r w:rsidRPr="00E85188">
        <w:rPr>
          <w:rFonts w:ascii="Times New Roman" w:eastAsia="Calibri" w:hAnsi="Times New Roman" w:cs="Times New Roman"/>
          <w:kern w:val="2"/>
          <w:sz w:val="24"/>
          <w:szCs w:val="24"/>
          <w:lang w:eastAsia="en-US"/>
        </w:rPr>
        <w:t xml:space="preserve">Similarly, women’s groups in Arusha received higher average loans (7,716,030.6 TZS) compared to women in Mara (5,412,612.9 TZS), suggesting regional differences in enterprise maturity, scale, or financing access. Studies by Kabeer (1999) and ILO (2019) highlight that urban women entrepreneurs typically access larger loans due to better market linkages, financial literacy, and higher participation in group-based savings and lending schemes, all of which enhance </w:t>
      </w:r>
      <w:r w:rsidRPr="00E85188">
        <w:rPr>
          <w:rFonts w:ascii="Times New Roman" w:eastAsia="Calibri" w:hAnsi="Times New Roman" w:cs="Times New Roman"/>
          <w:kern w:val="2"/>
          <w:sz w:val="24"/>
          <w:szCs w:val="24"/>
          <w:lang w:eastAsia="en-US"/>
        </w:rPr>
        <w:lastRenderedPageBreak/>
        <w:t>creditworthiness. The structured nature of women’s groups in Arusha—often facilitated by proximity to financial institutions and training centers—may also contribute to their ability to absorb and utilize larger loan amounts effectively.</w:t>
      </w:r>
    </w:p>
    <w:p w14:paraId="2E6F0635"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r w:rsidRPr="00E85188">
        <w:rPr>
          <w:rFonts w:ascii="Times New Roman" w:eastAsia="Calibri" w:hAnsi="Times New Roman" w:cs="Times New Roman"/>
          <w:kern w:val="2"/>
          <w:sz w:val="24"/>
          <w:szCs w:val="24"/>
          <w:lang w:eastAsia="en-US"/>
        </w:rPr>
        <w:t>The range of loan amounts further illustrates regional economic diversity. In Mara, women’s groups received loans ranging from 100,000 to 50,000,000 TZS, compared to a narrower range of 800,000 to 30,000,000 TZS in Arusha. This broader range in Mara may reflect a wider variety of business models—from small-scale retailing and poultry keeping to medium-scale crop and livestock farming—consistent with Jayne et al. (2016), who observed that rural enterprises display varying capital needs due to differences in production scale, land access, and market reach. While the average loan amount in Mara is lower, some beneficiaries access high-value loans, potentially for large-scale agriculture, which remains a dominant livelihood strategy in the region.</w:t>
      </w:r>
    </w:p>
    <w:p w14:paraId="744DF485"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p>
    <w:p w14:paraId="6DAA8747"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r w:rsidRPr="00E85188">
        <w:rPr>
          <w:rFonts w:ascii="Times New Roman" w:eastAsia="Calibri" w:hAnsi="Times New Roman" w:cs="Times New Roman"/>
          <w:kern w:val="2"/>
          <w:sz w:val="24"/>
          <w:szCs w:val="24"/>
          <w:lang w:eastAsia="en-US"/>
        </w:rPr>
        <w:t>For Persons with Disabilities (PWD), the average loan amounts were generally lower in both regions (5,000,000 TZS in Arusha and 3,000,000 TZS in Mara), with narrower ranges and smaller standard deviations. This may be attributed to smaller group sizes, lower enterprise scales, and more cautious lending due to perceived repayment risks. Consistent with Banks and Polack (2014) and ILO (2020), PWD entrepreneurs often face compounded barriers—including limited physical mobility, discrimination, and inadequate adaptive business support—which constrain their access to and utilization of higher-value loans. Additionally, the uniform loan value for PWD in Arusha suggests standardized disbursement practices, possibly to simplify monitoring and ensure equitable distribution among PWD groups.</w:t>
      </w:r>
    </w:p>
    <w:p w14:paraId="2BE99CA6"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eastAsia="en-US"/>
        </w:rPr>
      </w:pPr>
      <w:r w:rsidRPr="00E85188">
        <w:rPr>
          <w:rFonts w:ascii="Times New Roman" w:eastAsia="Calibri" w:hAnsi="Times New Roman" w:cs="Times New Roman"/>
          <w:kern w:val="2"/>
          <w:sz w:val="24"/>
          <w:szCs w:val="24"/>
          <w:lang w:eastAsia="en-US"/>
        </w:rPr>
        <w:t>The differences in the standard deviation of loan amounts (e.g., 7,746,623.7 TZS for youth in Arusha versus 3,651,227.2 TZS in Mara) reflect greater variation in enterprise scale and loan structuring in Arusha. This variation may point to more flexible lending practices based on business plans and capacity assessments—a practice recommended in effective microfinance and local empowerment schemes (</w:t>
      </w:r>
      <w:proofErr w:type="spellStart"/>
      <w:r w:rsidRPr="00E85188">
        <w:rPr>
          <w:rFonts w:ascii="Times New Roman" w:eastAsia="Calibri" w:hAnsi="Times New Roman" w:cs="Times New Roman"/>
          <w:kern w:val="2"/>
          <w:sz w:val="24"/>
          <w:szCs w:val="24"/>
          <w:lang w:eastAsia="en-US"/>
        </w:rPr>
        <w:t>Ledgerwood</w:t>
      </w:r>
      <w:proofErr w:type="spellEnd"/>
      <w:r w:rsidRPr="00E85188">
        <w:rPr>
          <w:rFonts w:ascii="Times New Roman" w:eastAsia="Calibri" w:hAnsi="Times New Roman" w:cs="Times New Roman"/>
          <w:kern w:val="2"/>
          <w:sz w:val="24"/>
          <w:szCs w:val="24"/>
          <w:lang w:eastAsia="en-US"/>
        </w:rPr>
        <w:t>, 1999; URT, 2021).</w:t>
      </w:r>
    </w:p>
    <w:p w14:paraId="45AEEE51" w14:textId="506EC874" w:rsidR="00195A8B" w:rsidRPr="00195A8B" w:rsidRDefault="00E85188" w:rsidP="005C4ABF">
      <w:pPr>
        <w:spacing w:after="160" w:line="360" w:lineRule="auto"/>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Generally</w:t>
      </w:r>
      <w:r w:rsidRPr="00E85188">
        <w:rPr>
          <w:rFonts w:ascii="Times New Roman" w:eastAsia="Calibri" w:hAnsi="Times New Roman" w:cs="Times New Roman"/>
          <w:kern w:val="2"/>
          <w:sz w:val="24"/>
          <w:szCs w:val="24"/>
          <w:lang w:eastAsia="en-US"/>
        </w:rPr>
        <w:t xml:space="preserve">, the disparities in loan amounts between Arusha and Mara reflect underlying economic contexts, with urban Arusha supporting higher-value enterprises, while rural Mara </w:t>
      </w:r>
      <w:r w:rsidRPr="00E85188">
        <w:rPr>
          <w:rFonts w:ascii="Times New Roman" w:eastAsia="Calibri" w:hAnsi="Times New Roman" w:cs="Times New Roman"/>
          <w:kern w:val="2"/>
          <w:sz w:val="24"/>
          <w:szCs w:val="24"/>
          <w:lang w:eastAsia="en-US"/>
        </w:rPr>
        <w:lastRenderedPageBreak/>
        <w:t>accommodates smaller-scale but more diverse ventures. These trends are linked to differences in institutional capacity and market linkages that shape local government confidence in loan disbursement. As emphasized by IFAD (2020) and Scoones (2015), these findings underscore the importance of context-sensitive, inclusive financial products and capacity-building programs that align with local realities. Such approaches are essential to enhance repayment sustainability and enable youth, women, and PWD entrepreneurs to transition from microenterprises to viable, growth-oriented businesses—contributing to SDG 8 (Decent Work and Economic Growth) and SDG 10 (Reduced Inequalities) within Tanzania’s economic empowerment frameworks</w:t>
      </w:r>
      <w:r w:rsidR="00195A8B" w:rsidRPr="00195A8B">
        <w:rPr>
          <w:rFonts w:ascii="Times New Roman" w:eastAsia="Calibri" w:hAnsi="Times New Roman" w:cs="Times New Roman"/>
          <w:kern w:val="2"/>
          <w:sz w:val="24"/>
          <w:szCs w:val="24"/>
          <w:lang w:eastAsia="en-US"/>
        </w:rPr>
        <w:t>.</w:t>
      </w:r>
    </w:p>
    <w:p w14:paraId="62F981A6" w14:textId="7B209AD1" w:rsidR="00195A8B" w:rsidRPr="00195A8B" w:rsidRDefault="00195A8B" w:rsidP="00951C25">
      <w:pPr>
        <w:spacing w:after="0" w:line="240" w:lineRule="auto"/>
        <w:ind w:left="864" w:hanging="864"/>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602E84">
        <w:rPr>
          <w:rFonts w:ascii="Times New Roman" w:eastAsia="Calibri" w:hAnsi="Times New Roman" w:cs="Times New Roman"/>
          <w:b/>
          <w:bCs/>
          <w:kern w:val="2"/>
          <w:sz w:val="24"/>
          <w:szCs w:val="24"/>
          <w:lang w:eastAsia="en-US"/>
        </w:rPr>
        <w:t>2</w:t>
      </w:r>
      <w:r w:rsidRPr="00195A8B">
        <w:rPr>
          <w:rFonts w:ascii="Times New Roman" w:eastAsia="Calibri" w:hAnsi="Times New Roman" w:cs="Times New Roman"/>
          <w:b/>
          <w:bCs/>
          <w:kern w:val="2"/>
          <w:sz w:val="24"/>
          <w:szCs w:val="24"/>
          <w:lang w:eastAsia="en-US"/>
        </w:rPr>
        <w:t xml:space="preserve">. </w:t>
      </w:r>
      <w:r w:rsidRPr="00951C25">
        <w:rPr>
          <w:rFonts w:ascii="Times New Roman" w:eastAsia="Calibri" w:hAnsi="Times New Roman" w:cs="Times New Roman"/>
          <w:b/>
          <w:bCs/>
          <w:kern w:val="2"/>
          <w:lang w:eastAsia="en-US"/>
        </w:rPr>
        <w:t>Comparison of the Amount of Loan Received per Loan Beneficiaries between Arusha and Mara Region</w:t>
      </w:r>
      <w:r w:rsidR="009C3919" w:rsidRPr="00951C25">
        <w:rPr>
          <w:rFonts w:ascii="Times New Roman" w:eastAsia="Calibri" w:hAnsi="Times New Roman" w:cs="Times New Roman"/>
          <w:b/>
          <w:bCs/>
          <w:kern w:val="2"/>
          <w:lang w:eastAsia="en-US"/>
        </w:rPr>
        <w:t>s</w:t>
      </w:r>
    </w:p>
    <w:tbl>
      <w:tblPr>
        <w:tblStyle w:val="TableGrid2"/>
        <w:tblW w:w="5000" w:type="pct"/>
        <w:tblLook w:val="04A0" w:firstRow="1" w:lastRow="0" w:firstColumn="1" w:lastColumn="0" w:noHBand="0" w:noVBand="1"/>
      </w:tblPr>
      <w:tblGrid>
        <w:gridCol w:w="1390"/>
        <w:gridCol w:w="1511"/>
        <w:gridCol w:w="1860"/>
        <w:gridCol w:w="1423"/>
        <w:gridCol w:w="1488"/>
        <w:gridCol w:w="1904"/>
      </w:tblGrid>
      <w:tr w:rsidR="00195A8B" w:rsidRPr="009C3919" w14:paraId="44BA4F38" w14:textId="77777777" w:rsidTr="00951C25">
        <w:tc>
          <w:tcPr>
            <w:tcW w:w="726" w:type="pct"/>
          </w:tcPr>
          <w:p w14:paraId="18EFB08C" w14:textId="77777777" w:rsidR="00195A8B" w:rsidRPr="00951C25" w:rsidRDefault="00195A8B" w:rsidP="00195A8B">
            <w:pPr>
              <w:jc w:val="both"/>
              <w:rPr>
                <w:rFonts w:ascii="Times New Roman" w:hAnsi="Times New Roman" w:cs="Times New Roman"/>
                <w:b/>
                <w:bCs/>
              </w:rPr>
            </w:pPr>
            <w:r w:rsidRPr="00951C25">
              <w:rPr>
                <w:rFonts w:ascii="Times New Roman" w:hAnsi="Times New Roman" w:cs="Times New Roman"/>
                <w:b/>
                <w:bCs/>
              </w:rPr>
              <w:t>Region</w:t>
            </w:r>
          </w:p>
        </w:tc>
        <w:tc>
          <w:tcPr>
            <w:tcW w:w="789" w:type="pct"/>
          </w:tcPr>
          <w:p w14:paraId="3E54AC46" w14:textId="77777777" w:rsidR="00195A8B" w:rsidRPr="00951C25" w:rsidRDefault="00195A8B" w:rsidP="00195A8B">
            <w:pPr>
              <w:jc w:val="both"/>
              <w:rPr>
                <w:rFonts w:ascii="Times New Roman" w:hAnsi="Times New Roman" w:cs="Times New Roman"/>
                <w:b/>
                <w:bCs/>
              </w:rPr>
            </w:pPr>
            <w:r w:rsidRPr="00951C25">
              <w:rPr>
                <w:rFonts w:ascii="Times New Roman" w:hAnsi="Times New Roman" w:cs="Times New Roman"/>
                <w:b/>
                <w:bCs/>
              </w:rPr>
              <w:t>Group type</w:t>
            </w:r>
          </w:p>
        </w:tc>
        <w:tc>
          <w:tcPr>
            <w:tcW w:w="971" w:type="pct"/>
          </w:tcPr>
          <w:p w14:paraId="5161C2DC" w14:textId="050D8F90" w:rsidR="00195A8B" w:rsidRPr="00951C25" w:rsidRDefault="00195A8B" w:rsidP="00951C25">
            <w:pPr>
              <w:jc w:val="center"/>
              <w:rPr>
                <w:rFonts w:ascii="Times New Roman" w:hAnsi="Times New Roman" w:cs="Times New Roman"/>
                <w:b/>
                <w:bCs/>
              </w:rPr>
            </w:pPr>
            <w:r w:rsidRPr="00951C25">
              <w:rPr>
                <w:rFonts w:ascii="Times New Roman" w:hAnsi="Times New Roman" w:cs="Times New Roman"/>
                <w:b/>
                <w:bCs/>
              </w:rPr>
              <w:t>Mean</w:t>
            </w:r>
            <w:r w:rsidR="00C12845" w:rsidRPr="00951C25">
              <w:rPr>
                <w:rFonts w:ascii="Times New Roman" w:hAnsi="Times New Roman" w:cs="Times New Roman"/>
                <w:b/>
                <w:bCs/>
              </w:rPr>
              <w:t xml:space="preserve"> (TZS)</w:t>
            </w:r>
          </w:p>
        </w:tc>
        <w:tc>
          <w:tcPr>
            <w:tcW w:w="743" w:type="pct"/>
          </w:tcPr>
          <w:p w14:paraId="2E7D4C10" w14:textId="4F1CEB2B" w:rsidR="00195A8B" w:rsidRPr="00951C25" w:rsidRDefault="00195A8B" w:rsidP="00951C25">
            <w:pPr>
              <w:jc w:val="center"/>
              <w:rPr>
                <w:rFonts w:ascii="Times New Roman" w:hAnsi="Times New Roman" w:cs="Times New Roman"/>
                <w:b/>
                <w:bCs/>
              </w:rPr>
            </w:pPr>
            <w:r w:rsidRPr="00951C25">
              <w:rPr>
                <w:rFonts w:ascii="Times New Roman" w:hAnsi="Times New Roman" w:cs="Times New Roman"/>
                <w:b/>
                <w:bCs/>
              </w:rPr>
              <w:t>Max</w:t>
            </w:r>
            <w:r w:rsidR="00C12845" w:rsidRPr="00951C25">
              <w:rPr>
                <w:rFonts w:ascii="Times New Roman" w:hAnsi="Times New Roman" w:cs="Times New Roman"/>
                <w:b/>
                <w:bCs/>
              </w:rPr>
              <w:t xml:space="preserve"> (TZS)</w:t>
            </w:r>
          </w:p>
        </w:tc>
        <w:tc>
          <w:tcPr>
            <w:tcW w:w="777" w:type="pct"/>
          </w:tcPr>
          <w:p w14:paraId="17DBC8FF" w14:textId="565E8143" w:rsidR="00195A8B" w:rsidRPr="00951C25" w:rsidRDefault="00195A8B" w:rsidP="00951C25">
            <w:pPr>
              <w:jc w:val="center"/>
              <w:rPr>
                <w:rFonts w:ascii="Times New Roman" w:hAnsi="Times New Roman" w:cs="Times New Roman"/>
                <w:b/>
                <w:bCs/>
              </w:rPr>
            </w:pPr>
            <w:r w:rsidRPr="00951C25">
              <w:rPr>
                <w:rFonts w:ascii="Times New Roman" w:hAnsi="Times New Roman" w:cs="Times New Roman"/>
                <w:b/>
                <w:bCs/>
              </w:rPr>
              <w:t>Min</w:t>
            </w:r>
            <w:r w:rsidR="00C12845" w:rsidRPr="00951C25">
              <w:rPr>
                <w:rFonts w:ascii="Times New Roman" w:hAnsi="Times New Roman" w:cs="Times New Roman"/>
                <w:b/>
                <w:bCs/>
              </w:rPr>
              <w:t xml:space="preserve"> (TZS)</w:t>
            </w:r>
          </w:p>
        </w:tc>
        <w:tc>
          <w:tcPr>
            <w:tcW w:w="994" w:type="pct"/>
          </w:tcPr>
          <w:p w14:paraId="65BAA78A" w14:textId="4101A398" w:rsidR="00195A8B" w:rsidRPr="00951C25" w:rsidRDefault="00195A8B" w:rsidP="00951C25">
            <w:pPr>
              <w:jc w:val="center"/>
              <w:rPr>
                <w:rFonts w:ascii="Times New Roman" w:hAnsi="Times New Roman" w:cs="Times New Roman"/>
                <w:b/>
                <w:bCs/>
              </w:rPr>
            </w:pPr>
            <w:r w:rsidRPr="00951C25">
              <w:rPr>
                <w:rFonts w:ascii="Times New Roman" w:hAnsi="Times New Roman" w:cs="Times New Roman"/>
                <w:b/>
                <w:bCs/>
              </w:rPr>
              <w:t>Std. Dev</w:t>
            </w:r>
            <w:r w:rsidR="00C12845" w:rsidRPr="00951C25">
              <w:rPr>
                <w:rFonts w:ascii="Times New Roman" w:hAnsi="Times New Roman" w:cs="Times New Roman"/>
                <w:b/>
                <w:bCs/>
              </w:rPr>
              <w:t xml:space="preserve"> (TZS)</w:t>
            </w:r>
          </w:p>
        </w:tc>
      </w:tr>
      <w:tr w:rsidR="005044EA" w:rsidRPr="009C3919" w14:paraId="5A86DAD7" w14:textId="77777777" w:rsidTr="00951C25">
        <w:tc>
          <w:tcPr>
            <w:tcW w:w="726" w:type="pct"/>
            <w:vMerge w:val="restart"/>
          </w:tcPr>
          <w:p w14:paraId="3A7DFB60"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Arusha</w:t>
            </w:r>
          </w:p>
        </w:tc>
        <w:tc>
          <w:tcPr>
            <w:tcW w:w="789" w:type="pct"/>
          </w:tcPr>
          <w:p w14:paraId="0E215829"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Women</w:t>
            </w:r>
          </w:p>
        </w:tc>
        <w:tc>
          <w:tcPr>
            <w:tcW w:w="971" w:type="pct"/>
          </w:tcPr>
          <w:p w14:paraId="303FDEE8"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7,716,030.6</w:t>
            </w:r>
          </w:p>
        </w:tc>
        <w:tc>
          <w:tcPr>
            <w:tcW w:w="743" w:type="pct"/>
          </w:tcPr>
          <w:p w14:paraId="1D574519"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30,000,000</w:t>
            </w:r>
          </w:p>
        </w:tc>
        <w:tc>
          <w:tcPr>
            <w:tcW w:w="777" w:type="pct"/>
          </w:tcPr>
          <w:p w14:paraId="38028941"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800,000</w:t>
            </w:r>
          </w:p>
        </w:tc>
        <w:tc>
          <w:tcPr>
            <w:tcW w:w="994" w:type="pct"/>
          </w:tcPr>
          <w:p w14:paraId="54584CCB" w14:textId="3A0F9361" w:rsidR="005044EA" w:rsidRPr="00951C25" w:rsidRDefault="005044EA" w:rsidP="00951C25">
            <w:pPr>
              <w:jc w:val="center"/>
              <w:rPr>
                <w:rFonts w:ascii="Times New Roman" w:hAnsi="Times New Roman" w:cs="Times New Roman"/>
              </w:rPr>
            </w:pPr>
            <w:r w:rsidRPr="00951C25">
              <w:rPr>
                <w:rFonts w:ascii="Times New Roman" w:hAnsi="Times New Roman" w:cs="Times New Roman"/>
              </w:rPr>
              <w:t>6</w:t>
            </w:r>
            <w:r w:rsidR="00C12845" w:rsidRPr="00951C25">
              <w:rPr>
                <w:rFonts w:ascii="Times New Roman" w:hAnsi="Times New Roman" w:cs="Times New Roman"/>
              </w:rPr>
              <w:t>,</w:t>
            </w:r>
            <w:r w:rsidRPr="00951C25">
              <w:rPr>
                <w:rFonts w:ascii="Times New Roman" w:hAnsi="Times New Roman" w:cs="Times New Roman"/>
              </w:rPr>
              <w:t>026</w:t>
            </w:r>
            <w:r w:rsidR="00C12845" w:rsidRPr="00951C25">
              <w:rPr>
                <w:rFonts w:ascii="Times New Roman" w:hAnsi="Times New Roman" w:cs="Times New Roman"/>
              </w:rPr>
              <w:t>,</w:t>
            </w:r>
            <w:r w:rsidRPr="00951C25">
              <w:rPr>
                <w:rFonts w:ascii="Times New Roman" w:hAnsi="Times New Roman" w:cs="Times New Roman"/>
              </w:rPr>
              <w:t>401.2</w:t>
            </w:r>
          </w:p>
        </w:tc>
      </w:tr>
      <w:tr w:rsidR="005044EA" w:rsidRPr="009C3919" w14:paraId="4BEBAC15" w14:textId="77777777" w:rsidTr="00951C25">
        <w:tc>
          <w:tcPr>
            <w:tcW w:w="726" w:type="pct"/>
            <w:vMerge/>
          </w:tcPr>
          <w:p w14:paraId="028654CF" w14:textId="77777777" w:rsidR="005044EA" w:rsidRPr="00951C25" w:rsidRDefault="005044EA" w:rsidP="00195A8B">
            <w:pPr>
              <w:jc w:val="both"/>
              <w:rPr>
                <w:rFonts w:ascii="Times New Roman" w:hAnsi="Times New Roman" w:cs="Times New Roman"/>
              </w:rPr>
            </w:pPr>
          </w:p>
        </w:tc>
        <w:tc>
          <w:tcPr>
            <w:tcW w:w="789" w:type="pct"/>
          </w:tcPr>
          <w:p w14:paraId="76702F7C"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Youth</w:t>
            </w:r>
          </w:p>
        </w:tc>
        <w:tc>
          <w:tcPr>
            <w:tcW w:w="971" w:type="pct"/>
          </w:tcPr>
          <w:p w14:paraId="48DAA148"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11,278,125.0</w:t>
            </w:r>
          </w:p>
        </w:tc>
        <w:tc>
          <w:tcPr>
            <w:tcW w:w="743" w:type="pct"/>
          </w:tcPr>
          <w:p w14:paraId="066A3408"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31,000,000</w:t>
            </w:r>
          </w:p>
        </w:tc>
        <w:tc>
          <w:tcPr>
            <w:tcW w:w="777" w:type="pct"/>
          </w:tcPr>
          <w:p w14:paraId="335AC776"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1,000,000</w:t>
            </w:r>
          </w:p>
        </w:tc>
        <w:tc>
          <w:tcPr>
            <w:tcW w:w="994" w:type="pct"/>
          </w:tcPr>
          <w:p w14:paraId="3CA2C851"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7744623.7</w:t>
            </w:r>
          </w:p>
        </w:tc>
      </w:tr>
      <w:tr w:rsidR="005044EA" w:rsidRPr="009C3919" w14:paraId="5D66E3A3" w14:textId="77777777" w:rsidTr="00951C25">
        <w:tc>
          <w:tcPr>
            <w:tcW w:w="726" w:type="pct"/>
            <w:vMerge/>
          </w:tcPr>
          <w:p w14:paraId="2B35879C" w14:textId="77777777" w:rsidR="005044EA" w:rsidRPr="00951C25" w:rsidRDefault="005044EA" w:rsidP="00195A8B">
            <w:pPr>
              <w:jc w:val="both"/>
              <w:rPr>
                <w:rFonts w:ascii="Times New Roman" w:hAnsi="Times New Roman" w:cs="Times New Roman"/>
              </w:rPr>
            </w:pPr>
          </w:p>
        </w:tc>
        <w:tc>
          <w:tcPr>
            <w:tcW w:w="789" w:type="pct"/>
          </w:tcPr>
          <w:p w14:paraId="3FA02751"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PWD</w:t>
            </w:r>
          </w:p>
        </w:tc>
        <w:tc>
          <w:tcPr>
            <w:tcW w:w="971" w:type="pct"/>
          </w:tcPr>
          <w:p w14:paraId="7E111860"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5,000,000.0</w:t>
            </w:r>
          </w:p>
        </w:tc>
        <w:tc>
          <w:tcPr>
            <w:tcW w:w="743" w:type="pct"/>
          </w:tcPr>
          <w:p w14:paraId="70E125CA"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5,000,000</w:t>
            </w:r>
          </w:p>
        </w:tc>
        <w:tc>
          <w:tcPr>
            <w:tcW w:w="777" w:type="pct"/>
          </w:tcPr>
          <w:p w14:paraId="0873AD99"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5,000,000</w:t>
            </w:r>
          </w:p>
        </w:tc>
        <w:tc>
          <w:tcPr>
            <w:tcW w:w="994" w:type="pct"/>
          </w:tcPr>
          <w:p w14:paraId="58D779C2" w14:textId="2CE02BEE" w:rsidR="005044EA" w:rsidRPr="00951C25" w:rsidRDefault="005044EA" w:rsidP="00951C25">
            <w:pPr>
              <w:jc w:val="center"/>
              <w:rPr>
                <w:rFonts w:ascii="Times New Roman" w:hAnsi="Times New Roman" w:cs="Times New Roman"/>
              </w:rPr>
            </w:pPr>
            <w:r w:rsidRPr="00951C25">
              <w:rPr>
                <w:rFonts w:ascii="Times New Roman" w:hAnsi="Times New Roman" w:cs="Times New Roman"/>
              </w:rPr>
              <w:t>0.0</w:t>
            </w:r>
          </w:p>
        </w:tc>
      </w:tr>
      <w:tr w:rsidR="005044EA" w:rsidRPr="009C3919" w14:paraId="4A373BA5" w14:textId="77777777" w:rsidTr="00951C25">
        <w:tc>
          <w:tcPr>
            <w:tcW w:w="726" w:type="pct"/>
            <w:vMerge w:val="restart"/>
          </w:tcPr>
          <w:p w14:paraId="0622AE66"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Mara</w:t>
            </w:r>
          </w:p>
        </w:tc>
        <w:tc>
          <w:tcPr>
            <w:tcW w:w="789" w:type="pct"/>
          </w:tcPr>
          <w:p w14:paraId="7B8932E7"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Women</w:t>
            </w:r>
          </w:p>
        </w:tc>
        <w:tc>
          <w:tcPr>
            <w:tcW w:w="971" w:type="pct"/>
          </w:tcPr>
          <w:p w14:paraId="5972BC6E"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5,412,612.9</w:t>
            </w:r>
          </w:p>
        </w:tc>
        <w:tc>
          <w:tcPr>
            <w:tcW w:w="743" w:type="pct"/>
          </w:tcPr>
          <w:p w14:paraId="21B3B32F"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50,000,000</w:t>
            </w:r>
          </w:p>
        </w:tc>
        <w:tc>
          <w:tcPr>
            <w:tcW w:w="777" w:type="pct"/>
          </w:tcPr>
          <w:p w14:paraId="05EDE925"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100,000</w:t>
            </w:r>
          </w:p>
        </w:tc>
        <w:tc>
          <w:tcPr>
            <w:tcW w:w="994" w:type="pct"/>
          </w:tcPr>
          <w:p w14:paraId="1315E678"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7297933.3</w:t>
            </w:r>
          </w:p>
        </w:tc>
      </w:tr>
      <w:tr w:rsidR="005044EA" w:rsidRPr="009C3919" w14:paraId="5526E858" w14:textId="77777777" w:rsidTr="00951C25">
        <w:tc>
          <w:tcPr>
            <w:tcW w:w="726" w:type="pct"/>
            <w:vMerge/>
          </w:tcPr>
          <w:p w14:paraId="43F80FAB" w14:textId="77777777" w:rsidR="005044EA" w:rsidRPr="00951C25" w:rsidRDefault="005044EA" w:rsidP="00195A8B">
            <w:pPr>
              <w:jc w:val="both"/>
              <w:rPr>
                <w:rFonts w:ascii="Times New Roman" w:hAnsi="Times New Roman" w:cs="Times New Roman"/>
              </w:rPr>
            </w:pPr>
          </w:p>
        </w:tc>
        <w:tc>
          <w:tcPr>
            <w:tcW w:w="789" w:type="pct"/>
          </w:tcPr>
          <w:p w14:paraId="1E7DEE16"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Youth</w:t>
            </w:r>
          </w:p>
        </w:tc>
        <w:tc>
          <w:tcPr>
            <w:tcW w:w="971" w:type="pct"/>
          </w:tcPr>
          <w:p w14:paraId="60238919"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5,931,238.1</w:t>
            </w:r>
          </w:p>
        </w:tc>
        <w:tc>
          <w:tcPr>
            <w:tcW w:w="743" w:type="pct"/>
          </w:tcPr>
          <w:p w14:paraId="4E4F6C62"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15,000,000</w:t>
            </w:r>
          </w:p>
        </w:tc>
        <w:tc>
          <w:tcPr>
            <w:tcW w:w="777" w:type="pct"/>
          </w:tcPr>
          <w:p w14:paraId="57FDBF72"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1,000,000</w:t>
            </w:r>
          </w:p>
        </w:tc>
        <w:tc>
          <w:tcPr>
            <w:tcW w:w="994" w:type="pct"/>
          </w:tcPr>
          <w:p w14:paraId="3CA65C12" w14:textId="6D55CB6A" w:rsidR="005044EA" w:rsidRPr="00951C25" w:rsidRDefault="005044EA" w:rsidP="00951C25">
            <w:pPr>
              <w:jc w:val="center"/>
              <w:rPr>
                <w:rFonts w:ascii="Times New Roman" w:hAnsi="Times New Roman" w:cs="Times New Roman"/>
              </w:rPr>
            </w:pPr>
            <w:r w:rsidRPr="00951C25">
              <w:rPr>
                <w:rFonts w:ascii="Times New Roman" w:hAnsi="Times New Roman" w:cs="Times New Roman"/>
              </w:rPr>
              <w:t>3,651,227.2</w:t>
            </w:r>
          </w:p>
        </w:tc>
      </w:tr>
      <w:tr w:rsidR="005044EA" w:rsidRPr="009C3919" w14:paraId="4C0CF91D" w14:textId="77777777" w:rsidTr="00951C25">
        <w:tc>
          <w:tcPr>
            <w:tcW w:w="726" w:type="pct"/>
            <w:vMerge/>
          </w:tcPr>
          <w:p w14:paraId="50AC4E96" w14:textId="77777777" w:rsidR="005044EA" w:rsidRPr="00951C25" w:rsidRDefault="005044EA" w:rsidP="00195A8B">
            <w:pPr>
              <w:jc w:val="both"/>
              <w:rPr>
                <w:rFonts w:ascii="Times New Roman" w:hAnsi="Times New Roman" w:cs="Times New Roman"/>
              </w:rPr>
            </w:pPr>
          </w:p>
        </w:tc>
        <w:tc>
          <w:tcPr>
            <w:tcW w:w="789" w:type="pct"/>
          </w:tcPr>
          <w:p w14:paraId="7D4FA96E" w14:textId="77777777" w:rsidR="005044EA" w:rsidRPr="00951C25" w:rsidRDefault="005044EA" w:rsidP="00195A8B">
            <w:pPr>
              <w:jc w:val="both"/>
              <w:rPr>
                <w:rFonts w:ascii="Times New Roman" w:hAnsi="Times New Roman" w:cs="Times New Roman"/>
              </w:rPr>
            </w:pPr>
            <w:r w:rsidRPr="00951C25">
              <w:rPr>
                <w:rFonts w:ascii="Times New Roman" w:hAnsi="Times New Roman" w:cs="Times New Roman"/>
              </w:rPr>
              <w:t>PWD</w:t>
            </w:r>
          </w:p>
        </w:tc>
        <w:tc>
          <w:tcPr>
            <w:tcW w:w="971" w:type="pct"/>
          </w:tcPr>
          <w:p w14:paraId="7423D21A"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3,000,000.0</w:t>
            </w:r>
          </w:p>
        </w:tc>
        <w:tc>
          <w:tcPr>
            <w:tcW w:w="743" w:type="pct"/>
          </w:tcPr>
          <w:p w14:paraId="1D401414"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10,000,000</w:t>
            </w:r>
          </w:p>
        </w:tc>
        <w:tc>
          <w:tcPr>
            <w:tcW w:w="777" w:type="pct"/>
          </w:tcPr>
          <w:p w14:paraId="3E4EF4A5" w14:textId="77777777" w:rsidR="005044EA" w:rsidRPr="00951C25" w:rsidRDefault="005044EA" w:rsidP="00951C25">
            <w:pPr>
              <w:jc w:val="center"/>
              <w:rPr>
                <w:rFonts w:ascii="Times New Roman" w:hAnsi="Times New Roman" w:cs="Times New Roman"/>
              </w:rPr>
            </w:pPr>
            <w:r w:rsidRPr="00951C25">
              <w:rPr>
                <w:rFonts w:ascii="Times New Roman" w:hAnsi="Times New Roman" w:cs="Times New Roman"/>
              </w:rPr>
              <w:t>1,000,000</w:t>
            </w:r>
          </w:p>
        </w:tc>
        <w:tc>
          <w:tcPr>
            <w:tcW w:w="994" w:type="pct"/>
          </w:tcPr>
          <w:p w14:paraId="760C2C50" w14:textId="0F9D4405" w:rsidR="005044EA" w:rsidRPr="00951C25" w:rsidRDefault="005044EA" w:rsidP="00951C25">
            <w:pPr>
              <w:jc w:val="center"/>
              <w:rPr>
                <w:rFonts w:ascii="Times New Roman" w:hAnsi="Times New Roman" w:cs="Times New Roman"/>
              </w:rPr>
            </w:pPr>
            <w:r w:rsidRPr="00951C25">
              <w:rPr>
                <w:rFonts w:ascii="Times New Roman" w:hAnsi="Times New Roman" w:cs="Times New Roman"/>
              </w:rPr>
              <w:t>2,228,067.7</w:t>
            </w:r>
          </w:p>
        </w:tc>
      </w:tr>
    </w:tbl>
    <w:p w14:paraId="3A1D29AA" w14:textId="486D7C4E" w:rsidR="00195A8B" w:rsidRPr="00951C25" w:rsidRDefault="00195A8B" w:rsidP="00195A8B">
      <w:pPr>
        <w:spacing w:after="160" w:line="259" w:lineRule="auto"/>
        <w:jc w:val="both"/>
        <w:rPr>
          <w:rFonts w:ascii="Times New Roman" w:eastAsia="Calibri" w:hAnsi="Times New Roman" w:cs="Times New Roman"/>
          <w:kern w:val="2"/>
          <w:lang w:eastAsia="en-US"/>
        </w:rPr>
      </w:pPr>
      <w:r w:rsidRPr="00951C25">
        <w:rPr>
          <w:rFonts w:ascii="Times New Roman" w:eastAsia="Calibri" w:hAnsi="Times New Roman" w:cs="Times New Roman"/>
          <w:b/>
          <w:bCs/>
          <w:kern w:val="2"/>
          <w:lang w:eastAsia="en-US"/>
        </w:rPr>
        <w:t>Source</w:t>
      </w:r>
      <w:r w:rsidRPr="00951C25">
        <w:rPr>
          <w:rFonts w:ascii="Times New Roman" w:eastAsia="Calibri" w:hAnsi="Times New Roman" w:cs="Times New Roman"/>
          <w:kern w:val="2"/>
          <w:lang w:eastAsia="en-US"/>
        </w:rPr>
        <w:t>: Survey field data, 2023/2024</w:t>
      </w:r>
      <w:r w:rsidR="00C12845">
        <w:rPr>
          <w:rFonts w:ascii="Times New Roman" w:eastAsia="Calibri" w:hAnsi="Times New Roman" w:cs="Times New Roman"/>
          <w:kern w:val="2"/>
          <w:lang w:eastAsia="en-US"/>
        </w:rPr>
        <w:t xml:space="preserve">: </w:t>
      </w:r>
      <w:bookmarkStart w:id="5" w:name="_Hlk203167907"/>
      <w:r w:rsidR="00C12845" w:rsidRPr="00951C25">
        <w:rPr>
          <w:rFonts w:ascii="Times New Roman" w:eastAsia="Calibri" w:hAnsi="Times New Roman" w:cs="Times New Roman"/>
          <w:i/>
          <w:iCs/>
          <w:kern w:val="2"/>
          <w:lang w:eastAsia="en-US"/>
        </w:rPr>
        <w:t>TZS= Tanzanian Shillings</w:t>
      </w:r>
      <w:bookmarkEnd w:id="5"/>
    </w:p>
    <w:p w14:paraId="0BD43A40" w14:textId="4E857887" w:rsidR="00195A8B" w:rsidRPr="00DF60D8" w:rsidRDefault="00195A8B" w:rsidP="00DF60D8">
      <w:pPr>
        <w:pStyle w:val="ListParagraph"/>
        <w:numPr>
          <w:ilvl w:val="1"/>
          <w:numId w:val="38"/>
        </w:numPr>
        <w:adjustRightInd w:val="0"/>
        <w:spacing w:after="16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val="en-GB" w:eastAsia="en-US"/>
        </w:rPr>
        <w:t>Comparison of Economic Performance of Enterprises</w:t>
      </w:r>
      <w:r w:rsidR="005044EA">
        <w:rPr>
          <w:rFonts w:ascii="Times New Roman" w:eastAsia="Calibri" w:hAnsi="Times New Roman" w:cs="Times New Roman"/>
          <w:b/>
          <w:bCs/>
          <w:kern w:val="2"/>
          <w:sz w:val="24"/>
          <w:szCs w:val="24"/>
          <w:lang w:val="en-GB" w:eastAsia="en-US"/>
        </w:rPr>
        <w:t xml:space="preserve"> Under </w:t>
      </w:r>
      <w:r w:rsidRPr="00DF60D8">
        <w:rPr>
          <w:rFonts w:ascii="Times New Roman" w:eastAsia="Calibri" w:hAnsi="Times New Roman" w:cs="Times New Roman"/>
          <w:b/>
          <w:bCs/>
          <w:kern w:val="2"/>
          <w:sz w:val="24"/>
          <w:szCs w:val="24"/>
          <w:lang w:val="en-GB" w:eastAsia="en-US"/>
        </w:rPr>
        <w:t>Economic Empowerment Schemes between Arusha and Mara Regions</w:t>
      </w:r>
    </w:p>
    <w:p w14:paraId="67CB5468" w14:textId="716DB8B8" w:rsidR="00195A8B" w:rsidRPr="00DF60D8" w:rsidRDefault="00195A8B" w:rsidP="00DF60D8">
      <w:pPr>
        <w:pStyle w:val="ListParagraph"/>
        <w:numPr>
          <w:ilvl w:val="2"/>
          <w:numId w:val="39"/>
        </w:numPr>
        <w:spacing w:after="160" w:line="259" w:lineRule="auto"/>
        <w:jc w:val="both"/>
        <w:rPr>
          <w:rFonts w:ascii="Times New Roman" w:eastAsia="Calibri" w:hAnsi="Times New Roman" w:cs="Times New Roman"/>
          <w:b/>
          <w:bCs/>
          <w:kern w:val="2"/>
          <w:sz w:val="24"/>
          <w:szCs w:val="24"/>
          <w:lang w:eastAsia="en-US"/>
        </w:rPr>
      </w:pPr>
      <w:bookmarkStart w:id="6" w:name="_Hlk202850062"/>
      <w:r w:rsidRPr="00DF60D8">
        <w:rPr>
          <w:rFonts w:ascii="Times New Roman" w:eastAsia="Calibri" w:hAnsi="Times New Roman" w:cs="Times New Roman"/>
          <w:b/>
          <w:bCs/>
          <w:kern w:val="2"/>
          <w:sz w:val="24"/>
          <w:szCs w:val="24"/>
          <w:lang w:eastAsia="en-US"/>
        </w:rPr>
        <w:t xml:space="preserve">Comparison of Production Costs of Enterprises </w:t>
      </w:r>
      <w:r w:rsidR="005044EA">
        <w:rPr>
          <w:rFonts w:ascii="Times New Roman" w:eastAsia="Calibri" w:hAnsi="Times New Roman" w:cs="Times New Roman"/>
          <w:b/>
          <w:bCs/>
          <w:kern w:val="2"/>
          <w:sz w:val="24"/>
          <w:szCs w:val="24"/>
          <w:lang w:eastAsia="en-US"/>
        </w:rPr>
        <w:t xml:space="preserve">Under </w:t>
      </w:r>
      <w:r w:rsidRPr="00DF60D8">
        <w:rPr>
          <w:rFonts w:ascii="Times New Roman" w:eastAsia="Calibri" w:hAnsi="Times New Roman" w:cs="Times New Roman"/>
          <w:b/>
          <w:bCs/>
          <w:kern w:val="2"/>
          <w:sz w:val="24"/>
          <w:szCs w:val="24"/>
          <w:lang w:eastAsia="en-US"/>
        </w:rPr>
        <w:t>Economic Empowerment Schemes between Arusha and Mara Regions</w:t>
      </w:r>
    </w:p>
    <w:bookmarkEnd w:id="6"/>
    <w:p w14:paraId="0E464B3C" w14:textId="1810CAAE"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The analysis of production costs among Local Government Authority (LGA) loan beneficiary entrepreneurs in Arusha and Mara reveals notable regional disparities in operational expenses, reflecting differences in business scale, market environments, infrastructure, and local economic dynamics (Table 3).</w:t>
      </w:r>
    </w:p>
    <w:p w14:paraId="3B07D101" w14:textId="25FE8CEB"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 xml:space="preserve">Livestock-keeping enterprises in Arusha report significantly higher total costs (TZS 75,986,223) compared to their counterparts in Mara (TZS 2,738,830). This sharp contrast likely indicates larger operational scales, higher input prices, and more commercialized production systems in Arusha, where livestock enterprises often incorporate value addition activities such as milk processing and feedlot finishing for urban and peri-urban markets. This aligns with </w:t>
      </w:r>
      <w:proofErr w:type="spellStart"/>
      <w:r w:rsidRPr="00E85188">
        <w:rPr>
          <w:rFonts w:ascii="Times New Roman" w:eastAsia="Calibri" w:hAnsi="Times New Roman" w:cs="Times New Roman"/>
          <w:kern w:val="2"/>
          <w:sz w:val="24"/>
          <w:szCs w:val="24"/>
          <w:lang w:val="en-GB" w:eastAsia="en-US"/>
        </w:rPr>
        <w:t>Msuya</w:t>
      </w:r>
      <w:proofErr w:type="spellEnd"/>
      <w:r w:rsidRPr="00E85188">
        <w:rPr>
          <w:rFonts w:ascii="Times New Roman" w:eastAsia="Calibri" w:hAnsi="Times New Roman" w:cs="Times New Roman"/>
          <w:kern w:val="2"/>
          <w:sz w:val="24"/>
          <w:szCs w:val="24"/>
          <w:lang w:val="en-GB" w:eastAsia="en-US"/>
        </w:rPr>
        <w:t xml:space="preserve"> et al. (2017), who found that livestock commercialization near Tanzanian urban </w:t>
      </w:r>
      <w:proofErr w:type="spellStart"/>
      <w:r w:rsidRPr="00E85188">
        <w:rPr>
          <w:rFonts w:ascii="Times New Roman" w:eastAsia="Calibri" w:hAnsi="Times New Roman" w:cs="Times New Roman"/>
          <w:kern w:val="2"/>
          <w:sz w:val="24"/>
          <w:szCs w:val="24"/>
          <w:lang w:val="en-GB" w:eastAsia="en-US"/>
        </w:rPr>
        <w:t>centers</w:t>
      </w:r>
      <w:proofErr w:type="spellEnd"/>
      <w:r w:rsidRPr="00E85188">
        <w:rPr>
          <w:rFonts w:ascii="Times New Roman" w:eastAsia="Calibri" w:hAnsi="Times New Roman" w:cs="Times New Roman"/>
          <w:kern w:val="2"/>
          <w:sz w:val="24"/>
          <w:szCs w:val="24"/>
          <w:lang w:val="en-GB" w:eastAsia="en-US"/>
        </w:rPr>
        <w:t xml:space="preserve"> increases operational costs due to feed, veterinary, and </w:t>
      </w:r>
      <w:proofErr w:type="spellStart"/>
      <w:r w:rsidRPr="00E85188">
        <w:rPr>
          <w:rFonts w:ascii="Times New Roman" w:eastAsia="Calibri" w:hAnsi="Times New Roman" w:cs="Times New Roman"/>
          <w:kern w:val="2"/>
          <w:sz w:val="24"/>
          <w:szCs w:val="24"/>
          <w:lang w:val="en-GB" w:eastAsia="en-US"/>
        </w:rPr>
        <w:t>labor</w:t>
      </w:r>
      <w:proofErr w:type="spellEnd"/>
      <w:r w:rsidRPr="00E85188">
        <w:rPr>
          <w:rFonts w:ascii="Times New Roman" w:eastAsia="Calibri" w:hAnsi="Times New Roman" w:cs="Times New Roman"/>
          <w:kern w:val="2"/>
          <w:sz w:val="24"/>
          <w:szCs w:val="24"/>
          <w:lang w:val="en-GB" w:eastAsia="en-US"/>
        </w:rPr>
        <w:t xml:space="preserve"> expenses, while potentially offering higher returns if efficiently managed. Conversely, livestock enterprises in Mara may operate under </w:t>
      </w:r>
      <w:r w:rsidRPr="00E85188">
        <w:rPr>
          <w:rFonts w:ascii="Times New Roman" w:eastAsia="Calibri" w:hAnsi="Times New Roman" w:cs="Times New Roman"/>
          <w:kern w:val="2"/>
          <w:sz w:val="24"/>
          <w:szCs w:val="24"/>
          <w:lang w:val="en-GB" w:eastAsia="en-US"/>
        </w:rPr>
        <w:lastRenderedPageBreak/>
        <w:t xml:space="preserve">semi-subsistence systems with lower input intensity, consistent with </w:t>
      </w:r>
      <w:proofErr w:type="spellStart"/>
      <w:r w:rsidRPr="00E85188">
        <w:rPr>
          <w:rFonts w:ascii="Times New Roman" w:eastAsia="Calibri" w:hAnsi="Times New Roman" w:cs="Times New Roman"/>
          <w:kern w:val="2"/>
          <w:sz w:val="24"/>
          <w:szCs w:val="24"/>
          <w:lang w:val="en-GB" w:eastAsia="en-US"/>
        </w:rPr>
        <w:t>Njuki</w:t>
      </w:r>
      <w:proofErr w:type="spellEnd"/>
      <w:r w:rsidRPr="00E85188">
        <w:rPr>
          <w:rFonts w:ascii="Times New Roman" w:eastAsia="Calibri" w:hAnsi="Times New Roman" w:cs="Times New Roman"/>
          <w:kern w:val="2"/>
          <w:sz w:val="24"/>
          <w:szCs w:val="24"/>
          <w:lang w:val="en-GB" w:eastAsia="en-US"/>
        </w:rPr>
        <w:t xml:space="preserve"> et al. (2011), who noted that smallholder livestock systems typically incur lower costs but are less market-oriented.</w:t>
      </w:r>
    </w:p>
    <w:p w14:paraId="6BD8C311" w14:textId="59C8340D"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Wholesale and retail businesses in Arusha also exhibit higher production costs (TZS 44,958,692) compared to Mara (TZS 4,228,633). This disparity likely reflects Arusha’s role as a regional trade hub, where larger market volumes, warehousing needs, transportation, and regulatory fees contribute to higher operational expenditures. Studies by Dinh et al. (2012) and the World Bank (2019) indicate that while urban markets present scale opportunities, they also introduce higher logistics and compliance costs, which can strain cash flows unless mitigated through efficient inventory and supply chain strategies.</w:t>
      </w:r>
    </w:p>
    <w:p w14:paraId="75C05510"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 xml:space="preserve">In the transportation sector, total costs in Arusha (TZS 17,171,996) are substantially higher than in Mara (TZS 1,112,000). Arusha’s vibrant tourism, agricultural, and intra-regional trade sectors drive demand for transport services but also expose entrepreneurs to elevated maintenance, licensing, and fuel costs. According to Ellis and </w:t>
      </w:r>
      <w:proofErr w:type="spellStart"/>
      <w:r w:rsidRPr="00E85188">
        <w:rPr>
          <w:rFonts w:ascii="Times New Roman" w:eastAsia="Calibri" w:hAnsi="Times New Roman" w:cs="Times New Roman"/>
          <w:kern w:val="2"/>
          <w:sz w:val="24"/>
          <w:szCs w:val="24"/>
          <w:lang w:val="en-GB" w:eastAsia="en-US"/>
        </w:rPr>
        <w:t>Mdoe</w:t>
      </w:r>
      <w:proofErr w:type="spellEnd"/>
      <w:r w:rsidRPr="00E85188">
        <w:rPr>
          <w:rFonts w:ascii="Times New Roman" w:eastAsia="Calibri" w:hAnsi="Times New Roman" w:cs="Times New Roman"/>
          <w:kern w:val="2"/>
          <w:sz w:val="24"/>
          <w:szCs w:val="24"/>
          <w:lang w:val="en-GB" w:eastAsia="en-US"/>
        </w:rPr>
        <w:t xml:space="preserve"> (2003), enterprises in high-activity economic zones often face inflated input and service prices, affecting profitability if operational inefficiencies persist.</w:t>
      </w:r>
    </w:p>
    <w:p w14:paraId="17172FFF"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In contrast, crop production enterprises in Arusha incur a total cost of TZS 1,890,000—higher than Mara’s TZS 869,998—but relatively low when compared to other sectors. This suggests smaller land holdings or lower input usage in urban and peri-urban areas. Jayne et al. (2016) similarly observed that peri-urban crop farming in Tanzania tends to involve fewer inputs due to land scarcity, despite the benefit of market proximity. In Mara, low production costs align with expansive land availability and reliance on rainfed systems, resulting in minimal expenditures on irrigation and mechanization.</w:t>
      </w:r>
    </w:p>
    <w:p w14:paraId="5B4A122C"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 xml:space="preserve">Interestingly, construction enterprises exhibit relatively similar total costs in both regions (TZS 4,282,000 in Arusha; TZS 4,495,264 in Mara), suggesting parity in project scale and input prices. This may reflect national market integration in the cost of materials and </w:t>
      </w:r>
      <w:proofErr w:type="spellStart"/>
      <w:r w:rsidRPr="00E85188">
        <w:rPr>
          <w:rFonts w:ascii="Times New Roman" w:eastAsia="Calibri" w:hAnsi="Times New Roman" w:cs="Times New Roman"/>
          <w:kern w:val="2"/>
          <w:sz w:val="24"/>
          <w:szCs w:val="24"/>
          <w:lang w:val="en-GB" w:eastAsia="en-US"/>
        </w:rPr>
        <w:t>labor</w:t>
      </w:r>
      <w:proofErr w:type="spellEnd"/>
      <w:r w:rsidRPr="00E85188">
        <w:rPr>
          <w:rFonts w:ascii="Times New Roman" w:eastAsia="Calibri" w:hAnsi="Times New Roman" w:cs="Times New Roman"/>
          <w:kern w:val="2"/>
          <w:sz w:val="24"/>
          <w:szCs w:val="24"/>
          <w:lang w:val="en-GB" w:eastAsia="en-US"/>
        </w:rPr>
        <w:t>, as discussed by Cooksey (2011) in his analysis of Tanzania’s construction materials market.</w:t>
      </w:r>
    </w:p>
    <w:p w14:paraId="1F381688" w14:textId="77777777" w:rsidR="00E85188" w:rsidRPr="00E85188" w:rsidRDefault="00E85188" w:rsidP="00E85188">
      <w:pPr>
        <w:spacing w:after="160" w:line="360" w:lineRule="auto"/>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 xml:space="preserve">These findings support enterprise development theories emphasizing the role of regional economic contexts in shaping business costs and viability (Mead &amp; </w:t>
      </w:r>
      <w:proofErr w:type="spellStart"/>
      <w:r w:rsidRPr="00E85188">
        <w:rPr>
          <w:rFonts w:ascii="Times New Roman" w:eastAsia="Calibri" w:hAnsi="Times New Roman" w:cs="Times New Roman"/>
          <w:kern w:val="2"/>
          <w:sz w:val="24"/>
          <w:szCs w:val="24"/>
          <w:lang w:val="en-GB" w:eastAsia="en-US"/>
        </w:rPr>
        <w:t>Liedholm</w:t>
      </w:r>
      <w:proofErr w:type="spellEnd"/>
      <w:r w:rsidRPr="00E85188">
        <w:rPr>
          <w:rFonts w:ascii="Times New Roman" w:eastAsia="Calibri" w:hAnsi="Times New Roman" w:cs="Times New Roman"/>
          <w:kern w:val="2"/>
          <w:sz w:val="24"/>
          <w:szCs w:val="24"/>
          <w:lang w:val="en-GB" w:eastAsia="en-US"/>
        </w:rPr>
        <w:t xml:space="preserve">, 1998; McPherson, 1996). The high operational costs observed in Arusha—particularly in livestock and </w:t>
      </w:r>
      <w:r w:rsidRPr="00E85188">
        <w:rPr>
          <w:rFonts w:ascii="Times New Roman" w:eastAsia="Calibri" w:hAnsi="Times New Roman" w:cs="Times New Roman"/>
          <w:kern w:val="2"/>
          <w:sz w:val="24"/>
          <w:szCs w:val="24"/>
          <w:lang w:val="en-GB" w:eastAsia="en-US"/>
        </w:rPr>
        <w:lastRenderedPageBreak/>
        <w:t xml:space="preserve">wholesale/retail sectors—indicate the need for robust financial planning, cost control, and supply chain optimization. This aligns with </w:t>
      </w:r>
      <w:proofErr w:type="spellStart"/>
      <w:r w:rsidRPr="00E85188">
        <w:rPr>
          <w:rFonts w:ascii="Times New Roman" w:eastAsia="Calibri" w:hAnsi="Times New Roman" w:cs="Times New Roman"/>
          <w:kern w:val="2"/>
          <w:sz w:val="24"/>
          <w:szCs w:val="24"/>
          <w:lang w:val="en-GB" w:eastAsia="en-US"/>
        </w:rPr>
        <w:t>Klapper</w:t>
      </w:r>
      <w:proofErr w:type="spellEnd"/>
      <w:r w:rsidRPr="00E85188">
        <w:rPr>
          <w:rFonts w:ascii="Times New Roman" w:eastAsia="Calibri" w:hAnsi="Times New Roman" w:cs="Times New Roman"/>
          <w:kern w:val="2"/>
          <w:sz w:val="24"/>
          <w:szCs w:val="24"/>
          <w:lang w:val="en-GB" w:eastAsia="en-US"/>
        </w:rPr>
        <w:t xml:space="preserve"> and Richmond (2011), who advocate for productivity improvements in high-cost business environments.</w:t>
      </w:r>
    </w:p>
    <w:p w14:paraId="18490F3B" w14:textId="218A66D2" w:rsidR="00195A8B" w:rsidRPr="00195A8B" w:rsidRDefault="00E85188" w:rsidP="005C4ABF">
      <w:pPr>
        <w:spacing w:after="160" w:line="360" w:lineRule="auto"/>
        <w:contextualSpacing/>
        <w:jc w:val="both"/>
        <w:rPr>
          <w:rFonts w:ascii="Times New Roman" w:eastAsia="Calibri" w:hAnsi="Times New Roman" w:cs="Times New Roman"/>
          <w:kern w:val="2"/>
          <w:sz w:val="24"/>
          <w:szCs w:val="24"/>
          <w:lang w:val="en-GB" w:eastAsia="en-US"/>
        </w:rPr>
      </w:pPr>
      <w:r w:rsidRPr="00E85188">
        <w:rPr>
          <w:rFonts w:ascii="Times New Roman" w:eastAsia="Calibri" w:hAnsi="Times New Roman" w:cs="Times New Roman"/>
          <w:kern w:val="2"/>
          <w:sz w:val="24"/>
          <w:szCs w:val="24"/>
          <w:lang w:val="en-GB" w:eastAsia="en-US"/>
        </w:rPr>
        <w:t>Meanwhile, the relatively lower operational costs in Mara could support gradual enterprise growth</w:t>
      </w:r>
      <w:r>
        <w:rPr>
          <w:rFonts w:ascii="Times New Roman" w:eastAsia="Calibri" w:hAnsi="Times New Roman" w:cs="Times New Roman"/>
          <w:kern w:val="2"/>
          <w:sz w:val="24"/>
          <w:szCs w:val="24"/>
          <w:lang w:val="en-GB" w:eastAsia="en-US"/>
        </w:rPr>
        <w:t xml:space="preserve">, </w:t>
      </w:r>
      <w:r w:rsidRPr="00E85188">
        <w:rPr>
          <w:rFonts w:ascii="Times New Roman" w:eastAsia="Calibri" w:hAnsi="Times New Roman" w:cs="Times New Roman"/>
          <w:kern w:val="2"/>
          <w:sz w:val="24"/>
          <w:szCs w:val="24"/>
          <w:lang w:val="en-GB" w:eastAsia="en-US"/>
        </w:rPr>
        <w:t xml:space="preserve">provided that challenges related to market access, infrastructure, and technical capacity are addressed. This echoes findings by </w:t>
      </w:r>
      <w:proofErr w:type="spellStart"/>
      <w:r w:rsidRPr="00E85188">
        <w:rPr>
          <w:rFonts w:ascii="Times New Roman" w:eastAsia="Calibri" w:hAnsi="Times New Roman" w:cs="Times New Roman"/>
          <w:kern w:val="2"/>
          <w:sz w:val="24"/>
          <w:szCs w:val="24"/>
          <w:lang w:val="en-GB" w:eastAsia="en-US"/>
        </w:rPr>
        <w:t>Chongela</w:t>
      </w:r>
      <w:proofErr w:type="spellEnd"/>
      <w:r w:rsidRPr="00E85188">
        <w:rPr>
          <w:rFonts w:ascii="Times New Roman" w:eastAsia="Calibri" w:hAnsi="Times New Roman" w:cs="Times New Roman"/>
          <w:kern w:val="2"/>
          <w:sz w:val="24"/>
          <w:szCs w:val="24"/>
          <w:lang w:val="en-GB" w:eastAsia="en-US"/>
        </w:rPr>
        <w:t xml:space="preserve"> (2015), who noted that although rural enterprises in Tanzania benefit from lower cost pressures, their growth remains constrained by limited infrastructure, weak market linkages, and lower financial literacy.</w:t>
      </w:r>
    </w:p>
    <w:p w14:paraId="45D9FD4F" w14:textId="26F455D7" w:rsidR="00195A8B" w:rsidRPr="00951C25" w:rsidRDefault="00195A8B" w:rsidP="00951C25">
      <w:pPr>
        <w:spacing w:after="0" w:line="259" w:lineRule="auto"/>
        <w:ind w:left="864" w:hanging="864"/>
        <w:jc w:val="both"/>
        <w:rPr>
          <w:rFonts w:ascii="Times New Roman" w:eastAsia="Calibri" w:hAnsi="Times New Roman" w:cs="Times New Roman"/>
          <w:b/>
          <w:bCs/>
          <w:kern w:val="2"/>
          <w:lang w:eastAsia="en-US"/>
        </w:rPr>
      </w:pPr>
      <w:r w:rsidRPr="00951C25">
        <w:rPr>
          <w:rFonts w:ascii="Times New Roman" w:eastAsia="Calibri" w:hAnsi="Times New Roman" w:cs="Times New Roman"/>
          <w:b/>
          <w:bCs/>
          <w:kern w:val="2"/>
          <w:lang w:eastAsia="en-US"/>
        </w:rPr>
        <w:t xml:space="preserve">Table </w:t>
      </w:r>
      <w:r w:rsidR="00E12220">
        <w:rPr>
          <w:rFonts w:ascii="Times New Roman" w:eastAsia="Calibri" w:hAnsi="Times New Roman" w:cs="Times New Roman"/>
          <w:b/>
          <w:bCs/>
          <w:kern w:val="2"/>
          <w:lang w:eastAsia="en-US"/>
        </w:rPr>
        <w:t>3</w:t>
      </w:r>
      <w:r w:rsidRPr="00951C25">
        <w:rPr>
          <w:rFonts w:ascii="Times New Roman" w:eastAsia="Calibri" w:hAnsi="Times New Roman" w:cs="Times New Roman"/>
          <w:b/>
          <w:bCs/>
          <w:kern w:val="2"/>
          <w:lang w:eastAsia="en-US"/>
        </w:rPr>
        <w:t xml:space="preserve">. Comparison of Production Costs of Enterprises </w:t>
      </w:r>
      <w:proofErr w:type="gramStart"/>
      <w:r w:rsidR="005044EA" w:rsidRPr="00951C25">
        <w:rPr>
          <w:rFonts w:ascii="Times New Roman" w:eastAsia="Calibri" w:hAnsi="Times New Roman" w:cs="Times New Roman"/>
          <w:b/>
          <w:bCs/>
          <w:kern w:val="2"/>
          <w:lang w:eastAsia="en-US"/>
        </w:rPr>
        <w:t xml:space="preserve">Under </w:t>
      </w:r>
      <w:r w:rsidRPr="00951C25">
        <w:rPr>
          <w:rFonts w:ascii="Times New Roman" w:eastAsia="Calibri" w:hAnsi="Times New Roman" w:cs="Times New Roman"/>
          <w:b/>
          <w:bCs/>
          <w:kern w:val="2"/>
          <w:lang w:eastAsia="en-US"/>
        </w:rPr>
        <w:t xml:space="preserve"> Economic</w:t>
      </w:r>
      <w:proofErr w:type="gramEnd"/>
      <w:r w:rsidRPr="00951C25">
        <w:rPr>
          <w:rFonts w:ascii="Times New Roman" w:eastAsia="Calibri" w:hAnsi="Times New Roman" w:cs="Times New Roman"/>
          <w:b/>
          <w:bCs/>
          <w:kern w:val="2"/>
          <w:lang w:eastAsia="en-US"/>
        </w:rPr>
        <w:t xml:space="preserve"> Empowerment Schemes between Arusha and Mara Regions</w:t>
      </w:r>
    </w:p>
    <w:tbl>
      <w:tblPr>
        <w:tblStyle w:val="TableGrid11"/>
        <w:tblW w:w="4983" w:type="pct"/>
        <w:tblLook w:val="04A0" w:firstRow="1" w:lastRow="0" w:firstColumn="1" w:lastColumn="0" w:noHBand="0" w:noVBand="1"/>
      </w:tblPr>
      <w:tblGrid>
        <w:gridCol w:w="3890"/>
        <w:gridCol w:w="1439"/>
        <w:gridCol w:w="1351"/>
        <w:gridCol w:w="1529"/>
        <w:gridCol w:w="1334"/>
        <w:tblGridChange w:id="7">
          <w:tblGrid>
            <w:gridCol w:w="3890"/>
            <w:gridCol w:w="1439"/>
            <w:gridCol w:w="1351"/>
            <w:gridCol w:w="1529"/>
            <w:gridCol w:w="1334"/>
          </w:tblGrid>
        </w:tblGridChange>
      </w:tblGrid>
      <w:tr w:rsidR="00195A8B" w:rsidRPr="009C3919" w14:paraId="1A75B788" w14:textId="77777777" w:rsidTr="00951C25">
        <w:tc>
          <w:tcPr>
            <w:tcW w:w="2038" w:type="pct"/>
            <w:vMerge w:val="restart"/>
          </w:tcPr>
          <w:p w14:paraId="56D7A65A" w14:textId="77777777" w:rsidR="00195A8B" w:rsidRPr="00951C25" w:rsidRDefault="00195A8B" w:rsidP="00951C25">
            <w:pPr>
              <w:ind w:hanging="90"/>
              <w:rPr>
                <w:rFonts w:ascii="Times New Roman" w:hAnsi="Times New Roman" w:cs="Times New Roman"/>
                <w:b/>
                <w:bCs/>
              </w:rPr>
            </w:pPr>
            <w:r w:rsidRPr="00951C25">
              <w:rPr>
                <w:rFonts w:ascii="Times New Roman" w:hAnsi="Times New Roman" w:cs="Times New Roman"/>
                <w:b/>
                <w:bCs/>
              </w:rPr>
              <w:t>Enterprises</w:t>
            </w:r>
          </w:p>
        </w:tc>
        <w:tc>
          <w:tcPr>
            <w:tcW w:w="2962" w:type="pct"/>
            <w:gridSpan w:val="4"/>
          </w:tcPr>
          <w:p w14:paraId="2A159EB1" w14:textId="77777777" w:rsidR="00195A8B" w:rsidRPr="00951C25" w:rsidRDefault="00195A8B" w:rsidP="00951C25">
            <w:pPr>
              <w:ind w:hanging="90"/>
              <w:jc w:val="center"/>
              <w:rPr>
                <w:rFonts w:ascii="Times New Roman" w:hAnsi="Times New Roman" w:cs="Times New Roman"/>
                <w:b/>
                <w:bCs/>
              </w:rPr>
            </w:pPr>
            <w:r w:rsidRPr="00951C25">
              <w:rPr>
                <w:rFonts w:ascii="Times New Roman" w:hAnsi="Times New Roman" w:cs="Times New Roman"/>
                <w:b/>
                <w:bCs/>
              </w:rPr>
              <w:t>Total cost</w:t>
            </w:r>
          </w:p>
        </w:tc>
      </w:tr>
      <w:tr w:rsidR="00195A8B" w:rsidRPr="009C3919" w14:paraId="472F8122" w14:textId="77777777" w:rsidTr="00951C25">
        <w:tc>
          <w:tcPr>
            <w:tcW w:w="2038" w:type="pct"/>
            <w:vMerge/>
          </w:tcPr>
          <w:p w14:paraId="310E9DF8" w14:textId="77777777" w:rsidR="00195A8B" w:rsidRPr="00951C25" w:rsidRDefault="00195A8B" w:rsidP="00951C25">
            <w:pPr>
              <w:ind w:hanging="90"/>
              <w:rPr>
                <w:rFonts w:ascii="Times New Roman" w:hAnsi="Times New Roman" w:cs="Times New Roman"/>
                <w:b/>
                <w:bCs/>
              </w:rPr>
            </w:pPr>
          </w:p>
        </w:tc>
        <w:tc>
          <w:tcPr>
            <w:tcW w:w="1462" w:type="pct"/>
            <w:gridSpan w:val="2"/>
          </w:tcPr>
          <w:p w14:paraId="18CF0A76" w14:textId="77777777" w:rsidR="00195A8B" w:rsidRPr="00951C25" w:rsidRDefault="00195A8B" w:rsidP="009C3919">
            <w:pPr>
              <w:ind w:hanging="90"/>
              <w:jc w:val="center"/>
              <w:rPr>
                <w:rFonts w:ascii="Times New Roman" w:hAnsi="Times New Roman" w:cs="Times New Roman"/>
                <w:b/>
                <w:bCs/>
              </w:rPr>
            </w:pPr>
            <w:r w:rsidRPr="00951C25">
              <w:rPr>
                <w:rFonts w:ascii="Times New Roman" w:hAnsi="Times New Roman" w:cs="Times New Roman"/>
                <w:b/>
                <w:bCs/>
              </w:rPr>
              <w:t>Arusha</w:t>
            </w:r>
          </w:p>
        </w:tc>
        <w:tc>
          <w:tcPr>
            <w:tcW w:w="1501" w:type="pct"/>
            <w:gridSpan w:val="2"/>
            <w:vAlign w:val="bottom"/>
          </w:tcPr>
          <w:p w14:paraId="59D122C3" w14:textId="77777777" w:rsidR="00195A8B" w:rsidRPr="00951C25" w:rsidRDefault="00195A8B" w:rsidP="009C3919">
            <w:pPr>
              <w:ind w:hanging="90"/>
              <w:jc w:val="center"/>
              <w:rPr>
                <w:rFonts w:ascii="Times New Roman" w:hAnsi="Times New Roman" w:cs="Times New Roman"/>
                <w:b/>
                <w:bCs/>
              </w:rPr>
            </w:pPr>
            <w:r w:rsidRPr="00951C25">
              <w:rPr>
                <w:rFonts w:ascii="Times New Roman" w:hAnsi="Times New Roman" w:cs="Times New Roman"/>
                <w:b/>
                <w:bCs/>
              </w:rPr>
              <w:t>Mara</w:t>
            </w:r>
          </w:p>
        </w:tc>
      </w:tr>
      <w:tr w:rsidR="00C12845" w:rsidRPr="009C3919" w14:paraId="0748EF69" w14:textId="77777777" w:rsidTr="00C12845">
        <w:tc>
          <w:tcPr>
            <w:tcW w:w="2038" w:type="pct"/>
            <w:vMerge/>
          </w:tcPr>
          <w:p w14:paraId="0479DD95" w14:textId="77777777" w:rsidR="00195A8B" w:rsidRPr="00951C25" w:rsidRDefault="00195A8B" w:rsidP="00951C25">
            <w:pPr>
              <w:ind w:hanging="90"/>
              <w:rPr>
                <w:rFonts w:ascii="Times New Roman" w:hAnsi="Times New Roman" w:cs="Times New Roman"/>
                <w:b/>
                <w:bCs/>
              </w:rPr>
            </w:pPr>
          </w:p>
        </w:tc>
        <w:tc>
          <w:tcPr>
            <w:tcW w:w="754" w:type="pct"/>
            <w:vAlign w:val="center"/>
          </w:tcPr>
          <w:p w14:paraId="523643A4" w14:textId="28D83B76" w:rsidR="00195A8B" w:rsidRPr="00951C25" w:rsidRDefault="00195A8B" w:rsidP="00951C25">
            <w:pPr>
              <w:ind w:hanging="90"/>
              <w:jc w:val="both"/>
              <w:rPr>
                <w:rFonts w:ascii="Times New Roman" w:hAnsi="Times New Roman" w:cs="Times New Roman"/>
                <w:b/>
                <w:bCs/>
              </w:rPr>
            </w:pPr>
            <w:r w:rsidRPr="00951C25">
              <w:rPr>
                <w:rFonts w:ascii="Times New Roman" w:hAnsi="Times New Roman" w:cs="Times New Roman"/>
                <w:b/>
                <w:bCs/>
              </w:rPr>
              <w:t>Mean</w:t>
            </w:r>
            <w:r w:rsidR="00C12845" w:rsidRPr="00951C25">
              <w:rPr>
                <w:rFonts w:ascii="Times New Roman" w:hAnsi="Times New Roman" w:cs="Times New Roman"/>
                <w:b/>
                <w:bCs/>
              </w:rPr>
              <w:t xml:space="preserve"> </w:t>
            </w:r>
            <w:r w:rsidR="00C12845" w:rsidRPr="00951C25">
              <w:rPr>
                <w:rFonts w:ascii="Times New Roman" w:hAnsi="Times New Roman" w:cs="Times New Roman"/>
                <w:b/>
                <w:bCs/>
              </w:rPr>
              <w:t>(TZS)</w:t>
            </w:r>
          </w:p>
        </w:tc>
        <w:tc>
          <w:tcPr>
            <w:tcW w:w="708" w:type="pct"/>
            <w:vAlign w:val="center"/>
          </w:tcPr>
          <w:p w14:paraId="06CDD25C" w14:textId="77777777" w:rsidR="00195A8B" w:rsidRPr="00951C25" w:rsidRDefault="00195A8B" w:rsidP="00951C25">
            <w:pPr>
              <w:ind w:hanging="90"/>
              <w:jc w:val="both"/>
              <w:rPr>
                <w:rFonts w:ascii="Times New Roman" w:hAnsi="Times New Roman" w:cs="Times New Roman"/>
                <w:b/>
                <w:bCs/>
              </w:rPr>
            </w:pPr>
            <w:r w:rsidRPr="00951C25">
              <w:rPr>
                <w:rFonts w:ascii="Times New Roman" w:hAnsi="Times New Roman" w:cs="Times New Roman"/>
                <w:b/>
                <w:bCs/>
              </w:rPr>
              <w:t>Sum (TZS)</w:t>
            </w:r>
          </w:p>
        </w:tc>
        <w:tc>
          <w:tcPr>
            <w:tcW w:w="801" w:type="pct"/>
            <w:vAlign w:val="center"/>
          </w:tcPr>
          <w:p w14:paraId="210BB67E" w14:textId="72E050C0" w:rsidR="00195A8B" w:rsidRPr="00951C25" w:rsidRDefault="00195A8B" w:rsidP="00951C25">
            <w:pPr>
              <w:ind w:hanging="90"/>
              <w:jc w:val="both"/>
              <w:rPr>
                <w:rFonts w:ascii="Times New Roman" w:hAnsi="Times New Roman" w:cs="Times New Roman"/>
                <w:b/>
                <w:bCs/>
              </w:rPr>
            </w:pPr>
            <w:r w:rsidRPr="00951C25">
              <w:rPr>
                <w:rFonts w:ascii="Times New Roman" w:hAnsi="Times New Roman" w:cs="Times New Roman"/>
                <w:b/>
                <w:bCs/>
              </w:rPr>
              <w:t>Mean</w:t>
            </w:r>
            <w:r w:rsidR="00C12845" w:rsidRPr="00951C25">
              <w:rPr>
                <w:rFonts w:ascii="Times New Roman" w:hAnsi="Times New Roman" w:cs="Times New Roman"/>
                <w:b/>
                <w:bCs/>
              </w:rPr>
              <w:t xml:space="preserve"> T</w:t>
            </w:r>
            <w:r w:rsidR="00C12845" w:rsidRPr="00951C25">
              <w:rPr>
                <w:rFonts w:ascii="Times New Roman" w:hAnsi="Times New Roman" w:cs="Times New Roman"/>
                <w:b/>
                <w:bCs/>
              </w:rPr>
              <w:t>ZS)</w:t>
            </w:r>
          </w:p>
        </w:tc>
        <w:tc>
          <w:tcPr>
            <w:tcW w:w="699" w:type="pct"/>
            <w:vAlign w:val="center"/>
          </w:tcPr>
          <w:p w14:paraId="5964B38C" w14:textId="77777777" w:rsidR="00195A8B" w:rsidRPr="00951C25" w:rsidRDefault="00195A8B" w:rsidP="00951C25">
            <w:pPr>
              <w:ind w:hanging="90"/>
              <w:jc w:val="both"/>
              <w:rPr>
                <w:rFonts w:ascii="Times New Roman" w:hAnsi="Times New Roman" w:cs="Times New Roman"/>
                <w:b/>
                <w:bCs/>
              </w:rPr>
            </w:pPr>
            <w:r w:rsidRPr="00951C25">
              <w:rPr>
                <w:rFonts w:ascii="Times New Roman" w:hAnsi="Times New Roman" w:cs="Times New Roman"/>
                <w:b/>
                <w:bCs/>
              </w:rPr>
              <w:t>Sum (TZS)</w:t>
            </w:r>
          </w:p>
        </w:tc>
      </w:tr>
      <w:tr w:rsidR="00C12845" w:rsidRPr="009C3919" w14:paraId="4EC25559" w14:textId="77777777" w:rsidTr="00C12845">
        <w:tc>
          <w:tcPr>
            <w:tcW w:w="2038" w:type="pct"/>
          </w:tcPr>
          <w:p w14:paraId="141531B1"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Crop production enterprises</w:t>
            </w:r>
          </w:p>
        </w:tc>
        <w:tc>
          <w:tcPr>
            <w:tcW w:w="754" w:type="pct"/>
          </w:tcPr>
          <w:p w14:paraId="0C1FFCAA"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270,000</w:t>
            </w:r>
          </w:p>
        </w:tc>
        <w:tc>
          <w:tcPr>
            <w:tcW w:w="708" w:type="pct"/>
          </w:tcPr>
          <w:p w14:paraId="422CC36D"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1,890,000</w:t>
            </w:r>
          </w:p>
        </w:tc>
        <w:tc>
          <w:tcPr>
            <w:tcW w:w="801" w:type="pct"/>
            <w:vAlign w:val="bottom"/>
          </w:tcPr>
          <w:p w14:paraId="4A51F2E1"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89,444</w:t>
            </w:r>
          </w:p>
        </w:tc>
        <w:tc>
          <w:tcPr>
            <w:tcW w:w="699" w:type="pct"/>
            <w:vAlign w:val="bottom"/>
          </w:tcPr>
          <w:p w14:paraId="44DF8A1D"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869,998</w:t>
            </w:r>
          </w:p>
        </w:tc>
      </w:tr>
      <w:tr w:rsidR="00C12845" w:rsidRPr="009C3919" w14:paraId="574907A1" w14:textId="77777777" w:rsidTr="00C12845">
        <w:tc>
          <w:tcPr>
            <w:tcW w:w="2038" w:type="pct"/>
          </w:tcPr>
          <w:p w14:paraId="105116DE"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Livestock keeping enterprises</w:t>
            </w:r>
          </w:p>
        </w:tc>
        <w:tc>
          <w:tcPr>
            <w:tcW w:w="754" w:type="pct"/>
            <w:vAlign w:val="bottom"/>
          </w:tcPr>
          <w:p w14:paraId="11E70CD5"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361,702</w:t>
            </w:r>
          </w:p>
        </w:tc>
        <w:tc>
          <w:tcPr>
            <w:tcW w:w="708" w:type="pct"/>
            <w:vAlign w:val="bottom"/>
          </w:tcPr>
          <w:p w14:paraId="67E3F41C"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75,986,223</w:t>
            </w:r>
          </w:p>
        </w:tc>
        <w:tc>
          <w:tcPr>
            <w:tcW w:w="801" w:type="pct"/>
            <w:vAlign w:val="bottom"/>
          </w:tcPr>
          <w:p w14:paraId="2F18C0DF"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291,713</w:t>
            </w:r>
          </w:p>
        </w:tc>
        <w:tc>
          <w:tcPr>
            <w:tcW w:w="699" w:type="pct"/>
            <w:vAlign w:val="bottom"/>
          </w:tcPr>
          <w:p w14:paraId="63ABF7A9"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2,738,830</w:t>
            </w:r>
          </w:p>
        </w:tc>
      </w:tr>
      <w:tr w:rsidR="00C12845" w:rsidRPr="009C3919" w14:paraId="58C4F6D2" w14:textId="77777777" w:rsidTr="00C12845">
        <w:tc>
          <w:tcPr>
            <w:tcW w:w="2038" w:type="pct"/>
          </w:tcPr>
          <w:p w14:paraId="27B68148" w14:textId="75EE11A7" w:rsidR="00195A8B" w:rsidRPr="00951C25" w:rsidRDefault="00DF60D8" w:rsidP="00951C25">
            <w:pPr>
              <w:ind w:hanging="90"/>
              <w:rPr>
                <w:rFonts w:ascii="Times New Roman" w:hAnsi="Times New Roman" w:cs="Times New Roman"/>
                <w:bCs/>
              </w:rPr>
            </w:pPr>
            <w:r w:rsidRPr="00951C25">
              <w:rPr>
                <w:rFonts w:ascii="Times New Roman" w:hAnsi="Times New Roman" w:cs="Times New Roman"/>
                <w:bCs/>
              </w:rPr>
              <w:t>Wholesale</w:t>
            </w:r>
            <w:r w:rsidR="00195A8B" w:rsidRPr="00951C25">
              <w:rPr>
                <w:rFonts w:ascii="Times New Roman" w:hAnsi="Times New Roman" w:cs="Times New Roman"/>
                <w:bCs/>
              </w:rPr>
              <w:t xml:space="preserve"> and Retail business</w:t>
            </w:r>
          </w:p>
        </w:tc>
        <w:tc>
          <w:tcPr>
            <w:tcW w:w="754" w:type="pct"/>
            <w:vAlign w:val="bottom"/>
          </w:tcPr>
          <w:p w14:paraId="1F8A802C"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232,156</w:t>
            </w:r>
          </w:p>
        </w:tc>
        <w:tc>
          <w:tcPr>
            <w:tcW w:w="708" w:type="pct"/>
            <w:vAlign w:val="bottom"/>
          </w:tcPr>
          <w:p w14:paraId="1F63E9BC"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44,958,692</w:t>
            </w:r>
          </w:p>
        </w:tc>
        <w:tc>
          <w:tcPr>
            <w:tcW w:w="801" w:type="pct"/>
            <w:vAlign w:val="bottom"/>
          </w:tcPr>
          <w:p w14:paraId="570A8B4A"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78,948</w:t>
            </w:r>
          </w:p>
        </w:tc>
        <w:tc>
          <w:tcPr>
            <w:tcW w:w="699" w:type="pct"/>
            <w:vAlign w:val="bottom"/>
          </w:tcPr>
          <w:p w14:paraId="4A8E865A"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4,228,633</w:t>
            </w:r>
          </w:p>
        </w:tc>
      </w:tr>
      <w:tr w:rsidR="00C12845" w:rsidRPr="009C3919" w14:paraId="76176D5B" w14:textId="77777777" w:rsidTr="00C12845">
        <w:tc>
          <w:tcPr>
            <w:tcW w:w="2038" w:type="pct"/>
          </w:tcPr>
          <w:p w14:paraId="173DC51C"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Transportation enterprises</w:t>
            </w:r>
          </w:p>
        </w:tc>
        <w:tc>
          <w:tcPr>
            <w:tcW w:w="754" w:type="pct"/>
          </w:tcPr>
          <w:p w14:paraId="37BF8F73"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209,415</w:t>
            </w:r>
          </w:p>
        </w:tc>
        <w:tc>
          <w:tcPr>
            <w:tcW w:w="708" w:type="pct"/>
          </w:tcPr>
          <w:p w14:paraId="4AEF052B"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17,171,996</w:t>
            </w:r>
          </w:p>
        </w:tc>
        <w:tc>
          <w:tcPr>
            <w:tcW w:w="801" w:type="pct"/>
          </w:tcPr>
          <w:p w14:paraId="4EA62D05"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222,400</w:t>
            </w:r>
          </w:p>
        </w:tc>
        <w:tc>
          <w:tcPr>
            <w:tcW w:w="699" w:type="pct"/>
          </w:tcPr>
          <w:p w14:paraId="5819EFF5"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1,112,000</w:t>
            </w:r>
          </w:p>
        </w:tc>
      </w:tr>
      <w:tr w:rsidR="00C12845" w:rsidRPr="009C3919" w14:paraId="4DABC387" w14:textId="77777777" w:rsidTr="00C12845">
        <w:tc>
          <w:tcPr>
            <w:tcW w:w="2038" w:type="pct"/>
          </w:tcPr>
          <w:p w14:paraId="7BCB36B6"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Construction enterprises</w:t>
            </w:r>
          </w:p>
        </w:tc>
        <w:tc>
          <w:tcPr>
            <w:tcW w:w="754" w:type="pct"/>
            <w:vAlign w:val="bottom"/>
          </w:tcPr>
          <w:p w14:paraId="3DFEF1A8"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398,200</w:t>
            </w:r>
          </w:p>
        </w:tc>
        <w:tc>
          <w:tcPr>
            <w:tcW w:w="708" w:type="pct"/>
            <w:vAlign w:val="bottom"/>
          </w:tcPr>
          <w:p w14:paraId="78899883"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4,282,000</w:t>
            </w:r>
          </w:p>
        </w:tc>
        <w:tc>
          <w:tcPr>
            <w:tcW w:w="801" w:type="pct"/>
            <w:vAlign w:val="bottom"/>
          </w:tcPr>
          <w:p w14:paraId="51ACDBAA"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240,927</w:t>
            </w:r>
          </w:p>
        </w:tc>
        <w:tc>
          <w:tcPr>
            <w:tcW w:w="699" w:type="pct"/>
            <w:vAlign w:val="bottom"/>
          </w:tcPr>
          <w:p w14:paraId="6F73EF2F" w14:textId="77777777" w:rsidR="00195A8B" w:rsidRPr="00951C25" w:rsidRDefault="00195A8B" w:rsidP="00951C25">
            <w:pPr>
              <w:ind w:hanging="90"/>
              <w:rPr>
                <w:rFonts w:ascii="Times New Roman" w:hAnsi="Times New Roman" w:cs="Times New Roman"/>
                <w:bCs/>
              </w:rPr>
            </w:pPr>
            <w:r w:rsidRPr="00951C25">
              <w:rPr>
                <w:rFonts w:ascii="Times New Roman" w:hAnsi="Times New Roman" w:cs="Times New Roman"/>
                <w:bCs/>
              </w:rPr>
              <w:t>4,495,264</w:t>
            </w:r>
          </w:p>
        </w:tc>
      </w:tr>
    </w:tbl>
    <w:p w14:paraId="5178E9C9" w14:textId="388FFB3E"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r w:rsidR="00C12845">
        <w:rPr>
          <w:rFonts w:ascii="Times New Roman" w:eastAsia="Calibri" w:hAnsi="Times New Roman" w:cs="Times New Roman"/>
          <w:kern w:val="2"/>
          <w:sz w:val="24"/>
          <w:szCs w:val="24"/>
          <w:lang w:eastAsia="en-US"/>
        </w:rPr>
        <w:t xml:space="preserve">; </w:t>
      </w:r>
      <w:r w:rsidR="00E12220">
        <w:rPr>
          <w:rFonts w:ascii="Times New Roman" w:eastAsia="Calibri" w:hAnsi="Times New Roman" w:cs="Times New Roman"/>
          <w:i/>
          <w:iCs/>
          <w:kern w:val="2"/>
          <w:sz w:val="24"/>
          <w:szCs w:val="24"/>
          <w:lang w:eastAsia="en-US"/>
        </w:rPr>
        <w:t>TZ = S</w:t>
      </w:r>
      <w:r w:rsidR="00C12845" w:rsidRPr="00951C25">
        <w:rPr>
          <w:rFonts w:ascii="Times New Roman" w:eastAsia="Calibri" w:hAnsi="Times New Roman" w:cs="Times New Roman"/>
          <w:i/>
          <w:iCs/>
          <w:kern w:val="2"/>
          <w:sz w:val="24"/>
          <w:szCs w:val="24"/>
          <w:lang w:eastAsia="en-US"/>
        </w:rPr>
        <w:t xml:space="preserve"> Tanzanian Shillings</w:t>
      </w:r>
      <w:r w:rsidR="00C12845">
        <w:rPr>
          <w:rFonts w:ascii="Times New Roman" w:eastAsia="Calibri" w:hAnsi="Times New Roman" w:cs="Times New Roman"/>
          <w:kern w:val="2"/>
          <w:sz w:val="24"/>
          <w:szCs w:val="24"/>
          <w:lang w:eastAsia="en-US"/>
        </w:rPr>
        <w:t>.</w:t>
      </w:r>
    </w:p>
    <w:p w14:paraId="26AD9265" w14:textId="068DE636" w:rsidR="00195A8B" w:rsidRPr="00DF60D8" w:rsidRDefault="00195A8B" w:rsidP="00DF60D8">
      <w:pPr>
        <w:pStyle w:val="ListParagraph"/>
        <w:numPr>
          <w:ilvl w:val="2"/>
          <w:numId w:val="39"/>
        </w:numPr>
        <w:adjustRightInd w:val="0"/>
        <w:spacing w:after="12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eastAsia="en-US"/>
        </w:rPr>
        <w:t xml:space="preserve"> Comparison of Revenue of Enterprises </w:t>
      </w:r>
      <w:r w:rsidR="009C3919">
        <w:rPr>
          <w:rFonts w:ascii="Times New Roman" w:eastAsia="Calibri" w:hAnsi="Times New Roman" w:cs="Times New Roman"/>
          <w:b/>
          <w:bCs/>
          <w:kern w:val="2"/>
          <w:sz w:val="24"/>
          <w:szCs w:val="24"/>
          <w:lang w:eastAsia="en-US"/>
        </w:rPr>
        <w:t>Under</w:t>
      </w:r>
      <w:r w:rsidRPr="00DF60D8">
        <w:rPr>
          <w:rFonts w:ascii="Times New Roman" w:eastAsia="Calibri" w:hAnsi="Times New Roman" w:cs="Times New Roman"/>
          <w:b/>
          <w:bCs/>
          <w:kern w:val="2"/>
          <w:sz w:val="24"/>
          <w:szCs w:val="24"/>
          <w:lang w:eastAsia="en-US"/>
        </w:rPr>
        <w:t xml:space="preserve"> Economic Empowerment Schemes between Arusha and Mara Regions</w:t>
      </w:r>
    </w:p>
    <w:p w14:paraId="5900191B" w14:textId="103A109A"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The comparative analysis of revenues among enterprises supported through economic empowerment schemes in Arusha and Mara reveals critical insights into the economic structures, sectoral dynamics, and growth trajectories of these regions. As shown in Table 4, enterprises in Arusha exhibit diverse revenue patterns across sectors, with livestock enterprises generating substantial total revenues (TZS 135,354,200) and high mean revenues (TZS 2,382,402), underscoring the sector’s pivotal role in the region’s economic fabric. This finding aligns with Thornton (2010), who emphasizes that livestock systems in East Africa remain fundamental to rural livelihoods, contributing significantly to income, employment, food security, and regional GDP</w:t>
      </w:r>
      <w:r>
        <w:rPr>
          <w:rFonts w:ascii="Times New Roman" w:eastAsia="Calibri" w:hAnsi="Times New Roman" w:cs="Times New Roman"/>
          <w:kern w:val="2"/>
          <w:sz w:val="24"/>
          <w:szCs w:val="24"/>
          <w:lang w:eastAsia="en-US"/>
        </w:rPr>
        <w:t>.</w:t>
      </w:r>
    </w:p>
    <w:p w14:paraId="0D20005C" w14:textId="6DDA357F"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 xml:space="preserve">The construction sector in Arusha also demonstrates robust performance, recording the highest mean revenue (TZS 3,229,167), which reflects active infrastructure development and a favorable investment climate. </w:t>
      </w:r>
      <w:proofErr w:type="spellStart"/>
      <w:r w:rsidRPr="00951C25">
        <w:rPr>
          <w:rFonts w:ascii="Times New Roman" w:eastAsia="Calibri" w:hAnsi="Times New Roman" w:cs="Times New Roman"/>
          <w:kern w:val="2"/>
          <w:sz w:val="24"/>
          <w:szCs w:val="24"/>
          <w:lang w:eastAsia="en-US"/>
        </w:rPr>
        <w:t>Dorosh</w:t>
      </w:r>
      <w:proofErr w:type="spellEnd"/>
      <w:r w:rsidRPr="00951C25">
        <w:rPr>
          <w:rFonts w:ascii="Times New Roman" w:eastAsia="Calibri" w:hAnsi="Times New Roman" w:cs="Times New Roman"/>
          <w:kern w:val="2"/>
          <w:sz w:val="24"/>
          <w:szCs w:val="24"/>
          <w:lang w:eastAsia="en-US"/>
        </w:rPr>
        <w:t xml:space="preserve"> and Thurlow (2018) attribute such trends to urbanization-driven demand for construction and related services in Tanzanian cities. Likewise, wholesale and retail </w:t>
      </w:r>
      <w:r w:rsidRPr="00951C25">
        <w:rPr>
          <w:rFonts w:ascii="Times New Roman" w:eastAsia="Calibri" w:hAnsi="Times New Roman" w:cs="Times New Roman"/>
          <w:kern w:val="2"/>
          <w:sz w:val="24"/>
          <w:szCs w:val="24"/>
          <w:lang w:eastAsia="en-US"/>
        </w:rPr>
        <w:lastRenderedPageBreak/>
        <w:t xml:space="preserve">enterprises in Arusha report high total revenues (TZS 178,319,800), signaling the vibrancy of trade and service sectors in urban economies—consistent with </w:t>
      </w:r>
      <w:proofErr w:type="spellStart"/>
      <w:r w:rsidRPr="00951C25">
        <w:rPr>
          <w:rFonts w:ascii="Times New Roman" w:eastAsia="Calibri" w:hAnsi="Times New Roman" w:cs="Times New Roman"/>
          <w:kern w:val="2"/>
          <w:sz w:val="24"/>
          <w:szCs w:val="24"/>
          <w:lang w:eastAsia="en-US"/>
        </w:rPr>
        <w:t>Christiaensen</w:t>
      </w:r>
      <w:proofErr w:type="spellEnd"/>
      <w:r w:rsidRPr="00951C25">
        <w:rPr>
          <w:rFonts w:ascii="Times New Roman" w:eastAsia="Calibri" w:hAnsi="Times New Roman" w:cs="Times New Roman"/>
          <w:kern w:val="2"/>
          <w:sz w:val="24"/>
          <w:szCs w:val="24"/>
          <w:lang w:eastAsia="en-US"/>
        </w:rPr>
        <w:t xml:space="preserve"> and Martin (2018), who argue that non-farm enterprises, especially in trade and services, are crucial for poverty alleviation and income diversification across Sub-Saharan Africa.</w:t>
      </w:r>
    </w:p>
    <w:p w14:paraId="503F5643" w14:textId="79069227"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Conversely, in Mara, crop production enterprises lead in mean revenue (TZS 3,177,037), with a substantial total revenue of TZS 63,700,000. This indicates the region’s dependence on agriculture, supporting Jayne et al. (2010), who emphasize the continued reliance of rural Tanzania on smallholder farming as a primary livelihood strategy. The transportation sector in Mara also reports exceptional revenue figures (total and mean revenue of TZS 15,000,000), suggesting high profitability and demand—possibly driven by the region’s logistical needs and trade facilitation. This finding echoes Porter (2002), who highlights transportation’s transformative role in rural economic development and market integration.</w:t>
      </w:r>
    </w:p>
    <w:p w14:paraId="4594DA78" w14:textId="313DCE94"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The observed regional disparities further reflect differences in market access, infrastructure, and institutional support. Arusha benefits from its urban status, proximity to large markets, and superior infrastructure, facilitating engagement in high-value economic activities. In contrast, Mara’s strong performance in crop production and transportation suggests that strategic investments in these sectors could drive localized growth and help narrow rural-urban income gaps.</w:t>
      </w:r>
    </w:p>
    <w:p w14:paraId="37DC66AF" w14:textId="0DA78DD8"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Moreover, the high revenues observed in Arusha’s livestock, wholesale, and retail sectors indicate that urban-oriented enterprises can generate significant financial returns when supported through targeted policies, improved access to credit, and market linkages. This supports recommendations by IFAD (2020) and Scoones (2015), who stress that empowerment schemes should be aligned with regional economic conditions and sector-specific opportunities to ensure sustainable enterprise development.</w:t>
      </w:r>
    </w:p>
    <w:p w14:paraId="6786AB37" w14:textId="76803799" w:rsidR="00195A8B" w:rsidRPr="00195A8B" w:rsidRDefault="003B333C" w:rsidP="003B333C">
      <w:pPr>
        <w:spacing w:after="160" w:line="360" w:lineRule="auto"/>
        <w:jc w:val="both"/>
        <w:rPr>
          <w:rFonts w:ascii="Times New Roman" w:eastAsia="Calibri" w:hAnsi="Times New Roman" w:cs="Times New Roman"/>
          <w:kern w:val="2"/>
          <w:sz w:val="24"/>
          <w:szCs w:val="24"/>
          <w:lang w:eastAsia="en-US"/>
        </w:rPr>
      </w:pPr>
      <w:r w:rsidRPr="00951C25">
        <w:rPr>
          <w:rFonts w:ascii="Times New Roman" w:eastAsia="Calibri" w:hAnsi="Times New Roman" w:cs="Times New Roman"/>
          <w:kern w:val="2"/>
          <w:sz w:val="24"/>
          <w:szCs w:val="24"/>
          <w:lang w:eastAsia="en-US"/>
        </w:rPr>
        <w:t xml:space="preserve">Overall, these findings underscore the need for regionally tailored strategies within Tanzania’s economic empowerment frameworks. In Arusha, strengthening value chains in livestock, construction, and trade—alongside innovations in supply chain efficiency—can further boost enterprise profitability. In Mara, enhancing agricultural productivity and formalizing the high-performing transport sector through financial inclusion, capacity-building, and market facilitation may unlock sustainable rural growth. Aligning such strategies with Sustainable </w:t>
      </w:r>
      <w:r w:rsidRPr="00951C25">
        <w:rPr>
          <w:rFonts w:ascii="Times New Roman" w:eastAsia="Calibri" w:hAnsi="Times New Roman" w:cs="Times New Roman"/>
          <w:kern w:val="2"/>
          <w:sz w:val="24"/>
          <w:szCs w:val="24"/>
          <w:lang w:eastAsia="en-US"/>
        </w:rPr>
        <w:lastRenderedPageBreak/>
        <w:t>Development Goals, particularly SDG 8 (Decent Work and Economic Growth) and SDG 9 (Industry, Innovation, and Infrastructure), will help ensure that economic empowerment schemes meaningfully contribute to inclusive and resilient regional development across Tanzania.</w:t>
      </w:r>
    </w:p>
    <w:p w14:paraId="346354B8" w14:textId="0855FCA6" w:rsidR="00195A8B" w:rsidRPr="00951C25" w:rsidRDefault="00195A8B" w:rsidP="00951C25">
      <w:pPr>
        <w:adjustRightInd w:val="0"/>
        <w:spacing w:after="0" w:line="240" w:lineRule="auto"/>
        <w:ind w:left="864" w:hanging="864"/>
        <w:jc w:val="both"/>
        <w:rPr>
          <w:rFonts w:ascii="Times New Roman" w:eastAsia="Calibri" w:hAnsi="Times New Roman" w:cs="Times New Roman"/>
          <w:b/>
          <w:bCs/>
          <w:lang w:eastAsia="en-US"/>
        </w:rPr>
      </w:pPr>
      <w:r w:rsidRPr="00951C25">
        <w:rPr>
          <w:rFonts w:ascii="Times New Roman" w:eastAsia="Calibri" w:hAnsi="Times New Roman" w:cs="Times New Roman"/>
          <w:b/>
          <w:bCs/>
          <w:lang w:eastAsia="en-US"/>
        </w:rPr>
        <w:t>Table</w:t>
      </w:r>
      <w:r w:rsidR="00DF60D8" w:rsidRPr="00951C25">
        <w:rPr>
          <w:rFonts w:ascii="Times New Roman" w:eastAsia="Calibri" w:hAnsi="Times New Roman" w:cs="Times New Roman"/>
          <w:b/>
          <w:bCs/>
          <w:lang w:eastAsia="en-US"/>
        </w:rPr>
        <w:t xml:space="preserve"> </w:t>
      </w:r>
      <w:r w:rsidR="00E12220">
        <w:rPr>
          <w:rFonts w:ascii="Times New Roman" w:eastAsia="Calibri" w:hAnsi="Times New Roman" w:cs="Times New Roman"/>
          <w:b/>
          <w:bCs/>
          <w:lang w:eastAsia="en-US"/>
        </w:rPr>
        <w:t>4</w:t>
      </w:r>
      <w:r w:rsidRPr="00951C25">
        <w:rPr>
          <w:rFonts w:ascii="Times New Roman" w:eastAsia="Calibri" w:hAnsi="Times New Roman" w:cs="Times New Roman"/>
          <w:b/>
          <w:bCs/>
          <w:lang w:eastAsia="en-US"/>
        </w:rPr>
        <w:t xml:space="preserve">. Comparison of Revenue of Enterprises </w:t>
      </w:r>
      <w:r w:rsidR="009C3919" w:rsidRPr="00951C25">
        <w:rPr>
          <w:rFonts w:ascii="Times New Roman" w:eastAsia="Calibri" w:hAnsi="Times New Roman" w:cs="Times New Roman"/>
          <w:b/>
          <w:bCs/>
          <w:lang w:eastAsia="en-US"/>
        </w:rPr>
        <w:t>Under</w:t>
      </w:r>
      <w:r w:rsidRPr="00951C25">
        <w:rPr>
          <w:rFonts w:ascii="Times New Roman" w:eastAsia="Calibri" w:hAnsi="Times New Roman" w:cs="Times New Roman"/>
          <w:b/>
          <w:bCs/>
          <w:lang w:eastAsia="en-US"/>
        </w:rPr>
        <w:t xml:space="preserve"> Economic Empowerment Schemes between Arusha and Mara Regions</w:t>
      </w:r>
    </w:p>
    <w:tbl>
      <w:tblPr>
        <w:tblStyle w:val="TableGrid11"/>
        <w:tblW w:w="5000" w:type="pct"/>
        <w:tblLook w:val="04A0" w:firstRow="1" w:lastRow="0" w:firstColumn="1" w:lastColumn="0" w:noHBand="0" w:noVBand="1"/>
      </w:tblPr>
      <w:tblGrid>
        <w:gridCol w:w="2286"/>
        <w:gridCol w:w="2038"/>
        <w:gridCol w:w="1153"/>
        <w:gridCol w:w="1410"/>
        <w:gridCol w:w="1281"/>
        <w:gridCol w:w="1408"/>
      </w:tblGrid>
      <w:tr w:rsidR="00195A8B" w:rsidRPr="00951C25" w14:paraId="25963517" w14:textId="77777777" w:rsidTr="00CA33B8">
        <w:tc>
          <w:tcPr>
            <w:tcW w:w="1194" w:type="pct"/>
            <w:vMerge w:val="restart"/>
            <w:vAlign w:val="center"/>
          </w:tcPr>
          <w:p w14:paraId="61B5D45C" w14:textId="77777777" w:rsidR="00195A8B" w:rsidRPr="00951C25" w:rsidRDefault="00195A8B" w:rsidP="00195A8B">
            <w:pPr>
              <w:ind w:hanging="90"/>
              <w:rPr>
                <w:rFonts w:ascii="Times New Roman" w:eastAsia="Calibri" w:hAnsi="Times New Roman" w:cs="Times New Roman"/>
                <w:b/>
                <w:bCs/>
              </w:rPr>
            </w:pPr>
            <w:r w:rsidRPr="00951C25">
              <w:rPr>
                <w:rFonts w:ascii="Times New Roman" w:eastAsia="Calibri" w:hAnsi="Times New Roman" w:cs="Times New Roman"/>
                <w:b/>
                <w:bCs/>
              </w:rPr>
              <w:t>Enterprises</w:t>
            </w:r>
          </w:p>
        </w:tc>
        <w:tc>
          <w:tcPr>
            <w:tcW w:w="1064" w:type="pct"/>
            <w:vMerge w:val="restart"/>
            <w:vAlign w:val="center"/>
          </w:tcPr>
          <w:p w14:paraId="17A0AC22" w14:textId="77777777" w:rsidR="00195A8B" w:rsidRPr="00951C25" w:rsidRDefault="00195A8B" w:rsidP="00195A8B">
            <w:pPr>
              <w:ind w:hanging="90"/>
              <w:rPr>
                <w:rFonts w:ascii="Times New Roman" w:eastAsia="Calibri" w:hAnsi="Times New Roman" w:cs="Times New Roman"/>
                <w:b/>
                <w:bCs/>
              </w:rPr>
            </w:pPr>
            <w:r w:rsidRPr="00951C25">
              <w:rPr>
                <w:rFonts w:ascii="Times New Roman" w:eastAsia="Calibri" w:hAnsi="Times New Roman" w:cs="Times New Roman"/>
                <w:b/>
                <w:bCs/>
              </w:rPr>
              <w:t>Output Category</w:t>
            </w:r>
          </w:p>
        </w:tc>
        <w:tc>
          <w:tcPr>
            <w:tcW w:w="1338" w:type="pct"/>
            <w:gridSpan w:val="2"/>
          </w:tcPr>
          <w:p w14:paraId="09F85E9C" w14:textId="77777777" w:rsidR="00195A8B" w:rsidRPr="00951C25" w:rsidRDefault="00195A8B" w:rsidP="00195A8B">
            <w:pPr>
              <w:ind w:hanging="90"/>
              <w:jc w:val="center"/>
              <w:rPr>
                <w:rFonts w:ascii="Times New Roman" w:eastAsia="Calibri" w:hAnsi="Times New Roman" w:cs="Times New Roman"/>
                <w:b/>
                <w:bCs/>
              </w:rPr>
            </w:pPr>
            <w:r w:rsidRPr="00951C25">
              <w:rPr>
                <w:rFonts w:ascii="Times New Roman" w:eastAsia="Calibri" w:hAnsi="Times New Roman" w:cs="Times New Roman"/>
                <w:b/>
                <w:bCs/>
              </w:rPr>
              <w:t>Arusha</w:t>
            </w:r>
          </w:p>
        </w:tc>
        <w:tc>
          <w:tcPr>
            <w:tcW w:w="1404" w:type="pct"/>
            <w:gridSpan w:val="2"/>
          </w:tcPr>
          <w:p w14:paraId="18523A60" w14:textId="77777777" w:rsidR="00195A8B" w:rsidRPr="00951C25" w:rsidRDefault="00195A8B" w:rsidP="00195A8B">
            <w:pPr>
              <w:ind w:hanging="90"/>
              <w:jc w:val="center"/>
              <w:rPr>
                <w:rFonts w:ascii="Times New Roman" w:eastAsia="Calibri" w:hAnsi="Times New Roman" w:cs="Times New Roman"/>
                <w:b/>
                <w:bCs/>
              </w:rPr>
            </w:pPr>
            <w:r w:rsidRPr="00951C25">
              <w:rPr>
                <w:rFonts w:ascii="Times New Roman" w:eastAsia="Calibri" w:hAnsi="Times New Roman" w:cs="Times New Roman"/>
                <w:b/>
                <w:bCs/>
              </w:rPr>
              <w:t>Mara</w:t>
            </w:r>
          </w:p>
        </w:tc>
      </w:tr>
      <w:tr w:rsidR="00195A8B" w:rsidRPr="00951C25" w14:paraId="4A15D66B" w14:textId="77777777" w:rsidTr="00CA33B8">
        <w:tc>
          <w:tcPr>
            <w:tcW w:w="1194" w:type="pct"/>
            <w:vMerge/>
          </w:tcPr>
          <w:p w14:paraId="0E7F8063" w14:textId="77777777" w:rsidR="00195A8B" w:rsidRPr="00951C25" w:rsidRDefault="00195A8B" w:rsidP="00195A8B">
            <w:pPr>
              <w:ind w:hanging="90"/>
              <w:rPr>
                <w:rFonts w:ascii="Times New Roman" w:eastAsia="Calibri" w:hAnsi="Times New Roman" w:cs="Times New Roman"/>
                <w:b/>
                <w:bCs/>
              </w:rPr>
            </w:pPr>
          </w:p>
        </w:tc>
        <w:tc>
          <w:tcPr>
            <w:tcW w:w="1064" w:type="pct"/>
            <w:vMerge/>
          </w:tcPr>
          <w:p w14:paraId="4C6CFEF3" w14:textId="77777777" w:rsidR="00195A8B" w:rsidRPr="00951C25" w:rsidRDefault="00195A8B" w:rsidP="00195A8B">
            <w:pPr>
              <w:ind w:hanging="90"/>
              <w:rPr>
                <w:rFonts w:ascii="Times New Roman" w:eastAsia="Calibri" w:hAnsi="Times New Roman" w:cs="Times New Roman"/>
                <w:b/>
                <w:bCs/>
              </w:rPr>
            </w:pPr>
          </w:p>
        </w:tc>
        <w:tc>
          <w:tcPr>
            <w:tcW w:w="1338" w:type="pct"/>
            <w:gridSpan w:val="2"/>
          </w:tcPr>
          <w:p w14:paraId="0C7D97D5" w14:textId="77777777" w:rsidR="00195A8B" w:rsidRPr="00951C25" w:rsidRDefault="00195A8B" w:rsidP="00195A8B">
            <w:pPr>
              <w:ind w:hanging="90"/>
              <w:jc w:val="center"/>
              <w:rPr>
                <w:rFonts w:ascii="Times New Roman" w:eastAsia="Calibri" w:hAnsi="Times New Roman" w:cs="Times New Roman"/>
                <w:b/>
                <w:bCs/>
              </w:rPr>
            </w:pPr>
            <w:r w:rsidRPr="00951C25">
              <w:rPr>
                <w:rFonts w:ascii="Times New Roman" w:eastAsia="Calibri" w:hAnsi="Times New Roman" w:cs="Times New Roman"/>
                <w:b/>
                <w:bCs/>
              </w:rPr>
              <w:t>Revenue (TZS)</w:t>
            </w:r>
          </w:p>
        </w:tc>
        <w:tc>
          <w:tcPr>
            <w:tcW w:w="1404" w:type="pct"/>
            <w:gridSpan w:val="2"/>
          </w:tcPr>
          <w:p w14:paraId="49367AE7" w14:textId="77777777" w:rsidR="00195A8B" w:rsidRPr="00951C25" w:rsidRDefault="00195A8B" w:rsidP="00195A8B">
            <w:pPr>
              <w:ind w:hanging="90"/>
              <w:jc w:val="center"/>
              <w:rPr>
                <w:rFonts w:ascii="Times New Roman" w:eastAsia="Calibri" w:hAnsi="Times New Roman" w:cs="Times New Roman"/>
                <w:b/>
                <w:bCs/>
              </w:rPr>
            </w:pPr>
            <w:r w:rsidRPr="00951C25">
              <w:rPr>
                <w:rFonts w:ascii="Times New Roman" w:eastAsia="Calibri" w:hAnsi="Times New Roman" w:cs="Times New Roman"/>
                <w:b/>
                <w:bCs/>
              </w:rPr>
              <w:t>Revenue (TZS)</w:t>
            </w:r>
          </w:p>
        </w:tc>
      </w:tr>
      <w:tr w:rsidR="00195A8B" w:rsidRPr="00951C25" w14:paraId="2755C054" w14:textId="77777777" w:rsidTr="00CA33B8">
        <w:tc>
          <w:tcPr>
            <w:tcW w:w="1194" w:type="pct"/>
            <w:vMerge/>
          </w:tcPr>
          <w:p w14:paraId="42CFB34B" w14:textId="77777777" w:rsidR="00195A8B" w:rsidRPr="00951C25" w:rsidRDefault="00195A8B" w:rsidP="00195A8B">
            <w:pPr>
              <w:ind w:hanging="90"/>
              <w:rPr>
                <w:rFonts w:ascii="Times New Roman" w:eastAsia="Calibri" w:hAnsi="Times New Roman" w:cs="Times New Roman"/>
                <w:b/>
                <w:bCs/>
              </w:rPr>
            </w:pPr>
          </w:p>
        </w:tc>
        <w:tc>
          <w:tcPr>
            <w:tcW w:w="1064" w:type="pct"/>
            <w:vMerge/>
          </w:tcPr>
          <w:p w14:paraId="351E17B8" w14:textId="77777777" w:rsidR="00195A8B" w:rsidRPr="00951C25" w:rsidRDefault="00195A8B" w:rsidP="00195A8B">
            <w:pPr>
              <w:ind w:hanging="90"/>
              <w:rPr>
                <w:rFonts w:ascii="Times New Roman" w:eastAsia="Calibri" w:hAnsi="Times New Roman" w:cs="Times New Roman"/>
                <w:b/>
                <w:bCs/>
              </w:rPr>
            </w:pPr>
          </w:p>
        </w:tc>
        <w:tc>
          <w:tcPr>
            <w:tcW w:w="602" w:type="pct"/>
            <w:vAlign w:val="bottom"/>
          </w:tcPr>
          <w:p w14:paraId="5E80AEA8"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Mean</w:t>
            </w:r>
          </w:p>
        </w:tc>
        <w:tc>
          <w:tcPr>
            <w:tcW w:w="735" w:type="pct"/>
            <w:vAlign w:val="bottom"/>
          </w:tcPr>
          <w:p w14:paraId="09B94172"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Sum</w:t>
            </w:r>
          </w:p>
        </w:tc>
        <w:tc>
          <w:tcPr>
            <w:tcW w:w="669" w:type="pct"/>
            <w:vAlign w:val="bottom"/>
          </w:tcPr>
          <w:p w14:paraId="231060CC"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Mean</w:t>
            </w:r>
          </w:p>
        </w:tc>
        <w:tc>
          <w:tcPr>
            <w:tcW w:w="735" w:type="pct"/>
            <w:vAlign w:val="bottom"/>
          </w:tcPr>
          <w:p w14:paraId="465E364B"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Sum</w:t>
            </w:r>
          </w:p>
        </w:tc>
      </w:tr>
      <w:tr w:rsidR="00195A8B" w:rsidRPr="00951C25" w14:paraId="130924AE" w14:textId="77777777" w:rsidTr="00CA33B8">
        <w:tc>
          <w:tcPr>
            <w:tcW w:w="1194" w:type="pct"/>
          </w:tcPr>
          <w:p w14:paraId="1FC00B44"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Crop production enterprises</w:t>
            </w:r>
          </w:p>
        </w:tc>
        <w:tc>
          <w:tcPr>
            <w:tcW w:w="1064" w:type="pct"/>
          </w:tcPr>
          <w:p w14:paraId="257D04C0"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Sales of crop outputs</w:t>
            </w:r>
          </w:p>
        </w:tc>
        <w:tc>
          <w:tcPr>
            <w:tcW w:w="602" w:type="pct"/>
            <w:vAlign w:val="bottom"/>
          </w:tcPr>
          <w:p w14:paraId="482BF372"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965,212</w:t>
            </w:r>
          </w:p>
        </w:tc>
        <w:tc>
          <w:tcPr>
            <w:tcW w:w="735" w:type="pct"/>
            <w:vAlign w:val="bottom"/>
          </w:tcPr>
          <w:p w14:paraId="59273102"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15,495,508</w:t>
            </w:r>
          </w:p>
        </w:tc>
        <w:tc>
          <w:tcPr>
            <w:tcW w:w="669" w:type="pct"/>
            <w:vAlign w:val="bottom"/>
          </w:tcPr>
          <w:p w14:paraId="4F8FF656"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3,177,037</w:t>
            </w:r>
          </w:p>
        </w:tc>
        <w:tc>
          <w:tcPr>
            <w:tcW w:w="735" w:type="pct"/>
            <w:vAlign w:val="bottom"/>
          </w:tcPr>
          <w:p w14:paraId="60EA2E90"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63,700,000</w:t>
            </w:r>
          </w:p>
        </w:tc>
      </w:tr>
      <w:tr w:rsidR="00195A8B" w:rsidRPr="00951C25" w14:paraId="1BC5E812" w14:textId="77777777" w:rsidTr="00CA33B8">
        <w:tc>
          <w:tcPr>
            <w:tcW w:w="1194" w:type="pct"/>
          </w:tcPr>
          <w:p w14:paraId="60D0DCEF"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Livestock enterprises</w:t>
            </w:r>
          </w:p>
        </w:tc>
        <w:tc>
          <w:tcPr>
            <w:tcW w:w="1064" w:type="pct"/>
          </w:tcPr>
          <w:p w14:paraId="47B89FBB"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Sales of Livestock outputs</w:t>
            </w:r>
          </w:p>
        </w:tc>
        <w:tc>
          <w:tcPr>
            <w:tcW w:w="602" w:type="pct"/>
            <w:vAlign w:val="bottom"/>
          </w:tcPr>
          <w:p w14:paraId="10D499C9"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2,382,402</w:t>
            </w:r>
          </w:p>
        </w:tc>
        <w:tc>
          <w:tcPr>
            <w:tcW w:w="735" w:type="pct"/>
            <w:vAlign w:val="bottom"/>
          </w:tcPr>
          <w:p w14:paraId="471C671F" w14:textId="77777777" w:rsidR="00195A8B" w:rsidRPr="00951C25" w:rsidRDefault="00195A8B" w:rsidP="00951C25">
            <w:pPr>
              <w:ind w:right="-585" w:hanging="90"/>
              <w:jc w:val="center"/>
              <w:rPr>
                <w:rFonts w:ascii="Times New Roman" w:eastAsia="Calibri" w:hAnsi="Times New Roman" w:cs="Times New Roman"/>
                <w:bCs/>
              </w:rPr>
            </w:pPr>
            <w:r w:rsidRPr="00951C25">
              <w:rPr>
                <w:rFonts w:ascii="Times New Roman" w:eastAsia="Calibri" w:hAnsi="Times New Roman" w:cs="Times New Roman"/>
                <w:bCs/>
              </w:rPr>
              <w:t>135,354,200</w:t>
            </w:r>
          </w:p>
        </w:tc>
        <w:tc>
          <w:tcPr>
            <w:tcW w:w="669" w:type="pct"/>
            <w:vAlign w:val="bottom"/>
          </w:tcPr>
          <w:p w14:paraId="27ACE575"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959,889</w:t>
            </w:r>
          </w:p>
        </w:tc>
        <w:tc>
          <w:tcPr>
            <w:tcW w:w="735" w:type="pct"/>
            <w:vAlign w:val="bottom"/>
          </w:tcPr>
          <w:p w14:paraId="2EEB8123"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32,167,000</w:t>
            </w:r>
          </w:p>
        </w:tc>
      </w:tr>
      <w:tr w:rsidR="00195A8B" w:rsidRPr="00951C25" w14:paraId="75EE8DE5" w14:textId="77777777" w:rsidTr="00CA33B8">
        <w:tc>
          <w:tcPr>
            <w:tcW w:w="1194" w:type="pct"/>
          </w:tcPr>
          <w:p w14:paraId="1264B18A"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Wholesale &amp; Retail enterprises.</w:t>
            </w:r>
          </w:p>
        </w:tc>
        <w:tc>
          <w:tcPr>
            <w:tcW w:w="1064" w:type="pct"/>
          </w:tcPr>
          <w:p w14:paraId="3BFBBB0C"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Sales of general products</w:t>
            </w:r>
          </w:p>
        </w:tc>
        <w:tc>
          <w:tcPr>
            <w:tcW w:w="602" w:type="pct"/>
            <w:vAlign w:val="bottom"/>
          </w:tcPr>
          <w:p w14:paraId="434392E0"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1,545,180</w:t>
            </w:r>
          </w:p>
        </w:tc>
        <w:tc>
          <w:tcPr>
            <w:tcW w:w="735" w:type="pct"/>
            <w:vAlign w:val="bottom"/>
          </w:tcPr>
          <w:p w14:paraId="12667B36"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178,319,800</w:t>
            </w:r>
          </w:p>
        </w:tc>
        <w:tc>
          <w:tcPr>
            <w:tcW w:w="669" w:type="pct"/>
            <w:vAlign w:val="bottom"/>
          </w:tcPr>
          <w:p w14:paraId="0091864F"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1,162,860</w:t>
            </w:r>
          </w:p>
        </w:tc>
        <w:tc>
          <w:tcPr>
            <w:tcW w:w="735" w:type="pct"/>
            <w:vAlign w:val="bottom"/>
          </w:tcPr>
          <w:p w14:paraId="69DA474F"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32,353,000</w:t>
            </w:r>
          </w:p>
        </w:tc>
      </w:tr>
      <w:tr w:rsidR="00195A8B" w:rsidRPr="00951C25" w14:paraId="63073B97" w14:textId="77777777" w:rsidTr="00CA33B8">
        <w:tc>
          <w:tcPr>
            <w:tcW w:w="1194" w:type="pct"/>
          </w:tcPr>
          <w:p w14:paraId="5BC67A95"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Transportation enterprises</w:t>
            </w:r>
          </w:p>
        </w:tc>
        <w:tc>
          <w:tcPr>
            <w:tcW w:w="1064" w:type="pct"/>
          </w:tcPr>
          <w:p w14:paraId="685991A6"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Transportation charges</w:t>
            </w:r>
          </w:p>
        </w:tc>
        <w:tc>
          <w:tcPr>
            <w:tcW w:w="602" w:type="pct"/>
            <w:vAlign w:val="bottom"/>
          </w:tcPr>
          <w:p w14:paraId="4F35803E"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521,712</w:t>
            </w:r>
          </w:p>
        </w:tc>
        <w:tc>
          <w:tcPr>
            <w:tcW w:w="735" w:type="pct"/>
            <w:vAlign w:val="bottom"/>
          </w:tcPr>
          <w:p w14:paraId="5285BCCA"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9,891,000</w:t>
            </w:r>
          </w:p>
        </w:tc>
        <w:tc>
          <w:tcPr>
            <w:tcW w:w="669" w:type="pct"/>
            <w:vAlign w:val="bottom"/>
          </w:tcPr>
          <w:p w14:paraId="6FA86B4B"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15,000,000</w:t>
            </w:r>
          </w:p>
        </w:tc>
        <w:tc>
          <w:tcPr>
            <w:tcW w:w="735" w:type="pct"/>
            <w:vAlign w:val="bottom"/>
          </w:tcPr>
          <w:p w14:paraId="2B291B40"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15,000,000</w:t>
            </w:r>
          </w:p>
        </w:tc>
      </w:tr>
      <w:tr w:rsidR="00195A8B" w:rsidRPr="00951C25" w14:paraId="592300E8" w14:textId="77777777" w:rsidTr="00CA33B8">
        <w:tc>
          <w:tcPr>
            <w:tcW w:w="1194" w:type="pct"/>
          </w:tcPr>
          <w:p w14:paraId="27860BCA"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Construction enterprises</w:t>
            </w:r>
          </w:p>
        </w:tc>
        <w:tc>
          <w:tcPr>
            <w:tcW w:w="1064" w:type="pct"/>
          </w:tcPr>
          <w:p w14:paraId="5C7F087E" w14:textId="77777777" w:rsidR="00195A8B" w:rsidRPr="00951C25" w:rsidRDefault="00195A8B" w:rsidP="00195A8B">
            <w:pPr>
              <w:ind w:hanging="90"/>
              <w:rPr>
                <w:rFonts w:ascii="Times New Roman" w:eastAsia="Calibri" w:hAnsi="Times New Roman" w:cs="Times New Roman"/>
                <w:bCs/>
              </w:rPr>
            </w:pPr>
            <w:r w:rsidRPr="00951C25">
              <w:rPr>
                <w:rFonts w:ascii="Times New Roman" w:eastAsia="Calibri" w:hAnsi="Times New Roman" w:cs="Times New Roman"/>
                <w:bCs/>
              </w:rPr>
              <w:t>Construction charges</w:t>
            </w:r>
          </w:p>
        </w:tc>
        <w:tc>
          <w:tcPr>
            <w:tcW w:w="602" w:type="pct"/>
            <w:vAlign w:val="bottom"/>
          </w:tcPr>
          <w:p w14:paraId="1075A7E3"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3,229,167</w:t>
            </w:r>
          </w:p>
        </w:tc>
        <w:tc>
          <w:tcPr>
            <w:tcW w:w="735" w:type="pct"/>
            <w:vAlign w:val="bottom"/>
          </w:tcPr>
          <w:p w14:paraId="0CB66857"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29,950,000</w:t>
            </w:r>
          </w:p>
        </w:tc>
        <w:tc>
          <w:tcPr>
            <w:tcW w:w="669" w:type="pct"/>
            <w:vAlign w:val="bottom"/>
          </w:tcPr>
          <w:p w14:paraId="4CCD7FE9"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4,152,500</w:t>
            </w:r>
          </w:p>
        </w:tc>
        <w:tc>
          <w:tcPr>
            <w:tcW w:w="735" w:type="pct"/>
            <w:vAlign w:val="bottom"/>
          </w:tcPr>
          <w:p w14:paraId="02B0F13A" w14:textId="77777777" w:rsidR="00195A8B" w:rsidRPr="00951C25" w:rsidRDefault="00195A8B" w:rsidP="00951C25">
            <w:pPr>
              <w:ind w:hanging="90"/>
              <w:jc w:val="center"/>
              <w:rPr>
                <w:rFonts w:ascii="Times New Roman" w:eastAsia="Calibri" w:hAnsi="Times New Roman" w:cs="Times New Roman"/>
                <w:bCs/>
              </w:rPr>
            </w:pPr>
            <w:r w:rsidRPr="00951C25">
              <w:rPr>
                <w:rFonts w:ascii="Times New Roman" w:eastAsia="Calibri" w:hAnsi="Times New Roman" w:cs="Times New Roman"/>
                <w:bCs/>
              </w:rPr>
              <w:t>13,830,000</w:t>
            </w:r>
          </w:p>
        </w:tc>
      </w:tr>
      <w:tr w:rsidR="00195A8B" w:rsidRPr="00951C25" w14:paraId="54BA84DD" w14:textId="77777777" w:rsidTr="00CA33B8">
        <w:tc>
          <w:tcPr>
            <w:tcW w:w="2258" w:type="pct"/>
            <w:gridSpan w:val="2"/>
          </w:tcPr>
          <w:p w14:paraId="2EE69F06" w14:textId="65CA2ED7" w:rsidR="00195A8B" w:rsidRPr="00951C25" w:rsidRDefault="00195A8B" w:rsidP="00195A8B">
            <w:pPr>
              <w:ind w:hanging="90"/>
              <w:rPr>
                <w:rFonts w:ascii="Times New Roman" w:eastAsia="Calibri" w:hAnsi="Times New Roman" w:cs="Times New Roman"/>
                <w:b/>
                <w:bCs/>
              </w:rPr>
            </w:pPr>
            <w:r w:rsidRPr="00951C25">
              <w:rPr>
                <w:rFonts w:ascii="Times New Roman" w:eastAsia="Calibri" w:hAnsi="Times New Roman" w:cs="Times New Roman"/>
                <w:b/>
                <w:bCs/>
              </w:rPr>
              <w:t>Total Revenue</w:t>
            </w:r>
          </w:p>
        </w:tc>
        <w:tc>
          <w:tcPr>
            <w:tcW w:w="602" w:type="pct"/>
            <w:vAlign w:val="bottom"/>
          </w:tcPr>
          <w:p w14:paraId="606F7262"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1,728,735</w:t>
            </w:r>
          </w:p>
        </w:tc>
        <w:tc>
          <w:tcPr>
            <w:tcW w:w="735" w:type="pct"/>
            <w:vAlign w:val="bottom"/>
          </w:tcPr>
          <w:p w14:paraId="2E840533"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369,010,508</w:t>
            </w:r>
          </w:p>
        </w:tc>
        <w:tc>
          <w:tcPr>
            <w:tcW w:w="669" w:type="pct"/>
            <w:vAlign w:val="bottom"/>
          </w:tcPr>
          <w:p w14:paraId="19C84913"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4,890,457</w:t>
            </w:r>
          </w:p>
        </w:tc>
        <w:tc>
          <w:tcPr>
            <w:tcW w:w="735" w:type="pct"/>
            <w:vAlign w:val="bottom"/>
          </w:tcPr>
          <w:p w14:paraId="33A825AF" w14:textId="77777777" w:rsidR="00195A8B" w:rsidRPr="00951C25" w:rsidRDefault="00195A8B" w:rsidP="00951C25">
            <w:pPr>
              <w:ind w:hanging="90"/>
              <w:jc w:val="center"/>
              <w:rPr>
                <w:rFonts w:ascii="Times New Roman" w:eastAsia="Calibri" w:hAnsi="Times New Roman" w:cs="Times New Roman"/>
                <w:b/>
                <w:bCs/>
              </w:rPr>
            </w:pPr>
            <w:r w:rsidRPr="00951C25">
              <w:rPr>
                <w:rFonts w:ascii="Times New Roman" w:eastAsia="Calibri" w:hAnsi="Times New Roman" w:cs="Times New Roman"/>
                <w:b/>
                <w:bCs/>
              </w:rPr>
              <w:t>157,050,000</w:t>
            </w:r>
          </w:p>
        </w:tc>
      </w:tr>
    </w:tbl>
    <w:p w14:paraId="02C54173" w14:textId="6C041415" w:rsidR="00195A8B" w:rsidRPr="00DF60D8" w:rsidRDefault="00195A8B" w:rsidP="00DF60D8">
      <w:pPr>
        <w:spacing w:after="160" w:line="259" w:lineRule="auto"/>
        <w:jc w:val="both"/>
        <w:rPr>
          <w:rFonts w:ascii="Times New Roman" w:eastAsia="Calibri" w:hAnsi="Times New Roman" w:cs="Times New Roman"/>
          <w:kern w:val="2"/>
          <w:sz w:val="24"/>
          <w:szCs w:val="24"/>
          <w:lang w:eastAsia="en-US"/>
        </w:rPr>
      </w:pPr>
      <w:bookmarkStart w:id="8" w:name="_Hlk202866222"/>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bookmarkEnd w:id="8"/>
    </w:p>
    <w:p w14:paraId="646C82E3" w14:textId="430CC95B" w:rsidR="00195A8B" w:rsidRPr="00DF60D8" w:rsidRDefault="00195A8B" w:rsidP="00DF60D8">
      <w:pPr>
        <w:pStyle w:val="ListParagraph"/>
        <w:numPr>
          <w:ilvl w:val="2"/>
          <w:numId w:val="39"/>
        </w:numPr>
        <w:adjustRightInd w:val="0"/>
        <w:spacing w:after="12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val="en-GB" w:eastAsia="en-US"/>
        </w:rPr>
        <w:t xml:space="preserve">Comparison of Profitability and Viability of Enterprises </w:t>
      </w:r>
      <w:r w:rsidR="00BB4632">
        <w:rPr>
          <w:rFonts w:ascii="Times New Roman" w:eastAsia="Calibri" w:hAnsi="Times New Roman" w:cs="Times New Roman"/>
          <w:b/>
          <w:bCs/>
          <w:kern w:val="2"/>
          <w:sz w:val="24"/>
          <w:szCs w:val="24"/>
          <w:lang w:val="en-GB" w:eastAsia="en-US"/>
        </w:rPr>
        <w:t>Under</w:t>
      </w:r>
      <w:r w:rsidRPr="00DF60D8">
        <w:rPr>
          <w:rFonts w:ascii="Times New Roman" w:eastAsia="Calibri" w:hAnsi="Times New Roman" w:cs="Times New Roman"/>
          <w:b/>
          <w:bCs/>
          <w:kern w:val="2"/>
          <w:sz w:val="24"/>
          <w:szCs w:val="24"/>
          <w:lang w:val="en-GB" w:eastAsia="en-US"/>
        </w:rPr>
        <w:t xml:space="preserve"> Empowerment Schemes between Arusha and Mara Regions</w:t>
      </w:r>
    </w:p>
    <w:p w14:paraId="4239EB86" w14:textId="20D77101"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The analysis of profitability and viability among LGA loan beneficiary entrepreneurs in Arusha and Mara reveals critical insights into how different enterprise types contribute to local economic empowerment while reflecting underlying economic and institutional differences across regions. For instance, Table 5 shows that crop production enterprises in Mara exhibit exceptionally high returns, with a Return on Investment (ROI) of 7,222 and a Benefit-Cost Ratio (BCR) of 73.2, compared to Arusha’s ROI of 720 and BCR of 8.2. This stark disparity aligns with Jayne et al. (2010), who emphasize that rural areas with </w:t>
      </w:r>
      <w:proofErr w:type="spellStart"/>
      <w:r w:rsidRPr="00951C25">
        <w:rPr>
          <w:rFonts w:ascii="Times New Roman" w:eastAsia="Calibri" w:hAnsi="Times New Roman" w:cs="Times New Roman"/>
          <w:kern w:val="2"/>
          <w:sz w:val="24"/>
          <w:szCs w:val="24"/>
          <w:lang w:val="en-GB" w:eastAsia="en-US"/>
        </w:rPr>
        <w:t>favorable</w:t>
      </w:r>
      <w:proofErr w:type="spellEnd"/>
      <w:r w:rsidRPr="00951C25">
        <w:rPr>
          <w:rFonts w:ascii="Times New Roman" w:eastAsia="Calibri" w:hAnsi="Times New Roman" w:cs="Times New Roman"/>
          <w:kern w:val="2"/>
          <w:sz w:val="24"/>
          <w:szCs w:val="24"/>
          <w:lang w:val="en-GB" w:eastAsia="en-US"/>
        </w:rPr>
        <w:t xml:space="preserve"> agroecological conditions and lower input costs can generate high agricultural profitability even from modest capital inputs. These findings are further supported by </w:t>
      </w:r>
      <w:proofErr w:type="spellStart"/>
      <w:r w:rsidRPr="00951C25">
        <w:rPr>
          <w:rFonts w:ascii="Times New Roman" w:eastAsia="Calibri" w:hAnsi="Times New Roman" w:cs="Times New Roman"/>
          <w:kern w:val="2"/>
          <w:sz w:val="24"/>
          <w:szCs w:val="24"/>
          <w:lang w:val="en-GB" w:eastAsia="en-US"/>
        </w:rPr>
        <w:t>Palanichamy</w:t>
      </w:r>
      <w:proofErr w:type="spellEnd"/>
      <w:r w:rsidRPr="00951C25">
        <w:rPr>
          <w:rFonts w:ascii="Times New Roman" w:eastAsia="Calibri" w:hAnsi="Times New Roman" w:cs="Times New Roman"/>
          <w:kern w:val="2"/>
          <w:sz w:val="24"/>
          <w:szCs w:val="24"/>
          <w:lang w:val="en-GB" w:eastAsia="en-US"/>
        </w:rPr>
        <w:t xml:space="preserve"> et al. (2024), who found that structured financial inclusion through banking schemes significantly enhanced business sustainability and income levels among rural microenterprises, reinforcing the transformative role of financial access in agricultural economies.</w:t>
      </w:r>
    </w:p>
    <w:p w14:paraId="72C51D92" w14:textId="6D6589C7"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Livestock keeping, a key livelihood activity in both regions, also demonstrates viability, with significant profitability in Arusha (Net Profit Margin, NPM = TZS 59,367,977; ROI = 78) and Mara (NPM = TZS 29,428,170; ROI = 1,074). These results affirm Thornton’s (2010) assertion </w:t>
      </w:r>
      <w:r w:rsidRPr="00951C25">
        <w:rPr>
          <w:rFonts w:ascii="Times New Roman" w:eastAsia="Calibri" w:hAnsi="Times New Roman" w:cs="Times New Roman"/>
          <w:kern w:val="2"/>
          <w:sz w:val="24"/>
          <w:szCs w:val="24"/>
          <w:lang w:val="en-GB" w:eastAsia="en-US"/>
        </w:rPr>
        <w:lastRenderedPageBreak/>
        <w:t xml:space="preserve">that livestock sectors—when supported by market access and veterinary infrastructure—offer robust pathways for income generation. Retail and wholesale trade sectors similarly perform well, with Arusha reporting a high ROI of 297 and Mara 665. These outcomes mirror </w:t>
      </w:r>
      <w:proofErr w:type="spellStart"/>
      <w:r w:rsidRPr="00951C25">
        <w:rPr>
          <w:rFonts w:ascii="Times New Roman" w:eastAsia="Calibri" w:hAnsi="Times New Roman" w:cs="Times New Roman"/>
          <w:kern w:val="2"/>
          <w:sz w:val="24"/>
          <w:szCs w:val="24"/>
          <w:lang w:val="en-GB" w:eastAsia="en-US"/>
        </w:rPr>
        <w:t>Christiaensen</w:t>
      </w:r>
      <w:proofErr w:type="spellEnd"/>
      <w:r w:rsidRPr="00951C25">
        <w:rPr>
          <w:rFonts w:ascii="Times New Roman" w:eastAsia="Calibri" w:hAnsi="Times New Roman" w:cs="Times New Roman"/>
          <w:kern w:val="2"/>
          <w:sz w:val="24"/>
          <w:szCs w:val="24"/>
          <w:lang w:val="en-GB" w:eastAsia="en-US"/>
        </w:rPr>
        <w:t xml:space="preserve"> and Martin’s (2018) findings that non-farm enterprises, particularly in urban and peri-urban areas, are pivotal for poverty reduction and youth employment in Africa.</w:t>
      </w:r>
    </w:p>
    <w:p w14:paraId="65D11242" w14:textId="569675E0"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In contrast, the transportation sector in Arusha records negative profitability (NPM = -7,280,996 TZS; ROI = -42), whereas Mara’s transport businesses are highly profitable (ROI = 1,249). This difference may be attributed to Arusha’s higher regulatory fees, fuel costs, or competitive market saturation—consistent with Porter (2002), who argues that transport viability depends heavily on regional infrastructure, policy environments, and operating costs. Meanwhile, the construction sector in Arusha shows strong ROI (599), outperforming Mara (208), a reflection of Arusha’s urban development demand and better access to project financing, in line with </w:t>
      </w:r>
      <w:proofErr w:type="spellStart"/>
      <w:r w:rsidRPr="00951C25">
        <w:rPr>
          <w:rFonts w:ascii="Times New Roman" w:eastAsia="Calibri" w:hAnsi="Times New Roman" w:cs="Times New Roman"/>
          <w:kern w:val="2"/>
          <w:sz w:val="24"/>
          <w:szCs w:val="24"/>
          <w:lang w:val="en-GB" w:eastAsia="en-US"/>
        </w:rPr>
        <w:t>Dorosh</w:t>
      </w:r>
      <w:proofErr w:type="spellEnd"/>
      <w:r w:rsidRPr="00951C25">
        <w:rPr>
          <w:rFonts w:ascii="Times New Roman" w:eastAsia="Calibri" w:hAnsi="Times New Roman" w:cs="Times New Roman"/>
          <w:kern w:val="2"/>
          <w:sz w:val="24"/>
          <w:szCs w:val="24"/>
          <w:lang w:val="en-GB" w:eastAsia="en-US"/>
        </w:rPr>
        <w:t xml:space="preserve"> and Thurlow (2018) on urban-rural investment dynamics.</w:t>
      </w:r>
    </w:p>
    <w:p w14:paraId="0DF63731" w14:textId="6D0EFBDC"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These findings underline the importance of designing region- and sector-specific empowerment strategies. For instance, Mara’s impressive crop-sector performance suggests the need for increased agricultural investment and post-harvest value addition initiatives. Conversely, addressing operational inefficiencies in Arusha’s transport sector could boost viability. Moreover, financial literacy training, cost control, and market linkage support remain essential, particularly for high-potential sectors constrained by contextual challenges. This echoes the recommendations of IFAD (2020) and Scoones (2015), who call for integrated empowerment models that blend financial access with training and systemic support.</w:t>
      </w:r>
    </w:p>
    <w:p w14:paraId="340F9F62" w14:textId="55718EA9" w:rsidR="003B333C" w:rsidRPr="00951C25" w:rsidRDefault="003B333C"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Furthermore, the observed ROI and BCR values—particularly in agriculture—may be partly explained by the low initial capital levels and occasional seasonal windfalls, producing high ratio metrics even from moderate profit gains. These outcomes support Sahu et al. (2024), who reported that tribal women beneficiaries of financial empowerment programs achieved not only economic gains but also enhanced social equity and livelihood resilience when credit was paired with institutional support.</w:t>
      </w:r>
    </w:p>
    <w:p w14:paraId="02C7EBDE" w14:textId="2E707E41" w:rsidR="00195A8B" w:rsidRPr="00195A8B" w:rsidRDefault="003B333C" w:rsidP="003B333C">
      <w:pPr>
        <w:spacing w:after="160" w:line="360" w:lineRule="auto"/>
        <w:jc w:val="both"/>
        <w:rPr>
          <w:rFonts w:ascii="Times New Roman" w:eastAsia="Calibri" w:hAnsi="Times New Roman" w:cs="Times New Roman"/>
          <w:kern w:val="2"/>
          <w:sz w:val="24"/>
          <w:szCs w:val="24"/>
          <w:lang w:val="en-GB" w:eastAsia="en-US"/>
        </w:rPr>
      </w:pPr>
      <w:r w:rsidRPr="003B333C">
        <w:rPr>
          <w:rFonts w:ascii="Times New Roman" w:eastAsia="Calibri" w:hAnsi="Times New Roman" w:cs="Times New Roman"/>
          <w:kern w:val="2"/>
          <w:sz w:val="24"/>
          <w:szCs w:val="24"/>
          <w:lang w:val="en-GB" w:eastAsia="en-US"/>
        </w:rPr>
        <w:t xml:space="preserve">In conclusion, the profitability and viability analysis </w:t>
      </w:r>
      <w:proofErr w:type="gramStart"/>
      <w:r w:rsidRPr="003B333C">
        <w:rPr>
          <w:rFonts w:ascii="Times New Roman" w:eastAsia="Calibri" w:hAnsi="Times New Roman" w:cs="Times New Roman"/>
          <w:kern w:val="2"/>
          <w:sz w:val="24"/>
          <w:szCs w:val="24"/>
          <w:lang w:val="en-GB" w:eastAsia="en-US"/>
        </w:rPr>
        <w:t>demonstrates</w:t>
      </w:r>
      <w:proofErr w:type="gramEnd"/>
      <w:r w:rsidRPr="003B333C">
        <w:rPr>
          <w:rFonts w:ascii="Times New Roman" w:eastAsia="Calibri" w:hAnsi="Times New Roman" w:cs="Times New Roman"/>
          <w:kern w:val="2"/>
          <w:sz w:val="24"/>
          <w:szCs w:val="24"/>
          <w:lang w:val="en-GB" w:eastAsia="en-US"/>
        </w:rPr>
        <w:t xml:space="preserve"> the catalytic potential of Economic Empowerment Schemes (EES) in enabling women, youth, and PWDs to transition from subsistence activities to viable, growth-oriented enterprises. However, for EES to </w:t>
      </w:r>
      <w:r w:rsidRPr="003B333C">
        <w:rPr>
          <w:rFonts w:ascii="Times New Roman" w:eastAsia="Calibri" w:hAnsi="Times New Roman" w:cs="Times New Roman"/>
          <w:kern w:val="2"/>
          <w:sz w:val="24"/>
          <w:szCs w:val="24"/>
          <w:lang w:val="en-GB" w:eastAsia="en-US"/>
        </w:rPr>
        <w:lastRenderedPageBreak/>
        <w:t>contribute meaningfully to Sustainable Development Goals—particularly SDG 8 (Decent Work and Economic Growth) and SDG 10 (Reduced Inequalities)—it is imperative to ensure that credit provision is embedded within broader ecosystems of training, infrastructure, and market access. This integrated approach is vital to realizing long-term, inclusive development outcomes across Tanzania’s diverse economic landscapes</w:t>
      </w:r>
      <w:r w:rsidR="003B47E7" w:rsidRPr="003B47E7">
        <w:rPr>
          <w:rFonts w:ascii="Times New Roman" w:eastAsia="Calibri" w:hAnsi="Times New Roman" w:cs="Times New Roman"/>
          <w:kern w:val="2"/>
          <w:sz w:val="24"/>
          <w:szCs w:val="24"/>
          <w:lang w:val="en-GB" w:eastAsia="en-US"/>
        </w:rPr>
        <w:t>.</w:t>
      </w:r>
      <w:r w:rsidR="00832B35">
        <w:rPr>
          <w:rFonts w:ascii="Times New Roman" w:eastAsia="Calibri" w:hAnsi="Times New Roman" w:cs="Times New Roman"/>
          <w:kern w:val="2"/>
          <w:sz w:val="24"/>
          <w:szCs w:val="24"/>
          <w:lang w:val="en-GB" w:eastAsia="en-US"/>
        </w:rPr>
        <w:t xml:space="preserve"> </w:t>
      </w:r>
    </w:p>
    <w:p w14:paraId="4AB05A45" w14:textId="77777777" w:rsidR="00195A8B" w:rsidRPr="00195A8B" w:rsidRDefault="00195A8B" w:rsidP="00195A8B">
      <w:pPr>
        <w:spacing w:after="160" w:line="259" w:lineRule="auto"/>
        <w:ind w:left="1224"/>
        <w:contextualSpacing/>
        <w:jc w:val="both"/>
        <w:rPr>
          <w:rFonts w:ascii="Times New Roman" w:eastAsia="Calibri" w:hAnsi="Times New Roman" w:cs="Times New Roman"/>
          <w:kern w:val="2"/>
          <w:sz w:val="24"/>
          <w:szCs w:val="24"/>
          <w:lang w:val="en-GB" w:eastAsia="en-US"/>
        </w:rPr>
      </w:pPr>
    </w:p>
    <w:p w14:paraId="6A83F2DD" w14:textId="5166A4B3" w:rsidR="00195A8B" w:rsidRPr="00195A8B" w:rsidRDefault="00195A8B" w:rsidP="00951C25">
      <w:pPr>
        <w:spacing w:after="0" w:line="240" w:lineRule="auto"/>
        <w:ind w:left="1008" w:hanging="1008"/>
        <w:contextualSpacing/>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Table </w:t>
      </w:r>
      <w:r w:rsidR="00E12220">
        <w:rPr>
          <w:rFonts w:ascii="Times New Roman" w:eastAsia="Calibri" w:hAnsi="Times New Roman" w:cs="Times New Roman"/>
          <w:b/>
          <w:bCs/>
          <w:kern w:val="2"/>
          <w:sz w:val="24"/>
          <w:szCs w:val="24"/>
          <w:lang w:val="en-GB" w:eastAsia="en-US"/>
        </w:rPr>
        <w:t>5</w:t>
      </w:r>
      <w:r w:rsidRPr="00195A8B">
        <w:rPr>
          <w:rFonts w:ascii="Times New Roman" w:eastAsia="Calibri" w:hAnsi="Times New Roman" w:cs="Times New Roman"/>
          <w:b/>
          <w:bCs/>
          <w:kern w:val="2"/>
          <w:sz w:val="24"/>
          <w:szCs w:val="24"/>
          <w:lang w:val="en-GB" w:eastAsia="en-US"/>
        </w:rPr>
        <w:t xml:space="preserve">. Comparison of Profitability and Viability of Enterprises </w:t>
      </w:r>
      <w:r w:rsidR="000A5529">
        <w:rPr>
          <w:rFonts w:ascii="Times New Roman" w:eastAsia="Calibri" w:hAnsi="Times New Roman" w:cs="Times New Roman"/>
          <w:b/>
          <w:bCs/>
          <w:kern w:val="2"/>
          <w:sz w:val="24"/>
          <w:szCs w:val="24"/>
          <w:lang w:val="en-GB" w:eastAsia="en-US"/>
        </w:rPr>
        <w:t>Under</w:t>
      </w:r>
      <w:r w:rsidRPr="00195A8B">
        <w:rPr>
          <w:rFonts w:ascii="Times New Roman" w:eastAsia="Calibri" w:hAnsi="Times New Roman" w:cs="Times New Roman"/>
          <w:b/>
          <w:bCs/>
          <w:kern w:val="2"/>
          <w:sz w:val="24"/>
          <w:szCs w:val="24"/>
          <w:lang w:val="en-GB" w:eastAsia="en-US"/>
        </w:rPr>
        <w:t xml:space="preserve"> Economic Empowerment Schemes between Arusha and Mara Regions.</w:t>
      </w:r>
    </w:p>
    <w:tbl>
      <w:tblPr>
        <w:tblStyle w:val="TableGrid11"/>
        <w:tblW w:w="5000" w:type="pct"/>
        <w:tblLook w:val="04A0" w:firstRow="1" w:lastRow="0" w:firstColumn="1" w:lastColumn="0" w:noHBand="0" w:noVBand="1"/>
      </w:tblPr>
      <w:tblGrid>
        <w:gridCol w:w="2098"/>
        <w:gridCol w:w="4130"/>
        <w:gridCol w:w="1864"/>
        <w:gridCol w:w="1484"/>
      </w:tblGrid>
      <w:tr w:rsidR="00195A8B" w:rsidRPr="00195A8B" w14:paraId="25BF5724" w14:textId="77777777" w:rsidTr="00951C25">
        <w:tc>
          <w:tcPr>
            <w:tcW w:w="1095" w:type="pct"/>
            <w:vMerge w:val="restart"/>
          </w:tcPr>
          <w:p w14:paraId="63090B68"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Enterprises</w:t>
            </w:r>
          </w:p>
        </w:tc>
        <w:tc>
          <w:tcPr>
            <w:tcW w:w="2156" w:type="pct"/>
            <w:vMerge w:val="restart"/>
          </w:tcPr>
          <w:p w14:paraId="6D079009"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Parameters</w:t>
            </w:r>
          </w:p>
        </w:tc>
        <w:tc>
          <w:tcPr>
            <w:tcW w:w="973" w:type="pct"/>
          </w:tcPr>
          <w:p w14:paraId="562DA1C1" w14:textId="77777777" w:rsidR="00195A8B" w:rsidRPr="00195A8B" w:rsidRDefault="00195A8B" w:rsidP="00951C25">
            <w:pPr>
              <w:adjustRightInd w:val="0"/>
              <w:ind w:hanging="90"/>
              <w:jc w:val="center"/>
              <w:rPr>
                <w:rFonts w:ascii="Times New Roman" w:hAnsi="Times New Roman" w:cs="Times New Roman"/>
                <w:b/>
                <w:bCs/>
              </w:rPr>
            </w:pPr>
            <w:r w:rsidRPr="00195A8B">
              <w:rPr>
                <w:rFonts w:ascii="Times New Roman" w:hAnsi="Times New Roman" w:cs="Times New Roman"/>
                <w:b/>
                <w:bCs/>
              </w:rPr>
              <w:t>Arusha</w:t>
            </w:r>
          </w:p>
        </w:tc>
        <w:tc>
          <w:tcPr>
            <w:tcW w:w="775" w:type="pct"/>
          </w:tcPr>
          <w:p w14:paraId="2FA345F3" w14:textId="77777777" w:rsidR="00195A8B" w:rsidRPr="00195A8B" w:rsidRDefault="00195A8B" w:rsidP="00951C25">
            <w:pPr>
              <w:adjustRightInd w:val="0"/>
              <w:ind w:hanging="90"/>
              <w:jc w:val="center"/>
              <w:rPr>
                <w:rFonts w:ascii="Times New Roman" w:hAnsi="Times New Roman" w:cs="Times New Roman"/>
                <w:b/>
                <w:bCs/>
              </w:rPr>
            </w:pPr>
            <w:r w:rsidRPr="00195A8B">
              <w:rPr>
                <w:rFonts w:ascii="Times New Roman" w:hAnsi="Times New Roman" w:cs="Times New Roman"/>
                <w:b/>
                <w:bCs/>
              </w:rPr>
              <w:t>Mara</w:t>
            </w:r>
          </w:p>
        </w:tc>
      </w:tr>
      <w:tr w:rsidR="00195A8B" w:rsidRPr="00195A8B" w14:paraId="6D2FB832" w14:textId="77777777" w:rsidTr="00951C25">
        <w:tc>
          <w:tcPr>
            <w:tcW w:w="1095" w:type="pct"/>
            <w:vMerge/>
          </w:tcPr>
          <w:p w14:paraId="387ECE14" w14:textId="77777777" w:rsidR="00195A8B" w:rsidRPr="00195A8B" w:rsidRDefault="00195A8B" w:rsidP="00195A8B">
            <w:pPr>
              <w:adjustRightInd w:val="0"/>
              <w:ind w:hanging="90"/>
              <w:rPr>
                <w:rFonts w:ascii="Times New Roman" w:hAnsi="Times New Roman" w:cs="Times New Roman"/>
                <w:b/>
                <w:bCs/>
              </w:rPr>
            </w:pPr>
          </w:p>
        </w:tc>
        <w:tc>
          <w:tcPr>
            <w:tcW w:w="2156" w:type="pct"/>
            <w:vMerge/>
          </w:tcPr>
          <w:p w14:paraId="73B4B279" w14:textId="77777777" w:rsidR="00195A8B" w:rsidRPr="00195A8B" w:rsidRDefault="00195A8B" w:rsidP="00195A8B">
            <w:pPr>
              <w:adjustRightInd w:val="0"/>
              <w:ind w:hanging="90"/>
              <w:rPr>
                <w:rFonts w:ascii="Times New Roman" w:hAnsi="Times New Roman" w:cs="Times New Roman"/>
                <w:b/>
                <w:bCs/>
              </w:rPr>
            </w:pPr>
          </w:p>
        </w:tc>
        <w:tc>
          <w:tcPr>
            <w:tcW w:w="973" w:type="pct"/>
          </w:tcPr>
          <w:p w14:paraId="762FCAA8" w14:textId="77777777" w:rsidR="00195A8B" w:rsidRPr="00195A8B" w:rsidRDefault="00195A8B" w:rsidP="00951C25">
            <w:pPr>
              <w:adjustRightInd w:val="0"/>
              <w:ind w:hanging="90"/>
              <w:jc w:val="center"/>
              <w:rPr>
                <w:rFonts w:ascii="Times New Roman" w:hAnsi="Times New Roman" w:cs="Times New Roman"/>
                <w:b/>
                <w:bCs/>
              </w:rPr>
            </w:pPr>
            <w:r w:rsidRPr="00195A8B">
              <w:rPr>
                <w:rFonts w:ascii="Times New Roman" w:hAnsi="Times New Roman" w:cs="Times New Roman"/>
                <w:b/>
                <w:bCs/>
              </w:rPr>
              <w:t>Value (TZS)</w:t>
            </w:r>
          </w:p>
        </w:tc>
        <w:tc>
          <w:tcPr>
            <w:tcW w:w="775" w:type="pct"/>
          </w:tcPr>
          <w:p w14:paraId="227E953B" w14:textId="77777777" w:rsidR="00195A8B" w:rsidRPr="00195A8B" w:rsidRDefault="00195A8B" w:rsidP="00951C25">
            <w:pPr>
              <w:adjustRightInd w:val="0"/>
              <w:ind w:hanging="90"/>
              <w:jc w:val="center"/>
              <w:rPr>
                <w:rFonts w:ascii="Times New Roman" w:hAnsi="Times New Roman" w:cs="Times New Roman"/>
                <w:b/>
                <w:bCs/>
              </w:rPr>
            </w:pPr>
            <w:r w:rsidRPr="00195A8B">
              <w:rPr>
                <w:rFonts w:ascii="Times New Roman" w:hAnsi="Times New Roman" w:cs="Times New Roman"/>
                <w:b/>
                <w:bCs/>
              </w:rPr>
              <w:t>Value (TZS)</w:t>
            </w:r>
          </w:p>
        </w:tc>
      </w:tr>
      <w:tr w:rsidR="00195A8B" w:rsidRPr="00195A8B" w14:paraId="5E36B4D9" w14:textId="77777777" w:rsidTr="00951C25">
        <w:tc>
          <w:tcPr>
            <w:tcW w:w="1095" w:type="pct"/>
            <w:vMerge w:val="restart"/>
          </w:tcPr>
          <w:p w14:paraId="5ABA461B" w14:textId="078EF4E5"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 xml:space="preserve">Crop </w:t>
            </w:r>
            <w:r w:rsidR="00583353">
              <w:rPr>
                <w:rFonts w:ascii="Times New Roman" w:hAnsi="Times New Roman" w:cs="Times New Roman"/>
                <w:b/>
                <w:bCs/>
              </w:rPr>
              <w:t>P</w:t>
            </w:r>
            <w:r w:rsidRPr="00195A8B">
              <w:rPr>
                <w:rFonts w:ascii="Times New Roman" w:hAnsi="Times New Roman" w:cs="Times New Roman"/>
                <w:b/>
                <w:bCs/>
              </w:rPr>
              <w:t>roduction</w:t>
            </w:r>
          </w:p>
        </w:tc>
        <w:tc>
          <w:tcPr>
            <w:tcW w:w="2156" w:type="pct"/>
          </w:tcPr>
          <w:p w14:paraId="37206209"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Cost (TC)</w:t>
            </w:r>
          </w:p>
        </w:tc>
        <w:tc>
          <w:tcPr>
            <w:tcW w:w="973" w:type="pct"/>
          </w:tcPr>
          <w:p w14:paraId="705DC025"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1,890,000</w:t>
            </w:r>
          </w:p>
        </w:tc>
        <w:tc>
          <w:tcPr>
            <w:tcW w:w="775" w:type="pct"/>
          </w:tcPr>
          <w:p w14:paraId="57A13337"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869,998</w:t>
            </w:r>
          </w:p>
        </w:tc>
      </w:tr>
      <w:tr w:rsidR="00195A8B" w:rsidRPr="00195A8B" w14:paraId="0B0275CE" w14:textId="77777777" w:rsidTr="00951C25">
        <w:tc>
          <w:tcPr>
            <w:tcW w:w="1095" w:type="pct"/>
            <w:vMerge/>
          </w:tcPr>
          <w:p w14:paraId="73C4C9F0"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5F83E59C"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Revenue (TR)</w:t>
            </w:r>
          </w:p>
        </w:tc>
        <w:tc>
          <w:tcPr>
            <w:tcW w:w="973" w:type="pct"/>
            <w:vAlign w:val="bottom"/>
          </w:tcPr>
          <w:p w14:paraId="620C8163"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15,495,508</w:t>
            </w:r>
          </w:p>
        </w:tc>
        <w:tc>
          <w:tcPr>
            <w:tcW w:w="775" w:type="pct"/>
          </w:tcPr>
          <w:p w14:paraId="14CCAC80"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63,700,000</w:t>
            </w:r>
          </w:p>
        </w:tc>
      </w:tr>
      <w:tr w:rsidR="00195A8B" w:rsidRPr="00195A8B" w14:paraId="02CA1398" w14:textId="77777777" w:rsidTr="00951C25">
        <w:tc>
          <w:tcPr>
            <w:tcW w:w="1095" w:type="pct"/>
            <w:vMerge/>
          </w:tcPr>
          <w:p w14:paraId="786E285D"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350F7165"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Net Profit Margin (NPM)= TR- TC</w:t>
            </w:r>
          </w:p>
        </w:tc>
        <w:tc>
          <w:tcPr>
            <w:tcW w:w="973" w:type="pct"/>
            <w:vAlign w:val="bottom"/>
          </w:tcPr>
          <w:p w14:paraId="2C7E020A"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13,605,508</w:t>
            </w:r>
          </w:p>
        </w:tc>
        <w:tc>
          <w:tcPr>
            <w:tcW w:w="775" w:type="pct"/>
            <w:vAlign w:val="bottom"/>
          </w:tcPr>
          <w:p w14:paraId="79210502"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62,830,002</w:t>
            </w:r>
          </w:p>
        </w:tc>
      </w:tr>
      <w:tr w:rsidR="00195A8B" w:rsidRPr="00195A8B" w14:paraId="642A350D" w14:textId="77777777" w:rsidTr="00951C25">
        <w:tc>
          <w:tcPr>
            <w:tcW w:w="1095" w:type="pct"/>
            <w:vMerge/>
          </w:tcPr>
          <w:p w14:paraId="1D5E570F"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473E8DB4"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Return on Investment (ROI)= NPM/ TC*100</w:t>
            </w:r>
          </w:p>
        </w:tc>
        <w:tc>
          <w:tcPr>
            <w:tcW w:w="973" w:type="pct"/>
            <w:vAlign w:val="bottom"/>
          </w:tcPr>
          <w:p w14:paraId="45CF0629"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720</w:t>
            </w:r>
          </w:p>
        </w:tc>
        <w:tc>
          <w:tcPr>
            <w:tcW w:w="775" w:type="pct"/>
            <w:vAlign w:val="bottom"/>
          </w:tcPr>
          <w:p w14:paraId="322C2F95"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7,222</w:t>
            </w:r>
          </w:p>
        </w:tc>
      </w:tr>
      <w:tr w:rsidR="00195A8B" w:rsidRPr="00195A8B" w14:paraId="493CBADC" w14:textId="77777777" w:rsidTr="00951C25">
        <w:tc>
          <w:tcPr>
            <w:tcW w:w="1095" w:type="pct"/>
            <w:vMerge/>
          </w:tcPr>
          <w:p w14:paraId="42423054"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0044E2FB"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Benefit-Cost Ratio (BCR)= TR / TC</w:t>
            </w:r>
          </w:p>
        </w:tc>
        <w:tc>
          <w:tcPr>
            <w:tcW w:w="973" w:type="pct"/>
            <w:vAlign w:val="bottom"/>
          </w:tcPr>
          <w:p w14:paraId="6DC47034"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8.2</w:t>
            </w:r>
          </w:p>
        </w:tc>
        <w:tc>
          <w:tcPr>
            <w:tcW w:w="775" w:type="pct"/>
            <w:vAlign w:val="bottom"/>
          </w:tcPr>
          <w:p w14:paraId="24115D80"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73.2</w:t>
            </w:r>
          </w:p>
        </w:tc>
      </w:tr>
      <w:tr w:rsidR="00195A8B" w:rsidRPr="00195A8B" w14:paraId="2DC66EAE" w14:textId="77777777" w:rsidTr="00951C25">
        <w:tc>
          <w:tcPr>
            <w:tcW w:w="1095" w:type="pct"/>
            <w:vMerge w:val="restart"/>
          </w:tcPr>
          <w:p w14:paraId="16BBFB68" w14:textId="40674365"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 xml:space="preserve">Livestock </w:t>
            </w:r>
            <w:r w:rsidR="00583353">
              <w:rPr>
                <w:rFonts w:ascii="Times New Roman" w:hAnsi="Times New Roman" w:cs="Times New Roman"/>
                <w:b/>
                <w:bCs/>
              </w:rPr>
              <w:t>K</w:t>
            </w:r>
            <w:r w:rsidRPr="00195A8B">
              <w:rPr>
                <w:rFonts w:ascii="Times New Roman" w:hAnsi="Times New Roman" w:cs="Times New Roman"/>
                <w:b/>
                <w:bCs/>
              </w:rPr>
              <w:t>eeping</w:t>
            </w:r>
          </w:p>
        </w:tc>
        <w:tc>
          <w:tcPr>
            <w:tcW w:w="2156" w:type="pct"/>
          </w:tcPr>
          <w:p w14:paraId="44A88D9D" w14:textId="77777777" w:rsidR="00195A8B" w:rsidRPr="00951C25" w:rsidRDefault="00195A8B" w:rsidP="00195A8B">
            <w:pPr>
              <w:adjustRightInd w:val="0"/>
              <w:ind w:hanging="90"/>
              <w:rPr>
                <w:rFonts w:ascii="Times New Roman" w:hAnsi="Times New Roman" w:cs="Times New Roman"/>
              </w:rPr>
            </w:pPr>
            <w:r w:rsidRPr="00951C25">
              <w:rPr>
                <w:rFonts w:ascii="Times New Roman" w:hAnsi="Times New Roman" w:cs="Times New Roman"/>
              </w:rPr>
              <w:t>Total Cost (TC)</w:t>
            </w:r>
          </w:p>
        </w:tc>
        <w:tc>
          <w:tcPr>
            <w:tcW w:w="973" w:type="pct"/>
          </w:tcPr>
          <w:p w14:paraId="114D88CB"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75,986,223</w:t>
            </w:r>
          </w:p>
        </w:tc>
        <w:tc>
          <w:tcPr>
            <w:tcW w:w="775" w:type="pct"/>
          </w:tcPr>
          <w:p w14:paraId="66859588"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2,738,830</w:t>
            </w:r>
          </w:p>
        </w:tc>
      </w:tr>
      <w:tr w:rsidR="00195A8B" w:rsidRPr="00195A8B" w14:paraId="2DD3EA51" w14:textId="77777777" w:rsidTr="00951C25">
        <w:tc>
          <w:tcPr>
            <w:tcW w:w="1095" w:type="pct"/>
            <w:vMerge/>
          </w:tcPr>
          <w:p w14:paraId="3090CEBF"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3E583E71" w14:textId="77777777" w:rsidR="00195A8B" w:rsidRPr="00951C25" w:rsidRDefault="00195A8B" w:rsidP="00195A8B">
            <w:pPr>
              <w:adjustRightInd w:val="0"/>
              <w:ind w:hanging="90"/>
              <w:rPr>
                <w:rFonts w:ascii="Times New Roman" w:hAnsi="Times New Roman" w:cs="Times New Roman"/>
              </w:rPr>
            </w:pPr>
            <w:r w:rsidRPr="00951C25">
              <w:rPr>
                <w:rFonts w:ascii="Times New Roman" w:hAnsi="Times New Roman" w:cs="Times New Roman"/>
              </w:rPr>
              <w:t>Total Revenue (TR)</w:t>
            </w:r>
          </w:p>
        </w:tc>
        <w:tc>
          <w:tcPr>
            <w:tcW w:w="973" w:type="pct"/>
          </w:tcPr>
          <w:p w14:paraId="5A6052B6"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135,354,200</w:t>
            </w:r>
          </w:p>
        </w:tc>
        <w:tc>
          <w:tcPr>
            <w:tcW w:w="775" w:type="pct"/>
          </w:tcPr>
          <w:p w14:paraId="3C51EBE8"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32,167,000</w:t>
            </w:r>
          </w:p>
        </w:tc>
      </w:tr>
      <w:tr w:rsidR="00195A8B" w:rsidRPr="00195A8B" w14:paraId="664E752F" w14:textId="77777777" w:rsidTr="00951C25">
        <w:tc>
          <w:tcPr>
            <w:tcW w:w="1095" w:type="pct"/>
            <w:vMerge/>
          </w:tcPr>
          <w:p w14:paraId="35D0E065"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293D5AA9" w14:textId="77777777" w:rsidR="00195A8B" w:rsidRPr="00951C25" w:rsidRDefault="00195A8B" w:rsidP="00195A8B">
            <w:pPr>
              <w:adjustRightInd w:val="0"/>
              <w:ind w:hanging="90"/>
              <w:rPr>
                <w:rFonts w:ascii="Times New Roman" w:hAnsi="Times New Roman" w:cs="Times New Roman"/>
              </w:rPr>
            </w:pPr>
            <w:r w:rsidRPr="00951C25">
              <w:rPr>
                <w:rFonts w:ascii="Times New Roman" w:hAnsi="Times New Roman" w:cs="Times New Roman"/>
              </w:rPr>
              <w:t>Net Profit Margin (NPM)= TR- TC</w:t>
            </w:r>
          </w:p>
        </w:tc>
        <w:tc>
          <w:tcPr>
            <w:tcW w:w="973" w:type="pct"/>
            <w:vAlign w:val="bottom"/>
          </w:tcPr>
          <w:p w14:paraId="31CBC250"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59,367,977</w:t>
            </w:r>
          </w:p>
        </w:tc>
        <w:tc>
          <w:tcPr>
            <w:tcW w:w="775" w:type="pct"/>
            <w:vAlign w:val="bottom"/>
          </w:tcPr>
          <w:p w14:paraId="70EA4463"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29,428,170</w:t>
            </w:r>
          </w:p>
        </w:tc>
      </w:tr>
      <w:tr w:rsidR="00195A8B" w:rsidRPr="00195A8B" w14:paraId="491AD008" w14:textId="77777777" w:rsidTr="00951C25">
        <w:tc>
          <w:tcPr>
            <w:tcW w:w="1095" w:type="pct"/>
            <w:vMerge/>
          </w:tcPr>
          <w:p w14:paraId="6AF28994"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7594D61E" w14:textId="77777777" w:rsidR="00195A8B" w:rsidRPr="00951C25" w:rsidRDefault="00195A8B" w:rsidP="00195A8B">
            <w:pPr>
              <w:adjustRightInd w:val="0"/>
              <w:ind w:hanging="90"/>
              <w:rPr>
                <w:rFonts w:ascii="Times New Roman" w:hAnsi="Times New Roman" w:cs="Times New Roman"/>
              </w:rPr>
            </w:pPr>
            <w:r w:rsidRPr="00951C25">
              <w:rPr>
                <w:rFonts w:ascii="Times New Roman" w:hAnsi="Times New Roman" w:cs="Times New Roman"/>
              </w:rPr>
              <w:t>Return on Investment (ROI)= NPM/ TC*100</w:t>
            </w:r>
          </w:p>
        </w:tc>
        <w:tc>
          <w:tcPr>
            <w:tcW w:w="973" w:type="pct"/>
            <w:vAlign w:val="bottom"/>
          </w:tcPr>
          <w:p w14:paraId="69E737B4"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78</w:t>
            </w:r>
          </w:p>
        </w:tc>
        <w:tc>
          <w:tcPr>
            <w:tcW w:w="775" w:type="pct"/>
            <w:vAlign w:val="bottom"/>
          </w:tcPr>
          <w:p w14:paraId="6650E980"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1,074</w:t>
            </w:r>
          </w:p>
        </w:tc>
      </w:tr>
      <w:tr w:rsidR="00195A8B" w:rsidRPr="00195A8B" w14:paraId="7B6F543A" w14:textId="77777777" w:rsidTr="00951C25">
        <w:tc>
          <w:tcPr>
            <w:tcW w:w="1095" w:type="pct"/>
            <w:vMerge/>
          </w:tcPr>
          <w:p w14:paraId="24AB9867"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6602648F" w14:textId="77777777" w:rsidR="00195A8B" w:rsidRPr="00951C25" w:rsidRDefault="00195A8B" w:rsidP="00195A8B">
            <w:pPr>
              <w:adjustRightInd w:val="0"/>
              <w:ind w:hanging="90"/>
              <w:rPr>
                <w:rFonts w:ascii="Times New Roman" w:hAnsi="Times New Roman" w:cs="Times New Roman"/>
              </w:rPr>
            </w:pPr>
            <w:r w:rsidRPr="00951C25">
              <w:rPr>
                <w:rFonts w:ascii="Times New Roman" w:hAnsi="Times New Roman" w:cs="Times New Roman"/>
              </w:rPr>
              <w:t>Benefit-Cost Ratio (BCR)= TR / TC</w:t>
            </w:r>
          </w:p>
        </w:tc>
        <w:tc>
          <w:tcPr>
            <w:tcW w:w="973" w:type="pct"/>
            <w:vAlign w:val="bottom"/>
          </w:tcPr>
          <w:p w14:paraId="04D8A42F"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1.8</w:t>
            </w:r>
          </w:p>
        </w:tc>
        <w:tc>
          <w:tcPr>
            <w:tcW w:w="775" w:type="pct"/>
            <w:vAlign w:val="bottom"/>
          </w:tcPr>
          <w:p w14:paraId="061F5793"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11.7</w:t>
            </w:r>
          </w:p>
        </w:tc>
      </w:tr>
      <w:tr w:rsidR="00195A8B" w:rsidRPr="00195A8B" w14:paraId="6824DE10" w14:textId="77777777" w:rsidTr="00951C25">
        <w:tc>
          <w:tcPr>
            <w:tcW w:w="1095" w:type="pct"/>
            <w:vMerge w:val="restart"/>
          </w:tcPr>
          <w:p w14:paraId="772871E9" w14:textId="54914930"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Whole</w:t>
            </w:r>
            <w:r w:rsidR="00AE0D51">
              <w:rPr>
                <w:rFonts w:ascii="Times New Roman" w:hAnsi="Times New Roman" w:cs="Times New Roman"/>
                <w:b/>
                <w:bCs/>
              </w:rPr>
              <w:t>s</w:t>
            </w:r>
            <w:r w:rsidRPr="00195A8B">
              <w:rPr>
                <w:rFonts w:ascii="Times New Roman" w:hAnsi="Times New Roman" w:cs="Times New Roman"/>
                <w:b/>
                <w:bCs/>
              </w:rPr>
              <w:t>ale and Retail business</w:t>
            </w:r>
          </w:p>
        </w:tc>
        <w:tc>
          <w:tcPr>
            <w:tcW w:w="2156" w:type="pct"/>
          </w:tcPr>
          <w:p w14:paraId="65A6F320"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Cost (TC)</w:t>
            </w:r>
          </w:p>
        </w:tc>
        <w:tc>
          <w:tcPr>
            <w:tcW w:w="973" w:type="pct"/>
          </w:tcPr>
          <w:p w14:paraId="50C9F9A7"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44,958,692</w:t>
            </w:r>
          </w:p>
        </w:tc>
        <w:tc>
          <w:tcPr>
            <w:tcW w:w="775" w:type="pct"/>
          </w:tcPr>
          <w:p w14:paraId="6F7B4C23"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4,228,633</w:t>
            </w:r>
          </w:p>
        </w:tc>
      </w:tr>
      <w:tr w:rsidR="00195A8B" w:rsidRPr="00195A8B" w14:paraId="36610601" w14:textId="77777777" w:rsidTr="00951C25">
        <w:tc>
          <w:tcPr>
            <w:tcW w:w="1095" w:type="pct"/>
            <w:vMerge/>
          </w:tcPr>
          <w:p w14:paraId="6967F5AF"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54492DAA"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Revenue (TR)</w:t>
            </w:r>
          </w:p>
        </w:tc>
        <w:tc>
          <w:tcPr>
            <w:tcW w:w="973" w:type="pct"/>
          </w:tcPr>
          <w:p w14:paraId="1669AC9A"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178,319,800</w:t>
            </w:r>
          </w:p>
        </w:tc>
        <w:tc>
          <w:tcPr>
            <w:tcW w:w="775" w:type="pct"/>
          </w:tcPr>
          <w:p w14:paraId="6F0F3B40"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32,353,000</w:t>
            </w:r>
          </w:p>
        </w:tc>
      </w:tr>
      <w:tr w:rsidR="00195A8B" w:rsidRPr="00195A8B" w14:paraId="20FF6454" w14:textId="77777777" w:rsidTr="00951C25">
        <w:tc>
          <w:tcPr>
            <w:tcW w:w="1095" w:type="pct"/>
            <w:vMerge/>
          </w:tcPr>
          <w:p w14:paraId="433022AA"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28AEA67B"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Net Profit Margin (NPM)= TR- TC</w:t>
            </w:r>
          </w:p>
        </w:tc>
        <w:tc>
          <w:tcPr>
            <w:tcW w:w="973" w:type="pct"/>
            <w:vAlign w:val="bottom"/>
          </w:tcPr>
          <w:p w14:paraId="4F35848A"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133,361,108</w:t>
            </w:r>
          </w:p>
        </w:tc>
        <w:tc>
          <w:tcPr>
            <w:tcW w:w="775" w:type="pct"/>
            <w:vAlign w:val="bottom"/>
          </w:tcPr>
          <w:p w14:paraId="532A8364"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28,124,367</w:t>
            </w:r>
          </w:p>
        </w:tc>
      </w:tr>
      <w:tr w:rsidR="00195A8B" w:rsidRPr="00195A8B" w14:paraId="3ECE8F12" w14:textId="77777777" w:rsidTr="00951C25">
        <w:tc>
          <w:tcPr>
            <w:tcW w:w="1095" w:type="pct"/>
            <w:vMerge/>
          </w:tcPr>
          <w:p w14:paraId="00B8AB8F"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479A338A"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Return on Investment (ROI)= NPM/ TC*100</w:t>
            </w:r>
          </w:p>
        </w:tc>
        <w:tc>
          <w:tcPr>
            <w:tcW w:w="973" w:type="pct"/>
            <w:vAlign w:val="bottom"/>
          </w:tcPr>
          <w:p w14:paraId="01B7FD85"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297</w:t>
            </w:r>
          </w:p>
        </w:tc>
        <w:tc>
          <w:tcPr>
            <w:tcW w:w="775" w:type="pct"/>
            <w:vAlign w:val="bottom"/>
          </w:tcPr>
          <w:p w14:paraId="0A8581BB"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665</w:t>
            </w:r>
          </w:p>
        </w:tc>
      </w:tr>
      <w:tr w:rsidR="00195A8B" w:rsidRPr="00195A8B" w14:paraId="071C40AB" w14:textId="77777777" w:rsidTr="00951C25">
        <w:tc>
          <w:tcPr>
            <w:tcW w:w="1095" w:type="pct"/>
            <w:vMerge/>
          </w:tcPr>
          <w:p w14:paraId="15536F7D"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3CE8BD51"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Benefit-Cost Ratio (BCR)= TR / TC</w:t>
            </w:r>
          </w:p>
        </w:tc>
        <w:tc>
          <w:tcPr>
            <w:tcW w:w="973" w:type="pct"/>
            <w:vAlign w:val="bottom"/>
          </w:tcPr>
          <w:p w14:paraId="47B39B07"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4.0</w:t>
            </w:r>
          </w:p>
        </w:tc>
        <w:tc>
          <w:tcPr>
            <w:tcW w:w="775" w:type="pct"/>
            <w:vAlign w:val="bottom"/>
          </w:tcPr>
          <w:p w14:paraId="504F23C6"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7.7</w:t>
            </w:r>
          </w:p>
        </w:tc>
      </w:tr>
      <w:tr w:rsidR="00195A8B" w:rsidRPr="00195A8B" w14:paraId="734D4AF4" w14:textId="77777777" w:rsidTr="00951C25">
        <w:tc>
          <w:tcPr>
            <w:tcW w:w="1095" w:type="pct"/>
            <w:vMerge w:val="restart"/>
          </w:tcPr>
          <w:p w14:paraId="5D850F84" w14:textId="64B1ABEC" w:rsidR="00195A8B" w:rsidRPr="00195A8B" w:rsidRDefault="00195A8B" w:rsidP="00951C25">
            <w:pPr>
              <w:adjustRightInd w:val="0"/>
              <w:ind w:hanging="90"/>
              <w:jc w:val="both"/>
              <w:rPr>
                <w:rFonts w:ascii="Times New Roman" w:hAnsi="Times New Roman" w:cs="Times New Roman"/>
                <w:b/>
                <w:bCs/>
              </w:rPr>
            </w:pPr>
            <w:r w:rsidRPr="00195A8B">
              <w:rPr>
                <w:rFonts w:ascii="Times New Roman" w:hAnsi="Times New Roman" w:cs="Times New Roman"/>
                <w:b/>
                <w:bCs/>
              </w:rPr>
              <w:t xml:space="preserve">Transportation </w:t>
            </w:r>
            <w:r w:rsidR="00583353">
              <w:rPr>
                <w:rFonts w:ascii="Times New Roman" w:hAnsi="Times New Roman" w:cs="Times New Roman"/>
                <w:b/>
                <w:bCs/>
              </w:rPr>
              <w:t>Services</w:t>
            </w:r>
          </w:p>
        </w:tc>
        <w:tc>
          <w:tcPr>
            <w:tcW w:w="2156" w:type="pct"/>
          </w:tcPr>
          <w:p w14:paraId="54B11491"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Cost (TC)</w:t>
            </w:r>
          </w:p>
        </w:tc>
        <w:tc>
          <w:tcPr>
            <w:tcW w:w="973" w:type="pct"/>
          </w:tcPr>
          <w:p w14:paraId="286EE1CF"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17,171,996</w:t>
            </w:r>
          </w:p>
        </w:tc>
        <w:tc>
          <w:tcPr>
            <w:tcW w:w="775" w:type="pct"/>
          </w:tcPr>
          <w:p w14:paraId="40D98197"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1,112,000</w:t>
            </w:r>
          </w:p>
        </w:tc>
      </w:tr>
      <w:tr w:rsidR="00195A8B" w:rsidRPr="00195A8B" w14:paraId="0FB6D8BE" w14:textId="77777777" w:rsidTr="00951C25">
        <w:tc>
          <w:tcPr>
            <w:tcW w:w="1095" w:type="pct"/>
            <w:vMerge/>
          </w:tcPr>
          <w:p w14:paraId="77416F51"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24588039" w14:textId="77777777" w:rsidR="00195A8B" w:rsidRPr="00583353" w:rsidRDefault="00195A8B" w:rsidP="00195A8B">
            <w:pPr>
              <w:adjustRightInd w:val="0"/>
              <w:ind w:hanging="90"/>
              <w:rPr>
                <w:rFonts w:ascii="Times New Roman" w:hAnsi="Times New Roman" w:cs="Times New Roman"/>
                <w:bCs/>
              </w:rPr>
            </w:pPr>
            <w:r w:rsidRPr="00583353">
              <w:rPr>
                <w:rFonts w:ascii="Times New Roman" w:hAnsi="Times New Roman" w:cs="Times New Roman"/>
                <w:bCs/>
              </w:rPr>
              <w:t>Total Revenue (TR)</w:t>
            </w:r>
          </w:p>
        </w:tc>
        <w:tc>
          <w:tcPr>
            <w:tcW w:w="973" w:type="pct"/>
          </w:tcPr>
          <w:p w14:paraId="723BBFAE"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9,891,000</w:t>
            </w:r>
          </w:p>
        </w:tc>
        <w:tc>
          <w:tcPr>
            <w:tcW w:w="775" w:type="pct"/>
          </w:tcPr>
          <w:p w14:paraId="79356028"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15,000,000</w:t>
            </w:r>
          </w:p>
        </w:tc>
      </w:tr>
      <w:tr w:rsidR="00195A8B" w:rsidRPr="00195A8B" w14:paraId="183AFBB0" w14:textId="77777777" w:rsidTr="00951C25">
        <w:tc>
          <w:tcPr>
            <w:tcW w:w="1095" w:type="pct"/>
            <w:vMerge/>
          </w:tcPr>
          <w:p w14:paraId="74A5AE63"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1320031B"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Net Profit Margin (NPM)= TR- TC</w:t>
            </w:r>
          </w:p>
        </w:tc>
        <w:tc>
          <w:tcPr>
            <w:tcW w:w="973" w:type="pct"/>
            <w:vAlign w:val="bottom"/>
          </w:tcPr>
          <w:p w14:paraId="4E23CF17"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-7,280,996</w:t>
            </w:r>
          </w:p>
        </w:tc>
        <w:tc>
          <w:tcPr>
            <w:tcW w:w="775" w:type="pct"/>
            <w:vAlign w:val="bottom"/>
          </w:tcPr>
          <w:p w14:paraId="4ECC8C9B"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13,888,000</w:t>
            </w:r>
          </w:p>
        </w:tc>
      </w:tr>
      <w:tr w:rsidR="00195A8B" w:rsidRPr="00195A8B" w14:paraId="01A06FC8" w14:textId="77777777" w:rsidTr="00951C25">
        <w:tc>
          <w:tcPr>
            <w:tcW w:w="1095" w:type="pct"/>
            <w:vMerge/>
          </w:tcPr>
          <w:p w14:paraId="29D65F90"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201CDBE0"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Return on Investment (ROI)= NPM/ TC*100</w:t>
            </w:r>
          </w:p>
        </w:tc>
        <w:tc>
          <w:tcPr>
            <w:tcW w:w="973" w:type="pct"/>
            <w:vAlign w:val="bottom"/>
          </w:tcPr>
          <w:p w14:paraId="0E2BDB92"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-42</w:t>
            </w:r>
          </w:p>
        </w:tc>
        <w:tc>
          <w:tcPr>
            <w:tcW w:w="775" w:type="pct"/>
            <w:vAlign w:val="bottom"/>
          </w:tcPr>
          <w:p w14:paraId="4393368C"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1,249</w:t>
            </w:r>
          </w:p>
        </w:tc>
      </w:tr>
      <w:tr w:rsidR="00195A8B" w:rsidRPr="00195A8B" w14:paraId="2FFEDD3A" w14:textId="77777777" w:rsidTr="00951C25">
        <w:tc>
          <w:tcPr>
            <w:tcW w:w="1095" w:type="pct"/>
            <w:vMerge/>
          </w:tcPr>
          <w:p w14:paraId="02ECF3BF"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574FA0AE" w14:textId="77777777" w:rsidR="00195A8B" w:rsidRPr="00951C25" w:rsidRDefault="00195A8B" w:rsidP="00195A8B">
            <w:pPr>
              <w:adjustRightInd w:val="0"/>
              <w:ind w:hanging="90"/>
              <w:rPr>
                <w:rFonts w:ascii="Times New Roman" w:hAnsi="Times New Roman" w:cs="Times New Roman"/>
                <w:bCs/>
              </w:rPr>
            </w:pPr>
            <w:r w:rsidRPr="00951C25">
              <w:rPr>
                <w:rFonts w:ascii="Times New Roman" w:hAnsi="Times New Roman" w:cs="Times New Roman"/>
                <w:bCs/>
              </w:rPr>
              <w:t>Benefit-Cost Ratio (BCR)= TR / TC</w:t>
            </w:r>
          </w:p>
        </w:tc>
        <w:tc>
          <w:tcPr>
            <w:tcW w:w="973" w:type="pct"/>
            <w:vAlign w:val="bottom"/>
          </w:tcPr>
          <w:p w14:paraId="24D424B1"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0.6</w:t>
            </w:r>
          </w:p>
        </w:tc>
        <w:tc>
          <w:tcPr>
            <w:tcW w:w="775" w:type="pct"/>
            <w:vAlign w:val="bottom"/>
          </w:tcPr>
          <w:p w14:paraId="79904DA0"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13.5</w:t>
            </w:r>
          </w:p>
        </w:tc>
      </w:tr>
      <w:tr w:rsidR="00195A8B" w:rsidRPr="00195A8B" w14:paraId="66E2438D" w14:textId="77777777" w:rsidTr="00951C25">
        <w:tc>
          <w:tcPr>
            <w:tcW w:w="1095" w:type="pct"/>
            <w:vMerge w:val="restart"/>
          </w:tcPr>
          <w:p w14:paraId="07279DE3" w14:textId="783AE146"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 xml:space="preserve">Construction </w:t>
            </w:r>
            <w:r w:rsidR="00583353">
              <w:rPr>
                <w:rFonts w:ascii="Times New Roman" w:hAnsi="Times New Roman" w:cs="Times New Roman"/>
                <w:b/>
                <w:bCs/>
              </w:rPr>
              <w:t>S</w:t>
            </w:r>
            <w:r w:rsidRPr="00195A8B">
              <w:rPr>
                <w:rFonts w:ascii="Times New Roman" w:hAnsi="Times New Roman" w:cs="Times New Roman"/>
                <w:b/>
                <w:bCs/>
              </w:rPr>
              <w:t>ervice</w:t>
            </w:r>
          </w:p>
        </w:tc>
        <w:tc>
          <w:tcPr>
            <w:tcW w:w="2156" w:type="pct"/>
          </w:tcPr>
          <w:p w14:paraId="15E0CAFC" w14:textId="77777777" w:rsidR="00195A8B" w:rsidRPr="00583353" w:rsidRDefault="00195A8B" w:rsidP="00951C25">
            <w:pPr>
              <w:adjustRightInd w:val="0"/>
              <w:ind w:hanging="90"/>
              <w:jc w:val="both"/>
              <w:rPr>
                <w:rFonts w:ascii="Times New Roman" w:hAnsi="Times New Roman" w:cs="Times New Roman"/>
                <w:bCs/>
              </w:rPr>
            </w:pPr>
            <w:r w:rsidRPr="00583353">
              <w:rPr>
                <w:rFonts w:ascii="Times New Roman" w:hAnsi="Times New Roman" w:cs="Times New Roman"/>
                <w:bCs/>
              </w:rPr>
              <w:t>Total Cost (TC)</w:t>
            </w:r>
          </w:p>
        </w:tc>
        <w:tc>
          <w:tcPr>
            <w:tcW w:w="973" w:type="pct"/>
          </w:tcPr>
          <w:p w14:paraId="6BD7DDE4"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4,282,000</w:t>
            </w:r>
          </w:p>
        </w:tc>
        <w:tc>
          <w:tcPr>
            <w:tcW w:w="775" w:type="pct"/>
          </w:tcPr>
          <w:p w14:paraId="53686472"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4,495,264</w:t>
            </w:r>
          </w:p>
        </w:tc>
      </w:tr>
      <w:tr w:rsidR="00195A8B" w:rsidRPr="00195A8B" w14:paraId="1EFEFFCF" w14:textId="77777777" w:rsidTr="00951C25">
        <w:tc>
          <w:tcPr>
            <w:tcW w:w="1095" w:type="pct"/>
            <w:vMerge/>
          </w:tcPr>
          <w:p w14:paraId="114665C5"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54BAFF78" w14:textId="77777777" w:rsidR="00195A8B" w:rsidRPr="00583353" w:rsidRDefault="00195A8B" w:rsidP="00951C25">
            <w:pPr>
              <w:adjustRightInd w:val="0"/>
              <w:ind w:hanging="90"/>
              <w:jc w:val="both"/>
              <w:rPr>
                <w:rFonts w:ascii="Times New Roman" w:hAnsi="Times New Roman" w:cs="Times New Roman"/>
                <w:bCs/>
              </w:rPr>
            </w:pPr>
            <w:r w:rsidRPr="00583353">
              <w:rPr>
                <w:rFonts w:ascii="Times New Roman" w:hAnsi="Times New Roman" w:cs="Times New Roman"/>
                <w:bCs/>
              </w:rPr>
              <w:t>Total Revenue (TR)</w:t>
            </w:r>
          </w:p>
        </w:tc>
        <w:tc>
          <w:tcPr>
            <w:tcW w:w="973" w:type="pct"/>
          </w:tcPr>
          <w:p w14:paraId="24E794AF"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29,950,000</w:t>
            </w:r>
          </w:p>
        </w:tc>
        <w:tc>
          <w:tcPr>
            <w:tcW w:w="775" w:type="pct"/>
          </w:tcPr>
          <w:p w14:paraId="633FBB3D" w14:textId="77777777" w:rsidR="00195A8B" w:rsidRPr="00583353" w:rsidRDefault="00195A8B" w:rsidP="00951C25">
            <w:pPr>
              <w:adjustRightInd w:val="0"/>
              <w:ind w:hanging="90"/>
              <w:jc w:val="center"/>
              <w:rPr>
                <w:rFonts w:ascii="Times New Roman" w:hAnsi="Times New Roman" w:cs="Times New Roman"/>
                <w:bCs/>
              </w:rPr>
            </w:pPr>
            <w:r w:rsidRPr="00583353">
              <w:rPr>
                <w:rFonts w:ascii="Times New Roman" w:hAnsi="Times New Roman" w:cs="Times New Roman"/>
                <w:bCs/>
              </w:rPr>
              <w:t>13,830,000</w:t>
            </w:r>
          </w:p>
        </w:tc>
      </w:tr>
      <w:tr w:rsidR="00195A8B" w:rsidRPr="00195A8B" w14:paraId="57ACF785" w14:textId="77777777" w:rsidTr="00951C25">
        <w:tc>
          <w:tcPr>
            <w:tcW w:w="1095" w:type="pct"/>
            <w:vMerge/>
          </w:tcPr>
          <w:p w14:paraId="37A86A36"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52FF746E" w14:textId="77777777" w:rsidR="00195A8B" w:rsidRPr="00951C25" w:rsidRDefault="00195A8B" w:rsidP="00951C25">
            <w:pPr>
              <w:adjustRightInd w:val="0"/>
              <w:ind w:hanging="90"/>
              <w:jc w:val="both"/>
              <w:rPr>
                <w:rFonts w:ascii="Times New Roman" w:hAnsi="Times New Roman" w:cs="Times New Roman"/>
                <w:bCs/>
              </w:rPr>
            </w:pPr>
            <w:r w:rsidRPr="00951C25">
              <w:rPr>
                <w:rFonts w:ascii="Times New Roman" w:hAnsi="Times New Roman" w:cs="Times New Roman"/>
                <w:bCs/>
              </w:rPr>
              <w:t>Net Profit Margin (NPM)= TR- TC</w:t>
            </w:r>
          </w:p>
        </w:tc>
        <w:tc>
          <w:tcPr>
            <w:tcW w:w="973" w:type="pct"/>
            <w:vAlign w:val="bottom"/>
          </w:tcPr>
          <w:p w14:paraId="2D227F7F"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25,668,000</w:t>
            </w:r>
          </w:p>
        </w:tc>
        <w:tc>
          <w:tcPr>
            <w:tcW w:w="775" w:type="pct"/>
            <w:vAlign w:val="bottom"/>
          </w:tcPr>
          <w:p w14:paraId="1F81F551"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9,334,736</w:t>
            </w:r>
          </w:p>
        </w:tc>
      </w:tr>
      <w:tr w:rsidR="00195A8B" w:rsidRPr="00195A8B" w14:paraId="3581C461" w14:textId="77777777" w:rsidTr="00951C25">
        <w:tc>
          <w:tcPr>
            <w:tcW w:w="1095" w:type="pct"/>
            <w:vMerge/>
          </w:tcPr>
          <w:p w14:paraId="21A09404"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285B2A1B" w14:textId="77777777" w:rsidR="00195A8B" w:rsidRPr="00951C25" w:rsidRDefault="00195A8B" w:rsidP="00951C25">
            <w:pPr>
              <w:adjustRightInd w:val="0"/>
              <w:ind w:hanging="90"/>
              <w:jc w:val="both"/>
              <w:rPr>
                <w:rFonts w:ascii="Times New Roman" w:hAnsi="Times New Roman" w:cs="Times New Roman"/>
                <w:bCs/>
              </w:rPr>
            </w:pPr>
            <w:r w:rsidRPr="00951C25">
              <w:rPr>
                <w:rFonts w:ascii="Times New Roman" w:hAnsi="Times New Roman" w:cs="Times New Roman"/>
                <w:bCs/>
              </w:rPr>
              <w:t>Return on Investment (ROI)= NPM/ TC*100</w:t>
            </w:r>
          </w:p>
        </w:tc>
        <w:tc>
          <w:tcPr>
            <w:tcW w:w="973" w:type="pct"/>
            <w:vAlign w:val="bottom"/>
          </w:tcPr>
          <w:p w14:paraId="4C6B20AE"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599</w:t>
            </w:r>
          </w:p>
        </w:tc>
        <w:tc>
          <w:tcPr>
            <w:tcW w:w="775" w:type="pct"/>
            <w:vAlign w:val="bottom"/>
          </w:tcPr>
          <w:p w14:paraId="44D18901"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208</w:t>
            </w:r>
          </w:p>
        </w:tc>
      </w:tr>
      <w:tr w:rsidR="00195A8B" w:rsidRPr="00195A8B" w14:paraId="5444D62C" w14:textId="77777777" w:rsidTr="00951C25">
        <w:tc>
          <w:tcPr>
            <w:tcW w:w="1095" w:type="pct"/>
            <w:vMerge/>
          </w:tcPr>
          <w:p w14:paraId="4E578EFC" w14:textId="77777777" w:rsidR="00195A8B" w:rsidRPr="00195A8B" w:rsidRDefault="00195A8B" w:rsidP="00195A8B">
            <w:pPr>
              <w:adjustRightInd w:val="0"/>
              <w:ind w:hanging="90"/>
              <w:rPr>
                <w:rFonts w:ascii="Times New Roman" w:hAnsi="Times New Roman" w:cs="Times New Roman"/>
                <w:b/>
                <w:bCs/>
              </w:rPr>
            </w:pPr>
          </w:p>
        </w:tc>
        <w:tc>
          <w:tcPr>
            <w:tcW w:w="2156" w:type="pct"/>
          </w:tcPr>
          <w:p w14:paraId="101539E8" w14:textId="77777777" w:rsidR="00195A8B" w:rsidRPr="00951C25" w:rsidRDefault="00195A8B" w:rsidP="00951C25">
            <w:pPr>
              <w:adjustRightInd w:val="0"/>
              <w:ind w:hanging="90"/>
              <w:jc w:val="both"/>
              <w:rPr>
                <w:rFonts w:ascii="Times New Roman" w:hAnsi="Times New Roman" w:cs="Times New Roman"/>
                <w:bCs/>
              </w:rPr>
            </w:pPr>
            <w:r w:rsidRPr="00951C25">
              <w:rPr>
                <w:rFonts w:ascii="Times New Roman" w:hAnsi="Times New Roman" w:cs="Times New Roman"/>
                <w:bCs/>
              </w:rPr>
              <w:t>Benefit-Cost Ratio (BCR)= TR / TC</w:t>
            </w:r>
          </w:p>
        </w:tc>
        <w:tc>
          <w:tcPr>
            <w:tcW w:w="973" w:type="pct"/>
            <w:vAlign w:val="bottom"/>
          </w:tcPr>
          <w:p w14:paraId="195B4363"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7.0</w:t>
            </w:r>
          </w:p>
        </w:tc>
        <w:tc>
          <w:tcPr>
            <w:tcW w:w="775" w:type="pct"/>
            <w:vAlign w:val="bottom"/>
          </w:tcPr>
          <w:p w14:paraId="5D34F917" w14:textId="77777777" w:rsidR="00195A8B" w:rsidRPr="00951C25" w:rsidRDefault="00195A8B" w:rsidP="00951C25">
            <w:pPr>
              <w:adjustRightInd w:val="0"/>
              <w:ind w:hanging="90"/>
              <w:jc w:val="center"/>
              <w:rPr>
                <w:rFonts w:ascii="Times New Roman" w:hAnsi="Times New Roman" w:cs="Times New Roman"/>
                <w:bCs/>
              </w:rPr>
            </w:pPr>
            <w:r w:rsidRPr="00951C25">
              <w:rPr>
                <w:rFonts w:ascii="Times New Roman" w:hAnsi="Times New Roman" w:cs="Times New Roman"/>
                <w:bCs/>
              </w:rPr>
              <w:t>3.1</w:t>
            </w:r>
          </w:p>
        </w:tc>
      </w:tr>
    </w:tbl>
    <w:p w14:paraId="6FD9489F"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7DC3F884" w14:textId="77777777" w:rsidR="00195A8B" w:rsidRPr="00195A8B" w:rsidRDefault="00195A8B" w:rsidP="00195A8B">
      <w:pPr>
        <w:spacing w:after="160" w:line="259" w:lineRule="auto"/>
        <w:ind w:left="1224"/>
        <w:contextualSpacing/>
        <w:rPr>
          <w:rFonts w:ascii="Times New Roman" w:eastAsia="Calibri" w:hAnsi="Times New Roman" w:cs="Times New Roman"/>
          <w:b/>
          <w:bCs/>
          <w:kern w:val="2"/>
          <w:sz w:val="24"/>
          <w:szCs w:val="24"/>
          <w:lang w:val="en-GB" w:eastAsia="en-US"/>
        </w:rPr>
      </w:pPr>
    </w:p>
    <w:p w14:paraId="6221CA6D" w14:textId="05E11FD0" w:rsidR="00195A8B" w:rsidRPr="00195A8B" w:rsidRDefault="00195A8B" w:rsidP="00DF60D8">
      <w:pPr>
        <w:numPr>
          <w:ilvl w:val="1"/>
          <w:numId w:val="39"/>
        </w:numPr>
        <w:spacing w:after="160" w:line="259" w:lineRule="auto"/>
        <w:contextualSpacing/>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Comparison of Employment Generation of Enterprises </w:t>
      </w:r>
      <w:r w:rsidR="00345B3E">
        <w:rPr>
          <w:rFonts w:ascii="Times New Roman" w:eastAsia="Calibri" w:hAnsi="Times New Roman" w:cs="Times New Roman"/>
          <w:b/>
          <w:bCs/>
          <w:kern w:val="2"/>
          <w:sz w:val="24"/>
          <w:szCs w:val="24"/>
          <w:lang w:val="en-GB" w:eastAsia="en-US"/>
        </w:rPr>
        <w:t>Under</w:t>
      </w:r>
      <w:r w:rsidRPr="00195A8B">
        <w:rPr>
          <w:rFonts w:ascii="Times New Roman" w:eastAsia="Calibri" w:hAnsi="Times New Roman" w:cs="Times New Roman"/>
          <w:b/>
          <w:bCs/>
          <w:kern w:val="2"/>
          <w:sz w:val="24"/>
          <w:szCs w:val="24"/>
          <w:lang w:val="en-GB" w:eastAsia="en-US"/>
        </w:rPr>
        <w:t xml:space="preserve"> Economic Empowerment Schemes between Arusha and Mara Regions.</w:t>
      </w:r>
    </w:p>
    <w:p w14:paraId="67E21E97" w14:textId="57479E82" w:rsidR="00D0284F" w:rsidRPr="00D0284F" w:rsidRDefault="00D0284F" w:rsidP="00951C25">
      <w:pPr>
        <w:spacing w:after="160" w:line="360" w:lineRule="auto"/>
        <w:jc w:val="both"/>
        <w:rPr>
          <w:rFonts w:ascii="Times New Roman" w:eastAsia="Calibri" w:hAnsi="Times New Roman" w:cs="Times New Roman"/>
          <w:kern w:val="2"/>
          <w:sz w:val="24"/>
          <w:szCs w:val="24"/>
          <w:lang w:val="en-GB" w:eastAsia="en-US"/>
        </w:rPr>
      </w:pPr>
      <w:r w:rsidRPr="00D0284F">
        <w:rPr>
          <w:rFonts w:ascii="Times New Roman" w:eastAsia="Calibri" w:hAnsi="Times New Roman" w:cs="Times New Roman"/>
          <w:kern w:val="2"/>
          <w:sz w:val="24"/>
          <w:szCs w:val="24"/>
          <w:lang w:val="en-GB" w:eastAsia="en-US"/>
        </w:rPr>
        <w:t xml:space="preserve">The comparative analysis of employment outcomes among Local Government Authority (LGA) loan beneficiary enterprises in Arusha and Mara (Table </w:t>
      </w:r>
      <w:r w:rsidR="00E12220">
        <w:rPr>
          <w:rFonts w:ascii="Times New Roman" w:eastAsia="Calibri" w:hAnsi="Times New Roman" w:cs="Times New Roman"/>
          <w:kern w:val="2"/>
          <w:sz w:val="24"/>
          <w:szCs w:val="24"/>
          <w:lang w:val="en-GB" w:eastAsia="en-US"/>
        </w:rPr>
        <w:t>6</w:t>
      </w:r>
      <w:r w:rsidRPr="00D0284F">
        <w:rPr>
          <w:rFonts w:ascii="Times New Roman" w:eastAsia="Calibri" w:hAnsi="Times New Roman" w:cs="Times New Roman"/>
          <w:kern w:val="2"/>
          <w:sz w:val="24"/>
          <w:szCs w:val="24"/>
          <w:lang w:val="en-GB" w:eastAsia="en-US"/>
        </w:rPr>
        <w:t xml:space="preserve">) reveals distinct, region-specific impacts of economic empowerment interventions on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composition and compensation </w:t>
      </w:r>
      <w:r w:rsidRPr="00D0284F">
        <w:rPr>
          <w:rFonts w:ascii="Times New Roman" w:eastAsia="Calibri" w:hAnsi="Times New Roman" w:cs="Times New Roman"/>
          <w:kern w:val="2"/>
          <w:sz w:val="24"/>
          <w:szCs w:val="24"/>
          <w:lang w:val="en-GB" w:eastAsia="en-US"/>
        </w:rPr>
        <w:lastRenderedPageBreak/>
        <w:t xml:space="preserve">structures. These differences are reflective of varying economic environments, enterprise types, and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market dynamics between the two regions</w:t>
      </w:r>
    </w:p>
    <w:p w14:paraId="1F578D02" w14:textId="7A5DFFFD" w:rsidR="00D0284F" w:rsidRPr="00D0284F" w:rsidRDefault="00D0284F" w:rsidP="00951C25">
      <w:pPr>
        <w:spacing w:after="160" w:line="360" w:lineRule="auto"/>
        <w:jc w:val="both"/>
        <w:rPr>
          <w:rFonts w:ascii="Times New Roman" w:eastAsia="Calibri" w:hAnsi="Times New Roman" w:cs="Times New Roman"/>
          <w:kern w:val="2"/>
          <w:sz w:val="24"/>
          <w:szCs w:val="24"/>
          <w:lang w:val="en-GB" w:eastAsia="en-US"/>
        </w:rPr>
      </w:pPr>
      <w:r w:rsidRPr="00D0284F">
        <w:rPr>
          <w:rFonts w:ascii="Times New Roman" w:eastAsia="Calibri" w:hAnsi="Times New Roman" w:cs="Times New Roman"/>
          <w:kern w:val="2"/>
          <w:sz w:val="24"/>
          <w:szCs w:val="24"/>
          <w:lang w:val="en-GB" w:eastAsia="en-US"/>
        </w:rPr>
        <w:t xml:space="preserve">In Arusha, the substantial decline in male employment—from 357 to 127 employees—and in youth employment aged 18–35 years—from 181 to 72 employees—coincides with a significant increase in female employment (+114) and permanent employment (+15). This shift suggests a post-loan restructuring of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towards a more stable and possibly feminized workforce. Such a transformation aligns with observations by Grimm et al. (2012), who noted that access to credit often leads to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reallocation as enterprises seek to enhance productivity and efficiency. This process may involve replacing informal or less reliable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with more stable workers—frequently women—particularly in urbanizing economies where service and retail sectors predominate.</w:t>
      </w:r>
    </w:p>
    <w:p w14:paraId="520E2A3F" w14:textId="61274238" w:rsidR="00D0284F" w:rsidRPr="00D0284F" w:rsidRDefault="00D0284F" w:rsidP="00951C25">
      <w:pPr>
        <w:spacing w:after="160" w:line="360" w:lineRule="auto"/>
        <w:jc w:val="both"/>
        <w:rPr>
          <w:rFonts w:ascii="Times New Roman" w:eastAsia="Calibri" w:hAnsi="Times New Roman" w:cs="Times New Roman"/>
          <w:kern w:val="2"/>
          <w:sz w:val="24"/>
          <w:szCs w:val="24"/>
          <w:lang w:val="en-GB" w:eastAsia="en-US"/>
        </w:rPr>
      </w:pPr>
      <w:r w:rsidRPr="00D0284F">
        <w:rPr>
          <w:rFonts w:ascii="Times New Roman" w:eastAsia="Calibri" w:hAnsi="Times New Roman" w:cs="Times New Roman"/>
          <w:kern w:val="2"/>
          <w:sz w:val="24"/>
          <w:szCs w:val="24"/>
          <w:lang w:val="en-GB" w:eastAsia="en-US"/>
        </w:rPr>
        <w:t xml:space="preserve">The growth in female employment in Arusha illustrates the gender-responsive potential of economic empowerment initiatives. In urban and peri-urban contexts, women may be better positioned to engage in entrepreneurial activities, supported by access to credit and training. </w:t>
      </w:r>
      <w:proofErr w:type="spellStart"/>
      <w:r w:rsidRPr="00D0284F">
        <w:rPr>
          <w:rFonts w:ascii="Times New Roman" w:eastAsia="Calibri" w:hAnsi="Times New Roman" w:cs="Times New Roman"/>
          <w:kern w:val="2"/>
          <w:sz w:val="24"/>
          <w:szCs w:val="24"/>
          <w:lang w:val="en-GB" w:eastAsia="en-US"/>
        </w:rPr>
        <w:t>Golla</w:t>
      </w:r>
      <w:proofErr w:type="spellEnd"/>
      <w:r w:rsidRPr="00D0284F">
        <w:rPr>
          <w:rFonts w:ascii="Times New Roman" w:eastAsia="Calibri" w:hAnsi="Times New Roman" w:cs="Times New Roman"/>
          <w:kern w:val="2"/>
          <w:sz w:val="24"/>
          <w:szCs w:val="24"/>
          <w:lang w:val="en-GB" w:eastAsia="en-US"/>
        </w:rPr>
        <w:t xml:space="preserve"> et al. (2011) emphasized that such interventions can substantially enhance women’s economic participation, decision-making power, and contributions to household income, thereby fostering inclusive development outcomes.</w:t>
      </w:r>
    </w:p>
    <w:p w14:paraId="7B4CF6FF" w14:textId="33EA97E6" w:rsidR="00D0284F" w:rsidRPr="00D0284F" w:rsidRDefault="00D0284F" w:rsidP="00951C25">
      <w:pPr>
        <w:spacing w:after="160" w:line="360" w:lineRule="auto"/>
        <w:jc w:val="both"/>
        <w:rPr>
          <w:rFonts w:ascii="Times New Roman" w:eastAsia="Calibri" w:hAnsi="Times New Roman" w:cs="Times New Roman"/>
          <w:kern w:val="2"/>
          <w:sz w:val="24"/>
          <w:szCs w:val="24"/>
          <w:lang w:val="en-GB" w:eastAsia="en-US"/>
        </w:rPr>
      </w:pPr>
      <w:r w:rsidRPr="00D0284F">
        <w:rPr>
          <w:rFonts w:ascii="Times New Roman" w:eastAsia="Calibri" w:hAnsi="Times New Roman" w:cs="Times New Roman"/>
          <w:kern w:val="2"/>
          <w:sz w:val="24"/>
          <w:szCs w:val="24"/>
          <w:lang w:val="en-GB" w:eastAsia="en-US"/>
        </w:rPr>
        <w:t xml:space="preserve">Conversely, in Mara, changes in male, female, and youth employment are minimal. However, the dramatic rise in temporary employment—from 2 to 209 workers—signals a reliance on flexible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models. This trend reflects the seasonal nature of rural enterprises, particularly in agriculture, which require adaptable workforce strategies to respond to production cycles and market demands. Fox and </w:t>
      </w:r>
      <w:proofErr w:type="spellStart"/>
      <w:r w:rsidRPr="00D0284F">
        <w:rPr>
          <w:rFonts w:ascii="Times New Roman" w:eastAsia="Calibri" w:hAnsi="Times New Roman" w:cs="Times New Roman"/>
          <w:kern w:val="2"/>
          <w:sz w:val="24"/>
          <w:szCs w:val="24"/>
          <w:lang w:val="en-GB" w:eastAsia="en-US"/>
        </w:rPr>
        <w:t>Sohnesen</w:t>
      </w:r>
      <w:proofErr w:type="spellEnd"/>
      <w:r w:rsidRPr="00D0284F">
        <w:rPr>
          <w:rFonts w:ascii="Times New Roman" w:eastAsia="Calibri" w:hAnsi="Times New Roman" w:cs="Times New Roman"/>
          <w:kern w:val="2"/>
          <w:sz w:val="24"/>
          <w:szCs w:val="24"/>
          <w:lang w:val="en-GB" w:eastAsia="en-US"/>
        </w:rPr>
        <w:t xml:space="preserve"> (2016) similarly noted that rural African enterprises often grow through informal and casual employment mechanisms, rather than formal, permanent staffing, due to the risks and uncertainties inherent in small-scale farming and trading activities.</w:t>
      </w:r>
    </w:p>
    <w:p w14:paraId="249E2BF7" w14:textId="79AC5BB6" w:rsidR="00D0284F" w:rsidRPr="00195A8B" w:rsidRDefault="00D0284F" w:rsidP="00951C25">
      <w:pPr>
        <w:spacing w:after="160" w:line="360" w:lineRule="auto"/>
        <w:jc w:val="both"/>
        <w:rPr>
          <w:rFonts w:ascii="Times New Roman" w:eastAsia="Calibri" w:hAnsi="Times New Roman" w:cs="Times New Roman"/>
          <w:kern w:val="2"/>
          <w:sz w:val="24"/>
          <w:szCs w:val="24"/>
          <w:lang w:val="en-GB" w:eastAsia="en-US"/>
        </w:rPr>
      </w:pPr>
      <w:r w:rsidRPr="00D0284F">
        <w:rPr>
          <w:rFonts w:ascii="Times New Roman" w:eastAsia="Calibri" w:hAnsi="Times New Roman" w:cs="Times New Roman"/>
          <w:kern w:val="2"/>
          <w:sz w:val="24"/>
          <w:szCs w:val="24"/>
          <w:lang w:val="en-GB" w:eastAsia="en-US"/>
        </w:rPr>
        <w:t xml:space="preserve">Despite these structural differences, both regions recorded positive changes in remuneration. In Arusha, average monthly wages increased by TZS 15,301.7, while salaries rose by TZS 10,645.3. Mara exhibited even higher gains, with average wages and salaries </w:t>
      </w:r>
      <w:r>
        <w:rPr>
          <w:rFonts w:ascii="Times New Roman" w:eastAsia="Calibri" w:hAnsi="Times New Roman" w:cs="Times New Roman"/>
          <w:kern w:val="2"/>
          <w:sz w:val="24"/>
          <w:szCs w:val="24"/>
          <w:lang w:val="en-GB" w:eastAsia="en-US"/>
        </w:rPr>
        <w:t>growing</w:t>
      </w:r>
      <w:r w:rsidRPr="00D0284F">
        <w:rPr>
          <w:rFonts w:ascii="Times New Roman" w:eastAsia="Calibri" w:hAnsi="Times New Roman" w:cs="Times New Roman"/>
          <w:kern w:val="2"/>
          <w:sz w:val="24"/>
          <w:szCs w:val="24"/>
          <w:lang w:val="en-GB" w:eastAsia="en-US"/>
        </w:rPr>
        <w:t xml:space="preserve"> by TZS 16,534.2 and TZS 15,944.0, respectively. These increases suggest that loan-financed enterprises may have experienced productivity growth or improved profitability, allowing for better compensation of workers. These findings are consistent with </w:t>
      </w:r>
      <w:proofErr w:type="spellStart"/>
      <w:r w:rsidRPr="00D0284F">
        <w:rPr>
          <w:rFonts w:ascii="Times New Roman" w:eastAsia="Calibri" w:hAnsi="Times New Roman" w:cs="Times New Roman"/>
          <w:kern w:val="2"/>
          <w:sz w:val="24"/>
          <w:szCs w:val="24"/>
          <w:lang w:val="en-GB" w:eastAsia="en-US"/>
        </w:rPr>
        <w:t>Karlan</w:t>
      </w:r>
      <w:proofErr w:type="spellEnd"/>
      <w:r w:rsidRPr="00D0284F">
        <w:rPr>
          <w:rFonts w:ascii="Times New Roman" w:eastAsia="Calibri" w:hAnsi="Times New Roman" w:cs="Times New Roman"/>
          <w:kern w:val="2"/>
          <w:sz w:val="24"/>
          <w:szCs w:val="24"/>
          <w:lang w:val="en-GB" w:eastAsia="en-US"/>
        </w:rPr>
        <w:t xml:space="preserve"> and Morduch (2010), who </w:t>
      </w:r>
      <w:r w:rsidRPr="00D0284F">
        <w:rPr>
          <w:rFonts w:ascii="Times New Roman" w:eastAsia="Calibri" w:hAnsi="Times New Roman" w:cs="Times New Roman"/>
          <w:kern w:val="2"/>
          <w:sz w:val="24"/>
          <w:szCs w:val="24"/>
          <w:lang w:val="en-GB" w:eastAsia="en-US"/>
        </w:rPr>
        <w:lastRenderedPageBreak/>
        <w:t>argued that access to financial capital can stimulate enterprise development and enhance employee earnings.</w:t>
      </w:r>
    </w:p>
    <w:p w14:paraId="4D831558" w14:textId="351A3269" w:rsidR="00195A8B" w:rsidRPr="00195A8B" w:rsidRDefault="00D0284F" w:rsidP="00D0284F">
      <w:pPr>
        <w:spacing w:after="160" w:line="360" w:lineRule="auto"/>
        <w:jc w:val="both"/>
        <w:rPr>
          <w:rFonts w:ascii="Times New Roman" w:eastAsia="Calibri" w:hAnsi="Times New Roman" w:cs="Times New Roman"/>
          <w:kern w:val="2"/>
          <w:sz w:val="24"/>
          <w:szCs w:val="24"/>
          <w:lang w:val="en-GB" w:eastAsia="en-US"/>
        </w:rPr>
      </w:pPr>
      <w:r>
        <w:rPr>
          <w:rFonts w:ascii="Times New Roman" w:eastAsia="Calibri" w:hAnsi="Times New Roman" w:cs="Times New Roman"/>
          <w:kern w:val="2"/>
          <w:sz w:val="24"/>
          <w:szCs w:val="24"/>
          <w:lang w:val="en-GB" w:eastAsia="en-US"/>
        </w:rPr>
        <w:t>Generally,</w:t>
      </w:r>
      <w:r w:rsidRPr="00D0284F">
        <w:rPr>
          <w:rFonts w:ascii="Times New Roman" w:eastAsia="Calibri" w:hAnsi="Times New Roman" w:cs="Times New Roman"/>
          <w:kern w:val="2"/>
          <w:sz w:val="24"/>
          <w:szCs w:val="24"/>
          <w:lang w:val="en-GB" w:eastAsia="en-US"/>
        </w:rPr>
        <w:t xml:space="preserve"> the analysis reveals that economic empowerment interventions through LGA loan schemes have led to increased formalization, female participation, and improved compensation in Arusha, while in Mara, enterprises have leaned toward flexible, temporary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in response to seasonal agricultural demands. These regional differences—shaped by varying sectoral compositions and </w:t>
      </w:r>
      <w:proofErr w:type="spellStart"/>
      <w:r w:rsidRPr="00D0284F">
        <w:rPr>
          <w:rFonts w:ascii="Times New Roman" w:eastAsia="Calibri" w:hAnsi="Times New Roman" w:cs="Times New Roman"/>
          <w:kern w:val="2"/>
          <w:sz w:val="24"/>
          <w:szCs w:val="24"/>
          <w:lang w:val="en-GB" w:eastAsia="en-US"/>
        </w:rPr>
        <w:t>labor</w:t>
      </w:r>
      <w:proofErr w:type="spellEnd"/>
      <w:r w:rsidRPr="00D0284F">
        <w:rPr>
          <w:rFonts w:ascii="Times New Roman" w:eastAsia="Calibri" w:hAnsi="Times New Roman" w:cs="Times New Roman"/>
          <w:kern w:val="2"/>
          <w:sz w:val="24"/>
          <w:szCs w:val="24"/>
          <w:lang w:val="en-GB" w:eastAsia="en-US"/>
        </w:rPr>
        <w:t xml:space="preserve"> market structures—highlight the need for context-specific policy approaches. As such, Arusha may benefit from strategies that support enterprise formalization and inclusive employment growth, whereas Mara requires targeted efforts to strengthen agricultural value chains and improve conditions for temporary workers, aligning with broader goals of decent work and sustainable development.</w:t>
      </w:r>
    </w:p>
    <w:p w14:paraId="38D6B081" w14:textId="1E5CE67D" w:rsidR="00195A8B" w:rsidRDefault="00195A8B" w:rsidP="00345B3E">
      <w:pPr>
        <w:spacing w:after="0" w:line="259" w:lineRule="auto"/>
        <w:ind w:left="864" w:hanging="864"/>
        <w:jc w:val="both"/>
        <w:rPr>
          <w:rFonts w:ascii="Times New Roman" w:eastAsia="Calibri" w:hAnsi="Times New Roman" w:cs="Times New Roman"/>
          <w:b/>
          <w:bCs/>
          <w:kern w:val="2"/>
          <w:lang w:val="en-GB" w:eastAsia="en-US"/>
        </w:rPr>
      </w:pPr>
      <w:r w:rsidRPr="00951C25">
        <w:rPr>
          <w:rFonts w:ascii="Times New Roman" w:eastAsia="Calibri" w:hAnsi="Times New Roman" w:cs="Times New Roman"/>
          <w:b/>
          <w:bCs/>
          <w:kern w:val="2"/>
          <w:lang w:val="en-GB" w:eastAsia="en-US"/>
        </w:rPr>
        <w:t xml:space="preserve">Table </w:t>
      </w:r>
      <w:r w:rsidR="00E12220">
        <w:rPr>
          <w:rFonts w:ascii="Times New Roman" w:eastAsia="Calibri" w:hAnsi="Times New Roman" w:cs="Times New Roman"/>
          <w:b/>
          <w:bCs/>
          <w:kern w:val="2"/>
          <w:lang w:val="en-GB" w:eastAsia="en-US"/>
        </w:rPr>
        <w:t>6</w:t>
      </w:r>
      <w:r w:rsidRPr="00951C25">
        <w:rPr>
          <w:rFonts w:ascii="Times New Roman" w:eastAsia="Calibri" w:hAnsi="Times New Roman" w:cs="Times New Roman"/>
          <w:b/>
          <w:bCs/>
          <w:kern w:val="2"/>
          <w:lang w:val="en-GB" w:eastAsia="en-US"/>
        </w:rPr>
        <w:t xml:space="preserve">. </w:t>
      </w:r>
      <w:r w:rsidR="006809E3" w:rsidRPr="006809E3">
        <w:rPr>
          <w:rFonts w:ascii="Times New Roman" w:eastAsia="Calibri" w:hAnsi="Times New Roman" w:cs="Times New Roman"/>
          <w:b/>
          <w:bCs/>
          <w:kern w:val="2"/>
          <w:lang w:val="en-GB" w:eastAsia="en-US"/>
        </w:rPr>
        <w:t xml:space="preserve">Employment and Remuneration </w:t>
      </w:r>
      <w:r w:rsidR="006809E3">
        <w:rPr>
          <w:rFonts w:ascii="Times New Roman" w:eastAsia="Calibri" w:hAnsi="Times New Roman" w:cs="Times New Roman"/>
          <w:b/>
          <w:bCs/>
          <w:kern w:val="2"/>
          <w:lang w:val="en-GB" w:eastAsia="en-US"/>
        </w:rPr>
        <w:t>Generation</w:t>
      </w:r>
      <w:r w:rsidR="006809E3" w:rsidRPr="006809E3">
        <w:rPr>
          <w:rFonts w:ascii="Times New Roman" w:eastAsia="Calibri" w:hAnsi="Times New Roman" w:cs="Times New Roman"/>
          <w:b/>
          <w:bCs/>
          <w:kern w:val="2"/>
          <w:lang w:val="en-GB" w:eastAsia="en-US"/>
        </w:rPr>
        <w:t xml:space="preserve"> under Economic Empowerment Schemes in Arusha and Mara Regions</w:t>
      </w:r>
      <w:bookmarkStart w:id="9" w:name="_Hlk202862364"/>
    </w:p>
    <w:tbl>
      <w:tblPr>
        <w:tblStyle w:val="TableGrid3"/>
        <w:tblW w:w="5000" w:type="pct"/>
        <w:tblLook w:val="04A0" w:firstRow="1" w:lastRow="0" w:firstColumn="1" w:lastColumn="0" w:noHBand="0" w:noVBand="1"/>
      </w:tblPr>
      <w:tblGrid>
        <w:gridCol w:w="1608"/>
        <w:gridCol w:w="1611"/>
        <w:gridCol w:w="986"/>
        <w:gridCol w:w="1136"/>
        <w:gridCol w:w="1111"/>
        <w:gridCol w:w="1000"/>
        <w:gridCol w:w="1000"/>
        <w:gridCol w:w="1124"/>
        <w:tblGridChange w:id="10">
          <w:tblGrid>
            <w:gridCol w:w="1608"/>
            <w:gridCol w:w="1611"/>
            <w:gridCol w:w="986"/>
            <w:gridCol w:w="1136"/>
            <w:gridCol w:w="1111"/>
            <w:gridCol w:w="1000"/>
            <w:gridCol w:w="1000"/>
            <w:gridCol w:w="1124"/>
          </w:tblGrid>
        </w:tblGridChange>
      </w:tblGrid>
      <w:tr w:rsidR="006B284E" w:rsidRPr="006809E3" w14:paraId="66C1E01A" w14:textId="77777777" w:rsidTr="001D4E29">
        <w:tc>
          <w:tcPr>
            <w:tcW w:w="850" w:type="pct"/>
            <w:vMerge w:val="restart"/>
            <w:hideMark/>
          </w:tcPr>
          <w:p w14:paraId="00B5FE9A" w14:textId="77777777" w:rsidR="006809E3" w:rsidRPr="00951C25" w:rsidRDefault="006809E3" w:rsidP="006809E3">
            <w:pPr>
              <w:jc w:val="center"/>
              <w:rPr>
                <w:rFonts w:ascii="Times New Roman" w:eastAsia="Times New Roman" w:hAnsi="Times New Roman" w:cs="Times New Roman"/>
                <w:b/>
                <w:bCs/>
                <w:sz w:val="22"/>
                <w:szCs w:val="22"/>
              </w:rPr>
            </w:pPr>
            <w:r w:rsidRPr="00951C25">
              <w:rPr>
                <w:rFonts w:ascii="Times New Roman" w:eastAsia="Times New Roman" w:hAnsi="Times New Roman" w:cs="Times New Roman"/>
                <w:b/>
                <w:bCs/>
                <w:sz w:val="22"/>
                <w:szCs w:val="22"/>
              </w:rPr>
              <w:t>Category</w:t>
            </w:r>
          </w:p>
        </w:tc>
        <w:tc>
          <w:tcPr>
            <w:tcW w:w="851" w:type="pct"/>
            <w:vMerge w:val="restart"/>
            <w:hideMark/>
          </w:tcPr>
          <w:p w14:paraId="60F51BA8" w14:textId="77777777" w:rsidR="006809E3" w:rsidRPr="00951C25" w:rsidRDefault="006809E3" w:rsidP="006809E3">
            <w:pPr>
              <w:jc w:val="center"/>
              <w:rPr>
                <w:rFonts w:ascii="Times New Roman" w:eastAsia="Times New Roman" w:hAnsi="Times New Roman" w:cs="Times New Roman"/>
                <w:b/>
                <w:bCs/>
                <w:sz w:val="22"/>
                <w:szCs w:val="22"/>
              </w:rPr>
            </w:pPr>
            <w:r w:rsidRPr="00951C25">
              <w:rPr>
                <w:rFonts w:ascii="Times New Roman" w:eastAsia="Times New Roman" w:hAnsi="Times New Roman" w:cs="Times New Roman"/>
                <w:b/>
                <w:bCs/>
                <w:sz w:val="22"/>
                <w:szCs w:val="22"/>
              </w:rPr>
              <w:t>Employment Indicator</w:t>
            </w:r>
          </w:p>
        </w:tc>
        <w:tc>
          <w:tcPr>
            <w:tcW w:w="1638" w:type="pct"/>
            <w:gridSpan w:val="3"/>
            <w:hideMark/>
          </w:tcPr>
          <w:p w14:paraId="3632E156" w14:textId="77777777" w:rsidR="006809E3" w:rsidRPr="00951C25" w:rsidRDefault="006809E3" w:rsidP="006809E3">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Arusha (Mean)</w:t>
            </w:r>
          </w:p>
        </w:tc>
        <w:tc>
          <w:tcPr>
            <w:tcW w:w="1661" w:type="pct"/>
            <w:gridSpan w:val="3"/>
            <w:hideMark/>
          </w:tcPr>
          <w:p w14:paraId="58FB755C" w14:textId="77777777" w:rsidR="006809E3" w:rsidRPr="00951C25" w:rsidRDefault="006809E3" w:rsidP="006809E3">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Mara (Mean)</w:t>
            </w:r>
          </w:p>
        </w:tc>
      </w:tr>
      <w:tr w:rsidR="006B284E" w:rsidRPr="006809E3" w14:paraId="4C3E0724" w14:textId="77777777" w:rsidTr="001D4E29">
        <w:tc>
          <w:tcPr>
            <w:tcW w:w="850" w:type="pct"/>
            <w:vMerge/>
            <w:hideMark/>
          </w:tcPr>
          <w:p w14:paraId="37BFD940" w14:textId="77777777" w:rsidR="006809E3" w:rsidRPr="00951C25" w:rsidRDefault="006809E3" w:rsidP="006809E3">
            <w:pPr>
              <w:jc w:val="center"/>
              <w:rPr>
                <w:rFonts w:ascii="Times New Roman" w:eastAsia="Times New Roman" w:hAnsi="Times New Roman" w:cs="Times New Roman"/>
                <w:sz w:val="22"/>
                <w:szCs w:val="22"/>
              </w:rPr>
            </w:pPr>
          </w:p>
        </w:tc>
        <w:tc>
          <w:tcPr>
            <w:tcW w:w="851" w:type="pct"/>
            <w:vMerge/>
            <w:hideMark/>
          </w:tcPr>
          <w:p w14:paraId="55FE493C" w14:textId="77777777" w:rsidR="006809E3" w:rsidRPr="00951C25" w:rsidRDefault="006809E3" w:rsidP="006809E3">
            <w:pPr>
              <w:rPr>
                <w:rFonts w:ascii="Times New Roman" w:eastAsia="Times New Roman" w:hAnsi="Times New Roman" w:cs="Times New Roman"/>
                <w:sz w:val="22"/>
                <w:szCs w:val="22"/>
              </w:rPr>
            </w:pPr>
          </w:p>
        </w:tc>
        <w:tc>
          <w:tcPr>
            <w:tcW w:w="517" w:type="pct"/>
            <w:hideMark/>
          </w:tcPr>
          <w:p w14:paraId="174C6C99"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Before Loan</w:t>
            </w:r>
          </w:p>
        </w:tc>
        <w:tc>
          <w:tcPr>
            <w:tcW w:w="611" w:type="pct"/>
            <w:hideMark/>
          </w:tcPr>
          <w:p w14:paraId="69EEEF57"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After Loan</w:t>
            </w:r>
          </w:p>
        </w:tc>
        <w:tc>
          <w:tcPr>
            <w:tcW w:w="510" w:type="pct"/>
            <w:hideMark/>
          </w:tcPr>
          <w:p w14:paraId="0E60BA92"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Change</w:t>
            </w:r>
          </w:p>
        </w:tc>
        <w:tc>
          <w:tcPr>
            <w:tcW w:w="532" w:type="pct"/>
            <w:hideMark/>
          </w:tcPr>
          <w:p w14:paraId="2FE21DF9"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Before Loan</w:t>
            </w:r>
          </w:p>
        </w:tc>
        <w:tc>
          <w:tcPr>
            <w:tcW w:w="532" w:type="pct"/>
            <w:hideMark/>
          </w:tcPr>
          <w:p w14:paraId="10A4B65F"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After Loan</w:t>
            </w:r>
          </w:p>
        </w:tc>
        <w:tc>
          <w:tcPr>
            <w:tcW w:w="597" w:type="pct"/>
            <w:hideMark/>
          </w:tcPr>
          <w:p w14:paraId="19F516F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Change</w:t>
            </w:r>
          </w:p>
        </w:tc>
      </w:tr>
      <w:tr w:rsidR="006B284E" w:rsidRPr="006809E3" w14:paraId="5938B466" w14:textId="77777777" w:rsidTr="001D4E29">
        <w:tc>
          <w:tcPr>
            <w:tcW w:w="850" w:type="pct"/>
            <w:vMerge w:val="restart"/>
            <w:hideMark/>
          </w:tcPr>
          <w:p w14:paraId="3454F466"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Employment by Gender</w:t>
            </w:r>
          </w:p>
        </w:tc>
        <w:tc>
          <w:tcPr>
            <w:tcW w:w="851" w:type="pct"/>
            <w:hideMark/>
          </w:tcPr>
          <w:p w14:paraId="3A30C1E0"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Male</w:t>
            </w:r>
          </w:p>
        </w:tc>
        <w:tc>
          <w:tcPr>
            <w:tcW w:w="517" w:type="pct"/>
            <w:hideMark/>
          </w:tcPr>
          <w:p w14:paraId="7B8A7986"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357</w:t>
            </w:r>
          </w:p>
        </w:tc>
        <w:tc>
          <w:tcPr>
            <w:tcW w:w="611" w:type="pct"/>
            <w:hideMark/>
          </w:tcPr>
          <w:p w14:paraId="0A651101"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127</w:t>
            </w:r>
          </w:p>
        </w:tc>
        <w:tc>
          <w:tcPr>
            <w:tcW w:w="510" w:type="pct"/>
            <w:hideMark/>
          </w:tcPr>
          <w:p w14:paraId="624A08A3"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-230</w:t>
            </w:r>
          </w:p>
        </w:tc>
        <w:tc>
          <w:tcPr>
            <w:tcW w:w="532" w:type="pct"/>
            <w:hideMark/>
          </w:tcPr>
          <w:p w14:paraId="4D3A34AC"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w:t>
            </w:r>
          </w:p>
        </w:tc>
        <w:tc>
          <w:tcPr>
            <w:tcW w:w="532" w:type="pct"/>
            <w:hideMark/>
          </w:tcPr>
          <w:p w14:paraId="4D03940F"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w:t>
            </w:r>
          </w:p>
        </w:tc>
        <w:tc>
          <w:tcPr>
            <w:tcW w:w="597" w:type="pct"/>
            <w:hideMark/>
          </w:tcPr>
          <w:p w14:paraId="1D53DAA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0</w:t>
            </w:r>
          </w:p>
        </w:tc>
      </w:tr>
      <w:tr w:rsidR="006B284E" w:rsidRPr="006809E3" w14:paraId="6B4ADFB0" w14:textId="77777777" w:rsidTr="001D4E29">
        <w:tc>
          <w:tcPr>
            <w:tcW w:w="850" w:type="pct"/>
            <w:vMerge/>
            <w:hideMark/>
          </w:tcPr>
          <w:p w14:paraId="3FA273CD" w14:textId="77777777" w:rsidR="006809E3" w:rsidRPr="00951C25" w:rsidRDefault="006809E3" w:rsidP="00951C25">
            <w:pPr>
              <w:jc w:val="both"/>
              <w:rPr>
                <w:rFonts w:ascii="Times New Roman" w:eastAsia="Times New Roman" w:hAnsi="Times New Roman" w:cs="Times New Roman"/>
                <w:sz w:val="22"/>
                <w:szCs w:val="22"/>
              </w:rPr>
            </w:pPr>
          </w:p>
        </w:tc>
        <w:tc>
          <w:tcPr>
            <w:tcW w:w="851" w:type="pct"/>
            <w:hideMark/>
          </w:tcPr>
          <w:p w14:paraId="564166F3"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Female</w:t>
            </w:r>
          </w:p>
        </w:tc>
        <w:tc>
          <w:tcPr>
            <w:tcW w:w="517" w:type="pct"/>
            <w:hideMark/>
          </w:tcPr>
          <w:p w14:paraId="26174C33"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306</w:t>
            </w:r>
          </w:p>
        </w:tc>
        <w:tc>
          <w:tcPr>
            <w:tcW w:w="611" w:type="pct"/>
            <w:hideMark/>
          </w:tcPr>
          <w:p w14:paraId="66D304C9"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420</w:t>
            </w:r>
          </w:p>
        </w:tc>
        <w:tc>
          <w:tcPr>
            <w:tcW w:w="510" w:type="pct"/>
            <w:hideMark/>
          </w:tcPr>
          <w:p w14:paraId="486B7F11"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+114</w:t>
            </w:r>
          </w:p>
        </w:tc>
        <w:tc>
          <w:tcPr>
            <w:tcW w:w="532" w:type="pct"/>
            <w:hideMark/>
          </w:tcPr>
          <w:p w14:paraId="5EF6862A"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4</w:t>
            </w:r>
          </w:p>
        </w:tc>
        <w:tc>
          <w:tcPr>
            <w:tcW w:w="532" w:type="pct"/>
            <w:hideMark/>
          </w:tcPr>
          <w:p w14:paraId="3285F50A"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w:t>
            </w:r>
          </w:p>
        </w:tc>
        <w:tc>
          <w:tcPr>
            <w:tcW w:w="597" w:type="pct"/>
            <w:hideMark/>
          </w:tcPr>
          <w:p w14:paraId="58165D2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w:t>
            </w:r>
          </w:p>
        </w:tc>
      </w:tr>
      <w:tr w:rsidR="006B284E" w:rsidRPr="006809E3" w14:paraId="3C758BF4" w14:textId="77777777" w:rsidTr="001D4E29">
        <w:tc>
          <w:tcPr>
            <w:tcW w:w="850" w:type="pct"/>
            <w:vMerge w:val="restart"/>
            <w:hideMark/>
          </w:tcPr>
          <w:p w14:paraId="5F5ACEF1"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Employment by Age Group</w:t>
            </w:r>
          </w:p>
        </w:tc>
        <w:tc>
          <w:tcPr>
            <w:tcW w:w="851" w:type="pct"/>
            <w:hideMark/>
          </w:tcPr>
          <w:p w14:paraId="39C1CF57"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18–35 years</w:t>
            </w:r>
          </w:p>
        </w:tc>
        <w:tc>
          <w:tcPr>
            <w:tcW w:w="517" w:type="pct"/>
            <w:hideMark/>
          </w:tcPr>
          <w:p w14:paraId="5B3C03A3"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181</w:t>
            </w:r>
          </w:p>
        </w:tc>
        <w:tc>
          <w:tcPr>
            <w:tcW w:w="611" w:type="pct"/>
            <w:hideMark/>
          </w:tcPr>
          <w:p w14:paraId="2864658C"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72</w:t>
            </w:r>
          </w:p>
        </w:tc>
        <w:tc>
          <w:tcPr>
            <w:tcW w:w="510" w:type="pct"/>
            <w:hideMark/>
          </w:tcPr>
          <w:p w14:paraId="2E9883D4"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-109</w:t>
            </w:r>
          </w:p>
        </w:tc>
        <w:tc>
          <w:tcPr>
            <w:tcW w:w="532" w:type="pct"/>
            <w:hideMark/>
          </w:tcPr>
          <w:p w14:paraId="2C0618EF"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w:t>
            </w:r>
          </w:p>
        </w:tc>
        <w:tc>
          <w:tcPr>
            <w:tcW w:w="532" w:type="pct"/>
            <w:hideMark/>
          </w:tcPr>
          <w:p w14:paraId="00F75628"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w:t>
            </w:r>
          </w:p>
        </w:tc>
        <w:tc>
          <w:tcPr>
            <w:tcW w:w="597" w:type="pct"/>
            <w:hideMark/>
          </w:tcPr>
          <w:p w14:paraId="2BB0DB07"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0</w:t>
            </w:r>
          </w:p>
        </w:tc>
      </w:tr>
      <w:tr w:rsidR="006B284E" w:rsidRPr="006809E3" w14:paraId="19558D55" w14:textId="77777777" w:rsidTr="001D4E29">
        <w:tc>
          <w:tcPr>
            <w:tcW w:w="850" w:type="pct"/>
            <w:vMerge/>
            <w:hideMark/>
          </w:tcPr>
          <w:p w14:paraId="436CB28F" w14:textId="77777777" w:rsidR="006809E3" w:rsidRPr="00951C25" w:rsidRDefault="006809E3" w:rsidP="00951C25">
            <w:pPr>
              <w:jc w:val="both"/>
              <w:rPr>
                <w:rFonts w:ascii="Times New Roman" w:eastAsia="Times New Roman" w:hAnsi="Times New Roman" w:cs="Times New Roman"/>
                <w:sz w:val="22"/>
                <w:szCs w:val="22"/>
              </w:rPr>
            </w:pPr>
          </w:p>
        </w:tc>
        <w:tc>
          <w:tcPr>
            <w:tcW w:w="851" w:type="pct"/>
            <w:hideMark/>
          </w:tcPr>
          <w:p w14:paraId="3C0AFF0D"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Above 35 years</w:t>
            </w:r>
          </w:p>
        </w:tc>
        <w:tc>
          <w:tcPr>
            <w:tcW w:w="517" w:type="pct"/>
            <w:hideMark/>
          </w:tcPr>
          <w:p w14:paraId="0CE76D2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663</w:t>
            </w:r>
          </w:p>
        </w:tc>
        <w:tc>
          <w:tcPr>
            <w:tcW w:w="611" w:type="pct"/>
            <w:hideMark/>
          </w:tcPr>
          <w:p w14:paraId="2553BD20"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546</w:t>
            </w:r>
          </w:p>
        </w:tc>
        <w:tc>
          <w:tcPr>
            <w:tcW w:w="510" w:type="pct"/>
            <w:hideMark/>
          </w:tcPr>
          <w:p w14:paraId="188B3870"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-117</w:t>
            </w:r>
          </w:p>
        </w:tc>
        <w:tc>
          <w:tcPr>
            <w:tcW w:w="532" w:type="pct"/>
            <w:hideMark/>
          </w:tcPr>
          <w:p w14:paraId="3000E2ED"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5</w:t>
            </w:r>
          </w:p>
        </w:tc>
        <w:tc>
          <w:tcPr>
            <w:tcW w:w="532" w:type="pct"/>
            <w:hideMark/>
          </w:tcPr>
          <w:p w14:paraId="2D0E6774"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4</w:t>
            </w:r>
          </w:p>
        </w:tc>
        <w:tc>
          <w:tcPr>
            <w:tcW w:w="597" w:type="pct"/>
            <w:hideMark/>
          </w:tcPr>
          <w:p w14:paraId="1CA3A050"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w:t>
            </w:r>
          </w:p>
        </w:tc>
      </w:tr>
      <w:tr w:rsidR="006B284E" w:rsidRPr="006809E3" w14:paraId="10DA4E89" w14:textId="77777777" w:rsidTr="001D4E29">
        <w:tc>
          <w:tcPr>
            <w:tcW w:w="850" w:type="pct"/>
            <w:vMerge w:val="restart"/>
            <w:hideMark/>
          </w:tcPr>
          <w:p w14:paraId="4A6426AE"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Employment Type</w:t>
            </w:r>
          </w:p>
        </w:tc>
        <w:tc>
          <w:tcPr>
            <w:tcW w:w="851" w:type="pct"/>
            <w:hideMark/>
          </w:tcPr>
          <w:p w14:paraId="7F2CB474"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 xml:space="preserve">Permanent </w:t>
            </w:r>
          </w:p>
        </w:tc>
        <w:tc>
          <w:tcPr>
            <w:tcW w:w="517" w:type="pct"/>
            <w:hideMark/>
          </w:tcPr>
          <w:p w14:paraId="7113BEC6"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34</w:t>
            </w:r>
          </w:p>
        </w:tc>
        <w:tc>
          <w:tcPr>
            <w:tcW w:w="611" w:type="pct"/>
            <w:hideMark/>
          </w:tcPr>
          <w:p w14:paraId="1D8A9CD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49</w:t>
            </w:r>
          </w:p>
        </w:tc>
        <w:tc>
          <w:tcPr>
            <w:tcW w:w="510" w:type="pct"/>
            <w:hideMark/>
          </w:tcPr>
          <w:p w14:paraId="69B038D3"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+15</w:t>
            </w:r>
          </w:p>
        </w:tc>
        <w:tc>
          <w:tcPr>
            <w:tcW w:w="532" w:type="pct"/>
            <w:hideMark/>
          </w:tcPr>
          <w:p w14:paraId="2880EA7E"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4.8</w:t>
            </w:r>
          </w:p>
        </w:tc>
        <w:tc>
          <w:tcPr>
            <w:tcW w:w="532" w:type="pct"/>
            <w:hideMark/>
          </w:tcPr>
          <w:p w14:paraId="74B0B691"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6</w:t>
            </w:r>
          </w:p>
        </w:tc>
        <w:tc>
          <w:tcPr>
            <w:tcW w:w="597" w:type="pct"/>
            <w:hideMark/>
          </w:tcPr>
          <w:p w14:paraId="3A58CDDD"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+1.2</w:t>
            </w:r>
          </w:p>
        </w:tc>
      </w:tr>
      <w:tr w:rsidR="006B284E" w:rsidRPr="006809E3" w14:paraId="1C5039AC" w14:textId="77777777" w:rsidTr="001D4E29">
        <w:tc>
          <w:tcPr>
            <w:tcW w:w="850" w:type="pct"/>
            <w:vMerge/>
            <w:hideMark/>
          </w:tcPr>
          <w:p w14:paraId="2025249C" w14:textId="77777777" w:rsidR="006809E3" w:rsidRPr="00951C25" w:rsidRDefault="006809E3" w:rsidP="00951C25">
            <w:pPr>
              <w:jc w:val="both"/>
              <w:rPr>
                <w:rFonts w:ascii="Times New Roman" w:eastAsia="Times New Roman" w:hAnsi="Times New Roman" w:cs="Times New Roman"/>
                <w:sz w:val="22"/>
                <w:szCs w:val="22"/>
              </w:rPr>
            </w:pPr>
          </w:p>
        </w:tc>
        <w:tc>
          <w:tcPr>
            <w:tcW w:w="851" w:type="pct"/>
            <w:hideMark/>
          </w:tcPr>
          <w:p w14:paraId="4BFA3256"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 xml:space="preserve">Temporary </w:t>
            </w:r>
          </w:p>
        </w:tc>
        <w:tc>
          <w:tcPr>
            <w:tcW w:w="517" w:type="pct"/>
            <w:hideMark/>
          </w:tcPr>
          <w:p w14:paraId="5869F9E3"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31</w:t>
            </w:r>
          </w:p>
        </w:tc>
        <w:tc>
          <w:tcPr>
            <w:tcW w:w="611" w:type="pct"/>
            <w:hideMark/>
          </w:tcPr>
          <w:p w14:paraId="74A461D6"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28</w:t>
            </w:r>
          </w:p>
        </w:tc>
        <w:tc>
          <w:tcPr>
            <w:tcW w:w="510" w:type="pct"/>
            <w:hideMark/>
          </w:tcPr>
          <w:p w14:paraId="614A4FEB"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-3</w:t>
            </w:r>
          </w:p>
        </w:tc>
        <w:tc>
          <w:tcPr>
            <w:tcW w:w="532" w:type="pct"/>
            <w:hideMark/>
          </w:tcPr>
          <w:p w14:paraId="7AE8C9E7"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2</w:t>
            </w:r>
          </w:p>
        </w:tc>
        <w:tc>
          <w:tcPr>
            <w:tcW w:w="532" w:type="pct"/>
            <w:hideMark/>
          </w:tcPr>
          <w:p w14:paraId="4F969376"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209</w:t>
            </w:r>
          </w:p>
        </w:tc>
        <w:tc>
          <w:tcPr>
            <w:tcW w:w="597" w:type="pct"/>
            <w:hideMark/>
          </w:tcPr>
          <w:p w14:paraId="5EA3E91C" w14:textId="77777777" w:rsidR="006809E3" w:rsidRPr="00951C25" w:rsidRDefault="006809E3" w:rsidP="001D4E29">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+207</w:t>
            </w:r>
          </w:p>
        </w:tc>
      </w:tr>
      <w:tr w:rsidR="006B284E" w:rsidRPr="006809E3" w14:paraId="6B72A75B" w14:textId="77777777" w:rsidTr="001D4E29">
        <w:tc>
          <w:tcPr>
            <w:tcW w:w="850" w:type="pct"/>
            <w:vMerge w:val="restart"/>
            <w:hideMark/>
          </w:tcPr>
          <w:p w14:paraId="255AFC9C"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Remuneration</w:t>
            </w:r>
          </w:p>
        </w:tc>
        <w:tc>
          <w:tcPr>
            <w:tcW w:w="851" w:type="pct"/>
            <w:hideMark/>
          </w:tcPr>
          <w:p w14:paraId="2E99C04B"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Monthly Wage (TZS)</w:t>
            </w:r>
          </w:p>
        </w:tc>
        <w:tc>
          <w:tcPr>
            <w:tcW w:w="517" w:type="pct"/>
            <w:hideMark/>
          </w:tcPr>
          <w:p w14:paraId="5B72CBFF"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95,008.0</w:t>
            </w:r>
          </w:p>
        </w:tc>
        <w:tc>
          <w:tcPr>
            <w:tcW w:w="611" w:type="pct"/>
            <w:hideMark/>
          </w:tcPr>
          <w:p w14:paraId="5E08CBCE"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110,309.7</w:t>
            </w:r>
          </w:p>
        </w:tc>
        <w:tc>
          <w:tcPr>
            <w:tcW w:w="510" w:type="pct"/>
            <w:hideMark/>
          </w:tcPr>
          <w:p w14:paraId="127F7355"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+15,301.7</w:t>
            </w:r>
          </w:p>
        </w:tc>
        <w:tc>
          <w:tcPr>
            <w:tcW w:w="532" w:type="pct"/>
            <w:hideMark/>
          </w:tcPr>
          <w:p w14:paraId="3E784105"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57,501.1</w:t>
            </w:r>
          </w:p>
        </w:tc>
        <w:tc>
          <w:tcPr>
            <w:tcW w:w="532" w:type="pct"/>
            <w:hideMark/>
          </w:tcPr>
          <w:p w14:paraId="26633F0D"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74,035.3</w:t>
            </w:r>
          </w:p>
        </w:tc>
        <w:tc>
          <w:tcPr>
            <w:tcW w:w="597" w:type="pct"/>
            <w:hideMark/>
          </w:tcPr>
          <w:p w14:paraId="48768E38"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+16,534.2</w:t>
            </w:r>
          </w:p>
        </w:tc>
      </w:tr>
      <w:tr w:rsidR="006B284E" w:rsidRPr="006809E3" w14:paraId="52E8E863" w14:textId="77777777" w:rsidTr="001D4E29">
        <w:tc>
          <w:tcPr>
            <w:tcW w:w="850" w:type="pct"/>
            <w:vMerge/>
            <w:hideMark/>
          </w:tcPr>
          <w:p w14:paraId="76ABA397" w14:textId="77777777" w:rsidR="006809E3" w:rsidRPr="00951C25" w:rsidRDefault="006809E3" w:rsidP="00951C25">
            <w:pPr>
              <w:jc w:val="both"/>
              <w:rPr>
                <w:rFonts w:ascii="Times New Roman" w:eastAsia="Times New Roman" w:hAnsi="Times New Roman" w:cs="Times New Roman"/>
                <w:sz w:val="22"/>
                <w:szCs w:val="22"/>
              </w:rPr>
            </w:pPr>
          </w:p>
        </w:tc>
        <w:tc>
          <w:tcPr>
            <w:tcW w:w="851" w:type="pct"/>
            <w:hideMark/>
          </w:tcPr>
          <w:p w14:paraId="31AFBF2F" w14:textId="77777777" w:rsidR="006809E3" w:rsidRPr="00951C25" w:rsidRDefault="006809E3" w:rsidP="00951C25">
            <w:pPr>
              <w:jc w:val="both"/>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Monthly Salary (TZS)</w:t>
            </w:r>
          </w:p>
        </w:tc>
        <w:tc>
          <w:tcPr>
            <w:tcW w:w="517" w:type="pct"/>
            <w:hideMark/>
          </w:tcPr>
          <w:p w14:paraId="3E463422"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75,655.9</w:t>
            </w:r>
          </w:p>
        </w:tc>
        <w:tc>
          <w:tcPr>
            <w:tcW w:w="611" w:type="pct"/>
            <w:hideMark/>
          </w:tcPr>
          <w:p w14:paraId="264ACFD3"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86,301.2</w:t>
            </w:r>
          </w:p>
        </w:tc>
        <w:tc>
          <w:tcPr>
            <w:tcW w:w="510" w:type="pct"/>
            <w:hideMark/>
          </w:tcPr>
          <w:p w14:paraId="1F139278"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+10,645.3</w:t>
            </w:r>
          </w:p>
        </w:tc>
        <w:tc>
          <w:tcPr>
            <w:tcW w:w="532" w:type="pct"/>
            <w:hideMark/>
          </w:tcPr>
          <w:p w14:paraId="4CE6BDA4"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82,234.3</w:t>
            </w:r>
          </w:p>
        </w:tc>
        <w:tc>
          <w:tcPr>
            <w:tcW w:w="532" w:type="pct"/>
            <w:hideMark/>
          </w:tcPr>
          <w:p w14:paraId="4B061152"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98,178.3</w:t>
            </w:r>
          </w:p>
        </w:tc>
        <w:tc>
          <w:tcPr>
            <w:tcW w:w="597" w:type="pct"/>
            <w:hideMark/>
          </w:tcPr>
          <w:p w14:paraId="42D36156" w14:textId="77777777" w:rsidR="006809E3" w:rsidRPr="00951C25" w:rsidRDefault="006809E3" w:rsidP="00951C25">
            <w:pPr>
              <w:jc w:val="center"/>
              <w:rPr>
                <w:rFonts w:ascii="Times New Roman" w:eastAsia="Times New Roman" w:hAnsi="Times New Roman" w:cs="Times New Roman"/>
                <w:sz w:val="22"/>
                <w:szCs w:val="22"/>
              </w:rPr>
            </w:pPr>
            <w:r w:rsidRPr="00951C25">
              <w:rPr>
                <w:rFonts w:ascii="Times New Roman" w:eastAsia="Times New Roman" w:hAnsi="Times New Roman" w:cs="Times New Roman"/>
                <w:sz w:val="22"/>
                <w:szCs w:val="22"/>
              </w:rPr>
              <w:t>+15,944.0</w:t>
            </w:r>
          </w:p>
        </w:tc>
      </w:tr>
    </w:tbl>
    <w:bookmarkEnd w:id="9"/>
    <w:p w14:paraId="2F0CD15C" w14:textId="77777777" w:rsidR="00195A8B" w:rsidRPr="00951C25" w:rsidRDefault="00195A8B" w:rsidP="00195A8B">
      <w:pPr>
        <w:spacing w:after="160" w:line="259" w:lineRule="auto"/>
        <w:jc w:val="both"/>
        <w:rPr>
          <w:rFonts w:ascii="Times New Roman" w:eastAsia="Calibri" w:hAnsi="Times New Roman" w:cs="Times New Roman"/>
          <w:kern w:val="2"/>
          <w:lang w:eastAsia="en-US"/>
        </w:rPr>
      </w:pPr>
      <w:r w:rsidRPr="00951C25">
        <w:rPr>
          <w:rFonts w:ascii="Times New Roman" w:eastAsia="Calibri" w:hAnsi="Times New Roman" w:cs="Times New Roman"/>
          <w:b/>
          <w:bCs/>
          <w:kern w:val="2"/>
          <w:lang w:eastAsia="en-US"/>
        </w:rPr>
        <w:t>Source</w:t>
      </w:r>
      <w:r w:rsidRPr="00951C25">
        <w:rPr>
          <w:rFonts w:ascii="Times New Roman" w:eastAsia="Calibri" w:hAnsi="Times New Roman" w:cs="Times New Roman"/>
          <w:kern w:val="2"/>
          <w:lang w:eastAsia="en-US"/>
        </w:rPr>
        <w:t>: Survey field data, 2023/2024</w:t>
      </w:r>
    </w:p>
    <w:p w14:paraId="19C88A45" w14:textId="71A764BB" w:rsidR="00195A8B" w:rsidRPr="00195A8B" w:rsidRDefault="00195A8B" w:rsidP="00951C25">
      <w:pPr>
        <w:numPr>
          <w:ilvl w:val="1"/>
          <w:numId w:val="39"/>
        </w:numPr>
        <w:adjustRightInd w:val="0"/>
        <w:spacing w:after="120" w:line="259" w:lineRule="auto"/>
        <w:ind w:left="547" w:hanging="547"/>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Comparison of Business Expansion of Enterprises </w:t>
      </w:r>
      <w:r w:rsidR="000A5529">
        <w:rPr>
          <w:rFonts w:ascii="Times New Roman" w:eastAsia="Calibri" w:hAnsi="Times New Roman" w:cs="Times New Roman"/>
          <w:b/>
          <w:bCs/>
          <w:kern w:val="2"/>
          <w:sz w:val="24"/>
          <w:szCs w:val="24"/>
          <w:lang w:val="en-GB" w:eastAsia="en-US"/>
        </w:rPr>
        <w:t>Under</w:t>
      </w:r>
      <w:r w:rsidRPr="00195A8B">
        <w:rPr>
          <w:rFonts w:ascii="Times New Roman" w:eastAsia="Calibri" w:hAnsi="Times New Roman" w:cs="Times New Roman"/>
          <w:b/>
          <w:bCs/>
          <w:kern w:val="2"/>
          <w:sz w:val="24"/>
          <w:szCs w:val="24"/>
          <w:lang w:val="en-GB" w:eastAsia="en-US"/>
        </w:rPr>
        <w:t xml:space="preserve"> Economic Empowerment Schemes between Arusha and Mara Regions</w:t>
      </w:r>
    </w:p>
    <w:p w14:paraId="271B50C4" w14:textId="71A073BF" w:rsidR="000A5529" w:rsidRPr="000A5529" w:rsidRDefault="000A5529" w:rsidP="00951C25">
      <w:pPr>
        <w:adjustRightInd w:val="0"/>
        <w:spacing w:after="120" w:line="360" w:lineRule="auto"/>
        <w:jc w:val="both"/>
        <w:rPr>
          <w:rFonts w:ascii="Times New Roman" w:eastAsia="Calibri" w:hAnsi="Times New Roman" w:cs="Times New Roman"/>
          <w:kern w:val="2"/>
          <w:sz w:val="24"/>
          <w:szCs w:val="24"/>
          <w:lang w:eastAsia="en-US"/>
        </w:rPr>
      </w:pPr>
      <w:r w:rsidRPr="000A5529">
        <w:rPr>
          <w:rFonts w:ascii="Times New Roman" w:eastAsia="Calibri" w:hAnsi="Times New Roman" w:cs="Times New Roman"/>
          <w:kern w:val="2"/>
          <w:sz w:val="24"/>
          <w:szCs w:val="24"/>
          <w:lang w:eastAsia="en-US"/>
        </w:rPr>
        <w:t xml:space="preserve">The comparative analysis of business expansion among LGA loan beneficiary enterprises in Arusha and Mara highlights how economic empowerment schemes facilitate capital growth and market reach, while also revealing limitations in achieving broader business goals post-intervention (Table </w:t>
      </w:r>
      <w:r w:rsidR="00E12220">
        <w:rPr>
          <w:rFonts w:ascii="Times New Roman" w:eastAsia="Calibri" w:hAnsi="Times New Roman" w:cs="Times New Roman"/>
          <w:kern w:val="2"/>
          <w:sz w:val="24"/>
          <w:szCs w:val="24"/>
          <w:lang w:eastAsia="en-US"/>
        </w:rPr>
        <w:t>7</w:t>
      </w:r>
      <w:r w:rsidRPr="000A5529">
        <w:rPr>
          <w:rFonts w:ascii="Times New Roman" w:eastAsia="Calibri" w:hAnsi="Times New Roman" w:cs="Times New Roman"/>
          <w:kern w:val="2"/>
          <w:sz w:val="24"/>
          <w:szCs w:val="24"/>
          <w:lang w:eastAsia="en-US"/>
        </w:rPr>
        <w:t xml:space="preserve">). Both regions experienced an increase in business capital following loan disbursement, with Mara showing a higher average increase (TZS 2,160,197) compared to Arusha (TZS 993,675). This suggests that loan support under empowerment schemes effectively enhances financial capacity for both operational and investment purposes—particularly in rural </w:t>
      </w:r>
      <w:r w:rsidRPr="000A5529">
        <w:rPr>
          <w:rFonts w:ascii="Times New Roman" w:eastAsia="Calibri" w:hAnsi="Times New Roman" w:cs="Times New Roman"/>
          <w:kern w:val="2"/>
          <w:sz w:val="24"/>
          <w:szCs w:val="24"/>
          <w:lang w:eastAsia="en-US"/>
        </w:rPr>
        <w:lastRenderedPageBreak/>
        <w:t>contexts like Mara, where baseline capital levels tend to be lower. These findings align with Banerjee et al. (2015), who reported that microcredit can significantly boost capital accumulation in low-income settings.</w:t>
      </w:r>
    </w:p>
    <w:p w14:paraId="5DF62B98" w14:textId="77777777" w:rsidR="000A5529" w:rsidRPr="000A5529" w:rsidRDefault="000A5529" w:rsidP="00951C25">
      <w:pPr>
        <w:adjustRightInd w:val="0"/>
        <w:spacing w:after="120" w:line="360" w:lineRule="auto"/>
        <w:jc w:val="both"/>
        <w:rPr>
          <w:rFonts w:ascii="Times New Roman" w:eastAsia="Calibri" w:hAnsi="Times New Roman" w:cs="Times New Roman"/>
          <w:kern w:val="2"/>
          <w:sz w:val="24"/>
          <w:szCs w:val="24"/>
          <w:lang w:eastAsia="en-US"/>
        </w:rPr>
      </w:pPr>
      <w:r w:rsidRPr="000A5529">
        <w:rPr>
          <w:rFonts w:ascii="Times New Roman" w:eastAsia="Calibri" w:hAnsi="Times New Roman" w:cs="Times New Roman"/>
          <w:kern w:val="2"/>
          <w:sz w:val="24"/>
          <w:szCs w:val="24"/>
          <w:lang w:eastAsia="en-US"/>
        </w:rPr>
        <w:t>The expansion in customer base post-loan further underscores the positive outcomes of financial support. In Arusha, the dramatic rise in individual (retail) customers—from 93 to 1,175—and in Mara from 43 to 71, indicates improved market visibility and consumer trust. This is consistent with Beck et al. (2008), who argue that access to finance enables micro and small enterprises to scale operations and reach broader customer segments. The increase in wholesale customers in Arusha (+258) suggests that urban enterprises are leveraging loans to expand into higher-value transactions and business-to-business networks. Conversely, the decline in wholesale customers in Mara (-74) may reflect a strategic reorientation toward retail markets, which often offer faster turnover and reduced risk in rural environments.</w:t>
      </w:r>
    </w:p>
    <w:p w14:paraId="3CF72121" w14:textId="44F06595" w:rsidR="000A5529" w:rsidRPr="000A5529" w:rsidRDefault="000A5529" w:rsidP="00951C25">
      <w:pPr>
        <w:adjustRightInd w:val="0"/>
        <w:spacing w:after="120" w:line="360" w:lineRule="auto"/>
        <w:jc w:val="both"/>
        <w:rPr>
          <w:rFonts w:ascii="Times New Roman" w:eastAsia="Calibri" w:hAnsi="Times New Roman" w:cs="Times New Roman"/>
          <w:kern w:val="2"/>
          <w:sz w:val="24"/>
          <w:szCs w:val="24"/>
          <w:lang w:eastAsia="en-US"/>
        </w:rPr>
      </w:pPr>
      <w:r w:rsidRPr="000A5529">
        <w:rPr>
          <w:rFonts w:ascii="Times New Roman" w:eastAsia="Calibri" w:hAnsi="Times New Roman" w:cs="Times New Roman"/>
          <w:kern w:val="2"/>
          <w:sz w:val="24"/>
          <w:szCs w:val="24"/>
          <w:lang w:eastAsia="en-US"/>
        </w:rPr>
        <w:t xml:space="preserve">However, the analysis of goal achievement presents a paradox. The proportion of respondents reporting business goal attainment decreased post-loan in both Arusha (from 63.5% to 36.5%) and Mara (from 55.3% to 44.7%). This pattern reflects the observations of </w:t>
      </w:r>
      <w:proofErr w:type="spellStart"/>
      <w:r w:rsidRPr="000A5529">
        <w:rPr>
          <w:rFonts w:ascii="Times New Roman" w:eastAsia="Calibri" w:hAnsi="Times New Roman" w:cs="Times New Roman"/>
          <w:kern w:val="2"/>
          <w:sz w:val="24"/>
          <w:szCs w:val="24"/>
          <w:lang w:eastAsia="en-US"/>
        </w:rPr>
        <w:t>Duvendack</w:t>
      </w:r>
      <w:proofErr w:type="spellEnd"/>
      <w:r w:rsidRPr="000A5529">
        <w:rPr>
          <w:rFonts w:ascii="Times New Roman" w:eastAsia="Calibri" w:hAnsi="Times New Roman" w:cs="Times New Roman"/>
          <w:kern w:val="2"/>
          <w:sz w:val="24"/>
          <w:szCs w:val="24"/>
          <w:lang w:eastAsia="en-US"/>
        </w:rPr>
        <w:t xml:space="preserve"> et al. (2011), who noted that while microcredit improves business operations, it may not immediately translate into perceived success. This disconnect may stem from rising expectations, operational challenges, or external factors such as market saturation and policy constraints. The divergence between objective performance indicators (capital and customers) and subjective perceptions of success underscores the complexity of measuring empowerment outcomes, as Bateman (2010) contends—emphasizing that credit alone is insufficient for sustainable transformation without complementary support systems.</w:t>
      </w:r>
    </w:p>
    <w:p w14:paraId="037EF1F6" w14:textId="45E857D9" w:rsidR="000A5529" w:rsidRPr="000A5529" w:rsidRDefault="000A5529" w:rsidP="00951C25">
      <w:pPr>
        <w:adjustRightInd w:val="0"/>
        <w:spacing w:after="120" w:line="360" w:lineRule="auto"/>
        <w:jc w:val="both"/>
        <w:rPr>
          <w:rFonts w:ascii="Times New Roman" w:eastAsia="Calibri" w:hAnsi="Times New Roman" w:cs="Times New Roman"/>
          <w:kern w:val="2"/>
          <w:sz w:val="24"/>
          <w:szCs w:val="24"/>
          <w:lang w:eastAsia="en-US"/>
        </w:rPr>
      </w:pPr>
      <w:r w:rsidRPr="000A5529">
        <w:rPr>
          <w:rFonts w:ascii="Times New Roman" w:eastAsia="Calibri" w:hAnsi="Times New Roman" w:cs="Times New Roman"/>
          <w:kern w:val="2"/>
          <w:sz w:val="24"/>
          <w:szCs w:val="24"/>
          <w:lang w:eastAsia="en-US"/>
        </w:rPr>
        <w:t>These findings indicate that although loan schemes are effective in expanding business operations and improving market access, they do not automatically fulfill entrepreneurs’ aspirations. This underscores the need for more holistic interventions. As recommended by IFAD (2020), combining financial support with mentorship, business management training, market linkage facilitation, and post-loan follow-up can help bridge the gap between operational improvements and perceived goal achievement. Such integrated approaches ensure that empowerment initiatives result in sustainable and meaningful business development.</w:t>
      </w:r>
    </w:p>
    <w:p w14:paraId="64CCA395" w14:textId="4EBBA894" w:rsidR="00BC04A9" w:rsidRPr="00195A8B" w:rsidRDefault="000A5529" w:rsidP="00951C25">
      <w:pPr>
        <w:spacing w:after="160" w:line="360" w:lineRule="auto"/>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lastRenderedPageBreak/>
        <w:t>Generally</w:t>
      </w:r>
      <w:r w:rsidRPr="000A5529">
        <w:rPr>
          <w:rFonts w:ascii="Times New Roman" w:eastAsia="Calibri" w:hAnsi="Times New Roman" w:cs="Times New Roman"/>
          <w:kern w:val="2"/>
          <w:sz w:val="24"/>
          <w:szCs w:val="24"/>
          <w:lang w:eastAsia="en-US"/>
        </w:rPr>
        <w:t>, economic empowerment schemes in Arusha and Mara have contributed significantly to business capital growth and customer base expansion, demonstrating their value as instruments of local enterprise development. However, the decline in perceived goal achievement highlights the importance of designing comprehensive support frameworks that address structural and capacity-related barriers to translate financial inputs into sustainable and transformative outcomes.</w:t>
      </w:r>
    </w:p>
    <w:p w14:paraId="768FCE84" w14:textId="28499617" w:rsidR="00195A8B" w:rsidRPr="00195A8B" w:rsidRDefault="00BC04A9" w:rsidP="000A5529">
      <w:pPr>
        <w:spacing w:after="160" w:line="360" w:lineRule="auto"/>
        <w:jc w:val="both"/>
        <w:rPr>
          <w:rFonts w:ascii="Times New Roman" w:eastAsia="Calibri" w:hAnsi="Times New Roman" w:cs="Times New Roman"/>
          <w:kern w:val="2"/>
          <w:sz w:val="24"/>
          <w:szCs w:val="24"/>
          <w:lang w:eastAsia="en-US"/>
        </w:rPr>
      </w:pPr>
      <w:r w:rsidRPr="00BC04A9">
        <w:rPr>
          <w:rFonts w:ascii="Times New Roman" w:eastAsia="Calibri" w:hAnsi="Times New Roman" w:cs="Times New Roman"/>
          <w:kern w:val="2"/>
          <w:sz w:val="24"/>
          <w:szCs w:val="24"/>
          <w:lang w:eastAsia="en-US"/>
        </w:rPr>
        <w:t xml:space="preserve">Recent literature supports our findings on the economic performance of enterprises under empowerment schemes. </w:t>
      </w:r>
      <w:proofErr w:type="spellStart"/>
      <w:r w:rsidRPr="00BC04A9">
        <w:rPr>
          <w:rFonts w:ascii="Times New Roman" w:eastAsia="Calibri" w:hAnsi="Times New Roman" w:cs="Times New Roman"/>
          <w:kern w:val="2"/>
          <w:sz w:val="24"/>
          <w:szCs w:val="24"/>
          <w:lang w:eastAsia="en-US"/>
        </w:rPr>
        <w:t>Palanichamy</w:t>
      </w:r>
      <w:proofErr w:type="spellEnd"/>
      <w:r w:rsidRPr="00BC04A9">
        <w:rPr>
          <w:rFonts w:ascii="Times New Roman" w:eastAsia="Calibri" w:hAnsi="Times New Roman" w:cs="Times New Roman"/>
          <w:kern w:val="2"/>
          <w:sz w:val="24"/>
          <w:szCs w:val="24"/>
          <w:lang w:eastAsia="en-US"/>
        </w:rPr>
        <w:t xml:space="preserve"> et al. (2024) evaluated banking interventions in Pondicherry and found that financial inclusion significantly enhanced income levels and business sustainability among beneficiaries, highlighting the positive impact of access to credit on enterprise viability. Similarly, Sahu et al. (2024) examined financial empowerment initiatives targeting tribal women and reported that structured access to finance not only improved economic outcomes—but also fostered sustainable livelihoods and social equity. These insights reinforce our observation that while economic empowerment schemes can lead to measurable improvements in capital, market growth, and compensation, their broader success depends on complementary support systems to translate financial access into lasting enterprise development.</w:t>
      </w:r>
    </w:p>
    <w:p w14:paraId="05F28270" w14:textId="6789B664" w:rsidR="00195A8B" w:rsidRPr="00951C25" w:rsidRDefault="00195A8B" w:rsidP="00951C25">
      <w:pPr>
        <w:spacing w:after="0" w:line="240" w:lineRule="auto"/>
        <w:ind w:left="1008" w:hanging="1008"/>
        <w:jc w:val="both"/>
        <w:rPr>
          <w:rFonts w:ascii="Times New Roman" w:eastAsia="Calibri" w:hAnsi="Times New Roman" w:cs="Times New Roman"/>
          <w:b/>
          <w:bCs/>
          <w:kern w:val="2"/>
          <w:lang w:eastAsia="en-US"/>
        </w:rPr>
      </w:pPr>
      <w:r w:rsidRPr="00951C25">
        <w:rPr>
          <w:rFonts w:ascii="Times New Roman" w:eastAsia="Calibri" w:hAnsi="Times New Roman" w:cs="Times New Roman"/>
          <w:b/>
          <w:bCs/>
          <w:kern w:val="2"/>
          <w:lang w:eastAsia="en-US"/>
        </w:rPr>
        <w:t xml:space="preserve">Table </w:t>
      </w:r>
      <w:r w:rsidR="00E12220">
        <w:rPr>
          <w:rFonts w:ascii="Times New Roman" w:eastAsia="Calibri" w:hAnsi="Times New Roman" w:cs="Times New Roman"/>
          <w:b/>
          <w:bCs/>
          <w:kern w:val="2"/>
          <w:lang w:eastAsia="en-US"/>
        </w:rPr>
        <w:t>7</w:t>
      </w:r>
      <w:r w:rsidRPr="00951C25">
        <w:rPr>
          <w:rFonts w:ascii="Times New Roman" w:eastAsia="Calibri" w:hAnsi="Times New Roman" w:cs="Times New Roman"/>
          <w:b/>
          <w:bCs/>
          <w:kern w:val="2"/>
          <w:lang w:eastAsia="en-US"/>
        </w:rPr>
        <w:t>.</w:t>
      </w:r>
      <w:r w:rsidRPr="00951C25">
        <w:rPr>
          <w:rFonts w:ascii="Calibri" w:eastAsia="Calibri" w:hAnsi="Calibri" w:cs="Times New Roman"/>
          <w:b/>
          <w:bCs/>
          <w:kern w:val="2"/>
          <w:sz w:val="20"/>
          <w:szCs w:val="20"/>
          <w:lang w:val="en-GB" w:eastAsia="en-US"/>
        </w:rPr>
        <w:t xml:space="preserve"> </w:t>
      </w:r>
      <w:r w:rsidRPr="00951C25">
        <w:rPr>
          <w:rFonts w:ascii="Times New Roman" w:eastAsia="Calibri" w:hAnsi="Times New Roman" w:cs="Times New Roman"/>
          <w:b/>
          <w:bCs/>
          <w:kern w:val="2"/>
          <w:lang w:eastAsia="en-US"/>
        </w:rPr>
        <w:t xml:space="preserve">Comparison of Business Expansion of Enterprises </w:t>
      </w:r>
      <w:r w:rsidR="004A4E6E">
        <w:rPr>
          <w:rFonts w:ascii="Times New Roman" w:eastAsia="Calibri" w:hAnsi="Times New Roman" w:cs="Times New Roman"/>
          <w:b/>
          <w:bCs/>
          <w:kern w:val="2"/>
          <w:lang w:eastAsia="en-US"/>
        </w:rPr>
        <w:t>Under</w:t>
      </w:r>
      <w:r w:rsidRPr="00951C25">
        <w:rPr>
          <w:rFonts w:ascii="Times New Roman" w:eastAsia="Calibri" w:hAnsi="Times New Roman" w:cs="Times New Roman"/>
          <w:b/>
          <w:bCs/>
          <w:kern w:val="2"/>
          <w:lang w:eastAsia="en-US"/>
        </w:rPr>
        <w:t xml:space="preserve"> Economic Empowerment Schemes between Arusha and Mara Regions</w:t>
      </w:r>
    </w:p>
    <w:tbl>
      <w:tblPr>
        <w:tblStyle w:val="TableGrid3"/>
        <w:tblW w:w="5000" w:type="pct"/>
        <w:tblLook w:val="04A0" w:firstRow="1" w:lastRow="0" w:firstColumn="1" w:lastColumn="0" w:noHBand="0" w:noVBand="1"/>
      </w:tblPr>
      <w:tblGrid>
        <w:gridCol w:w="1469"/>
        <w:gridCol w:w="1287"/>
        <w:gridCol w:w="1040"/>
        <w:gridCol w:w="1073"/>
        <w:gridCol w:w="1034"/>
        <w:gridCol w:w="1239"/>
        <w:gridCol w:w="1239"/>
        <w:gridCol w:w="1195"/>
        <w:tblGridChange w:id="11">
          <w:tblGrid>
            <w:gridCol w:w="1469"/>
            <w:gridCol w:w="1287"/>
            <w:gridCol w:w="1040"/>
            <w:gridCol w:w="1073"/>
            <w:gridCol w:w="1034"/>
            <w:gridCol w:w="1239"/>
            <w:gridCol w:w="1239"/>
            <w:gridCol w:w="1195"/>
          </w:tblGrid>
        </w:tblGridChange>
      </w:tblGrid>
      <w:tr w:rsidR="000E4BE9" w:rsidRPr="000A37BB" w14:paraId="2F9F8B10" w14:textId="77777777" w:rsidTr="000A37BB">
        <w:tc>
          <w:tcPr>
            <w:tcW w:w="767" w:type="pct"/>
            <w:vMerge w:val="restart"/>
            <w:vAlign w:val="center"/>
            <w:hideMark/>
          </w:tcPr>
          <w:p w14:paraId="284E2B5D" w14:textId="77777777" w:rsidR="000A37BB" w:rsidRPr="00951C25" w:rsidRDefault="000A37BB" w:rsidP="000A37BB">
            <w:pPr>
              <w:rPr>
                <w:rFonts w:ascii="Times New Roman" w:eastAsia="Times New Roman" w:hAnsi="Times New Roman" w:cs="Times New Roman"/>
                <w:b/>
                <w:bCs/>
                <w:sz w:val="22"/>
                <w:szCs w:val="22"/>
              </w:rPr>
            </w:pPr>
            <w:r w:rsidRPr="00951C25">
              <w:rPr>
                <w:rFonts w:ascii="Times New Roman" w:eastAsia="Times New Roman" w:hAnsi="Times New Roman" w:cs="Times New Roman"/>
                <w:b/>
                <w:bCs/>
                <w:sz w:val="22"/>
                <w:szCs w:val="22"/>
              </w:rPr>
              <w:t>Category</w:t>
            </w:r>
          </w:p>
        </w:tc>
        <w:tc>
          <w:tcPr>
            <w:tcW w:w="672" w:type="pct"/>
            <w:vMerge w:val="restart"/>
            <w:vAlign w:val="center"/>
            <w:hideMark/>
          </w:tcPr>
          <w:p w14:paraId="59E2590A" w14:textId="77777777" w:rsidR="000A37BB" w:rsidRPr="00951C25" w:rsidRDefault="000A37BB" w:rsidP="000A37BB">
            <w:pPr>
              <w:rPr>
                <w:rFonts w:ascii="Times New Roman" w:eastAsia="Times New Roman" w:hAnsi="Times New Roman" w:cs="Times New Roman"/>
                <w:b/>
                <w:bCs/>
                <w:sz w:val="22"/>
                <w:szCs w:val="22"/>
              </w:rPr>
            </w:pPr>
            <w:r w:rsidRPr="00951C25">
              <w:rPr>
                <w:rFonts w:ascii="Times New Roman" w:eastAsia="Times New Roman" w:hAnsi="Times New Roman" w:cs="Times New Roman"/>
                <w:b/>
                <w:bCs/>
                <w:sz w:val="22"/>
                <w:szCs w:val="22"/>
              </w:rPr>
              <w:t>Indicator</w:t>
            </w:r>
          </w:p>
        </w:tc>
        <w:tc>
          <w:tcPr>
            <w:tcW w:w="1643" w:type="pct"/>
            <w:gridSpan w:val="3"/>
            <w:hideMark/>
          </w:tcPr>
          <w:p w14:paraId="5B7EAEB2"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Arusha (Mean)</w:t>
            </w:r>
          </w:p>
        </w:tc>
        <w:tc>
          <w:tcPr>
            <w:tcW w:w="1918" w:type="pct"/>
            <w:gridSpan w:val="3"/>
            <w:hideMark/>
          </w:tcPr>
          <w:p w14:paraId="2600C93E"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Mara (Mean)</w:t>
            </w:r>
          </w:p>
        </w:tc>
      </w:tr>
      <w:tr w:rsidR="000E4BE9" w:rsidRPr="000A37BB" w14:paraId="2E1FDD72" w14:textId="77777777" w:rsidTr="000A37BB">
        <w:tc>
          <w:tcPr>
            <w:tcW w:w="767" w:type="pct"/>
            <w:vMerge/>
            <w:hideMark/>
          </w:tcPr>
          <w:p w14:paraId="1B951C93" w14:textId="77777777" w:rsidR="000A37BB" w:rsidRPr="00951C25" w:rsidRDefault="000A37BB" w:rsidP="000A37BB">
            <w:pPr>
              <w:jc w:val="center"/>
              <w:rPr>
                <w:rFonts w:ascii="Times New Roman" w:eastAsia="Times New Roman" w:hAnsi="Times New Roman" w:cs="Times New Roman"/>
                <w:sz w:val="22"/>
                <w:szCs w:val="22"/>
              </w:rPr>
            </w:pPr>
          </w:p>
        </w:tc>
        <w:tc>
          <w:tcPr>
            <w:tcW w:w="672" w:type="pct"/>
            <w:vMerge/>
            <w:hideMark/>
          </w:tcPr>
          <w:p w14:paraId="4275F497" w14:textId="77777777" w:rsidR="000A37BB" w:rsidRPr="00951C25" w:rsidRDefault="000A37BB" w:rsidP="000A37BB">
            <w:pPr>
              <w:rPr>
                <w:rFonts w:ascii="Times New Roman" w:eastAsia="Times New Roman" w:hAnsi="Times New Roman" w:cs="Times New Roman"/>
                <w:sz w:val="22"/>
                <w:szCs w:val="22"/>
              </w:rPr>
            </w:pPr>
          </w:p>
        </w:tc>
        <w:tc>
          <w:tcPr>
            <w:tcW w:w="543" w:type="pct"/>
            <w:hideMark/>
          </w:tcPr>
          <w:p w14:paraId="42351FBE"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Before Loan</w:t>
            </w:r>
          </w:p>
        </w:tc>
        <w:tc>
          <w:tcPr>
            <w:tcW w:w="560" w:type="pct"/>
            <w:hideMark/>
          </w:tcPr>
          <w:p w14:paraId="0B0FA287"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After Loan</w:t>
            </w:r>
          </w:p>
        </w:tc>
        <w:tc>
          <w:tcPr>
            <w:tcW w:w="540" w:type="pct"/>
            <w:hideMark/>
          </w:tcPr>
          <w:p w14:paraId="71DADB19"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Change</w:t>
            </w:r>
          </w:p>
        </w:tc>
        <w:tc>
          <w:tcPr>
            <w:tcW w:w="647" w:type="pct"/>
            <w:hideMark/>
          </w:tcPr>
          <w:p w14:paraId="741447EA"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Before Loan</w:t>
            </w:r>
          </w:p>
        </w:tc>
        <w:tc>
          <w:tcPr>
            <w:tcW w:w="647" w:type="pct"/>
            <w:hideMark/>
          </w:tcPr>
          <w:p w14:paraId="4917C355"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After Loan</w:t>
            </w:r>
          </w:p>
        </w:tc>
        <w:tc>
          <w:tcPr>
            <w:tcW w:w="624" w:type="pct"/>
            <w:hideMark/>
          </w:tcPr>
          <w:p w14:paraId="2FAD804D" w14:textId="77777777" w:rsidR="000A37BB" w:rsidRPr="00951C25" w:rsidRDefault="000A37BB" w:rsidP="000A37BB">
            <w:pPr>
              <w:jc w:val="center"/>
              <w:rPr>
                <w:rFonts w:ascii="Times New Roman" w:eastAsia="Times New Roman" w:hAnsi="Times New Roman" w:cs="Times New Roman"/>
                <w:sz w:val="22"/>
                <w:szCs w:val="22"/>
              </w:rPr>
            </w:pPr>
            <w:r w:rsidRPr="00951C25">
              <w:rPr>
                <w:rFonts w:ascii="Times New Roman" w:eastAsia="Times New Roman" w:hAnsi="Times New Roman" w:cs="Times New Roman"/>
                <w:b/>
                <w:bCs/>
                <w:sz w:val="22"/>
                <w:szCs w:val="22"/>
              </w:rPr>
              <w:t>Change</w:t>
            </w:r>
          </w:p>
        </w:tc>
      </w:tr>
      <w:tr w:rsidR="000E4BE9" w:rsidRPr="000A37BB" w14:paraId="23CB731D" w14:textId="77777777" w:rsidTr="000A37BB">
        <w:tc>
          <w:tcPr>
            <w:tcW w:w="767" w:type="pct"/>
            <w:hideMark/>
          </w:tcPr>
          <w:p w14:paraId="177F1F3B"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b/>
                <w:bCs/>
                <w:sz w:val="20"/>
                <w:szCs w:val="20"/>
              </w:rPr>
              <w:t>Business Capital (TZS)</w:t>
            </w:r>
          </w:p>
        </w:tc>
        <w:tc>
          <w:tcPr>
            <w:tcW w:w="672" w:type="pct"/>
            <w:hideMark/>
          </w:tcPr>
          <w:p w14:paraId="02DDD27C" w14:textId="77777777" w:rsidR="000A37BB" w:rsidRPr="000A37BB" w:rsidRDefault="000A37BB" w:rsidP="000A37BB">
            <w:pPr>
              <w:jc w:val="both"/>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 xml:space="preserve">Capital Size </w:t>
            </w:r>
          </w:p>
        </w:tc>
        <w:tc>
          <w:tcPr>
            <w:tcW w:w="543" w:type="pct"/>
            <w:hideMark/>
          </w:tcPr>
          <w:p w14:paraId="12E08D6E"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3,271,434</w:t>
            </w:r>
          </w:p>
        </w:tc>
        <w:tc>
          <w:tcPr>
            <w:tcW w:w="560" w:type="pct"/>
            <w:hideMark/>
          </w:tcPr>
          <w:p w14:paraId="4B9E7926"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4,265,109</w:t>
            </w:r>
          </w:p>
        </w:tc>
        <w:tc>
          <w:tcPr>
            <w:tcW w:w="540" w:type="pct"/>
            <w:hideMark/>
          </w:tcPr>
          <w:p w14:paraId="199A7C86"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+993,675</w:t>
            </w:r>
          </w:p>
        </w:tc>
        <w:tc>
          <w:tcPr>
            <w:tcW w:w="647" w:type="pct"/>
            <w:hideMark/>
          </w:tcPr>
          <w:p w14:paraId="56A7F2BA"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2,739,512.2</w:t>
            </w:r>
          </w:p>
        </w:tc>
        <w:tc>
          <w:tcPr>
            <w:tcW w:w="647" w:type="pct"/>
            <w:hideMark/>
          </w:tcPr>
          <w:p w14:paraId="04179F71"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4,899,708.8</w:t>
            </w:r>
          </w:p>
        </w:tc>
        <w:tc>
          <w:tcPr>
            <w:tcW w:w="624" w:type="pct"/>
            <w:hideMark/>
          </w:tcPr>
          <w:p w14:paraId="194C6BAC"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+2,160,197</w:t>
            </w:r>
          </w:p>
        </w:tc>
      </w:tr>
      <w:tr w:rsidR="000E4BE9" w:rsidRPr="000A37BB" w14:paraId="75824A5C" w14:textId="77777777" w:rsidTr="000A37BB">
        <w:tc>
          <w:tcPr>
            <w:tcW w:w="767" w:type="pct"/>
            <w:vMerge w:val="restart"/>
            <w:hideMark/>
          </w:tcPr>
          <w:p w14:paraId="4F0BD9E7"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b/>
                <w:bCs/>
                <w:sz w:val="20"/>
                <w:szCs w:val="20"/>
              </w:rPr>
              <w:t>Customer Base</w:t>
            </w:r>
          </w:p>
        </w:tc>
        <w:tc>
          <w:tcPr>
            <w:tcW w:w="672" w:type="pct"/>
            <w:hideMark/>
          </w:tcPr>
          <w:p w14:paraId="14B35FDE"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 xml:space="preserve">Individual </w:t>
            </w:r>
          </w:p>
        </w:tc>
        <w:tc>
          <w:tcPr>
            <w:tcW w:w="543" w:type="pct"/>
            <w:hideMark/>
          </w:tcPr>
          <w:p w14:paraId="40717F2C"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93</w:t>
            </w:r>
          </w:p>
        </w:tc>
        <w:tc>
          <w:tcPr>
            <w:tcW w:w="560" w:type="pct"/>
            <w:hideMark/>
          </w:tcPr>
          <w:p w14:paraId="5D288550"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1,175</w:t>
            </w:r>
          </w:p>
        </w:tc>
        <w:tc>
          <w:tcPr>
            <w:tcW w:w="540" w:type="pct"/>
            <w:hideMark/>
          </w:tcPr>
          <w:p w14:paraId="768F2F17"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+1,082</w:t>
            </w:r>
          </w:p>
        </w:tc>
        <w:tc>
          <w:tcPr>
            <w:tcW w:w="647" w:type="pct"/>
            <w:hideMark/>
          </w:tcPr>
          <w:p w14:paraId="6E0E8E2C"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43</w:t>
            </w:r>
          </w:p>
        </w:tc>
        <w:tc>
          <w:tcPr>
            <w:tcW w:w="647" w:type="pct"/>
            <w:hideMark/>
          </w:tcPr>
          <w:p w14:paraId="3F7121E6"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71</w:t>
            </w:r>
          </w:p>
        </w:tc>
        <w:tc>
          <w:tcPr>
            <w:tcW w:w="624" w:type="pct"/>
            <w:hideMark/>
          </w:tcPr>
          <w:p w14:paraId="722E4E64"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+28</w:t>
            </w:r>
          </w:p>
        </w:tc>
      </w:tr>
      <w:tr w:rsidR="000E4BE9" w:rsidRPr="000A37BB" w14:paraId="60D28985" w14:textId="77777777" w:rsidTr="000A37BB">
        <w:tc>
          <w:tcPr>
            <w:tcW w:w="767" w:type="pct"/>
            <w:vMerge/>
            <w:hideMark/>
          </w:tcPr>
          <w:p w14:paraId="226BAB54" w14:textId="77777777" w:rsidR="000A37BB" w:rsidRPr="000A37BB" w:rsidRDefault="000A37BB" w:rsidP="000A37BB">
            <w:pPr>
              <w:rPr>
                <w:rFonts w:ascii="Times New Roman" w:eastAsia="Times New Roman" w:hAnsi="Times New Roman" w:cs="Times New Roman"/>
                <w:sz w:val="20"/>
                <w:szCs w:val="20"/>
              </w:rPr>
            </w:pPr>
          </w:p>
        </w:tc>
        <w:tc>
          <w:tcPr>
            <w:tcW w:w="672" w:type="pct"/>
            <w:hideMark/>
          </w:tcPr>
          <w:p w14:paraId="17986B64"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 xml:space="preserve">Business </w:t>
            </w:r>
          </w:p>
        </w:tc>
        <w:tc>
          <w:tcPr>
            <w:tcW w:w="543" w:type="pct"/>
            <w:hideMark/>
          </w:tcPr>
          <w:p w14:paraId="4D5CA5CE"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305</w:t>
            </w:r>
          </w:p>
        </w:tc>
        <w:tc>
          <w:tcPr>
            <w:tcW w:w="560" w:type="pct"/>
            <w:hideMark/>
          </w:tcPr>
          <w:p w14:paraId="7651BECD"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563</w:t>
            </w:r>
          </w:p>
        </w:tc>
        <w:tc>
          <w:tcPr>
            <w:tcW w:w="540" w:type="pct"/>
            <w:hideMark/>
          </w:tcPr>
          <w:p w14:paraId="3911BF0D"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+258</w:t>
            </w:r>
          </w:p>
        </w:tc>
        <w:tc>
          <w:tcPr>
            <w:tcW w:w="647" w:type="pct"/>
            <w:hideMark/>
          </w:tcPr>
          <w:p w14:paraId="78DB23DF"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131</w:t>
            </w:r>
          </w:p>
        </w:tc>
        <w:tc>
          <w:tcPr>
            <w:tcW w:w="647" w:type="pct"/>
            <w:hideMark/>
          </w:tcPr>
          <w:p w14:paraId="09FC0D2A"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57</w:t>
            </w:r>
          </w:p>
        </w:tc>
        <w:tc>
          <w:tcPr>
            <w:tcW w:w="624" w:type="pct"/>
            <w:hideMark/>
          </w:tcPr>
          <w:p w14:paraId="2591AE25"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-74</w:t>
            </w:r>
          </w:p>
        </w:tc>
      </w:tr>
      <w:tr w:rsidR="000E4BE9" w:rsidRPr="000A37BB" w14:paraId="78C29A4E" w14:textId="77777777" w:rsidTr="000A37BB">
        <w:tc>
          <w:tcPr>
            <w:tcW w:w="767" w:type="pct"/>
            <w:vMerge w:val="restart"/>
            <w:hideMark/>
          </w:tcPr>
          <w:p w14:paraId="07F2A97B"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b/>
                <w:bCs/>
                <w:sz w:val="20"/>
                <w:szCs w:val="20"/>
              </w:rPr>
              <w:t>Goal Achievement</w:t>
            </w:r>
          </w:p>
        </w:tc>
        <w:tc>
          <w:tcPr>
            <w:tcW w:w="672" w:type="pct"/>
            <w:hideMark/>
          </w:tcPr>
          <w:p w14:paraId="035C9852"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Yes (%)</w:t>
            </w:r>
          </w:p>
        </w:tc>
        <w:tc>
          <w:tcPr>
            <w:tcW w:w="543" w:type="pct"/>
            <w:hideMark/>
          </w:tcPr>
          <w:p w14:paraId="124C43F4"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63.5</w:t>
            </w:r>
          </w:p>
        </w:tc>
        <w:tc>
          <w:tcPr>
            <w:tcW w:w="560" w:type="pct"/>
            <w:hideMark/>
          </w:tcPr>
          <w:p w14:paraId="12D7AA08"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36.5</w:t>
            </w:r>
          </w:p>
        </w:tc>
        <w:tc>
          <w:tcPr>
            <w:tcW w:w="540" w:type="pct"/>
            <w:hideMark/>
          </w:tcPr>
          <w:p w14:paraId="76A2A5D5"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-27.0</w:t>
            </w:r>
          </w:p>
        </w:tc>
        <w:tc>
          <w:tcPr>
            <w:tcW w:w="647" w:type="pct"/>
            <w:hideMark/>
          </w:tcPr>
          <w:p w14:paraId="58C0CDAB"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57.3</w:t>
            </w:r>
          </w:p>
        </w:tc>
        <w:tc>
          <w:tcPr>
            <w:tcW w:w="647" w:type="pct"/>
            <w:hideMark/>
          </w:tcPr>
          <w:p w14:paraId="779F0B89"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55.3</w:t>
            </w:r>
          </w:p>
        </w:tc>
        <w:tc>
          <w:tcPr>
            <w:tcW w:w="624" w:type="pct"/>
            <w:hideMark/>
          </w:tcPr>
          <w:p w14:paraId="2B8A6E9F"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-2.0</w:t>
            </w:r>
          </w:p>
        </w:tc>
      </w:tr>
      <w:tr w:rsidR="000E4BE9" w:rsidRPr="000A37BB" w14:paraId="6932AD38" w14:textId="77777777" w:rsidTr="000A37BB">
        <w:tc>
          <w:tcPr>
            <w:tcW w:w="767" w:type="pct"/>
            <w:vMerge/>
            <w:hideMark/>
          </w:tcPr>
          <w:p w14:paraId="5CA6ACA7" w14:textId="77777777" w:rsidR="000A37BB" w:rsidRPr="000A37BB" w:rsidRDefault="000A37BB" w:rsidP="000A37BB">
            <w:pPr>
              <w:rPr>
                <w:rFonts w:ascii="Times New Roman" w:eastAsia="Times New Roman" w:hAnsi="Times New Roman" w:cs="Times New Roman"/>
                <w:sz w:val="20"/>
                <w:szCs w:val="20"/>
              </w:rPr>
            </w:pPr>
          </w:p>
        </w:tc>
        <w:tc>
          <w:tcPr>
            <w:tcW w:w="672" w:type="pct"/>
            <w:hideMark/>
          </w:tcPr>
          <w:p w14:paraId="013A6880" w14:textId="77777777" w:rsidR="000A37BB" w:rsidRPr="000A37BB" w:rsidRDefault="000A37BB" w:rsidP="000A37BB">
            <w:pP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 xml:space="preserve">No </w:t>
            </w:r>
          </w:p>
        </w:tc>
        <w:tc>
          <w:tcPr>
            <w:tcW w:w="543" w:type="pct"/>
            <w:hideMark/>
          </w:tcPr>
          <w:p w14:paraId="38C7A435"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39.4</w:t>
            </w:r>
          </w:p>
        </w:tc>
        <w:tc>
          <w:tcPr>
            <w:tcW w:w="560" w:type="pct"/>
            <w:hideMark/>
          </w:tcPr>
          <w:p w14:paraId="5DF35773"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60.6</w:t>
            </w:r>
          </w:p>
        </w:tc>
        <w:tc>
          <w:tcPr>
            <w:tcW w:w="540" w:type="pct"/>
            <w:hideMark/>
          </w:tcPr>
          <w:p w14:paraId="5B6EC60B"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+21.2</w:t>
            </w:r>
          </w:p>
        </w:tc>
        <w:tc>
          <w:tcPr>
            <w:tcW w:w="647" w:type="pct"/>
            <w:hideMark/>
          </w:tcPr>
          <w:p w14:paraId="43B08A15"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50.0</w:t>
            </w:r>
          </w:p>
        </w:tc>
        <w:tc>
          <w:tcPr>
            <w:tcW w:w="647" w:type="pct"/>
            <w:hideMark/>
          </w:tcPr>
          <w:p w14:paraId="66AE2BA8"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42.5</w:t>
            </w:r>
          </w:p>
        </w:tc>
        <w:tc>
          <w:tcPr>
            <w:tcW w:w="624" w:type="pct"/>
            <w:hideMark/>
          </w:tcPr>
          <w:p w14:paraId="42CDB8AD" w14:textId="77777777" w:rsidR="000A37BB" w:rsidRPr="000A37BB" w:rsidRDefault="000A37BB" w:rsidP="000A37BB">
            <w:pPr>
              <w:jc w:val="center"/>
              <w:rPr>
                <w:rFonts w:ascii="Times New Roman" w:eastAsia="Times New Roman" w:hAnsi="Times New Roman" w:cs="Times New Roman"/>
                <w:sz w:val="20"/>
                <w:szCs w:val="20"/>
              </w:rPr>
            </w:pPr>
            <w:r w:rsidRPr="000A37BB">
              <w:rPr>
                <w:rFonts w:ascii="Times New Roman" w:eastAsia="Times New Roman" w:hAnsi="Times New Roman" w:cs="Times New Roman"/>
                <w:sz w:val="20"/>
                <w:szCs w:val="20"/>
              </w:rPr>
              <w:t>-7.5</w:t>
            </w:r>
          </w:p>
        </w:tc>
      </w:tr>
    </w:tbl>
    <w:p w14:paraId="71DEAADF" w14:textId="583DD29A" w:rsidR="00195A8B" w:rsidRPr="00951C25" w:rsidRDefault="00673FD4" w:rsidP="00D125C4">
      <w:pPr>
        <w:spacing w:after="160" w:line="259" w:lineRule="auto"/>
        <w:jc w:val="both"/>
        <w:rPr>
          <w:rFonts w:ascii="Times New Roman" w:eastAsia="Calibri" w:hAnsi="Times New Roman" w:cs="Times New Roman"/>
          <w:kern w:val="2"/>
          <w:lang w:eastAsia="en-US"/>
        </w:rPr>
      </w:pPr>
      <w:r w:rsidRPr="00951C25">
        <w:rPr>
          <w:rFonts w:ascii="Times New Roman" w:eastAsia="Calibri" w:hAnsi="Times New Roman" w:cs="Times New Roman"/>
          <w:b/>
          <w:bCs/>
          <w:kern w:val="2"/>
          <w:lang w:eastAsia="en-US"/>
        </w:rPr>
        <w:t>Source</w:t>
      </w:r>
      <w:r w:rsidR="00195A8B" w:rsidRPr="00951C25">
        <w:rPr>
          <w:rFonts w:ascii="Times New Roman" w:eastAsia="Calibri" w:hAnsi="Times New Roman" w:cs="Times New Roman"/>
          <w:kern w:val="2"/>
          <w:lang w:eastAsia="en-US"/>
        </w:rPr>
        <w:t>: Survey field data, 2023/202</w:t>
      </w:r>
      <w:r w:rsidR="00D125C4" w:rsidRPr="00951C25">
        <w:rPr>
          <w:rFonts w:ascii="Times New Roman" w:eastAsia="Calibri" w:hAnsi="Times New Roman" w:cs="Times New Roman"/>
          <w:kern w:val="2"/>
          <w:lang w:eastAsia="en-US"/>
        </w:rPr>
        <w:t>.</w:t>
      </w:r>
    </w:p>
    <w:p w14:paraId="064E33D0" w14:textId="56C53024" w:rsidR="00195A8B" w:rsidRPr="008A780B" w:rsidRDefault="00195A8B" w:rsidP="00831781">
      <w:pPr>
        <w:pStyle w:val="ListParagraph"/>
        <w:numPr>
          <w:ilvl w:val="1"/>
          <w:numId w:val="38"/>
        </w:numPr>
        <w:adjustRightInd w:val="0"/>
        <w:spacing w:after="120" w:line="240" w:lineRule="auto"/>
        <w:jc w:val="both"/>
        <w:rPr>
          <w:rFonts w:ascii="Times New Roman" w:eastAsia="Calibri" w:hAnsi="Times New Roman" w:cs="Times New Roman"/>
          <w:b/>
          <w:bCs/>
          <w:kern w:val="2"/>
          <w:sz w:val="24"/>
          <w:szCs w:val="24"/>
          <w:lang w:val="en-GB" w:eastAsia="en-US"/>
        </w:rPr>
      </w:pPr>
      <w:r w:rsidRPr="008A780B">
        <w:rPr>
          <w:rFonts w:ascii="Times New Roman" w:eastAsia="Calibri" w:hAnsi="Times New Roman" w:cs="Times New Roman"/>
          <w:b/>
          <w:bCs/>
          <w:kern w:val="2"/>
          <w:sz w:val="24"/>
          <w:szCs w:val="24"/>
          <w:lang w:eastAsia="en-US"/>
        </w:rPr>
        <w:t xml:space="preserve">Comparison of Post-Loan Achievements of Enterprises </w:t>
      </w:r>
      <w:r w:rsidR="00673FD4">
        <w:rPr>
          <w:rFonts w:ascii="Times New Roman" w:eastAsia="Calibri" w:hAnsi="Times New Roman" w:cs="Times New Roman"/>
          <w:b/>
          <w:bCs/>
          <w:kern w:val="2"/>
          <w:sz w:val="24"/>
          <w:szCs w:val="24"/>
          <w:lang w:eastAsia="en-US"/>
        </w:rPr>
        <w:t>Under</w:t>
      </w:r>
      <w:r w:rsidRPr="008A780B">
        <w:rPr>
          <w:rFonts w:ascii="Times New Roman" w:eastAsia="Calibri" w:hAnsi="Times New Roman" w:cs="Times New Roman"/>
          <w:b/>
          <w:bCs/>
          <w:kern w:val="2"/>
          <w:sz w:val="24"/>
          <w:szCs w:val="24"/>
          <w:lang w:eastAsia="en-US"/>
        </w:rPr>
        <w:t xml:space="preserve"> Economic Empowerment Schemes between Arusha and Mara Regions</w:t>
      </w:r>
    </w:p>
    <w:p w14:paraId="76BD7B1A" w14:textId="0D82FF4D"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The comparative analysis of post-loan achievements among Local Government Authority (LGA) loan beneficiaries in Arusha and Mara provides valuable insights into the differentiated impacts of economic empowerment schemes on livelihood improvement (Figure 4). Across both regions, beneficiaries reported tangible outcomes such as asset acquisition, investment in education and health, business expansion, and transitions from informal to formal enterprise operations—</w:t>
      </w:r>
      <w:r w:rsidRPr="00951C25">
        <w:rPr>
          <w:rFonts w:ascii="Times New Roman" w:eastAsia="Calibri" w:hAnsi="Times New Roman" w:cs="Times New Roman"/>
          <w:kern w:val="2"/>
          <w:sz w:val="24"/>
          <w:szCs w:val="24"/>
          <w:lang w:val="en-GB" w:eastAsia="en-US"/>
        </w:rPr>
        <w:lastRenderedPageBreak/>
        <w:t>underscoring the multidimensional influence of financial interventions on microenterprise development.</w:t>
      </w:r>
    </w:p>
    <w:p w14:paraId="545487A4" w14:textId="253F1F91"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Women beneficiaries in Arusha demonstrated higher achievement rates across nearly all indicators. For example, 73.6% reported paying medical expenses post-loan, compared to 26.4% in Mara; 69.0% paid school fees (versus 31.0%); and 72.3% expanded their businesses (versus 27.7%). These findings align with </w:t>
      </w:r>
      <w:proofErr w:type="spellStart"/>
      <w:r w:rsidRPr="00951C25">
        <w:rPr>
          <w:rFonts w:ascii="Times New Roman" w:eastAsia="Calibri" w:hAnsi="Times New Roman" w:cs="Times New Roman"/>
          <w:kern w:val="2"/>
          <w:sz w:val="24"/>
          <w:szCs w:val="24"/>
          <w:lang w:val="en-GB" w:eastAsia="en-US"/>
        </w:rPr>
        <w:t>Karlan</w:t>
      </w:r>
      <w:proofErr w:type="spellEnd"/>
      <w:r w:rsidRPr="00951C25">
        <w:rPr>
          <w:rFonts w:ascii="Times New Roman" w:eastAsia="Calibri" w:hAnsi="Times New Roman" w:cs="Times New Roman"/>
          <w:kern w:val="2"/>
          <w:sz w:val="24"/>
          <w:szCs w:val="24"/>
          <w:lang w:val="en-GB" w:eastAsia="en-US"/>
        </w:rPr>
        <w:t xml:space="preserve"> and Valdivia (2011), who underscore that targeted credit, when deployed in supportive market environments, can enhance women’s capacity to invest in household welfare. Furthermore, 86.7% of Arusha’s women transitioned from informal to formal enterprises, compared to only 13.3% in Mara. This mirrors </w:t>
      </w:r>
      <w:proofErr w:type="spellStart"/>
      <w:r w:rsidRPr="00951C25">
        <w:rPr>
          <w:rFonts w:ascii="Times New Roman" w:eastAsia="Calibri" w:hAnsi="Times New Roman" w:cs="Times New Roman"/>
          <w:kern w:val="2"/>
          <w:sz w:val="24"/>
          <w:szCs w:val="24"/>
          <w:lang w:val="en-GB" w:eastAsia="en-US"/>
        </w:rPr>
        <w:t>Demirgüç-Kunt</w:t>
      </w:r>
      <w:proofErr w:type="spellEnd"/>
      <w:r w:rsidRPr="00951C25">
        <w:rPr>
          <w:rFonts w:ascii="Times New Roman" w:eastAsia="Calibri" w:hAnsi="Times New Roman" w:cs="Times New Roman"/>
          <w:kern w:val="2"/>
          <w:sz w:val="24"/>
          <w:szCs w:val="24"/>
          <w:lang w:val="en-GB" w:eastAsia="en-US"/>
        </w:rPr>
        <w:t xml:space="preserve"> et al. (2020), who highlight the critical role of urban institutional structures and regulatory ease in facilitating enterprise formalization.</w:t>
      </w:r>
    </w:p>
    <w:p w14:paraId="5BA7A128" w14:textId="5FBEF051"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Among youth beneficiaries, Arusha also outperformed Mara in key post-loan indicators, including land or house purchases (75% vs. 25%), transport facility acquisition (80% vs. 20%), and household facility purchases (89.7% vs. 10.3%). These patterns suggest that youth in urban settings more effectively leverage financial support for asset accumulation and income diversification. This is consistent with Cho and </w:t>
      </w:r>
      <w:proofErr w:type="spellStart"/>
      <w:r w:rsidRPr="00951C25">
        <w:rPr>
          <w:rFonts w:ascii="Times New Roman" w:eastAsia="Calibri" w:hAnsi="Times New Roman" w:cs="Times New Roman"/>
          <w:kern w:val="2"/>
          <w:sz w:val="24"/>
          <w:szCs w:val="24"/>
          <w:lang w:val="en-GB" w:eastAsia="en-US"/>
        </w:rPr>
        <w:t>Honorati</w:t>
      </w:r>
      <w:proofErr w:type="spellEnd"/>
      <w:r w:rsidRPr="00951C25">
        <w:rPr>
          <w:rFonts w:ascii="Times New Roman" w:eastAsia="Calibri" w:hAnsi="Times New Roman" w:cs="Times New Roman"/>
          <w:kern w:val="2"/>
          <w:sz w:val="24"/>
          <w:szCs w:val="24"/>
          <w:lang w:val="en-GB" w:eastAsia="en-US"/>
        </w:rPr>
        <w:t xml:space="preserve"> (2014), who argue that youth-oriented financial interventions yield higher returns when delivered within well-connected economic environments. The higher rate of youth-led business expansion in Arusha (73.5% vs. 26.5%) further reinforces this, aligning with SDG 8 on promoting youth employment and entrepreneurship.</w:t>
      </w:r>
    </w:p>
    <w:p w14:paraId="1538C6C8" w14:textId="42CA9C70"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In contrast, Persons with Disabilities (PWDs) displayed a reverse pattern. While Arusha recorded a 100% success rate in formalizing PWD-led businesses, it reported zero achievements in other areas such as asset acquisition or education-related spending. Mara, conversely, reported full achievement rates among PWDs in land or house purchase, school fee payments, and household facility acquisition. This divergence reflects region-specific enablers and barriers for PWDs, consistent with Banks and Polack (2014), who emphasize the need for inclusive and locally adapted financial programs to ensure equitable access and outcomes.</w:t>
      </w:r>
    </w:p>
    <w:p w14:paraId="1CE47BA3" w14:textId="3F85776E"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The overall achievement rates further underscore these regional disparities. In Arusha, women and youth reported post-loan success rates of 71.0% and 78.1%, respectively, compared to 29.0% and 21.9% in Mara. These differences reflect the infrastructural and institutional advantages of </w:t>
      </w:r>
      <w:r w:rsidRPr="00951C25">
        <w:rPr>
          <w:rFonts w:ascii="Times New Roman" w:eastAsia="Calibri" w:hAnsi="Times New Roman" w:cs="Times New Roman"/>
          <w:kern w:val="2"/>
          <w:sz w:val="24"/>
          <w:szCs w:val="24"/>
          <w:lang w:val="en-GB" w:eastAsia="en-US"/>
        </w:rPr>
        <w:lastRenderedPageBreak/>
        <w:t>urban economies, which facilitate broader and more effective utilization of credit, as framed by the IFAD (2020) rural financial inclusion model. Notably, despite Mara’s relatively limited diversification, beneficiaries still reported substantial individual gains, particularly in agriculture and household asset accumulation.</w:t>
      </w:r>
    </w:p>
    <w:p w14:paraId="216BBEE0" w14:textId="42D64FBF" w:rsidR="00E13622" w:rsidRPr="00951C25" w:rsidRDefault="00E13622" w:rsidP="00951C25">
      <w:pPr>
        <w:adjustRightInd w:val="0"/>
        <w:spacing w:after="120" w:line="360" w:lineRule="auto"/>
        <w:jc w:val="both"/>
        <w:rPr>
          <w:rFonts w:ascii="Times New Roman" w:eastAsia="Calibri" w:hAnsi="Times New Roman" w:cs="Times New Roman"/>
          <w:kern w:val="2"/>
          <w:sz w:val="24"/>
          <w:szCs w:val="24"/>
          <w:lang w:val="en-GB" w:eastAsia="en-US"/>
        </w:rPr>
      </w:pPr>
      <w:r w:rsidRPr="00951C25">
        <w:rPr>
          <w:rFonts w:ascii="Times New Roman" w:eastAsia="Calibri" w:hAnsi="Times New Roman" w:cs="Times New Roman"/>
          <w:kern w:val="2"/>
          <w:sz w:val="24"/>
          <w:szCs w:val="24"/>
          <w:lang w:val="en-GB" w:eastAsia="en-US"/>
        </w:rPr>
        <w:t xml:space="preserve">Crucially, while credit access enabled many positive outcomes, it did not uniformly translate into success across regions and groups. This supports Bateman’s (2010) argument that microcredit alone is insufficient without accompanying non-financial support such as market facilitation, training, and mentorship. Recent studies reinforce this position: </w:t>
      </w:r>
      <w:proofErr w:type="spellStart"/>
      <w:r w:rsidRPr="00951C25">
        <w:rPr>
          <w:rFonts w:ascii="Times New Roman" w:eastAsia="Calibri" w:hAnsi="Times New Roman" w:cs="Times New Roman"/>
          <w:kern w:val="2"/>
          <w:sz w:val="24"/>
          <w:szCs w:val="24"/>
          <w:lang w:val="en-GB" w:eastAsia="en-US"/>
        </w:rPr>
        <w:t>Palanichamy</w:t>
      </w:r>
      <w:proofErr w:type="spellEnd"/>
      <w:r w:rsidRPr="00951C25">
        <w:rPr>
          <w:rFonts w:ascii="Times New Roman" w:eastAsia="Calibri" w:hAnsi="Times New Roman" w:cs="Times New Roman"/>
          <w:kern w:val="2"/>
          <w:sz w:val="24"/>
          <w:szCs w:val="24"/>
          <w:lang w:val="en-GB" w:eastAsia="en-US"/>
        </w:rPr>
        <w:t xml:space="preserve"> et al. (2024) found that banking schemes in Pondicherry improved income and sustainability among enterprise beneficiaries, while Sahu et al. (2024) showed that structured financial empowerment among tribal women in India led to not only economic gains but also enhanced social inclusion and livelihood security.</w:t>
      </w:r>
    </w:p>
    <w:p w14:paraId="182B4618" w14:textId="144AD55A" w:rsidR="00195A8B" w:rsidRDefault="00E13622" w:rsidP="00951C25">
      <w:pPr>
        <w:spacing w:after="0" w:line="360" w:lineRule="auto"/>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val="en-GB" w:eastAsia="en-US"/>
        </w:rPr>
        <w:t>Generally</w:t>
      </w:r>
      <w:r w:rsidRPr="00E13622">
        <w:rPr>
          <w:rFonts w:ascii="Times New Roman" w:eastAsia="Calibri" w:hAnsi="Times New Roman" w:cs="Times New Roman"/>
          <w:kern w:val="2"/>
          <w:sz w:val="24"/>
          <w:szCs w:val="24"/>
          <w:lang w:val="en-GB" w:eastAsia="en-US"/>
        </w:rPr>
        <w:t>, post-loan achievements in Arusha and Mara affirm the transformative potential of economic empowerment schemes in supporting women, youth, and PWDs. However, the regional disparities observed reinforce the need for context-sensitive program design. To fully unlock the developmental potential of such schemes, financial support must be paired with tailored non-financial interventions that address local economic realities and institutional gaps, thereby promoting inclusive and sustainable empowerment outcomes across Tanzania.</w:t>
      </w:r>
      <w:r w:rsidR="00195A8B" w:rsidRPr="00195A8B">
        <w:rPr>
          <w:rFonts w:ascii="Times New Roman" w:eastAsia="Calibri" w:hAnsi="Times New Roman" w:cs="Times New Roman"/>
          <w:kern w:val="2"/>
          <w:sz w:val="24"/>
          <w:szCs w:val="24"/>
          <w:lang w:eastAsia="en-US"/>
        </w:rPr>
        <w:t xml:space="preserve"> </w:t>
      </w:r>
    </w:p>
    <w:p w14:paraId="779EE196" w14:textId="33928850" w:rsidR="005C3CA7" w:rsidRPr="00195A8B" w:rsidRDefault="005C3CA7" w:rsidP="00951C25">
      <w:pPr>
        <w:spacing w:after="0" w:line="240" w:lineRule="auto"/>
        <w:jc w:val="both"/>
        <w:rPr>
          <w:rFonts w:ascii="Times New Roman" w:eastAsia="Calibri" w:hAnsi="Times New Roman" w:cs="Times New Roman"/>
          <w:kern w:val="2"/>
          <w:sz w:val="24"/>
          <w:szCs w:val="24"/>
          <w:lang w:eastAsia="en-US"/>
        </w:rPr>
      </w:pPr>
      <w:r w:rsidRPr="005C3CA7">
        <w:rPr>
          <w:rFonts w:ascii="Aptos" w:eastAsia="DengXian" w:hAnsi="Aptos" w:cs="Times New Roman"/>
          <w:noProof/>
          <w:kern w:val="2"/>
          <w:sz w:val="24"/>
          <w:szCs w:val="24"/>
          <w:lang w:eastAsia="zh-CN"/>
        </w:rPr>
        <w:drawing>
          <wp:inline distT="0" distB="0" distL="0" distR="0" wp14:anchorId="17843EE8" wp14:editId="20A19B95">
            <wp:extent cx="5943600" cy="2647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647672"/>
                    </a:xfrm>
                    <a:prstGeom prst="rect">
                      <a:avLst/>
                    </a:prstGeom>
                    <a:noFill/>
                  </pic:spPr>
                </pic:pic>
              </a:graphicData>
            </a:graphic>
          </wp:inline>
        </w:drawing>
      </w:r>
    </w:p>
    <w:p w14:paraId="48F8AFE9" w14:textId="729E1528" w:rsidR="005C3CA7" w:rsidRDefault="005C3CA7" w:rsidP="00195A8B">
      <w:pPr>
        <w:spacing w:after="0" w:line="259" w:lineRule="auto"/>
        <w:jc w:val="both"/>
        <w:rPr>
          <w:rFonts w:ascii="Times New Roman" w:eastAsia="Calibri" w:hAnsi="Times New Roman" w:cs="Times New Roman"/>
          <w:b/>
          <w:bCs/>
          <w:kern w:val="2"/>
          <w:lang w:eastAsia="en-US"/>
        </w:rPr>
      </w:pPr>
      <w:r w:rsidRPr="005C3CA7">
        <w:rPr>
          <w:rFonts w:ascii="Times New Roman" w:eastAsia="Calibri" w:hAnsi="Times New Roman" w:cs="Times New Roman"/>
          <w:b/>
          <w:bCs/>
          <w:kern w:val="2"/>
          <w:lang w:eastAsia="en-US"/>
        </w:rPr>
        <w:t xml:space="preserve">Source: </w:t>
      </w:r>
      <w:r w:rsidRPr="00951C25">
        <w:rPr>
          <w:rFonts w:ascii="Times New Roman" w:eastAsia="Calibri" w:hAnsi="Times New Roman" w:cs="Times New Roman"/>
          <w:kern w:val="2"/>
          <w:lang w:eastAsia="en-US"/>
        </w:rPr>
        <w:t>Survey field data, 2023/2024</w:t>
      </w:r>
    </w:p>
    <w:p w14:paraId="4F2CB8B2" w14:textId="22B71C4D" w:rsidR="00195A8B" w:rsidRPr="00951C25" w:rsidRDefault="005C3CA7" w:rsidP="00951C25">
      <w:pPr>
        <w:spacing w:after="0" w:line="259" w:lineRule="auto"/>
        <w:ind w:left="1008" w:hanging="1008"/>
        <w:jc w:val="both"/>
        <w:rPr>
          <w:rFonts w:ascii="Times New Roman" w:eastAsia="Calibri" w:hAnsi="Times New Roman" w:cs="Times New Roman"/>
          <w:b/>
          <w:bCs/>
          <w:kern w:val="2"/>
          <w:lang w:eastAsia="en-US"/>
        </w:rPr>
      </w:pPr>
      <w:r w:rsidRPr="00951C25">
        <w:rPr>
          <w:rFonts w:ascii="Times New Roman" w:eastAsia="Calibri" w:hAnsi="Times New Roman" w:cs="Times New Roman"/>
          <w:b/>
          <w:bCs/>
          <w:kern w:val="2"/>
          <w:lang w:eastAsia="en-US"/>
        </w:rPr>
        <w:t>Figure 4</w:t>
      </w:r>
      <w:r w:rsidR="00195A8B" w:rsidRPr="00951C25">
        <w:rPr>
          <w:rFonts w:ascii="Times New Roman" w:eastAsia="Calibri" w:hAnsi="Times New Roman" w:cs="Times New Roman"/>
          <w:b/>
          <w:bCs/>
          <w:kern w:val="2"/>
          <w:lang w:eastAsia="en-US"/>
        </w:rPr>
        <w:t xml:space="preserve">. Comparison of Post-Loan Achievements of Enterprises </w:t>
      </w:r>
      <w:r>
        <w:rPr>
          <w:rFonts w:ascii="Times New Roman" w:eastAsia="Calibri" w:hAnsi="Times New Roman" w:cs="Times New Roman"/>
          <w:b/>
          <w:bCs/>
          <w:kern w:val="2"/>
          <w:lang w:eastAsia="en-US"/>
        </w:rPr>
        <w:t>Under</w:t>
      </w:r>
      <w:r w:rsidR="00195A8B" w:rsidRPr="00951C25">
        <w:rPr>
          <w:rFonts w:ascii="Times New Roman" w:eastAsia="Calibri" w:hAnsi="Times New Roman" w:cs="Times New Roman"/>
          <w:b/>
          <w:bCs/>
          <w:kern w:val="2"/>
          <w:lang w:eastAsia="en-US"/>
        </w:rPr>
        <w:t xml:space="preserve"> Economic Empowerment Schemes between Arusha and Mara Regions</w:t>
      </w:r>
    </w:p>
    <w:p w14:paraId="1006691B" w14:textId="77777777" w:rsidR="00FC4881" w:rsidRPr="005E3855" w:rsidRDefault="00C73B31" w:rsidP="00497311">
      <w:pPr>
        <w:pStyle w:val="Heading1"/>
        <w:spacing w:before="0" w:line="480" w:lineRule="auto"/>
        <w:jc w:val="both"/>
        <w:rPr>
          <w:rFonts w:ascii="Times New Roman" w:hAnsi="Times New Roman" w:cs="Times New Roman"/>
          <w:color w:val="auto"/>
          <w:sz w:val="24"/>
          <w:szCs w:val="24"/>
          <w:lang w:val="en-GB"/>
        </w:rPr>
      </w:pPr>
      <w:r w:rsidRPr="005E3855">
        <w:rPr>
          <w:rFonts w:ascii="Times New Roman" w:hAnsi="Times New Roman" w:cs="Times New Roman"/>
          <w:color w:val="auto"/>
          <w:sz w:val="24"/>
          <w:szCs w:val="24"/>
          <w:lang w:val="en-GB"/>
        </w:rPr>
        <w:lastRenderedPageBreak/>
        <w:t>4. Conclusion</w:t>
      </w:r>
    </w:p>
    <w:p w14:paraId="0D3E8757" w14:textId="14FC8B6D" w:rsidR="00E270F6" w:rsidRPr="00E270F6" w:rsidRDefault="00E13622" w:rsidP="00951C25">
      <w:pPr>
        <w:pStyle w:val="Heading1"/>
        <w:spacing w:before="0" w:after="240" w:line="360" w:lineRule="auto"/>
        <w:jc w:val="both"/>
        <w:rPr>
          <w:rFonts w:ascii="Times New Roman" w:hAnsi="Times New Roman" w:cs="Times New Roman"/>
          <w:sz w:val="24"/>
          <w:szCs w:val="24"/>
          <w:lang w:val="en-GB"/>
        </w:rPr>
      </w:pPr>
      <w:r w:rsidRPr="00E13622">
        <w:rPr>
          <w:rFonts w:ascii="Times New Roman" w:eastAsiaTheme="minorEastAsia" w:hAnsi="Times New Roman" w:cs="Times New Roman"/>
          <w:b w:val="0"/>
          <w:bCs w:val="0"/>
          <w:color w:val="auto"/>
          <w:sz w:val="24"/>
          <w:szCs w:val="24"/>
          <w:lang w:val="en-GB"/>
        </w:rPr>
        <w:t>This study evaluated the economic performance of enterprises supported by Economic Empowerment Schemes (EES) in Tanzania, focusing on LGA loan beneficiaries in Arusha and Mara. Using indicators such as profitability, viability, business expansion, and employment generation, the study revealed distinct regional dynamics shaped by socioeconomic and sectoral contexts.</w:t>
      </w:r>
      <w:r>
        <w:rPr>
          <w:rFonts w:ascii="Times New Roman" w:eastAsiaTheme="minorEastAsia" w:hAnsi="Times New Roman" w:cs="Times New Roman"/>
          <w:b w:val="0"/>
          <w:bCs w:val="0"/>
          <w:color w:val="auto"/>
          <w:sz w:val="24"/>
          <w:szCs w:val="24"/>
          <w:lang w:val="en-GB"/>
        </w:rPr>
        <w:t xml:space="preserve"> </w:t>
      </w:r>
      <w:r w:rsidRPr="00E13622">
        <w:rPr>
          <w:rFonts w:ascii="Times New Roman" w:eastAsiaTheme="minorEastAsia" w:hAnsi="Times New Roman" w:cs="Times New Roman"/>
          <w:b w:val="0"/>
          <w:bCs w:val="0"/>
          <w:color w:val="auto"/>
          <w:sz w:val="24"/>
          <w:szCs w:val="24"/>
          <w:lang w:val="en-GB"/>
        </w:rPr>
        <w:t>Mara beneficiaries had larger households and farm sizes, with greater participation in agriculture and livestock, while Arusha exhibited higher education levels and stronger engagement in petty trade and construction. Economic outcomes varied accordingly—Arusha recorded higher revenues but lower profitability due to higher operational costs, whereas Mara achieved stronger returns and viability, particularly in agriculture and transport, as reflected in higher ROI and BCR values.</w:t>
      </w:r>
      <w:r>
        <w:rPr>
          <w:rFonts w:ascii="Times New Roman" w:eastAsiaTheme="minorEastAsia" w:hAnsi="Times New Roman" w:cs="Times New Roman"/>
          <w:b w:val="0"/>
          <w:bCs w:val="0"/>
          <w:color w:val="auto"/>
          <w:sz w:val="24"/>
          <w:szCs w:val="24"/>
          <w:lang w:val="en-GB"/>
        </w:rPr>
        <w:t xml:space="preserve"> </w:t>
      </w:r>
      <w:r w:rsidRPr="00E13622">
        <w:rPr>
          <w:rFonts w:ascii="Times New Roman" w:eastAsiaTheme="minorEastAsia" w:hAnsi="Times New Roman" w:cs="Times New Roman"/>
          <w:b w:val="0"/>
          <w:bCs w:val="0"/>
          <w:color w:val="auto"/>
          <w:sz w:val="24"/>
          <w:szCs w:val="24"/>
          <w:lang w:val="en-GB"/>
        </w:rPr>
        <w:t xml:space="preserve">Employment effects also differed: Arusha saw increased female and permanent employment, while Mara relied more on temporary </w:t>
      </w:r>
      <w:proofErr w:type="spellStart"/>
      <w:r w:rsidRPr="00E13622">
        <w:rPr>
          <w:rFonts w:ascii="Times New Roman" w:eastAsiaTheme="minorEastAsia" w:hAnsi="Times New Roman" w:cs="Times New Roman"/>
          <w:b w:val="0"/>
          <w:bCs w:val="0"/>
          <w:color w:val="auto"/>
          <w:sz w:val="24"/>
          <w:szCs w:val="24"/>
          <w:lang w:val="en-GB"/>
        </w:rPr>
        <w:t>labor</w:t>
      </w:r>
      <w:proofErr w:type="spellEnd"/>
      <w:r w:rsidRPr="00E13622">
        <w:rPr>
          <w:rFonts w:ascii="Times New Roman" w:eastAsiaTheme="minorEastAsia" w:hAnsi="Times New Roman" w:cs="Times New Roman"/>
          <w:b w:val="0"/>
          <w:bCs w:val="0"/>
          <w:color w:val="auto"/>
          <w:sz w:val="24"/>
          <w:szCs w:val="24"/>
          <w:lang w:val="en-GB"/>
        </w:rPr>
        <w:t>. Wages rose in both regions, and post-loan expansion was evident in capital growth and customer bases. However, perceived goal achievement declined, highlighting that credit alone does not guarantee success without post-loan support.</w:t>
      </w:r>
      <w:r>
        <w:rPr>
          <w:rFonts w:ascii="Times New Roman" w:eastAsiaTheme="minorEastAsia" w:hAnsi="Times New Roman" w:cs="Times New Roman"/>
          <w:b w:val="0"/>
          <w:bCs w:val="0"/>
          <w:color w:val="auto"/>
          <w:sz w:val="24"/>
          <w:szCs w:val="24"/>
          <w:lang w:val="en-GB"/>
        </w:rPr>
        <w:t xml:space="preserve"> </w:t>
      </w:r>
      <w:r w:rsidRPr="00E13622">
        <w:rPr>
          <w:rFonts w:ascii="Times New Roman" w:eastAsiaTheme="minorEastAsia" w:hAnsi="Times New Roman" w:cs="Times New Roman"/>
          <w:b w:val="0"/>
          <w:bCs w:val="0"/>
          <w:color w:val="auto"/>
          <w:sz w:val="24"/>
          <w:szCs w:val="24"/>
          <w:lang w:val="en-GB"/>
        </w:rPr>
        <w:t xml:space="preserve">Notably, women and youth in Arusha reported more formalization and asset acquisition, while Mara’s diverse gains—including among persons with disabilities—demonstrate inclusive impact. These findings align with </w:t>
      </w:r>
      <w:proofErr w:type="spellStart"/>
      <w:r w:rsidRPr="00E13622">
        <w:rPr>
          <w:rFonts w:ascii="Times New Roman" w:eastAsiaTheme="minorEastAsia" w:hAnsi="Times New Roman" w:cs="Times New Roman"/>
          <w:b w:val="0"/>
          <w:bCs w:val="0"/>
          <w:color w:val="auto"/>
          <w:sz w:val="24"/>
          <w:szCs w:val="24"/>
          <w:lang w:val="en-GB"/>
        </w:rPr>
        <w:t>Palanichamy</w:t>
      </w:r>
      <w:proofErr w:type="spellEnd"/>
      <w:r w:rsidRPr="00E13622">
        <w:rPr>
          <w:rFonts w:ascii="Times New Roman" w:eastAsiaTheme="minorEastAsia" w:hAnsi="Times New Roman" w:cs="Times New Roman"/>
          <w:b w:val="0"/>
          <w:bCs w:val="0"/>
          <w:color w:val="auto"/>
          <w:sz w:val="24"/>
          <w:szCs w:val="24"/>
          <w:lang w:val="en-GB"/>
        </w:rPr>
        <w:t xml:space="preserve"> et al. (2024) and Sahu et al. (2024), who emphasize that financial access must be coupled with institutional support to foster sustainable livelihoods.</w:t>
      </w:r>
      <w:r>
        <w:rPr>
          <w:rFonts w:ascii="Times New Roman" w:eastAsiaTheme="minorEastAsia" w:hAnsi="Times New Roman" w:cs="Times New Roman"/>
          <w:b w:val="0"/>
          <w:bCs w:val="0"/>
          <w:color w:val="auto"/>
          <w:sz w:val="24"/>
          <w:szCs w:val="24"/>
          <w:lang w:val="en-GB"/>
        </w:rPr>
        <w:t xml:space="preserve"> </w:t>
      </w:r>
      <w:r>
        <w:rPr>
          <w:rFonts w:ascii="Times New Roman" w:hAnsi="Times New Roman" w:cs="Times New Roman"/>
          <w:sz w:val="24"/>
          <w:szCs w:val="24"/>
          <w:lang w:val="en-GB"/>
        </w:rPr>
        <w:t>Generally</w:t>
      </w:r>
      <w:r w:rsidRPr="00E13622">
        <w:rPr>
          <w:rFonts w:ascii="Times New Roman" w:eastAsiaTheme="minorEastAsia" w:hAnsi="Times New Roman" w:cs="Times New Roman"/>
          <w:b w:val="0"/>
          <w:bCs w:val="0"/>
          <w:color w:val="auto"/>
          <w:sz w:val="24"/>
          <w:szCs w:val="24"/>
          <w:lang w:val="en-GB"/>
        </w:rPr>
        <w:t>, while EES have stimulated enterprise development and inclusive economic participation, their effectiveness depends on context-sensitive implementation and complementary services such as training, mentorship, and market facilitation. Tailored interventions are essential to translate financial empowerment into long-term, transformative outcomes.</w:t>
      </w:r>
    </w:p>
    <w:p w14:paraId="2830B840" w14:textId="4C6C0C47" w:rsidR="006C04E5" w:rsidRPr="006C04E5" w:rsidRDefault="005E3855" w:rsidP="006C04E5">
      <w:pPr>
        <w:autoSpaceDE w:val="0"/>
        <w:autoSpaceDN w:val="0"/>
        <w:adjustRightInd w:val="0"/>
        <w:spacing w:after="0" w:line="360" w:lineRule="auto"/>
        <w:jc w:val="both"/>
        <w:rPr>
          <w:rFonts w:ascii="Times New Roman" w:hAnsi="Times New Roman" w:cs="Times New Roman"/>
          <w:b/>
          <w:bCs/>
          <w:sz w:val="24"/>
          <w:szCs w:val="24"/>
          <w:lang w:val="en-GB"/>
        </w:rPr>
      </w:pPr>
      <w:r w:rsidRPr="006C04E5">
        <w:rPr>
          <w:rFonts w:ascii="Times New Roman" w:hAnsi="Times New Roman" w:cs="Times New Roman"/>
          <w:b/>
          <w:bCs/>
          <w:sz w:val="24"/>
          <w:szCs w:val="24"/>
          <w:lang w:val="en-GB"/>
        </w:rPr>
        <w:t>6</w:t>
      </w:r>
      <w:r w:rsidR="006C04E5" w:rsidRPr="006C04E5">
        <w:rPr>
          <w:rFonts w:ascii="Times New Roman" w:hAnsi="Times New Roman" w:cs="Times New Roman"/>
          <w:b/>
          <w:bCs/>
          <w:sz w:val="24"/>
          <w:szCs w:val="24"/>
          <w:lang w:val="en-GB"/>
        </w:rPr>
        <w:t xml:space="preserve">. </w:t>
      </w:r>
      <w:r w:rsidR="006C04E5" w:rsidRPr="006C04E5">
        <w:rPr>
          <w:rFonts w:ascii="Times New Roman" w:eastAsia="Times New Roman" w:hAnsi="Times New Roman" w:cs="Times New Roman"/>
          <w:b/>
          <w:bCs/>
          <w:sz w:val="24"/>
          <w:szCs w:val="24"/>
          <w:lang w:eastAsia="zh-CN"/>
        </w:rPr>
        <w:t>Policy Recommendations</w:t>
      </w:r>
    </w:p>
    <w:p w14:paraId="19C21388" w14:textId="77777777" w:rsidR="006C04E5" w:rsidRDefault="006C04E5" w:rsidP="006C04E5">
      <w:pPr>
        <w:pStyle w:val="NormalWeb"/>
        <w:spacing w:before="0" w:beforeAutospacing="0" w:after="0" w:afterAutospacing="0" w:line="360" w:lineRule="auto"/>
      </w:pPr>
      <w:r>
        <w:t>Based on the findings, the following actions are recommended to enhance the effectiveness of Economic Empowerment Schemes (EES) in Tanzania:</w:t>
      </w:r>
    </w:p>
    <w:p w14:paraId="4573FD9B" w14:textId="77777777" w:rsidR="006C04E5" w:rsidRDefault="006C04E5" w:rsidP="006C04E5">
      <w:pPr>
        <w:pStyle w:val="NormalWeb"/>
        <w:numPr>
          <w:ilvl w:val="0"/>
          <w:numId w:val="42"/>
        </w:numPr>
        <w:spacing w:before="0" w:beforeAutospacing="0" w:after="0" w:afterAutospacing="0" w:line="360" w:lineRule="auto"/>
        <w:jc w:val="both"/>
      </w:pPr>
      <w:r>
        <w:rPr>
          <w:rStyle w:val="Strong"/>
        </w:rPr>
        <w:t>Tailored Loan Products:</w:t>
      </w:r>
      <w:r>
        <w:t xml:space="preserve"> Adjust loan sizes to regional realities, with larger, flexible loans and financial training in Arusha and accessible, right-sized loans for </w:t>
      </w:r>
      <w:proofErr w:type="spellStart"/>
      <w:r>
        <w:t>agro</w:t>
      </w:r>
      <w:proofErr w:type="spellEnd"/>
      <w:r>
        <w:t>-enterprises in Mara.</w:t>
      </w:r>
    </w:p>
    <w:p w14:paraId="0DD4FBCD" w14:textId="77777777" w:rsidR="006C04E5" w:rsidRDefault="006C04E5" w:rsidP="006C04E5">
      <w:pPr>
        <w:pStyle w:val="NormalWeb"/>
        <w:numPr>
          <w:ilvl w:val="0"/>
          <w:numId w:val="42"/>
        </w:numPr>
        <w:spacing w:before="0" w:beforeAutospacing="0" w:line="360" w:lineRule="auto"/>
        <w:jc w:val="both"/>
      </w:pPr>
      <w:r>
        <w:rPr>
          <w:rStyle w:val="Strong"/>
        </w:rPr>
        <w:lastRenderedPageBreak/>
        <w:t>Inclusive Financing for PWDs:</w:t>
      </w:r>
      <w:r>
        <w:t xml:space="preserve"> Develop targeted lending and mentorship programs to improve credit access for Persons with Disabilities.</w:t>
      </w:r>
    </w:p>
    <w:p w14:paraId="3ECCAECE" w14:textId="77777777" w:rsidR="006C04E5" w:rsidRDefault="006C04E5" w:rsidP="006C04E5">
      <w:pPr>
        <w:pStyle w:val="NormalWeb"/>
        <w:numPr>
          <w:ilvl w:val="0"/>
          <w:numId w:val="42"/>
        </w:numPr>
        <w:spacing w:before="0" w:beforeAutospacing="0" w:line="360" w:lineRule="auto"/>
        <w:jc w:val="both"/>
      </w:pPr>
      <w:r>
        <w:rPr>
          <w:rStyle w:val="Strong"/>
        </w:rPr>
        <w:t>Market Access and Value Chains:</w:t>
      </w:r>
      <w:r>
        <w:t xml:space="preserve"> Strengthen agricultural value chains in Mara and improve market linkages in Arusha to enhance enterprise profitability.</w:t>
      </w:r>
    </w:p>
    <w:p w14:paraId="4D5AEBAD" w14:textId="77777777" w:rsidR="006C04E5" w:rsidRDefault="006C04E5" w:rsidP="006C04E5">
      <w:pPr>
        <w:pStyle w:val="NormalWeb"/>
        <w:numPr>
          <w:ilvl w:val="0"/>
          <w:numId w:val="42"/>
        </w:numPr>
        <w:spacing w:before="0" w:beforeAutospacing="0" w:line="360" w:lineRule="auto"/>
        <w:jc w:val="both"/>
      </w:pPr>
      <w:r>
        <w:rPr>
          <w:rStyle w:val="Strong"/>
        </w:rPr>
        <w:t>Capacity Building:</w:t>
      </w:r>
      <w:r>
        <w:t xml:space="preserve"> Integrate entrepreneurship and financial literacy training within EES to support sustainable enterprise growth post-loan.</w:t>
      </w:r>
    </w:p>
    <w:p w14:paraId="341039B2" w14:textId="77777777" w:rsidR="006C04E5" w:rsidRDefault="006C04E5" w:rsidP="006C04E5">
      <w:pPr>
        <w:pStyle w:val="NormalWeb"/>
        <w:numPr>
          <w:ilvl w:val="0"/>
          <w:numId w:val="42"/>
        </w:numPr>
        <w:spacing w:before="0" w:beforeAutospacing="0" w:line="360" w:lineRule="auto"/>
        <w:jc w:val="both"/>
      </w:pPr>
      <w:r>
        <w:rPr>
          <w:rStyle w:val="Strong"/>
        </w:rPr>
        <w:t>Support Formalization:</w:t>
      </w:r>
      <w:r>
        <w:t xml:space="preserve"> Simplify registration and provide incentives to encourage microenterprises to formalize, particularly in Arusha.</w:t>
      </w:r>
    </w:p>
    <w:p w14:paraId="6D822014" w14:textId="77777777" w:rsidR="006C04E5" w:rsidRDefault="006C04E5" w:rsidP="006C04E5">
      <w:pPr>
        <w:pStyle w:val="NormalWeb"/>
        <w:numPr>
          <w:ilvl w:val="0"/>
          <w:numId w:val="42"/>
        </w:numPr>
        <w:spacing w:before="0" w:beforeAutospacing="0" w:line="360" w:lineRule="auto"/>
        <w:jc w:val="both"/>
      </w:pPr>
      <w:r>
        <w:rPr>
          <w:rStyle w:val="Strong"/>
        </w:rPr>
        <w:t>Sectoral Focus:</w:t>
      </w:r>
      <w:r>
        <w:t xml:space="preserve"> Prioritize support for high-return sectors such as crop production in Mara and livestock, retail, and construction in Arusha.</w:t>
      </w:r>
    </w:p>
    <w:p w14:paraId="7BB1503C" w14:textId="333987D1" w:rsidR="006C04E5" w:rsidRPr="006C04E5" w:rsidRDefault="006C04E5" w:rsidP="006C04E5">
      <w:pPr>
        <w:pStyle w:val="NormalWeb"/>
        <w:numPr>
          <w:ilvl w:val="0"/>
          <w:numId w:val="42"/>
        </w:numPr>
        <w:spacing w:before="0" w:beforeAutospacing="0" w:line="360" w:lineRule="auto"/>
        <w:jc w:val="both"/>
      </w:pPr>
      <w:r>
        <w:rPr>
          <w:rStyle w:val="Strong"/>
        </w:rPr>
        <w:t>Monitoring and Evaluation:</w:t>
      </w:r>
      <w:r>
        <w:t xml:space="preserve"> Establish robust systems to track EES impacts on employment and livelihoods for data-driven policy refinement.</w:t>
      </w:r>
    </w:p>
    <w:p w14:paraId="5C601AE3" w14:textId="7182FC45" w:rsidR="006C04E5" w:rsidRPr="00517EFC" w:rsidRDefault="006C04E5" w:rsidP="00517EFC">
      <w:pPr>
        <w:pStyle w:val="ListParagraph"/>
        <w:numPr>
          <w:ilvl w:val="0"/>
          <w:numId w:val="43"/>
        </w:numPr>
        <w:adjustRightInd w:val="0"/>
        <w:spacing w:after="0" w:line="360" w:lineRule="auto"/>
        <w:ind w:left="360"/>
        <w:contextualSpacing w:val="0"/>
        <w:jc w:val="both"/>
        <w:outlineLvl w:val="2"/>
        <w:rPr>
          <w:rFonts w:ascii="Times New Roman" w:eastAsia="Times New Roman" w:hAnsi="Times New Roman" w:cs="Times New Roman"/>
          <w:b/>
          <w:bCs/>
          <w:sz w:val="27"/>
          <w:szCs w:val="27"/>
          <w:lang w:eastAsia="zh-CN"/>
        </w:rPr>
      </w:pPr>
      <w:r w:rsidRPr="00517EFC">
        <w:rPr>
          <w:rFonts w:ascii="Times New Roman" w:eastAsia="Times New Roman" w:hAnsi="Times New Roman" w:cs="Times New Roman"/>
          <w:b/>
          <w:bCs/>
          <w:sz w:val="27"/>
          <w:szCs w:val="27"/>
          <w:lang w:eastAsia="zh-CN"/>
        </w:rPr>
        <w:t>Areas for Further Research</w:t>
      </w:r>
    </w:p>
    <w:p w14:paraId="0D73BA01" w14:textId="77777777" w:rsidR="00517EFC" w:rsidRDefault="00517EFC" w:rsidP="00517EFC">
      <w:pPr>
        <w:pStyle w:val="NormalWeb"/>
        <w:spacing w:before="0" w:beforeAutospacing="0" w:after="0" w:afterAutospacing="0" w:line="360" w:lineRule="auto"/>
        <w:jc w:val="both"/>
      </w:pPr>
      <w:r>
        <w:t>Further research is recommended to:</w:t>
      </w:r>
    </w:p>
    <w:p w14:paraId="2BB363AC" w14:textId="77777777" w:rsidR="00517EFC" w:rsidRDefault="00517EFC" w:rsidP="00517EFC">
      <w:pPr>
        <w:pStyle w:val="NormalWeb"/>
        <w:numPr>
          <w:ilvl w:val="0"/>
          <w:numId w:val="44"/>
        </w:numPr>
        <w:spacing w:before="0" w:beforeAutospacing="0" w:after="0" w:afterAutospacing="0" w:line="360" w:lineRule="auto"/>
        <w:jc w:val="both"/>
      </w:pPr>
      <w:r>
        <w:rPr>
          <w:rStyle w:val="Strong"/>
        </w:rPr>
        <w:t>Assess Long-Term Impacts:</w:t>
      </w:r>
      <w:r>
        <w:t xml:space="preserve"> Track EES-supported enterprises over time to evaluate sustainability in profitability and employment.</w:t>
      </w:r>
    </w:p>
    <w:p w14:paraId="1C0396E0" w14:textId="77777777" w:rsidR="00517EFC" w:rsidRDefault="00517EFC" w:rsidP="00517EFC">
      <w:pPr>
        <w:pStyle w:val="NormalWeb"/>
        <w:numPr>
          <w:ilvl w:val="0"/>
          <w:numId w:val="44"/>
        </w:numPr>
        <w:spacing w:before="0" w:beforeAutospacing="0" w:after="0" w:afterAutospacing="0" w:line="360" w:lineRule="auto"/>
        <w:jc w:val="both"/>
      </w:pPr>
      <w:r>
        <w:rPr>
          <w:rStyle w:val="Strong"/>
        </w:rPr>
        <w:t>Gender Analysis:</w:t>
      </w:r>
      <w:r>
        <w:t xml:space="preserve"> Examine how EES affects women’s agency and household dynamics in rural and urban settings.</w:t>
      </w:r>
    </w:p>
    <w:p w14:paraId="50BFDD99" w14:textId="77777777" w:rsidR="00517EFC" w:rsidRDefault="00517EFC" w:rsidP="00517EFC">
      <w:pPr>
        <w:pStyle w:val="NormalWeb"/>
        <w:numPr>
          <w:ilvl w:val="0"/>
          <w:numId w:val="44"/>
        </w:numPr>
        <w:spacing w:before="0" w:beforeAutospacing="0" w:after="0" w:afterAutospacing="0" w:line="360" w:lineRule="auto"/>
        <w:jc w:val="both"/>
      </w:pPr>
      <w:r>
        <w:rPr>
          <w:rStyle w:val="Strong"/>
        </w:rPr>
        <w:t>PWD Inclusion:</w:t>
      </w:r>
      <w:r>
        <w:t xml:space="preserve"> Identify structural and cultural barriers limiting PWD participation in EES.</w:t>
      </w:r>
    </w:p>
    <w:p w14:paraId="6BA528B2" w14:textId="77777777" w:rsidR="00517EFC" w:rsidRDefault="00517EFC" w:rsidP="00517EFC">
      <w:pPr>
        <w:pStyle w:val="NormalWeb"/>
        <w:numPr>
          <w:ilvl w:val="0"/>
          <w:numId w:val="44"/>
        </w:numPr>
        <w:spacing w:before="0" w:beforeAutospacing="0" w:after="0" w:afterAutospacing="0" w:line="360" w:lineRule="auto"/>
        <w:jc w:val="both"/>
      </w:pPr>
      <w:r>
        <w:rPr>
          <w:rStyle w:val="Strong"/>
        </w:rPr>
        <w:t>Sectoral Dynamics:</w:t>
      </w:r>
      <w:r>
        <w:t xml:space="preserve"> Analyze value chains in key sectors to pinpoint productivity constraints and high-return interventions.</w:t>
      </w:r>
    </w:p>
    <w:p w14:paraId="3A172701" w14:textId="77777777" w:rsidR="00517EFC" w:rsidRDefault="00517EFC" w:rsidP="00517EFC">
      <w:pPr>
        <w:pStyle w:val="NormalWeb"/>
        <w:numPr>
          <w:ilvl w:val="0"/>
          <w:numId w:val="44"/>
        </w:numPr>
        <w:spacing w:before="0" w:beforeAutospacing="0" w:after="0" w:afterAutospacing="0" w:line="360" w:lineRule="auto"/>
        <w:jc w:val="both"/>
      </w:pPr>
      <w:r>
        <w:rPr>
          <w:rStyle w:val="Strong"/>
        </w:rPr>
        <w:t>Market Infrastructure:</w:t>
      </w:r>
      <w:r>
        <w:t xml:space="preserve"> Study the role of infrastructure and digital platforms in enhancing market access for EES beneficiaries.</w:t>
      </w:r>
    </w:p>
    <w:p w14:paraId="25403266" w14:textId="77777777" w:rsidR="00517EFC" w:rsidRDefault="00517EFC" w:rsidP="00517EFC">
      <w:pPr>
        <w:pStyle w:val="NormalWeb"/>
        <w:numPr>
          <w:ilvl w:val="0"/>
          <w:numId w:val="44"/>
        </w:numPr>
        <w:spacing w:before="0" w:beforeAutospacing="0" w:after="0" w:afterAutospacing="0" w:line="360" w:lineRule="auto"/>
        <w:jc w:val="both"/>
      </w:pPr>
      <w:r>
        <w:rPr>
          <w:rStyle w:val="Strong"/>
        </w:rPr>
        <w:t>Formalization Pathways:</w:t>
      </w:r>
      <w:r>
        <w:t xml:space="preserve"> Investigate factors influencing the shift from informal to formal businesses under EES.</w:t>
      </w:r>
    </w:p>
    <w:p w14:paraId="2ADA2F26" w14:textId="77777777" w:rsidR="00517EFC" w:rsidRDefault="00517EFC" w:rsidP="00517EFC">
      <w:pPr>
        <w:pStyle w:val="NormalWeb"/>
        <w:numPr>
          <w:ilvl w:val="0"/>
          <w:numId w:val="44"/>
        </w:numPr>
        <w:spacing w:before="0" w:beforeAutospacing="0" w:after="0" w:afterAutospacing="0" w:line="360" w:lineRule="auto"/>
        <w:jc w:val="both"/>
      </w:pPr>
      <w:r w:rsidRPr="005D19F9">
        <w:rPr>
          <w:rStyle w:val="Strong"/>
        </w:rPr>
        <w:t>Resilience to Shocks:</w:t>
      </w:r>
      <w:r w:rsidRPr="005D19F9">
        <w:t xml:space="preserve"> Explore how EES enterprises respond to climate and market</w:t>
      </w:r>
      <w:r>
        <w:t xml:space="preserve"> disruptions.</w:t>
      </w:r>
    </w:p>
    <w:p w14:paraId="3AC6DD81" w14:textId="0DB85035" w:rsidR="00414B8F" w:rsidRPr="00517EFC" w:rsidRDefault="00517EFC" w:rsidP="005D19F9">
      <w:pPr>
        <w:pStyle w:val="NormalWeb"/>
        <w:numPr>
          <w:ilvl w:val="0"/>
          <w:numId w:val="44"/>
        </w:numPr>
        <w:spacing w:before="0" w:beforeAutospacing="0" w:after="240" w:afterAutospacing="0" w:line="360" w:lineRule="auto"/>
        <w:jc w:val="both"/>
      </w:pPr>
      <w:r>
        <w:rPr>
          <w:rStyle w:val="Strong"/>
        </w:rPr>
        <w:t>Youth Entrepreneurship:</w:t>
      </w:r>
      <w:r>
        <w:t xml:space="preserve"> Analyze challenges and success factors for youth entrepreneurs to improve tailored support under EES.</w:t>
      </w:r>
    </w:p>
    <w:p w14:paraId="68514165" w14:textId="22F93540" w:rsidR="005D19F9" w:rsidRPr="005D19F9" w:rsidRDefault="005D19F9" w:rsidP="00761561">
      <w:pPr>
        <w:pStyle w:val="Heading1"/>
        <w:spacing w:before="0" w:line="480" w:lineRule="auto"/>
        <w:jc w:val="both"/>
        <w:rPr>
          <w:rFonts w:ascii="Times New Roman" w:hAnsi="Times New Roman" w:cs="Times New Roman"/>
          <w:color w:val="auto"/>
          <w:sz w:val="24"/>
          <w:szCs w:val="24"/>
        </w:rPr>
      </w:pPr>
      <w:r w:rsidRPr="005D19F9">
        <w:rPr>
          <w:rFonts w:ascii="Times New Roman" w:hAnsi="Times New Roman" w:cs="Times New Roman"/>
          <w:color w:val="auto"/>
          <w:sz w:val="24"/>
          <w:szCs w:val="24"/>
        </w:rPr>
        <w:lastRenderedPageBreak/>
        <w:t xml:space="preserve">Disclaimer (Artificial Intelligence) </w:t>
      </w:r>
    </w:p>
    <w:p w14:paraId="6A658CF7" w14:textId="77777777" w:rsidR="005D19F9" w:rsidRPr="005D19F9" w:rsidRDefault="005D19F9" w:rsidP="00761561">
      <w:pPr>
        <w:pStyle w:val="Heading1"/>
        <w:spacing w:before="0" w:line="480" w:lineRule="auto"/>
        <w:jc w:val="both"/>
        <w:rPr>
          <w:rFonts w:ascii="Times New Roman" w:hAnsi="Times New Roman" w:cs="Times New Roman"/>
          <w:b w:val="0"/>
          <w:bCs w:val="0"/>
          <w:color w:val="auto"/>
          <w:sz w:val="24"/>
          <w:szCs w:val="24"/>
        </w:rPr>
      </w:pPr>
      <w:r w:rsidRPr="005D19F9">
        <w:rPr>
          <w:rFonts w:ascii="Times New Roman" w:hAnsi="Times New Roman" w:cs="Times New Roman"/>
          <w:b w:val="0"/>
          <w:bCs w:val="0"/>
          <w:color w:val="auto"/>
          <w:sz w:val="24"/>
          <w:szCs w:val="24"/>
        </w:rPr>
        <w:t xml:space="preserve">We declare that no generative Artificial Intelligence and text to text image generators have been made during writing and editing of manuscripts. </w:t>
      </w:r>
    </w:p>
    <w:p w14:paraId="5339B9ED" w14:textId="77777777" w:rsidR="009E6C82" w:rsidRPr="00931B05" w:rsidRDefault="000509D2" w:rsidP="000509D2">
      <w:pPr>
        <w:pStyle w:val="Heading1"/>
        <w:spacing w:before="0" w:line="480" w:lineRule="auto"/>
        <w:jc w:val="both"/>
        <w:rPr>
          <w:rFonts w:ascii="Times New Roman" w:hAnsi="Times New Roman" w:cs="Times New Roman"/>
          <w:color w:val="auto"/>
          <w:sz w:val="24"/>
          <w:szCs w:val="24"/>
        </w:rPr>
      </w:pPr>
      <w:r w:rsidRPr="00931B05">
        <w:rPr>
          <w:rFonts w:ascii="Times New Roman" w:hAnsi="Times New Roman" w:cs="Times New Roman"/>
          <w:color w:val="auto"/>
          <w:sz w:val="24"/>
          <w:szCs w:val="24"/>
        </w:rPr>
        <w:t>References</w:t>
      </w:r>
    </w:p>
    <w:p w14:paraId="31955FF6" w14:textId="77777777" w:rsidR="00C42D5F" w:rsidRPr="00C42D5F" w:rsidRDefault="00C42D5F" w:rsidP="00472807">
      <w:pPr>
        <w:pStyle w:val="ListParagraph"/>
        <w:numPr>
          <w:ilvl w:val="0"/>
          <w:numId w:val="12"/>
        </w:numPr>
        <w:adjustRightInd w:val="0"/>
        <w:jc w:val="both"/>
        <w:rPr>
          <w:rFonts w:ascii="Times New Roman" w:hAnsi="Times New Roman" w:cs="Times New Roman"/>
          <w:sz w:val="24"/>
          <w:szCs w:val="24"/>
        </w:rPr>
      </w:pPr>
      <w:r w:rsidRPr="00951C25">
        <w:rPr>
          <w:rFonts w:ascii="Times New Roman" w:hAnsi="Times New Roman" w:cs="Times New Roman"/>
          <w:sz w:val="24"/>
          <w:szCs w:val="24"/>
        </w:rPr>
        <w:t xml:space="preserve">Banerjee, Abhijit, Esther </w:t>
      </w:r>
      <w:proofErr w:type="spellStart"/>
      <w:r w:rsidRPr="00951C25">
        <w:rPr>
          <w:rFonts w:ascii="Times New Roman" w:hAnsi="Times New Roman" w:cs="Times New Roman"/>
          <w:sz w:val="24"/>
          <w:szCs w:val="24"/>
        </w:rPr>
        <w:t>Duflo</w:t>
      </w:r>
      <w:proofErr w:type="spellEnd"/>
      <w:r w:rsidRPr="00951C25">
        <w:rPr>
          <w:rFonts w:ascii="Times New Roman" w:hAnsi="Times New Roman" w:cs="Times New Roman"/>
          <w:sz w:val="24"/>
          <w:szCs w:val="24"/>
        </w:rPr>
        <w:t xml:space="preserve">, Rachel </w:t>
      </w:r>
      <w:proofErr w:type="spellStart"/>
      <w:r w:rsidRPr="00951C25">
        <w:rPr>
          <w:rFonts w:ascii="Times New Roman" w:hAnsi="Times New Roman" w:cs="Times New Roman"/>
          <w:sz w:val="24"/>
          <w:szCs w:val="24"/>
        </w:rPr>
        <w:t>Glennerster</w:t>
      </w:r>
      <w:proofErr w:type="spellEnd"/>
      <w:r w:rsidRPr="00951C25">
        <w:rPr>
          <w:rFonts w:ascii="Times New Roman" w:hAnsi="Times New Roman" w:cs="Times New Roman"/>
          <w:sz w:val="24"/>
          <w:szCs w:val="24"/>
        </w:rPr>
        <w:t xml:space="preserve">, and Cynthia </w:t>
      </w:r>
      <w:proofErr w:type="spellStart"/>
      <w:r w:rsidRPr="00951C25">
        <w:rPr>
          <w:rFonts w:ascii="Times New Roman" w:hAnsi="Times New Roman" w:cs="Times New Roman"/>
          <w:sz w:val="24"/>
          <w:szCs w:val="24"/>
        </w:rPr>
        <w:t>Kinnan</w:t>
      </w:r>
      <w:proofErr w:type="spellEnd"/>
      <w:r w:rsidRPr="00951C25">
        <w:rPr>
          <w:rFonts w:ascii="Times New Roman" w:hAnsi="Times New Roman" w:cs="Times New Roman"/>
          <w:sz w:val="24"/>
          <w:szCs w:val="24"/>
        </w:rPr>
        <w:t>. "The miracle of microfinance? Evidence from a randomized evaluation." American economic journal: Applied economics 7, no. 1 (2015): 22-53.</w:t>
      </w:r>
    </w:p>
    <w:p w14:paraId="4A8F28D3"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Banks, L. M., &amp; Polack, S. (2014). The economic costs of exclusion and gains of inclusion of people with disabilities: Evidence from low and middle-income countries. </w:t>
      </w:r>
      <w:r w:rsidRPr="00472807">
        <w:rPr>
          <w:rFonts w:ascii="Times New Roman" w:eastAsia="Times New Roman" w:hAnsi="Times New Roman" w:cs="Times New Roman"/>
          <w:i/>
          <w:iCs/>
          <w:sz w:val="24"/>
          <w:szCs w:val="24"/>
          <w:lang w:eastAsia="zh-CN"/>
        </w:rPr>
        <w:t>CBM/ICED</w:t>
      </w:r>
      <w:r w:rsidRPr="00472807">
        <w:rPr>
          <w:rFonts w:ascii="Times New Roman" w:eastAsia="Times New Roman" w:hAnsi="Times New Roman" w:cs="Times New Roman"/>
          <w:sz w:val="24"/>
          <w:szCs w:val="24"/>
          <w:lang w:eastAsia="zh-CN"/>
        </w:rPr>
        <w:t>.</w:t>
      </w:r>
    </w:p>
    <w:p w14:paraId="711DF2ED"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Banks, L. M., &amp; Polack, S. (2014). The economic costs of exclusion and gains of inclusion of people with disabilities: Evidence from low and middle-income countries. CBM/ICED.</w:t>
      </w:r>
    </w:p>
    <w:p w14:paraId="24FD6ADB"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Bateman, M. (2010). Why doesn’t microfinance work? The destructive rise of local neoliberalism. Zed Books.</w:t>
      </w:r>
    </w:p>
    <w:p w14:paraId="28F917AC"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Bateman, M., &amp; Chang, H. J. (2012). Microfinance and the illusion of development: From hubris to nemesis in thirty years. </w:t>
      </w:r>
      <w:r w:rsidRPr="00472807">
        <w:rPr>
          <w:rFonts w:ascii="Times New Roman" w:eastAsia="Times New Roman" w:hAnsi="Times New Roman" w:cs="Times New Roman"/>
          <w:i/>
          <w:iCs/>
          <w:sz w:val="24"/>
          <w:szCs w:val="24"/>
          <w:lang w:eastAsia="zh-CN"/>
        </w:rPr>
        <w:t>World Economic Review, 1</w:t>
      </w:r>
      <w:r w:rsidRPr="00472807">
        <w:rPr>
          <w:rFonts w:ascii="Times New Roman" w:eastAsia="Times New Roman" w:hAnsi="Times New Roman" w:cs="Times New Roman"/>
          <w:sz w:val="24"/>
          <w:szCs w:val="24"/>
          <w:lang w:eastAsia="zh-CN"/>
        </w:rPr>
        <w:t>(1), 13–36.</w:t>
      </w:r>
    </w:p>
    <w:p w14:paraId="770DD93A"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 xml:space="preserve">Beck, T., </w:t>
      </w:r>
      <w:proofErr w:type="spellStart"/>
      <w:r w:rsidRPr="00472807">
        <w:rPr>
          <w:rFonts w:ascii="Times New Roman" w:hAnsi="Times New Roman" w:cs="Times New Roman"/>
          <w:sz w:val="24"/>
          <w:szCs w:val="24"/>
        </w:rPr>
        <w:t>Demirgüç-Kunt</w:t>
      </w:r>
      <w:proofErr w:type="spellEnd"/>
      <w:r w:rsidRPr="00472807">
        <w:rPr>
          <w:rFonts w:ascii="Times New Roman" w:hAnsi="Times New Roman" w:cs="Times New Roman"/>
          <w:sz w:val="24"/>
          <w:szCs w:val="24"/>
        </w:rPr>
        <w:t>, A., &amp; Maksimovic, V. (2008). Financing patterns around the world: Are small firms different? Journal of Financial Economics, 89(3), 467–487. https://doi.org/10.1016/j.jfineco.2007.10.005</w:t>
      </w:r>
    </w:p>
    <w:p w14:paraId="69538BAA"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 xml:space="preserve">Cho, Y., &amp; </w:t>
      </w:r>
      <w:proofErr w:type="spellStart"/>
      <w:r w:rsidRPr="00472807">
        <w:rPr>
          <w:rFonts w:ascii="Times New Roman" w:hAnsi="Times New Roman" w:cs="Times New Roman"/>
          <w:sz w:val="24"/>
          <w:szCs w:val="24"/>
        </w:rPr>
        <w:t>Honorati</w:t>
      </w:r>
      <w:proofErr w:type="spellEnd"/>
      <w:r w:rsidRPr="00472807">
        <w:rPr>
          <w:rFonts w:ascii="Times New Roman" w:hAnsi="Times New Roman" w:cs="Times New Roman"/>
          <w:sz w:val="24"/>
          <w:szCs w:val="24"/>
        </w:rPr>
        <w:t xml:space="preserve">, M. (2014). Entrepreneurship programs in developing countries: A meta regression analysis. </w:t>
      </w:r>
      <w:proofErr w:type="spellStart"/>
      <w:r w:rsidRPr="00472807">
        <w:rPr>
          <w:rFonts w:ascii="Times New Roman" w:hAnsi="Times New Roman" w:cs="Times New Roman"/>
          <w:sz w:val="24"/>
          <w:szCs w:val="24"/>
        </w:rPr>
        <w:t>Labour</w:t>
      </w:r>
      <w:proofErr w:type="spellEnd"/>
      <w:r w:rsidRPr="00472807">
        <w:rPr>
          <w:rFonts w:ascii="Times New Roman" w:hAnsi="Times New Roman" w:cs="Times New Roman"/>
          <w:sz w:val="24"/>
          <w:szCs w:val="24"/>
        </w:rPr>
        <w:t xml:space="preserve"> Economics, 28, 110–130. https://doi.org/10.1016/j.labeco.2014.03.011</w:t>
      </w:r>
    </w:p>
    <w:p w14:paraId="4521F3D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Chongela</w:t>
      </w:r>
      <w:proofErr w:type="spellEnd"/>
      <w:r w:rsidRPr="00472807">
        <w:rPr>
          <w:rFonts w:ascii="Times New Roman" w:eastAsia="Times New Roman" w:hAnsi="Times New Roman" w:cs="Times New Roman"/>
          <w:sz w:val="24"/>
          <w:szCs w:val="24"/>
          <w:lang w:eastAsia="zh-CN"/>
        </w:rPr>
        <w:t xml:space="preserve">, J. (2015). Contribution of microfinance institutions to poverty reduction in Tanzania. </w:t>
      </w:r>
      <w:r w:rsidRPr="00472807">
        <w:rPr>
          <w:rFonts w:ascii="Times New Roman" w:eastAsia="Times New Roman" w:hAnsi="Times New Roman" w:cs="Times New Roman"/>
          <w:i/>
          <w:iCs/>
          <w:sz w:val="24"/>
          <w:szCs w:val="24"/>
          <w:lang w:eastAsia="zh-CN"/>
        </w:rPr>
        <w:t>Journal of Economics and Sustainable Development, 6</w:t>
      </w:r>
      <w:r w:rsidRPr="00472807">
        <w:rPr>
          <w:rFonts w:ascii="Times New Roman" w:eastAsia="Times New Roman" w:hAnsi="Times New Roman" w:cs="Times New Roman"/>
          <w:sz w:val="24"/>
          <w:szCs w:val="24"/>
          <w:lang w:eastAsia="zh-CN"/>
        </w:rPr>
        <w:t>(14), 71–79.</w:t>
      </w:r>
    </w:p>
    <w:p w14:paraId="42954FD5"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t>Christiaensen</w:t>
      </w:r>
      <w:proofErr w:type="spellEnd"/>
      <w:r w:rsidRPr="00472807">
        <w:rPr>
          <w:rFonts w:ascii="Times New Roman" w:hAnsi="Times New Roman" w:cs="Times New Roman"/>
          <w:sz w:val="24"/>
          <w:szCs w:val="24"/>
        </w:rPr>
        <w:t>, L., &amp; Martin, W. (2018). Agriculture, structural transformation and poverty reduction: Eight new insights. World Development, 109, 413–416. https://doi.org/10.1016/j.worlddev.2018.05.027</w:t>
      </w:r>
    </w:p>
    <w:p w14:paraId="75248374"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Cooksey, B. (2011). The investment and business environment for gold exploration and mining in Tanzania. </w:t>
      </w:r>
      <w:r w:rsidRPr="00472807">
        <w:rPr>
          <w:rFonts w:ascii="Times New Roman" w:eastAsia="Times New Roman" w:hAnsi="Times New Roman" w:cs="Times New Roman"/>
          <w:i/>
          <w:iCs/>
          <w:sz w:val="24"/>
          <w:szCs w:val="24"/>
          <w:lang w:eastAsia="zh-CN"/>
        </w:rPr>
        <w:t>African Affairs, 110</w:t>
      </w:r>
      <w:r w:rsidRPr="00472807">
        <w:rPr>
          <w:rFonts w:ascii="Times New Roman" w:eastAsia="Times New Roman" w:hAnsi="Times New Roman" w:cs="Times New Roman"/>
          <w:sz w:val="24"/>
          <w:szCs w:val="24"/>
          <w:lang w:eastAsia="zh-CN"/>
        </w:rPr>
        <w:t>(439), 569–596.</w:t>
      </w:r>
    </w:p>
    <w:p w14:paraId="14D3FA9F"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t>Demirgüç-Kunt</w:t>
      </w:r>
      <w:proofErr w:type="spellEnd"/>
      <w:r w:rsidRPr="00472807">
        <w:rPr>
          <w:rFonts w:ascii="Times New Roman" w:hAnsi="Times New Roman" w:cs="Times New Roman"/>
          <w:sz w:val="24"/>
          <w:szCs w:val="24"/>
        </w:rPr>
        <w:t xml:space="preserve">, A., </w:t>
      </w:r>
      <w:proofErr w:type="spellStart"/>
      <w:r w:rsidRPr="00472807">
        <w:rPr>
          <w:rFonts w:ascii="Times New Roman" w:hAnsi="Times New Roman" w:cs="Times New Roman"/>
          <w:sz w:val="24"/>
          <w:szCs w:val="24"/>
        </w:rPr>
        <w:t>Klapper</w:t>
      </w:r>
      <w:proofErr w:type="spellEnd"/>
      <w:r w:rsidRPr="00472807">
        <w:rPr>
          <w:rFonts w:ascii="Times New Roman" w:hAnsi="Times New Roman" w:cs="Times New Roman"/>
          <w:sz w:val="24"/>
          <w:szCs w:val="24"/>
        </w:rPr>
        <w:t>, L., Singer, D., Ansar, S., &amp; Hess, J. (2020). The Global Findex Database 2017: Measuring financial inclusion and the fintech revolution. World Bank.</w:t>
      </w:r>
    </w:p>
    <w:p w14:paraId="23425472"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Dercon</w:t>
      </w:r>
      <w:proofErr w:type="spellEnd"/>
      <w:r w:rsidRPr="00472807">
        <w:rPr>
          <w:rFonts w:ascii="Times New Roman" w:eastAsia="Times New Roman" w:hAnsi="Times New Roman" w:cs="Times New Roman"/>
          <w:sz w:val="24"/>
          <w:szCs w:val="24"/>
          <w:lang w:eastAsia="zh-CN"/>
        </w:rPr>
        <w:t xml:space="preserve">, S., &amp; </w:t>
      </w:r>
      <w:proofErr w:type="spellStart"/>
      <w:r w:rsidRPr="00472807">
        <w:rPr>
          <w:rFonts w:ascii="Times New Roman" w:eastAsia="Times New Roman" w:hAnsi="Times New Roman" w:cs="Times New Roman"/>
          <w:sz w:val="24"/>
          <w:szCs w:val="24"/>
          <w:lang w:eastAsia="zh-CN"/>
        </w:rPr>
        <w:t>Gollin</w:t>
      </w:r>
      <w:proofErr w:type="spellEnd"/>
      <w:r w:rsidRPr="00472807">
        <w:rPr>
          <w:rFonts w:ascii="Times New Roman" w:eastAsia="Times New Roman" w:hAnsi="Times New Roman" w:cs="Times New Roman"/>
          <w:sz w:val="24"/>
          <w:szCs w:val="24"/>
          <w:lang w:eastAsia="zh-CN"/>
        </w:rPr>
        <w:t xml:space="preserve">, D. (2014). Agriculture in African development: A review of theories and strategies. </w:t>
      </w:r>
      <w:r w:rsidRPr="00472807">
        <w:rPr>
          <w:rFonts w:ascii="Times New Roman" w:eastAsia="Times New Roman" w:hAnsi="Times New Roman" w:cs="Times New Roman"/>
          <w:i/>
          <w:iCs/>
          <w:sz w:val="24"/>
          <w:szCs w:val="24"/>
          <w:lang w:eastAsia="zh-CN"/>
        </w:rPr>
        <w:t>Annual Review of Resource Economics, 6</w:t>
      </w:r>
      <w:r w:rsidRPr="00472807">
        <w:rPr>
          <w:rFonts w:ascii="Times New Roman" w:eastAsia="Times New Roman" w:hAnsi="Times New Roman" w:cs="Times New Roman"/>
          <w:sz w:val="24"/>
          <w:szCs w:val="24"/>
          <w:lang w:eastAsia="zh-CN"/>
        </w:rPr>
        <w:t>, 471–492.</w:t>
      </w:r>
    </w:p>
    <w:p w14:paraId="42AE531C"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951C25">
        <w:rPr>
          <w:rFonts w:ascii="Times New Roman" w:eastAsia="Times New Roman" w:hAnsi="Times New Roman" w:cs="Times New Roman"/>
          <w:sz w:val="24"/>
          <w:szCs w:val="24"/>
          <w:lang w:val="it-IT" w:eastAsia="zh-CN"/>
        </w:rPr>
        <w:t xml:space="preserve">Dinh, H. T., Palmade, V., Chandra, V., &amp; Cossar, F. (2012). </w:t>
      </w:r>
      <w:r w:rsidRPr="00472807">
        <w:rPr>
          <w:rFonts w:ascii="Times New Roman" w:eastAsia="Times New Roman" w:hAnsi="Times New Roman" w:cs="Times New Roman"/>
          <w:i/>
          <w:iCs/>
          <w:sz w:val="24"/>
          <w:szCs w:val="24"/>
          <w:lang w:eastAsia="zh-CN"/>
        </w:rPr>
        <w:t>Light manufacturing in Africa: Targeted policies to enhance private investment and create jobs</w:t>
      </w:r>
      <w:r w:rsidRPr="00472807">
        <w:rPr>
          <w:rFonts w:ascii="Times New Roman" w:eastAsia="Times New Roman" w:hAnsi="Times New Roman" w:cs="Times New Roman"/>
          <w:sz w:val="24"/>
          <w:szCs w:val="24"/>
          <w:lang w:eastAsia="zh-CN"/>
        </w:rPr>
        <w:t>. World Bank.</w:t>
      </w:r>
    </w:p>
    <w:p w14:paraId="34B72DC4"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lastRenderedPageBreak/>
        <w:t>Dorosh</w:t>
      </w:r>
      <w:proofErr w:type="spellEnd"/>
      <w:r w:rsidRPr="00472807">
        <w:rPr>
          <w:rFonts w:ascii="Times New Roman" w:hAnsi="Times New Roman" w:cs="Times New Roman"/>
          <w:sz w:val="24"/>
          <w:szCs w:val="24"/>
        </w:rPr>
        <w:t>, P., &amp; Thurlow, J. (2018). Beyond agriculture versus non-agriculture: Decomposing sectoral growth–poverty linkages in five African countries. World Development, 109, 440–451. https://doi.org/10.1016/j.worlddev.2016.08.014</w:t>
      </w:r>
    </w:p>
    <w:p w14:paraId="726394D0"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Duvendack</w:t>
      </w:r>
      <w:proofErr w:type="spellEnd"/>
      <w:r w:rsidRPr="00472807">
        <w:rPr>
          <w:rFonts w:ascii="Times New Roman" w:eastAsia="Times New Roman" w:hAnsi="Times New Roman" w:cs="Times New Roman"/>
          <w:sz w:val="24"/>
          <w:szCs w:val="24"/>
          <w:lang w:eastAsia="zh-CN"/>
        </w:rPr>
        <w:t xml:space="preserve">, M., Palmer-Jones, R., </w:t>
      </w:r>
      <w:proofErr w:type="spellStart"/>
      <w:r w:rsidRPr="00472807">
        <w:rPr>
          <w:rFonts w:ascii="Times New Roman" w:eastAsia="Times New Roman" w:hAnsi="Times New Roman" w:cs="Times New Roman"/>
          <w:sz w:val="24"/>
          <w:szCs w:val="24"/>
          <w:lang w:eastAsia="zh-CN"/>
        </w:rPr>
        <w:t>Copestake</w:t>
      </w:r>
      <w:proofErr w:type="spellEnd"/>
      <w:r w:rsidRPr="00472807">
        <w:rPr>
          <w:rFonts w:ascii="Times New Roman" w:eastAsia="Times New Roman" w:hAnsi="Times New Roman" w:cs="Times New Roman"/>
          <w:sz w:val="24"/>
          <w:szCs w:val="24"/>
          <w:lang w:eastAsia="zh-CN"/>
        </w:rPr>
        <w:t xml:space="preserve">, J., Hooper, L., Loke, Y., &amp; Rao, N. (2011). What is the evidence of the impact of microfinance on the well-being of poor people? </w:t>
      </w:r>
      <w:r w:rsidRPr="00472807">
        <w:rPr>
          <w:rFonts w:ascii="Times New Roman" w:eastAsia="Times New Roman" w:hAnsi="Times New Roman" w:cs="Times New Roman"/>
          <w:i/>
          <w:iCs/>
          <w:sz w:val="24"/>
          <w:szCs w:val="24"/>
          <w:lang w:eastAsia="zh-CN"/>
        </w:rPr>
        <w:t>EPPI-Centre, University of London</w:t>
      </w:r>
      <w:r w:rsidRPr="00472807">
        <w:rPr>
          <w:rFonts w:ascii="Times New Roman" w:eastAsia="Times New Roman" w:hAnsi="Times New Roman" w:cs="Times New Roman"/>
          <w:sz w:val="24"/>
          <w:szCs w:val="24"/>
          <w:lang w:eastAsia="zh-CN"/>
        </w:rPr>
        <w:t>.</w:t>
      </w:r>
    </w:p>
    <w:p w14:paraId="7150DCE1"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t>Duvendack</w:t>
      </w:r>
      <w:proofErr w:type="spellEnd"/>
      <w:r w:rsidRPr="00472807">
        <w:rPr>
          <w:rFonts w:ascii="Times New Roman" w:hAnsi="Times New Roman" w:cs="Times New Roman"/>
          <w:sz w:val="24"/>
          <w:szCs w:val="24"/>
        </w:rPr>
        <w:t xml:space="preserve">, M., Palmer-Jones, R., </w:t>
      </w:r>
      <w:proofErr w:type="spellStart"/>
      <w:r w:rsidRPr="00472807">
        <w:rPr>
          <w:rFonts w:ascii="Times New Roman" w:hAnsi="Times New Roman" w:cs="Times New Roman"/>
          <w:sz w:val="24"/>
          <w:szCs w:val="24"/>
        </w:rPr>
        <w:t>Copestake</w:t>
      </w:r>
      <w:proofErr w:type="spellEnd"/>
      <w:r w:rsidRPr="00472807">
        <w:rPr>
          <w:rFonts w:ascii="Times New Roman" w:hAnsi="Times New Roman" w:cs="Times New Roman"/>
          <w:sz w:val="24"/>
          <w:szCs w:val="24"/>
        </w:rPr>
        <w:t>, J., Hooper, L., Loke, Y., &amp; Rao, N. (2011). What is the evidence of the impact of microfinance on the well-being of poor people? EPPI-Centre, University of London.</w:t>
      </w:r>
    </w:p>
    <w:p w14:paraId="4636A48A"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Ellis, A., </w:t>
      </w:r>
      <w:proofErr w:type="spellStart"/>
      <w:r w:rsidRPr="00472807">
        <w:rPr>
          <w:rFonts w:ascii="Times New Roman" w:eastAsia="Times New Roman" w:hAnsi="Times New Roman" w:cs="Times New Roman"/>
          <w:sz w:val="24"/>
          <w:szCs w:val="24"/>
          <w:lang w:eastAsia="zh-CN"/>
        </w:rPr>
        <w:t>Blackden</w:t>
      </w:r>
      <w:proofErr w:type="spellEnd"/>
      <w:r w:rsidRPr="00472807">
        <w:rPr>
          <w:rFonts w:ascii="Times New Roman" w:eastAsia="Times New Roman" w:hAnsi="Times New Roman" w:cs="Times New Roman"/>
          <w:sz w:val="24"/>
          <w:szCs w:val="24"/>
          <w:lang w:eastAsia="zh-CN"/>
        </w:rPr>
        <w:t xml:space="preserve">, M., </w:t>
      </w:r>
      <w:proofErr w:type="spellStart"/>
      <w:r w:rsidRPr="00472807">
        <w:rPr>
          <w:rFonts w:ascii="Times New Roman" w:eastAsia="Times New Roman" w:hAnsi="Times New Roman" w:cs="Times New Roman"/>
          <w:sz w:val="24"/>
          <w:szCs w:val="24"/>
          <w:lang w:eastAsia="zh-CN"/>
        </w:rPr>
        <w:t>Cutura</w:t>
      </w:r>
      <w:proofErr w:type="spellEnd"/>
      <w:r w:rsidRPr="00472807">
        <w:rPr>
          <w:rFonts w:ascii="Times New Roman" w:eastAsia="Times New Roman" w:hAnsi="Times New Roman" w:cs="Times New Roman"/>
          <w:sz w:val="24"/>
          <w:szCs w:val="24"/>
          <w:lang w:eastAsia="zh-CN"/>
        </w:rPr>
        <w:t xml:space="preserve">, J., MacCulloch, F., &amp; </w:t>
      </w:r>
      <w:proofErr w:type="spellStart"/>
      <w:r w:rsidRPr="00472807">
        <w:rPr>
          <w:rFonts w:ascii="Times New Roman" w:eastAsia="Times New Roman" w:hAnsi="Times New Roman" w:cs="Times New Roman"/>
          <w:sz w:val="24"/>
          <w:szCs w:val="24"/>
          <w:lang w:eastAsia="zh-CN"/>
        </w:rPr>
        <w:t>Seebens</w:t>
      </w:r>
      <w:proofErr w:type="spellEnd"/>
      <w:r w:rsidRPr="00472807">
        <w:rPr>
          <w:rFonts w:ascii="Times New Roman" w:eastAsia="Times New Roman" w:hAnsi="Times New Roman" w:cs="Times New Roman"/>
          <w:sz w:val="24"/>
          <w:szCs w:val="24"/>
          <w:lang w:eastAsia="zh-CN"/>
        </w:rPr>
        <w:t xml:space="preserve">, H. (2007). </w:t>
      </w:r>
      <w:r w:rsidRPr="00472807">
        <w:rPr>
          <w:rFonts w:ascii="Times New Roman" w:eastAsia="Times New Roman" w:hAnsi="Times New Roman" w:cs="Times New Roman"/>
          <w:i/>
          <w:iCs/>
          <w:sz w:val="24"/>
          <w:szCs w:val="24"/>
          <w:lang w:eastAsia="zh-CN"/>
        </w:rPr>
        <w:t>Gender and economic growth in Tanzania: Creating opportunities for women</w:t>
      </w:r>
      <w:r w:rsidRPr="00472807">
        <w:rPr>
          <w:rFonts w:ascii="Times New Roman" w:eastAsia="Times New Roman" w:hAnsi="Times New Roman" w:cs="Times New Roman"/>
          <w:sz w:val="24"/>
          <w:szCs w:val="24"/>
          <w:lang w:eastAsia="zh-CN"/>
        </w:rPr>
        <w:t>. World Bank.</w:t>
      </w:r>
    </w:p>
    <w:p w14:paraId="39532544"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Ellis, F., &amp; </w:t>
      </w:r>
      <w:proofErr w:type="spellStart"/>
      <w:r w:rsidRPr="00472807">
        <w:rPr>
          <w:rFonts w:ascii="Times New Roman" w:eastAsia="Times New Roman" w:hAnsi="Times New Roman" w:cs="Times New Roman"/>
          <w:sz w:val="24"/>
          <w:szCs w:val="24"/>
          <w:lang w:eastAsia="zh-CN"/>
        </w:rPr>
        <w:t>Mdoe</w:t>
      </w:r>
      <w:proofErr w:type="spellEnd"/>
      <w:r w:rsidRPr="00472807">
        <w:rPr>
          <w:rFonts w:ascii="Times New Roman" w:eastAsia="Times New Roman" w:hAnsi="Times New Roman" w:cs="Times New Roman"/>
          <w:sz w:val="24"/>
          <w:szCs w:val="24"/>
          <w:lang w:eastAsia="zh-CN"/>
        </w:rPr>
        <w:t xml:space="preserve">, N. (2003). Livelihoods and rural poverty reduction in Tanzania. </w:t>
      </w:r>
      <w:r w:rsidRPr="00472807">
        <w:rPr>
          <w:rFonts w:ascii="Times New Roman" w:eastAsia="Times New Roman" w:hAnsi="Times New Roman" w:cs="Times New Roman"/>
          <w:i/>
          <w:iCs/>
          <w:sz w:val="24"/>
          <w:szCs w:val="24"/>
          <w:lang w:eastAsia="zh-CN"/>
        </w:rPr>
        <w:t>World Development, 31</w:t>
      </w:r>
      <w:r w:rsidRPr="00472807">
        <w:rPr>
          <w:rFonts w:ascii="Times New Roman" w:eastAsia="Times New Roman" w:hAnsi="Times New Roman" w:cs="Times New Roman"/>
          <w:sz w:val="24"/>
          <w:szCs w:val="24"/>
          <w:lang w:eastAsia="zh-CN"/>
        </w:rPr>
        <w:t>(8), 1367–1384.</w:t>
      </w:r>
    </w:p>
    <w:p w14:paraId="45C96118"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2212D3">
        <w:rPr>
          <w:rFonts w:ascii="Times New Roman" w:eastAsia="Times New Roman" w:hAnsi="Times New Roman" w:cs="Times New Roman"/>
          <w:sz w:val="24"/>
          <w:szCs w:val="24"/>
          <w:lang w:eastAsia="zh-CN"/>
        </w:rPr>
        <w:t xml:space="preserve">Endris, E., &amp; </w:t>
      </w:r>
      <w:proofErr w:type="spellStart"/>
      <w:r w:rsidRPr="002212D3">
        <w:rPr>
          <w:rFonts w:ascii="Times New Roman" w:eastAsia="Times New Roman" w:hAnsi="Times New Roman" w:cs="Times New Roman"/>
          <w:sz w:val="24"/>
          <w:szCs w:val="24"/>
          <w:lang w:eastAsia="zh-CN"/>
        </w:rPr>
        <w:t>Kassegn</w:t>
      </w:r>
      <w:proofErr w:type="spellEnd"/>
      <w:r w:rsidRPr="002212D3">
        <w:rPr>
          <w:rFonts w:ascii="Times New Roman" w:eastAsia="Times New Roman" w:hAnsi="Times New Roman" w:cs="Times New Roman"/>
          <w:sz w:val="24"/>
          <w:szCs w:val="24"/>
          <w:lang w:eastAsia="zh-CN"/>
        </w:rPr>
        <w:t>, A. (2022). The role of micro, small and medium enterprises (MSMEs) to the sustainable development of sub-Saharan Africa and its challenges: a systematic review of evidence from Ethiopia. </w:t>
      </w:r>
      <w:r w:rsidRPr="002212D3">
        <w:rPr>
          <w:rFonts w:ascii="Times New Roman" w:eastAsia="Times New Roman" w:hAnsi="Times New Roman" w:cs="Times New Roman"/>
          <w:i/>
          <w:iCs/>
          <w:sz w:val="24"/>
          <w:szCs w:val="24"/>
          <w:lang w:eastAsia="zh-CN"/>
        </w:rPr>
        <w:t>Journal of Innovation and Entrepreneurship</w:t>
      </w:r>
      <w:r w:rsidRPr="002212D3">
        <w:rPr>
          <w:rFonts w:ascii="Times New Roman" w:eastAsia="Times New Roman" w:hAnsi="Times New Roman" w:cs="Times New Roman"/>
          <w:sz w:val="24"/>
          <w:szCs w:val="24"/>
          <w:lang w:eastAsia="zh-CN"/>
        </w:rPr>
        <w:t>, </w:t>
      </w:r>
      <w:r w:rsidRPr="002212D3">
        <w:rPr>
          <w:rFonts w:ascii="Times New Roman" w:eastAsia="Times New Roman" w:hAnsi="Times New Roman" w:cs="Times New Roman"/>
          <w:i/>
          <w:iCs/>
          <w:sz w:val="24"/>
          <w:szCs w:val="24"/>
          <w:lang w:eastAsia="zh-CN"/>
        </w:rPr>
        <w:t>11</w:t>
      </w:r>
      <w:r w:rsidRPr="002212D3">
        <w:rPr>
          <w:rFonts w:ascii="Times New Roman" w:eastAsia="Times New Roman" w:hAnsi="Times New Roman" w:cs="Times New Roman"/>
          <w:sz w:val="24"/>
          <w:szCs w:val="24"/>
          <w:lang w:eastAsia="zh-CN"/>
        </w:rPr>
        <w:t>(1), 20.</w:t>
      </w:r>
    </w:p>
    <w:p w14:paraId="599EA2D2" w14:textId="77777777" w:rsidR="00C42D5F" w:rsidRPr="00472807" w:rsidRDefault="00C42D5F" w:rsidP="00D93FA0">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0E4BE9">
        <w:rPr>
          <w:rFonts w:ascii="Times New Roman" w:eastAsia="Times New Roman" w:hAnsi="Times New Roman" w:cs="Times New Roman"/>
          <w:sz w:val="24"/>
          <w:szCs w:val="24"/>
          <w:lang w:eastAsia="zh-CN"/>
        </w:rPr>
        <w:t>Engidaw</w:t>
      </w:r>
      <w:proofErr w:type="spellEnd"/>
      <w:r w:rsidRPr="000E4BE9">
        <w:rPr>
          <w:rFonts w:ascii="Times New Roman" w:eastAsia="Times New Roman" w:hAnsi="Times New Roman" w:cs="Times New Roman"/>
          <w:sz w:val="24"/>
          <w:szCs w:val="24"/>
          <w:lang w:eastAsia="zh-CN"/>
        </w:rPr>
        <w:t>, A. E. (2022). Small businesses and their challenges during COVID-19 pandemic in developing countries: In the case of Ethiopia. Journal of Innovation and Entrepreneurship, 11(1), 1-14. DOI: https://doi.org/10.1186/s13731-021-00191-3</w:t>
      </w:r>
      <w:r>
        <w:rPr>
          <w:rFonts w:ascii="Times New Roman" w:eastAsia="Times New Roman" w:hAnsi="Times New Roman" w:cs="Times New Roman"/>
          <w:sz w:val="24"/>
          <w:szCs w:val="24"/>
          <w:lang w:eastAsia="zh-CN"/>
        </w:rPr>
        <w:t>.</w:t>
      </w:r>
    </w:p>
    <w:p w14:paraId="35D9289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FAO. (2018). </w:t>
      </w:r>
      <w:r w:rsidRPr="00472807">
        <w:rPr>
          <w:rFonts w:ascii="Times New Roman" w:eastAsia="Times New Roman" w:hAnsi="Times New Roman" w:cs="Times New Roman"/>
          <w:i/>
          <w:iCs/>
          <w:sz w:val="24"/>
          <w:szCs w:val="24"/>
          <w:lang w:eastAsia="zh-CN"/>
        </w:rPr>
        <w:t>The state of food and agriculture 2018: Migration, agriculture and rural development</w:t>
      </w:r>
      <w:r w:rsidRPr="00472807">
        <w:rPr>
          <w:rFonts w:ascii="Times New Roman" w:eastAsia="Times New Roman" w:hAnsi="Times New Roman" w:cs="Times New Roman"/>
          <w:sz w:val="24"/>
          <w:szCs w:val="24"/>
          <w:lang w:eastAsia="zh-CN"/>
        </w:rPr>
        <w:t>. Food and Agriculture Organization of the United Nations.</w:t>
      </w:r>
    </w:p>
    <w:p w14:paraId="66F7A5B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Filmer, D., &amp; Fox, L. (2014). </w:t>
      </w:r>
      <w:r w:rsidRPr="00472807">
        <w:rPr>
          <w:rFonts w:ascii="Times New Roman" w:eastAsia="Times New Roman" w:hAnsi="Times New Roman" w:cs="Times New Roman"/>
          <w:i/>
          <w:iCs/>
          <w:sz w:val="24"/>
          <w:szCs w:val="24"/>
          <w:lang w:eastAsia="zh-CN"/>
        </w:rPr>
        <w:t>Youth employment in Sub-Saharan Africa</w:t>
      </w:r>
      <w:r w:rsidRPr="00472807">
        <w:rPr>
          <w:rFonts w:ascii="Times New Roman" w:eastAsia="Times New Roman" w:hAnsi="Times New Roman" w:cs="Times New Roman"/>
          <w:sz w:val="24"/>
          <w:szCs w:val="24"/>
          <w:lang w:eastAsia="zh-CN"/>
        </w:rPr>
        <w:t>. World Bank.</w:t>
      </w:r>
    </w:p>
    <w:p w14:paraId="459E1EEC"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Fox, L., &amp; Kaul, U. (2017). The evidence is in: How should youth employment programs in low-income countries be designed? </w:t>
      </w:r>
      <w:r w:rsidRPr="00472807">
        <w:rPr>
          <w:rFonts w:ascii="Times New Roman" w:eastAsia="Times New Roman" w:hAnsi="Times New Roman" w:cs="Times New Roman"/>
          <w:i/>
          <w:iCs/>
          <w:sz w:val="24"/>
          <w:szCs w:val="24"/>
          <w:lang w:eastAsia="zh-CN"/>
        </w:rPr>
        <w:t>USAID</w:t>
      </w:r>
      <w:r w:rsidRPr="00472807">
        <w:rPr>
          <w:rFonts w:ascii="Times New Roman" w:eastAsia="Times New Roman" w:hAnsi="Times New Roman" w:cs="Times New Roman"/>
          <w:sz w:val="24"/>
          <w:szCs w:val="24"/>
          <w:lang w:eastAsia="zh-CN"/>
        </w:rPr>
        <w:t>.</w:t>
      </w:r>
    </w:p>
    <w:p w14:paraId="5E1526B7"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 xml:space="preserve">Fox, L., &amp; </w:t>
      </w:r>
      <w:proofErr w:type="spellStart"/>
      <w:r w:rsidRPr="00472807">
        <w:rPr>
          <w:rFonts w:ascii="Times New Roman" w:hAnsi="Times New Roman" w:cs="Times New Roman"/>
          <w:sz w:val="24"/>
          <w:szCs w:val="24"/>
        </w:rPr>
        <w:t>Sohnesen</w:t>
      </w:r>
      <w:proofErr w:type="spellEnd"/>
      <w:r w:rsidRPr="00472807">
        <w:rPr>
          <w:rFonts w:ascii="Times New Roman" w:hAnsi="Times New Roman" w:cs="Times New Roman"/>
          <w:sz w:val="24"/>
          <w:szCs w:val="24"/>
        </w:rPr>
        <w:t>, T. P. (2016). Household enterprises and poverty reduction in Sub-Saharan Africa. Development Policy Review, 34(2), 197–221. https://doi.org/10.1111/dpr.12134</w:t>
      </w:r>
    </w:p>
    <w:p w14:paraId="6C7B124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Geza, B., </w:t>
      </w:r>
      <w:proofErr w:type="spellStart"/>
      <w:r w:rsidRPr="00472807">
        <w:rPr>
          <w:rFonts w:ascii="Times New Roman" w:eastAsia="Times New Roman" w:hAnsi="Times New Roman" w:cs="Times New Roman"/>
          <w:sz w:val="24"/>
          <w:szCs w:val="24"/>
          <w:lang w:eastAsia="zh-CN"/>
        </w:rPr>
        <w:t>Temesgen</w:t>
      </w:r>
      <w:proofErr w:type="spellEnd"/>
      <w:r w:rsidRPr="00472807">
        <w:rPr>
          <w:rFonts w:ascii="Times New Roman" w:eastAsia="Times New Roman" w:hAnsi="Times New Roman" w:cs="Times New Roman"/>
          <w:sz w:val="24"/>
          <w:szCs w:val="24"/>
          <w:lang w:eastAsia="zh-CN"/>
        </w:rPr>
        <w:t xml:space="preserve">, T., &amp; Abebe, M. (2023). The role of small and medium enterprises in economic growth in Africa: A systematic review. </w:t>
      </w:r>
      <w:r w:rsidRPr="00472807">
        <w:rPr>
          <w:rFonts w:ascii="Times New Roman" w:eastAsia="Times New Roman" w:hAnsi="Times New Roman" w:cs="Times New Roman"/>
          <w:i/>
          <w:iCs/>
          <w:sz w:val="24"/>
          <w:szCs w:val="24"/>
          <w:lang w:eastAsia="zh-CN"/>
        </w:rPr>
        <w:t>African Journal of Economic Policy, 30</w:t>
      </w:r>
      <w:r w:rsidRPr="00472807">
        <w:rPr>
          <w:rFonts w:ascii="Times New Roman" w:eastAsia="Times New Roman" w:hAnsi="Times New Roman" w:cs="Times New Roman"/>
          <w:sz w:val="24"/>
          <w:szCs w:val="24"/>
          <w:lang w:eastAsia="zh-CN"/>
        </w:rPr>
        <w:t>(2), 45–59.</w:t>
      </w:r>
    </w:p>
    <w:p w14:paraId="4879C2F4"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lang w:val="it-IT"/>
        </w:rPr>
        <w:t xml:space="preserve">Golla, A. M., Malhotra, A., Nanda, P., &amp; Mehra, R. (2011). </w:t>
      </w:r>
      <w:r w:rsidRPr="00472807">
        <w:rPr>
          <w:rFonts w:ascii="Times New Roman" w:hAnsi="Times New Roman" w:cs="Times New Roman"/>
          <w:sz w:val="24"/>
          <w:szCs w:val="24"/>
        </w:rPr>
        <w:t>Understanding and measuring women’s economic empowerment: Definition, framework, indicators. ICRW.</w:t>
      </w:r>
    </w:p>
    <w:p w14:paraId="0238E04A"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 xml:space="preserve">Grimm, M., </w:t>
      </w:r>
      <w:proofErr w:type="spellStart"/>
      <w:r w:rsidRPr="00472807">
        <w:rPr>
          <w:rFonts w:ascii="Times New Roman" w:hAnsi="Times New Roman" w:cs="Times New Roman"/>
          <w:sz w:val="24"/>
          <w:szCs w:val="24"/>
        </w:rPr>
        <w:t>Knorringa</w:t>
      </w:r>
      <w:proofErr w:type="spellEnd"/>
      <w:r w:rsidRPr="00472807">
        <w:rPr>
          <w:rFonts w:ascii="Times New Roman" w:hAnsi="Times New Roman" w:cs="Times New Roman"/>
          <w:sz w:val="24"/>
          <w:szCs w:val="24"/>
        </w:rPr>
        <w:t>, P., &amp; Lay, J. (2012). Constrained gazelles: High potentials in West Africa’s informal economy. World Development, 40(7), 1352–1368. https://doi.org/10.1016/j.worlddev.2011.12.003</w:t>
      </w:r>
    </w:p>
    <w:p w14:paraId="5B011B99"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IFAD. (2020). </w:t>
      </w:r>
      <w:r w:rsidRPr="00472807">
        <w:rPr>
          <w:rFonts w:ascii="Times New Roman" w:eastAsia="Times New Roman" w:hAnsi="Times New Roman" w:cs="Times New Roman"/>
          <w:i/>
          <w:iCs/>
          <w:sz w:val="24"/>
          <w:szCs w:val="24"/>
          <w:lang w:eastAsia="zh-CN"/>
        </w:rPr>
        <w:t>Rural development report 2020: Fostering inclusive rural transformation</w:t>
      </w:r>
      <w:r w:rsidRPr="00472807">
        <w:rPr>
          <w:rFonts w:ascii="Times New Roman" w:eastAsia="Times New Roman" w:hAnsi="Times New Roman" w:cs="Times New Roman"/>
          <w:sz w:val="24"/>
          <w:szCs w:val="24"/>
          <w:lang w:eastAsia="zh-CN"/>
        </w:rPr>
        <w:t>. International Fund for Agricultural Development.</w:t>
      </w:r>
    </w:p>
    <w:p w14:paraId="548C9693"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IFAD. (2020). Rural development report 2020: Fostering inclusive rural transformation. International Fund for Agricultural Development.</w:t>
      </w:r>
    </w:p>
    <w:p w14:paraId="307955A7"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lastRenderedPageBreak/>
        <w:t xml:space="preserve">ILO. (2017). </w:t>
      </w:r>
      <w:r w:rsidRPr="00472807">
        <w:rPr>
          <w:rFonts w:ascii="Times New Roman" w:eastAsia="Times New Roman" w:hAnsi="Times New Roman" w:cs="Times New Roman"/>
          <w:i/>
          <w:iCs/>
          <w:sz w:val="24"/>
          <w:szCs w:val="24"/>
          <w:lang w:eastAsia="zh-CN"/>
        </w:rPr>
        <w:t>World employment and social outlook: Sustainable enterprises and jobs</w:t>
      </w:r>
      <w:r w:rsidRPr="00472807">
        <w:rPr>
          <w:rFonts w:ascii="Times New Roman" w:eastAsia="Times New Roman" w:hAnsi="Times New Roman" w:cs="Times New Roman"/>
          <w:sz w:val="24"/>
          <w:szCs w:val="24"/>
          <w:lang w:eastAsia="zh-CN"/>
        </w:rPr>
        <w:t xml:space="preserve">. International </w:t>
      </w:r>
      <w:proofErr w:type="spellStart"/>
      <w:r w:rsidRPr="00472807">
        <w:rPr>
          <w:rFonts w:ascii="Times New Roman" w:eastAsia="Times New Roman" w:hAnsi="Times New Roman" w:cs="Times New Roman"/>
          <w:sz w:val="24"/>
          <w:szCs w:val="24"/>
          <w:lang w:eastAsia="zh-CN"/>
        </w:rPr>
        <w:t>Labour</w:t>
      </w:r>
      <w:proofErr w:type="spellEnd"/>
      <w:r w:rsidRPr="00472807">
        <w:rPr>
          <w:rFonts w:ascii="Times New Roman" w:eastAsia="Times New Roman" w:hAnsi="Times New Roman" w:cs="Times New Roman"/>
          <w:sz w:val="24"/>
          <w:szCs w:val="24"/>
          <w:lang w:eastAsia="zh-CN"/>
        </w:rPr>
        <w:t xml:space="preserve"> Organization.</w:t>
      </w:r>
    </w:p>
    <w:p w14:paraId="39D7AFC0"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ILO. (2019). </w:t>
      </w:r>
      <w:r w:rsidRPr="00472807">
        <w:rPr>
          <w:rFonts w:ascii="Times New Roman" w:eastAsia="Times New Roman" w:hAnsi="Times New Roman" w:cs="Times New Roman"/>
          <w:i/>
          <w:iCs/>
          <w:sz w:val="24"/>
          <w:szCs w:val="24"/>
          <w:lang w:eastAsia="zh-CN"/>
        </w:rPr>
        <w:t>Small matters: Global evidence on the contribution to employment by the self-employed, micro-enterprises and SMEs</w:t>
      </w:r>
      <w:r w:rsidRPr="00472807">
        <w:rPr>
          <w:rFonts w:ascii="Times New Roman" w:eastAsia="Times New Roman" w:hAnsi="Times New Roman" w:cs="Times New Roman"/>
          <w:sz w:val="24"/>
          <w:szCs w:val="24"/>
          <w:lang w:eastAsia="zh-CN"/>
        </w:rPr>
        <w:t xml:space="preserve">. International </w:t>
      </w:r>
      <w:proofErr w:type="spellStart"/>
      <w:r w:rsidRPr="00472807">
        <w:rPr>
          <w:rFonts w:ascii="Times New Roman" w:eastAsia="Times New Roman" w:hAnsi="Times New Roman" w:cs="Times New Roman"/>
          <w:sz w:val="24"/>
          <w:szCs w:val="24"/>
          <w:lang w:eastAsia="zh-CN"/>
        </w:rPr>
        <w:t>Labour</w:t>
      </w:r>
      <w:proofErr w:type="spellEnd"/>
      <w:r w:rsidRPr="00472807">
        <w:rPr>
          <w:rFonts w:ascii="Times New Roman" w:eastAsia="Times New Roman" w:hAnsi="Times New Roman" w:cs="Times New Roman"/>
          <w:sz w:val="24"/>
          <w:szCs w:val="24"/>
          <w:lang w:eastAsia="zh-CN"/>
        </w:rPr>
        <w:t xml:space="preserve"> Organization.</w:t>
      </w:r>
    </w:p>
    <w:p w14:paraId="227E288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ILO. (2020). </w:t>
      </w:r>
      <w:r w:rsidRPr="00472807">
        <w:rPr>
          <w:rFonts w:ascii="Times New Roman" w:eastAsia="Times New Roman" w:hAnsi="Times New Roman" w:cs="Times New Roman"/>
          <w:i/>
          <w:iCs/>
          <w:sz w:val="24"/>
          <w:szCs w:val="24"/>
          <w:lang w:eastAsia="zh-CN"/>
        </w:rPr>
        <w:t>Disability inclusive social protection: Achieving SDG 1.3</w:t>
      </w:r>
      <w:r w:rsidRPr="00472807">
        <w:rPr>
          <w:rFonts w:ascii="Times New Roman" w:eastAsia="Times New Roman" w:hAnsi="Times New Roman" w:cs="Times New Roman"/>
          <w:sz w:val="24"/>
          <w:szCs w:val="24"/>
          <w:lang w:eastAsia="zh-CN"/>
        </w:rPr>
        <w:t xml:space="preserve">. International </w:t>
      </w:r>
      <w:proofErr w:type="spellStart"/>
      <w:r w:rsidRPr="00472807">
        <w:rPr>
          <w:rFonts w:ascii="Times New Roman" w:eastAsia="Times New Roman" w:hAnsi="Times New Roman" w:cs="Times New Roman"/>
          <w:sz w:val="24"/>
          <w:szCs w:val="24"/>
          <w:lang w:eastAsia="zh-CN"/>
        </w:rPr>
        <w:t>Labour</w:t>
      </w:r>
      <w:proofErr w:type="spellEnd"/>
      <w:r w:rsidRPr="00472807">
        <w:rPr>
          <w:rFonts w:ascii="Times New Roman" w:eastAsia="Times New Roman" w:hAnsi="Times New Roman" w:cs="Times New Roman"/>
          <w:sz w:val="24"/>
          <w:szCs w:val="24"/>
          <w:lang w:eastAsia="zh-CN"/>
        </w:rPr>
        <w:t xml:space="preserve"> Organization.</w:t>
      </w:r>
    </w:p>
    <w:p w14:paraId="5CE66DD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Isaga</w:t>
      </w:r>
      <w:proofErr w:type="spellEnd"/>
      <w:r w:rsidRPr="00472807">
        <w:rPr>
          <w:rFonts w:ascii="Times New Roman" w:eastAsia="Times New Roman" w:hAnsi="Times New Roman" w:cs="Times New Roman"/>
          <w:sz w:val="24"/>
          <w:szCs w:val="24"/>
          <w:lang w:eastAsia="zh-CN"/>
        </w:rPr>
        <w:t xml:space="preserve">, N. (2018). Access to microcredit and its impact on business performance: The case of women-owned microenterprises in Tanzania. </w:t>
      </w:r>
      <w:r w:rsidRPr="00472807">
        <w:rPr>
          <w:rFonts w:ascii="Times New Roman" w:eastAsia="Times New Roman" w:hAnsi="Times New Roman" w:cs="Times New Roman"/>
          <w:i/>
          <w:iCs/>
          <w:sz w:val="24"/>
          <w:szCs w:val="24"/>
          <w:lang w:eastAsia="zh-CN"/>
        </w:rPr>
        <w:t>Journal of Entrepreneurship, Management and Innovation, 14</w:t>
      </w:r>
      <w:r w:rsidRPr="00472807">
        <w:rPr>
          <w:rFonts w:ascii="Times New Roman" w:eastAsia="Times New Roman" w:hAnsi="Times New Roman" w:cs="Times New Roman"/>
          <w:sz w:val="24"/>
          <w:szCs w:val="24"/>
          <w:lang w:eastAsia="zh-CN"/>
        </w:rPr>
        <w:t>(2), 125–148.</w:t>
      </w:r>
    </w:p>
    <w:p w14:paraId="0F115316"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Jayne, T. S., Chamberlin, J., &amp; Headey, D. D. (2016). Land pressures, the evolution of farming systems, and development strategies in Africa: A synthesis. </w:t>
      </w:r>
      <w:r w:rsidRPr="00472807">
        <w:rPr>
          <w:rFonts w:ascii="Times New Roman" w:eastAsia="Times New Roman" w:hAnsi="Times New Roman" w:cs="Times New Roman"/>
          <w:i/>
          <w:iCs/>
          <w:sz w:val="24"/>
          <w:szCs w:val="24"/>
          <w:lang w:eastAsia="zh-CN"/>
        </w:rPr>
        <w:t>Food Policy, 48</w:t>
      </w:r>
      <w:r w:rsidRPr="00472807">
        <w:rPr>
          <w:rFonts w:ascii="Times New Roman" w:eastAsia="Times New Roman" w:hAnsi="Times New Roman" w:cs="Times New Roman"/>
          <w:sz w:val="24"/>
          <w:szCs w:val="24"/>
          <w:lang w:eastAsia="zh-CN"/>
        </w:rPr>
        <w:t>, 1–17.</w:t>
      </w:r>
    </w:p>
    <w:p w14:paraId="26AD3561"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 xml:space="preserve">Jayne, T. S., Mather, D., &amp; </w:t>
      </w:r>
      <w:proofErr w:type="spellStart"/>
      <w:r w:rsidRPr="00472807">
        <w:rPr>
          <w:rFonts w:ascii="Times New Roman" w:hAnsi="Times New Roman" w:cs="Times New Roman"/>
          <w:sz w:val="24"/>
          <w:szCs w:val="24"/>
        </w:rPr>
        <w:t>Mghenyi</w:t>
      </w:r>
      <w:proofErr w:type="spellEnd"/>
      <w:r w:rsidRPr="00472807">
        <w:rPr>
          <w:rFonts w:ascii="Times New Roman" w:hAnsi="Times New Roman" w:cs="Times New Roman"/>
          <w:sz w:val="24"/>
          <w:szCs w:val="24"/>
        </w:rPr>
        <w:t>, E. (2010). Principal challenges confronting smallholder agriculture in Sub-Saharan Africa. World Development, 38(10), 1384–1398. https://doi.org/10.1016/j.worlddev.2010.06.002</w:t>
      </w:r>
    </w:p>
    <w:p w14:paraId="5DE5A187"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Kabeer, N. (1999). Resources, agency, achievements: Reflections on the measurement of women's empowerment. </w:t>
      </w:r>
      <w:r w:rsidRPr="00472807">
        <w:rPr>
          <w:rFonts w:ascii="Times New Roman" w:eastAsia="Times New Roman" w:hAnsi="Times New Roman" w:cs="Times New Roman"/>
          <w:i/>
          <w:iCs/>
          <w:sz w:val="24"/>
          <w:szCs w:val="24"/>
          <w:lang w:eastAsia="zh-CN"/>
        </w:rPr>
        <w:t>Development and Change, 30</w:t>
      </w:r>
      <w:r w:rsidRPr="00472807">
        <w:rPr>
          <w:rFonts w:ascii="Times New Roman" w:eastAsia="Times New Roman" w:hAnsi="Times New Roman" w:cs="Times New Roman"/>
          <w:sz w:val="24"/>
          <w:szCs w:val="24"/>
          <w:lang w:eastAsia="zh-CN"/>
        </w:rPr>
        <w:t>(3), 435–464.</w:t>
      </w:r>
    </w:p>
    <w:p w14:paraId="4D72A956"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t>Karlan</w:t>
      </w:r>
      <w:proofErr w:type="spellEnd"/>
      <w:r w:rsidRPr="00472807">
        <w:rPr>
          <w:rFonts w:ascii="Times New Roman" w:hAnsi="Times New Roman" w:cs="Times New Roman"/>
          <w:sz w:val="24"/>
          <w:szCs w:val="24"/>
        </w:rPr>
        <w:t>, D., &amp; Morduch, J. (2010). Access to finance. In D. Rodrik &amp; M. Rosenzweig (Eds.), Handbook of development economics (Vol. 5, pp. 4703–4784). Elsevier. https://doi.org/10.1016/B978-0-444-52944-2.00008-1</w:t>
      </w:r>
    </w:p>
    <w:p w14:paraId="42D7144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Karlan</w:t>
      </w:r>
      <w:proofErr w:type="spellEnd"/>
      <w:r w:rsidRPr="00472807">
        <w:rPr>
          <w:rFonts w:ascii="Times New Roman" w:eastAsia="Times New Roman" w:hAnsi="Times New Roman" w:cs="Times New Roman"/>
          <w:sz w:val="24"/>
          <w:szCs w:val="24"/>
          <w:lang w:eastAsia="zh-CN"/>
        </w:rPr>
        <w:t xml:space="preserve">, D., &amp; Valdivia, M. (2011). Teaching entrepreneurship: Impact of business training on microfinance clients and institutions. </w:t>
      </w:r>
      <w:r w:rsidRPr="00472807">
        <w:rPr>
          <w:rFonts w:ascii="Times New Roman" w:eastAsia="Times New Roman" w:hAnsi="Times New Roman" w:cs="Times New Roman"/>
          <w:i/>
          <w:iCs/>
          <w:sz w:val="24"/>
          <w:szCs w:val="24"/>
          <w:lang w:eastAsia="zh-CN"/>
        </w:rPr>
        <w:t>Review of Economics and Statistics, 93</w:t>
      </w:r>
      <w:r w:rsidRPr="00472807">
        <w:rPr>
          <w:rFonts w:ascii="Times New Roman" w:eastAsia="Times New Roman" w:hAnsi="Times New Roman" w:cs="Times New Roman"/>
          <w:sz w:val="24"/>
          <w:szCs w:val="24"/>
          <w:lang w:eastAsia="zh-CN"/>
        </w:rPr>
        <w:t>(2), 510–527.</w:t>
      </w:r>
    </w:p>
    <w:p w14:paraId="50326919"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proofErr w:type="spellStart"/>
      <w:r w:rsidRPr="00472807">
        <w:rPr>
          <w:rFonts w:ascii="Times New Roman" w:hAnsi="Times New Roman" w:cs="Times New Roman"/>
          <w:sz w:val="24"/>
          <w:szCs w:val="24"/>
        </w:rPr>
        <w:t>Karlan</w:t>
      </w:r>
      <w:proofErr w:type="spellEnd"/>
      <w:r w:rsidRPr="00472807">
        <w:rPr>
          <w:rFonts w:ascii="Times New Roman" w:hAnsi="Times New Roman" w:cs="Times New Roman"/>
          <w:sz w:val="24"/>
          <w:szCs w:val="24"/>
        </w:rPr>
        <w:t>, D., &amp; Valdivia, M. (2011). Teaching entrepreneurship: Impact of business training on microfinance clients and institutions. Review of Economics and Statistics, 93(2), 510–527. https://doi.org/10.1162/REST_a_00074</w:t>
      </w:r>
    </w:p>
    <w:p w14:paraId="38F6B47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Khandker</w:t>
      </w:r>
      <w:proofErr w:type="spellEnd"/>
      <w:r w:rsidRPr="00472807">
        <w:rPr>
          <w:rFonts w:ascii="Times New Roman" w:eastAsia="Times New Roman" w:hAnsi="Times New Roman" w:cs="Times New Roman"/>
          <w:sz w:val="24"/>
          <w:szCs w:val="24"/>
          <w:lang w:eastAsia="zh-CN"/>
        </w:rPr>
        <w:t xml:space="preserve">, S. R., &amp; Samad, H. A. (2014). Dynamic effects of microcredit in Bangladesh. </w:t>
      </w:r>
      <w:r w:rsidRPr="00472807">
        <w:rPr>
          <w:rFonts w:ascii="Times New Roman" w:eastAsia="Times New Roman" w:hAnsi="Times New Roman" w:cs="Times New Roman"/>
          <w:i/>
          <w:iCs/>
          <w:sz w:val="24"/>
          <w:szCs w:val="24"/>
          <w:lang w:eastAsia="zh-CN"/>
        </w:rPr>
        <w:t>World Bank Policy Research Working Paper No. 6821</w:t>
      </w:r>
      <w:r w:rsidRPr="00472807">
        <w:rPr>
          <w:rFonts w:ascii="Times New Roman" w:eastAsia="Times New Roman" w:hAnsi="Times New Roman" w:cs="Times New Roman"/>
          <w:sz w:val="24"/>
          <w:szCs w:val="24"/>
          <w:lang w:eastAsia="zh-CN"/>
        </w:rPr>
        <w:t>.</w:t>
      </w:r>
    </w:p>
    <w:p w14:paraId="6B76A8B3"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Klapper</w:t>
      </w:r>
      <w:proofErr w:type="spellEnd"/>
      <w:r w:rsidRPr="00472807">
        <w:rPr>
          <w:rFonts w:ascii="Times New Roman" w:eastAsia="Times New Roman" w:hAnsi="Times New Roman" w:cs="Times New Roman"/>
          <w:sz w:val="24"/>
          <w:szCs w:val="24"/>
          <w:lang w:eastAsia="zh-CN"/>
        </w:rPr>
        <w:t xml:space="preserve">, L., &amp; Richmond, C. (2011). Patterns of business creation, survival and growth: Evidence from Africa. </w:t>
      </w:r>
      <w:proofErr w:type="spellStart"/>
      <w:r w:rsidRPr="00472807">
        <w:rPr>
          <w:rFonts w:ascii="Times New Roman" w:eastAsia="Times New Roman" w:hAnsi="Times New Roman" w:cs="Times New Roman"/>
          <w:i/>
          <w:iCs/>
          <w:sz w:val="24"/>
          <w:szCs w:val="24"/>
          <w:lang w:eastAsia="zh-CN"/>
        </w:rPr>
        <w:t>Labour</w:t>
      </w:r>
      <w:proofErr w:type="spellEnd"/>
      <w:r w:rsidRPr="00472807">
        <w:rPr>
          <w:rFonts w:ascii="Times New Roman" w:eastAsia="Times New Roman" w:hAnsi="Times New Roman" w:cs="Times New Roman"/>
          <w:i/>
          <w:iCs/>
          <w:sz w:val="24"/>
          <w:szCs w:val="24"/>
          <w:lang w:eastAsia="zh-CN"/>
        </w:rPr>
        <w:t xml:space="preserve"> Economics, 18</w:t>
      </w:r>
      <w:r w:rsidRPr="00472807">
        <w:rPr>
          <w:rFonts w:ascii="Times New Roman" w:eastAsia="Times New Roman" w:hAnsi="Times New Roman" w:cs="Times New Roman"/>
          <w:sz w:val="24"/>
          <w:szCs w:val="24"/>
          <w:lang w:eastAsia="zh-CN"/>
        </w:rPr>
        <w:t>(S1), S32–S44.</w:t>
      </w:r>
    </w:p>
    <w:p w14:paraId="4232C8F3"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Ledgerwood</w:t>
      </w:r>
      <w:proofErr w:type="spellEnd"/>
      <w:r w:rsidRPr="00472807">
        <w:rPr>
          <w:rFonts w:ascii="Times New Roman" w:eastAsia="Times New Roman" w:hAnsi="Times New Roman" w:cs="Times New Roman"/>
          <w:sz w:val="24"/>
          <w:szCs w:val="24"/>
          <w:lang w:eastAsia="zh-CN"/>
        </w:rPr>
        <w:t xml:space="preserve">, J. (2013). </w:t>
      </w:r>
      <w:r w:rsidRPr="00472807">
        <w:rPr>
          <w:rFonts w:ascii="Times New Roman" w:eastAsia="Times New Roman" w:hAnsi="Times New Roman" w:cs="Times New Roman"/>
          <w:i/>
          <w:iCs/>
          <w:sz w:val="24"/>
          <w:szCs w:val="24"/>
          <w:lang w:eastAsia="zh-CN"/>
        </w:rPr>
        <w:t>The new microfinance handbook: A financial market system perspective</w:t>
      </w:r>
      <w:r w:rsidRPr="00472807">
        <w:rPr>
          <w:rFonts w:ascii="Times New Roman" w:eastAsia="Times New Roman" w:hAnsi="Times New Roman" w:cs="Times New Roman"/>
          <w:sz w:val="24"/>
          <w:szCs w:val="24"/>
          <w:lang w:eastAsia="zh-CN"/>
        </w:rPr>
        <w:t>. World Bank.</w:t>
      </w:r>
    </w:p>
    <w:p w14:paraId="3153D7B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Lugalla</w:t>
      </w:r>
      <w:proofErr w:type="spellEnd"/>
      <w:r w:rsidRPr="00472807">
        <w:rPr>
          <w:rFonts w:ascii="Times New Roman" w:eastAsia="Times New Roman" w:hAnsi="Times New Roman" w:cs="Times New Roman"/>
          <w:sz w:val="24"/>
          <w:szCs w:val="24"/>
          <w:lang w:eastAsia="zh-CN"/>
        </w:rPr>
        <w:t xml:space="preserve">, J. L. (1995). Crisis, urbanization, and urban poverty in Tanzania: A study of urban poverty and survival politics. </w:t>
      </w:r>
      <w:r w:rsidRPr="00472807">
        <w:rPr>
          <w:rFonts w:ascii="Times New Roman" w:eastAsia="Times New Roman" w:hAnsi="Times New Roman" w:cs="Times New Roman"/>
          <w:i/>
          <w:iCs/>
          <w:sz w:val="24"/>
          <w:szCs w:val="24"/>
          <w:lang w:eastAsia="zh-CN"/>
        </w:rPr>
        <w:t>University Press of America</w:t>
      </w:r>
      <w:r w:rsidRPr="00472807">
        <w:rPr>
          <w:rFonts w:ascii="Times New Roman" w:eastAsia="Times New Roman" w:hAnsi="Times New Roman" w:cs="Times New Roman"/>
          <w:sz w:val="24"/>
          <w:szCs w:val="24"/>
          <w:lang w:eastAsia="zh-CN"/>
        </w:rPr>
        <w:t>.</w:t>
      </w:r>
    </w:p>
    <w:p w14:paraId="78882FBE"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Makombe</w:t>
      </w:r>
      <w:proofErr w:type="spellEnd"/>
      <w:r w:rsidRPr="00472807">
        <w:rPr>
          <w:rFonts w:ascii="Times New Roman" w:eastAsia="Times New Roman" w:hAnsi="Times New Roman" w:cs="Times New Roman"/>
          <w:sz w:val="24"/>
          <w:szCs w:val="24"/>
          <w:lang w:eastAsia="zh-CN"/>
        </w:rPr>
        <w:t xml:space="preserve">, I. A., Temba, E. I., &amp; </w:t>
      </w:r>
      <w:proofErr w:type="spellStart"/>
      <w:r w:rsidRPr="00472807">
        <w:rPr>
          <w:rFonts w:ascii="Times New Roman" w:eastAsia="Times New Roman" w:hAnsi="Times New Roman" w:cs="Times New Roman"/>
          <w:sz w:val="24"/>
          <w:szCs w:val="24"/>
          <w:lang w:eastAsia="zh-CN"/>
        </w:rPr>
        <w:t>Kihombo</w:t>
      </w:r>
      <w:proofErr w:type="spellEnd"/>
      <w:r w:rsidRPr="00472807">
        <w:rPr>
          <w:rFonts w:ascii="Times New Roman" w:eastAsia="Times New Roman" w:hAnsi="Times New Roman" w:cs="Times New Roman"/>
          <w:sz w:val="24"/>
          <w:szCs w:val="24"/>
          <w:lang w:eastAsia="zh-CN"/>
        </w:rPr>
        <w:t xml:space="preserve">, A. R. (1999). Credit schemes and women’s empowerment for poverty alleviation: The case of Tanga Region, Tanzania. </w:t>
      </w:r>
      <w:r w:rsidRPr="00472807">
        <w:rPr>
          <w:rFonts w:ascii="Times New Roman" w:eastAsia="Times New Roman" w:hAnsi="Times New Roman" w:cs="Times New Roman"/>
          <w:i/>
          <w:iCs/>
          <w:sz w:val="24"/>
          <w:szCs w:val="24"/>
          <w:lang w:eastAsia="zh-CN"/>
        </w:rPr>
        <w:t>Research on Poverty Alleviation (REPOA), Research Report No. 99.1</w:t>
      </w:r>
      <w:r w:rsidRPr="00472807">
        <w:rPr>
          <w:rFonts w:ascii="Times New Roman" w:eastAsia="Times New Roman" w:hAnsi="Times New Roman" w:cs="Times New Roman"/>
          <w:sz w:val="24"/>
          <w:szCs w:val="24"/>
          <w:lang w:eastAsia="zh-CN"/>
        </w:rPr>
        <w:t>.</w:t>
      </w:r>
    </w:p>
    <w:p w14:paraId="1B9C942C" w14:textId="77777777" w:rsidR="00C42D5F" w:rsidRDefault="00C42D5F" w:rsidP="00D93FA0">
      <w:pPr>
        <w:pStyle w:val="ListParagraph"/>
        <w:numPr>
          <w:ilvl w:val="0"/>
          <w:numId w:val="12"/>
        </w:numPr>
        <w:spacing w:after="0"/>
        <w:jc w:val="both"/>
        <w:rPr>
          <w:rFonts w:ascii="Times New Roman" w:eastAsia="Times New Roman" w:hAnsi="Times New Roman" w:cs="Times New Roman"/>
          <w:sz w:val="24"/>
          <w:szCs w:val="24"/>
          <w:lang w:eastAsia="zh-CN"/>
        </w:rPr>
      </w:pPr>
      <w:r w:rsidRPr="00951C25">
        <w:rPr>
          <w:rFonts w:ascii="Times New Roman" w:eastAsia="Times New Roman" w:hAnsi="Times New Roman" w:cs="Times New Roman"/>
          <w:sz w:val="24"/>
          <w:szCs w:val="24"/>
          <w:lang w:val="it-IT" w:eastAsia="zh-CN"/>
        </w:rPr>
        <w:t xml:space="preserve">Mamaro, L. P., &amp; Sibindi, A. B. (2022). </w:t>
      </w:r>
      <w:r w:rsidRPr="000E4BE9">
        <w:rPr>
          <w:rFonts w:ascii="Times New Roman" w:eastAsia="Times New Roman" w:hAnsi="Times New Roman" w:cs="Times New Roman"/>
          <w:sz w:val="24"/>
          <w:szCs w:val="24"/>
          <w:lang w:eastAsia="zh-CN"/>
        </w:rPr>
        <w:t xml:space="preserve">Entrepreneurial Financing in Africa during the COVID-19 Pandemic. Journal of Risk and Financial Management, 15(11), 511. </w:t>
      </w:r>
      <w:hyperlink r:id="rId12" w:history="1">
        <w:r w:rsidRPr="00BB7219">
          <w:rPr>
            <w:rStyle w:val="Hyperlink"/>
            <w:rFonts w:ascii="Times New Roman" w:eastAsia="Times New Roman" w:hAnsi="Times New Roman" w:cs="Times New Roman"/>
            <w:sz w:val="24"/>
            <w:szCs w:val="24"/>
            <w:lang w:eastAsia="zh-CN"/>
          </w:rPr>
          <w:t>https://doi.org/10.3390/jrfm15110511</w:t>
        </w:r>
      </w:hyperlink>
    </w:p>
    <w:p w14:paraId="60ED111B"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lastRenderedPageBreak/>
        <w:t>Martey</w:t>
      </w:r>
      <w:proofErr w:type="spellEnd"/>
      <w:r w:rsidRPr="00472807">
        <w:rPr>
          <w:rFonts w:ascii="Times New Roman" w:eastAsia="Times New Roman" w:hAnsi="Times New Roman" w:cs="Times New Roman"/>
          <w:sz w:val="24"/>
          <w:szCs w:val="24"/>
          <w:lang w:eastAsia="zh-CN"/>
        </w:rPr>
        <w:t xml:space="preserve">, E., Al-Hassan, R. M., &amp; </w:t>
      </w:r>
      <w:proofErr w:type="spellStart"/>
      <w:r w:rsidRPr="00472807">
        <w:rPr>
          <w:rFonts w:ascii="Times New Roman" w:eastAsia="Times New Roman" w:hAnsi="Times New Roman" w:cs="Times New Roman"/>
          <w:sz w:val="24"/>
          <w:szCs w:val="24"/>
          <w:lang w:eastAsia="zh-CN"/>
        </w:rPr>
        <w:t>Kuwornu</w:t>
      </w:r>
      <w:proofErr w:type="spellEnd"/>
      <w:r w:rsidRPr="00472807">
        <w:rPr>
          <w:rFonts w:ascii="Times New Roman" w:eastAsia="Times New Roman" w:hAnsi="Times New Roman" w:cs="Times New Roman"/>
          <w:sz w:val="24"/>
          <w:szCs w:val="24"/>
          <w:lang w:eastAsia="zh-CN"/>
        </w:rPr>
        <w:t xml:space="preserve">, J. K. M. (2012). Commercialization of smallholder agriculture in Ghana: A Tobit regression analysis. </w:t>
      </w:r>
      <w:r w:rsidRPr="00472807">
        <w:rPr>
          <w:rFonts w:ascii="Times New Roman" w:eastAsia="Times New Roman" w:hAnsi="Times New Roman" w:cs="Times New Roman"/>
          <w:i/>
          <w:iCs/>
          <w:sz w:val="24"/>
          <w:szCs w:val="24"/>
          <w:lang w:eastAsia="zh-CN"/>
        </w:rPr>
        <w:t>African Journal of Agricultural Research, 7</w:t>
      </w:r>
      <w:r w:rsidRPr="00472807">
        <w:rPr>
          <w:rFonts w:ascii="Times New Roman" w:eastAsia="Times New Roman" w:hAnsi="Times New Roman" w:cs="Times New Roman"/>
          <w:sz w:val="24"/>
          <w:szCs w:val="24"/>
          <w:lang w:eastAsia="zh-CN"/>
        </w:rPr>
        <w:t>(14), 2131–2141.</w:t>
      </w:r>
    </w:p>
    <w:p w14:paraId="01B630B3"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Mazur, R. E., </w:t>
      </w:r>
      <w:proofErr w:type="spellStart"/>
      <w:r w:rsidRPr="00472807">
        <w:rPr>
          <w:rFonts w:ascii="Times New Roman" w:eastAsia="Times New Roman" w:hAnsi="Times New Roman" w:cs="Times New Roman"/>
          <w:sz w:val="24"/>
          <w:szCs w:val="24"/>
          <w:lang w:eastAsia="zh-CN"/>
        </w:rPr>
        <w:t>Stakman</w:t>
      </w:r>
      <w:proofErr w:type="spellEnd"/>
      <w:r w:rsidRPr="00472807">
        <w:rPr>
          <w:rFonts w:ascii="Times New Roman" w:eastAsia="Times New Roman" w:hAnsi="Times New Roman" w:cs="Times New Roman"/>
          <w:sz w:val="24"/>
          <w:szCs w:val="24"/>
          <w:lang w:eastAsia="zh-CN"/>
        </w:rPr>
        <w:t xml:space="preserve">, R., &amp; Snapp, S. (2018). Youth, agriculture and development in Africa: Challenges and opportunities. </w:t>
      </w:r>
      <w:r w:rsidRPr="00472807">
        <w:rPr>
          <w:rFonts w:ascii="Times New Roman" w:eastAsia="Times New Roman" w:hAnsi="Times New Roman" w:cs="Times New Roman"/>
          <w:i/>
          <w:iCs/>
          <w:sz w:val="24"/>
          <w:szCs w:val="24"/>
          <w:lang w:eastAsia="zh-CN"/>
        </w:rPr>
        <w:t>Journal of Sustainable Development in Africa, 20</w:t>
      </w:r>
      <w:r w:rsidRPr="00472807">
        <w:rPr>
          <w:rFonts w:ascii="Times New Roman" w:eastAsia="Times New Roman" w:hAnsi="Times New Roman" w:cs="Times New Roman"/>
          <w:sz w:val="24"/>
          <w:szCs w:val="24"/>
          <w:lang w:eastAsia="zh-CN"/>
        </w:rPr>
        <w:t>(2), 1–15.</w:t>
      </w:r>
    </w:p>
    <w:p w14:paraId="4576E81E"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McPherson, M. A. (1996). Growth of micro and small enterprises in Southern Africa. </w:t>
      </w:r>
      <w:r w:rsidRPr="00472807">
        <w:rPr>
          <w:rFonts w:ascii="Times New Roman" w:eastAsia="Times New Roman" w:hAnsi="Times New Roman" w:cs="Times New Roman"/>
          <w:i/>
          <w:iCs/>
          <w:sz w:val="24"/>
          <w:szCs w:val="24"/>
          <w:lang w:eastAsia="zh-CN"/>
        </w:rPr>
        <w:t>Journal of Development Economics, 48</w:t>
      </w:r>
      <w:r w:rsidRPr="00472807">
        <w:rPr>
          <w:rFonts w:ascii="Times New Roman" w:eastAsia="Times New Roman" w:hAnsi="Times New Roman" w:cs="Times New Roman"/>
          <w:sz w:val="24"/>
          <w:szCs w:val="24"/>
          <w:lang w:eastAsia="zh-CN"/>
        </w:rPr>
        <w:t>(2), 253–277.</w:t>
      </w:r>
    </w:p>
    <w:p w14:paraId="7DB39D5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Mead, D. C., &amp; </w:t>
      </w:r>
      <w:proofErr w:type="spellStart"/>
      <w:r w:rsidRPr="00472807">
        <w:rPr>
          <w:rFonts w:ascii="Times New Roman" w:eastAsia="Times New Roman" w:hAnsi="Times New Roman" w:cs="Times New Roman"/>
          <w:sz w:val="24"/>
          <w:szCs w:val="24"/>
          <w:lang w:eastAsia="zh-CN"/>
        </w:rPr>
        <w:t>Liedholm</w:t>
      </w:r>
      <w:proofErr w:type="spellEnd"/>
      <w:r w:rsidRPr="00472807">
        <w:rPr>
          <w:rFonts w:ascii="Times New Roman" w:eastAsia="Times New Roman" w:hAnsi="Times New Roman" w:cs="Times New Roman"/>
          <w:sz w:val="24"/>
          <w:szCs w:val="24"/>
          <w:lang w:eastAsia="zh-CN"/>
        </w:rPr>
        <w:t xml:space="preserve">, C. (1998). The dynamics of micro and small enterprises in developing countries. </w:t>
      </w:r>
      <w:r w:rsidRPr="00472807">
        <w:rPr>
          <w:rFonts w:ascii="Times New Roman" w:eastAsia="Times New Roman" w:hAnsi="Times New Roman" w:cs="Times New Roman"/>
          <w:i/>
          <w:iCs/>
          <w:sz w:val="24"/>
          <w:szCs w:val="24"/>
          <w:lang w:eastAsia="zh-CN"/>
        </w:rPr>
        <w:t>World Development, 26</w:t>
      </w:r>
      <w:r w:rsidRPr="00472807">
        <w:rPr>
          <w:rFonts w:ascii="Times New Roman" w:eastAsia="Times New Roman" w:hAnsi="Times New Roman" w:cs="Times New Roman"/>
          <w:sz w:val="24"/>
          <w:szCs w:val="24"/>
          <w:lang w:eastAsia="zh-CN"/>
        </w:rPr>
        <w:t>(1), 61–74.</w:t>
      </w:r>
    </w:p>
    <w:p w14:paraId="6EA90127"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Msuya</w:t>
      </w:r>
      <w:proofErr w:type="spellEnd"/>
      <w:r w:rsidRPr="00472807">
        <w:rPr>
          <w:rFonts w:ascii="Times New Roman" w:eastAsia="Times New Roman" w:hAnsi="Times New Roman" w:cs="Times New Roman"/>
          <w:sz w:val="24"/>
          <w:szCs w:val="24"/>
          <w:lang w:eastAsia="zh-CN"/>
        </w:rPr>
        <w:t xml:space="preserve">, E., Hisano, S., &amp; </w:t>
      </w:r>
      <w:proofErr w:type="spellStart"/>
      <w:r w:rsidRPr="00472807">
        <w:rPr>
          <w:rFonts w:ascii="Times New Roman" w:eastAsia="Times New Roman" w:hAnsi="Times New Roman" w:cs="Times New Roman"/>
          <w:sz w:val="24"/>
          <w:szCs w:val="24"/>
          <w:lang w:eastAsia="zh-CN"/>
        </w:rPr>
        <w:t>Nariu</w:t>
      </w:r>
      <w:proofErr w:type="spellEnd"/>
      <w:r w:rsidRPr="00472807">
        <w:rPr>
          <w:rFonts w:ascii="Times New Roman" w:eastAsia="Times New Roman" w:hAnsi="Times New Roman" w:cs="Times New Roman"/>
          <w:sz w:val="24"/>
          <w:szCs w:val="24"/>
          <w:lang w:eastAsia="zh-CN"/>
        </w:rPr>
        <w:t xml:space="preserve">, T. (2017). Explaining productivity variation among smallholder maize farmers in Tanzania. </w:t>
      </w:r>
      <w:r w:rsidRPr="00472807">
        <w:rPr>
          <w:rFonts w:ascii="Times New Roman" w:eastAsia="Times New Roman" w:hAnsi="Times New Roman" w:cs="Times New Roman"/>
          <w:i/>
          <w:iCs/>
          <w:sz w:val="24"/>
          <w:szCs w:val="24"/>
          <w:lang w:eastAsia="zh-CN"/>
        </w:rPr>
        <w:t>Journal of Agricultural Economics and Development, 5</w:t>
      </w:r>
      <w:r w:rsidRPr="00472807">
        <w:rPr>
          <w:rFonts w:ascii="Times New Roman" w:eastAsia="Times New Roman" w:hAnsi="Times New Roman" w:cs="Times New Roman"/>
          <w:sz w:val="24"/>
          <w:szCs w:val="24"/>
          <w:lang w:eastAsia="zh-CN"/>
        </w:rPr>
        <w:t>(4), 041–056.</w:t>
      </w:r>
    </w:p>
    <w:p w14:paraId="649E257C"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Njuki</w:t>
      </w:r>
      <w:proofErr w:type="spellEnd"/>
      <w:r w:rsidRPr="00472807">
        <w:rPr>
          <w:rFonts w:ascii="Times New Roman" w:eastAsia="Times New Roman" w:hAnsi="Times New Roman" w:cs="Times New Roman"/>
          <w:sz w:val="24"/>
          <w:szCs w:val="24"/>
          <w:lang w:eastAsia="zh-CN"/>
        </w:rPr>
        <w:t xml:space="preserve">, J., Poole, J., Johnson, N., </w:t>
      </w:r>
      <w:proofErr w:type="spellStart"/>
      <w:r w:rsidRPr="00472807">
        <w:rPr>
          <w:rFonts w:ascii="Times New Roman" w:eastAsia="Times New Roman" w:hAnsi="Times New Roman" w:cs="Times New Roman"/>
          <w:sz w:val="24"/>
          <w:szCs w:val="24"/>
          <w:lang w:eastAsia="zh-CN"/>
        </w:rPr>
        <w:t>Baltenweck</w:t>
      </w:r>
      <w:proofErr w:type="spellEnd"/>
      <w:r w:rsidRPr="00472807">
        <w:rPr>
          <w:rFonts w:ascii="Times New Roman" w:eastAsia="Times New Roman" w:hAnsi="Times New Roman" w:cs="Times New Roman"/>
          <w:sz w:val="24"/>
          <w:szCs w:val="24"/>
          <w:lang w:eastAsia="zh-CN"/>
        </w:rPr>
        <w:t xml:space="preserve">, I., Pali, P., Lokman, Z., &amp; Mburu, S. (2011). Gender, livestock and livelihood indicators. </w:t>
      </w:r>
      <w:r w:rsidRPr="00472807">
        <w:rPr>
          <w:rFonts w:ascii="Times New Roman" w:eastAsia="Times New Roman" w:hAnsi="Times New Roman" w:cs="Times New Roman"/>
          <w:i/>
          <w:iCs/>
          <w:sz w:val="24"/>
          <w:szCs w:val="24"/>
          <w:lang w:eastAsia="zh-CN"/>
        </w:rPr>
        <w:t>International Livestock Research Institute (ILRI)</w:t>
      </w:r>
      <w:r w:rsidRPr="00472807">
        <w:rPr>
          <w:rFonts w:ascii="Times New Roman" w:eastAsia="Times New Roman" w:hAnsi="Times New Roman" w:cs="Times New Roman"/>
          <w:sz w:val="24"/>
          <w:szCs w:val="24"/>
          <w:lang w:eastAsia="zh-CN"/>
        </w:rPr>
        <w:t>.</w:t>
      </w:r>
    </w:p>
    <w:p w14:paraId="2210EAA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Okolie</w:t>
      </w:r>
      <w:proofErr w:type="spellEnd"/>
      <w:r w:rsidRPr="00472807">
        <w:rPr>
          <w:rFonts w:ascii="Times New Roman" w:eastAsia="Times New Roman" w:hAnsi="Times New Roman" w:cs="Times New Roman"/>
          <w:sz w:val="24"/>
          <w:szCs w:val="24"/>
          <w:lang w:eastAsia="zh-CN"/>
        </w:rPr>
        <w:t xml:space="preserve">, C. C., </w:t>
      </w:r>
      <w:proofErr w:type="spellStart"/>
      <w:r w:rsidRPr="00472807">
        <w:rPr>
          <w:rFonts w:ascii="Times New Roman" w:eastAsia="Times New Roman" w:hAnsi="Times New Roman" w:cs="Times New Roman"/>
          <w:sz w:val="24"/>
          <w:szCs w:val="24"/>
          <w:lang w:eastAsia="zh-CN"/>
        </w:rPr>
        <w:t>Ifeanyichukwu</w:t>
      </w:r>
      <w:proofErr w:type="spellEnd"/>
      <w:r w:rsidRPr="00472807">
        <w:rPr>
          <w:rFonts w:ascii="Times New Roman" w:eastAsia="Times New Roman" w:hAnsi="Times New Roman" w:cs="Times New Roman"/>
          <w:sz w:val="24"/>
          <w:szCs w:val="24"/>
          <w:lang w:eastAsia="zh-CN"/>
        </w:rPr>
        <w:t xml:space="preserve">, C., &amp; Obi, C. (2022). Climate change and youth migration in Sub-Saharan Africa. </w:t>
      </w:r>
      <w:r w:rsidRPr="00472807">
        <w:rPr>
          <w:rFonts w:ascii="Times New Roman" w:eastAsia="Times New Roman" w:hAnsi="Times New Roman" w:cs="Times New Roman"/>
          <w:i/>
          <w:iCs/>
          <w:sz w:val="24"/>
          <w:szCs w:val="24"/>
          <w:lang w:eastAsia="zh-CN"/>
        </w:rPr>
        <w:t>Migration and Development, 11</w:t>
      </w:r>
      <w:r w:rsidRPr="00472807">
        <w:rPr>
          <w:rFonts w:ascii="Times New Roman" w:eastAsia="Times New Roman" w:hAnsi="Times New Roman" w:cs="Times New Roman"/>
          <w:sz w:val="24"/>
          <w:szCs w:val="24"/>
          <w:lang w:eastAsia="zh-CN"/>
        </w:rPr>
        <w:t>(2), 192–211.</w:t>
      </w:r>
    </w:p>
    <w:p w14:paraId="7E07C683"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Porter, M. E. (2002). Enhancing the microeconomic foundations of prosperity: The current competitiveness index. In M. E. Porter, K. Schwab, X. Sala-</w:t>
      </w:r>
      <w:proofErr w:type="spellStart"/>
      <w:r w:rsidRPr="00472807">
        <w:rPr>
          <w:rFonts w:ascii="Times New Roman" w:hAnsi="Times New Roman" w:cs="Times New Roman"/>
          <w:sz w:val="24"/>
          <w:szCs w:val="24"/>
        </w:rPr>
        <w:t>i</w:t>
      </w:r>
      <w:proofErr w:type="spellEnd"/>
      <w:r w:rsidRPr="00472807">
        <w:rPr>
          <w:rFonts w:ascii="Times New Roman" w:hAnsi="Times New Roman" w:cs="Times New Roman"/>
          <w:sz w:val="24"/>
          <w:szCs w:val="24"/>
        </w:rPr>
        <w:t>-Martin, &amp; A. Lopez-Claros (Eds.), The Global Competitiveness Report 2002–2003 (pp. 51–80). World Economic Forum.</w:t>
      </w:r>
    </w:p>
    <w:p w14:paraId="0B577D5D"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Rose, E. (2022). Youth migration and rural transformation in Africa: Patterns and drivers. </w:t>
      </w:r>
      <w:r w:rsidRPr="00472807">
        <w:rPr>
          <w:rFonts w:ascii="Times New Roman" w:eastAsia="Times New Roman" w:hAnsi="Times New Roman" w:cs="Times New Roman"/>
          <w:i/>
          <w:iCs/>
          <w:sz w:val="24"/>
          <w:szCs w:val="24"/>
          <w:lang w:eastAsia="zh-CN"/>
        </w:rPr>
        <w:t>World Development, 153</w:t>
      </w:r>
      <w:r w:rsidRPr="00472807">
        <w:rPr>
          <w:rFonts w:ascii="Times New Roman" w:eastAsia="Times New Roman" w:hAnsi="Times New Roman" w:cs="Times New Roman"/>
          <w:sz w:val="24"/>
          <w:szCs w:val="24"/>
          <w:lang w:eastAsia="zh-CN"/>
        </w:rPr>
        <w:t>, 105815.</w:t>
      </w:r>
    </w:p>
    <w:p w14:paraId="3671104F"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472807">
        <w:rPr>
          <w:rFonts w:ascii="Times New Roman" w:eastAsia="Times New Roman" w:hAnsi="Times New Roman" w:cs="Times New Roman"/>
          <w:sz w:val="24"/>
          <w:szCs w:val="24"/>
          <w:lang w:eastAsia="zh-CN"/>
        </w:rPr>
        <w:t>Runde</w:t>
      </w:r>
      <w:proofErr w:type="spellEnd"/>
      <w:r w:rsidRPr="00472807">
        <w:rPr>
          <w:rFonts w:ascii="Times New Roman" w:eastAsia="Times New Roman" w:hAnsi="Times New Roman" w:cs="Times New Roman"/>
          <w:sz w:val="24"/>
          <w:szCs w:val="24"/>
          <w:lang w:eastAsia="zh-CN"/>
        </w:rPr>
        <w:t xml:space="preserve">, D. F., Savoy, C. M., &amp; Murphy, B. (2021). </w:t>
      </w:r>
      <w:r w:rsidRPr="00472807">
        <w:rPr>
          <w:rFonts w:ascii="Times New Roman" w:eastAsia="Times New Roman" w:hAnsi="Times New Roman" w:cs="Times New Roman"/>
          <w:i/>
          <w:iCs/>
          <w:sz w:val="24"/>
          <w:szCs w:val="24"/>
          <w:lang w:eastAsia="zh-CN"/>
        </w:rPr>
        <w:t>Strengthening the entrepreneurship ecosystem in Tanzania</w:t>
      </w:r>
      <w:r w:rsidRPr="00472807">
        <w:rPr>
          <w:rFonts w:ascii="Times New Roman" w:eastAsia="Times New Roman" w:hAnsi="Times New Roman" w:cs="Times New Roman"/>
          <w:sz w:val="24"/>
          <w:szCs w:val="24"/>
          <w:lang w:eastAsia="zh-CN"/>
        </w:rPr>
        <w:t>. Center for Strategic and International Studies (CSIS).</w:t>
      </w:r>
    </w:p>
    <w:p w14:paraId="2A8B7108" w14:textId="77777777" w:rsidR="00C42D5F" w:rsidRDefault="00C42D5F" w:rsidP="00D93FA0">
      <w:pPr>
        <w:pStyle w:val="ListParagraph"/>
        <w:numPr>
          <w:ilvl w:val="0"/>
          <w:numId w:val="12"/>
        </w:numPr>
        <w:spacing w:after="0"/>
        <w:jc w:val="both"/>
        <w:rPr>
          <w:rFonts w:ascii="Times New Roman" w:eastAsia="Times New Roman" w:hAnsi="Times New Roman" w:cs="Times New Roman"/>
          <w:sz w:val="24"/>
          <w:szCs w:val="24"/>
          <w:lang w:eastAsia="zh-CN"/>
        </w:rPr>
      </w:pPr>
      <w:r w:rsidRPr="00D93FA0">
        <w:rPr>
          <w:rFonts w:ascii="Times New Roman" w:eastAsia="Times New Roman" w:hAnsi="Times New Roman" w:cs="Times New Roman"/>
          <w:sz w:val="24"/>
          <w:szCs w:val="24"/>
          <w:lang w:eastAsia="zh-CN"/>
        </w:rPr>
        <w:t xml:space="preserve">Sahu, V. K., </w:t>
      </w:r>
      <w:proofErr w:type="spellStart"/>
      <w:proofErr w:type="gramStart"/>
      <w:r w:rsidRPr="00D93FA0">
        <w:rPr>
          <w:rFonts w:ascii="Times New Roman" w:eastAsia="Times New Roman" w:hAnsi="Times New Roman" w:cs="Times New Roman"/>
          <w:sz w:val="24"/>
          <w:szCs w:val="24"/>
          <w:lang w:eastAsia="zh-CN"/>
        </w:rPr>
        <w:t>Baral</w:t>
      </w:r>
      <w:proofErr w:type="spellEnd"/>
      <w:r w:rsidRPr="00D93FA0">
        <w:rPr>
          <w:rFonts w:ascii="Times New Roman" w:eastAsia="Times New Roman" w:hAnsi="Times New Roman" w:cs="Times New Roman"/>
          <w:sz w:val="24"/>
          <w:szCs w:val="24"/>
          <w:lang w:eastAsia="zh-CN"/>
        </w:rPr>
        <w:t xml:space="preserve"> ,</w:t>
      </w:r>
      <w:proofErr w:type="gramEnd"/>
      <w:r w:rsidRPr="00D93FA0">
        <w:rPr>
          <w:rFonts w:ascii="Times New Roman" w:eastAsia="Times New Roman" w:hAnsi="Times New Roman" w:cs="Times New Roman"/>
          <w:sz w:val="24"/>
          <w:szCs w:val="24"/>
          <w:lang w:eastAsia="zh-CN"/>
        </w:rPr>
        <w:t xml:space="preserve"> S. K., &amp; Singh , R. (2024). Financial Empowerment of Tribal Women: An Inquiry into Sustainable Economic Justice Initiatives and Pathways towards Inclusive Development. Asian Journal of Economics, Business and Accounting, 24(4), 182–194. https://doi.org/10.9734/ajeba/2024/v24i41272 </w:t>
      </w:r>
    </w:p>
    <w:p w14:paraId="427BFA93"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Scoones, I. (2015). Sustainable livelihoods and rural development. </w:t>
      </w:r>
      <w:r w:rsidRPr="00472807">
        <w:rPr>
          <w:rFonts w:ascii="Times New Roman" w:eastAsia="Times New Roman" w:hAnsi="Times New Roman" w:cs="Times New Roman"/>
          <w:i/>
          <w:iCs/>
          <w:sz w:val="24"/>
          <w:szCs w:val="24"/>
          <w:lang w:eastAsia="zh-CN"/>
        </w:rPr>
        <w:t>Practical Action Publishing</w:t>
      </w:r>
      <w:r w:rsidRPr="00472807">
        <w:rPr>
          <w:rFonts w:ascii="Times New Roman" w:eastAsia="Times New Roman" w:hAnsi="Times New Roman" w:cs="Times New Roman"/>
          <w:sz w:val="24"/>
          <w:szCs w:val="24"/>
          <w:lang w:eastAsia="zh-CN"/>
        </w:rPr>
        <w:t>.</w:t>
      </w:r>
    </w:p>
    <w:p w14:paraId="2948BBDC" w14:textId="77777777" w:rsidR="00C42D5F" w:rsidRPr="00472807" w:rsidRDefault="00C42D5F" w:rsidP="00472807">
      <w:pPr>
        <w:pStyle w:val="ListParagraph"/>
        <w:numPr>
          <w:ilvl w:val="0"/>
          <w:numId w:val="12"/>
        </w:numPr>
        <w:adjustRightInd w:val="0"/>
        <w:jc w:val="both"/>
        <w:rPr>
          <w:rFonts w:ascii="Times New Roman" w:hAnsi="Times New Roman" w:cs="Times New Roman"/>
          <w:sz w:val="24"/>
          <w:szCs w:val="24"/>
        </w:rPr>
      </w:pPr>
      <w:r w:rsidRPr="00472807">
        <w:rPr>
          <w:rFonts w:ascii="Times New Roman" w:hAnsi="Times New Roman" w:cs="Times New Roman"/>
          <w:sz w:val="24"/>
          <w:szCs w:val="24"/>
        </w:rPr>
        <w:t>Scoones, I. (2015). Sustainable livelihoods and rural development. Practical Action Publishing.</w:t>
      </w:r>
    </w:p>
    <w:p w14:paraId="665BB452"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Shimeles, A., </w:t>
      </w:r>
      <w:proofErr w:type="spellStart"/>
      <w:r w:rsidRPr="00472807">
        <w:rPr>
          <w:rFonts w:ascii="Times New Roman" w:eastAsia="Times New Roman" w:hAnsi="Times New Roman" w:cs="Times New Roman"/>
          <w:sz w:val="24"/>
          <w:szCs w:val="24"/>
          <w:lang w:eastAsia="zh-CN"/>
        </w:rPr>
        <w:t>Verdier-Chouchane</w:t>
      </w:r>
      <w:proofErr w:type="spellEnd"/>
      <w:r w:rsidRPr="00472807">
        <w:rPr>
          <w:rFonts w:ascii="Times New Roman" w:eastAsia="Times New Roman" w:hAnsi="Times New Roman" w:cs="Times New Roman"/>
          <w:sz w:val="24"/>
          <w:szCs w:val="24"/>
          <w:lang w:eastAsia="zh-CN"/>
        </w:rPr>
        <w:t xml:space="preserve">, A., &amp; </w:t>
      </w:r>
      <w:proofErr w:type="spellStart"/>
      <w:r w:rsidRPr="00472807">
        <w:rPr>
          <w:rFonts w:ascii="Times New Roman" w:eastAsia="Times New Roman" w:hAnsi="Times New Roman" w:cs="Times New Roman"/>
          <w:sz w:val="24"/>
          <w:szCs w:val="24"/>
          <w:lang w:eastAsia="zh-CN"/>
        </w:rPr>
        <w:t>Boly</w:t>
      </w:r>
      <w:proofErr w:type="spellEnd"/>
      <w:r w:rsidRPr="00472807">
        <w:rPr>
          <w:rFonts w:ascii="Times New Roman" w:eastAsia="Times New Roman" w:hAnsi="Times New Roman" w:cs="Times New Roman"/>
          <w:sz w:val="24"/>
          <w:szCs w:val="24"/>
          <w:lang w:eastAsia="zh-CN"/>
        </w:rPr>
        <w:t xml:space="preserve">, A. (2018). Building a resilient Africa: Policies for inclusive growth and structural transformation. </w:t>
      </w:r>
      <w:r w:rsidRPr="00472807">
        <w:rPr>
          <w:rFonts w:ascii="Times New Roman" w:eastAsia="Times New Roman" w:hAnsi="Times New Roman" w:cs="Times New Roman"/>
          <w:i/>
          <w:iCs/>
          <w:sz w:val="24"/>
          <w:szCs w:val="24"/>
          <w:lang w:eastAsia="zh-CN"/>
        </w:rPr>
        <w:t>African Development Bank</w:t>
      </w:r>
      <w:r w:rsidRPr="00472807">
        <w:rPr>
          <w:rFonts w:ascii="Times New Roman" w:eastAsia="Times New Roman" w:hAnsi="Times New Roman" w:cs="Times New Roman"/>
          <w:sz w:val="24"/>
          <w:szCs w:val="24"/>
          <w:lang w:eastAsia="zh-CN"/>
        </w:rPr>
        <w:t>.</w:t>
      </w:r>
    </w:p>
    <w:p w14:paraId="67219FFA"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Tala, R. (2021). Challenges facing microfinance institutions in Tanzania. </w:t>
      </w:r>
      <w:r w:rsidRPr="00472807">
        <w:rPr>
          <w:rFonts w:ascii="Times New Roman" w:eastAsia="Times New Roman" w:hAnsi="Times New Roman" w:cs="Times New Roman"/>
          <w:i/>
          <w:iCs/>
          <w:sz w:val="24"/>
          <w:szCs w:val="24"/>
          <w:lang w:eastAsia="zh-CN"/>
        </w:rPr>
        <w:t>Journal of African Finance, 4</w:t>
      </w:r>
      <w:r w:rsidRPr="00472807">
        <w:rPr>
          <w:rFonts w:ascii="Times New Roman" w:eastAsia="Times New Roman" w:hAnsi="Times New Roman" w:cs="Times New Roman"/>
          <w:sz w:val="24"/>
          <w:szCs w:val="24"/>
          <w:lang w:eastAsia="zh-CN"/>
        </w:rPr>
        <w:t>(1), 23–41.</w:t>
      </w:r>
    </w:p>
    <w:p w14:paraId="10033322" w14:textId="77777777" w:rsidR="00C42D5F" w:rsidRPr="00472807" w:rsidDel="00472807" w:rsidRDefault="00C42D5F" w:rsidP="00951C2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472807">
        <w:rPr>
          <w:rFonts w:ascii="Times New Roman" w:hAnsi="Times New Roman" w:cs="Times New Roman"/>
          <w:sz w:val="24"/>
          <w:szCs w:val="24"/>
        </w:rPr>
        <w:t xml:space="preserve">Thornton, P. K. (2010). Livestock production: Recent trends, future prospects. Philosophical Transactions of the Royal Society B: Biological Sciences, 365(1554), </w:t>
      </w:r>
      <w:r w:rsidRPr="00472807">
        <w:rPr>
          <w:rFonts w:ascii="Times New Roman" w:hAnsi="Times New Roman" w:cs="Times New Roman"/>
          <w:sz w:val="24"/>
          <w:szCs w:val="24"/>
        </w:rPr>
        <w:lastRenderedPageBreak/>
        <w:t>2853–2867. https://doi.org/10.1098/rstb.2010.0134</w:t>
      </w:r>
      <w:r w:rsidRPr="00951C25" w:rsidDel="00472807">
        <w:rPr>
          <w:rFonts w:ascii="Times New Roman" w:hAnsi="Times New Roman" w:cs="Times New Roman"/>
          <w:sz w:val="24"/>
          <w:szCs w:val="24"/>
        </w:rPr>
        <w:t xml:space="preserve">Cena, H., &amp; Calder, P. C. (2020). </w:t>
      </w:r>
      <w:r w:rsidRPr="00472807" w:rsidDel="00472807">
        <w:rPr>
          <w:rFonts w:ascii="Times New Roman" w:hAnsi="Times New Roman" w:cs="Times New Roman"/>
          <w:sz w:val="24"/>
          <w:szCs w:val="24"/>
        </w:rPr>
        <w:t xml:space="preserve">Defining a healthy diet: evidence for the role of contemporary dietary patterns in health and disease. </w:t>
      </w:r>
      <w:proofErr w:type="gramStart"/>
      <w:r w:rsidRPr="00472807" w:rsidDel="00472807">
        <w:rPr>
          <w:rFonts w:ascii="Times New Roman" w:hAnsi="Times New Roman" w:cs="Times New Roman"/>
          <w:sz w:val="24"/>
          <w:szCs w:val="24"/>
        </w:rPr>
        <w:t>Nutrients ,</w:t>
      </w:r>
      <w:proofErr w:type="gramEnd"/>
      <w:r w:rsidRPr="00472807" w:rsidDel="00472807">
        <w:rPr>
          <w:rFonts w:ascii="Times New Roman" w:hAnsi="Times New Roman" w:cs="Times New Roman"/>
          <w:sz w:val="24"/>
          <w:szCs w:val="24"/>
        </w:rPr>
        <w:t xml:space="preserve"> 12 (2), 334.</w:t>
      </w:r>
    </w:p>
    <w:p w14:paraId="65CD55BF"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UNESCO. (2015). </w:t>
      </w:r>
      <w:r w:rsidRPr="00472807">
        <w:rPr>
          <w:rFonts w:ascii="Times New Roman" w:eastAsia="Times New Roman" w:hAnsi="Times New Roman" w:cs="Times New Roman"/>
          <w:i/>
          <w:iCs/>
          <w:sz w:val="24"/>
          <w:szCs w:val="24"/>
          <w:lang w:eastAsia="zh-CN"/>
        </w:rPr>
        <w:t>Education for all 2000–2015: Achievements and challenges</w:t>
      </w:r>
      <w:r w:rsidRPr="00472807">
        <w:rPr>
          <w:rFonts w:ascii="Times New Roman" w:eastAsia="Times New Roman" w:hAnsi="Times New Roman" w:cs="Times New Roman"/>
          <w:sz w:val="24"/>
          <w:szCs w:val="24"/>
          <w:lang w:eastAsia="zh-CN"/>
        </w:rPr>
        <w:t>. United Nations Educational, Scientific and Cultural Organization.</w:t>
      </w:r>
    </w:p>
    <w:p w14:paraId="115F7BA6"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URT. (2000). </w:t>
      </w:r>
      <w:r w:rsidRPr="00472807">
        <w:rPr>
          <w:rFonts w:ascii="Times New Roman" w:eastAsia="Times New Roman" w:hAnsi="Times New Roman" w:cs="Times New Roman"/>
          <w:i/>
          <w:iCs/>
          <w:sz w:val="24"/>
          <w:szCs w:val="24"/>
          <w:lang w:eastAsia="zh-CN"/>
        </w:rPr>
        <w:t>The Tanzania Development Vision 2025</w:t>
      </w:r>
      <w:r w:rsidRPr="00472807">
        <w:rPr>
          <w:rFonts w:ascii="Times New Roman" w:eastAsia="Times New Roman" w:hAnsi="Times New Roman" w:cs="Times New Roman"/>
          <w:sz w:val="24"/>
          <w:szCs w:val="24"/>
          <w:lang w:eastAsia="zh-CN"/>
        </w:rPr>
        <w:t>. United Republic of Tanzania.</w:t>
      </w:r>
    </w:p>
    <w:p w14:paraId="17173B11"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URT. (2007). </w:t>
      </w:r>
      <w:r w:rsidRPr="00472807">
        <w:rPr>
          <w:rFonts w:ascii="Times New Roman" w:eastAsia="Times New Roman" w:hAnsi="Times New Roman" w:cs="Times New Roman"/>
          <w:i/>
          <w:iCs/>
          <w:sz w:val="24"/>
          <w:szCs w:val="24"/>
          <w:lang w:eastAsia="zh-CN"/>
        </w:rPr>
        <w:t>National Economic Empowerment Policy</w:t>
      </w:r>
      <w:r w:rsidRPr="00472807">
        <w:rPr>
          <w:rFonts w:ascii="Times New Roman" w:eastAsia="Times New Roman" w:hAnsi="Times New Roman" w:cs="Times New Roman"/>
          <w:sz w:val="24"/>
          <w:szCs w:val="24"/>
          <w:lang w:eastAsia="zh-CN"/>
        </w:rPr>
        <w:t>. United Republic of Tanzania.</w:t>
      </w:r>
    </w:p>
    <w:p w14:paraId="7141B1A5"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URT. (2019). </w:t>
      </w:r>
      <w:r w:rsidRPr="00472807">
        <w:rPr>
          <w:rFonts w:ascii="Times New Roman" w:eastAsia="Times New Roman" w:hAnsi="Times New Roman" w:cs="Times New Roman"/>
          <w:i/>
          <w:iCs/>
          <w:sz w:val="24"/>
          <w:szCs w:val="24"/>
          <w:lang w:eastAsia="zh-CN"/>
        </w:rPr>
        <w:t>Third Five Year Development Plan (FYDP III) 2021/22–2025/26</w:t>
      </w:r>
      <w:r w:rsidRPr="00472807">
        <w:rPr>
          <w:rFonts w:ascii="Times New Roman" w:eastAsia="Times New Roman" w:hAnsi="Times New Roman" w:cs="Times New Roman"/>
          <w:sz w:val="24"/>
          <w:szCs w:val="24"/>
          <w:lang w:eastAsia="zh-CN"/>
        </w:rPr>
        <w:t>. United Republic of Tanzania.</w:t>
      </w:r>
    </w:p>
    <w:p w14:paraId="0049092C"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URT. (2021). </w:t>
      </w:r>
      <w:r w:rsidRPr="00472807">
        <w:rPr>
          <w:rFonts w:ascii="Times New Roman" w:eastAsia="Times New Roman" w:hAnsi="Times New Roman" w:cs="Times New Roman"/>
          <w:i/>
          <w:iCs/>
          <w:sz w:val="24"/>
          <w:szCs w:val="24"/>
          <w:lang w:eastAsia="zh-CN"/>
        </w:rPr>
        <w:t>Basic Education Statistics in Tanzania (BEST) 2020</w:t>
      </w:r>
      <w:r w:rsidRPr="00472807">
        <w:rPr>
          <w:rFonts w:ascii="Times New Roman" w:eastAsia="Times New Roman" w:hAnsi="Times New Roman" w:cs="Times New Roman"/>
          <w:sz w:val="24"/>
          <w:szCs w:val="24"/>
          <w:lang w:eastAsia="zh-CN"/>
        </w:rPr>
        <w:t>. Ministry of Education, Science and Technology.</w:t>
      </w:r>
    </w:p>
    <w:p w14:paraId="0CF184C6" w14:textId="77777777" w:rsidR="00C42D5F" w:rsidRPr="00951C25" w:rsidRDefault="00C42D5F" w:rsidP="00D93FA0">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D93FA0">
        <w:rPr>
          <w:rFonts w:ascii="Times New Roman" w:eastAsia="Times New Roman" w:hAnsi="Times New Roman" w:cs="Times New Roman"/>
          <w:sz w:val="24"/>
          <w:szCs w:val="24"/>
          <w:lang w:eastAsia="zh-CN"/>
        </w:rPr>
        <w:t>Venkatesa</w:t>
      </w:r>
      <w:proofErr w:type="spellEnd"/>
      <w:r w:rsidRPr="00D93FA0">
        <w:rPr>
          <w:rFonts w:ascii="Times New Roman" w:eastAsia="Times New Roman" w:hAnsi="Times New Roman" w:cs="Times New Roman"/>
          <w:sz w:val="24"/>
          <w:szCs w:val="24"/>
          <w:lang w:eastAsia="zh-CN"/>
        </w:rPr>
        <w:t xml:space="preserve"> </w:t>
      </w:r>
      <w:proofErr w:type="spellStart"/>
      <w:r w:rsidRPr="00D93FA0">
        <w:rPr>
          <w:rFonts w:ascii="Times New Roman" w:eastAsia="Times New Roman" w:hAnsi="Times New Roman" w:cs="Times New Roman"/>
          <w:sz w:val="24"/>
          <w:szCs w:val="24"/>
          <w:lang w:eastAsia="zh-CN"/>
        </w:rPr>
        <w:t>Palanichamy</w:t>
      </w:r>
      <w:proofErr w:type="spellEnd"/>
      <w:r w:rsidRPr="00D93FA0">
        <w:rPr>
          <w:rFonts w:ascii="Times New Roman" w:eastAsia="Times New Roman" w:hAnsi="Times New Roman" w:cs="Times New Roman"/>
          <w:sz w:val="24"/>
          <w:szCs w:val="24"/>
          <w:lang w:eastAsia="zh-CN"/>
        </w:rPr>
        <w:t xml:space="preserve"> N., Kalpana M., </w:t>
      </w:r>
      <w:proofErr w:type="spellStart"/>
      <w:r w:rsidRPr="00D93FA0">
        <w:rPr>
          <w:rFonts w:ascii="Times New Roman" w:eastAsia="Times New Roman" w:hAnsi="Times New Roman" w:cs="Times New Roman"/>
          <w:sz w:val="24"/>
          <w:szCs w:val="24"/>
          <w:lang w:eastAsia="zh-CN"/>
        </w:rPr>
        <w:t>Ilavazhagan</w:t>
      </w:r>
      <w:proofErr w:type="spellEnd"/>
      <w:r w:rsidRPr="00D93FA0">
        <w:rPr>
          <w:rFonts w:ascii="Times New Roman" w:eastAsia="Times New Roman" w:hAnsi="Times New Roman" w:cs="Times New Roman"/>
          <w:sz w:val="24"/>
          <w:szCs w:val="24"/>
          <w:lang w:eastAsia="zh-CN"/>
        </w:rPr>
        <w:t xml:space="preserve"> V., &amp; Aruna Prabha S. (2024). Assessing Financial Inclusion Impact on Economic Empowerment in Pondicherry: A Study on Banking Scheme Beneficiaries. Advances in Research, 25(4), 40–46. https://doi.org/10.9734/air/2024/v25i41079 </w:t>
      </w:r>
    </w:p>
    <w:p w14:paraId="287F64B8"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World Bank. (2014). </w:t>
      </w:r>
      <w:r w:rsidRPr="00472807">
        <w:rPr>
          <w:rFonts w:ascii="Times New Roman" w:eastAsia="Times New Roman" w:hAnsi="Times New Roman" w:cs="Times New Roman"/>
          <w:i/>
          <w:iCs/>
          <w:sz w:val="24"/>
          <w:szCs w:val="24"/>
          <w:lang w:eastAsia="zh-CN"/>
        </w:rPr>
        <w:t>Youth employment in Sub-Saharan Africa: A regional analysis</w:t>
      </w:r>
      <w:r w:rsidRPr="00472807">
        <w:rPr>
          <w:rFonts w:ascii="Times New Roman" w:eastAsia="Times New Roman" w:hAnsi="Times New Roman" w:cs="Times New Roman"/>
          <w:sz w:val="24"/>
          <w:szCs w:val="24"/>
          <w:lang w:eastAsia="zh-CN"/>
        </w:rPr>
        <w:t>. World Bank.</w:t>
      </w:r>
    </w:p>
    <w:p w14:paraId="3A479EF5" w14:textId="77777777" w:rsidR="00C42D5F" w:rsidRPr="00472807"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World Bank. (2019). </w:t>
      </w:r>
      <w:r w:rsidRPr="00472807">
        <w:rPr>
          <w:rFonts w:ascii="Times New Roman" w:eastAsia="Times New Roman" w:hAnsi="Times New Roman" w:cs="Times New Roman"/>
          <w:i/>
          <w:iCs/>
          <w:sz w:val="24"/>
          <w:szCs w:val="24"/>
          <w:lang w:eastAsia="zh-CN"/>
        </w:rPr>
        <w:t>Doing business 2019: Training for reform</w:t>
      </w:r>
      <w:r w:rsidRPr="00472807">
        <w:rPr>
          <w:rFonts w:ascii="Times New Roman" w:eastAsia="Times New Roman" w:hAnsi="Times New Roman" w:cs="Times New Roman"/>
          <w:sz w:val="24"/>
          <w:szCs w:val="24"/>
          <w:lang w:eastAsia="zh-CN"/>
        </w:rPr>
        <w:t>. World Bank.</w:t>
      </w:r>
    </w:p>
    <w:p w14:paraId="68A9E977" w14:textId="77777777" w:rsidR="00C42D5F" w:rsidRDefault="00C42D5F" w:rsidP="00472807">
      <w:pPr>
        <w:pStyle w:val="ListParagraph"/>
        <w:numPr>
          <w:ilvl w:val="0"/>
          <w:numId w:val="12"/>
        </w:numPr>
        <w:spacing w:after="0"/>
        <w:jc w:val="both"/>
        <w:rPr>
          <w:rFonts w:ascii="Times New Roman" w:eastAsia="Times New Roman" w:hAnsi="Times New Roman" w:cs="Times New Roman"/>
          <w:sz w:val="24"/>
          <w:szCs w:val="24"/>
          <w:lang w:eastAsia="zh-CN"/>
        </w:rPr>
      </w:pPr>
      <w:r w:rsidRPr="00472807">
        <w:rPr>
          <w:rFonts w:ascii="Times New Roman" w:eastAsia="Times New Roman" w:hAnsi="Times New Roman" w:cs="Times New Roman"/>
          <w:sz w:val="24"/>
          <w:szCs w:val="24"/>
          <w:lang w:eastAsia="zh-CN"/>
        </w:rPr>
        <w:t xml:space="preserve">Yunus, M., &amp; </w:t>
      </w:r>
      <w:proofErr w:type="spellStart"/>
      <w:r w:rsidRPr="00472807">
        <w:rPr>
          <w:rFonts w:ascii="Times New Roman" w:eastAsia="Times New Roman" w:hAnsi="Times New Roman" w:cs="Times New Roman"/>
          <w:sz w:val="24"/>
          <w:szCs w:val="24"/>
          <w:lang w:eastAsia="zh-CN"/>
        </w:rPr>
        <w:t>Moingeon</w:t>
      </w:r>
      <w:proofErr w:type="spellEnd"/>
      <w:r w:rsidRPr="00472807">
        <w:rPr>
          <w:rFonts w:ascii="Times New Roman" w:eastAsia="Times New Roman" w:hAnsi="Times New Roman" w:cs="Times New Roman"/>
          <w:sz w:val="24"/>
          <w:szCs w:val="24"/>
          <w:lang w:eastAsia="zh-CN"/>
        </w:rPr>
        <w:t xml:space="preserve">, B. (2010). Building social business models: Lessons from the Grameen experience. </w:t>
      </w:r>
      <w:r w:rsidRPr="00472807">
        <w:rPr>
          <w:rFonts w:ascii="Times New Roman" w:eastAsia="Times New Roman" w:hAnsi="Times New Roman" w:cs="Times New Roman"/>
          <w:i/>
          <w:iCs/>
          <w:sz w:val="24"/>
          <w:szCs w:val="24"/>
          <w:lang w:eastAsia="zh-CN"/>
        </w:rPr>
        <w:t>Long Range Planning, 43</w:t>
      </w:r>
      <w:r w:rsidRPr="00472807">
        <w:rPr>
          <w:rFonts w:ascii="Times New Roman" w:eastAsia="Times New Roman" w:hAnsi="Times New Roman" w:cs="Times New Roman"/>
          <w:sz w:val="24"/>
          <w:szCs w:val="24"/>
          <w:lang w:eastAsia="zh-CN"/>
        </w:rPr>
        <w:t>(2–3), 308–325.</w:t>
      </w:r>
    </w:p>
    <w:p w14:paraId="596E7543" w14:textId="77777777" w:rsidR="00C42D5F" w:rsidRDefault="00C42D5F" w:rsidP="00D93FA0">
      <w:pPr>
        <w:pStyle w:val="ListParagraph"/>
        <w:numPr>
          <w:ilvl w:val="0"/>
          <w:numId w:val="12"/>
        </w:numPr>
        <w:spacing w:after="0"/>
        <w:jc w:val="both"/>
        <w:rPr>
          <w:rFonts w:ascii="Times New Roman" w:eastAsia="Times New Roman" w:hAnsi="Times New Roman" w:cs="Times New Roman"/>
          <w:sz w:val="24"/>
          <w:szCs w:val="24"/>
          <w:lang w:eastAsia="zh-CN"/>
        </w:rPr>
      </w:pPr>
      <w:proofErr w:type="spellStart"/>
      <w:r w:rsidRPr="000E4BE9">
        <w:rPr>
          <w:rFonts w:ascii="Times New Roman" w:eastAsia="Times New Roman" w:hAnsi="Times New Roman" w:cs="Times New Roman"/>
          <w:sz w:val="24"/>
          <w:szCs w:val="24"/>
          <w:lang w:eastAsia="zh-CN"/>
        </w:rPr>
        <w:t>Zribi</w:t>
      </w:r>
      <w:proofErr w:type="spellEnd"/>
      <w:r w:rsidRPr="000E4BE9">
        <w:rPr>
          <w:rFonts w:ascii="Times New Roman" w:eastAsia="Times New Roman" w:hAnsi="Times New Roman" w:cs="Times New Roman"/>
          <w:sz w:val="24"/>
          <w:szCs w:val="24"/>
          <w:lang w:eastAsia="zh-CN"/>
        </w:rPr>
        <w:t xml:space="preserve">, </w:t>
      </w:r>
      <w:proofErr w:type="spellStart"/>
      <w:r w:rsidRPr="000E4BE9">
        <w:rPr>
          <w:rFonts w:ascii="Times New Roman" w:eastAsia="Times New Roman" w:hAnsi="Times New Roman" w:cs="Times New Roman"/>
          <w:sz w:val="24"/>
          <w:szCs w:val="24"/>
          <w:lang w:eastAsia="zh-CN"/>
        </w:rPr>
        <w:t>Sirine</w:t>
      </w:r>
      <w:proofErr w:type="spellEnd"/>
      <w:r w:rsidRPr="000E4BE9">
        <w:rPr>
          <w:rFonts w:ascii="Times New Roman" w:eastAsia="Times New Roman" w:hAnsi="Times New Roman" w:cs="Times New Roman"/>
          <w:sz w:val="24"/>
          <w:szCs w:val="24"/>
          <w:lang w:eastAsia="zh-CN"/>
        </w:rPr>
        <w:t>. 2022. Effects of social influence on crowdfunding performance: Implications of the covid-19 pandemic. Humanities and Social Sciences Communication 9: 1–8. [Google Scholar] [</w:t>
      </w:r>
      <w:proofErr w:type="spellStart"/>
      <w:r w:rsidRPr="000E4BE9">
        <w:rPr>
          <w:rFonts w:ascii="Times New Roman" w:eastAsia="Times New Roman" w:hAnsi="Times New Roman" w:cs="Times New Roman"/>
          <w:sz w:val="24"/>
          <w:szCs w:val="24"/>
          <w:lang w:eastAsia="zh-CN"/>
        </w:rPr>
        <w:t>CrossRef</w:t>
      </w:r>
      <w:proofErr w:type="spellEnd"/>
      <w:r w:rsidRPr="000E4BE9">
        <w:rPr>
          <w:rFonts w:ascii="Times New Roman" w:eastAsia="Times New Roman" w:hAnsi="Times New Roman" w:cs="Times New Roman"/>
          <w:sz w:val="24"/>
          <w:szCs w:val="24"/>
          <w:lang w:eastAsia="zh-CN"/>
        </w:rPr>
        <w:t>]</w:t>
      </w:r>
    </w:p>
    <w:p w14:paraId="3C1E4663" w14:textId="0C1ECEEB" w:rsidR="00DA3C16" w:rsidRPr="00931B05" w:rsidRDefault="00DA3C16" w:rsidP="00951C25">
      <w:pPr>
        <w:pStyle w:val="ListParagraph"/>
        <w:rPr>
          <w:rFonts w:ascii="Times New Roman" w:hAnsi="Times New Roman" w:cs="Times New Roman"/>
          <w:sz w:val="24"/>
          <w:szCs w:val="24"/>
        </w:rPr>
      </w:pPr>
    </w:p>
    <w:sectPr w:rsidR="00DA3C16" w:rsidRPr="00931B05" w:rsidSect="00391E00">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541E" w14:textId="77777777" w:rsidR="00F42953" w:rsidRDefault="00F42953" w:rsidP="002F7DB1">
      <w:pPr>
        <w:spacing w:after="0" w:line="240" w:lineRule="auto"/>
      </w:pPr>
      <w:r>
        <w:separator/>
      </w:r>
    </w:p>
  </w:endnote>
  <w:endnote w:type="continuationSeparator" w:id="0">
    <w:p w14:paraId="301BD531" w14:textId="77777777" w:rsidR="00F42953" w:rsidRDefault="00F42953" w:rsidP="002F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113041"/>
      <w:docPartObj>
        <w:docPartGallery w:val="Page Numbers (Bottom of Page)"/>
        <w:docPartUnique/>
      </w:docPartObj>
    </w:sdtPr>
    <w:sdtContent>
      <w:sdt>
        <w:sdtPr>
          <w:rPr>
            <w:rFonts w:ascii="Times New Roman" w:hAnsi="Times New Roman" w:cs="Times New Roman"/>
            <w:sz w:val="24"/>
            <w:szCs w:val="24"/>
          </w:rPr>
          <w:id w:val="565050523"/>
          <w:docPartObj>
            <w:docPartGallery w:val="Page Numbers (Top of Page)"/>
            <w:docPartUnique/>
          </w:docPartObj>
        </w:sdtPr>
        <w:sdtContent>
          <w:p w14:paraId="2C42ABD2" w14:textId="77777777" w:rsidR="004160ED" w:rsidRPr="0028641F" w:rsidRDefault="004160ED">
            <w:pPr>
              <w:pStyle w:val="Footer"/>
              <w:jc w:val="right"/>
              <w:rPr>
                <w:rFonts w:ascii="Times New Roman" w:hAnsi="Times New Roman" w:cs="Times New Roman"/>
                <w:sz w:val="24"/>
                <w:szCs w:val="24"/>
              </w:rPr>
            </w:pPr>
            <w:r w:rsidRPr="0028641F">
              <w:rPr>
                <w:rFonts w:ascii="Times New Roman" w:hAnsi="Times New Roman" w:cs="Times New Roman"/>
                <w:sz w:val="24"/>
                <w:szCs w:val="24"/>
              </w:rPr>
              <w:t xml:space="preserve"> </w:t>
            </w:r>
            <w:r w:rsidR="004D23E2" w:rsidRPr="0028641F">
              <w:rPr>
                <w:rFonts w:ascii="Times New Roman" w:hAnsi="Times New Roman" w:cs="Times New Roman"/>
                <w:sz w:val="24"/>
                <w:szCs w:val="24"/>
              </w:rPr>
              <w:fldChar w:fldCharType="begin"/>
            </w:r>
            <w:r w:rsidRPr="0028641F">
              <w:rPr>
                <w:rFonts w:ascii="Times New Roman" w:hAnsi="Times New Roman" w:cs="Times New Roman"/>
                <w:sz w:val="24"/>
                <w:szCs w:val="24"/>
              </w:rPr>
              <w:instrText xml:space="preserve"> PAGE </w:instrText>
            </w:r>
            <w:r w:rsidR="004D23E2" w:rsidRPr="0028641F">
              <w:rPr>
                <w:rFonts w:ascii="Times New Roman" w:hAnsi="Times New Roman" w:cs="Times New Roman"/>
                <w:sz w:val="24"/>
                <w:szCs w:val="24"/>
              </w:rPr>
              <w:fldChar w:fldCharType="separate"/>
            </w:r>
            <w:r w:rsidR="00711E41">
              <w:rPr>
                <w:rFonts w:ascii="Times New Roman" w:hAnsi="Times New Roman" w:cs="Times New Roman"/>
                <w:noProof/>
                <w:sz w:val="24"/>
                <w:szCs w:val="24"/>
              </w:rPr>
              <w:t>2</w:t>
            </w:r>
            <w:r w:rsidR="004D23E2" w:rsidRPr="0028641F">
              <w:rPr>
                <w:rFonts w:ascii="Times New Roman" w:hAnsi="Times New Roman" w:cs="Times New Roman"/>
                <w:sz w:val="24"/>
                <w:szCs w:val="24"/>
              </w:rPr>
              <w:fldChar w:fldCharType="end"/>
            </w:r>
            <w:r w:rsidRPr="0028641F">
              <w:rPr>
                <w:rFonts w:ascii="Times New Roman" w:hAnsi="Times New Roman" w:cs="Times New Roman"/>
                <w:sz w:val="24"/>
                <w:szCs w:val="24"/>
              </w:rPr>
              <w:t>/</w:t>
            </w:r>
            <w:r w:rsidR="004D23E2" w:rsidRPr="0028641F">
              <w:rPr>
                <w:rFonts w:ascii="Times New Roman" w:hAnsi="Times New Roman" w:cs="Times New Roman"/>
                <w:sz w:val="24"/>
                <w:szCs w:val="24"/>
              </w:rPr>
              <w:fldChar w:fldCharType="begin"/>
            </w:r>
            <w:r w:rsidRPr="0028641F">
              <w:rPr>
                <w:rFonts w:ascii="Times New Roman" w:hAnsi="Times New Roman" w:cs="Times New Roman"/>
                <w:sz w:val="24"/>
                <w:szCs w:val="24"/>
              </w:rPr>
              <w:instrText xml:space="preserve"> NUMPAGES  </w:instrText>
            </w:r>
            <w:r w:rsidR="004D23E2" w:rsidRPr="0028641F">
              <w:rPr>
                <w:rFonts w:ascii="Times New Roman" w:hAnsi="Times New Roman" w:cs="Times New Roman"/>
                <w:sz w:val="24"/>
                <w:szCs w:val="24"/>
              </w:rPr>
              <w:fldChar w:fldCharType="separate"/>
            </w:r>
            <w:r w:rsidR="00711E41">
              <w:rPr>
                <w:rFonts w:ascii="Times New Roman" w:hAnsi="Times New Roman" w:cs="Times New Roman"/>
                <w:noProof/>
                <w:sz w:val="24"/>
                <w:szCs w:val="24"/>
              </w:rPr>
              <w:t>24</w:t>
            </w:r>
            <w:r w:rsidR="004D23E2" w:rsidRPr="0028641F">
              <w:rPr>
                <w:rFonts w:ascii="Times New Roman" w:hAnsi="Times New Roman" w:cs="Times New Roman"/>
                <w:sz w:val="24"/>
                <w:szCs w:val="24"/>
              </w:rPr>
              <w:fldChar w:fldCharType="end"/>
            </w:r>
          </w:p>
        </w:sdtContent>
      </w:sdt>
    </w:sdtContent>
  </w:sdt>
  <w:p w14:paraId="14C658B4" w14:textId="77777777" w:rsidR="004160ED" w:rsidRDefault="0041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3EA0" w14:textId="77777777" w:rsidR="00F42953" w:rsidRDefault="00F42953" w:rsidP="002F7DB1">
      <w:pPr>
        <w:spacing w:after="0" w:line="240" w:lineRule="auto"/>
      </w:pPr>
      <w:r>
        <w:separator/>
      </w:r>
    </w:p>
  </w:footnote>
  <w:footnote w:type="continuationSeparator" w:id="0">
    <w:p w14:paraId="172F7E44" w14:textId="77777777" w:rsidR="00F42953" w:rsidRDefault="00F42953" w:rsidP="002F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3BB7" w14:textId="58958A7A" w:rsidR="0071276C" w:rsidRDefault="00000000">
    <w:pPr>
      <w:pStyle w:val="Header"/>
    </w:pPr>
    <w:r>
      <w:rPr>
        <w:noProof/>
      </w:rPr>
      <w:pict w14:anchorId="51E4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8FB" w14:textId="5D2BEFF5" w:rsidR="0071276C" w:rsidRDefault="00000000">
    <w:pPr>
      <w:pStyle w:val="Header"/>
    </w:pPr>
    <w:r>
      <w:rPr>
        <w:noProof/>
      </w:rPr>
      <w:pict w14:anchorId="3E444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2399" w14:textId="73EB03AA" w:rsidR="0071276C" w:rsidRDefault="00000000">
    <w:pPr>
      <w:pStyle w:val="Header"/>
    </w:pPr>
    <w:r>
      <w:rPr>
        <w:noProof/>
      </w:rPr>
      <w:pict w14:anchorId="736E9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297"/>
    <w:multiLevelType w:val="multilevel"/>
    <w:tmpl w:val="F0D2402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45530"/>
    <w:multiLevelType w:val="multilevel"/>
    <w:tmpl w:val="BD6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1956"/>
    <w:multiLevelType w:val="multilevel"/>
    <w:tmpl w:val="524A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4781"/>
    <w:multiLevelType w:val="multilevel"/>
    <w:tmpl w:val="EAE2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5123D"/>
    <w:multiLevelType w:val="hybridMultilevel"/>
    <w:tmpl w:val="B802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224F6"/>
    <w:multiLevelType w:val="multilevel"/>
    <w:tmpl w:val="5058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E5DF8"/>
    <w:multiLevelType w:val="hybridMultilevel"/>
    <w:tmpl w:val="5BFAE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20E22"/>
    <w:multiLevelType w:val="multilevel"/>
    <w:tmpl w:val="AD367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A16B3"/>
    <w:multiLevelType w:val="hybridMultilevel"/>
    <w:tmpl w:val="12E057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92411"/>
    <w:multiLevelType w:val="hybridMultilevel"/>
    <w:tmpl w:val="ACC0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73CB2"/>
    <w:multiLevelType w:val="hybridMultilevel"/>
    <w:tmpl w:val="8A02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F3449"/>
    <w:multiLevelType w:val="multilevel"/>
    <w:tmpl w:val="45D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D4702"/>
    <w:multiLevelType w:val="multilevel"/>
    <w:tmpl w:val="B2D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038EA"/>
    <w:multiLevelType w:val="multilevel"/>
    <w:tmpl w:val="5C6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7598E"/>
    <w:multiLevelType w:val="hybridMultilevel"/>
    <w:tmpl w:val="B0FADE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E51A0"/>
    <w:multiLevelType w:val="multilevel"/>
    <w:tmpl w:val="D7768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33C80"/>
    <w:multiLevelType w:val="multilevel"/>
    <w:tmpl w:val="6C5C72F4"/>
    <w:lvl w:ilvl="0">
      <w:start w:val="1"/>
      <w:numFmt w:val="decimal"/>
      <w:lvlText w:val="%1."/>
      <w:lvlJc w:val="left"/>
      <w:pPr>
        <w:ind w:left="765" w:hanging="360"/>
      </w:pPr>
    </w:lvl>
    <w:lvl w:ilvl="1">
      <w:start w:val="4"/>
      <w:numFmt w:val="decimal"/>
      <w:isLgl/>
      <w:lvlText w:val="%1.%2"/>
      <w:lvlJc w:val="left"/>
      <w:pPr>
        <w:ind w:left="775" w:hanging="370"/>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485" w:hanging="1080"/>
      </w:pPr>
    </w:lvl>
    <w:lvl w:ilvl="5">
      <w:start w:val="1"/>
      <w:numFmt w:val="decimal"/>
      <w:isLgl/>
      <w:lvlText w:val="%1.%2.%3.%4.%5.%6"/>
      <w:lvlJc w:val="left"/>
      <w:pPr>
        <w:ind w:left="1485" w:hanging="1080"/>
      </w:pPr>
    </w:lvl>
    <w:lvl w:ilvl="6">
      <w:start w:val="1"/>
      <w:numFmt w:val="decimal"/>
      <w:isLgl/>
      <w:lvlText w:val="%1.%2.%3.%4.%5.%6.%7"/>
      <w:lvlJc w:val="left"/>
      <w:pPr>
        <w:ind w:left="1845" w:hanging="1440"/>
      </w:pPr>
    </w:lvl>
    <w:lvl w:ilvl="7">
      <w:start w:val="1"/>
      <w:numFmt w:val="decimal"/>
      <w:isLgl/>
      <w:lvlText w:val="%1.%2.%3.%4.%5.%6.%7.%8"/>
      <w:lvlJc w:val="left"/>
      <w:pPr>
        <w:ind w:left="1845" w:hanging="1440"/>
      </w:pPr>
    </w:lvl>
    <w:lvl w:ilvl="8">
      <w:start w:val="1"/>
      <w:numFmt w:val="decimal"/>
      <w:isLgl/>
      <w:lvlText w:val="%1.%2.%3.%4.%5.%6.%7.%8.%9"/>
      <w:lvlJc w:val="left"/>
      <w:pPr>
        <w:ind w:left="2205" w:hanging="1800"/>
      </w:pPr>
    </w:lvl>
  </w:abstractNum>
  <w:abstractNum w:abstractNumId="17" w15:restartNumberingAfterBreak="0">
    <w:nsid w:val="32517E02"/>
    <w:multiLevelType w:val="multilevel"/>
    <w:tmpl w:val="AD6A4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74B63"/>
    <w:multiLevelType w:val="multilevel"/>
    <w:tmpl w:val="B338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827198"/>
    <w:multiLevelType w:val="hybridMultilevel"/>
    <w:tmpl w:val="46F6B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163117"/>
    <w:multiLevelType w:val="multilevel"/>
    <w:tmpl w:val="1E40048C"/>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E544CB"/>
    <w:multiLevelType w:val="multilevel"/>
    <w:tmpl w:val="B664C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80483"/>
    <w:multiLevelType w:val="multilevel"/>
    <w:tmpl w:val="9842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F7789"/>
    <w:multiLevelType w:val="multilevel"/>
    <w:tmpl w:val="1EB2F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5E1EF6"/>
    <w:multiLevelType w:val="multilevel"/>
    <w:tmpl w:val="69FC7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62D20"/>
    <w:multiLevelType w:val="hybridMultilevel"/>
    <w:tmpl w:val="D3B683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C3D89"/>
    <w:multiLevelType w:val="multilevel"/>
    <w:tmpl w:val="F2F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734A6"/>
    <w:multiLevelType w:val="hybridMultilevel"/>
    <w:tmpl w:val="06B6DF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7118BF"/>
    <w:multiLevelType w:val="multilevel"/>
    <w:tmpl w:val="09E8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61378"/>
    <w:multiLevelType w:val="hybridMultilevel"/>
    <w:tmpl w:val="35D82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2A0ECB"/>
    <w:multiLevelType w:val="hybridMultilevel"/>
    <w:tmpl w:val="89CA8E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5E443B"/>
    <w:multiLevelType w:val="hybridMultilevel"/>
    <w:tmpl w:val="C14AE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3F17A5"/>
    <w:multiLevelType w:val="multilevel"/>
    <w:tmpl w:val="602C0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67B38"/>
    <w:multiLevelType w:val="multilevel"/>
    <w:tmpl w:val="DE4A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E5084"/>
    <w:multiLevelType w:val="multilevel"/>
    <w:tmpl w:val="3E94FFCA"/>
    <w:lvl w:ilvl="0">
      <w:start w:val="3"/>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35" w15:restartNumberingAfterBreak="0">
    <w:nsid w:val="67F022A5"/>
    <w:multiLevelType w:val="hybridMultilevel"/>
    <w:tmpl w:val="AAD2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1613A3"/>
    <w:multiLevelType w:val="multilevel"/>
    <w:tmpl w:val="04FA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56A01"/>
    <w:multiLevelType w:val="multilevel"/>
    <w:tmpl w:val="E780DD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082EB5"/>
    <w:multiLevelType w:val="multilevel"/>
    <w:tmpl w:val="32F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F7D5C"/>
    <w:multiLevelType w:val="multilevel"/>
    <w:tmpl w:val="20F81AE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A175FC"/>
    <w:multiLevelType w:val="multilevel"/>
    <w:tmpl w:val="125A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0130E"/>
    <w:multiLevelType w:val="multilevel"/>
    <w:tmpl w:val="679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F5854"/>
    <w:multiLevelType w:val="multilevel"/>
    <w:tmpl w:val="9D8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51353"/>
    <w:multiLevelType w:val="hybridMultilevel"/>
    <w:tmpl w:val="DD465D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938868">
    <w:abstractNumId w:val="35"/>
  </w:num>
  <w:num w:numId="2" w16cid:durableId="1394356823">
    <w:abstractNumId w:val="19"/>
  </w:num>
  <w:num w:numId="3" w16cid:durableId="245379775">
    <w:abstractNumId w:val="29"/>
  </w:num>
  <w:num w:numId="4" w16cid:durableId="1746688099">
    <w:abstractNumId w:val="6"/>
  </w:num>
  <w:num w:numId="5" w16cid:durableId="1426919688">
    <w:abstractNumId w:val="10"/>
  </w:num>
  <w:num w:numId="6" w16cid:durableId="304551226">
    <w:abstractNumId w:val="25"/>
  </w:num>
  <w:num w:numId="7" w16cid:durableId="71053502">
    <w:abstractNumId w:val="14"/>
  </w:num>
  <w:num w:numId="8" w16cid:durableId="1033379644">
    <w:abstractNumId w:val="31"/>
  </w:num>
  <w:num w:numId="9" w16cid:durableId="1431782556">
    <w:abstractNumId w:val="8"/>
  </w:num>
  <w:num w:numId="10" w16cid:durableId="106000442">
    <w:abstractNumId w:val="27"/>
  </w:num>
  <w:num w:numId="11" w16cid:durableId="287392250">
    <w:abstractNumId w:val="9"/>
  </w:num>
  <w:num w:numId="12" w16cid:durableId="93945024">
    <w:abstractNumId w:val="4"/>
  </w:num>
  <w:num w:numId="13" w16cid:durableId="55858892">
    <w:abstractNumId w:val="5"/>
  </w:num>
  <w:num w:numId="14" w16cid:durableId="1459493759">
    <w:abstractNumId w:val="30"/>
  </w:num>
  <w:num w:numId="15" w16cid:durableId="646711607">
    <w:abstractNumId w:val="13"/>
  </w:num>
  <w:num w:numId="16" w16cid:durableId="745760979">
    <w:abstractNumId w:val="32"/>
  </w:num>
  <w:num w:numId="17" w16cid:durableId="488638269">
    <w:abstractNumId w:val="26"/>
  </w:num>
  <w:num w:numId="18" w16cid:durableId="1124740017">
    <w:abstractNumId w:val="7"/>
  </w:num>
  <w:num w:numId="19" w16cid:durableId="938872400">
    <w:abstractNumId w:val="42"/>
  </w:num>
  <w:num w:numId="20" w16cid:durableId="344675440">
    <w:abstractNumId w:val="24"/>
  </w:num>
  <w:num w:numId="21" w16cid:durableId="1782336223">
    <w:abstractNumId w:val="33"/>
  </w:num>
  <w:num w:numId="22" w16cid:durableId="851602486">
    <w:abstractNumId w:val="23"/>
  </w:num>
  <w:num w:numId="23" w16cid:durableId="52595176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19174">
    <w:abstractNumId w:val="11"/>
  </w:num>
  <w:num w:numId="25" w16cid:durableId="1521117443">
    <w:abstractNumId w:val="28"/>
  </w:num>
  <w:num w:numId="26" w16cid:durableId="314259860">
    <w:abstractNumId w:val="41"/>
  </w:num>
  <w:num w:numId="27" w16cid:durableId="1542328560">
    <w:abstractNumId w:val="40"/>
  </w:num>
  <w:num w:numId="28" w16cid:durableId="2016305620">
    <w:abstractNumId w:val="38"/>
  </w:num>
  <w:num w:numId="29" w16cid:durableId="1962422212">
    <w:abstractNumId w:val="12"/>
  </w:num>
  <w:num w:numId="30" w16cid:durableId="1771311982">
    <w:abstractNumId w:val="2"/>
  </w:num>
  <w:num w:numId="31" w16cid:durableId="1567839918">
    <w:abstractNumId w:val="22"/>
  </w:num>
  <w:num w:numId="32" w16cid:durableId="1195968208">
    <w:abstractNumId w:val="20"/>
  </w:num>
  <w:num w:numId="33" w16cid:durableId="70349625">
    <w:abstractNumId w:val="39"/>
  </w:num>
  <w:num w:numId="34" w16cid:durableId="1205098652">
    <w:abstractNumId w:val="17"/>
  </w:num>
  <w:num w:numId="35" w16cid:durableId="1549683830">
    <w:abstractNumId w:val="34"/>
  </w:num>
  <w:num w:numId="36" w16cid:durableId="1201210212">
    <w:abstractNumId w:val="1"/>
  </w:num>
  <w:num w:numId="37" w16cid:durableId="860238374">
    <w:abstractNumId w:val="15"/>
  </w:num>
  <w:num w:numId="38" w16cid:durableId="58486153">
    <w:abstractNumId w:val="37"/>
  </w:num>
  <w:num w:numId="39" w16cid:durableId="1536187186">
    <w:abstractNumId w:val="0"/>
  </w:num>
  <w:num w:numId="40" w16cid:durableId="820467821">
    <w:abstractNumId w:val="21"/>
  </w:num>
  <w:num w:numId="41" w16cid:durableId="1948004145">
    <w:abstractNumId w:val="18"/>
  </w:num>
  <w:num w:numId="42" w16cid:durableId="1615674311">
    <w:abstractNumId w:val="3"/>
  </w:num>
  <w:num w:numId="43" w16cid:durableId="821235044">
    <w:abstractNumId w:val="43"/>
  </w:num>
  <w:num w:numId="44" w16cid:durableId="16897194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YyNTI3NjY2AwIjAyUdpeDU4uLM/DyQAhPDWgAJt9h6LQAAAA=="/>
  </w:docVars>
  <w:rsids>
    <w:rsidRoot w:val="00374FD5"/>
    <w:rsid w:val="00000181"/>
    <w:rsid w:val="000005C3"/>
    <w:rsid w:val="0000070C"/>
    <w:rsid w:val="00000832"/>
    <w:rsid w:val="0000094D"/>
    <w:rsid w:val="0000106B"/>
    <w:rsid w:val="000016F2"/>
    <w:rsid w:val="00001FDE"/>
    <w:rsid w:val="00002131"/>
    <w:rsid w:val="00002896"/>
    <w:rsid w:val="00002932"/>
    <w:rsid w:val="0000297A"/>
    <w:rsid w:val="00002D6E"/>
    <w:rsid w:val="00003912"/>
    <w:rsid w:val="000049DE"/>
    <w:rsid w:val="00004F9C"/>
    <w:rsid w:val="0000522B"/>
    <w:rsid w:val="000053ED"/>
    <w:rsid w:val="00005960"/>
    <w:rsid w:val="000059B3"/>
    <w:rsid w:val="000060CB"/>
    <w:rsid w:val="000061FA"/>
    <w:rsid w:val="00006C42"/>
    <w:rsid w:val="0000787D"/>
    <w:rsid w:val="00007C53"/>
    <w:rsid w:val="00007F24"/>
    <w:rsid w:val="000104C7"/>
    <w:rsid w:val="00010641"/>
    <w:rsid w:val="00010CD5"/>
    <w:rsid w:val="00011281"/>
    <w:rsid w:val="00011AC9"/>
    <w:rsid w:val="00012DBD"/>
    <w:rsid w:val="00013156"/>
    <w:rsid w:val="00013A1B"/>
    <w:rsid w:val="00013E15"/>
    <w:rsid w:val="000143C2"/>
    <w:rsid w:val="0001449E"/>
    <w:rsid w:val="00014B96"/>
    <w:rsid w:val="000161E3"/>
    <w:rsid w:val="0001659F"/>
    <w:rsid w:val="00016791"/>
    <w:rsid w:val="00017990"/>
    <w:rsid w:val="000209CB"/>
    <w:rsid w:val="00020BAD"/>
    <w:rsid w:val="00020E84"/>
    <w:rsid w:val="00020ED8"/>
    <w:rsid w:val="00021037"/>
    <w:rsid w:val="000212CD"/>
    <w:rsid w:val="000213AB"/>
    <w:rsid w:val="00021EC6"/>
    <w:rsid w:val="0002276D"/>
    <w:rsid w:val="00022A9C"/>
    <w:rsid w:val="00022AA9"/>
    <w:rsid w:val="00022F5D"/>
    <w:rsid w:val="00023EC3"/>
    <w:rsid w:val="00024907"/>
    <w:rsid w:val="00025213"/>
    <w:rsid w:val="000254B4"/>
    <w:rsid w:val="000260AA"/>
    <w:rsid w:val="00026889"/>
    <w:rsid w:val="000268BD"/>
    <w:rsid w:val="00026929"/>
    <w:rsid w:val="00027520"/>
    <w:rsid w:val="00027C37"/>
    <w:rsid w:val="000304BC"/>
    <w:rsid w:val="000308E0"/>
    <w:rsid w:val="000317FE"/>
    <w:rsid w:val="00031A82"/>
    <w:rsid w:val="00031F58"/>
    <w:rsid w:val="000351CD"/>
    <w:rsid w:val="000353F4"/>
    <w:rsid w:val="000357CD"/>
    <w:rsid w:val="0003587A"/>
    <w:rsid w:val="00036063"/>
    <w:rsid w:val="000366E2"/>
    <w:rsid w:val="00036B4F"/>
    <w:rsid w:val="0003713D"/>
    <w:rsid w:val="0003793C"/>
    <w:rsid w:val="00037E2D"/>
    <w:rsid w:val="0004027E"/>
    <w:rsid w:val="00041639"/>
    <w:rsid w:val="00041E8F"/>
    <w:rsid w:val="0004256C"/>
    <w:rsid w:val="0004274E"/>
    <w:rsid w:val="00042773"/>
    <w:rsid w:val="00042D81"/>
    <w:rsid w:val="0004312A"/>
    <w:rsid w:val="0004361D"/>
    <w:rsid w:val="00043719"/>
    <w:rsid w:val="000437D8"/>
    <w:rsid w:val="000437F0"/>
    <w:rsid w:val="00043800"/>
    <w:rsid w:val="00043F37"/>
    <w:rsid w:val="00044993"/>
    <w:rsid w:val="000452CC"/>
    <w:rsid w:val="00045A7E"/>
    <w:rsid w:val="00045D00"/>
    <w:rsid w:val="00046441"/>
    <w:rsid w:val="000475B4"/>
    <w:rsid w:val="000477F0"/>
    <w:rsid w:val="000478E3"/>
    <w:rsid w:val="000509D2"/>
    <w:rsid w:val="000516BC"/>
    <w:rsid w:val="00051D54"/>
    <w:rsid w:val="00051E3A"/>
    <w:rsid w:val="000526A2"/>
    <w:rsid w:val="0005303B"/>
    <w:rsid w:val="00053DA4"/>
    <w:rsid w:val="00054722"/>
    <w:rsid w:val="00054DFF"/>
    <w:rsid w:val="0005511F"/>
    <w:rsid w:val="000551C6"/>
    <w:rsid w:val="00055617"/>
    <w:rsid w:val="000561E1"/>
    <w:rsid w:val="0005623B"/>
    <w:rsid w:val="00061C07"/>
    <w:rsid w:val="00062147"/>
    <w:rsid w:val="0006224A"/>
    <w:rsid w:val="00063922"/>
    <w:rsid w:val="000643F2"/>
    <w:rsid w:val="00064543"/>
    <w:rsid w:val="00064B1C"/>
    <w:rsid w:val="00066125"/>
    <w:rsid w:val="00067850"/>
    <w:rsid w:val="00070105"/>
    <w:rsid w:val="00070234"/>
    <w:rsid w:val="00071EF6"/>
    <w:rsid w:val="00072A51"/>
    <w:rsid w:val="000739C1"/>
    <w:rsid w:val="00073DEF"/>
    <w:rsid w:val="00074545"/>
    <w:rsid w:val="0007480F"/>
    <w:rsid w:val="000748EF"/>
    <w:rsid w:val="00074F18"/>
    <w:rsid w:val="0007535B"/>
    <w:rsid w:val="00075643"/>
    <w:rsid w:val="0007580A"/>
    <w:rsid w:val="00076429"/>
    <w:rsid w:val="00076447"/>
    <w:rsid w:val="00077138"/>
    <w:rsid w:val="0007781F"/>
    <w:rsid w:val="0008003F"/>
    <w:rsid w:val="000807D1"/>
    <w:rsid w:val="00080CC7"/>
    <w:rsid w:val="00080E65"/>
    <w:rsid w:val="00080E7C"/>
    <w:rsid w:val="00080F15"/>
    <w:rsid w:val="0008272F"/>
    <w:rsid w:val="00084529"/>
    <w:rsid w:val="00085066"/>
    <w:rsid w:val="00086352"/>
    <w:rsid w:val="000863AA"/>
    <w:rsid w:val="00086CED"/>
    <w:rsid w:val="00087419"/>
    <w:rsid w:val="00087CA3"/>
    <w:rsid w:val="00087FE4"/>
    <w:rsid w:val="0009033F"/>
    <w:rsid w:val="00090B48"/>
    <w:rsid w:val="00090FF5"/>
    <w:rsid w:val="00091645"/>
    <w:rsid w:val="00091EEB"/>
    <w:rsid w:val="00091F88"/>
    <w:rsid w:val="000925CD"/>
    <w:rsid w:val="0009304E"/>
    <w:rsid w:val="000930E1"/>
    <w:rsid w:val="00094224"/>
    <w:rsid w:val="0009453E"/>
    <w:rsid w:val="0009481B"/>
    <w:rsid w:val="00094B24"/>
    <w:rsid w:val="0009548F"/>
    <w:rsid w:val="000956D9"/>
    <w:rsid w:val="000960DA"/>
    <w:rsid w:val="0009656F"/>
    <w:rsid w:val="0009728A"/>
    <w:rsid w:val="000A00E7"/>
    <w:rsid w:val="000A01D4"/>
    <w:rsid w:val="000A06C2"/>
    <w:rsid w:val="000A06D9"/>
    <w:rsid w:val="000A09D9"/>
    <w:rsid w:val="000A0C3B"/>
    <w:rsid w:val="000A0E03"/>
    <w:rsid w:val="000A0EBE"/>
    <w:rsid w:val="000A13B3"/>
    <w:rsid w:val="000A14F4"/>
    <w:rsid w:val="000A1607"/>
    <w:rsid w:val="000A186A"/>
    <w:rsid w:val="000A1B54"/>
    <w:rsid w:val="000A1D78"/>
    <w:rsid w:val="000A2340"/>
    <w:rsid w:val="000A3064"/>
    <w:rsid w:val="000A3476"/>
    <w:rsid w:val="000A37BB"/>
    <w:rsid w:val="000A38E0"/>
    <w:rsid w:val="000A3ACA"/>
    <w:rsid w:val="000A4B2E"/>
    <w:rsid w:val="000A4CCF"/>
    <w:rsid w:val="000A532C"/>
    <w:rsid w:val="000A541A"/>
    <w:rsid w:val="000A5529"/>
    <w:rsid w:val="000A59A8"/>
    <w:rsid w:val="000A5A19"/>
    <w:rsid w:val="000A5B90"/>
    <w:rsid w:val="000A5D35"/>
    <w:rsid w:val="000A7588"/>
    <w:rsid w:val="000A7775"/>
    <w:rsid w:val="000A7D7C"/>
    <w:rsid w:val="000A7EAB"/>
    <w:rsid w:val="000B0D15"/>
    <w:rsid w:val="000B1086"/>
    <w:rsid w:val="000B10FC"/>
    <w:rsid w:val="000B1BA4"/>
    <w:rsid w:val="000B1D50"/>
    <w:rsid w:val="000B2332"/>
    <w:rsid w:val="000B25D4"/>
    <w:rsid w:val="000B26C9"/>
    <w:rsid w:val="000B2C25"/>
    <w:rsid w:val="000B30A5"/>
    <w:rsid w:val="000B3289"/>
    <w:rsid w:val="000B33C3"/>
    <w:rsid w:val="000B3D5C"/>
    <w:rsid w:val="000B4926"/>
    <w:rsid w:val="000B5DEB"/>
    <w:rsid w:val="000B5FE6"/>
    <w:rsid w:val="000B6098"/>
    <w:rsid w:val="000B6274"/>
    <w:rsid w:val="000B65DA"/>
    <w:rsid w:val="000B73F9"/>
    <w:rsid w:val="000B7670"/>
    <w:rsid w:val="000B79D8"/>
    <w:rsid w:val="000B7AC1"/>
    <w:rsid w:val="000B7C81"/>
    <w:rsid w:val="000B7CDF"/>
    <w:rsid w:val="000C024C"/>
    <w:rsid w:val="000C0D93"/>
    <w:rsid w:val="000C11BD"/>
    <w:rsid w:val="000C2018"/>
    <w:rsid w:val="000C3376"/>
    <w:rsid w:val="000C3408"/>
    <w:rsid w:val="000C4047"/>
    <w:rsid w:val="000C442A"/>
    <w:rsid w:val="000C4887"/>
    <w:rsid w:val="000C49B8"/>
    <w:rsid w:val="000C59BA"/>
    <w:rsid w:val="000C59EF"/>
    <w:rsid w:val="000C5F32"/>
    <w:rsid w:val="000C64B4"/>
    <w:rsid w:val="000C6F53"/>
    <w:rsid w:val="000D0A4A"/>
    <w:rsid w:val="000D0C13"/>
    <w:rsid w:val="000D0F32"/>
    <w:rsid w:val="000D121A"/>
    <w:rsid w:val="000D1630"/>
    <w:rsid w:val="000D1A00"/>
    <w:rsid w:val="000D2DCB"/>
    <w:rsid w:val="000D2E92"/>
    <w:rsid w:val="000D33C3"/>
    <w:rsid w:val="000D4165"/>
    <w:rsid w:val="000D47D9"/>
    <w:rsid w:val="000D4C6D"/>
    <w:rsid w:val="000D4E37"/>
    <w:rsid w:val="000D5FAB"/>
    <w:rsid w:val="000D608A"/>
    <w:rsid w:val="000D614D"/>
    <w:rsid w:val="000D616D"/>
    <w:rsid w:val="000D6583"/>
    <w:rsid w:val="000D659F"/>
    <w:rsid w:val="000D6AC2"/>
    <w:rsid w:val="000D707B"/>
    <w:rsid w:val="000D7BDE"/>
    <w:rsid w:val="000D7E83"/>
    <w:rsid w:val="000D7E9A"/>
    <w:rsid w:val="000E0104"/>
    <w:rsid w:val="000E09C6"/>
    <w:rsid w:val="000E12A1"/>
    <w:rsid w:val="000E1344"/>
    <w:rsid w:val="000E1416"/>
    <w:rsid w:val="000E1719"/>
    <w:rsid w:val="000E1D08"/>
    <w:rsid w:val="000E2194"/>
    <w:rsid w:val="000E26C8"/>
    <w:rsid w:val="000E2CEF"/>
    <w:rsid w:val="000E2D6A"/>
    <w:rsid w:val="000E2E6A"/>
    <w:rsid w:val="000E331F"/>
    <w:rsid w:val="000E36F8"/>
    <w:rsid w:val="000E38C2"/>
    <w:rsid w:val="000E3E05"/>
    <w:rsid w:val="000E4163"/>
    <w:rsid w:val="000E423C"/>
    <w:rsid w:val="000E4BE9"/>
    <w:rsid w:val="000E5241"/>
    <w:rsid w:val="000E583B"/>
    <w:rsid w:val="000E5896"/>
    <w:rsid w:val="000E6236"/>
    <w:rsid w:val="000E70B1"/>
    <w:rsid w:val="000E7E62"/>
    <w:rsid w:val="000F0348"/>
    <w:rsid w:val="000F0BE2"/>
    <w:rsid w:val="000F0D46"/>
    <w:rsid w:val="000F18BC"/>
    <w:rsid w:val="000F1FCB"/>
    <w:rsid w:val="000F22E4"/>
    <w:rsid w:val="000F2437"/>
    <w:rsid w:val="000F25CF"/>
    <w:rsid w:val="000F274A"/>
    <w:rsid w:val="000F33B1"/>
    <w:rsid w:val="000F38E4"/>
    <w:rsid w:val="000F44A4"/>
    <w:rsid w:val="000F5218"/>
    <w:rsid w:val="000F590B"/>
    <w:rsid w:val="000F5A15"/>
    <w:rsid w:val="000F5C3D"/>
    <w:rsid w:val="000F5DCF"/>
    <w:rsid w:val="000F5DE1"/>
    <w:rsid w:val="000F65A4"/>
    <w:rsid w:val="000F6D74"/>
    <w:rsid w:val="000F73C5"/>
    <w:rsid w:val="00100FEC"/>
    <w:rsid w:val="00101E57"/>
    <w:rsid w:val="00101FDD"/>
    <w:rsid w:val="00102E38"/>
    <w:rsid w:val="00103408"/>
    <w:rsid w:val="0010391F"/>
    <w:rsid w:val="00103CCB"/>
    <w:rsid w:val="00104107"/>
    <w:rsid w:val="001047F2"/>
    <w:rsid w:val="00105AD2"/>
    <w:rsid w:val="00105C12"/>
    <w:rsid w:val="00105F74"/>
    <w:rsid w:val="0010641D"/>
    <w:rsid w:val="00106732"/>
    <w:rsid w:val="00106994"/>
    <w:rsid w:val="00106E3F"/>
    <w:rsid w:val="00110255"/>
    <w:rsid w:val="00110380"/>
    <w:rsid w:val="00111978"/>
    <w:rsid w:val="00112414"/>
    <w:rsid w:val="001126BE"/>
    <w:rsid w:val="001134CE"/>
    <w:rsid w:val="0011367B"/>
    <w:rsid w:val="00113A3D"/>
    <w:rsid w:val="001142F6"/>
    <w:rsid w:val="00114302"/>
    <w:rsid w:val="001149D7"/>
    <w:rsid w:val="00114DBD"/>
    <w:rsid w:val="001152C5"/>
    <w:rsid w:val="00115542"/>
    <w:rsid w:val="0011597F"/>
    <w:rsid w:val="00115A30"/>
    <w:rsid w:val="00116240"/>
    <w:rsid w:val="00116BEB"/>
    <w:rsid w:val="00116DCA"/>
    <w:rsid w:val="00117A05"/>
    <w:rsid w:val="0012048F"/>
    <w:rsid w:val="00120F84"/>
    <w:rsid w:val="001213E2"/>
    <w:rsid w:val="00121C0B"/>
    <w:rsid w:val="00122020"/>
    <w:rsid w:val="001221CC"/>
    <w:rsid w:val="00122502"/>
    <w:rsid w:val="00122533"/>
    <w:rsid w:val="001227BB"/>
    <w:rsid w:val="00122EA2"/>
    <w:rsid w:val="00123D8A"/>
    <w:rsid w:val="001244FB"/>
    <w:rsid w:val="0012468A"/>
    <w:rsid w:val="001248D3"/>
    <w:rsid w:val="00125272"/>
    <w:rsid w:val="00126028"/>
    <w:rsid w:val="0012680A"/>
    <w:rsid w:val="00126D73"/>
    <w:rsid w:val="001271BD"/>
    <w:rsid w:val="00127EB9"/>
    <w:rsid w:val="001302F0"/>
    <w:rsid w:val="00131C3A"/>
    <w:rsid w:val="00131E12"/>
    <w:rsid w:val="00132066"/>
    <w:rsid w:val="00132AA1"/>
    <w:rsid w:val="00132DEB"/>
    <w:rsid w:val="0013342D"/>
    <w:rsid w:val="00133BE1"/>
    <w:rsid w:val="00134DD2"/>
    <w:rsid w:val="00134E99"/>
    <w:rsid w:val="00134FB3"/>
    <w:rsid w:val="001353BA"/>
    <w:rsid w:val="001368D7"/>
    <w:rsid w:val="00137465"/>
    <w:rsid w:val="00137503"/>
    <w:rsid w:val="00137585"/>
    <w:rsid w:val="00137B85"/>
    <w:rsid w:val="00140A69"/>
    <w:rsid w:val="001414F3"/>
    <w:rsid w:val="00141990"/>
    <w:rsid w:val="00141B9D"/>
    <w:rsid w:val="001420EC"/>
    <w:rsid w:val="0014214B"/>
    <w:rsid w:val="001421A9"/>
    <w:rsid w:val="00142A0A"/>
    <w:rsid w:val="00142B59"/>
    <w:rsid w:val="0014334F"/>
    <w:rsid w:val="001434C1"/>
    <w:rsid w:val="00143591"/>
    <w:rsid w:val="0014373F"/>
    <w:rsid w:val="0014390F"/>
    <w:rsid w:val="00143A78"/>
    <w:rsid w:val="0014416E"/>
    <w:rsid w:val="001442A8"/>
    <w:rsid w:val="00144D95"/>
    <w:rsid w:val="001451F7"/>
    <w:rsid w:val="00145202"/>
    <w:rsid w:val="00145A69"/>
    <w:rsid w:val="00146701"/>
    <w:rsid w:val="00146C9B"/>
    <w:rsid w:val="001501BE"/>
    <w:rsid w:val="0015036E"/>
    <w:rsid w:val="00150CA8"/>
    <w:rsid w:val="00151062"/>
    <w:rsid w:val="001514FF"/>
    <w:rsid w:val="00152093"/>
    <w:rsid w:val="001523FF"/>
    <w:rsid w:val="001524C4"/>
    <w:rsid w:val="00152899"/>
    <w:rsid w:val="00152ED3"/>
    <w:rsid w:val="0015399F"/>
    <w:rsid w:val="00153FE9"/>
    <w:rsid w:val="001542B6"/>
    <w:rsid w:val="00154EDD"/>
    <w:rsid w:val="00155AEE"/>
    <w:rsid w:val="00155CDE"/>
    <w:rsid w:val="001565E7"/>
    <w:rsid w:val="0015663D"/>
    <w:rsid w:val="001567DE"/>
    <w:rsid w:val="00156CFF"/>
    <w:rsid w:val="00156D92"/>
    <w:rsid w:val="0015739D"/>
    <w:rsid w:val="001577B4"/>
    <w:rsid w:val="0015791F"/>
    <w:rsid w:val="0016018F"/>
    <w:rsid w:val="00160F1A"/>
    <w:rsid w:val="00160F6B"/>
    <w:rsid w:val="00161B80"/>
    <w:rsid w:val="00161E3A"/>
    <w:rsid w:val="0016210A"/>
    <w:rsid w:val="00162B8F"/>
    <w:rsid w:val="0016339F"/>
    <w:rsid w:val="0016362B"/>
    <w:rsid w:val="00163676"/>
    <w:rsid w:val="00163865"/>
    <w:rsid w:val="00166256"/>
    <w:rsid w:val="0016635B"/>
    <w:rsid w:val="001678EE"/>
    <w:rsid w:val="00167CE8"/>
    <w:rsid w:val="00170425"/>
    <w:rsid w:val="0017063C"/>
    <w:rsid w:val="001723BC"/>
    <w:rsid w:val="0017271D"/>
    <w:rsid w:val="00172D9F"/>
    <w:rsid w:val="00172F29"/>
    <w:rsid w:val="001730D8"/>
    <w:rsid w:val="00173629"/>
    <w:rsid w:val="00173A17"/>
    <w:rsid w:val="0017484D"/>
    <w:rsid w:val="00174944"/>
    <w:rsid w:val="00174A79"/>
    <w:rsid w:val="00174D51"/>
    <w:rsid w:val="00175D46"/>
    <w:rsid w:val="001760C9"/>
    <w:rsid w:val="00176ACB"/>
    <w:rsid w:val="001772F2"/>
    <w:rsid w:val="001774B8"/>
    <w:rsid w:val="00177B82"/>
    <w:rsid w:val="001802DE"/>
    <w:rsid w:val="00181480"/>
    <w:rsid w:val="0018153B"/>
    <w:rsid w:val="001816B2"/>
    <w:rsid w:val="001816FA"/>
    <w:rsid w:val="001817BB"/>
    <w:rsid w:val="001821B8"/>
    <w:rsid w:val="00183016"/>
    <w:rsid w:val="0018369D"/>
    <w:rsid w:val="00183B81"/>
    <w:rsid w:val="001848E3"/>
    <w:rsid w:val="0018548E"/>
    <w:rsid w:val="001859BD"/>
    <w:rsid w:val="00185C77"/>
    <w:rsid w:val="00185FF0"/>
    <w:rsid w:val="00186D72"/>
    <w:rsid w:val="00187AF3"/>
    <w:rsid w:val="00190AAB"/>
    <w:rsid w:val="00191BA4"/>
    <w:rsid w:val="00191CD8"/>
    <w:rsid w:val="00192059"/>
    <w:rsid w:val="00192921"/>
    <w:rsid w:val="00193825"/>
    <w:rsid w:val="0019387B"/>
    <w:rsid w:val="00193BA4"/>
    <w:rsid w:val="001940FD"/>
    <w:rsid w:val="0019562D"/>
    <w:rsid w:val="00195853"/>
    <w:rsid w:val="00195A24"/>
    <w:rsid w:val="00195A8B"/>
    <w:rsid w:val="00195C6D"/>
    <w:rsid w:val="001962C4"/>
    <w:rsid w:val="001969E1"/>
    <w:rsid w:val="001973EC"/>
    <w:rsid w:val="00197923"/>
    <w:rsid w:val="00197B81"/>
    <w:rsid w:val="00197CD4"/>
    <w:rsid w:val="001A0D65"/>
    <w:rsid w:val="001A1063"/>
    <w:rsid w:val="001A133C"/>
    <w:rsid w:val="001A1483"/>
    <w:rsid w:val="001A161D"/>
    <w:rsid w:val="001A1A7D"/>
    <w:rsid w:val="001A1B5E"/>
    <w:rsid w:val="001A1E7F"/>
    <w:rsid w:val="001A21FD"/>
    <w:rsid w:val="001A34B8"/>
    <w:rsid w:val="001A3AEC"/>
    <w:rsid w:val="001A3B30"/>
    <w:rsid w:val="001A49E7"/>
    <w:rsid w:val="001A4A54"/>
    <w:rsid w:val="001A4B3D"/>
    <w:rsid w:val="001A51DB"/>
    <w:rsid w:val="001A52D8"/>
    <w:rsid w:val="001A53CF"/>
    <w:rsid w:val="001A5A6F"/>
    <w:rsid w:val="001A6819"/>
    <w:rsid w:val="001A6C85"/>
    <w:rsid w:val="001A7206"/>
    <w:rsid w:val="001A770A"/>
    <w:rsid w:val="001A7C6F"/>
    <w:rsid w:val="001A7F32"/>
    <w:rsid w:val="001B00B6"/>
    <w:rsid w:val="001B0775"/>
    <w:rsid w:val="001B07C0"/>
    <w:rsid w:val="001B0D04"/>
    <w:rsid w:val="001B0E78"/>
    <w:rsid w:val="001B1091"/>
    <w:rsid w:val="001B1530"/>
    <w:rsid w:val="001B36E1"/>
    <w:rsid w:val="001B3843"/>
    <w:rsid w:val="001B3ED6"/>
    <w:rsid w:val="001B40F1"/>
    <w:rsid w:val="001B4134"/>
    <w:rsid w:val="001B43DC"/>
    <w:rsid w:val="001B4882"/>
    <w:rsid w:val="001B4A5E"/>
    <w:rsid w:val="001B5372"/>
    <w:rsid w:val="001B578B"/>
    <w:rsid w:val="001B5928"/>
    <w:rsid w:val="001B59A4"/>
    <w:rsid w:val="001B6AB7"/>
    <w:rsid w:val="001B7269"/>
    <w:rsid w:val="001B75EC"/>
    <w:rsid w:val="001B7B87"/>
    <w:rsid w:val="001B7C0B"/>
    <w:rsid w:val="001B7D46"/>
    <w:rsid w:val="001B7E16"/>
    <w:rsid w:val="001C09CD"/>
    <w:rsid w:val="001C25F2"/>
    <w:rsid w:val="001C2688"/>
    <w:rsid w:val="001C2B58"/>
    <w:rsid w:val="001C3B91"/>
    <w:rsid w:val="001C407A"/>
    <w:rsid w:val="001C4EFF"/>
    <w:rsid w:val="001C588C"/>
    <w:rsid w:val="001C643C"/>
    <w:rsid w:val="001C65AA"/>
    <w:rsid w:val="001C69EE"/>
    <w:rsid w:val="001C726A"/>
    <w:rsid w:val="001C73E1"/>
    <w:rsid w:val="001D0116"/>
    <w:rsid w:val="001D0B2E"/>
    <w:rsid w:val="001D0F2A"/>
    <w:rsid w:val="001D1E8E"/>
    <w:rsid w:val="001D231F"/>
    <w:rsid w:val="001D27A7"/>
    <w:rsid w:val="001D407C"/>
    <w:rsid w:val="001D41C8"/>
    <w:rsid w:val="001D44C4"/>
    <w:rsid w:val="001D4880"/>
    <w:rsid w:val="001D4E29"/>
    <w:rsid w:val="001D53E9"/>
    <w:rsid w:val="001D5C6E"/>
    <w:rsid w:val="001D6A33"/>
    <w:rsid w:val="001D7344"/>
    <w:rsid w:val="001D791F"/>
    <w:rsid w:val="001E081E"/>
    <w:rsid w:val="001E0FDE"/>
    <w:rsid w:val="001E1180"/>
    <w:rsid w:val="001E12BA"/>
    <w:rsid w:val="001E1689"/>
    <w:rsid w:val="001E3296"/>
    <w:rsid w:val="001E3A17"/>
    <w:rsid w:val="001E4116"/>
    <w:rsid w:val="001E4FE3"/>
    <w:rsid w:val="001E535F"/>
    <w:rsid w:val="001E536A"/>
    <w:rsid w:val="001E6A12"/>
    <w:rsid w:val="001E6C25"/>
    <w:rsid w:val="001F0510"/>
    <w:rsid w:val="001F1520"/>
    <w:rsid w:val="001F1DF6"/>
    <w:rsid w:val="001F1EB9"/>
    <w:rsid w:val="001F22D8"/>
    <w:rsid w:val="001F28DA"/>
    <w:rsid w:val="001F2C2E"/>
    <w:rsid w:val="001F2F57"/>
    <w:rsid w:val="001F397F"/>
    <w:rsid w:val="001F3FDF"/>
    <w:rsid w:val="001F4458"/>
    <w:rsid w:val="001F4460"/>
    <w:rsid w:val="001F4D4A"/>
    <w:rsid w:val="001F5F8F"/>
    <w:rsid w:val="001F62A2"/>
    <w:rsid w:val="001F645A"/>
    <w:rsid w:val="001F6C18"/>
    <w:rsid w:val="001F6C83"/>
    <w:rsid w:val="001F75B1"/>
    <w:rsid w:val="001F7E0C"/>
    <w:rsid w:val="00200A64"/>
    <w:rsid w:val="002011EB"/>
    <w:rsid w:val="002014A3"/>
    <w:rsid w:val="00201514"/>
    <w:rsid w:val="00201B92"/>
    <w:rsid w:val="002024C4"/>
    <w:rsid w:val="00202A47"/>
    <w:rsid w:val="00202CB2"/>
    <w:rsid w:val="002030BA"/>
    <w:rsid w:val="00203116"/>
    <w:rsid w:val="002033C2"/>
    <w:rsid w:val="002035A9"/>
    <w:rsid w:val="00203C76"/>
    <w:rsid w:val="00204253"/>
    <w:rsid w:val="0020450A"/>
    <w:rsid w:val="002046A8"/>
    <w:rsid w:val="002047C6"/>
    <w:rsid w:val="00204F8E"/>
    <w:rsid w:val="00204F97"/>
    <w:rsid w:val="0020504A"/>
    <w:rsid w:val="002052EE"/>
    <w:rsid w:val="0020540B"/>
    <w:rsid w:val="0020567C"/>
    <w:rsid w:val="00205C7D"/>
    <w:rsid w:val="00205D48"/>
    <w:rsid w:val="00206659"/>
    <w:rsid w:val="00206BAB"/>
    <w:rsid w:val="00207095"/>
    <w:rsid w:val="0020721F"/>
    <w:rsid w:val="00207A28"/>
    <w:rsid w:val="00207D94"/>
    <w:rsid w:val="00210031"/>
    <w:rsid w:val="002103AF"/>
    <w:rsid w:val="00210FB1"/>
    <w:rsid w:val="00213A07"/>
    <w:rsid w:val="00213F97"/>
    <w:rsid w:val="00214061"/>
    <w:rsid w:val="00214A26"/>
    <w:rsid w:val="00214D9F"/>
    <w:rsid w:val="002157FD"/>
    <w:rsid w:val="00215847"/>
    <w:rsid w:val="00216330"/>
    <w:rsid w:val="002163F1"/>
    <w:rsid w:val="0021684A"/>
    <w:rsid w:val="00216D2F"/>
    <w:rsid w:val="00216F06"/>
    <w:rsid w:val="00216F37"/>
    <w:rsid w:val="002208D3"/>
    <w:rsid w:val="0022091C"/>
    <w:rsid w:val="00220DE0"/>
    <w:rsid w:val="002212D3"/>
    <w:rsid w:val="002213A9"/>
    <w:rsid w:val="00222087"/>
    <w:rsid w:val="00222B14"/>
    <w:rsid w:val="00222CB3"/>
    <w:rsid w:val="00222D8F"/>
    <w:rsid w:val="00224B8F"/>
    <w:rsid w:val="00224E98"/>
    <w:rsid w:val="00225809"/>
    <w:rsid w:val="00225C0D"/>
    <w:rsid w:val="00226649"/>
    <w:rsid w:val="00226D01"/>
    <w:rsid w:val="00226E80"/>
    <w:rsid w:val="00227D51"/>
    <w:rsid w:val="00231A26"/>
    <w:rsid w:val="00231C65"/>
    <w:rsid w:val="0023214A"/>
    <w:rsid w:val="00232689"/>
    <w:rsid w:val="00232D09"/>
    <w:rsid w:val="00233A58"/>
    <w:rsid w:val="0023425E"/>
    <w:rsid w:val="00234392"/>
    <w:rsid w:val="002347F5"/>
    <w:rsid w:val="00234ADF"/>
    <w:rsid w:val="00234B0F"/>
    <w:rsid w:val="00235021"/>
    <w:rsid w:val="00235A44"/>
    <w:rsid w:val="00236847"/>
    <w:rsid w:val="002368C1"/>
    <w:rsid w:val="00237A95"/>
    <w:rsid w:val="00240956"/>
    <w:rsid w:val="00240CC8"/>
    <w:rsid w:val="0024191A"/>
    <w:rsid w:val="00241A40"/>
    <w:rsid w:val="0024245E"/>
    <w:rsid w:val="0024265F"/>
    <w:rsid w:val="0024298D"/>
    <w:rsid w:val="00242C8A"/>
    <w:rsid w:val="0024431C"/>
    <w:rsid w:val="00244390"/>
    <w:rsid w:val="00244599"/>
    <w:rsid w:val="00244B4D"/>
    <w:rsid w:val="00244E4C"/>
    <w:rsid w:val="00245113"/>
    <w:rsid w:val="00246568"/>
    <w:rsid w:val="002467F2"/>
    <w:rsid w:val="00247208"/>
    <w:rsid w:val="0025146D"/>
    <w:rsid w:val="00251AEA"/>
    <w:rsid w:val="002523BC"/>
    <w:rsid w:val="00252B25"/>
    <w:rsid w:val="00252E67"/>
    <w:rsid w:val="00253A8F"/>
    <w:rsid w:val="00253AA3"/>
    <w:rsid w:val="00253AAB"/>
    <w:rsid w:val="00253FAE"/>
    <w:rsid w:val="00253FF9"/>
    <w:rsid w:val="00254ABF"/>
    <w:rsid w:val="00254B3E"/>
    <w:rsid w:val="00254BD2"/>
    <w:rsid w:val="00254F97"/>
    <w:rsid w:val="00256C1D"/>
    <w:rsid w:val="00257467"/>
    <w:rsid w:val="00257AE9"/>
    <w:rsid w:val="0026047B"/>
    <w:rsid w:val="002606C2"/>
    <w:rsid w:val="00261650"/>
    <w:rsid w:val="00261D38"/>
    <w:rsid w:val="002628D4"/>
    <w:rsid w:val="002635EE"/>
    <w:rsid w:val="0026367E"/>
    <w:rsid w:val="00263897"/>
    <w:rsid w:val="002642F3"/>
    <w:rsid w:val="0026439E"/>
    <w:rsid w:val="00264CDE"/>
    <w:rsid w:val="0026552C"/>
    <w:rsid w:val="00265DE4"/>
    <w:rsid w:val="00265F2B"/>
    <w:rsid w:val="00266923"/>
    <w:rsid w:val="00267921"/>
    <w:rsid w:val="00267A76"/>
    <w:rsid w:val="00267D79"/>
    <w:rsid w:val="0027069C"/>
    <w:rsid w:val="002707BC"/>
    <w:rsid w:val="00270D7C"/>
    <w:rsid w:val="002710EC"/>
    <w:rsid w:val="00271877"/>
    <w:rsid w:val="00271E9C"/>
    <w:rsid w:val="0027342F"/>
    <w:rsid w:val="00274339"/>
    <w:rsid w:val="00274BF6"/>
    <w:rsid w:val="002750FE"/>
    <w:rsid w:val="00275917"/>
    <w:rsid w:val="002767C0"/>
    <w:rsid w:val="002768A8"/>
    <w:rsid w:val="0027707C"/>
    <w:rsid w:val="00280756"/>
    <w:rsid w:val="00280A0A"/>
    <w:rsid w:val="00280ABE"/>
    <w:rsid w:val="00280CC1"/>
    <w:rsid w:val="00281571"/>
    <w:rsid w:val="00282132"/>
    <w:rsid w:val="002823EE"/>
    <w:rsid w:val="00282557"/>
    <w:rsid w:val="00282777"/>
    <w:rsid w:val="00282BC5"/>
    <w:rsid w:val="00282C88"/>
    <w:rsid w:val="00282F79"/>
    <w:rsid w:val="002836C4"/>
    <w:rsid w:val="00283A15"/>
    <w:rsid w:val="00283F53"/>
    <w:rsid w:val="00284463"/>
    <w:rsid w:val="002854A5"/>
    <w:rsid w:val="00285580"/>
    <w:rsid w:val="002858FB"/>
    <w:rsid w:val="00285A99"/>
    <w:rsid w:val="0028632C"/>
    <w:rsid w:val="0028641F"/>
    <w:rsid w:val="002866BC"/>
    <w:rsid w:val="00286784"/>
    <w:rsid w:val="002874D8"/>
    <w:rsid w:val="00290059"/>
    <w:rsid w:val="00290148"/>
    <w:rsid w:val="00290F71"/>
    <w:rsid w:val="00291237"/>
    <w:rsid w:val="00291814"/>
    <w:rsid w:val="00292971"/>
    <w:rsid w:val="00292BD9"/>
    <w:rsid w:val="0029373F"/>
    <w:rsid w:val="00293B9E"/>
    <w:rsid w:val="00294300"/>
    <w:rsid w:val="00295477"/>
    <w:rsid w:val="00295E37"/>
    <w:rsid w:val="00295FCD"/>
    <w:rsid w:val="00296AE1"/>
    <w:rsid w:val="00297060"/>
    <w:rsid w:val="00297191"/>
    <w:rsid w:val="002A0491"/>
    <w:rsid w:val="002A0E7D"/>
    <w:rsid w:val="002A0EF2"/>
    <w:rsid w:val="002A10CB"/>
    <w:rsid w:val="002A13D8"/>
    <w:rsid w:val="002A1463"/>
    <w:rsid w:val="002A1D98"/>
    <w:rsid w:val="002A29BF"/>
    <w:rsid w:val="002A2A01"/>
    <w:rsid w:val="002A2B03"/>
    <w:rsid w:val="002A3E29"/>
    <w:rsid w:val="002A43DF"/>
    <w:rsid w:val="002A517D"/>
    <w:rsid w:val="002A54C4"/>
    <w:rsid w:val="002A5801"/>
    <w:rsid w:val="002A5D4D"/>
    <w:rsid w:val="002A5EB8"/>
    <w:rsid w:val="002A606B"/>
    <w:rsid w:val="002A69D2"/>
    <w:rsid w:val="002A6D8C"/>
    <w:rsid w:val="002A7464"/>
    <w:rsid w:val="002A7EE2"/>
    <w:rsid w:val="002B05C6"/>
    <w:rsid w:val="002B073A"/>
    <w:rsid w:val="002B091D"/>
    <w:rsid w:val="002B1BD8"/>
    <w:rsid w:val="002B1D80"/>
    <w:rsid w:val="002B30C8"/>
    <w:rsid w:val="002B32BA"/>
    <w:rsid w:val="002B393F"/>
    <w:rsid w:val="002B3D4C"/>
    <w:rsid w:val="002B3DBF"/>
    <w:rsid w:val="002B3DEC"/>
    <w:rsid w:val="002B43CA"/>
    <w:rsid w:val="002B45BA"/>
    <w:rsid w:val="002B5461"/>
    <w:rsid w:val="002B5B04"/>
    <w:rsid w:val="002B6F79"/>
    <w:rsid w:val="002B72FC"/>
    <w:rsid w:val="002B747F"/>
    <w:rsid w:val="002B766F"/>
    <w:rsid w:val="002B77BD"/>
    <w:rsid w:val="002B7F44"/>
    <w:rsid w:val="002C0340"/>
    <w:rsid w:val="002C08DB"/>
    <w:rsid w:val="002C0A0F"/>
    <w:rsid w:val="002C12D7"/>
    <w:rsid w:val="002C161C"/>
    <w:rsid w:val="002C1960"/>
    <w:rsid w:val="002C1E28"/>
    <w:rsid w:val="002C1EC0"/>
    <w:rsid w:val="002C237B"/>
    <w:rsid w:val="002C24F2"/>
    <w:rsid w:val="002C2A25"/>
    <w:rsid w:val="002C2ECC"/>
    <w:rsid w:val="002C3190"/>
    <w:rsid w:val="002C342F"/>
    <w:rsid w:val="002C4503"/>
    <w:rsid w:val="002C4EF6"/>
    <w:rsid w:val="002C5238"/>
    <w:rsid w:val="002C5609"/>
    <w:rsid w:val="002C64DC"/>
    <w:rsid w:val="002C69F0"/>
    <w:rsid w:val="002C6D56"/>
    <w:rsid w:val="002C6D67"/>
    <w:rsid w:val="002C7ABC"/>
    <w:rsid w:val="002C7CE7"/>
    <w:rsid w:val="002C7EE8"/>
    <w:rsid w:val="002D0E12"/>
    <w:rsid w:val="002D134C"/>
    <w:rsid w:val="002D1627"/>
    <w:rsid w:val="002D1C57"/>
    <w:rsid w:val="002D265A"/>
    <w:rsid w:val="002D2BFE"/>
    <w:rsid w:val="002D326F"/>
    <w:rsid w:val="002D349F"/>
    <w:rsid w:val="002D3A85"/>
    <w:rsid w:val="002D3EDA"/>
    <w:rsid w:val="002D3F12"/>
    <w:rsid w:val="002D492C"/>
    <w:rsid w:val="002D4D96"/>
    <w:rsid w:val="002D4E50"/>
    <w:rsid w:val="002D4F14"/>
    <w:rsid w:val="002D4FF6"/>
    <w:rsid w:val="002D50D2"/>
    <w:rsid w:val="002D5932"/>
    <w:rsid w:val="002D5965"/>
    <w:rsid w:val="002D6258"/>
    <w:rsid w:val="002D704F"/>
    <w:rsid w:val="002D707E"/>
    <w:rsid w:val="002D736F"/>
    <w:rsid w:val="002D78AC"/>
    <w:rsid w:val="002D7EE3"/>
    <w:rsid w:val="002D7F37"/>
    <w:rsid w:val="002E0B7C"/>
    <w:rsid w:val="002E0C55"/>
    <w:rsid w:val="002E2612"/>
    <w:rsid w:val="002E287A"/>
    <w:rsid w:val="002E2C24"/>
    <w:rsid w:val="002E32C1"/>
    <w:rsid w:val="002E3CB4"/>
    <w:rsid w:val="002E4B22"/>
    <w:rsid w:val="002E4E38"/>
    <w:rsid w:val="002E4F39"/>
    <w:rsid w:val="002E57EE"/>
    <w:rsid w:val="002E6023"/>
    <w:rsid w:val="002F026F"/>
    <w:rsid w:val="002F0732"/>
    <w:rsid w:val="002F13A1"/>
    <w:rsid w:val="002F1C60"/>
    <w:rsid w:val="002F1D61"/>
    <w:rsid w:val="002F23D3"/>
    <w:rsid w:val="002F3104"/>
    <w:rsid w:val="002F40C4"/>
    <w:rsid w:val="002F410C"/>
    <w:rsid w:val="002F43D9"/>
    <w:rsid w:val="002F43E0"/>
    <w:rsid w:val="002F4DC1"/>
    <w:rsid w:val="002F517E"/>
    <w:rsid w:val="002F5919"/>
    <w:rsid w:val="002F6B5D"/>
    <w:rsid w:val="002F7444"/>
    <w:rsid w:val="002F74F5"/>
    <w:rsid w:val="002F7DB1"/>
    <w:rsid w:val="0030048E"/>
    <w:rsid w:val="00300647"/>
    <w:rsid w:val="00300733"/>
    <w:rsid w:val="0030086F"/>
    <w:rsid w:val="003008C5"/>
    <w:rsid w:val="00300C9B"/>
    <w:rsid w:val="00301266"/>
    <w:rsid w:val="0030134A"/>
    <w:rsid w:val="00301742"/>
    <w:rsid w:val="003034E7"/>
    <w:rsid w:val="003041C2"/>
    <w:rsid w:val="00304807"/>
    <w:rsid w:val="00304C7B"/>
    <w:rsid w:val="00305221"/>
    <w:rsid w:val="0030600D"/>
    <w:rsid w:val="00306167"/>
    <w:rsid w:val="00306565"/>
    <w:rsid w:val="003069C9"/>
    <w:rsid w:val="00307497"/>
    <w:rsid w:val="0030751E"/>
    <w:rsid w:val="003077A9"/>
    <w:rsid w:val="00307A52"/>
    <w:rsid w:val="00307AEC"/>
    <w:rsid w:val="0031090D"/>
    <w:rsid w:val="00310D8A"/>
    <w:rsid w:val="00310E8F"/>
    <w:rsid w:val="00311884"/>
    <w:rsid w:val="00311C30"/>
    <w:rsid w:val="00312F7A"/>
    <w:rsid w:val="003130A8"/>
    <w:rsid w:val="00313420"/>
    <w:rsid w:val="00313EC1"/>
    <w:rsid w:val="00314991"/>
    <w:rsid w:val="003152D7"/>
    <w:rsid w:val="00315512"/>
    <w:rsid w:val="00315B65"/>
    <w:rsid w:val="00316097"/>
    <w:rsid w:val="003176FD"/>
    <w:rsid w:val="00317A02"/>
    <w:rsid w:val="0032096A"/>
    <w:rsid w:val="0032223B"/>
    <w:rsid w:val="00323612"/>
    <w:rsid w:val="00323964"/>
    <w:rsid w:val="00324139"/>
    <w:rsid w:val="00324591"/>
    <w:rsid w:val="00324B9A"/>
    <w:rsid w:val="00324E83"/>
    <w:rsid w:val="00325074"/>
    <w:rsid w:val="0032645C"/>
    <w:rsid w:val="003269A2"/>
    <w:rsid w:val="00326A5B"/>
    <w:rsid w:val="00326DF4"/>
    <w:rsid w:val="003275B8"/>
    <w:rsid w:val="00330322"/>
    <w:rsid w:val="00330BE3"/>
    <w:rsid w:val="00331A83"/>
    <w:rsid w:val="00331AFC"/>
    <w:rsid w:val="00331DF9"/>
    <w:rsid w:val="00332D45"/>
    <w:rsid w:val="00333117"/>
    <w:rsid w:val="0033356F"/>
    <w:rsid w:val="00334235"/>
    <w:rsid w:val="00334A0C"/>
    <w:rsid w:val="00334AB5"/>
    <w:rsid w:val="00334C0E"/>
    <w:rsid w:val="00334C86"/>
    <w:rsid w:val="003358D3"/>
    <w:rsid w:val="00335C04"/>
    <w:rsid w:val="00335CFA"/>
    <w:rsid w:val="00335E3B"/>
    <w:rsid w:val="003362A5"/>
    <w:rsid w:val="00336A3A"/>
    <w:rsid w:val="00337273"/>
    <w:rsid w:val="003403B5"/>
    <w:rsid w:val="00340468"/>
    <w:rsid w:val="00340572"/>
    <w:rsid w:val="00340749"/>
    <w:rsid w:val="00340EE2"/>
    <w:rsid w:val="00340FCE"/>
    <w:rsid w:val="0034154E"/>
    <w:rsid w:val="00341641"/>
    <w:rsid w:val="00341883"/>
    <w:rsid w:val="0034340D"/>
    <w:rsid w:val="003437A1"/>
    <w:rsid w:val="0034465C"/>
    <w:rsid w:val="003446D8"/>
    <w:rsid w:val="00344E4D"/>
    <w:rsid w:val="0034511E"/>
    <w:rsid w:val="00345397"/>
    <w:rsid w:val="00345B3E"/>
    <w:rsid w:val="00345F4C"/>
    <w:rsid w:val="00346767"/>
    <w:rsid w:val="00347605"/>
    <w:rsid w:val="003477DC"/>
    <w:rsid w:val="003479ED"/>
    <w:rsid w:val="00347B77"/>
    <w:rsid w:val="00347BE9"/>
    <w:rsid w:val="00347E8B"/>
    <w:rsid w:val="00350983"/>
    <w:rsid w:val="00350B8D"/>
    <w:rsid w:val="003514B1"/>
    <w:rsid w:val="00351586"/>
    <w:rsid w:val="003524B5"/>
    <w:rsid w:val="0035259F"/>
    <w:rsid w:val="003526F2"/>
    <w:rsid w:val="0035361E"/>
    <w:rsid w:val="003537A1"/>
    <w:rsid w:val="00353C3A"/>
    <w:rsid w:val="00354544"/>
    <w:rsid w:val="003546A9"/>
    <w:rsid w:val="00354F0F"/>
    <w:rsid w:val="00355071"/>
    <w:rsid w:val="003552FE"/>
    <w:rsid w:val="00355393"/>
    <w:rsid w:val="00355A34"/>
    <w:rsid w:val="003560C2"/>
    <w:rsid w:val="00356385"/>
    <w:rsid w:val="00357077"/>
    <w:rsid w:val="00357170"/>
    <w:rsid w:val="0035764A"/>
    <w:rsid w:val="00357912"/>
    <w:rsid w:val="00357B6D"/>
    <w:rsid w:val="00357EB4"/>
    <w:rsid w:val="003604CA"/>
    <w:rsid w:val="003606BB"/>
    <w:rsid w:val="00361748"/>
    <w:rsid w:val="00361766"/>
    <w:rsid w:val="00361CD2"/>
    <w:rsid w:val="00362ABA"/>
    <w:rsid w:val="00362BC6"/>
    <w:rsid w:val="00363570"/>
    <w:rsid w:val="00364BFB"/>
    <w:rsid w:val="00365661"/>
    <w:rsid w:val="0036578B"/>
    <w:rsid w:val="00366D16"/>
    <w:rsid w:val="003673FA"/>
    <w:rsid w:val="003674C1"/>
    <w:rsid w:val="00367CA2"/>
    <w:rsid w:val="00367F41"/>
    <w:rsid w:val="00370095"/>
    <w:rsid w:val="00370DDB"/>
    <w:rsid w:val="00371053"/>
    <w:rsid w:val="0037127D"/>
    <w:rsid w:val="00372F1A"/>
    <w:rsid w:val="003734CC"/>
    <w:rsid w:val="00374BF2"/>
    <w:rsid w:val="00374FD5"/>
    <w:rsid w:val="00375086"/>
    <w:rsid w:val="00375E79"/>
    <w:rsid w:val="00376736"/>
    <w:rsid w:val="00377817"/>
    <w:rsid w:val="00381D85"/>
    <w:rsid w:val="00382663"/>
    <w:rsid w:val="00383493"/>
    <w:rsid w:val="00383947"/>
    <w:rsid w:val="00384AC2"/>
    <w:rsid w:val="00385AC2"/>
    <w:rsid w:val="00386154"/>
    <w:rsid w:val="003865A2"/>
    <w:rsid w:val="00386885"/>
    <w:rsid w:val="00386C99"/>
    <w:rsid w:val="00386D41"/>
    <w:rsid w:val="0038731F"/>
    <w:rsid w:val="00387398"/>
    <w:rsid w:val="00387AE5"/>
    <w:rsid w:val="00391709"/>
    <w:rsid w:val="00391963"/>
    <w:rsid w:val="00391E00"/>
    <w:rsid w:val="00392F8C"/>
    <w:rsid w:val="00393129"/>
    <w:rsid w:val="00393257"/>
    <w:rsid w:val="003937CC"/>
    <w:rsid w:val="00393895"/>
    <w:rsid w:val="00393A19"/>
    <w:rsid w:val="00393CAE"/>
    <w:rsid w:val="00393CFD"/>
    <w:rsid w:val="00393D92"/>
    <w:rsid w:val="00393E49"/>
    <w:rsid w:val="003944C2"/>
    <w:rsid w:val="003948C0"/>
    <w:rsid w:val="00394C2C"/>
    <w:rsid w:val="00394F01"/>
    <w:rsid w:val="0039514F"/>
    <w:rsid w:val="00395A69"/>
    <w:rsid w:val="00396F76"/>
    <w:rsid w:val="0039761D"/>
    <w:rsid w:val="003976F1"/>
    <w:rsid w:val="003A007E"/>
    <w:rsid w:val="003A04CF"/>
    <w:rsid w:val="003A1217"/>
    <w:rsid w:val="003A18A8"/>
    <w:rsid w:val="003A1ECA"/>
    <w:rsid w:val="003A1F5F"/>
    <w:rsid w:val="003A2388"/>
    <w:rsid w:val="003A26E3"/>
    <w:rsid w:val="003A2C4C"/>
    <w:rsid w:val="003A2CCE"/>
    <w:rsid w:val="003A3AA7"/>
    <w:rsid w:val="003A3AEE"/>
    <w:rsid w:val="003A3F62"/>
    <w:rsid w:val="003A41E8"/>
    <w:rsid w:val="003A42DA"/>
    <w:rsid w:val="003A4720"/>
    <w:rsid w:val="003A4CB1"/>
    <w:rsid w:val="003A574A"/>
    <w:rsid w:val="003A5D77"/>
    <w:rsid w:val="003A5DF5"/>
    <w:rsid w:val="003A6933"/>
    <w:rsid w:val="003A735F"/>
    <w:rsid w:val="003A7362"/>
    <w:rsid w:val="003A75BD"/>
    <w:rsid w:val="003A7A13"/>
    <w:rsid w:val="003B020E"/>
    <w:rsid w:val="003B0792"/>
    <w:rsid w:val="003B08F4"/>
    <w:rsid w:val="003B0C30"/>
    <w:rsid w:val="003B1028"/>
    <w:rsid w:val="003B1CE8"/>
    <w:rsid w:val="003B2571"/>
    <w:rsid w:val="003B2A89"/>
    <w:rsid w:val="003B2F80"/>
    <w:rsid w:val="003B333C"/>
    <w:rsid w:val="003B3386"/>
    <w:rsid w:val="003B3FD8"/>
    <w:rsid w:val="003B47E7"/>
    <w:rsid w:val="003B5314"/>
    <w:rsid w:val="003B6B0A"/>
    <w:rsid w:val="003C0161"/>
    <w:rsid w:val="003C07F3"/>
    <w:rsid w:val="003C0A52"/>
    <w:rsid w:val="003C0B96"/>
    <w:rsid w:val="003C0C03"/>
    <w:rsid w:val="003C0EE8"/>
    <w:rsid w:val="003C1255"/>
    <w:rsid w:val="003C13A1"/>
    <w:rsid w:val="003C1721"/>
    <w:rsid w:val="003C2C28"/>
    <w:rsid w:val="003C2F38"/>
    <w:rsid w:val="003C3071"/>
    <w:rsid w:val="003C3827"/>
    <w:rsid w:val="003C412C"/>
    <w:rsid w:val="003C49D5"/>
    <w:rsid w:val="003C5134"/>
    <w:rsid w:val="003C5248"/>
    <w:rsid w:val="003C5F37"/>
    <w:rsid w:val="003C6C4F"/>
    <w:rsid w:val="003C733A"/>
    <w:rsid w:val="003C7C49"/>
    <w:rsid w:val="003D0AA5"/>
    <w:rsid w:val="003D0EBB"/>
    <w:rsid w:val="003D0ECB"/>
    <w:rsid w:val="003D1479"/>
    <w:rsid w:val="003D1968"/>
    <w:rsid w:val="003D1E49"/>
    <w:rsid w:val="003D2A2C"/>
    <w:rsid w:val="003D2A30"/>
    <w:rsid w:val="003D3109"/>
    <w:rsid w:val="003D4FBA"/>
    <w:rsid w:val="003D5DA7"/>
    <w:rsid w:val="003D685D"/>
    <w:rsid w:val="003D6E51"/>
    <w:rsid w:val="003E004D"/>
    <w:rsid w:val="003E0762"/>
    <w:rsid w:val="003E0BD3"/>
    <w:rsid w:val="003E0D4D"/>
    <w:rsid w:val="003E0D8A"/>
    <w:rsid w:val="003E10B1"/>
    <w:rsid w:val="003E1279"/>
    <w:rsid w:val="003E14E1"/>
    <w:rsid w:val="003E1639"/>
    <w:rsid w:val="003E1A52"/>
    <w:rsid w:val="003E2702"/>
    <w:rsid w:val="003E2797"/>
    <w:rsid w:val="003E2810"/>
    <w:rsid w:val="003E2D75"/>
    <w:rsid w:val="003E2E95"/>
    <w:rsid w:val="003E33D5"/>
    <w:rsid w:val="003E33F5"/>
    <w:rsid w:val="003E36D4"/>
    <w:rsid w:val="003E3A5D"/>
    <w:rsid w:val="003E40CA"/>
    <w:rsid w:val="003E4168"/>
    <w:rsid w:val="003E42C3"/>
    <w:rsid w:val="003E4BCD"/>
    <w:rsid w:val="003E50E7"/>
    <w:rsid w:val="003E51FE"/>
    <w:rsid w:val="003E53CB"/>
    <w:rsid w:val="003E54F0"/>
    <w:rsid w:val="003E5A16"/>
    <w:rsid w:val="003E5B32"/>
    <w:rsid w:val="003E627E"/>
    <w:rsid w:val="003E630B"/>
    <w:rsid w:val="003E638B"/>
    <w:rsid w:val="003E6FFD"/>
    <w:rsid w:val="003E7129"/>
    <w:rsid w:val="003E732E"/>
    <w:rsid w:val="003F0E69"/>
    <w:rsid w:val="003F10D2"/>
    <w:rsid w:val="003F1BDE"/>
    <w:rsid w:val="003F3324"/>
    <w:rsid w:val="003F392F"/>
    <w:rsid w:val="003F3B6A"/>
    <w:rsid w:val="003F3BE4"/>
    <w:rsid w:val="003F5408"/>
    <w:rsid w:val="003F5CAA"/>
    <w:rsid w:val="003F5DC1"/>
    <w:rsid w:val="003F5F90"/>
    <w:rsid w:val="003F66C4"/>
    <w:rsid w:val="003F66D4"/>
    <w:rsid w:val="003F6C6E"/>
    <w:rsid w:val="003F7320"/>
    <w:rsid w:val="003F79B3"/>
    <w:rsid w:val="00400220"/>
    <w:rsid w:val="00400D3B"/>
    <w:rsid w:val="004010CF"/>
    <w:rsid w:val="00401439"/>
    <w:rsid w:val="0040152B"/>
    <w:rsid w:val="004015F9"/>
    <w:rsid w:val="00402225"/>
    <w:rsid w:val="004022E7"/>
    <w:rsid w:val="0040242E"/>
    <w:rsid w:val="00402922"/>
    <w:rsid w:val="0040381B"/>
    <w:rsid w:val="0040449D"/>
    <w:rsid w:val="00404C45"/>
    <w:rsid w:val="00404CDD"/>
    <w:rsid w:val="0040545A"/>
    <w:rsid w:val="004059AB"/>
    <w:rsid w:val="00406186"/>
    <w:rsid w:val="004062A4"/>
    <w:rsid w:val="004065EE"/>
    <w:rsid w:val="0040662F"/>
    <w:rsid w:val="00406BBD"/>
    <w:rsid w:val="0040795B"/>
    <w:rsid w:val="0041159F"/>
    <w:rsid w:val="0041183A"/>
    <w:rsid w:val="004122B8"/>
    <w:rsid w:val="0041398C"/>
    <w:rsid w:val="00413C9E"/>
    <w:rsid w:val="00413DF2"/>
    <w:rsid w:val="00414419"/>
    <w:rsid w:val="00414B8F"/>
    <w:rsid w:val="00415198"/>
    <w:rsid w:val="00415B27"/>
    <w:rsid w:val="004160ED"/>
    <w:rsid w:val="00416482"/>
    <w:rsid w:val="00416D72"/>
    <w:rsid w:val="00416E41"/>
    <w:rsid w:val="00417D36"/>
    <w:rsid w:val="0042025D"/>
    <w:rsid w:val="0042043B"/>
    <w:rsid w:val="0042068F"/>
    <w:rsid w:val="004208FE"/>
    <w:rsid w:val="004211EE"/>
    <w:rsid w:val="0042134F"/>
    <w:rsid w:val="0042198F"/>
    <w:rsid w:val="0042199A"/>
    <w:rsid w:val="00421A8F"/>
    <w:rsid w:val="004221E9"/>
    <w:rsid w:val="004226DA"/>
    <w:rsid w:val="00422FFF"/>
    <w:rsid w:val="004233E5"/>
    <w:rsid w:val="0042359B"/>
    <w:rsid w:val="004243B3"/>
    <w:rsid w:val="00424AB2"/>
    <w:rsid w:val="00424BEF"/>
    <w:rsid w:val="00425060"/>
    <w:rsid w:val="00425205"/>
    <w:rsid w:val="0042546E"/>
    <w:rsid w:val="004258E8"/>
    <w:rsid w:val="00425CCF"/>
    <w:rsid w:val="00425E32"/>
    <w:rsid w:val="004265EC"/>
    <w:rsid w:val="004267EA"/>
    <w:rsid w:val="00426BDF"/>
    <w:rsid w:val="004274B7"/>
    <w:rsid w:val="004276DB"/>
    <w:rsid w:val="00427849"/>
    <w:rsid w:val="00430830"/>
    <w:rsid w:val="00430BC3"/>
    <w:rsid w:val="00430C08"/>
    <w:rsid w:val="00430FB8"/>
    <w:rsid w:val="004310CF"/>
    <w:rsid w:val="004318A4"/>
    <w:rsid w:val="00432620"/>
    <w:rsid w:val="00432F3F"/>
    <w:rsid w:val="004330BB"/>
    <w:rsid w:val="00433261"/>
    <w:rsid w:val="00433CFA"/>
    <w:rsid w:val="00433D19"/>
    <w:rsid w:val="0043407F"/>
    <w:rsid w:val="004346FE"/>
    <w:rsid w:val="004347F3"/>
    <w:rsid w:val="00434820"/>
    <w:rsid w:val="00434B75"/>
    <w:rsid w:val="0043566C"/>
    <w:rsid w:val="004362E4"/>
    <w:rsid w:val="00436BAE"/>
    <w:rsid w:val="00437491"/>
    <w:rsid w:val="004378B1"/>
    <w:rsid w:val="00441160"/>
    <w:rsid w:val="00442180"/>
    <w:rsid w:val="004428EF"/>
    <w:rsid w:val="004428F0"/>
    <w:rsid w:val="0044309D"/>
    <w:rsid w:val="00443423"/>
    <w:rsid w:val="00443F84"/>
    <w:rsid w:val="00444C67"/>
    <w:rsid w:val="00444C76"/>
    <w:rsid w:val="00444EE9"/>
    <w:rsid w:val="00444FD9"/>
    <w:rsid w:val="0044511B"/>
    <w:rsid w:val="0044556A"/>
    <w:rsid w:val="00445A3F"/>
    <w:rsid w:val="00445AB7"/>
    <w:rsid w:val="00445C52"/>
    <w:rsid w:val="00445CE2"/>
    <w:rsid w:val="004468F2"/>
    <w:rsid w:val="00446F07"/>
    <w:rsid w:val="00450564"/>
    <w:rsid w:val="00452487"/>
    <w:rsid w:val="00453108"/>
    <w:rsid w:val="004532EA"/>
    <w:rsid w:val="00453D5B"/>
    <w:rsid w:val="00453F52"/>
    <w:rsid w:val="0045436D"/>
    <w:rsid w:val="00454419"/>
    <w:rsid w:val="00454586"/>
    <w:rsid w:val="004558DD"/>
    <w:rsid w:val="0045616F"/>
    <w:rsid w:val="00456B7C"/>
    <w:rsid w:val="00456F6A"/>
    <w:rsid w:val="004570E7"/>
    <w:rsid w:val="0045774B"/>
    <w:rsid w:val="00457872"/>
    <w:rsid w:val="004578C8"/>
    <w:rsid w:val="00460F15"/>
    <w:rsid w:val="0046162A"/>
    <w:rsid w:val="00462178"/>
    <w:rsid w:val="004621D4"/>
    <w:rsid w:val="00462842"/>
    <w:rsid w:val="00462ACF"/>
    <w:rsid w:val="00463402"/>
    <w:rsid w:val="004641AA"/>
    <w:rsid w:val="00466510"/>
    <w:rsid w:val="00467050"/>
    <w:rsid w:val="004671CF"/>
    <w:rsid w:val="00467550"/>
    <w:rsid w:val="00467770"/>
    <w:rsid w:val="004679E5"/>
    <w:rsid w:val="00467A39"/>
    <w:rsid w:val="00467F98"/>
    <w:rsid w:val="00470027"/>
    <w:rsid w:val="004706DB"/>
    <w:rsid w:val="00471B05"/>
    <w:rsid w:val="0047265A"/>
    <w:rsid w:val="00472807"/>
    <w:rsid w:val="004731A2"/>
    <w:rsid w:val="00473448"/>
    <w:rsid w:val="004734F4"/>
    <w:rsid w:val="0047352E"/>
    <w:rsid w:val="00473BCE"/>
    <w:rsid w:val="00473E03"/>
    <w:rsid w:val="00473FA6"/>
    <w:rsid w:val="004741CC"/>
    <w:rsid w:val="00474256"/>
    <w:rsid w:val="0047473E"/>
    <w:rsid w:val="0047480E"/>
    <w:rsid w:val="00474BAC"/>
    <w:rsid w:val="004759FE"/>
    <w:rsid w:val="00475C76"/>
    <w:rsid w:val="0047603C"/>
    <w:rsid w:val="004761C1"/>
    <w:rsid w:val="00476478"/>
    <w:rsid w:val="0047692A"/>
    <w:rsid w:val="00476EA5"/>
    <w:rsid w:val="004777A8"/>
    <w:rsid w:val="00477CAB"/>
    <w:rsid w:val="00480BB8"/>
    <w:rsid w:val="00480DE0"/>
    <w:rsid w:val="00481079"/>
    <w:rsid w:val="00481D96"/>
    <w:rsid w:val="00482406"/>
    <w:rsid w:val="004825C4"/>
    <w:rsid w:val="00483878"/>
    <w:rsid w:val="00483CFC"/>
    <w:rsid w:val="004843D8"/>
    <w:rsid w:val="00486FA2"/>
    <w:rsid w:val="004875B7"/>
    <w:rsid w:val="0048779D"/>
    <w:rsid w:val="00487EE7"/>
    <w:rsid w:val="00490D64"/>
    <w:rsid w:val="00491C41"/>
    <w:rsid w:val="0049204F"/>
    <w:rsid w:val="00492085"/>
    <w:rsid w:val="00492B8B"/>
    <w:rsid w:val="0049449A"/>
    <w:rsid w:val="00496252"/>
    <w:rsid w:val="00496AF1"/>
    <w:rsid w:val="00497241"/>
    <w:rsid w:val="00497311"/>
    <w:rsid w:val="00497318"/>
    <w:rsid w:val="004A03B0"/>
    <w:rsid w:val="004A10E7"/>
    <w:rsid w:val="004A263D"/>
    <w:rsid w:val="004A2C0D"/>
    <w:rsid w:val="004A30DE"/>
    <w:rsid w:val="004A390A"/>
    <w:rsid w:val="004A392F"/>
    <w:rsid w:val="004A3F4E"/>
    <w:rsid w:val="004A4E6E"/>
    <w:rsid w:val="004A5089"/>
    <w:rsid w:val="004A508D"/>
    <w:rsid w:val="004A61F3"/>
    <w:rsid w:val="004A6EA5"/>
    <w:rsid w:val="004A739C"/>
    <w:rsid w:val="004A74EB"/>
    <w:rsid w:val="004A7549"/>
    <w:rsid w:val="004A7F6E"/>
    <w:rsid w:val="004B1313"/>
    <w:rsid w:val="004B13D0"/>
    <w:rsid w:val="004B16FB"/>
    <w:rsid w:val="004B2417"/>
    <w:rsid w:val="004B273D"/>
    <w:rsid w:val="004B3681"/>
    <w:rsid w:val="004B441B"/>
    <w:rsid w:val="004B5146"/>
    <w:rsid w:val="004B5296"/>
    <w:rsid w:val="004B53F4"/>
    <w:rsid w:val="004B66A7"/>
    <w:rsid w:val="004B6B34"/>
    <w:rsid w:val="004B7680"/>
    <w:rsid w:val="004B78B5"/>
    <w:rsid w:val="004B7BD7"/>
    <w:rsid w:val="004C01FD"/>
    <w:rsid w:val="004C0ABB"/>
    <w:rsid w:val="004C0E95"/>
    <w:rsid w:val="004C109B"/>
    <w:rsid w:val="004C1BF8"/>
    <w:rsid w:val="004C1CA2"/>
    <w:rsid w:val="004C214D"/>
    <w:rsid w:val="004C229C"/>
    <w:rsid w:val="004C31E6"/>
    <w:rsid w:val="004C3253"/>
    <w:rsid w:val="004C43B1"/>
    <w:rsid w:val="004C43E1"/>
    <w:rsid w:val="004C57BC"/>
    <w:rsid w:val="004C6BFB"/>
    <w:rsid w:val="004C6D48"/>
    <w:rsid w:val="004C7110"/>
    <w:rsid w:val="004C7248"/>
    <w:rsid w:val="004C7946"/>
    <w:rsid w:val="004C7B61"/>
    <w:rsid w:val="004D028C"/>
    <w:rsid w:val="004D1486"/>
    <w:rsid w:val="004D1551"/>
    <w:rsid w:val="004D15FB"/>
    <w:rsid w:val="004D18A9"/>
    <w:rsid w:val="004D23E2"/>
    <w:rsid w:val="004D2E25"/>
    <w:rsid w:val="004D3015"/>
    <w:rsid w:val="004D4B21"/>
    <w:rsid w:val="004D4B8C"/>
    <w:rsid w:val="004D4EBA"/>
    <w:rsid w:val="004D595A"/>
    <w:rsid w:val="004D60E1"/>
    <w:rsid w:val="004D6CFC"/>
    <w:rsid w:val="004D7681"/>
    <w:rsid w:val="004D7C54"/>
    <w:rsid w:val="004E0256"/>
    <w:rsid w:val="004E0737"/>
    <w:rsid w:val="004E0942"/>
    <w:rsid w:val="004E1D50"/>
    <w:rsid w:val="004E2693"/>
    <w:rsid w:val="004E32F2"/>
    <w:rsid w:val="004E3463"/>
    <w:rsid w:val="004E40A8"/>
    <w:rsid w:val="004E4228"/>
    <w:rsid w:val="004E4C93"/>
    <w:rsid w:val="004E4DDA"/>
    <w:rsid w:val="004E5D28"/>
    <w:rsid w:val="004E764E"/>
    <w:rsid w:val="004E78D5"/>
    <w:rsid w:val="004E7D5A"/>
    <w:rsid w:val="004F041F"/>
    <w:rsid w:val="004F07E9"/>
    <w:rsid w:val="004F0A8B"/>
    <w:rsid w:val="004F20AA"/>
    <w:rsid w:val="004F20D7"/>
    <w:rsid w:val="004F26E5"/>
    <w:rsid w:val="004F3059"/>
    <w:rsid w:val="004F336D"/>
    <w:rsid w:val="004F3624"/>
    <w:rsid w:val="004F3ED7"/>
    <w:rsid w:val="004F535A"/>
    <w:rsid w:val="004F53CE"/>
    <w:rsid w:val="004F5615"/>
    <w:rsid w:val="004F5B30"/>
    <w:rsid w:val="004F5C7E"/>
    <w:rsid w:val="004F5EA8"/>
    <w:rsid w:val="004F5ECB"/>
    <w:rsid w:val="004F64C1"/>
    <w:rsid w:val="004F7D3F"/>
    <w:rsid w:val="0050043E"/>
    <w:rsid w:val="00500854"/>
    <w:rsid w:val="005026BD"/>
    <w:rsid w:val="005026F7"/>
    <w:rsid w:val="00502958"/>
    <w:rsid w:val="005038D6"/>
    <w:rsid w:val="005039FF"/>
    <w:rsid w:val="00503BD0"/>
    <w:rsid w:val="005040EF"/>
    <w:rsid w:val="005044EA"/>
    <w:rsid w:val="00504761"/>
    <w:rsid w:val="00504DDD"/>
    <w:rsid w:val="005053EE"/>
    <w:rsid w:val="00505989"/>
    <w:rsid w:val="00505C0F"/>
    <w:rsid w:val="005060C5"/>
    <w:rsid w:val="0050679F"/>
    <w:rsid w:val="0050696F"/>
    <w:rsid w:val="00507885"/>
    <w:rsid w:val="00510078"/>
    <w:rsid w:val="00510CBC"/>
    <w:rsid w:val="00510ECB"/>
    <w:rsid w:val="00511BA7"/>
    <w:rsid w:val="0051292E"/>
    <w:rsid w:val="005133A8"/>
    <w:rsid w:val="005135CE"/>
    <w:rsid w:val="005145BE"/>
    <w:rsid w:val="0051514E"/>
    <w:rsid w:val="00515990"/>
    <w:rsid w:val="00515D32"/>
    <w:rsid w:val="00515E0A"/>
    <w:rsid w:val="00516162"/>
    <w:rsid w:val="0051678E"/>
    <w:rsid w:val="00517553"/>
    <w:rsid w:val="00517CA3"/>
    <w:rsid w:val="00517EFC"/>
    <w:rsid w:val="005202FF"/>
    <w:rsid w:val="00520325"/>
    <w:rsid w:val="00520373"/>
    <w:rsid w:val="005203A0"/>
    <w:rsid w:val="00520803"/>
    <w:rsid w:val="00520E79"/>
    <w:rsid w:val="005210A2"/>
    <w:rsid w:val="005210AF"/>
    <w:rsid w:val="005211CE"/>
    <w:rsid w:val="00521520"/>
    <w:rsid w:val="0052181A"/>
    <w:rsid w:val="005220AC"/>
    <w:rsid w:val="005222F8"/>
    <w:rsid w:val="00522ADC"/>
    <w:rsid w:val="00523425"/>
    <w:rsid w:val="00523483"/>
    <w:rsid w:val="00523C90"/>
    <w:rsid w:val="00524FF0"/>
    <w:rsid w:val="00525393"/>
    <w:rsid w:val="00525483"/>
    <w:rsid w:val="00525524"/>
    <w:rsid w:val="005279C6"/>
    <w:rsid w:val="00530C67"/>
    <w:rsid w:val="005319D0"/>
    <w:rsid w:val="005319D4"/>
    <w:rsid w:val="0053239E"/>
    <w:rsid w:val="0053343E"/>
    <w:rsid w:val="00533BCB"/>
    <w:rsid w:val="005342D1"/>
    <w:rsid w:val="0053460A"/>
    <w:rsid w:val="00534A9D"/>
    <w:rsid w:val="005353A8"/>
    <w:rsid w:val="00535537"/>
    <w:rsid w:val="00535A5D"/>
    <w:rsid w:val="00535BFF"/>
    <w:rsid w:val="005361E5"/>
    <w:rsid w:val="005361F3"/>
    <w:rsid w:val="005363CD"/>
    <w:rsid w:val="00537C12"/>
    <w:rsid w:val="00537E38"/>
    <w:rsid w:val="00540544"/>
    <w:rsid w:val="00540ECE"/>
    <w:rsid w:val="005413FD"/>
    <w:rsid w:val="00542EDC"/>
    <w:rsid w:val="005439ED"/>
    <w:rsid w:val="005447AC"/>
    <w:rsid w:val="00545565"/>
    <w:rsid w:val="00545760"/>
    <w:rsid w:val="0054583A"/>
    <w:rsid w:val="005459C4"/>
    <w:rsid w:val="00545E99"/>
    <w:rsid w:val="00546742"/>
    <w:rsid w:val="00546F4E"/>
    <w:rsid w:val="00547879"/>
    <w:rsid w:val="005479EB"/>
    <w:rsid w:val="0055002B"/>
    <w:rsid w:val="00550B2F"/>
    <w:rsid w:val="00551915"/>
    <w:rsid w:val="00552722"/>
    <w:rsid w:val="00552B32"/>
    <w:rsid w:val="00552B3D"/>
    <w:rsid w:val="0055351E"/>
    <w:rsid w:val="0055439E"/>
    <w:rsid w:val="00554615"/>
    <w:rsid w:val="00554A71"/>
    <w:rsid w:val="00554B41"/>
    <w:rsid w:val="005553CA"/>
    <w:rsid w:val="005554F2"/>
    <w:rsid w:val="00555BCA"/>
    <w:rsid w:val="00555FA0"/>
    <w:rsid w:val="0055621C"/>
    <w:rsid w:val="0055670F"/>
    <w:rsid w:val="0055679E"/>
    <w:rsid w:val="00557118"/>
    <w:rsid w:val="005574A1"/>
    <w:rsid w:val="0055797B"/>
    <w:rsid w:val="00557E18"/>
    <w:rsid w:val="005601A7"/>
    <w:rsid w:val="00560BEB"/>
    <w:rsid w:val="005612A9"/>
    <w:rsid w:val="00561488"/>
    <w:rsid w:val="005618F6"/>
    <w:rsid w:val="005622D3"/>
    <w:rsid w:val="005625B2"/>
    <w:rsid w:val="0056279C"/>
    <w:rsid w:val="00563253"/>
    <w:rsid w:val="005637A8"/>
    <w:rsid w:val="00563E0C"/>
    <w:rsid w:val="005641C8"/>
    <w:rsid w:val="005647F9"/>
    <w:rsid w:val="005648CA"/>
    <w:rsid w:val="00564F43"/>
    <w:rsid w:val="005652FE"/>
    <w:rsid w:val="00565651"/>
    <w:rsid w:val="005656D1"/>
    <w:rsid w:val="00566069"/>
    <w:rsid w:val="00566169"/>
    <w:rsid w:val="00566382"/>
    <w:rsid w:val="005663FA"/>
    <w:rsid w:val="005665C5"/>
    <w:rsid w:val="00567C91"/>
    <w:rsid w:val="005702A1"/>
    <w:rsid w:val="0057137A"/>
    <w:rsid w:val="00571809"/>
    <w:rsid w:val="00572650"/>
    <w:rsid w:val="005728A4"/>
    <w:rsid w:val="00573092"/>
    <w:rsid w:val="00573445"/>
    <w:rsid w:val="00573A98"/>
    <w:rsid w:val="005741CA"/>
    <w:rsid w:val="0057453C"/>
    <w:rsid w:val="00574836"/>
    <w:rsid w:val="00574ABA"/>
    <w:rsid w:val="00574B62"/>
    <w:rsid w:val="00574E9E"/>
    <w:rsid w:val="005755BA"/>
    <w:rsid w:val="00575A99"/>
    <w:rsid w:val="00576F60"/>
    <w:rsid w:val="0057759E"/>
    <w:rsid w:val="00577969"/>
    <w:rsid w:val="005779EF"/>
    <w:rsid w:val="00577B79"/>
    <w:rsid w:val="00580023"/>
    <w:rsid w:val="00580622"/>
    <w:rsid w:val="00580B9A"/>
    <w:rsid w:val="00581D12"/>
    <w:rsid w:val="00582CB8"/>
    <w:rsid w:val="00583353"/>
    <w:rsid w:val="0058349F"/>
    <w:rsid w:val="00583537"/>
    <w:rsid w:val="00583AF1"/>
    <w:rsid w:val="0058452E"/>
    <w:rsid w:val="0058552A"/>
    <w:rsid w:val="0058570B"/>
    <w:rsid w:val="00585C2D"/>
    <w:rsid w:val="0058657D"/>
    <w:rsid w:val="00586D4B"/>
    <w:rsid w:val="005873B9"/>
    <w:rsid w:val="00587D9E"/>
    <w:rsid w:val="0059032C"/>
    <w:rsid w:val="0059048B"/>
    <w:rsid w:val="005916D0"/>
    <w:rsid w:val="00591780"/>
    <w:rsid w:val="0059256C"/>
    <w:rsid w:val="00592639"/>
    <w:rsid w:val="00593072"/>
    <w:rsid w:val="00594B61"/>
    <w:rsid w:val="00595BF2"/>
    <w:rsid w:val="00596294"/>
    <w:rsid w:val="00597067"/>
    <w:rsid w:val="00597093"/>
    <w:rsid w:val="005A0426"/>
    <w:rsid w:val="005A0D36"/>
    <w:rsid w:val="005A11A9"/>
    <w:rsid w:val="005A13D8"/>
    <w:rsid w:val="005A2A3E"/>
    <w:rsid w:val="005A2C08"/>
    <w:rsid w:val="005A39DB"/>
    <w:rsid w:val="005A43AF"/>
    <w:rsid w:val="005A4589"/>
    <w:rsid w:val="005A4AD8"/>
    <w:rsid w:val="005A4CF5"/>
    <w:rsid w:val="005A58C8"/>
    <w:rsid w:val="005A5BB7"/>
    <w:rsid w:val="005A614B"/>
    <w:rsid w:val="005A62D1"/>
    <w:rsid w:val="005A69CF"/>
    <w:rsid w:val="005A6B75"/>
    <w:rsid w:val="005A7187"/>
    <w:rsid w:val="005B010C"/>
    <w:rsid w:val="005B05A7"/>
    <w:rsid w:val="005B0DDC"/>
    <w:rsid w:val="005B1576"/>
    <w:rsid w:val="005B16D6"/>
    <w:rsid w:val="005B22A5"/>
    <w:rsid w:val="005B2329"/>
    <w:rsid w:val="005B28BF"/>
    <w:rsid w:val="005B2DBF"/>
    <w:rsid w:val="005B3241"/>
    <w:rsid w:val="005B3374"/>
    <w:rsid w:val="005B3951"/>
    <w:rsid w:val="005B3A3A"/>
    <w:rsid w:val="005B3EDF"/>
    <w:rsid w:val="005B439B"/>
    <w:rsid w:val="005B4973"/>
    <w:rsid w:val="005B49CC"/>
    <w:rsid w:val="005B4A11"/>
    <w:rsid w:val="005B5560"/>
    <w:rsid w:val="005B5956"/>
    <w:rsid w:val="005B79D6"/>
    <w:rsid w:val="005B7C2A"/>
    <w:rsid w:val="005B7F26"/>
    <w:rsid w:val="005C016B"/>
    <w:rsid w:val="005C02B0"/>
    <w:rsid w:val="005C05FA"/>
    <w:rsid w:val="005C10EF"/>
    <w:rsid w:val="005C2485"/>
    <w:rsid w:val="005C371A"/>
    <w:rsid w:val="005C3896"/>
    <w:rsid w:val="005C3BE9"/>
    <w:rsid w:val="005C3CA7"/>
    <w:rsid w:val="005C3D01"/>
    <w:rsid w:val="005C45A1"/>
    <w:rsid w:val="005C4ABF"/>
    <w:rsid w:val="005C53EE"/>
    <w:rsid w:val="005C58B3"/>
    <w:rsid w:val="005C5C81"/>
    <w:rsid w:val="005C64FE"/>
    <w:rsid w:val="005C72C1"/>
    <w:rsid w:val="005C7749"/>
    <w:rsid w:val="005C7BF4"/>
    <w:rsid w:val="005C7F53"/>
    <w:rsid w:val="005C7FE1"/>
    <w:rsid w:val="005D0096"/>
    <w:rsid w:val="005D0CC3"/>
    <w:rsid w:val="005D0D8A"/>
    <w:rsid w:val="005D19F9"/>
    <w:rsid w:val="005D1F59"/>
    <w:rsid w:val="005D20BF"/>
    <w:rsid w:val="005D250E"/>
    <w:rsid w:val="005D28F5"/>
    <w:rsid w:val="005D2C14"/>
    <w:rsid w:val="005D3111"/>
    <w:rsid w:val="005D38B4"/>
    <w:rsid w:val="005D4383"/>
    <w:rsid w:val="005D45C6"/>
    <w:rsid w:val="005D5060"/>
    <w:rsid w:val="005D52A0"/>
    <w:rsid w:val="005D56F6"/>
    <w:rsid w:val="005D60C7"/>
    <w:rsid w:val="005D629B"/>
    <w:rsid w:val="005D642B"/>
    <w:rsid w:val="005D6775"/>
    <w:rsid w:val="005D6A78"/>
    <w:rsid w:val="005D6D15"/>
    <w:rsid w:val="005D6D34"/>
    <w:rsid w:val="005D73B0"/>
    <w:rsid w:val="005D777D"/>
    <w:rsid w:val="005E095F"/>
    <w:rsid w:val="005E0B7F"/>
    <w:rsid w:val="005E1333"/>
    <w:rsid w:val="005E1F24"/>
    <w:rsid w:val="005E2273"/>
    <w:rsid w:val="005E23EA"/>
    <w:rsid w:val="005E285F"/>
    <w:rsid w:val="005E3855"/>
    <w:rsid w:val="005E3F64"/>
    <w:rsid w:val="005E460D"/>
    <w:rsid w:val="005E5637"/>
    <w:rsid w:val="005E57C6"/>
    <w:rsid w:val="005E62B1"/>
    <w:rsid w:val="005E664A"/>
    <w:rsid w:val="005E7067"/>
    <w:rsid w:val="005E7332"/>
    <w:rsid w:val="005E7CE7"/>
    <w:rsid w:val="005F0475"/>
    <w:rsid w:val="005F1E12"/>
    <w:rsid w:val="005F232A"/>
    <w:rsid w:val="005F2794"/>
    <w:rsid w:val="005F2988"/>
    <w:rsid w:val="005F2A62"/>
    <w:rsid w:val="005F2CF0"/>
    <w:rsid w:val="005F3BC1"/>
    <w:rsid w:val="005F46A7"/>
    <w:rsid w:val="005F4D48"/>
    <w:rsid w:val="005F513A"/>
    <w:rsid w:val="005F53B8"/>
    <w:rsid w:val="005F5AC9"/>
    <w:rsid w:val="005F5E94"/>
    <w:rsid w:val="005F6FCB"/>
    <w:rsid w:val="005F79C8"/>
    <w:rsid w:val="005F7AF5"/>
    <w:rsid w:val="005F7F9E"/>
    <w:rsid w:val="00600079"/>
    <w:rsid w:val="006000BA"/>
    <w:rsid w:val="0060062C"/>
    <w:rsid w:val="006010A8"/>
    <w:rsid w:val="00602783"/>
    <w:rsid w:val="006028E0"/>
    <w:rsid w:val="00602E84"/>
    <w:rsid w:val="006037D6"/>
    <w:rsid w:val="00603E51"/>
    <w:rsid w:val="00603E95"/>
    <w:rsid w:val="0060486B"/>
    <w:rsid w:val="006058AF"/>
    <w:rsid w:val="0060595A"/>
    <w:rsid w:val="0060599A"/>
    <w:rsid w:val="00606449"/>
    <w:rsid w:val="00606655"/>
    <w:rsid w:val="00606F45"/>
    <w:rsid w:val="00607985"/>
    <w:rsid w:val="00607C2E"/>
    <w:rsid w:val="00610439"/>
    <w:rsid w:val="00611990"/>
    <w:rsid w:val="00611BAA"/>
    <w:rsid w:val="00611C15"/>
    <w:rsid w:val="00611E4E"/>
    <w:rsid w:val="006124F5"/>
    <w:rsid w:val="00612D37"/>
    <w:rsid w:val="00613703"/>
    <w:rsid w:val="00613C5E"/>
    <w:rsid w:val="00614A0A"/>
    <w:rsid w:val="00614A7C"/>
    <w:rsid w:val="006151CE"/>
    <w:rsid w:val="00615BE6"/>
    <w:rsid w:val="00615D99"/>
    <w:rsid w:val="0061611D"/>
    <w:rsid w:val="0061669A"/>
    <w:rsid w:val="00616EBC"/>
    <w:rsid w:val="00617622"/>
    <w:rsid w:val="0062057A"/>
    <w:rsid w:val="006207E7"/>
    <w:rsid w:val="00620BB6"/>
    <w:rsid w:val="00620D13"/>
    <w:rsid w:val="00620F32"/>
    <w:rsid w:val="00621444"/>
    <w:rsid w:val="00622DA6"/>
    <w:rsid w:val="006237BC"/>
    <w:rsid w:val="00623CA4"/>
    <w:rsid w:val="00623EC1"/>
    <w:rsid w:val="006240F8"/>
    <w:rsid w:val="0062411E"/>
    <w:rsid w:val="00624493"/>
    <w:rsid w:val="00625955"/>
    <w:rsid w:val="00625CD1"/>
    <w:rsid w:val="0062658A"/>
    <w:rsid w:val="0062689B"/>
    <w:rsid w:val="00626BBF"/>
    <w:rsid w:val="00626BF4"/>
    <w:rsid w:val="00626F72"/>
    <w:rsid w:val="006271A3"/>
    <w:rsid w:val="00627EFF"/>
    <w:rsid w:val="0063065C"/>
    <w:rsid w:val="00630D50"/>
    <w:rsid w:val="00630E82"/>
    <w:rsid w:val="0063157E"/>
    <w:rsid w:val="00631B0B"/>
    <w:rsid w:val="00632BBB"/>
    <w:rsid w:val="00634E21"/>
    <w:rsid w:val="0063570E"/>
    <w:rsid w:val="0063634E"/>
    <w:rsid w:val="006363C8"/>
    <w:rsid w:val="0063725F"/>
    <w:rsid w:val="00637A37"/>
    <w:rsid w:val="00637A70"/>
    <w:rsid w:val="00637F5D"/>
    <w:rsid w:val="006401EF"/>
    <w:rsid w:val="00640B81"/>
    <w:rsid w:val="00641117"/>
    <w:rsid w:val="006412D5"/>
    <w:rsid w:val="00641BEA"/>
    <w:rsid w:val="00641FE2"/>
    <w:rsid w:val="0064211D"/>
    <w:rsid w:val="0064215A"/>
    <w:rsid w:val="006422B1"/>
    <w:rsid w:val="00642750"/>
    <w:rsid w:val="00643225"/>
    <w:rsid w:val="00644122"/>
    <w:rsid w:val="00644202"/>
    <w:rsid w:val="00644C2D"/>
    <w:rsid w:val="00644F4D"/>
    <w:rsid w:val="00645136"/>
    <w:rsid w:val="006459B3"/>
    <w:rsid w:val="006459C1"/>
    <w:rsid w:val="00646042"/>
    <w:rsid w:val="006467AA"/>
    <w:rsid w:val="00646B54"/>
    <w:rsid w:val="00647BDA"/>
    <w:rsid w:val="00647F2A"/>
    <w:rsid w:val="00650253"/>
    <w:rsid w:val="00650486"/>
    <w:rsid w:val="006507B5"/>
    <w:rsid w:val="006509ED"/>
    <w:rsid w:val="00650B19"/>
    <w:rsid w:val="006511D0"/>
    <w:rsid w:val="0065200B"/>
    <w:rsid w:val="00652408"/>
    <w:rsid w:val="0065299B"/>
    <w:rsid w:val="00653471"/>
    <w:rsid w:val="00653CF5"/>
    <w:rsid w:val="00653DAF"/>
    <w:rsid w:val="00653E4F"/>
    <w:rsid w:val="00653F2D"/>
    <w:rsid w:val="006544EE"/>
    <w:rsid w:val="00654767"/>
    <w:rsid w:val="00655548"/>
    <w:rsid w:val="00655AA4"/>
    <w:rsid w:val="006566C6"/>
    <w:rsid w:val="0065747A"/>
    <w:rsid w:val="006577F7"/>
    <w:rsid w:val="00657B27"/>
    <w:rsid w:val="00657E22"/>
    <w:rsid w:val="006608A1"/>
    <w:rsid w:val="00661523"/>
    <w:rsid w:val="00661F33"/>
    <w:rsid w:val="00664E0A"/>
    <w:rsid w:val="00664ED2"/>
    <w:rsid w:val="00665148"/>
    <w:rsid w:val="006655E7"/>
    <w:rsid w:val="006656AA"/>
    <w:rsid w:val="00665AAD"/>
    <w:rsid w:val="0066620F"/>
    <w:rsid w:val="0066658D"/>
    <w:rsid w:val="006667E8"/>
    <w:rsid w:val="006677BC"/>
    <w:rsid w:val="00667971"/>
    <w:rsid w:val="00667E09"/>
    <w:rsid w:val="00670270"/>
    <w:rsid w:val="0067100E"/>
    <w:rsid w:val="0067121A"/>
    <w:rsid w:val="0067152A"/>
    <w:rsid w:val="00671DCA"/>
    <w:rsid w:val="00671E08"/>
    <w:rsid w:val="00671EEF"/>
    <w:rsid w:val="006726E0"/>
    <w:rsid w:val="00673DFA"/>
    <w:rsid w:val="00673FD4"/>
    <w:rsid w:val="00674227"/>
    <w:rsid w:val="00674565"/>
    <w:rsid w:val="0067460A"/>
    <w:rsid w:val="006746B3"/>
    <w:rsid w:val="006747E4"/>
    <w:rsid w:val="00674C60"/>
    <w:rsid w:val="00674CB7"/>
    <w:rsid w:val="00675DDD"/>
    <w:rsid w:val="00676603"/>
    <w:rsid w:val="00676725"/>
    <w:rsid w:val="00676998"/>
    <w:rsid w:val="0067735D"/>
    <w:rsid w:val="00677B17"/>
    <w:rsid w:val="00677CBB"/>
    <w:rsid w:val="00677DC7"/>
    <w:rsid w:val="00677E0F"/>
    <w:rsid w:val="00677F16"/>
    <w:rsid w:val="0068002E"/>
    <w:rsid w:val="006809E3"/>
    <w:rsid w:val="00680F97"/>
    <w:rsid w:val="00681201"/>
    <w:rsid w:val="0068222B"/>
    <w:rsid w:val="00682E37"/>
    <w:rsid w:val="00683107"/>
    <w:rsid w:val="0068328A"/>
    <w:rsid w:val="006837CB"/>
    <w:rsid w:val="00683DC4"/>
    <w:rsid w:val="00683E93"/>
    <w:rsid w:val="00683EA9"/>
    <w:rsid w:val="00684064"/>
    <w:rsid w:val="00684407"/>
    <w:rsid w:val="006845C4"/>
    <w:rsid w:val="006845CE"/>
    <w:rsid w:val="0068499B"/>
    <w:rsid w:val="00684D1D"/>
    <w:rsid w:val="0068508C"/>
    <w:rsid w:val="00685467"/>
    <w:rsid w:val="0068641E"/>
    <w:rsid w:val="0068685C"/>
    <w:rsid w:val="00686BF3"/>
    <w:rsid w:val="006901C6"/>
    <w:rsid w:val="0069025E"/>
    <w:rsid w:val="006910BF"/>
    <w:rsid w:val="006919DA"/>
    <w:rsid w:val="006920D8"/>
    <w:rsid w:val="006922FB"/>
    <w:rsid w:val="00692F54"/>
    <w:rsid w:val="0069336A"/>
    <w:rsid w:val="0069365B"/>
    <w:rsid w:val="00694921"/>
    <w:rsid w:val="00694E85"/>
    <w:rsid w:val="0069576F"/>
    <w:rsid w:val="006958CA"/>
    <w:rsid w:val="00696028"/>
    <w:rsid w:val="00696FE6"/>
    <w:rsid w:val="0069715B"/>
    <w:rsid w:val="00697511"/>
    <w:rsid w:val="006A0285"/>
    <w:rsid w:val="006A0CC4"/>
    <w:rsid w:val="006A1521"/>
    <w:rsid w:val="006A16F9"/>
    <w:rsid w:val="006A1C24"/>
    <w:rsid w:val="006A256D"/>
    <w:rsid w:val="006A2945"/>
    <w:rsid w:val="006A2C8F"/>
    <w:rsid w:val="006A3A60"/>
    <w:rsid w:val="006A4B1B"/>
    <w:rsid w:val="006A535D"/>
    <w:rsid w:val="006A5814"/>
    <w:rsid w:val="006A5ED5"/>
    <w:rsid w:val="006A5FA6"/>
    <w:rsid w:val="006A661D"/>
    <w:rsid w:val="006A721D"/>
    <w:rsid w:val="006A74CB"/>
    <w:rsid w:val="006B026F"/>
    <w:rsid w:val="006B0835"/>
    <w:rsid w:val="006B0C5E"/>
    <w:rsid w:val="006B10A7"/>
    <w:rsid w:val="006B2113"/>
    <w:rsid w:val="006B24F4"/>
    <w:rsid w:val="006B284E"/>
    <w:rsid w:val="006B289F"/>
    <w:rsid w:val="006B2B9A"/>
    <w:rsid w:val="006B391D"/>
    <w:rsid w:val="006B409E"/>
    <w:rsid w:val="006B45C9"/>
    <w:rsid w:val="006B60D9"/>
    <w:rsid w:val="006B6273"/>
    <w:rsid w:val="006B63BB"/>
    <w:rsid w:val="006B6D6B"/>
    <w:rsid w:val="006B74A9"/>
    <w:rsid w:val="006C019C"/>
    <w:rsid w:val="006C0444"/>
    <w:rsid w:val="006C04E5"/>
    <w:rsid w:val="006C10D9"/>
    <w:rsid w:val="006C1603"/>
    <w:rsid w:val="006C1B89"/>
    <w:rsid w:val="006C2623"/>
    <w:rsid w:val="006C2BBF"/>
    <w:rsid w:val="006C2FE9"/>
    <w:rsid w:val="006C350A"/>
    <w:rsid w:val="006C3E7F"/>
    <w:rsid w:val="006C4144"/>
    <w:rsid w:val="006C483F"/>
    <w:rsid w:val="006C4E00"/>
    <w:rsid w:val="006C4E5E"/>
    <w:rsid w:val="006C54F5"/>
    <w:rsid w:val="006C551A"/>
    <w:rsid w:val="006C5745"/>
    <w:rsid w:val="006C747E"/>
    <w:rsid w:val="006C77A3"/>
    <w:rsid w:val="006D052B"/>
    <w:rsid w:val="006D0684"/>
    <w:rsid w:val="006D0853"/>
    <w:rsid w:val="006D0B0C"/>
    <w:rsid w:val="006D0B4B"/>
    <w:rsid w:val="006D0CF4"/>
    <w:rsid w:val="006D0D2E"/>
    <w:rsid w:val="006D1491"/>
    <w:rsid w:val="006D16A2"/>
    <w:rsid w:val="006D19CE"/>
    <w:rsid w:val="006D1A29"/>
    <w:rsid w:val="006D1AB6"/>
    <w:rsid w:val="006D2AA4"/>
    <w:rsid w:val="006D2E53"/>
    <w:rsid w:val="006D2F83"/>
    <w:rsid w:val="006D3699"/>
    <w:rsid w:val="006D3748"/>
    <w:rsid w:val="006D37B3"/>
    <w:rsid w:val="006D4166"/>
    <w:rsid w:val="006D44D0"/>
    <w:rsid w:val="006D4AA9"/>
    <w:rsid w:val="006D511C"/>
    <w:rsid w:val="006D550C"/>
    <w:rsid w:val="006D559D"/>
    <w:rsid w:val="006D5ED2"/>
    <w:rsid w:val="006D60C1"/>
    <w:rsid w:val="006D6AFB"/>
    <w:rsid w:val="006D6EB8"/>
    <w:rsid w:val="006D75FE"/>
    <w:rsid w:val="006D7CF5"/>
    <w:rsid w:val="006E095F"/>
    <w:rsid w:val="006E0976"/>
    <w:rsid w:val="006E27C5"/>
    <w:rsid w:val="006E2E72"/>
    <w:rsid w:val="006E3070"/>
    <w:rsid w:val="006E30AE"/>
    <w:rsid w:val="006E3A59"/>
    <w:rsid w:val="006E40DB"/>
    <w:rsid w:val="006E43F1"/>
    <w:rsid w:val="006E4599"/>
    <w:rsid w:val="006E46E1"/>
    <w:rsid w:val="006E49D5"/>
    <w:rsid w:val="006E4DCF"/>
    <w:rsid w:val="006E4FA7"/>
    <w:rsid w:val="006E525B"/>
    <w:rsid w:val="006E553F"/>
    <w:rsid w:val="006E5A92"/>
    <w:rsid w:val="006E62A7"/>
    <w:rsid w:val="006E68DF"/>
    <w:rsid w:val="006E6FE6"/>
    <w:rsid w:val="006E7BF9"/>
    <w:rsid w:val="006F0C14"/>
    <w:rsid w:val="006F0EBF"/>
    <w:rsid w:val="006F11CD"/>
    <w:rsid w:val="006F1DD5"/>
    <w:rsid w:val="006F222E"/>
    <w:rsid w:val="006F3262"/>
    <w:rsid w:val="006F38FA"/>
    <w:rsid w:val="006F3C53"/>
    <w:rsid w:val="006F3E63"/>
    <w:rsid w:val="006F4EC5"/>
    <w:rsid w:val="006F4F7A"/>
    <w:rsid w:val="006F5970"/>
    <w:rsid w:val="006F6584"/>
    <w:rsid w:val="006F6F25"/>
    <w:rsid w:val="006F6FD1"/>
    <w:rsid w:val="006F784B"/>
    <w:rsid w:val="00700A97"/>
    <w:rsid w:val="00700FB8"/>
    <w:rsid w:val="0070111B"/>
    <w:rsid w:val="007012B7"/>
    <w:rsid w:val="007022ED"/>
    <w:rsid w:val="00702E7E"/>
    <w:rsid w:val="00703587"/>
    <w:rsid w:val="007038A0"/>
    <w:rsid w:val="007039E1"/>
    <w:rsid w:val="0070418A"/>
    <w:rsid w:val="00705B00"/>
    <w:rsid w:val="00707B68"/>
    <w:rsid w:val="00707DE0"/>
    <w:rsid w:val="007102B2"/>
    <w:rsid w:val="00710568"/>
    <w:rsid w:val="007109F2"/>
    <w:rsid w:val="00710CE7"/>
    <w:rsid w:val="00710F90"/>
    <w:rsid w:val="007110BF"/>
    <w:rsid w:val="00711584"/>
    <w:rsid w:val="00711916"/>
    <w:rsid w:val="007119BE"/>
    <w:rsid w:val="00711E41"/>
    <w:rsid w:val="00711E57"/>
    <w:rsid w:val="0071276C"/>
    <w:rsid w:val="00712878"/>
    <w:rsid w:val="00712A3F"/>
    <w:rsid w:val="00712C0A"/>
    <w:rsid w:val="00712CB8"/>
    <w:rsid w:val="00712E80"/>
    <w:rsid w:val="00712FBE"/>
    <w:rsid w:val="0071335B"/>
    <w:rsid w:val="00713A78"/>
    <w:rsid w:val="0071420D"/>
    <w:rsid w:val="00714949"/>
    <w:rsid w:val="00714A1A"/>
    <w:rsid w:val="0071577E"/>
    <w:rsid w:val="00715C0D"/>
    <w:rsid w:val="00715E27"/>
    <w:rsid w:val="007160FD"/>
    <w:rsid w:val="0071628C"/>
    <w:rsid w:val="007164BD"/>
    <w:rsid w:val="00716575"/>
    <w:rsid w:val="007166F9"/>
    <w:rsid w:val="00716767"/>
    <w:rsid w:val="00717EED"/>
    <w:rsid w:val="0072023E"/>
    <w:rsid w:val="00720564"/>
    <w:rsid w:val="0072071D"/>
    <w:rsid w:val="00720766"/>
    <w:rsid w:val="0072101E"/>
    <w:rsid w:val="007212A2"/>
    <w:rsid w:val="007213EC"/>
    <w:rsid w:val="0072151C"/>
    <w:rsid w:val="00721762"/>
    <w:rsid w:val="00721B41"/>
    <w:rsid w:val="00721C90"/>
    <w:rsid w:val="00722B86"/>
    <w:rsid w:val="00722C1D"/>
    <w:rsid w:val="00722E5A"/>
    <w:rsid w:val="00723678"/>
    <w:rsid w:val="00723867"/>
    <w:rsid w:val="00723D23"/>
    <w:rsid w:val="00724A54"/>
    <w:rsid w:val="00724B11"/>
    <w:rsid w:val="00724CD1"/>
    <w:rsid w:val="00725151"/>
    <w:rsid w:val="007251E7"/>
    <w:rsid w:val="007254CD"/>
    <w:rsid w:val="00725F2E"/>
    <w:rsid w:val="007261AE"/>
    <w:rsid w:val="00726501"/>
    <w:rsid w:val="00726654"/>
    <w:rsid w:val="00726A5A"/>
    <w:rsid w:val="00726EB4"/>
    <w:rsid w:val="0072701C"/>
    <w:rsid w:val="007274DA"/>
    <w:rsid w:val="007275E7"/>
    <w:rsid w:val="00727C3A"/>
    <w:rsid w:val="00727CB8"/>
    <w:rsid w:val="00730ECE"/>
    <w:rsid w:val="007318BC"/>
    <w:rsid w:val="00731AC7"/>
    <w:rsid w:val="00732080"/>
    <w:rsid w:val="00732C0C"/>
    <w:rsid w:val="00732D3E"/>
    <w:rsid w:val="00733366"/>
    <w:rsid w:val="007333B5"/>
    <w:rsid w:val="007333E0"/>
    <w:rsid w:val="00734F4C"/>
    <w:rsid w:val="00734F76"/>
    <w:rsid w:val="007351B8"/>
    <w:rsid w:val="00735AAC"/>
    <w:rsid w:val="0073776B"/>
    <w:rsid w:val="00737D93"/>
    <w:rsid w:val="00737E1D"/>
    <w:rsid w:val="00740556"/>
    <w:rsid w:val="00740876"/>
    <w:rsid w:val="0074111D"/>
    <w:rsid w:val="0074195E"/>
    <w:rsid w:val="00741E1D"/>
    <w:rsid w:val="007423C9"/>
    <w:rsid w:val="00742BA4"/>
    <w:rsid w:val="007437A9"/>
    <w:rsid w:val="007437B2"/>
    <w:rsid w:val="007447AB"/>
    <w:rsid w:val="00744E93"/>
    <w:rsid w:val="00745870"/>
    <w:rsid w:val="00745D11"/>
    <w:rsid w:val="00745F17"/>
    <w:rsid w:val="007463DF"/>
    <w:rsid w:val="00746B9F"/>
    <w:rsid w:val="007476F9"/>
    <w:rsid w:val="00747AE6"/>
    <w:rsid w:val="00750546"/>
    <w:rsid w:val="007508A5"/>
    <w:rsid w:val="0075177A"/>
    <w:rsid w:val="00751C7B"/>
    <w:rsid w:val="00751DFE"/>
    <w:rsid w:val="00752106"/>
    <w:rsid w:val="007525BC"/>
    <w:rsid w:val="007538F0"/>
    <w:rsid w:val="0075449F"/>
    <w:rsid w:val="007549F2"/>
    <w:rsid w:val="00754E10"/>
    <w:rsid w:val="00755A17"/>
    <w:rsid w:val="00756069"/>
    <w:rsid w:val="00756A6A"/>
    <w:rsid w:val="00756E24"/>
    <w:rsid w:val="00760B60"/>
    <w:rsid w:val="00761561"/>
    <w:rsid w:val="007617AE"/>
    <w:rsid w:val="007619F2"/>
    <w:rsid w:val="00762960"/>
    <w:rsid w:val="00762E17"/>
    <w:rsid w:val="007631AC"/>
    <w:rsid w:val="0076408F"/>
    <w:rsid w:val="00764703"/>
    <w:rsid w:val="00764AD8"/>
    <w:rsid w:val="007658CE"/>
    <w:rsid w:val="00765E88"/>
    <w:rsid w:val="00767007"/>
    <w:rsid w:val="0076722F"/>
    <w:rsid w:val="007675E7"/>
    <w:rsid w:val="007679F0"/>
    <w:rsid w:val="00767BF6"/>
    <w:rsid w:val="00767D05"/>
    <w:rsid w:val="00767DDB"/>
    <w:rsid w:val="00767DE9"/>
    <w:rsid w:val="00770076"/>
    <w:rsid w:val="00770CC3"/>
    <w:rsid w:val="00771E6A"/>
    <w:rsid w:val="00772019"/>
    <w:rsid w:val="00772880"/>
    <w:rsid w:val="00772A7D"/>
    <w:rsid w:val="007733B2"/>
    <w:rsid w:val="007738DF"/>
    <w:rsid w:val="00773C74"/>
    <w:rsid w:val="0077414B"/>
    <w:rsid w:val="0077445B"/>
    <w:rsid w:val="00775397"/>
    <w:rsid w:val="00776D5A"/>
    <w:rsid w:val="00777289"/>
    <w:rsid w:val="007774AB"/>
    <w:rsid w:val="0078042D"/>
    <w:rsid w:val="00780472"/>
    <w:rsid w:val="00780A90"/>
    <w:rsid w:val="007816A9"/>
    <w:rsid w:val="00781E00"/>
    <w:rsid w:val="007822EA"/>
    <w:rsid w:val="007826E5"/>
    <w:rsid w:val="00782736"/>
    <w:rsid w:val="00783B8C"/>
    <w:rsid w:val="00783C5B"/>
    <w:rsid w:val="0078491B"/>
    <w:rsid w:val="007852CB"/>
    <w:rsid w:val="00785A9F"/>
    <w:rsid w:val="00786323"/>
    <w:rsid w:val="00786B8A"/>
    <w:rsid w:val="00786DC9"/>
    <w:rsid w:val="007878A6"/>
    <w:rsid w:val="00787B64"/>
    <w:rsid w:val="00787D3A"/>
    <w:rsid w:val="00790C6C"/>
    <w:rsid w:val="00791044"/>
    <w:rsid w:val="00791773"/>
    <w:rsid w:val="00791AB5"/>
    <w:rsid w:val="00791B38"/>
    <w:rsid w:val="00792113"/>
    <w:rsid w:val="007929BF"/>
    <w:rsid w:val="00792E41"/>
    <w:rsid w:val="00793458"/>
    <w:rsid w:val="00793685"/>
    <w:rsid w:val="00793945"/>
    <w:rsid w:val="00793C4E"/>
    <w:rsid w:val="00793CAF"/>
    <w:rsid w:val="007941C6"/>
    <w:rsid w:val="00795280"/>
    <w:rsid w:val="00795CD0"/>
    <w:rsid w:val="007965B2"/>
    <w:rsid w:val="00796C0C"/>
    <w:rsid w:val="00796C14"/>
    <w:rsid w:val="00796E9C"/>
    <w:rsid w:val="0079775D"/>
    <w:rsid w:val="007A04EB"/>
    <w:rsid w:val="007A0C5C"/>
    <w:rsid w:val="007A0CFB"/>
    <w:rsid w:val="007A0F5D"/>
    <w:rsid w:val="007A17FA"/>
    <w:rsid w:val="007A228C"/>
    <w:rsid w:val="007A2747"/>
    <w:rsid w:val="007A2A4E"/>
    <w:rsid w:val="007A2EDD"/>
    <w:rsid w:val="007A3E17"/>
    <w:rsid w:val="007A50BA"/>
    <w:rsid w:val="007A53B8"/>
    <w:rsid w:val="007A5B4A"/>
    <w:rsid w:val="007A5ED2"/>
    <w:rsid w:val="007A6A6C"/>
    <w:rsid w:val="007A7197"/>
    <w:rsid w:val="007A71E7"/>
    <w:rsid w:val="007A73AA"/>
    <w:rsid w:val="007A746B"/>
    <w:rsid w:val="007A7672"/>
    <w:rsid w:val="007B02CC"/>
    <w:rsid w:val="007B1235"/>
    <w:rsid w:val="007B164B"/>
    <w:rsid w:val="007B1ECA"/>
    <w:rsid w:val="007B2060"/>
    <w:rsid w:val="007B2A07"/>
    <w:rsid w:val="007B2FC7"/>
    <w:rsid w:val="007B3428"/>
    <w:rsid w:val="007B3EA6"/>
    <w:rsid w:val="007B3EBF"/>
    <w:rsid w:val="007B5084"/>
    <w:rsid w:val="007B52E9"/>
    <w:rsid w:val="007B5462"/>
    <w:rsid w:val="007B57FF"/>
    <w:rsid w:val="007B5FE8"/>
    <w:rsid w:val="007B6789"/>
    <w:rsid w:val="007B6A7E"/>
    <w:rsid w:val="007B719B"/>
    <w:rsid w:val="007B7C2F"/>
    <w:rsid w:val="007C0071"/>
    <w:rsid w:val="007C0501"/>
    <w:rsid w:val="007C0818"/>
    <w:rsid w:val="007C084A"/>
    <w:rsid w:val="007C13E3"/>
    <w:rsid w:val="007C186A"/>
    <w:rsid w:val="007C19FF"/>
    <w:rsid w:val="007C22A4"/>
    <w:rsid w:val="007C2450"/>
    <w:rsid w:val="007C2C72"/>
    <w:rsid w:val="007C3219"/>
    <w:rsid w:val="007C489A"/>
    <w:rsid w:val="007C4A23"/>
    <w:rsid w:val="007C5B40"/>
    <w:rsid w:val="007C6201"/>
    <w:rsid w:val="007C63FE"/>
    <w:rsid w:val="007C6874"/>
    <w:rsid w:val="007C694A"/>
    <w:rsid w:val="007C7099"/>
    <w:rsid w:val="007C75E2"/>
    <w:rsid w:val="007C7820"/>
    <w:rsid w:val="007C798C"/>
    <w:rsid w:val="007C7BE9"/>
    <w:rsid w:val="007D00DF"/>
    <w:rsid w:val="007D105F"/>
    <w:rsid w:val="007D1229"/>
    <w:rsid w:val="007D20C6"/>
    <w:rsid w:val="007D2770"/>
    <w:rsid w:val="007D2DAA"/>
    <w:rsid w:val="007D3187"/>
    <w:rsid w:val="007D3CB4"/>
    <w:rsid w:val="007D3E7F"/>
    <w:rsid w:val="007D4059"/>
    <w:rsid w:val="007D499D"/>
    <w:rsid w:val="007D59E8"/>
    <w:rsid w:val="007D5D79"/>
    <w:rsid w:val="007D6C26"/>
    <w:rsid w:val="007D6DDA"/>
    <w:rsid w:val="007D6E1E"/>
    <w:rsid w:val="007D714B"/>
    <w:rsid w:val="007D7260"/>
    <w:rsid w:val="007D793D"/>
    <w:rsid w:val="007D7A77"/>
    <w:rsid w:val="007E0411"/>
    <w:rsid w:val="007E09FF"/>
    <w:rsid w:val="007E0DD8"/>
    <w:rsid w:val="007E2490"/>
    <w:rsid w:val="007E38F9"/>
    <w:rsid w:val="007E3A5B"/>
    <w:rsid w:val="007E3E6E"/>
    <w:rsid w:val="007E45D5"/>
    <w:rsid w:val="007E4B2F"/>
    <w:rsid w:val="007E609C"/>
    <w:rsid w:val="007E63C8"/>
    <w:rsid w:val="007E693F"/>
    <w:rsid w:val="007E69E6"/>
    <w:rsid w:val="007F08D1"/>
    <w:rsid w:val="007F0EBF"/>
    <w:rsid w:val="007F2238"/>
    <w:rsid w:val="007F28C9"/>
    <w:rsid w:val="007F3806"/>
    <w:rsid w:val="007F3FE7"/>
    <w:rsid w:val="007F43CD"/>
    <w:rsid w:val="007F44B4"/>
    <w:rsid w:val="007F45CE"/>
    <w:rsid w:val="007F4613"/>
    <w:rsid w:val="007F4752"/>
    <w:rsid w:val="007F5330"/>
    <w:rsid w:val="007F54B8"/>
    <w:rsid w:val="007F5F1C"/>
    <w:rsid w:val="007F68FA"/>
    <w:rsid w:val="007F6AAF"/>
    <w:rsid w:val="007F6CB8"/>
    <w:rsid w:val="007F6CD5"/>
    <w:rsid w:val="00800FF3"/>
    <w:rsid w:val="00801034"/>
    <w:rsid w:val="00801308"/>
    <w:rsid w:val="008018BA"/>
    <w:rsid w:val="00802671"/>
    <w:rsid w:val="008027A4"/>
    <w:rsid w:val="00802F2A"/>
    <w:rsid w:val="008030C3"/>
    <w:rsid w:val="008030CA"/>
    <w:rsid w:val="00803194"/>
    <w:rsid w:val="008033A1"/>
    <w:rsid w:val="008035E0"/>
    <w:rsid w:val="00803FE8"/>
    <w:rsid w:val="0080514B"/>
    <w:rsid w:val="0080525A"/>
    <w:rsid w:val="008066A9"/>
    <w:rsid w:val="008068EB"/>
    <w:rsid w:val="00807C01"/>
    <w:rsid w:val="00807D76"/>
    <w:rsid w:val="00810791"/>
    <w:rsid w:val="008107A2"/>
    <w:rsid w:val="00811598"/>
    <w:rsid w:val="00811C35"/>
    <w:rsid w:val="008125B5"/>
    <w:rsid w:val="008126B2"/>
    <w:rsid w:val="0081319E"/>
    <w:rsid w:val="008134B8"/>
    <w:rsid w:val="00814220"/>
    <w:rsid w:val="00815421"/>
    <w:rsid w:val="00816FDF"/>
    <w:rsid w:val="008178C8"/>
    <w:rsid w:val="00817CC1"/>
    <w:rsid w:val="00817E28"/>
    <w:rsid w:val="0082042F"/>
    <w:rsid w:val="008213A6"/>
    <w:rsid w:val="00821ABE"/>
    <w:rsid w:val="00821C78"/>
    <w:rsid w:val="0082212F"/>
    <w:rsid w:val="00822164"/>
    <w:rsid w:val="0082256F"/>
    <w:rsid w:val="00822C40"/>
    <w:rsid w:val="00822C71"/>
    <w:rsid w:val="00823721"/>
    <w:rsid w:val="00824455"/>
    <w:rsid w:val="0082445D"/>
    <w:rsid w:val="00824685"/>
    <w:rsid w:val="00825347"/>
    <w:rsid w:val="00826128"/>
    <w:rsid w:val="00826BE5"/>
    <w:rsid w:val="00827732"/>
    <w:rsid w:val="00827834"/>
    <w:rsid w:val="00830369"/>
    <w:rsid w:val="0083080E"/>
    <w:rsid w:val="008308F7"/>
    <w:rsid w:val="00830A39"/>
    <w:rsid w:val="00830C9B"/>
    <w:rsid w:val="00831781"/>
    <w:rsid w:val="00831916"/>
    <w:rsid w:val="00832055"/>
    <w:rsid w:val="0083219C"/>
    <w:rsid w:val="00832208"/>
    <w:rsid w:val="00832258"/>
    <w:rsid w:val="008323E6"/>
    <w:rsid w:val="00832B35"/>
    <w:rsid w:val="00833632"/>
    <w:rsid w:val="00834AA4"/>
    <w:rsid w:val="00834F0F"/>
    <w:rsid w:val="00834F45"/>
    <w:rsid w:val="008350DE"/>
    <w:rsid w:val="008351B3"/>
    <w:rsid w:val="00836D13"/>
    <w:rsid w:val="008375A8"/>
    <w:rsid w:val="00837B28"/>
    <w:rsid w:val="00840E84"/>
    <w:rsid w:val="00841616"/>
    <w:rsid w:val="008420A2"/>
    <w:rsid w:val="00842532"/>
    <w:rsid w:val="00842A05"/>
    <w:rsid w:val="00842ACC"/>
    <w:rsid w:val="0084442A"/>
    <w:rsid w:val="00844503"/>
    <w:rsid w:val="00844E38"/>
    <w:rsid w:val="00845CDD"/>
    <w:rsid w:val="00845D84"/>
    <w:rsid w:val="00845F18"/>
    <w:rsid w:val="0084667B"/>
    <w:rsid w:val="00846C87"/>
    <w:rsid w:val="00846D3F"/>
    <w:rsid w:val="00847080"/>
    <w:rsid w:val="00847317"/>
    <w:rsid w:val="00847AF2"/>
    <w:rsid w:val="00850649"/>
    <w:rsid w:val="008509ED"/>
    <w:rsid w:val="00850BB1"/>
    <w:rsid w:val="00851012"/>
    <w:rsid w:val="00851868"/>
    <w:rsid w:val="00851B05"/>
    <w:rsid w:val="00851C17"/>
    <w:rsid w:val="00851D5D"/>
    <w:rsid w:val="008521C2"/>
    <w:rsid w:val="0085287C"/>
    <w:rsid w:val="008538DC"/>
    <w:rsid w:val="00853DFC"/>
    <w:rsid w:val="00854DEE"/>
    <w:rsid w:val="00855BAD"/>
    <w:rsid w:val="00856667"/>
    <w:rsid w:val="00856903"/>
    <w:rsid w:val="00856A1C"/>
    <w:rsid w:val="00856FD4"/>
    <w:rsid w:val="008570A9"/>
    <w:rsid w:val="00857741"/>
    <w:rsid w:val="00857F0D"/>
    <w:rsid w:val="00857FB8"/>
    <w:rsid w:val="008601EF"/>
    <w:rsid w:val="008610F6"/>
    <w:rsid w:val="00861AC6"/>
    <w:rsid w:val="00861FFC"/>
    <w:rsid w:val="00862684"/>
    <w:rsid w:val="00863878"/>
    <w:rsid w:val="008645B6"/>
    <w:rsid w:val="008658ED"/>
    <w:rsid w:val="00865A48"/>
    <w:rsid w:val="00866303"/>
    <w:rsid w:val="00866784"/>
    <w:rsid w:val="008667CA"/>
    <w:rsid w:val="0086689E"/>
    <w:rsid w:val="00866BA4"/>
    <w:rsid w:val="00867260"/>
    <w:rsid w:val="00867282"/>
    <w:rsid w:val="00867497"/>
    <w:rsid w:val="00867586"/>
    <w:rsid w:val="00867FE1"/>
    <w:rsid w:val="008704E6"/>
    <w:rsid w:val="008705DD"/>
    <w:rsid w:val="00870D3C"/>
    <w:rsid w:val="00871A6B"/>
    <w:rsid w:val="00871EE4"/>
    <w:rsid w:val="008729D8"/>
    <w:rsid w:val="00872A61"/>
    <w:rsid w:val="00872CCF"/>
    <w:rsid w:val="00872DE1"/>
    <w:rsid w:val="00872DF2"/>
    <w:rsid w:val="008730D1"/>
    <w:rsid w:val="008747EF"/>
    <w:rsid w:val="00874DDA"/>
    <w:rsid w:val="00874E92"/>
    <w:rsid w:val="00875333"/>
    <w:rsid w:val="008756D1"/>
    <w:rsid w:val="0087592B"/>
    <w:rsid w:val="0087622B"/>
    <w:rsid w:val="00877065"/>
    <w:rsid w:val="00877428"/>
    <w:rsid w:val="00880800"/>
    <w:rsid w:val="00880D39"/>
    <w:rsid w:val="00880ED6"/>
    <w:rsid w:val="008810BD"/>
    <w:rsid w:val="008826AF"/>
    <w:rsid w:val="008826BF"/>
    <w:rsid w:val="00882928"/>
    <w:rsid w:val="00882B20"/>
    <w:rsid w:val="00882B74"/>
    <w:rsid w:val="00883459"/>
    <w:rsid w:val="00883999"/>
    <w:rsid w:val="00883A05"/>
    <w:rsid w:val="00884B68"/>
    <w:rsid w:val="00885B05"/>
    <w:rsid w:val="0088658B"/>
    <w:rsid w:val="00886CC4"/>
    <w:rsid w:val="00886F96"/>
    <w:rsid w:val="00887704"/>
    <w:rsid w:val="00887927"/>
    <w:rsid w:val="00887B7E"/>
    <w:rsid w:val="00890A8F"/>
    <w:rsid w:val="00890B72"/>
    <w:rsid w:val="00890C7F"/>
    <w:rsid w:val="00891CCD"/>
    <w:rsid w:val="008926AB"/>
    <w:rsid w:val="008930B4"/>
    <w:rsid w:val="00894508"/>
    <w:rsid w:val="00895059"/>
    <w:rsid w:val="0089578F"/>
    <w:rsid w:val="008963EA"/>
    <w:rsid w:val="00896728"/>
    <w:rsid w:val="00896824"/>
    <w:rsid w:val="0089704C"/>
    <w:rsid w:val="00897069"/>
    <w:rsid w:val="00897B56"/>
    <w:rsid w:val="008A0E70"/>
    <w:rsid w:val="008A11EF"/>
    <w:rsid w:val="008A1219"/>
    <w:rsid w:val="008A147F"/>
    <w:rsid w:val="008A1C28"/>
    <w:rsid w:val="008A1FCF"/>
    <w:rsid w:val="008A2CDE"/>
    <w:rsid w:val="008A2ED9"/>
    <w:rsid w:val="008A3065"/>
    <w:rsid w:val="008A4637"/>
    <w:rsid w:val="008A4699"/>
    <w:rsid w:val="008A46AD"/>
    <w:rsid w:val="008A4BAD"/>
    <w:rsid w:val="008A6423"/>
    <w:rsid w:val="008A652A"/>
    <w:rsid w:val="008A682B"/>
    <w:rsid w:val="008A6CC4"/>
    <w:rsid w:val="008A76D0"/>
    <w:rsid w:val="008A780B"/>
    <w:rsid w:val="008A7B8E"/>
    <w:rsid w:val="008B00F2"/>
    <w:rsid w:val="008B0944"/>
    <w:rsid w:val="008B09B4"/>
    <w:rsid w:val="008B1370"/>
    <w:rsid w:val="008B1476"/>
    <w:rsid w:val="008B1735"/>
    <w:rsid w:val="008B1FDB"/>
    <w:rsid w:val="008B22C2"/>
    <w:rsid w:val="008B2503"/>
    <w:rsid w:val="008B2740"/>
    <w:rsid w:val="008B2BE7"/>
    <w:rsid w:val="008B2E60"/>
    <w:rsid w:val="008B314D"/>
    <w:rsid w:val="008B3A03"/>
    <w:rsid w:val="008B4B6C"/>
    <w:rsid w:val="008B4BEE"/>
    <w:rsid w:val="008B503B"/>
    <w:rsid w:val="008B5836"/>
    <w:rsid w:val="008B5AB8"/>
    <w:rsid w:val="008B5BF0"/>
    <w:rsid w:val="008B5FF5"/>
    <w:rsid w:val="008B60C6"/>
    <w:rsid w:val="008B6469"/>
    <w:rsid w:val="008B6A38"/>
    <w:rsid w:val="008B6BC1"/>
    <w:rsid w:val="008B6C82"/>
    <w:rsid w:val="008B7CCD"/>
    <w:rsid w:val="008B7F74"/>
    <w:rsid w:val="008C0F3A"/>
    <w:rsid w:val="008C1906"/>
    <w:rsid w:val="008C1968"/>
    <w:rsid w:val="008C1A00"/>
    <w:rsid w:val="008C1A09"/>
    <w:rsid w:val="008C3D61"/>
    <w:rsid w:val="008C43C3"/>
    <w:rsid w:val="008C484A"/>
    <w:rsid w:val="008C4BA4"/>
    <w:rsid w:val="008C52FF"/>
    <w:rsid w:val="008C61C4"/>
    <w:rsid w:val="008C6630"/>
    <w:rsid w:val="008C6BF4"/>
    <w:rsid w:val="008C7785"/>
    <w:rsid w:val="008D01A2"/>
    <w:rsid w:val="008D0782"/>
    <w:rsid w:val="008D0C6A"/>
    <w:rsid w:val="008D11CD"/>
    <w:rsid w:val="008D1274"/>
    <w:rsid w:val="008D1CAB"/>
    <w:rsid w:val="008D24ED"/>
    <w:rsid w:val="008D2955"/>
    <w:rsid w:val="008D55C4"/>
    <w:rsid w:val="008D58A6"/>
    <w:rsid w:val="008D6F97"/>
    <w:rsid w:val="008D7EE1"/>
    <w:rsid w:val="008E024A"/>
    <w:rsid w:val="008E02E6"/>
    <w:rsid w:val="008E04BC"/>
    <w:rsid w:val="008E08B1"/>
    <w:rsid w:val="008E12A9"/>
    <w:rsid w:val="008E1613"/>
    <w:rsid w:val="008E1DC1"/>
    <w:rsid w:val="008E2D13"/>
    <w:rsid w:val="008E3373"/>
    <w:rsid w:val="008E4E21"/>
    <w:rsid w:val="008E5AC8"/>
    <w:rsid w:val="008E5F56"/>
    <w:rsid w:val="008E619F"/>
    <w:rsid w:val="008E683C"/>
    <w:rsid w:val="008E6E01"/>
    <w:rsid w:val="008E7B8D"/>
    <w:rsid w:val="008E7C95"/>
    <w:rsid w:val="008F07F3"/>
    <w:rsid w:val="008F13F2"/>
    <w:rsid w:val="008F164A"/>
    <w:rsid w:val="008F19E4"/>
    <w:rsid w:val="008F1DA5"/>
    <w:rsid w:val="008F1EA7"/>
    <w:rsid w:val="008F2601"/>
    <w:rsid w:val="008F307E"/>
    <w:rsid w:val="008F415D"/>
    <w:rsid w:val="008F4247"/>
    <w:rsid w:val="008F4AD3"/>
    <w:rsid w:val="008F4E2B"/>
    <w:rsid w:val="008F4ED7"/>
    <w:rsid w:val="008F54B6"/>
    <w:rsid w:val="008F5986"/>
    <w:rsid w:val="008F6598"/>
    <w:rsid w:val="008F736E"/>
    <w:rsid w:val="008F7C9F"/>
    <w:rsid w:val="0090015F"/>
    <w:rsid w:val="009003B7"/>
    <w:rsid w:val="0090178F"/>
    <w:rsid w:val="00902D80"/>
    <w:rsid w:val="009032B7"/>
    <w:rsid w:val="009033BF"/>
    <w:rsid w:val="00903533"/>
    <w:rsid w:val="00903F4C"/>
    <w:rsid w:val="0090441E"/>
    <w:rsid w:val="00904B08"/>
    <w:rsid w:val="00905D74"/>
    <w:rsid w:val="00905EC8"/>
    <w:rsid w:val="0090603A"/>
    <w:rsid w:val="009060A9"/>
    <w:rsid w:val="00906297"/>
    <w:rsid w:val="009064BE"/>
    <w:rsid w:val="00906895"/>
    <w:rsid w:val="00906A88"/>
    <w:rsid w:val="00906FDD"/>
    <w:rsid w:val="0090700A"/>
    <w:rsid w:val="0090709E"/>
    <w:rsid w:val="0090754F"/>
    <w:rsid w:val="00907A1A"/>
    <w:rsid w:val="00907D3D"/>
    <w:rsid w:val="009101ED"/>
    <w:rsid w:val="009108ED"/>
    <w:rsid w:val="00910EA9"/>
    <w:rsid w:val="009116B0"/>
    <w:rsid w:val="009119F2"/>
    <w:rsid w:val="00911EF3"/>
    <w:rsid w:val="009126DC"/>
    <w:rsid w:val="00912C16"/>
    <w:rsid w:val="00912E7B"/>
    <w:rsid w:val="00913347"/>
    <w:rsid w:val="009138C5"/>
    <w:rsid w:val="009139F8"/>
    <w:rsid w:val="00913C19"/>
    <w:rsid w:val="00914E16"/>
    <w:rsid w:val="00915A10"/>
    <w:rsid w:val="00915C34"/>
    <w:rsid w:val="0091675C"/>
    <w:rsid w:val="00917011"/>
    <w:rsid w:val="009179B3"/>
    <w:rsid w:val="00917E8D"/>
    <w:rsid w:val="00921862"/>
    <w:rsid w:val="00922032"/>
    <w:rsid w:val="009221DA"/>
    <w:rsid w:val="00922AAD"/>
    <w:rsid w:val="00924C59"/>
    <w:rsid w:val="00924D64"/>
    <w:rsid w:val="0092538A"/>
    <w:rsid w:val="0092586E"/>
    <w:rsid w:val="00926086"/>
    <w:rsid w:val="009273A3"/>
    <w:rsid w:val="009273C6"/>
    <w:rsid w:val="0093065B"/>
    <w:rsid w:val="00931281"/>
    <w:rsid w:val="009316D5"/>
    <w:rsid w:val="0093198A"/>
    <w:rsid w:val="00931B05"/>
    <w:rsid w:val="00933A0E"/>
    <w:rsid w:val="00933FF8"/>
    <w:rsid w:val="00934033"/>
    <w:rsid w:val="0093452B"/>
    <w:rsid w:val="0093514C"/>
    <w:rsid w:val="009353B0"/>
    <w:rsid w:val="009357F7"/>
    <w:rsid w:val="00935811"/>
    <w:rsid w:val="009364AD"/>
    <w:rsid w:val="009366C9"/>
    <w:rsid w:val="00937200"/>
    <w:rsid w:val="009376A0"/>
    <w:rsid w:val="00937C01"/>
    <w:rsid w:val="009406F4"/>
    <w:rsid w:val="00940842"/>
    <w:rsid w:val="00940EF7"/>
    <w:rsid w:val="0094176C"/>
    <w:rsid w:val="00941DBA"/>
    <w:rsid w:val="00942D9B"/>
    <w:rsid w:val="00943408"/>
    <w:rsid w:val="00943A19"/>
    <w:rsid w:val="00943B03"/>
    <w:rsid w:val="00943B53"/>
    <w:rsid w:val="00943ED0"/>
    <w:rsid w:val="0094463A"/>
    <w:rsid w:val="00945377"/>
    <w:rsid w:val="009457CC"/>
    <w:rsid w:val="009459C5"/>
    <w:rsid w:val="009459DD"/>
    <w:rsid w:val="009464BF"/>
    <w:rsid w:val="00946847"/>
    <w:rsid w:val="0094773C"/>
    <w:rsid w:val="00947A02"/>
    <w:rsid w:val="00947A98"/>
    <w:rsid w:val="009500A3"/>
    <w:rsid w:val="00950643"/>
    <w:rsid w:val="00950C5F"/>
    <w:rsid w:val="00950EC6"/>
    <w:rsid w:val="009510DF"/>
    <w:rsid w:val="00951186"/>
    <w:rsid w:val="0095128C"/>
    <w:rsid w:val="00951C25"/>
    <w:rsid w:val="00952637"/>
    <w:rsid w:val="00953B0D"/>
    <w:rsid w:val="00953CD7"/>
    <w:rsid w:val="00954934"/>
    <w:rsid w:val="00954E4F"/>
    <w:rsid w:val="009550A9"/>
    <w:rsid w:val="00956286"/>
    <w:rsid w:val="009572A6"/>
    <w:rsid w:val="009572C2"/>
    <w:rsid w:val="0095796B"/>
    <w:rsid w:val="00957D02"/>
    <w:rsid w:val="009609DB"/>
    <w:rsid w:val="00960A03"/>
    <w:rsid w:val="00960B25"/>
    <w:rsid w:val="00960C8C"/>
    <w:rsid w:val="0096195A"/>
    <w:rsid w:val="00963296"/>
    <w:rsid w:val="009634B6"/>
    <w:rsid w:val="00964BBB"/>
    <w:rsid w:val="00964CD5"/>
    <w:rsid w:val="009653FA"/>
    <w:rsid w:val="00965665"/>
    <w:rsid w:val="00966622"/>
    <w:rsid w:val="00966B7B"/>
    <w:rsid w:val="00966FEE"/>
    <w:rsid w:val="009676A7"/>
    <w:rsid w:val="00967DE6"/>
    <w:rsid w:val="00967E73"/>
    <w:rsid w:val="009712EB"/>
    <w:rsid w:val="0097136C"/>
    <w:rsid w:val="00971CD6"/>
    <w:rsid w:val="00971DEA"/>
    <w:rsid w:val="009729BF"/>
    <w:rsid w:val="00972B41"/>
    <w:rsid w:val="00972BF1"/>
    <w:rsid w:val="00973150"/>
    <w:rsid w:val="0097336D"/>
    <w:rsid w:val="0097372C"/>
    <w:rsid w:val="00973810"/>
    <w:rsid w:val="00973BFD"/>
    <w:rsid w:val="00973E5F"/>
    <w:rsid w:val="00974958"/>
    <w:rsid w:val="00974C75"/>
    <w:rsid w:val="0097539D"/>
    <w:rsid w:val="00975576"/>
    <w:rsid w:val="00976389"/>
    <w:rsid w:val="0097662B"/>
    <w:rsid w:val="00976A67"/>
    <w:rsid w:val="009777D9"/>
    <w:rsid w:val="00977DB9"/>
    <w:rsid w:val="009816B9"/>
    <w:rsid w:val="00981D17"/>
    <w:rsid w:val="009823DC"/>
    <w:rsid w:val="00982D53"/>
    <w:rsid w:val="00982D6A"/>
    <w:rsid w:val="00983552"/>
    <w:rsid w:val="00983E5E"/>
    <w:rsid w:val="00984AE4"/>
    <w:rsid w:val="0098505E"/>
    <w:rsid w:val="00985173"/>
    <w:rsid w:val="00985614"/>
    <w:rsid w:val="00985935"/>
    <w:rsid w:val="00986317"/>
    <w:rsid w:val="00986507"/>
    <w:rsid w:val="0098663E"/>
    <w:rsid w:val="00987452"/>
    <w:rsid w:val="00987580"/>
    <w:rsid w:val="00987F12"/>
    <w:rsid w:val="00990952"/>
    <w:rsid w:val="00990F3E"/>
    <w:rsid w:val="00991029"/>
    <w:rsid w:val="009910F4"/>
    <w:rsid w:val="0099138C"/>
    <w:rsid w:val="00992449"/>
    <w:rsid w:val="00993542"/>
    <w:rsid w:val="00994220"/>
    <w:rsid w:val="0099427A"/>
    <w:rsid w:val="00994CBE"/>
    <w:rsid w:val="00994FBA"/>
    <w:rsid w:val="00995CC6"/>
    <w:rsid w:val="0099605B"/>
    <w:rsid w:val="009960F5"/>
    <w:rsid w:val="00996778"/>
    <w:rsid w:val="00996EFE"/>
    <w:rsid w:val="00997319"/>
    <w:rsid w:val="009A07F1"/>
    <w:rsid w:val="009A0EA6"/>
    <w:rsid w:val="009A1406"/>
    <w:rsid w:val="009A18A3"/>
    <w:rsid w:val="009A25D1"/>
    <w:rsid w:val="009A2B3A"/>
    <w:rsid w:val="009A2C93"/>
    <w:rsid w:val="009A2E22"/>
    <w:rsid w:val="009A3978"/>
    <w:rsid w:val="009A3BCB"/>
    <w:rsid w:val="009A3F0C"/>
    <w:rsid w:val="009A4640"/>
    <w:rsid w:val="009A592D"/>
    <w:rsid w:val="009A6CE8"/>
    <w:rsid w:val="009A6EC2"/>
    <w:rsid w:val="009A71E8"/>
    <w:rsid w:val="009A724C"/>
    <w:rsid w:val="009B013E"/>
    <w:rsid w:val="009B02B0"/>
    <w:rsid w:val="009B0333"/>
    <w:rsid w:val="009B06B4"/>
    <w:rsid w:val="009B0C7A"/>
    <w:rsid w:val="009B0D63"/>
    <w:rsid w:val="009B1751"/>
    <w:rsid w:val="009B17EA"/>
    <w:rsid w:val="009B1D0E"/>
    <w:rsid w:val="009B2264"/>
    <w:rsid w:val="009B23BE"/>
    <w:rsid w:val="009B2C34"/>
    <w:rsid w:val="009B3561"/>
    <w:rsid w:val="009B3575"/>
    <w:rsid w:val="009B358B"/>
    <w:rsid w:val="009B3A40"/>
    <w:rsid w:val="009B4358"/>
    <w:rsid w:val="009B49CC"/>
    <w:rsid w:val="009B5085"/>
    <w:rsid w:val="009B5363"/>
    <w:rsid w:val="009B5607"/>
    <w:rsid w:val="009B5ECD"/>
    <w:rsid w:val="009B6592"/>
    <w:rsid w:val="009B6D81"/>
    <w:rsid w:val="009B75C1"/>
    <w:rsid w:val="009C0175"/>
    <w:rsid w:val="009C11B9"/>
    <w:rsid w:val="009C1226"/>
    <w:rsid w:val="009C1805"/>
    <w:rsid w:val="009C19D8"/>
    <w:rsid w:val="009C1FF9"/>
    <w:rsid w:val="009C2CE2"/>
    <w:rsid w:val="009C3707"/>
    <w:rsid w:val="009C3919"/>
    <w:rsid w:val="009C50F2"/>
    <w:rsid w:val="009C5786"/>
    <w:rsid w:val="009C57A4"/>
    <w:rsid w:val="009C69CA"/>
    <w:rsid w:val="009C70E1"/>
    <w:rsid w:val="009C7435"/>
    <w:rsid w:val="009D00DC"/>
    <w:rsid w:val="009D1115"/>
    <w:rsid w:val="009D1131"/>
    <w:rsid w:val="009D1B92"/>
    <w:rsid w:val="009D1E88"/>
    <w:rsid w:val="009D2542"/>
    <w:rsid w:val="009D2F41"/>
    <w:rsid w:val="009D31A6"/>
    <w:rsid w:val="009D4758"/>
    <w:rsid w:val="009D4C22"/>
    <w:rsid w:val="009D5074"/>
    <w:rsid w:val="009D6146"/>
    <w:rsid w:val="009D6449"/>
    <w:rsid w:val="009D6DD3"/>
    <w:rsid w:val="009D6F4F"/>
    <w:rsid w:val="009D7599"/>
    <w:rsid w:val="009D7625"/>
    <w:rsid w:val="009D76DD"/>
    <w:rsid w:val="009D7B14"/>
    <w:rsid w:val="009E0423"/>
    <w:rsid w:val="009E05C1"/>
    <w:rsid w:val="009E09E6"/>
    <w:rsid w:val="009E0B6F"/>
    <w:rsid w:val="009E0DDC"/>
    <w:rsid w:val="009E1A5F"/>
    <w:rsid w:val="009E1B37"/>
    <w:rsid w:val="009E1FB3"/>
    <w:rsid w:val="009E29EA"/>
    <w:rsid w:val="009E2DD1"/>
    <w:rsid w:val="009E3DE3"/>
    <w:rsid w:val="009E431C"/>
    <w:rsid w:val="009E48DA"/>
    <w:rsid w:val="009E4F62"/>
    <w:rsid w:val="009E504C"/>
    <w:rsid w:val="009E50FB"/>
    <w:rsid w:val="009E55F1"/>
    <w:rsid w:val="009E5C3D"/>
    <w:rsid w:val="009E5E4B"/>
    <w:rsid w:val="009E5EC0"/>
    <w:rsid w:val="009E64A1"/>
    <w:rsid w:val="009E6C82"/>
    <w:rsid w:val="009E7102"/>
    <w:rsid w:val="009E716A"/>
    <w:rsid w:val="009E775D"/>
    <w:rsid w:val="009E7980"/>
    <w:rsid w:val="009F0D73"/>
    <w:rsid w:val="009F0EB2"/>
    <w:rsid w:val="009F20E7"/>
    <w:rsid w:val="009F2369"/>
    <w:rsid w:val="009F2590"/>
    <w:rsid w:val="009F27DB"/>
    <w:rsid w:val="009F3CE5"/>
    <w:rsid w:val="009F3FC9"/>
    <w:rsid w:val="009F49C0"/>
    <w:rsid w:val="009F56EF"/>
    <w:rsid w:val="009F59B4"/>
    <w:rsid w:val="009F5C50"/>
    <w:rsid w:val="009F62FE"/>
    <w:rsid w:val="009F721B"/>
    <w:rsid w:val="00A003AC"/>
    <w:rsid w:val="00A00B1C"/>
    <w:rsid w:val="00A0112E"/>
    <w:rsid w:val="00A01787"/>
    <w:rsid w:val="00A02220"/>
    <w:rsid w:val="00A023C3"/>
    <w:rsid w:val="00A025E3"/>
    <w:rsid w:val="00A027DE"/>
    <w:rsid w:val="00A03349"/>
    <w:rsid w:val="00A03943"/>
    <w:rsid w:val="00A03AFF"/>
    <w:rsid w:val="00A04CD4"/>
    <w:rsid w:val="00A04EEB"/>
    <w:rsid w:val="00A04F99"/>
    <w:rsid w:val="00A059D1"/>
    <w:rsid w:val="00A0624B"/>
    <w:rsid w:val="00A06634"/>
    <w:rsid w:val="00A066FB"/>
    <w:rsid w:val="00A06D35"/>
    <w:rsid w:val="00A071B1"/>
    <w:rsid w:val="00A07836"/>
    <w:rsid w:val="00A07C63"/>
    <w:rsid w:val="00A12551"/>
    <w:rsid w:val="00A130D5"/>
    <w:rsid w:val="00A13A1C"/>
    <w:rsid w:val="00A13AF7"/>
    <w:rsid w:val="00A13B35"/>
    <w:rsid w:val="00A13DE4"/>
    <w:rsid w:val="00A14D5C"/>
    <w:rsid w:val="00A151D1"/>
    <w:rsid w:val="00A15240"/>
    <w:rsid w:val="00A15317"/>
    <w:rsid w:val="00A1609B"/>
    <w:rsid w:val="00A16BCD"/>
    <w:rsid w:val="00A17485"/>
    <w:rsid w:val="00A174F2"/>
    <w:rsid w:val="00A177A4"/>
    <w:rsid w:val="00A1789F"/>
    <w:rsid w:val="00A178B4"/>
    <w:rsid w:val="00A2025D"/>
    <w:rsid w:val="00A2083A"/>
    <w:rsid w:val="00A209FB"/>
    <w:rsid w:val="00A21079"/>
    <w:rsid w:val="00A211BB"/>
    <w:rsid w:val="00A2130B"/>
    <w:rsid w:val="00A220C9"/>
    <w:rsid w:val="00A221BB"/>
    <w:rsid w:val="00A224A0"/>
    <w:rsid w:val="00A22759"/>
    <w:rsid w:val="00A2326D"/>
    <w:rsid w:val="00A241B5"/>
    <w:rsid w:val="00A24FD4"/>
    <w:rsid w:val="00A25983"/>
    <w:rsid w:val="00A25D5C"/>
    <w:rsid w:val="00A2636C"/>
    <w:rsid w:val="00A265F6"/>
    <w:rsid w:val="00A27324"/>
    <w:rsid w:val="00A27417"/>
    <w:rsid w:val="00A2743B"/>
    <w:rsid w:val="00A301FB"/>
    <w:rsid w:val="00A302A2"/>
    <w:rsid w:val="00A305A8"/>
    <w:rsid w:val="00A30DE9"/>
    <w:rsid w:val="00A3168A"/>
    <w:rsid w:val="00A3184B"/>
    <w:rsid w:val="00A3270F"/>
    <w:rsid w:val="00A32F25"/>
    <w:rsid w:val="00A350A2"/>
    <w:rsid w:val="00A35BB2"/>
    <w:rsid w:val="00A35F5F"/>
    <w:rsid w:val="00A36814"/>
    <w:rsid w:val="00A369A9"/>
    <w:rsid w:val="00A36F21"/>
    <w:rsid w:val="00A3789D"/>
    <w:rsid w:val="00A401E4"/>
    <w:rsid w:val="00A40D31"/>
    <w:rsid w:val="00A414BA"/>
    <w:rsid w:val="00A4163B"/>
    <w:rsid w:val="00A419FE"/>
    <w:rsid w:val="00A42026"/>
    <w:rsid w:val="00A42B02"/>
    <w:rsid w:val="00A434F1"/>
    <w:rsid w:val="00A4353C"/>
    <w:rsid w:val="00A43F45"/>
    <w:rsid w:val="00A441A5"/>
    <w:rsid w:val="00A44206"/>
    <w:rsid w:val="00A44955"/>
    <w:rsid w:val="00A44AC9"/>
    <w:rsid w:val="00A44D59"/>
    <w:rsid w:val="00A44D75"/>
    <w:rsid w:val="00A455E8"/>
    <w:rsid w:val="00A45AA4"/>
    <w:rsid w:val="00A45C4C"/>
    <w:rsid w:val="00A45CB7"/>
    <w:rsid w:val="00A4649F"/>
    <w:rsid w:val="00A46E79"/>
    <w:rsid w:val="00A46F67"/>
    <w:rsid w:val="00A47141"/>
    <w:rsid w:val="00A478D3"/>
    <w:rsid w:val="00A507F1"/>
    <w:rsid w:val="00A50A2D"/>
    <w:rsid w:val="00A51EE8"/>
    <w:rsid w:val="00A52557"/>
    <w:rsid w:val="00A52A87"/>
    <w:rsid w:val="00A52C28"/>
    <w:rsid w:val="00A52EE1"/>
    <w:rsid w:val="00A52F66"/>
    <w:rsid w:val="00A52F92"/>
    <w:rsid w:val="00A54003"/>
    <w:rsid w:val="00A541EE"/>
    <w:rsid w:val="00A54AD7"/>
    <w:rsid w:val="00A54AF8"/>
    <w:rsid w:val="00A54E3A"/>
    <w:rsid w:val="00A5501E"/>
    <w:rsid w:val="00A555F1"/>
    <w:rsid w:val="00A573DD"/>
    <w:rsid w:val="00A60299"/>
    <w:rsid w:val="00A60717"/>
    <w:rsid w:val="00A6236B"/>
    <w:rsid w:val="00A62871"/>
    <w:rsid w:val="00A62A47"/>
    <w:rsid w:val="00A62B00"/>
    <w:rsid w:val="00A62BBE"/>
    <w:rsid w:val="00A62F1C"/>
    <w:rsid w:val="00A63705"/>
    <w:rsid w:val="00A63A64"/>
    <w:rsid w:val="00A63BBC"/>
    <w:rsid w:val="00A63C83"/>
    <w:rsid w:val="00A64199"/>
    <w:rsid w:val="00A641E9"/>
    <w:rsid w:val="00A64E87"/>
    <w:rsid w:val="00A64FC3"/>
    <w:rsid w:val="00A65729"/>
    <w:rsid w:val="00A658D7"/>
    <w:rsid w:val="00A66091"/>
    <w:rsid w:val="00A67118"/>
    <w:rsid w:val="00A6730B"/>
    <w:rsid w:val="00A67E12"/>
    <w:rsid w:val="00A71419"/>
    <w:rsid w:val="00A7189A"/>
    <w:rsid w:val="00A71941"/>
    <w:rsid w:val="00A71E6D"/>
    <w:rsid w:val="00A71FDB"/>
    <w:rsid w:val="00A73152"/>
    <w:rsid w:val="00A737E6"/>
    <w:rsid w:val="00A7410F"/>
    <w:rsid w:val="00A74466"/>
    <w:rsid w:val="00A7480C"/>
    <w:rsid w:val="00A7485E"/>
    <w:rsid w:val="00A75688"/>
    <w:rsid w:val="00A75A60"/>
    <w:rsid w:val="00A75E05"/>
    <w:rsid w:val="00A762BE"/>
    <w:rsid w:val="00A767F5"/>
    <w:rsid w:val="00A7687E"/>
    <w:rsid w:val="00A76E66"/>
    <w:rsid w:val="00A77476"/>
    <w:rsid w:val="00A77FD5"/>
    <w:rsid w:val="00A80D95"/>
    <w:rsid w:val="00A81345"/>
    <w:rsid w:val="00A813B7"/>
    <w:rsid w:val="00A821CD"/>
    <w:rsid w:val="00A82CCF"/>
    <w:rsid w:val="00A83208"/>
    <w:rsid w:val="00A8371D"/>
    <w:rsid w:val="00A8404F"/>
    <w:rsid w:val="00A84E98"/>
    <w:rsid w:val="00A859A0"/>
    <w:rsid w:val="00A85BDE"/>
    <w:rsid w:val="00A864D2"/>
    <w:rsid w:val="00A86E42"/>
    <w:rsid w:val="00A9049D"/>
    <w:rsid w:val="00A9194B"/>
    <w:rsid w:val="00A91A50"/>
    <w:rsid w:val="00A91CE3"/>
    <w:rsid w:val="00A91DA4"/>
    <w:rsid w:val="00A91F67"/>
    <w:rsid w:val="00A9236E"/>
    <w:rsid w:val="00A92B96"/>
    <w:rsid w:val="00A933C9"/>
    <w:rsid w:val="00A933DE"/>
    <w:rsid w:val="00A935A1"/>
    <w:rsid w:val="00A93C20"/>
    <w:rsid w:val="00A94AC4"/>
    <w:rsid w:val="00A94CC8"/>
    <w:rsid w:val="00A94DA0"/>
    <w:rsid w:val="00A94E07"/>
    <w:rsid w:val="00A96157"/>
    <w:rsid w:val="00A9629E"/>
    <w:rsid w:val="00A96A47"/>
    <w:rsid w:val="00A96FDB"/>
    <w:rsid w:val="00A972C2"/>
    <w:rsid w:val="00A972DE"/>
    <w:rsid w:val="00A97A69"/>
    <w:rsid w:val="00AA0642"/>
    <w:rsid w:val="00AA1818"/>
    <w:rsid w:val="00AA2049"/>
    <w:rsid w:val="00AA207D"/>
    <w:rsid w:val="00AA21D2"/>
    <w:rsid w:val="00AA2286"/>
    <w:rsid w:val="00AA2A2B"/>
    <w:rsid w:val="00AA2BCF"/>
    <w:rsid w:val="00AA30F4"/>
    <w:rsid w:val="00AA31C9"/>
    <w:rsid w:val="00AA3A26"/>
    <w:rsid w:val="00AA3A29"/>
    <w:rsid w:val="00AA3D3B"/>
    <w:rsid w:val="00AA3F68"/>
    <w:rsid w:val="00AA5291"/>
    <w:rsid w:val="00AA62D2"/>
    <w:rsid w:val="00AA64FD"/>
    <w:rsid w:val="00AA7352"/>
    <w:rsid w:val="00AA7875"/>
    <w:rsid w:val="00AA7E32"/>
    <w:rsid w:val="00AB08CE"/>
    <w:rsid w:val="00AB1095"/>
    <w:rsid w:val="00AB124C"/>
    <w:rsid w:val="00AB12C3"/>
    <w:rsid w:val="00AB1816"/>
    <w:rsid w:val="00AB1EC9"/>
    <w:rsid w:val="00AB21BC"/>
    <w:rsid w:val="00AB26CE"/>
    <w:rsid w:val="00AB2756"/>
    <w:rsid w:val="00AB2BD6"/>
    <w:rsid w:val="00AB2C1C"/>
    <w:rsid w:val="00AB2F30"/>
    <w:rsid w:val="00AB2F62"/>
    <w:rsid w:val="00AB3777"/>
    <w:rsid w:val="00AB37E9"/>
    <w:rsid w:val="00AB411D"/>
    <w:rsid w:val="00AB445A"/>
    <w:rsid w:val="00AB67CF"/>
    <w:rsid w:val="00AB7E4A"/>
    <w:rsid w:val="00AC01D1"/>
    <w:rsid w:val="00AC0655"/>
    <w:rsid w:val="00AC06EF"/>
    <w:rsid w:val="00AC0B96"/>
    <w:rsid w:val="00AC0D90"/>
    <w:rsid w:val="00AC0DD2"/>
    <w:rsid w:val="00AC1350"/>
    <w:rsid w:val="00AC22C4"/>
    <w:rsid w:val="00AC2548"/>
    <w:rsid w:val="00AC37D0"/>
    <w:rsid w:val="00AC39B3"/>
    <w:rsid w:val="00AC3A02"/>
    <w:rsid w:val="00AC3B9E"/>
    <w:rsid w:val="00AC4074"/>
    <w:rsid w:val="00AC4727"/>
    <w:rsid w:val="00AC4969"/>
    <w:rsid w:val="00AC4E44"/>
    <w:rsid w:val="00AC4FE0"/>
    <w:rsid w:val="00AC552F"/>
    <w:rsid w:val="00AC5D08"/>
    <w:rsid w:val="00AC62BE"/>
    <w:rsid w:val="00AC62E6"/>
    <w:rsid w:val="00AC6681"/>
    <w:rsid w:val="00AC6E53"/>
    <w:rsid w:val="00AC7CA4"/>
    <w:rsid w:val="00AC7E2E"/>
    <w:rsid w:val="00AD07B8"/>
    <w:rsid w:val="00AD0873"/>
    <w:rsid w:val="00AD0BC9"/>
    <w:rsid w:val="00AD10FA"/>
    <w:rsid w:val="00AD14CA"/>
    <w:rsid w:val="00AD1882"/>
    <w:rsid w:val="00AD19C3"/>
    <w:rsid w:val="00AD1D58"/>
    <w:rsid w:val="00AD25F8"/>
    <w:rsid w:val="00AD298C"/>
    <w:rsid w:val="00AD2D9C"/>
    <w:rsid w:val="00AD3D2E"/>
    <w:rsid w:val="00AD3DC4"/>
    <w:rsid w:val="00AD45C4"/>
    <w:rsid w:val="00AD45D5"/>
    <w:rsid w:val="00AD4717"/>
    <w:rsid w:val="00AD49B9"/>
    <w:rsid w:val="00AD4B64"/>
    <w:rsid w:val="00AD4C53"/>
    <w:rsid w:val="00AD562B"/>
    <w:rsid w:val="00AD571C"/>
    <w:rsid w:val="00AD5894"/>
    <w:rsid w:val="00AD5B2E"/>
    <w:rsid w:val="00AD62F7"/>
    <w:rsid w:val="00AD6D5E"/>
    <w:rsid w:val="00AD7BA1"/>
    <w:rsid w:val="00AD7FB0"/>
    <w:rsid w:val="00AE0214"/>
    <w:rsid w:val="00AE072A"/>
    <w:rsid w:val="00AE0B66"/>
    <w:rsid w:val="00AE0D51"/>
    <w:rsid w:val="00AE0DAD"/>
    <w:rsid w:val="00AE11D1"/>
    <w:rsid w:val="00AE1781"/>
    <w:rsid w:val="00AE1A4A"/>
    <w:rsid w:val="00AE1B3C"/>
    <w:rsid w:val="00AE1BCA"/>
    <w:rsid w:val="00AE20FA"/>
    <w:rsid w:val="00AE2286"/>
    <w:rsid w:val="00AE271F"/>
    <w:rsid w:val="00AE274B"/>
    <w:rsid w:val="00AE34D2"/>
    <w:rsid w:val="00AE3E5F"/>
    <w:rsid w:val="00AE3F0F"/>
    <w:rsid w:val="00AE3F82"/>
    <w:rsid w:val="00AE4387"/>
    <w:rsid w:val="00AE49E9"/>
    <w:rsid w:val="00AE4ADA"/>
    <w:rsid w:val="00AE552B"/>
    <w:rsid w:val="00AE5E55"/>
    <w:rsid w:val="00AE6ABF"/>
    <w:rsid w:val="00AE6B0F"/>
    <w:rsid w:val="00AE78DF"/>
    <w:rsid w:val="00AE7A2C"/>
    <w:rsid w:val="00AE7C18"/>
    <w:rsid w:val="00AE7D9E"/>
    <w:rsid w:val="00AF0588"/>
    <w:rsid w:val="00AF08C2"/>
    <w:rsid w:val="00AF18E8"/>
    <w:rsid w:val="00AF1C39"/>
    <w:rsid w:val="00AF2268"/>
    <w:rsid w:val="00AF243C"/>
    <w:rsid w:val="00AF2F90"/>
    <w:rsid w:val="00AF38D0"/>
    <w:rsid w:val="00AF3CD8"/>
    <w:rsid w:val="00AF51AE"/>
    <w:rsid w:val="00AF53F6"/>
    <w:rsid w:val="00AF591F"/>
    <w:rsid w:val="00AF63E9"/>
    <w:rsid w:val="00AF6A73"/>
    <w:rsid w:val="00AF70DA"/>
    <w:rsid w:val="00AF7135"/>
    <w:rsid w:val="00AF7B1B"/>
    <w:rsid w:val="00B008D5"/>
    <w:rsid w:val="00B010CE"/>
    <w:rsid w:val="00B01F5A"/>
    <w:rsid w:val="00B0280E"/>
    <w:rsid w:val="00B03055"/>
    <w:rsid w:val="00B0385E"/>
    <w:rsid w:val="00B04647"/>
    <w:rsid w:val="00B0497A"/>
    <w:rsid w:val="00B04F7B"/>
    <w:rsid w:val="00B069DF"/>
    <w:rsid w:val="00B06CBA"/>
    <w:rsid w:val="00B07C1F"/>
    <w:rsid w:val="00B107D5"/>
    <w:rsid w:val="00B1096F"/>
    <w:rsid w:val="00B11A31"/>
    <w:rsid w:val="00B11A5C"/>
    <w:rsid w:val="00B12B79"/>
    <w:rsid w:val="00B1378D"/>
    <w:rsid w:val="00B1384C"/>
    <w:rsid w:val="00B14165"/>
    <w:rsid w:val="00B14177"/>
    <w:rsid w:val="00B14B88"/>
    <w:rsid w:val="00B14BA4"/>
    <w:rsid w:val="00B15845"/>
    <w:rsid w:val="00B16EB9"/>
    <w:rsid w:val="00B1797D"/>
    <w:rsid w:val="00B17BF7"/>
    <w:rsid w:val="00B2062E"/>
    <w:rsid w:val="00B2099F"/>
    <w:rsid w:val="00B20CAA"/>
    <w:rsid w:val="00B212B0"/>
    <w:rsid w:val="00B218CB"/>
    <w:rsid w:val="00B21BA0"/>
    <w:rsid w:val="00B22F88"/>
    <w:rsid w:val="00B23DD3"/>
    <w:rsid w:val="00B242C6"/>
    <w:rsid w:val="00B26716"/>
    <w:rsid w:val="00B26E8E"/>
    <w:rsid w:val="00B30526"/>
    <w:rsid w:val="00B3093B"/>
    <w:rsid w:val="00B3137F"/>
    <w:rsid w:val="00B31D88"/>
    <w:rsid w:val="00B32BA6"/>
    <w:rsid w:val="00B32DD1"/>
    <w:rsid w:val="00B32FB3"/>
    <w:rsid w:val="00B3400C"/>
    <w:rsid w:val="00B34053"/>
    <w:rsid w:val="00B3426D"/>
    <w:rsid w:val="00B344AF"/>
    <w:rsid w:val="00B355EC"/>
    <w:rsid w:val="00B35B8C"/>
    <w:rsid w:val="00B35DD8"/>
    <w:rsid w:val="00B35E0F"/>
    <w:rsid w:val="00B35F42"/>
    <w:rsid w:val="00B35FF1"/>
    <w:rsid w:val="00B367E5"/>
    <w:rsid w:val="00B3734D"/>
    <w:rsid w:val="00B37791"/>
    <w:rsid w:val="00B37EC3"/>
    <w:rsid w:val="00B37F19"/>
    <w:rsid w:val="00B403B4"/>
    <w:rsid w:val="00B4072A"/>
    <w:rsid w:val="00B40F7E"/>
    <w:rsid w:val="00B41296"/>
    <w:rsid w:val="00B41CD1"/>
    <w:rsid w:val="00B41DB9"/>
    <w:rsid w:val="00B4268E"/>
    <w:rsid w:val="00B42960"/>
    <w:rsid w:val="00B42EF5"/>
    <w:rsid w:val="00B42F8F"/>
    <w:rsid w:val="00B4370C"/>
    <w:rsid w:val="00B43AC8"/>
    <w:rsid w:val="00B43D9E"/>
    <w:rsid w:val="00B43E16"/>
    <w:rsid w:val="00B448BC"/>
    <w:rsid w:val="00B45340"/>
    <w:rsid w:val="00B46D5C"/>
    <w:rsid w:val="00B4724A"/>
    <w:rsid w:val="00B500E0"/>
    <w:rsid w:val="00B50EE7"/>
    <w:rsid w:val="00B5150C"/>
    <w:rsid w:val="00B51771"/>
    <w:rsid w:val="00B51A89"/>
    <w:rsid w:val="00B51B7C"/>
    <w:rsid w:val="00B52555"/>
    <w:rsid w:val="00B52897"/>
    <w:rsid w:val="00B52D37"/>
    <w:rsid w:val="00B53CEF"/>
    <w:rsid w:val="00B53E7F"/>
    <w:rsid w:val="00B53E81"/>
    <w:rsid w:val="00B53EA6"/>
    <w:rsid w:val="00B54518"/>
    <w:rsid w:val="00B5451C"/>
    <w:rsid w:val="00B54ACD"/>
    <w:rsid w:val="00B5528E"/>
    <w:rsid w:val="00B55AB6"/>
    <w:rsid w:val="00B5627D"/>
    <w:rsid w:val="00B56674"/>
    <w:rsid w:val="00B566F5"/>
    <w:rsid w:val="00B56F37"/>
    <w:rsid w:val="00B57218"/>
    <w:rsid w:val="00B57546"/>
    <w:rsid w:val="00B57657"/>
    <w:rsid w:val="00B57BFE"/>
    <w:rsid w:val="00B60433"/>
    <w:rsid w:val="00B604C2"/>
    <w:rsid w:val="00B60F84"/>
    <w:rsid w:val="00B617C6"/>
    <w:rsid w:val="00B6208A"/>
    <w:rsid w:val="00B62A36"/>
    <w:rsid w:val="00B62A69"/>
    <w:rsid w:val="00B63A6F"/>
    <w:rsid w:val="00B63FE8"/>
    <w:rsid w:val="00B64B5A"/>
    <w:rsid w:val="00B65427"/>
    <w:rsid w:val="00B656C5"/>
    <w:rsid w:val="00B657B9"/>
    <w:rsid w:val="00B65D63"/>
    <w:rsid w:val="00B66148"/>
    <w:rsid w:val="00B66561"/>
    <w:rsid w:val="00B666AA"/>
    <w:rsid w:val="00B669C8"/>
    <w:rsid w:val="00B66C7F"/>
    <w:rsid w:val="00B66E56"/>
    <w:rsid w:val="00B66FEA"/>
    <w:rsid w:val="00B6752B"/>
    <w:rsid w:val="00B67960"/>
    <w:rsid w:val="00B67D8A"/>
    <w:rsid w:val="00B67F6F"/>
    <w:rsid w:val="00B702B2"/>
    <w:rsid w:val="00B70905"/>
    <w:rsid w:val="00B70D40"/>
    <w:rsid w:val="00B7112B"/>
    <w:rsid w:val="00B7138F"/>
    <w:rsid w:val="00B71A35"/>
    <w:rsid w:val="00B71B05"/>
    <w:rsid w:val="00B72102"/>
    <w:rsid w:val="00B72269"/>
    <w:rsid w:val="00B722E4"/>
    <w:rsid w:val="00B73055"/>
    <w:rsid w:val="00B7540A"/>
    <w:rsid w:val="00B75715"/>
    <w:rsid w:val="00B75862"/>
    <w:rsid w:val="00B75BF7"/>
    <w:rsid w:val="00B76652"/>
    <w:rsid w:val="00B77272"/>
    <w:rsid w:val="00B778D0"/>
    <w:rsid w:val="00B80040"/>
    <w:rsid w:val="00B80F97"/>
    <w:rsid w:val="00B814CF"/>
    <w:rsid w:val="00B8178F"/>
    <w:rsid w:val="00B818AF"/>
    <w:rsid w:val="00B819E1"/>
    <w:rsid w:val="00B81C02"/>
    <w:rsid w:val="00B81C53"/>
    <w:rsid w:val="00B8236C"/>
    <w:rsid w:val="00B82839"/>
    <w:rsid w:val="00B82B1A"/>
    <w:rsid w:val="00B82F60"/>
    <w:rsid w:val="00B83404"/>
    <w:rsid w:val="00B83692"/>
    <w:rsid w:val="00B83972"/>
    <w:rsid w:val="00B8439A"/>
    <w:rsid w:val="00B85BCB"/>
    <w:rsid w:val="00B86418"/>
    <w:rsid w:val="00B87081"/>
    <w:rsid w:val="00B8724C"/>
    <w:rsid w:val="00B87585"/>
    <w:rsid w:val="00B876A5"/>
    <w:rsid w:val="00B87C50"/>
    <w:rsid w:val="00B87DCC"/>
    <w:rsid w:val="00B9085A"/>
    <w:rsid w:val="00B90E3F"/>
    <w:rsid w:val="00B91079"/>
    <w:rsid w:val="00B924DC"/>
    <w:rsid w:val="00B9338C"/>
    <w:rsid w:val="00B94A89"/>
    <w:rsid w:val="00B94FA2"/>
    <w:rsid w:val="00B96637"/>
    <w:rsid w:val="00B96DA1"/>
    <w:rsid w:val="00B97F5B"/>
    <w:rsid w:val="00BA07DB"/>
    <w:rsid w:val="00BA1023"/>
    <w:rsid w:val="00BA1439"/>
    <w:rsid w:val="00BA1CE9"/>
    <w:rsid w:val="00BA2AF3"/>
    <w:rsid w:val="00BA3125"/>
    <w:rsid w:val="00BA33F1"/>
    <w:rsid w:val="00BA35C1"/>
    <w:rsid w:val="00BA3627"/>
    <w:rsid w:val="00BA399F"/>
    <w:rsid w:val="00BA3EC2"/>
    <w:rsid w:val="00BA411C"/>
    <w:rsid w:val="00BA4853"/>
    <w:rsid w:val="00BA529F"/>
    <w:rsid w:val="00BA5389"/>
    <w:rsid w:val="00BA54D0"/>
    <w:rsid w:val="00BA54D4"/>
    <w:rsid w:val="00BA5511"/>
    <w:rsid w:val="00BA656E"/>
    <w:rsid w:val="00BA692D"/>
    <w:rsid w:val="00BA6EB6"/>
    <w:rsid w:val="00BA76C0"/>
    <w:rsid w:val="00BA7B9F"/>
    <w:rsid w:val="00BA7F5B"/>
    <w:rsid w:val="00BB15CB"/>
    <w:rsid w:val="00BB1821"/>
    <w:rsid w:val="00BB1A1B"/>
    <w:rsid w:val="00BB1B38"/>
    <w:rsid w:val="00BB1EE8"/>
    <w:rsid w:val="00BB452D"/>
    <w:rsid w:val="00BB4632"/>
    <w:rsid w:val="00BB4EEB"/>
    <w:rsid w:val="00BB50C5"/>
    <w:rsid w:val="00BB54F1"/>
    <w:rsid w:val="00BB58EA"/>
    <w:rsid w:val="00BB62C7"/>
    <w:rsid w:val="00BB666F"/>
    <w:rsid w:val="00BB6BCD"/>
    <w:rsid w:val="00BB6C93"/>
    <w:rsid w:val="00BB721F"/>
    <w:rsid w:val="00BB7DE5"/>
    <w:rsid w:val="00BC01F2"/>
    <w:rsid w:val="00BC031A"/>
    <w:rsid w:val="00BC04A9"/>
    <w:rsid w:val="00BC0C83"/>
    <w:rsid w:val="00BC102F"/>
    <w:rsid w:val="00BC16BB"/>
    <w:rsid w:val="00BC1811"/>
    <w:rsid w:val="00BC1B3A"/>
    <w:rsid w:val="00BC257D"/>
    <w:rsid w:val="00BC27C3"/>
    <w:rsid w:val="00BC2D49"/>
    <w:rsid w:val="00BC2DFC"/>
    <w:rsid w:val="00BC2F6D"/>
    <w:rsid w:val="00BC3D56"/>
    <w:rsid w:val="00BC3DCB"/>
    <w:rsid w:val="00BC430A"/>
    <w:rsid w:val="00BC4EF2"/>
    <w:rsid w:val="00BC5159"/>
    <w:rsid w:val="00BC524E"/>
    <w:rsid w:val="00BC53A0"/>
    <w:rsid w:val="00BC61E3"/>
    <w:rsid w:val="00BC6367"/>
    <w:rsid w:val="00BC6368"/>
    <w:rsid w:val="00BC6558"/>
    <w:rsid w:val="00BC6587"/>
    <w:rsid w:val="00BC6ABD"/>
    <w:rsid w:val="00BC6ABF"/>
    <w:rsid w:val="00BC6E83"/>
    <w:rsid w:val="00BC6F40"/>
    <w:rsid w:val="00BC7934"/>
    <w:rsid w:val="00BD0A2A"/>
    <w:rsid w:val="00BD0F84"/>
    <w:rsid w:val="00BD12AB"/>
    <w:rsid w:val="00BD1808"/>
    <w:rsid w:val="00BD186F"/>
    <w:rsid w:val="00BD2365"/>
    <w:rsid w:val="00BD2827"/>
    <w:rsid w:val="00BD2857"/>
    <w:rsid w:val="00BD2FBE"/>
    <w:rsid w:val="00BD38C0"/>
    <w:rsid w:val="00BD45A5"/>
    <w:rsid w:val="00BD4687"/>
    <w:rsid w:val="00BD470D"/>
    <w:rsid w:val="00BD4B89"/>
    <w:rsid w:val="00BD5089"/>
    <w:rsid w:val="00BD5737"/>
    <w:rsid w:val="00BD58F2"/>
    <w:rsid w:val="00BD67D3"/>
    <w:rsid w:val="00BD784A"/>
    <w:rsid w:val="00BE06BF"/>
    <w:rsid w:val="00BE15FC"/>
    <w:rsid w:val="00BE18A6"/>
    <w:rsid w:val="00BE1F2C"/>
    <w:rsid w:val="00BE22C0"/>
    <w:rsid w:val="00BE2D81"/>
    <w:rsid w:val="00BE3859"/>
    <w:rsid w:val="00BE3ECF"/>
    <w:rsid w:val="00BE5FC3"/>
    <w:rsid w:val="00BE62BE"/>
    <w:rsid w:val="00BE63A6"/>
    <w:rsid w:val="00BE6C3F"/>
    <w:rsid w:val="00BE78F7"/>
    <w:rsid w:val="00BF0844"/>
    <w:rsid w:val="00BF15CA"/>
    <w:rsid w:val="00BF1993"/>
    <w:rsid w:val="00BF281D"/>
    <w:rsid w:val="00BF3E86"/>
    <w:rsid w:val="00BF4056"/>
    <w:rsid w:val="00BF410F"/>
    <w:rsid w:val="00BF54BA"/>
    <w:rsid w:val="00BF5BD2"/>
    <w:rsid w:val="00BF6120"/>
    <w:rsid w:val="00BF6C41"/>
    <w:rsid w:val="00BF6CF3"/>
    <w:rsid w:val="00BF76D4"/>
    <w:rsid w:val="00BF7BAC"/>
    <w:rsid w:val="00C000E8"/>
    <w:rsid w:val="00C00611"/>
    <w:rsid w:val="00C0114D"/>
    <w:rsid w:val="00C038B6"/>
    <w:rsid w:val="00C03E1B"/>
    <w:rsid w:val="00C041D4"/>
    <w:rsid w:val="00C053FD"/>
    <w:rsid w:val="00C0644D"/>
    <w:rsid w:val="00C0646C"/>
    <w:rsid w:val="00C06D34"/>
    <w:rsid w:val="00C07748"/>
    <w:rsid w:val="00C10713"/>
    <w:rsid w:val="00C1098F"/>
    <w:rsid w:val="00C10A38"/>
    <w:rsid w:val="00C11040"/>
    <w:rsid w:val="00C11703"/>
    <w:rsid w:val="00C1189B"/>
    <w:rsid w:val="00C118B3"/>
    <w:rsid w:val="00C11926"/>
    <w:rsid w:val="00C119DD"/>
    <w:rsid w:val="00C12752"/>
    <w:rsid w:val="00C12845"/>
    <w:rsid w:val="00C13016"/>
    <w:rsid w:val="00C1308E"/>
    <w:rsid w:val="00C13A64"/>
    <w:rsid w:val="00C1410C"/>
    <w:rsid w:val="00C14B06"/>
    <w:rsid w:val="00C14C6C"/>
    <w:rsid w:val="00C15F13"/>
    <w:rsid w:val="00C17D25"/>
    <w:rsid w:val="00C17FF2"/>
    <w:rsid w:val="00C202A0"/>
    <w:rsid w:val="00C20BD1"/>
    <w:rsid w:val="00C21576"/>
    <w:rsid w:val="00C21718"/>
    <w:rsid w:val="00C219AA"/>
    <w:rsid w:val="00C221A6"/>
    <w:rsid w:val="00C223CE"/>
    <w:rsid w:val="00C223DF"/>
    <w:rsid w:val="00C2250A"/>
    <w:rsid w:val="00C22C02"/>
    <w:rsid w:val="00C23BA1"/>
    <w:rsid w:val="00C24F13"/>
    <w:rsid w:val="00C24FA2"/>
    <w:rsid w:val="00C258E7"/>
    <w:rsid w:val="00C25A1C"/>
    <w:rsid w:val="00C2607C"/>
    <w:rsid w:val="00C27ADF"/>
    <w:rsid w:val="00C27FC1"/>
    <w:rsid w:val="00C313DA"/>
    <w:rsid w:val="00C31D49"/>
    <w:rsid w:val="00C32DB7"/>
    <w:rsid w:val="00C33096"/>
    <w:rsid w:val="00C33463"/>
    <w:rsid w:val="00C335C6"/>
    <w:rsid w:val="00C335DB"/>
    <w:rsid w:val="00C33975"/>
    <w:rsid w:val="00C33B8B"/>
    <w:rsid w:val="00C33CDC"/>
    <w:rsid w:val="00C33CF2"/>
    <w:rsid w:val="00C33D24"/>
    <w:rsid w:val="00C33F02"/>
    <w:rsid w:val="00C33F53"/>
    <w:rsid w:val="00C34073"/>
    <w:rsid w:val="00C34317"/>
    <w:rsid w:val="00C35B44"/>
    <w:rsid w:val="00C36455"/>
    <w:rsid w:val="00C36708"/>
    <w:rsid w:val="00C36C0D"/>
    <w:rsid w:val="00C37C97"/>
    <w:rsid w:val="00C37E2C"/>
    <w:rsid w:val="00C401EE"/>
    <w:rsid w:val="00C40A65"/>
    <w:rsid w:val="00C40AD0"/>
    <w:rsid w:val="00C412D6"/>
    <w:rsid w:val="00C41610"/>
    <w:rsid w:val="00C42070"/>
    <w:rsid w:val="00C423FB"/>
    <w:rsid w:val="00C42D5F"/>
    <w:rsid w:val="00C42F1A"/>
    <w:rsid w:val="00C4332F"/>
    <w:rsid w:val="00C43E7E"/>
    <w:rsid w:val="00C4417A"/>
    <w:rsid w:val="00C44EE6"/>
    <w:rsid w:val="00C459E0"/>
    <w:rsid w:val="00C45F85"/>
    <w:rsid w:val="00C4653F"/>
    <w:rsid w:val="00C469E5"/>
    <w:rsid w:val="00C47050"/>
    <w:rsid w:val="00C470AC"/>
    <w:rsid w:val="00C471DB"/>
    <w:rsid w:val="00C47889"/>
    <w:rsid w:val="00C47A78"/>
    <w:rsid w:val="00C47FB3"/>
    <w:rsid w:val="00C50D09"/>
    <w:rsid w:val="00C5133A"/>
    <w:rsid w:val="00C51510"/>
    <w:rsid w:val="00C51632"/>
    <w:rsid w:val="00C52CF4"/>
    <w:rsid w:val="00C52D10"/>
    <w:rsid w:val="00C52D53"/>
    <w:rsid w:val="00C52D91"/>
    <w:rsid w:val="00C53335"/>
    <w:rsid w:val="00C53E77"/>
    <w:rsid w:val="00C5447B"/>
    <w:rsid w:val="00C5476F"/>
    <w:rsid w:val="00C54B19"/>
    <w:rsid w:val="00C54C18"/>
    <w:rsid w:val="00C54CCE"/>
    <w:rsid w:val="00C54DFE"/>
    <w:rsid w:val="00C54E8A"/>
    <w:rsid w:val="00C55192"/>
    <w:rsid w:val="00C551B4"/>
    <w:rsid w:val="00C559E9"/>
    <w:rsid w:val="00C57101"/>
    <w:rsid w:val="00C57203"/>
    <w:rsid w:val="00C60142"/>
    <w:rsid w:val="00C60209"/>
    <w:rsid w:val="00C608F4"/>
    <w:rsid w:val="00C60E9F"/>
    <w:rsid w:val="00C60EF7"/>
    <w:rsid w:val="00C62CC2"/>
    <w:rsid w:val="00C64138"/>
    <w:rsid w:val="00C64DD3"/>
    <w:rsid w:val="00C651F1"/>
    <w:rsid w:val="00C65375"/>
    <w:rsid w:val="00C653A7"/>
    <w:rsid w:val="00C65D8A"/>
    <w:rsid w:val="00C65F73"/>
    <w:rsid w:val="00C66B81"/>
    <w:rsid w:val="00C67A49"/>
    <w:rsid w:val="00C67E27"/>
    <w:rsid w:val="00C7029C"/>
    <w:rsid w:val="00C7122B"/>
    <w:rsid w:val="00C71864"/>
    <w:rsid w:val="00C718C7"/>
    <w:rsid w:val="00C71F10"/>
    <w:rsid w:val="00C723ED"/>
    <w:rsid w:val="00C72DEF"/>
    <w:rsid w:val="00C73057"/>
    <w:rsid w:val="00C732B7"/>
    <w:rsid w:val="00C73B31"/>
    <w:rsid w:val="00C73C60"/>
    <w:rsid w:val="00C74116"/>
    <w:rsid w:val="00C746F8"/>
    <w:rsid w:val="00C747DC"/>
    <w:rsid w:val="00C74846"/>
    <w:rsid w:val="00C75EA4"/>
    <w:rsid w:val="00C76827"/>
    <w:rsid w:val="00C76911"/>
    <w:rsid w:val="00C76EE9"/>
    <w:rsid w:val="00C77794"/>
    <w:rsid w:val="00C8040A"/>
    <w:rsid w:val="00C80568"/>
    <w:rsid w:val="00C80C74"/>
    <w:rsid w:val="00C80F84"/>
    <w:rsid w:val="00C80F9A"/>
    <w:rsid w:val="00C8166B"/>
    <w:rsid w:val="00C822FC"/>
    <w:rsid w:val="00C82705"/>
    <w:rsid w:val="00C82B83"/>
    <w:rsid w:val="00C82C0D"/>
    <w:rsid w:val="00C8350F"/>
    <w:rsid w:val="00C84347"/>
    <w:rsid w:val="00C85A5F"/>
    <w:rsid w:val="00C85A87"/>
    <w:rsid w:val="00C86643"/>
    <w:rsid w:val="00C86BF1"/>
    <w:rsid w:val="00C86FF2"/>
    <w:rsid w:val="00C87BA1"/>
    <w:rsid w:val="00C87F53"/>
    <w:rsid w:val="00C90157"/>
    <w:rsid w:val="00C903BA"/>
    <w:rsid w:val="00C903F0"/>
    <w:rsid w:val="00C90419"/>
    <w:rsid w:val="00C90D44"/>
    <w:rsid w:val="00C910B6"/>
    <w:rsid w:val="00C9130A"/>
    <w:rsid w:val="00C9166D"/>
    <w:rsid w:val="00C92434"/>
    <w:rsid w:val="00C926FA"/>
    <w:rsid w:val="00C9357F"/>
    <w:rsid w:val="00C939CD"/>
    <w:rsid w:val="00C93F7A"/>
    <w:rsid w:val="00C9434C"/>
    <w:rsid w:val="00C95B03"/>
    <w:rsid w:val="00C95C3A"/>
    <w:rsid w:val="00C95EE3"/>
    <w:rsid w:val="00C961C7"/>
    <w:rsid w:val="00C964DB"/>
    <w:rsid w:val="00C971C8"/>
    <w:rsid w:val="00C97546"/>
    <w:rsid w:val="00C97569"/>
    <w:rsid w:val="00C9769F"/>
    <w:rsid w:val="00C9778C"/>
    <w:rsid w:val="00C979BE"/>
    <w:rsid w:val="00C97AB0"/>
    <w:rsid w:val="00CA023C"/>
    <w:rsid w:val="00CA0CB3"/>
    <w:rsid w:val="00CA1510"/>
    <w:rsid w:val="00CA16CB"/>
    <w:rsid w:val="00CA1BAF"/>
    <w:rsid w:val="00CA1CBC"/>
    <w:rsid w:val="00CA22D5"/>
    <w:rsid w:val="00CA26A6"/>
    <w:rsid w:val="00CA2813"/>
    <w:rsid w:val="00CA305B"/>
    <w:rsid w:val="00CA35DF"/>
    <w:rsid w:val="00CA383E"/>
    <w:rsid w:val="00CA3845"/>
    <w:rsid w:val="00CA39DA"/>
    <w:rsid w:val="00CA3AE5"/>
    <w:rsid w:val="00CA4107"/>
    <w:rsid w:val="00CA4811"/>
    <w:rsid w:val="00CA4961"/>
    <w:rsid w:val="00CA4ABB"/>
    <w:rsid w:val="00CA5035"/>
    <w:rsid w:val="00CA55B1"/>
    <w:rsid w:val="00CA5857"/>
    <w:rsid w:val="00CA5B3B"/>
    <w:rsid w:val="00CA5FDC"/>
    <w:rsid w:val="00CA7C37"/>
    <w:rsid w:val="00CB04DE"/>
    <w:rsid w:val="00CB0559"/>
    <w:rsid w:val="00CB06A9"/>
    <w:rsid w:val="00CB0BB9"/>
    <w:rsid w:val="00CB0CFC"/>
    <w:rsid w:val="00CB12DC"/>
    <w:rsid w:val="00CB1C85"/>
    <w:rsid w:val="00CB1F23"/>
    <w:rsid w:val="00CB4536"/>
    <w:rsid w:val="00CB45C8"/>
    <w:rsid w:val="00CB5493"/>
    <w:rsid w:val="00CB554A"/>
    <w:rsid w:val="00CB6B54"/>
    <w:rsid w:val="00CB6FE1"/>
    <w:rsid w:val="00CB7920"/>
    <w:rsid w:val="00CB7984"/>
    <w:rsid w:val="00CB7B9D"/>
    <w:rsid w:val="00CC042A"/>
    <w:rsid w:val="00CC0799"/>
    <w:rsid w:val="00CC0E95"/>
    <w:rsid w:val="00CC0EA9"/>
    <w:rsid w:val="00CC2029"/>
    <w:rsid w:val="00CC2474"/>
    <w:rsid w:val="00CC261A"/>
    <w:rsid w:val="00CC2851"/>
    <w:rsid w:val="00CC2AFF"/>
    <w:rsid w:val="00CC2B3E"/>
    <w:rsid w:val="00CC2D96"/>
    <w:rsid w:val="00CC30CF"/>
    <w:rsid w:val="00CC3698"/>
    <w:rsid w:val="00CC36D1"/>
    <w:rsid w:val="00CC4782"/>
    <w:rsid w:val="00CC4AF4"/>
    <w:rsid w:val="00CC5667"/>
    <w:rsid w:val="00CC5BB6"/>
    <w:rsid w:val="00CC64D0"/>
    <w:rsid w:val="00CC64DC"/>
    <w:rsid w:val="00CC7899"/>
    <w:rsid w:val="00CC797E"/>
    <w:rsid w:val="00CD0752"/>
    <w:rsid w:val="00CD079D"/>
    <w:rsid w:val="00CD0A9C"/>
    <w:rsid w:val="00CD1523"/>
    <w:rsid w:val="00CD1BB1"/>
    <w:rsid w:val="00CD3AF5"/>
    <w:rsid w:val="00CD4635"/>
    <w:rsid w:val="00CD52FA"/>
    <w:rsid w:val="00CD6285"/>
    <w:rsid w:val="00CD636F"/>
    <w:rsid w:val="00CD707F"/>
    <w:rsid w:val="00CD7111"/>
    <w:rsid w:val="00CD75C6"/>
    <w:rsid w:val="00CD7947"/>
    <w:rsid w:val="00CE0866"/>
    <w:rsid w:val="00CE0D9E"/>
    <w:rsid w:val="00CE1086"/>
    <w:rsid w:val="00CE1225"/>
    <w:rsid w:val="00CE1484"/>
    <w:rsid w:val="00CE153A"/>
    <w:rsid w:val="00CE19EC"/>
    <w:rsid w:val="00CE1EC7"/>
    <w:rsid w:val="00CE2CBE"/>
    <w:rsid w:val="00CE3226"/>
    <w:rsid w:val="00CE3334"/>
    <w:rsid w:val="00CE3EC1"/>
    <w:rsid w:val="00CE4CBF"/>
    <w:rsid w:val="00CE5CFB"/>
    <w:rsid w:val="00CE5DCE"/>
    <w:rsid w:val="00CE5EC4"/>
    <w:rsid w:val="00CE6E0C"/>
    <w:rsid w:val="00CE6F05"/>
    <w:rsid w:val="00CE7AE3"/>
    <w:rsid w:val="00CE7BBD"/>
    <w:rsid w:val="00CE7E47"/>
    <w:rsid w:val="00CF0814"/>
    <w:rsid w:val="00CF0C3A"/>
    <w:rsid w:val="00CF3725"/>
    <w:rsid w:val="00CF43E2"/>
    <w:rsid w:val="00CF4781"/>
    <w:rsid w:val="00CF4A6D"/>
    <w:rsid w:val="00CF526C"/>
    <w:rsid w:val="00CF7026"/>
    <w:rsid w:val="00CF70AD"/>
    <w:rsid w:val="00D0087A"/>
    <w:rsid w:val="00D00890"/>
    <w:rsid w:val="00D010B1"/>
    <w:rsid w:val="00D01123"/>
    <w:rsid w:val="00D0158C"/>
    <w:rsid w:val="00D01C62"/>
    <w:rsid w:val="00D01CFE"/>
    <w:rsid w:val="00D0284F"/>
    <w:rsid w:val="00D0296E"/>
    <w:rsid w:val="00D02E79"/>
    <w:rsid w:val="00D03070"/>
    <w:rsid w:val="00D033A1"/>
    <w:rsid w:val="00D03B15"/>
    <w:rsid w:val="00D03C87"/>
    <w:rsid w:val="00D03F10"/>
    <w:rsid w:val="00D049AF"/>
    <w:rsid w:val="00D06CAA"/>
    <w:rsid w:val="00D0701B"/>
    <w:rsid w:val="00D07856"/>
    <w:rsid w:val="00D07E2B"/>
    <w:rsid w:val="00D07E37"/>
    <w:rsid w:val="00D1105A"/>
    <w:rsid w:val="00D1111D"/>
    <w:rsid w:val="00D1132B"/>
    <w:rsid w:val="00D1161C"/>
    <w:rsid w:val="00D11B40"/>
    <w:rsid w:val="00D122DE"/>
    <w:rsid w:val="00D12462"/>
    <w:rsid w:val="00D125C4"/>
    <w:rsid w:val="00D1268F"/>
    <w:rsid w:val="00D126BA"/>
    <w:rsid w:val="00D12C23"/>
    <w:rsid w:val="00D13511"/>
    <w:rsid w:val="00D1352A"/>
    <w:rsid w:val="00D142B6"/>
    <w:rsid w:val="00D145BC"/>
    <w:rsid w:val="00D15977"/>
    <w:rsid w:val="00D160C4"/>
    <w:rsid w:val="00D16584"/>
    <w:rsid w:val="00D16D5C"/>
    <w:rsid w:val="00D17BC2"/>
    <w:rsid w:val="00D17C3E"/>
    <w:rsid w:val="00D20311"/>
    <w:rsid w:val="00D21A15"/>
    <w:rsid w:val="00D2244E"/>
    <w:rsid w:val="00D22A9E"/>
    <w:rsid w:val="00D24D16"/>
    <w:rsid w:val="00D24F62"/>
    <w:rsid w:val="00D25541"/>
    <w:rsid w:val="00D259E5"/>
    <w:rsid w:val="00D26506"/>
    <w:rsid w:val="00D265C3"/>
    <w:rsid w:val="00D268D4"/>
    <w:rsid w:val="00D26C76"/>
    <w:rsid w:val="00D26D13"/>
    <w:rsid w:val="00D26DA2"/>
    <w:rsid w:val="00D276A8"/>
    <w:rsid w:val="00D27B00"/>
    <w:rsid w:val="00D27FEB"/>
    <w:rsid w:val="00D30641"/>
    <w:rsid w:val="00D307C5"/>
    <w:rsid w:val="00D31759"/>
    <w:rsid w:val="00D335A9"/>
    <w:rsid w:val="00D337C1"/>
    <w:rsid w:val="00D33836"/>
    <w:rsid w:val="00D33B14"/>
    <w:rsid w:val="00D3450A"/>
    <w:rsid w:val="00D35333"/>
    <w:rsid w:val="00D354F3"/>
    <w:rsid w:val="00D362DB"/>
    <w:rsid w:val="00D36338"/>
    <w:rsid w:val="00D3714E"/>
    <w:rsid w:val="00D41329"/>
    <w:rsid w:val="00D4138A"/>
    <w:rsid w:val="00D417A4"/>
    <w:rsid w:val="00D41C80"/>
    <w:rsid w:val="00D41EB6"/>
    <w:rsid w:val="00D4241D"/>
    <w:rsid w:val="00D428C3"/>
    <w:rsid w:val="00D42AFB"/>
    <w:rsid w:val="00D42BE8"/>
    <w:rsid w:val="00D43ADD"/>
    <w:rsid w:val="00D43CAA"/>
    <w:rsid w:val="00D43D3F"/>
    <w:rsid w:val="00D43E07"/>
    <w:rsid w:val="00D43F23"/>
    <w:rsid w:val="00D44D64"/>
    <w:rsid w:val="00D44F11"/>
    <w:rsid w:val="00D455E1"/>
    <w:rsid w:val="00D45A84"/>
    <w:rsid w:val="00D47010"/>
    <w:rsid w:val="00D472E3"/>
    <w:rsid w:val="00D47BA9"/>
    <w:rsid w:val="00D47BD7"/>
    <w:rsid w:val="00D51B13"/>
    <w:rsid w:val="00D523A3"/>
    <w:rsid w:val="00D52709"/>
    <w:rsid w:val="00D52981"/>
    <w:rsid w:val="00D52A77"/>
    <w:rsid w:val="00D52E39"/>
    <w:rsid w:val="00D53281"/>
    <w:rsid w:val="00D538F7"/>
    <w:rsid w:val="00D54728"/>
    <w:rsid w:val="00D54776"/>
    <w:rsid w:val="00D54A24"/>
    <w:rsid w:val="00D54A96"/>
    <w:rsid w:val="00D54C6C"/>
    <w:rsid w:val="00D550C4"/>
    <w:rsid w:val="00D55A75"/>
    <w:rsid w:val="00D56F82"/>
    <w:rsid w:val="00D57063"/>
    <w:rsid w:val="00D608F2"/>
    <w:rsid w:val="00D60B48"/>
    <w:rsid w:val="00D60FD0"/>
    <w:rsid w:val="00D61510"/>
    <w:rsid w:val="00D617F9"/>
    <w:rsid w:val="00D618C9"/>
    <w:rsid w:val="00D61D72"/>
    <w:rsid w:val="00D6219B"/>
    <w:rsid w:val="00D621FE"/>
    <w:rsid w:val="00D629C9"/>
    <w:rsid w:val="00D62B7C"/>
    <w:rsid w:val="00D62CAB"/>
    <w:rsid w:val="00D62EFB"/>
    <w:rsid w:val="00D645BC"/>
    <w:rsid w:val="00D64D58"/>
    <w:rsid w:val="00D64F8E"/>
    <w:rsid w:val="00D6579D"/>
    <w:rsid w:val="00D657DF"/>
    <w:rsid w:val="00D65D7F"/>
    <w:rsid w:val="00D66641"/>
    <w:rsid w:val="00D669F2"/>
    <w:rsid w:val="00D675D1"/>
    <w:rsid w:val="00D675D9"/>
    <w:rsid w:val="00D67613"/>
    <w:rsid w:val="00D676C6"/>
    <w:rsid w:val="00D67AAB"/>
    <w:rsid w:val="00D67B84"/>
    <w:rsid w:val="00D703AD"/>
    <w:rsid w:val="00D7123D"/>
    <w:rsid w:val="00D725BA"/>
    <w:rsid w:val="00D73897"/>
    <w:rsid w:val="00D750CF"/>
    <w:rsid w:val="00D75585"/>
    <w:rsid w:val="00D75F3F"/>
    <w:rsid w:val="00D76F29"/>
    <w:rsid w:val="00D77360"/>
    <w:rsid w:val="00D7750A"/>
    <w:rsid w:val="00D77CB8"/>
    <w:rsid w:val="00D80419"/>
    <w:rsid w:val="00D807B8"/>
    <w:rsid w:val="00D807E6"/>
    <w:rsid w:val="00D819DD"/>
    <w:rsid w:val="00D8264C"/>
    <w:rsid w:val="00D82ACE"/>
    <w:rsid w:val="00D833B7"/>
    <w:rsid w:val="00D839F6"/>
    <w:rsid w:val="00D83B15"/>
    <w:rsid w:val="00D83FCF"/>
    <w:rsid w:val="00D844BB"/>
    <w:rsid w:val="00D85626"/>
    <w:rsid w:val="00D85B1C"/>
    <w:rsid w:val="00D85C4E"/>
    <w:rsid w:val="00D861B4"/>
    <w:rsid w:val="00D86D8B"/>
    <w:rsid w:val="00D86EEE"/>
    <w:rsid w:val="00D87071"/>
    <w:rsid w:val="00D87B43"/>
    <w:rsid w:val="00D90261"/>
    <w:rsid w:val="00D903DD"/>
    <w:rsid w:val="00D90BBA"/>
    <w:rsid w:val="00D90F38"/>
    <w:rsid w:val="00D91851"/>
    <w:rsid w:val="00D92236"/>
    <w:rsid w:val="00D930DD"/>
    <w:rsid w:val="00D9363F"/>
    <w:rsid w:val="00D93FA0"/>
    <w:rsid w:val="00D952F7"/>
    <w:rsid w:val="00D95CCB"/>
    <w:rsid w:val="00D97446"/>
    <w:rsid w:val="00D9762E"/>
    <w:rsid w:val="00D97A8D"/>
    <w:rsid w:val="00DA1E72"/>
    <w:rsid w:val="00DA1EC1"/>
    <w:rsid w:val="00DA26EA"/>
    <w:rsid w:val="00DA305D"/>
    <w:rsid w:val="00DA3160"/>
    <w:rsid w:val="00DA350E"/>
    <w:rsid w:val="00DA3798"/>
    <w:rsid w:val="00DA3960"/>
    <w:rsid w:val="00DA3967"/>
    <w:rsid w:val="00DA3AFC"/>
    <w:rsid w:val="00DA3C16"/>
    <w:rsid w:val="00DA41BB"/>
    <w:rsid w:val="00DA48EB"/>
    <w:rsid w:val="00DA4A58"/>
    <w:rsid w:val="00DA538C"/>
    <w:rsid w:val="00DA617A"/>
    <w:rsid w:val="00DA64B6"/>
    <w:rsid w:val="00DA7F69"/>
    <w:rsid w:val="00DB0702"/>
    <w:rsid w:val="00DB1AD7"/>
    <w:rsid w:val="00DB28D0"/>
    <w:rsid w:val="00DB3942"/>
    <w:rsid w:val="00DB4700"/>
    <w:rsid w:val="00DB4985"/>
    <w:rsid w:val="00DB5CC2"/>
    <w:rsid w:val="00DB64F3"/>
    <w:rsid w:val="00DB6715"/>
    <w:rsid w:val="00DB6E3A"/>
    <w:rsid w:val="00DB6FB6"/>
    <w:rsid w:val="00DB73DD"/>
    <w:rsid w:val="00DB74F7"/>
    <w:rsid w:val="00DB79B3"/>
    <w:rsid w:val="00DB7C05"/>
    <w:rsid w:val="00DB7D71"/>
    <w:rsid w:val="00DC0220"/>
    <w:rsid w:val="00DC0A86"/>
    <w:rsid w:val="00DC0E15"/>
    <w:rsid w:val="00DC2BA3"/>
    <w:rsid w:val="00DC3153"/>
    <w:rsid w:val="00DC33CB"/>
    <w:rsid w:val="00DC3ABD"/>
    <w:rsid w:val="00DC42DE"/>
    <w:rsid w:val="00DC5201"/>
    <w:rsid w:val="00DC53F2"/>
    <w:rsid w:val="00DC5805"/>
    <w:rsid w:val="00DC626F"/>
    <w:rsid w:val="00DC6557"/>
    <w:rsid w:val="00DC66AA"/>
    <w:rsid w:val="00DC68C1"/>
    <w:rsid w:val="00DC6A95"/>
    <w:rsid w:val="00DC719C"/>
    <w:rsid w:val="00DC7F09"/>
    <w:rsid w:val="00DD0538"/>
    <w:rsid w:val="00DD079F"/>
    <w:rsid w:val="00DD08D8"/>
    <w:rsid w:val="00DD0EBA"/>
    <w:rsid w:val="00DD1170"/>
    <w:rsid w:val="00DD11A5"/>
    <w:rsid w:val="00DD1347"/>
    <w:rsid w:val="00DD190D"/>
    <w:rsid w:val="00DD24E3"/>
    <w:rsid w:val="00DD31A8"/>
    <w:rsid w:val="00DD33A3"/>
    <w:rsid w:val="00DD48B6"/>
    <w:rsid w:val="00DD4F7D"/>
    <w:rsid w:val="00DD6778"/>
    <w:rsid w:val="00DD7100"/>
    <w:rsid w:val="00DD7FF0"/>
    <w:rsid w:val="00DE0398"/>
    <w:rsid w:val="00DE1082"/>
    <w:rsid w:val="00DE1577"/>
    <w:rsid w:val="00DE1BD4"/>
    <w:rsid w:val="00DE1F01"/>
    <w:rsid w:val="00DE23BD"/>
    <w:rsid w:val="00DE2952"/>
    <w:rsid w:val="00DE304F"/>
    <w:rsid w:val="00DE3068"/>
    <w:rsid w:val="00DE31A6"/>
    <w:rsid w:val="00DE33ED"/>
    <w:rsid w:val="00DE3536"/>
    <w:rsid w:val="00DE4C7E"/>
    <w:rsid w:val="00DE5466"/>
    <w:rsid w:val="00DE5D2F"/>
    <w:rsid w:val="00DE60C2"/>
    <w:rsid w:val="00DE6732"/>
    <w:rsid w:val="00DE6ADB"/>
    <w:rsid w:val="00DE72EB"/>
    <w:rsid w:val="00DE7405"/>
    <w:rsid w:val="00DE792B"/>
    <w:rsid w:val="00DF0751"/>
    <w:rsid w:val="00DF07AA"/>
    <w:rsid w:val="00DF26C6"/>
    <w:rsid w:val="00DF2EC7"/>
    <w:rsid w:val="00DF40B6"/>
    <w:rsid w:val="00DF41F6"/>
    <w:rsid w:val="00DF4301"/>
    <w:rsid w:val="00DF47B4"/>
    <w:rsid w:val="00DF4A2A"/>
    <w:rsid w:val="00DF54A0"/>
    <w:rsid w:val="00DF5BC0"/>
    <w:rsid w:val="00DF5F73"/>
    <w:rsid w:val="00DF60D8"/>
    <w:rsid w:val="00DF68B4"/>
    <w:rsid w:val="00DF70EA"/>
    <w:rsid w:val="00DF7F61"/>
    <w:rsid w:val="00E000BB"/>
    <w:rsid w:val="00E00200"/>
    <w:rsid w:val="00E01A4B"/>
    <w:rsid w:val="00E01CBD"/>
    <w:rsid w:val="00E02F9D"/>
    <w:rsid w:val="00E030B6"/>
    <w:rsid w:val="00E04713"/>
    <w:rsid w:val="00E048A4"/>
    <w:rsid w:val="00E04A6A"/>
    <w:rsid w:val="00E04A97"/>
    <w:rsid w:val="00E04C34"/>
    <w:rsid w:val="00E05651"/>
    <w:rsid w:val="00E0583D"/>
    <w:rsid w:val="00E101B7"/>
    <w:rsid w:val="00E10A7E"/>
    <w:rsid w:val="00E10B09"/>
    <w:rsid w:val="00E11007"/>
    <w:rsid w:val="00E113C0"/>
    <w:rsid w:val="00E11851"/>
    <w:rsid w:val="00E11988"/>
    <w:rsid w:val="00E11C0A"/>
    <w:rsid w:val="00E120E1"/>
    <w:rsid w:val="00E12220"/>
    <w:rsid w:val="00E12C3E"/>
    <w:rsid w:val="00E12F08"/>
    <w:rsid w:val="00E13622"/>
    <w:rsid w:val="00E13818"/>
    <w:rsid w:val="00E13DD1"/>
    <w:rsid w:val="00E14C90"/>
    <w:rsid w:val="00E14D44"/>
    <w:rsid w:val="00E15E60"/>
    <w:rsid w:val="00E15F19"/>
    <w:rsid w:val="00E16FD9"/>
    <w:rsid w:val="00E174FF"/>
    <w:rsid w:val="00E20000"/>
    <w:rsid w:val="00E20322"/>
    <w:rsid w:val="00E203D7"/>
    <w:rsid w:val="00E217FB"/>
    <w:rsid w:val="00E22914"/>
    <w:rsid w:val="00E2300B"/>
    <w:rsid w:val="00E239D3"/>
    <w:rsid w:val="00E2430B"/>
    <w:rsid w:val="00E248A7"/>
    <w:rsid w:val="00E24B2B"/>
    <w:rsid w:val="00E25760"/>
    <w:rsid w:val="00E25F21"/>
    <w:rsid w:val="00E26AC5"/>
    <w:rsid w:val="00E27004"/>
    <w:rsid w:val="00E270F6"/>
    <w:rsid w:val="00E27C3D"/>
    <w:rsid w:val="00E30EED"/>
    <w:rsid w:val="00E30F50"/>
    <w:rsid w:val="00E325D0"/>
    <w:rsid w:val="00E32AD4"/>
    <w:rsid w:val="00E32EE0"/>
    <w:rsid w:val="00E33A40"/>
    <w:rsid w:val="00E34402"/>
    <w:rsid w:val="00E34630"/>
    <w:rsid w:val="00E34690"/>
    <w:rsid w:val="00E35442"/>
    <w:rsid w:val="00E364C5"/>
    <w:rsid w:val="00E36D13"/>
    <w:rsid w:val="00E36E5D"/>
    <w:rsid w:val="00E3737D"/>
    <w:rsid w:val="00E37781"/>
    <w:rsid w:val="00E37A9F"/>
    <w:rsid w:val="00E407DD"/>
    <w:rsid w:val="00E40DD4"/>
    <w:rsid w:val="00E415F7"/>
    <w:rsid w:val="00E41DC5"/>
    <w:rsid w:val="00E422E2"/>
    <w:rsid w:val="00E4321D"/>
    <w:rsid w:val="00E43333"/>
    <w:rsid w:val="00E43742"/>
    <w:rsid w:val="00E45093"/>
    <w:rsid w:val="00E4555D"/>
    <w:rsid w:val="00E4633D"/>
    <w:rsid w:val="00E471BC"/>
    <w:rsid w:val="00E47313"/>
    <w:rsid w:val="00E473A6"/>
    <w:rsid w:val="00E47740"/>
    <w:rsid w:val="00E50A91"/>
    <w:rsid w:val="00E52008"/>
    <w:rsid w:val="00E52615"/>
    <w:rsid w:val="00E52760"/>
    <w:rsid w:val="00E54ACE"/>
    <w:rsid w:val="00E555C5"/>
    <w:rsid w:val="00E55DC2"/>
    <w:rsid w:val="00E56586"/>
    <w:rsid w:val="00E565C5"/>
    <w:rsid w:val="00E56E48"/>
    <w:rsid w:val="00E5711F"/>
    <w:rsid w:val="00E57D79"/>
    <w:rsid w:val="00E57FFA"/>
    <w:rsid w:val="00E60070"/>
    <w:rsid w:val="00E60231"/>
    <w:rsid w:val="00E609DB"/>
    <w:rsid w:val="00E60B72"/>
    <w:rsid w:val="00E6103A"/>
    <w:rsid w:val="00E61842"/>
    <w:rsid w:val="00E61869"/>
    <w:rsid w:val="00E61B77"/>
    <w:rsid w:val="00E61D10"/>
    <w:rsid w:val="00E62358"/>
    <w:rsid w:val="00E6235E"/>
    <w:rsid w:val="00E62994"/>
    <w:rsid w:val="00E643CE"/>
    <w:rsid w:val="00E6458F"/>
    <w:rsid w:val="00E653D1"/>
    <w:rsid w:val="00E65943"/>
    <w:rsid w:val="00E659BF"/>
    <w:rsid w:val="00E65CFE"/>
    <w:rsid w:val="00E65D2D"/>
    <w:rsid w:val="00E6610E"/>
    <w:rsid w:val="00E671CE"/>
    <w:rsid w:val="00E67D86"/>
    <w:rsid w:val="00E70057"/>
    <w:rsid w:val="00E70253"/>
    <w:rsid w:val="00E7048F"/>
    <w:rsid w:val="00E705A9"/>
    <w:rsid w:val="00E709DA"/>
    <w:rsid w:val="00E70FDB"/>
    <w:rsid w:val="00E713EE"/>
    <w:rsid w:val="00E720A0"/>
    <w:rsid w:val="00E7213E"/>
    <w:rsid w:val="00E72AB3"/>
    <w:rsid w:val="00E72C7B"/>
    <w:rsid w:val="00E7309A"/>
    <w:rsid w:val="00E731AA"/>
    <w:rsid w:val="00E73811"/>
    <w:rsid w:val="00E74466"/>
    <w:rsid w:val="00E748C7"/>
    <w:rsid w:val="00E759BE"/>
    <w:rsid w:val="00E75E06"/>
    <w:rsid w:val="00E7755E"/>
    <w:rsid w:val="00E7764C"/>
    <w:rsid w:val="00E77771"/>
    <w:rsid w:val="00E779A9"/>
    <w:rsid w:val="00E77EF6"/>
    <w:rsid w:val="00E77F95"/>
    <w:rsid w:val="00E80699"/>
    <w:rsid w:val="00E80793"/>
    <w:rsid w:val="00E80C8B"/>
    <w:rsid w:val="00E81512"/>
    <w:rsid w:val="00E81722"/>
    <w:rsid w:val="00E8185D"/>
    <w:rsid w:val="00E8194F"/>
    <w:rsid w:val="00E82790"/>
    <w:rsid w:val="00E82935"/>
    <w:rsid w:val="00E82BA5"/>
    <w:rsid w:val="00E82D91"/>
    <w:rsid w:val="00E82E25"/>
    <w:rsid w:val="00E82FBE"/>
    <w:rsid w:val="00E83093"/>
    <w:rsid w:val="00E83B84"/>
    <w:rsid w:val="00E8443F"/>
    <w:rsid w:val="00E84A2B"/>
    <w:rsid w:val="00E85188"/>
    <w:rsid w:val="00E85262"/>
    <w:rsid w:val="00E85948"/>
    <w:rsid w:val="00E85A5E"/>
    <w:rsid w:val="00E900AC"/>
    <w:rsid w:val="00E902A6"/>
    <w:rsid w:val="00E914F6"/>
    <w:rsid w:val="00E91B9B"/>
    <w:rsid w:val="00E927FF"/>
    <w:rsid w:val="00E92BF3"/>
    <w:rsid w:val="00E92DA5"/>
    <w:rsid w:val="00E93BD9"/>
    <w:rsid w:val="00E93D99"/>
    <w:rsid w:val="00E9415E"/>
    <w:rsid w:val="00E9424D"/>
    <w:rsid w:val="00E94A37"/>
    <w:rsid w:val="00E94C8F"/>
    <w:rsid w:val="00E95918"/>
    <w:rsid w:val="00E9617A"/>
    <w:rsid w:val="00E9648F"/>
    <w:rsid w:val="00E979E1"/>
    <w:rsid w:val="00E97A98"/>
    <w:rsid w:val="00EA08E1"/>
    <w:rsid w:val="00EA1E0A"/>
    <w:rsid w:val="00EA1FD6"/>
    <w:rsid w:val="00EA259F"/>
    <w:rsid w:val="00EA2888"/>
    <w:rsid w:val="00EA2E80"/>
    <w:rsid w:val="00EA3412"/>
    <w:rsid w:val="00EA3666"/>
    <w:rsid w:val="00EA38E2"/>
    <w:rsid w:val="00EA407A"/>
    <w:rsid w:val="00EA42C1"/>
    <w:rsid w:val="00EA5F4E"/>
    <w:rsid w:val="00EA745C"/>
    <w:rsid w:val="00EB01C0"/>
    <w:rsid w:val="00EB01C9"/>
    <w:rsid w:val="00EB0CB4"/>
    <w:rsid w:val="00EB0CF9"/>
    <w:rsid w:val="00EB1105"/>
    <w:rsid w:val="00EB1677"/>
    <w:rsid w:val="00EB18A0"/>
    <w:rsid w:val="00EB2049"/>
    <w:rsid w:val="00EB32BD"/>
    <w:rsid w:val="00EB3936"/>
    <w:rsid w:val="00EB41FD"/>
    <w:rsid w:val="00EB4E16"/>
    <w:rsid w:val="00EB5244"/>
    <w:rsid w:val="00EB58BF"/>
    <w:rsid w:val="00EB6297"/>
    <w:rsid w:val="00EB68B3"/>
    <w:rsid w:val="00EB74BA"/>
    <w:rsid w:val="00EB7784"/>
    <w:rsid w:val="00EB77BC"/>
    <w:rsid w:val="00EC0AE4"/>
    <w:rsid w:val="00EC21EB"/>
    <w:rsid w:val="00EC27AE"/>
    <w:rsid w:val="00EC2999"/>
    <w:rsid w:val="00EC31D3"/>
    <w:rsid w:val="00EC36EE"/>
    <w:rsid w:val="00EC3A83"/>
    <w:rsid w:val="00EC3E19"/>
    <w:rsid w:val="00EC405D"/>
    <w:rsid w:val="00EC5247"/>
    <w:rsid w:val="00EC5549"/>
    <w:rsid w:val="00EC5DEE"/>
    <w:rsid w:val="00EC6A7D"/>
    <w:rsid w:val="00EC6C89"/>
    <w:rsid w:val="00EC7AF4"/>
    <w:rsid w:val="00ED033D"/>
    <w:rsid w:val="00ED059B"/>
    <w:rsid w:val="00ED0B37"/>
    <w:rsid w:val="00ED0EBF"/>
    <w:rsid w:val="00ED0FB2"/>
    <w:rsid w:val="00ED1759"/>
    <w:rsid w:val="00ED18A6"/>
    <w:rsid w:val="00ED19FF"/>
    <w:rsid w:val="00ED299A"/>
    <w:rsid w:val="00ED299C"/>
    <w:rsid w:val="00ED2D8C"/>
    <w:rsid w:val="00ED3297"/>
    <w:rsid w:val="00ED36B9"/>
    <w:rsid w:val="00ED37CD"/>
    <w:rsid w:val="00ED3A11"/>
    <w:rsid w:val="00ED4ADD"/>
    <w:rsid w:val="00ED5A3F"/>
    <w:rsid w:val="00ED5C72"/>
    <w:rsid w:val="00ED5CE8"/>
    <w:rsid w:val="00ED5D52"/>
    <w:rsid w:val="00ED67E2"/>
    <w:rsid w:val="00ED6A97"/>
    <w:rsid w:val="00ED6B7B"/>
    <w:rsid w:val="00ED712F"/>
    <w:rsid w:val="00ED721D"/>
    <w:rsid w:val="00ED7501"/>
    <w:rsid w:val="00ED7ED1"/>
    <w:rsid w:val="00EE04A9"/>
    <w:rsid w:val="00EE067B"/>
    <w:rsid w:val="00EE1F89"/>
    <w:rsid w:val="00EE2084"/>
    <w:rsid w:val="00EE255D"/>
    <w:rsid w:val="00EE368A"/>
    <w:rsid w:val="00EE46E0"/>
    <w:rsid w:val="00EE4ADE"/>
    <w:rsid w:val="00EE5631"/>
    <w:rsid w:val="00EE5844"/>
    <w:rsid w:val="00EE5BBC"/>
    <w:rsid w:val="00EE5BFC"/>
    <w:rsid w:val="00EE6384"/>
    <w:rsid w:val="00EE655C"/>
    <w:rsid w:val="00EE6FE3"/>
    <w:rsid w:val="00EE7721"/>
    <w:rsid w:val="00EE7890"/>
    <w:rsid w:val="00EE7EE7"/>
    <w:rsid w:val="00EF0764"/>
    <w:rsid w:val="00EF1134"/>
    <w:rsid w:val="00EF2481"/>
    <w:rsid w:val="00EF2EAE"/>
    <w:rsid w:val="00EF382D"/>
    <w:rsid w:val="00EF3C56"/>
    <w:rsid w:val="00EF427B"/>
    <w:rsid w:val="00EF5DB2"/>
    <w:rsid w:val="00EF5EF9"/>
    <w:rsid w:val="00EF647C"/>
    <w:rsid w:val="00EF7CB7"/>
    <w:rsid w:val="00EF7E79"/>
    <w:rsid w:val="00F000DC"/>
    <w:rsid w:val="00F00331"/>
    <w:rsid w:val="00F0098E"/>
    <w:rsid w:val="00F019F3"/>
    <w:rsid w:val="00F029C8"/>
    <w:rsid w:val="00F02FCD"/>
    <w:rsid w:val="00F03AA3"/>
    <w:rsid w:val="00F03D44"/>
    <w:rsid w:val="00F03EA1"/>
    <w:rsid w:val="00F03F32"/>
    <w:rsid w:val="00F04632"/>
    <w:rsid w:val="00F04F21"/>
    <w:rsid w:val="00F050A0"/>
    <w:rsid w:val="00F05457"/>
    <w:rsid w:val="00F055BA"/>
    <w:rsid w:val="00F0582B"/>
    <w:rsid w:val="00F058C3"/>
    <w:rsid w:val="00F0672C"/>
    <w:rsid w:val="00F06825"/>
    <w:rsid w:val="00F06D5C"/>
    <w:rsid w:val="00F10555"/>
    <w:rsid w:val="00F1099C"/>
    <w:rsid w:val="00F1131A"/>
    <w:rsid w:val="00F11BFD"/>
    <w:rsid w:val="00F12AE1"/>
    <w:rsid w:val="00F130A7"/>
    <w:rsid w:val="00F133BF"/>
    <w:rsid w:val="00F13461"/>
    <w:rsid w:val="00F13466"/>
    <w:rsid w:val="00F1366B"/>
    <w:rsid w:val="00F14529"/>
    <w:rsid w:val="00F15480"/>
    <w:rsid w:val="00F159A6"/>
    <w:rsid w:val="00F1638C"/>
    <w:rsid w:val="00F16C60"/>
    <w:rsid w:val="00F17292"/>
    <w:rsid w:val="00F173E7"/>
    <w:rsid w:val="00F17491"/>
    <w:rsid w:val="00F1759E"/>
    <w:rsid w:val="00F17AFE"/>
    <w:rsid w:val="00F202D4"/>
    <w:rsid w:val="00F224E6"/>
    <w:rsid w:val="00F228F5"/>
    <w:rsid w:val="00F22B59"/>
    <w:rsid w:val="00F23706"/>
    <w:rsid w:val="00F23742"/>
    <w:rsid w:val="00F238F8"/>
    <w:rsid w:val="00F24D0B"/>
    <w:rsid w:val="00F24DFC"/>
    <w:rsid w:val="00F25157"/>
    <w:rsid w:val="00F25484"/>
    <w:rsid w:val="00F25774"/>
    <w:rsid w:val="00F25797"/>
    <w:rsid w:val="00F25A75"/>
    <w:rsid w:val="00F25C0E"/>
    <w:rsid w:val="00F26080"/>
    <w:rsid w:val="00F26213"/>
    <w:rsid w:val="00F300B3"/>
    <w:rsid w:val="00F3011B"/>
    <w:rsid w:val="00F30D97"/>
    <w:rsid w:val="00F31115"/>
    <w:rsid w:val="00F314EC"/>
    <w:rsid w:val="00F31E5B"/>
    <w:rsid w:val="00F32839"/>
    <w:rsid w:val="00F32952"/>
    <w:rsid w:val="00F33159"/>
    <w:rsid w:val="00F3364D"/>
    <w:rsid w:val="00F336F7"/>
    <w:rsid w:val="00F34218"/>
    <w:rsid w:val="00F34552"/>
    <w:rsid w:val="00F34773"/>
    <w:rsid w:val="00F34920"/>
    <w:rsid w:val="00F35BE6"/>
    <w:rsid w:val="00F35E9D"/>
    <w:rsid w:val="00F3653B"/>
    <w:rsid w:val="00F36C24"/>
    <w:rsid w:val="00F36EA8"/>
    <w:rsid w:val="00F3706F"/>
    <w:rsid w:val="00F372C5"/>
    <w:rsid w:val="00F37A57"/>
    <w:rsid w:val="00F37B5C"/>
    <w:rsid w:val="00F406E3"/>
    <w:rsid w:val="00F410DD"/>
    <w:rsid w:val="00F411C5"/>
    <w:rsid w:val="00F41496"/>
    <w:rsid w:val="00F4173A"/>
    <w:rsid w:val="00F41CC4"/>
    <w:rsid w:val="00F41F48"/>
    <w:rsid w:val="00F423C9"/>
    <w:rsid w:val="00F42953"/>
    <w:rsid w:val="00F43A08"/>
    <w:rsid w:val="00F44AF3"/>
    <w:rsid w:val="00F44B09"/>
    <w:rsid w:val="00F450F0"/>
    <w:rsid w:val="00F452F7"/>
    <w:rsid w:val="00F455AA"/>
    <w:rsid w:val="00F46331"/>
    <w:rsid w:val="00F46691"/>
    <w:rsid w:val="00F46D1A"/>
    <w:rsid w:val="00F46E0D"/>
    <w:rsid w:val="00F46E2F"/>
    <w:rsid w:val="00F47CF0"/>
    <w:rsid w:val="00F47DCB"/>
    <w:rsid w:val="00F508FF"/>
    <w:rsid w:val="00F51305"/>
    <w:rsid w:val="00F519F5"/>
    <w:rsid w:val="00F52213"/>
    <w:rsid w:val="00F53970"/>
    <w:rsid w:val="00F53E28"/>
    <w:rsid w:val="00F541EB"/>
    <w:rsid w:val="00F546BE"/>
    <w:rsid w:val="00F5472A"/>
    <w:rsid w:val="00F54B44"/>
    <w:rsid w:val="00F553BC"/>
    <w:rsid w:val="00F55631"/>
    <w:rsid w:val="00F55A11"/>
    <w:rsid w:val="00F56C19"/>
    <w:rsid w:val="00F56F69"/>
    <w:rsid w:val="00F57D25"/>
    <w:rsid w:val="00F600D1"/>
    <w:rsid w:val="00F60133"/>
    <w:rsid w:val="00F603C1"/>
    <w:rsid w:val="00F60552"/>
    <w:rsid w:val="00F61CD3"/>
    <w:rsid w:val="00F62188"/>
    <w:rsid w:val="00F624ED"/>
    <w:rsid w:val="00F6252F"/>
    <w:rsid w:val="00F62834"/>
    <w:rsid w:val="00F62B5D"/>
    <w:rsid w:val="00F633E4"/>
    <w:rsid w:val="00F63580"/>
    <w:rsid w:val="00F6409E"/>
    <w:rsid w:val="00F64BFA"/>
    <w:rsid w:val="00F652EC"/>
    <w:rsid w:val="00F653ED"/>
    <w:rsid w:val="00F65731"/>
    <w:rsid w:val="00F65759"/>
    <w:rsid w:val="00F65A93"/>
    <w:rsid w:val="00F660B6"/>
    <w:rsid w:val="00F66AC9"/>
    <w:rsid w:val="00F672E4"/>
    <w:rsid w:val="00F67B93"/>
    <w:rsid w:val="00F7056E"/>
    <w:rsid w:val="00F705EC"/>
    <w:rsid w:val="00F70A22"/>
    <w:rsid w:val="00F70ED6"/>
    <w:rsid w:val="00F713C3"/>
    <w:rsid w:val="00F71735"/>
    <w:rsid w:val="00F718B4"/>
    <w:rsid w:val="00F725FF"/>
    <w:rsid w:val="00F72CAA"/>
    <w:rsid w:val="00F7334E"/>
    <w:rsid w:val="00F7462C"/>
    <w:rsid w:val="00F74755"/>
    <w:rsid w:val="00F749C1"/>
    <w:rsid w:val="00F75E79"/>
    <w:rsid w:val="00F76750"/>
    <w:rsid w:val="00F76D20"/>
    <w:rsid w:val="00F7723C"/>
    <w:rsid w:val="00F77E02"/>
    <w:rsid w:val="00F8045D"/>
    <w:rsid w:val="00F80C86"/>
    <w:rsid w:val="00F80EF7"/>
    <w:rsid w:val="00F80F2F"/>
    <w:rsid w:val="00F811CF"/>
    <w:rsid w:val="00F81490"/>
    <w:rsid w:val="00F815BE"/>
    <w:rsid w:val="00F81618"/>
    <w:rsid w:val="00F82666"/>
    <w:rsid w:val="00F829A6"/>
    <w:rsid w:val="00F83535"/>
    <w:rsid w:val="00F837FB"/>
    <w:rsid w:val="00F83A05"/>
    <w:rsid w:val="00F8437D"/>
    <w:rsid w:val="00F848C8"/>
    <w:rsid w:val="00F84A65"/>
    <w:rsid w:val="00F85955"/>
    <w:rsid w:val="00F85AE8"/>
    <w:rsid w:val="00F85C34"/>
    <w:rsid w:val="00F85CC5"/>
    <w:rsid w:val="00F85CC8"/>
    <w:rsid w:val="00F86FEF"/>
    <w:rsid w:val="00F87988"/>
    <w:rsid w:val="00F87994"/>
    <w:rsid w:val="00F87AE3"/>
    <w:rsid w:val="00F87C61"/>
    <w:rsid w:val="00F9022A"/>
    <w:rsid w:val="00F904F2"/>
    <w:rsid w:val="00F9162C"/>
    <w:rsid w:val="00F91E65"/>
    <w:rsid w:val="00F921CE"/>
    <w:rsid w:val="00F92641"/>
    <w:rsid w:val="00F92E04"/>
    <w:rsid w:val="00F9332B"/>
    <w:rsid w:val="00F93744"/>
    <w:rsid w:val="00F9432B"/>
    <w:rsid w:val="00F94703"/>
    <w:rsid w:val="00F94880"/>
    <w:rsid w:val="00F9532B"/>
    <w:rsid w:val="00F9749F"/>
    <w:rsid w:val="00F9770B"/>
    <w:rsid w:val="00F9784F"/>
    <w:rsid w:val="00F978DD"/>
    <w:rsid w:val="00F97929"/>
    <w:rsid w:val="00FA0030"/>
    <w:rsid w:val="00FA032A"/>
    <w:rsid w:val="00FA074D"/>
    <w:rsid w:val="00FA0BAD"/>
    <w:rsid w:val="00FA0C89"/>
    <w:rsid w:val="00FA11EF"/>
    <w:rsid w:val="00FA13A7"/>
    <w:rsid w:val="00FA1867"/>
    <w:rsid w:val="00FA190A"/>
    <w:rsid w:val="00FA1912"/>
    <w:rsid w:val="00FA1D4B"/>
    <w:rsid w:val="00FA42A4"/>
    <w:rsid w:val="00FA452D"/>
    <w:rsid w:val="00FA5BB1"/>
    <w:rsid w:val="00FA5DFC"/>
    <w:rsid w:val="00FA5E86"/>
    <w:rsid w:val="00FA6584"/>
    <w:rsid w:val="00FA6585"/>
    <w:rsid w:val="00FA692A"/>
    <w:rsid w:val="00FA6AA4"/>
    <w:rsid w:val="00FA6F70"/>
    <w:rsid w:val="00FA7BFB"/>
    <w:rsid w:val="00FB1623"/>
    <w:rsid w:val="00FB214A"/>
    <w:rsid w:val="00FB2155"/>
    <w:rsid w:val="00FB258D"/>
    <w:rsid w:val="00FB26E0"/>
    <w:rsid w:val="00FB2E17"/>
    <w:rsid w:val="00FB2E30"/>
    <w:rsid w:val="00FB37D6"/>
    <w:rsid w:val="00FB4EED"/>
    <w:rsid w:val="00FB5481"/>
    <w:rsid w:val="00FB564F"/>
    <w:rsid w:val="00FB5839"/>
    <w:rsid w:val="00FB5C19"/>
    <w:rsid w:val="00FB63CF"/>
    <w:rsid w:val="00FB6B57"/>
    <w:rsid w:val="00FB6E4C"/>
    <w:rsid w:val="00FB6EF9"/>
    <w:rsid w:val="00FB7525"/>
    <w:rsid w:val="00FB78B9"/>
    <w:rsid w:val="00FB7B7B"/>
    <w:rsid w:val="00FC012D"/>
    <w:rsid w:val="00FC1193"/>
    <w:rsid w:val="00FC1EBC"/>
    <w:rsid w:val="00FC22A9"/>
    <w:rsid w:val="00FC25D6"/>
    <w:rsid w:val="00FC323E"/>
    <w:rsid w:val="00FC3622"/>
    <w:rsid w:val="00FC3F71"/>
    <w:rsid w:val="00FC4136"/>
    <w:rsid w:val="00FC4881"/>
    <w:rsid w:val="00FC4E61"/>
    <w:rsid w:val="00FC5250"/>
    <w:rsid w:val="00FC593B"/>
    <w:rsid w:val="00FC677E"/>
    <w:rsid w:val="00FC6CEB"/>
    <w:rsid w:val="00FC70D6"/>
    <w:rsid w:val="00FC72F4"/>
    <w:rsid w:val="00FC7598"/>
    <w:rsid w:val="00FC78B0"/>
    <w:rsid w:val="00FD0526"/>
    <w:rsid w:val="00FD32E5"/>
    <w:rsid w:val="00FD3853"/>
    <w:rsid w:val="00FD4F94"/>
    <w:rsid w:val="00FD5911"/>
    <w:rsid w:val="00FD66AA"/>
    <w:rsid w:val="00FD73C2"/>
    <w:rsid w:val="00FE00B3"/>
    <w:rsid w:val="00FE0E6D"/>
    <w:rsid w:val="00FE180A"/>
    <w:rsid w:val="00FE18E2"/>
    <w:rsid w:val="00FE19FD"/>
    <w:rsid w:val="00FE1ACE"/>
    <w:rsid w:val="00FE212F"/>
    <w:rsid w:val="00FE2B76"/>
    <w:rsid w:val="00FE3053"/>
    <w:rsid w:val="00FE3595"/>
    <w:rsid w:val="00FE3BC5"/>
    <w:rsid w:val="00FE4226"/>
    <w:rsid w:val="00FE46FD"/>
    <w:rsid w:val="00FE56ED"/>
    <w:rsid w:val="00FE5E4F"/>
    <w:rsid w:val="00FE5EC7"/>
    <w:rsid w:val="00FE5F4F"/>
    <w:rsid w:val="00FE60E4"/>
    <w:rsid w:val="00FE6BB6"/>
    <w:rsid w:val="00FE6C28"/>
    <w:rsid w:val="00FE6EE6"/>
    <w:rsid w:val="00FE70D1"/>
    <w:rsid w:val="00FE7CB1"/>
    <w:rsid w:val="00FF0E1C"/>
    <w:rsid w:val="00FF1286"/>
    <w:rsid w:val="00FF17BA"/>
    <w:rsid w:val="00FF1A62"/>
    <w:rsid w:val="00FF1AF2"/>
    <w:rsid w:val="00FF1D93"/>
    <w:rsid w:val="00FF215F"/>
    <w:rsid w:val="00FF21B2"/>
    <w:rsid w:val="00FF2A3E"/>
    <w:rsid w:val="00FF2F61"/>
    <w:rsid w:val="00FF3A56"/>
    <w:rsid w:val="00FF445D"/>
    <w:rsid w:val="00FF4D06"/>
    <w:rsid w:val="00FF4D15"/>
    <w:rsid w:val="00FF4D1F"/>
    <w:rsid w:val="00FF5068"/>
    <w:rsid w:val="00FF5273"/>
    <w:rsid w:val="00FF5A06"/>
    <w:rsid w:val="00FF6835"/>
    <w:rsid w:val="00FF6967"/>
    <w:rsid w:val="00FF6BA9"/>
    <w:rsid w:val="00FF75F2"/>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8AF59"/>
  <w15:docId w15:val="{FAF5621D-B82F-41AB-B81B-63B01472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51"/>
  </w:style>
  <w:style w:type="paragraph" w:styleId="Heading1">
    <w:name w:val="heading 1"/>
    <w:basedOn w:val="Normal"/>
    <w:next w:val="Normal"/>
    <w:link w:val="Heading1Char"/>
    <w:uiPriority w:val="9"/>
    <w:qFormat/>
    <w:rsid w:val="00FC36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3B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70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3C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5A8B"/>
    <w:pPr>
      <w:keepNext/>
      <w:keepLines/>
      <w:spacing w:before="40" w:after="0"/>
      <w:outlineLvl w:val="4"/>
    </w:pPr>
    <w:rPr>
      <w:rFonts w:eastAsia="DengXian Light" w:cs="Times New Roman"/>
      <w:color w:val="2F5496"/>
    </w:rPr>
  </w:style>
  <w:style w:type="paragraph" w:styleId="Heading6">
    <w:name w:val="heading 6"/>
    <w:basedOn w:val="Normal"/>
    <w:next w:val="Normal"/>
    <w:link w:val="Heading6Char"/>
    <w:uiPriority w:val="9"/>
    <w:semiHidden/>
    <w:unhideWhenUsed/>
    <w:qFormat/>
    <w:rsid w:val="00195A8B"/>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195A8B"/>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195A8B"/>
    <w:pPr>
      <w:keepNext/>
      <w:keepLines/>
      <w:spacing w:before="40"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195A8B"/>
    <w:pPr>
      <w:keepNext/>
      <w:keepLines/>
      <w:spacing w:before="40" w:after="0"/>
      <w:outlineLvl w:val="8"/>
    </w:pPr>
    <w:rPr>
      <w:rFonts w:eastAsia="DengXian Light"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basedOn w:val="Normal"/>
    <w:next w:val="Normal"/>
    <w:qFormat/>
    <w:rsid w:val="00374FD5"/>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Default">
    <w:name w:val="Default"/>
    <w:rsid w:val="00C412D6"/>
    <w:pPr>
      <w:autoSpaceDE w:val="0"/>
      <w:autoSpaceDN w:val="0"/>
      <w:adjustRightInd w:val="0"/>
      <w:spacing w:after="0" w:line="240" w:lineRule="auto"/>
    </w:pPr>
    <w:rPr>
      <w:rFonts w:ascii="Arial" w:hAnsi="Arial" w:cs="Arial"/>
      <w:color w:val="000000"/>
      <w:sz w:val="24"/>
      <w:szCs w:val="24"/>
    </w:rPr>
  </w:style>
  <w:style w:type="paragraph" w:customStyle="1" w:styleId="MDPI21heading1">
    <w:name w:val="MDPI_2.1_heading1"/>
    <w:basedOn w:val="Normal"/>
    <w:qFormat/>
    <w:rsid w:val="00C412D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styleId="Hyperlink">
    <w:name w:val="Hyperlink"/>
    <w:uiPriority w:val="99"/>
    <w:unhideWhenUsed/>
    <w:rsid w:val="00C412D6"/>
    <w:rPr>
      <w:color w:val="0563C1"/>
      <w:u w:val="single"/>
    </w:rPr>
  </w:style>
  <w:style w:type="character" w:customStyle="1" w:styleId="Heading1Char">
    <w:name w:val="Heading 1 Char"/>
    <w:basedOn w:val="DefaultParagraphFont"/>
    <w:link w:val="Heading1"/>
    <w:uiPriority w:val="9"/>
    <w:rsid w:val="00FC362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F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834F0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PlaceholderText">
    <w:name w:val="Placeholder Text"/>
    <w:basedOn w:val="DefaultParagraphFont"/>
    <w:uiPriority w:val="99"/>
    <w:semiHidden/>
    <w:rsid w:val="00C1308E"/>
    <w:rPr>
      <w:color w:val="808080"/>
    </w:rPr>
  </w:style>
  <w:style w:type="paragraph" w:styleId="ListParagraph">
    <w:name w:val="List Paragraph"/>
    <w:basedOn w:val="Normal"/>
    <w:uiPriority w:val="34"/>
    <w:qFormat/>
    <w:rsid w:val="009D76DD"/>
    <w:pPr>
      <w:ind w:left="720"/>
      <w:contextualSpacing/>
    </w:pPr>
  </w:style>
  <w:style w:type="table" w:styleId="LightShading-Accent3">
    <w:name w:val="Light Shading Accent 3"/>
    <w:basedOn w:val="TableNormal"/>
    <w:uiPriority w:val="60"/>
    <w:rsid w:val="002F7D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2F7D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357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8">
    <w:name w:val="A8"/>
    <w:uiPriority w:val="99"/>
    <w:rsid w:val="009D7625"/>
    <w:rPr>
      <w:rFonts w:cs="Cambria"/>
      <w:color w:val="000000"/>
      <w:sz w:val="18"/>
      <w:szCs w:val="18"/>
    </w:rPr>
  </w:style>
  <w:style w:type="character" w:styleId="Strong">
    <w:name w:val="Strong"/>
    <w:basedOn w:val="DefaultParagraphFont"/>
    <w:uiPriority w:val="22"/>
    <w:qFormat/>
    <w:rsid w:val="009D7625"/>
    <w:rPr>
      <w:b/>
      <w:bCs/>
    </w:rPr>
  </w:style>
  <w:style w:type="character" w:styleId="Emphasis">
    <w:name w:val="Emphasis"/>
    <w:basedOn w:val="DefaultParagraphFont"/>
    <w:uiPriority w:val="20"/>
    <w:qFormat/>
    <w:rsid w:val="009D7625"/>
    <w:rPr>
      <w:i/>
      <w:iCs/>
    </w:rPr>
  </w:style>
  <w:style w:type="character" w:customStyle="1" w:styleId="A5">
    <w:name w:val="A5"/>
    <w:uiPriority w:val="99"/>
    <w:rsid w:val="009D7625"/>
    <w:rPr>
      <w:rFonts w:cs="Minion Pro"/>
      <w:color w:val="000000"/>
      <w:sz w:val="22"/>
      <w:szCs w:val="22"/>
    </w:rPr>
  </w:style>
  <w:style w:type="character" w:styleId="FollowedHyperlink">
    <w:name w:val="FollowedHyperlink"/>
    <w:basedOn w:val="DefaultParagraphFont"/>
    <w:uiPriority w:val="99"/>
    <w:semiHidden/>
    <w:unhideWhenUsed/>
    <w:rsid w:val="002B073A"/>
    <w:rPr>
      <w:color w:val="800080" w:themeColor="followedHyperlink"/>
      <w:u w:val="single"/>
    </w:rPr>
  </w:style>
  <w:style w:type="character" w:customStyle="1" w:styleId="Heading2Char">
    <w:name w:val="Heading 2 Char"/>
    <w:basedOn w:val="DefaultParagraphFont"/>
    <w:link w:val="Heading2"/>
    <w:uiPriority w:val="9"/>
    <w:rsid w:val="00943B53"/>
    <w:rPr>
      <w:rFonts w:asciiTheme="majorHAnsi" w:eastAsiaTheme="majorEastAsia" w:hAnsiTheme="majorHAnsi" w:cstheme="majorBidi"/>
      <w:b/>
      <w:bCs/>
      <w:color w:val="4F81BD" w:themeColor="accent1"/>
      <w:sz w:val="26"/>
      <w:szCs w:val="26"/>
    </w:rPr>
  </w:style>
  <w:style w:type="character" w:customStyle="1" w:styleId="A1">
    <w:name w:val="A1"/>
    <w:uiPriority w:val="99"/>
    <w:rsid w:val="00BA2AF3"/>
    <w:rPr>
      <w:color w:val="000000"/>
      <w:sz w:val="22"/>
      <w:szCs w:val="22"/>
    </w:rPr>
  </w:style>
  <w:style w:type="character" w:customStyle="1" w:styleId="Heading3Char">
    <w:name w:val="Heading 3 Char"/>
    <w:basedOn w:val="DefaultParagraphFont"/>
    <w:link w:val="Heading3"/>
    <w:uiPriority w:val="9"/>
    <w:rsid w:val="000D707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6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80A"/>
  </w:style>
  <w:style w:type="paragraph" w:styleId="Footer">
    <w:name w:val="footer"/>
    <w:basedOn w:val="Normal"/>
    <w:link w:val="FooterChar"/>
    <w:uiPriority w:val="99"/>
    <w:unhideWhenUsed/>
    <w:rsid w:val="0012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80A"/>
  </w:style>
  <w:style w:type="character" w:styleId="LineNumber">
    <w:name w:val="line number"/>
    <w:basedOn w:val="DefaultParagraphFont"/>
    <w:uiPriority w:val="99"/>
    <w:semiHidden/>
    <w:unhideWhenUsed/>
    <w:rsid w:val="003477DC"/>
  </w:style>
  <w:style w:type="paragraph" w:styleId="BalloonText">
    <w:name w:val="Balloon Text"/>
    <w:basedOn w:val="Normal"/>
    <w:link w:val="BalloonTextChar"/>
    <w:uiPriority w:val="99"/>
    <w:semiHidden/>
    <w:unhideWhenUsed/>
    <w:rsid w:val="00883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A05"/>
    <w:rPr>
      <w:rFonts w:ascii="Tahoma" w:hAnsi="Tahoma" w:cs="Tahoma"/>
      <w:sz w:val="16"/>
      <w:szCs w:val="16"/>
    </w:rPr>
  </w:style>
  <w:style w:type="table" w:customStyle="1" w:styleId="LightShading2">
    <w:name w:val="Light Shading2"/>
    <w:basedOn w:val="TableNormal"/>
    <w:uiPriority w:val="60"/>
    <w:rsid w:val="00E819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D41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130A8"/>
    <w:rPr>
      <w:sz w:val="16"/>
      <w:szCs w:val="16"/>
    </w:rPr>
  </w:style>
  <w:style w:type="paragraph" w:styleId="CommentText">
    <w:name w:val="annotation text"/>
    <w:basedOn w:val="Normal"/>
    <w:link w:val="CommentTextChar"/>
    <w:uiPriority w:val="99"/>
    <w:unhideWhenUsed/>
    <w:rsid w:val="003130A8"/>
    <w:pPr>
      <w:spacing w:line="240" w:lineRule="auto"/>
    </w:pPr>
    <w:rPr>
      <w:sz w:val="20"/>
      <w:szCs w:val="20"/>
    </w:rPr>
  </w:style>
  <w:style w:type="character" w:customStyle="1" w:styleId="CommentTextChar">
    <w:name w:val="Comment Text Char"/>
    <w:basedOn w:val="DefaultParagraphFont"/>
    <w:link w:val="CommentText"/>
    <w:uiPriority w:val="99"/>
    <w:rsid w:val="003130A8"/>
    <w:rPr>
      <w:sz w:val="20"/>
      <w:szCs w:val="20"/>
    </w:rPr>
  </w:style>
  <w:style w:type="paragraph" w:styleId="Revision">
    <w:name w:val="Revision"/>
    <w:hidden/>
    <w:uiPriority w:val="99"/>
    <w:semiHidden/>
    <w:rsid w:val="00F546BE"/>
    <w:pPr>
      <w:spacing w:after="0" w:line="240" w:lineRule="auto"/>
    </w:pPr>
  </w:style>
  <w:style w:type="character" w:customStyle="1" w:styleId="Heading4Char">
    <w:name w:val="Heading 4 Char"/>
    <w:basedOn w:val="DefaultParagraphFont"/>
    <w:link w:val="Heading4"/>
    <w:uiPriority w:val="9"/>
    <w:rsid w:val="00D43CAA"/>
    <w:rPr>
      <w:rFonts w:asciiTheme="majorHAnsi" w:eastAsiaTheme="majorEastAsia" w:hAnsiTheme="majorHAnsi" w:cstheme="majorBidi"/>
      <w:b/>
      <w:bCs/>
      <w:i/>
      <w:iCs/>
      <w:color w:val="4F81BD" w:themeColor="accent1"/>
    </w:rPr>
  </w:style>
  <w:style w:type="table" w:customStyle="1" w:styleId="LightShading3">
    <w:name w:val="Light Shading3"/>
    <w:basedOn w:val="TableNormal"/>
    <w:next w:val="LightShading"/>
    <w:uiPriority w:val="60"/>
    <w:rsid w:val="005C371A"/>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C37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qFormat/>
    <w:rsid w:val="00167CE8"/>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next w:val="LightShading"/>
    <w:uiPriority w:val="60"/>
    <w:rsid w:val="00522ADC"/>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711916"/>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563E0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ing51">
    <w:name w:val="Heading 51"/>
    <w:basedOn w:val="Normal"/>
    <w:next w:val="Normal"/>
    <w:uiPriority w:val="9"/>
    <w:semiHidden/>
    <w:unhideWhenUsed/>
    <w:qFormat/>
    <w:rsid w:val="00195A8B"/>
    <w:pPr>
      <w:keepNext/>
      <w:keepLines/>
      <w:spacing w:before="80" w:after="40" w:line="259" w:lineRule="auto"/>
      <w:outlineLvl w:val="4"/>
    </w:pPr>
    <w:rPr>
      <w:rFonts w:eastAsia="DengXian Light" w:cs="Times New Roman"/>
      <w:color w:val="2F5496"/>
      <w:kern w:val="2"/>
      <w:lang w:val="en-GB" w:eastAsia="en-US"/>
    </w:rPr>
  </w:style>
  <w:style w:type="paragraph" w:customStyle="1" w:styleId="Heading61">
    <w:name w:val="Heading 61"/>
    <w:basedOn w:val="Normal"/>
    <w:next w:val="Normal"/>
    <w:uiPriority w:val="9"/>
    <w:semiHidden/>
    <w:unhideWhenUsed/>
    <w:qFormat/>
    <w:rsid w:val="00195A8B"/>
    <w:pPr>
      <w:keepNext/>
      <w:keepLines/>
      <w:spacing w:before="40" w:after="0" w:line="259" w:lineRule="auto"/>
      <w:outlineLvl w:val="5"/>
    </w:pPr>
    <w:rPr>
      <w:rFonts w:eastAsia="DengXian Light" w:cs="Times New Roman"/>
      <w:i/>
      <w:iCs/>
      <w:color w:val="595959"/>
      <w:kern w:val="2"/>
      <w:lang w:val="en-GB" w:eastAsia="en-US"/>
    </w:rPr>
  </w:style>
  <w:style w:type="paragraph" w:customStyle="1" w:styleId="Heading71">
    <w:name w:val="Heading 71"/>
    <w:basedOn w:val="Normal"/>
    <w:next w:val="Normal"/>
    <w:uiPriority w:val="9"/>
    <w:semiHidden/>
    <w:unhideWhenUsed/>
    <w:qFormat/>
    <w:rsid w:val="00195A8B"/>
    <w:pPr>
      <w:keepNext/>
      <w:keepLines/>
      <w:spacing w:before="40" w:after="0" w:line="259" w:lineRule="auto"/>
      <w:outlineLvl w:val="6"/>
    </w:pPr>
    <w:rPr>
      <w:rFonts w:eastAsia="DengXian Light" w:cs="Times New Roman"/>
      <w:color w:val="595959"/>
      <w:kern w:val="2"/>
      <w:lang w:val="en-GB" w:eastAsia="en-US"/>
    </w:rPr>
  </w:style>
  <w:style w:type="paragraph" w:customStyle="1" w:styleId="Heading81">
    <w:name w:val="Heading 81"/>
    <w:basedOn w:val="Normal"/>
    <w:next w:val="Normal"/>
    <w:uiPriority w:val="9"/>
    <w:semiHidden/>
    <w:unhideWhenUsed/>
    <w:qFormat/>
    <w:rsid w:val="00195A8B"/>
    <w:pPr>
      <w:keepNext/>
      <w:keepLines/>
      <w:spacing w:after="0" w:line="259" w:lineRule="auto"/>
      <w:outlineLvl w:val="7"/>
    </w:pPr>
    <w:rPr>
      <w:rFonts w:eastAsia="DengXian Light" w:cs="Times New Roman"/>
      <w:i/>
      <w:iCs/>
      <w:color w:val="272727"/>
      <w:kern w:val="2"/>
      <w:lang w:val="en-GB" w:eastAsia="en-US"/>
    </w:rPr>
  </w:style>
  <w:style w:type="paragraph" w:customStyle="1" w:styleId="Heading91">
    <w:name w:val="Heading 91"/>
    <w:basedOn w:val="Normal"/>
    <w:next w:val="Normal"/>
    <w:uiPriority w:val="9"/>
    <w:semiHidden/>
    <w:unhideWhenUsed/>
    <w:qFormat/>
    <w:rsid w:val="00195A8B"/>
    <w:pPr>
      <w:keepNext/>
      <w:keepLines/>
      <w:spacing w:after="0" w:line="259" w:lineRule="auto"/>
      <w:outlineLvl w:val="8"/>
    </w:pPr>
    <w:rPr>
      <w:rFonts w:eastAsia="DengXian Light" w:cs="Times New Roman"/>
      <w:color w:val="272727"/>
      <w:kern w:val="2"/>
      <w:lang w:val="en-GB" w:eastAsia="en-US"/>
    </w:rPr>
  </w:style>
  <w:style w:type="numbering" w:customStyle="1" w:styleId="NoList1">
    <w:name w:val="No List1"/>
    <w:next w:val="NoList"/>
    <w:uiPriority w:val="99"/>
    <w:semiHidden/>
    <w:unhideWhenUsed/>
    <w:rsid w:val="00195A8B"/>
  </w:style>
  <w:style w:type="character" w:customStyle="1" w:styleId="Heading5Char">
    <w:name w:val="Heading 5 Char"/>
    <w:basedOn w:val="DefaultParagraphFont"/>
    <w:link w:val="Heading5"/>
    <w:uiPriority w:val="9"/>
    <w:semiHidden/>
    <w:rsid w:val="00195A8B"/>
    <w:rPr>
      <w:rFonts w:eastAsia="DengXian Light" w:cs="Times New Roman"/>
      <w:color w:val="2F5496"/>
    </w:rPr>
  </w:style>
  <w:style w:type="character" w:customStyle="1" w:styleId="Heading6Char">
    <w:name w:val="Heading 6 Char"/>
    <w:basedOn w:val="DefaultParagraphFont"/>
    <w:link w:val="Heading6"/>
    <w:uiPriority w:val="9"/>
    <w:semiHidden/>
    <w:rsid w:val="00195A8B"/>
    <w:rPr>
      <w:rFonts w:eastAsia="DengXian Light" w:cs="Times New Roman"/>
      <w:i/>
      <w:iCs/>
      <w:color w:val="595959"/>
    </w:rPr>
  </w:style>
  <w:style w:type="character" w:customStyle="1" w:styleId="Heading7Char">
    <w:name w:val="Heading 7 Char"/>
    <w:basedOn w:val="DefaultParagraphFont"/>
    <w:link w:val="Heading7"/>
    <w:uiPriority w:val="9"/>
    <w:semiHidden/>
    <w:rsid w:val="00195A8B"/>
    <w:rPr>
      <w:rFonts w:eastAsia="DengXian Light" w:cs="Times New Roman"/>
      <w:color w:val="595959"/>
    </w:rPr>
  </w:style>
  <w:style w:type="character" w:customStyle="1" w:styleId="Heading8Char">
    <w:name w:val="Heading 8 Char"/>
    <w:basedOn w:val="DefaultParagraphFont"/>
    <w:link w:val="Heading8"/>
    <w:uiPriority w:val="9"/>
    <w:semiHidden/>
    <w:rsid w:val="00195A8B"/>
    <w:rPr>
      <w:rFonts w:eastAsia="DengXian Light" w:cs="Times New Roman"/>
      <w:i/>
      <w:iCs/>
      <w:color w:val="272727"/>
    </w:rPr>
  </w:style>
  <w:style w:type="character" w:customStyle="1" w:styleId="Heading9Char">
    <w:name w:val="Heading 9 Char"/>
    <w:basedOn w:val="DefaultParagraphFont"/>
    <w:link w:val="Heading9"/>
    <w:uiPriority w:val="9"/>
    <w:semiHidden/>
    <w:rsid w:val="00195A8B"/>
    <w:rPr>
      <w:rFonts w:eastAsia="DengXian Light" w:cs="Times New Roman"/>
      <w:color w:val="272727"/>
    </w:rPr>
  </w:style>
  <w:style w:type="paragraph" w:customStyle="1" w:styleId="Title1">
    <w:name w:val="Title1"/>
    <w:basedOn w:val="Normal"/>
    <w:next w:val="Normal"/>
    <w:uiPriority w:val="10"/>
    <w:qFormat/>
    <w:rsid w:val="00195A8B"/>
    <w:pPr>
      <w:spacing w:after="80" w:line="240" w:lineRule="auto"/>
      <w:contextualSpacing/>
    </w:pPr>
    <w:rPr>
      <w:rFonts w:ascii="Calibri Light" w:eastAsia="DengXian Light" w:hAnsi="Calibri Light" w:cs="Times New Roman"/>
      <w:spacing w:val="-10"/>
      <w:kern w:val="28"/>
      <w:sz w:val="56"/>
      <w:szCs w:val="56"/>
      <w:lang w:val="en-GB" w:eastAsia="en-US"/>
    </w:rPr>
  </w:style>
  <w:style w:type="character" w:customStyle="1" w:styleId="TitleChar">
    <w:name w:val="Title Char"/>
    <w:basedOn w:val="DefaultParagraphFont"/>
    <w:link w:val="Title"/>
    <w:uiPriority w:val="10"/>
    <w:rsid w:val="00195A8B"/>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195A8B"/>
    <w:pPr>
      <w:numPr>
        <w:ilvl w:val="1"/>
      </w:numPr>
      <w:spacing w:after="160" w:line="259" w:lineRule="auto"/>
    </w:pPr>
    <w:rPr>
      <w:rFonts w:eastAsia="DengXian Light" w:cs="Times New Roman"/>
      <w:color w:val="595959"/>
      <w:spacing w:val="15"/>
      <w:kern w:val="2"/>
      <w:sz w:val="28"/>
      <w:szCs w:val="28"/>
      <w:lang w:val="en-GB" w:eastAsia="en-US"/>
    </w:rPr>
  </w:style>
  <w:style w:type="character" w:customStyle="1" w:styleId="SubtitleChar">
    <w:name w:val="Subtitle Char"/>
    <w:basedOn w:val="DefaultParagraphFont"/>
    <w:link w:val="Subtitle"/>
    <w:uiPriority w:val="11"/>
    <w:rsid w:val="00195A8B"/>
    <w:rPr>
      <w:rFonts w:eastAsia="DengXian Light" w:cs="Times New Roman"/>
      <w:color w:val="595959"/>
      <w:spacing w:val="15"/>
      <w:sz w:val="28"/>
      <w:szCs w:val="28"/>
    </w:rPr>
  </w:style>
  <w:style w:type="paragraph" w:customStyle="1" w:styleId="Quote1">
    <w:name w:val="Quote1"/>
    <w:basedOn w:val="Normal"/>
    <w:next w:val="Normal"/>
    <w:uiPriority w:val="29"/>
    <w:qFormat/>
    <w:rsid w:val="00195A8B"/>
    <w:pPr>
      <w:spacing w:before="160" w:after="160" w:line="259" w:lineRule="auto"/>
      <w:jc w:val="center"/>
    </w:pPr>
    <w:rPr>
      <w:rFonts w:eastAsia="Calibri"/>
      <w:i/>
      <w:iCs/>
      <w:color w:val="404040"/>
      <w:kern w:val="2"/>
      <w:lang w:val="en-GB" w:eastAsia="en-US"/>
    </w:rPr>
  </w:style>
  <w:style w:type="character" w:customStyle="1" w:styleId="QuoteChar">
    <w:name w:val="Quote Char"/>
    <w:basedOn w:val="DefaultParagraphFont"/>
    <w:link w:val="Quote"/>
    <w:uiPriority w:val="29"/>
    <w:rsid w:val="00195A8B"/>
    <w:rPr>
      <w:i/>
      <w:iCs/>
      <w:color w:val="404040"/>
    </w:rPr>
  </w:style>
  <w:style w:type="character" w:customStyle="1" w:styleId="IntenseEmphasis1">
    <w:name w:val="Intense Emphasis1"/>
    <w:basedOn w:val="DefaultParagraphFont"/>
    <w:uiPriority w:val="21"/>
    <w:qFormat/>
    <w:rsid w:val="00195A8B"/>
    <w:rPr>
      <w:i/>
      <w:iCs/>
      <w:color w:val="2F5496"/>
    </w:rPr>
  </w:style>
  <w:style w:type="paragraph" w:customStyle="1" w:styleId="IntenseQuote1">
    <w:name w:val="Intense Quote1"/>
    <w:basedOn w:val="Normal"/>
    <w:next w:val="Normal"/>
    <w:uiPriority w:val="30"/>
    <w:qFormat/>
    <w:rsid w:val="00195A8B"/>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eastAsia="en-US"/>
    </w:rPr>
  </w:style>
  <w:style w:type="character" w:customStyle="1" w:styleId="IntenseQuoteChar">
    <w:name w:val="Intense Quote Char"/>
    <w:basedOn w:val="DefaultParagraphFont"/>
    <w:link w:val="IntenseQuote"/>
    <w:uiPriority w:val="30"/>
    <w:rsid w:val="00195A8B"/>
    <w:rPr>
      <w:i/>
      <w:iCs/>
      <w:color w:val="2F5496"/>
    </w:rPr>
  </w:style>
  <w:style w:type="character" w:customStyle="1" w:styleId="IntenseReference1">
    <w:name w:val="Intense Reference1"/>
    <w:basedOn w:val="DefaultParagraphFont"/>
    <w:uiPriority w:val="32"/>
    <w:qFormat/>
    <w:rsid w:val="00195A8B"/>
    <w:rPr>
      <w:b/>
      <w:bCs/>
      <w:smallCaps/>
      <w:color w:val="2F5496"/>
      <w:spacing w:val="5"/>
    </w:rPr>
  </w:style>
  <w:style w:type="table" w:customStyle="1" w:styleId="GridTable21">
    <w:name w:val="Grid Table 21"/>
    <w:basedOn w:val="TableNormal"/>
    <w:next w:val="GridTable2"/>
    <w:uiPriority w:val="47"/>
    <w:rsid w:val="00195A8B"/>
    <w:pPr>
      <w:spacing w:after="0" w:line="240" w:lineRule="auto"/>
    </w:pPr>
    <w:rPr>
      <w:rFonts w:eastAsia="Calibri"/>
      <w:kern w:val="2"/>
      <w:lang w:val="en-GB"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
    <w:uiPriority w:val="44"/>
    <w:rsid w:val="00195A8B"/>
    <w:pPr>
      <w:spacing w:after="0" w:line="240" w:lineRule="auto"/>
    </w:pPr>
    <w:rPr>
      <w:rFonts w:eastAsia="Calibri"/>
      <w:kern w:val="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TableNormal"/>
    <w:next w:val="TableGrid"/>
    <w:uiPriority w:val="59"/>
    <w:rsid w:val="00195A8B"/>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5A8B"/>
    <w:pPr>
      <w:spacing w:after="0" w:line="240" w:lineRule="auto"/>
    </w:pPr>
    <w:rPr>
      <w:rFonts w:eastAsia="Calibri"/>
      <w:kern w:val="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95A8B"/>
    <w:pPr>
      <w:spacing w:after="160"/>
    </w:pPr>
    <w:rPr>
      <w:rFonts w:eastAsia="Calibri"/>
      <w:b/>
      <w:bCs/>
      <w:kern w:val="2"/>
      <w:lang w:val="en-GB" w:eastAsia="en-US"/>
    </w:rPr>
  </w:style>
  <w:style w:type="character" w:customStyle="1" w:styleId="CommentSubjectChar">
    <w:name w:val="Comment Subject Char"/>
    <w:basedOn w:val="CommentTextChar"/>
    <w:link w:val="CommentSubject"/>
    <w:uiPriority w:val="99"/>
    <w:semiHidden/>
    <w:rsid w:val="00195A8B"/>
    <w:rPr>
      <w:rFonts w:eastAsia="Calibri"/>
      <w:b/>
      <w:bCs/>
      <w:kern w:val="2"/>
      <w:sz w:val="20"/>
      <w:szCs w:val="20"/>
      <w:lang w:val="en-GB" w:eastAsia="en-US"/>
    </w:rPr>
  </w:style>
  <w:style w:type="character" w:customStyle="1" w:styleId="Heading5Char1">
    <w:name w:val="Heading 5 Char1"/>
    <w:basedOn w:val="DefaultParagraphFont"/>
    <w:uiPriority w:val="9"/>
    <w:semiHidden/>
    <w:rsid w:val="00195A8B"/>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195A8B"/>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195A8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195A8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5A8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95A8B"/>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DefaultParagraphFont"/>
    <w:uiPriority w:val="10"/>
    <w:rsid w:val="00195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8B"/>
    <w:pPr>
      <w:numPr>
        <w:ilvl w:val="1"/>
      </w:numPr>
      <w:spacing w:after="160"/>
    </w:pPr>
    <w:rPr>
      <w:rFonts w:eastAsia="DengXian Light" w:cs="Times New Roman"/>
      <w:color w:val="595959"/>
      <w:spacing w:val="15"/>
      <w:sz w:val="28"/>
      <w:szCs w:val="28"/>
    </w:rPr>
  </w:style>
  <w:style w:type="character" w:customStyle="1" w:styleId="SubtitleChar1">
    <w:name w:val="Subtitle Char1"/>
    <w:basedOn w:val="DefaultParagraphFont"/>
    <w:uiPriority w:val="11"/>
    <w:rsid w:val="00195A8B"/>
    <w:rPr>
      <w:color w:val="5A5A5A" w:themeColor="text1" w:themeTint="A5"/>
      <w:spacing w:val="15"/>
    </w:rPr>
  </w:style>
  <w:style w:type="paragraph" w:styleId="Quote">
    <w:name w:val="Quote"/>
    <w:basedOn w:val="Normal"/>
    <w:next w:val="Normal"/>
    <w:link w:val="QuoteChar"/>
    <w:uiPriority w:val="29"/>
    <w:qFormat/>
    <w:rsid w:val="00195A8B"/>
    <w:pPr>
      <w:spacing w:before="200" w:after="160"/>
      <w:ind w:left="864" w:right="864"/>
      <w:jc w:val="center"/>
    </w:pPr>
    <w:rPr>
      <w:i/>
      <w:iCs/>
      <w:color w:val="404040"/>
    </w:rPr>
  </w:style>
  <w:style w:type="character" w:customStyle="1" w:styleId="QuoteChar1">
    <w:name w:val="Quote Char1"/>
    <w:basedOn w:val="DefaultParagraphFont"/>
    <w:uiPriority w:val="29"/>
    <w:rsid w:val="00195A8B"/>
    <w:rPr>
      <w:i/>
      <w:iCs/>
      <w:color w:val="404040" w:themeColor="text1" w:themeTint="BF"/>
    </w:rPr>
  </w:style>
  <w:style w:type="character" w:styleId="IntenseEmphasis">
    <w:name w:val="Intense Emphasis"/>
    <w:basedOn w:val="DefaultParagraphFont"/>
    <w:uiPriority w:val="21"/>
    <w:qFormat/>
    <w:rsid w:val="00195A8B"/>
    <w:rPr>
      <w:i/>
      <w:iCs/>
      <w:color w:val="4F81BD" w:themeColor="accent1"/>
    </w:rPr>
  </w:style>
  <w:style w:type="paragraph" w:styleId="IntenseQuote">
    <w:name w:val="Intense Quote"/>
    <w:basedOn w:val="Normal"/>
    <w:next w:val="Normal"/>
    <w:link w:val="IntenseQuoteChar"/>
    <w:uiPriority w:val="30"/>
    <w:qFormat/>
    <w:rsid w:val="00195A8B"/>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195A8B"/>
    <w:rPr>
      <w:i/>
      <w:iCs/>
      <w:color w:val="4F81BD" w:themeColor="accent1"/>
    </w:rPr>
  </w:style>
  <w:style w:type="character" w:styleId="IntenseReference">
    <w:name w:val="Intense Reference"/>
    <w:basedOn w:val="DefaultParagraphFont"/>
    <w:uiPriority w:val="32"/>
    <w:qFormat/>
    <w:rsid w:val="00195A8B"/>
    <w:rPr>
      <w:b/>
      <w:bCs/>
      <w:smallCaps/>
      <w:color w:val="4F81BD" w:themeColor="accent1"/>
      <w:spacing w:val="5"/>
    </w:rPr>
  </w:style>
  <w:style w:type="table" w:styleId="GridTable2">
    <w:name w:val="Grid Table 2"/>
    <w:basedOn w:val="TableNormal"/>
    <w:uiPriority w:val="47"/>
    <w:rsid w:val="00195A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95A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C93F7A"/>
    <w:pPr>
      <w:spacing w:after="0" w:line="240" w:lineRule="auto"/>
    </w:pPr>
    <w:rPr>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655">
      <w:bodyDiv w:val="1"/>
      <w:marLeft w:val="0"/>
      <w:marRight w:val="0"/>
      <w:marTop w:val="0"/>
      <w:marBottom w:val="0"/>
      <w:divBdr>
        <w:top w:val="none" w:sz="0" w:space="0" w:color="auto"/>
        <w:left w:val="none" w:sz="0" w:space="0" w:color="auto"/>
        <w:bottom w:val="none" w:sz="0" w:space="0" w:color="auto"/>
        <w:right w:val="none" w:sz="0" w:space="0" w:color="auto"/>
      </w:divBdr>
    </w:div>
    <w:div w:id="296573127">
      <w:bodyDiv w:val="1"/>
      <w:marLeft w:val="0"/>
      <w:marRight w:val="0"/>
      <w:marTop w:val="0"/>
      <w:marBottom w:val="0"/>
      <w:divBdr>
        <w:top w:val="none" w:sz="0" w:space="0" w:color="auto"/>
        <w:left w:val="none" w:sz="0" w:space="0" w:color="auto"/>
        <w:bottom w:val="none" w:sz="0" w:space="0" w:color="auto"/>
        <w:right w:val="none" w:sz="0" w:space="0" w:color="auto"/>
      </w:divBdr>
    </w:div>
    <w:div w:id="336230462">
      <w:bodyDiv w:val="1"/>
      <w:marLeft w:val="0"/>
      <w:marRight w:val="0"/>
      <w:marTop w:val="0"/>
      <w:marBottom w:val="0"/>
      <w:divBdr>
        <w:top w:val="none" w:sz="0" w:space="0" w:color="auto"/>
        <w:left w:val="none" w:sz="0" w:space="0" w:color="auto"/>
        <w:bottom w:val="none" w:sz="0" w:space="0" w:color="auto"/>
        <w:right w:val="none" w:sz="0" w:space="0" w:color="auto"/>
      </w:divBdr>
    </w:div>
    <w:div w:id="348797706">
      <w:bodyDiv w:val="1"/>
      <w:marLeft w:val="0"/>
      <w:marRight w:val="0"/>
      <w:marTop w:val="0"/>
      <w:marBottom w:val="0"/>
      <w:divBdr>
        <w:top w:val="none" w:sz="0" w:space="0" w:color="auto"/>
        <w:left w:val="none" w:sz="0" w:space="0" w:color="auto"/>
        <w:bottom w:val="none" w:sz="0" w:space="0" w:color="auto"/>
        <w:right w:val="none" w:sz="0" w:space="0" w:color="auto"/>
      </w:divBdr>
    </w:div>
    <w:div w:id="364211446">
      <w:bodyDiv w:val="1"/>
      <w:marLeft w:val="0"/>
      <w:marRight w:val="0"/>
      <w:marTop w:val="0"/>
      <w:marBottom w:val="0"/>
      <w:divBdr>
        <w:top w:val="none" w:sz="0" w:space="0" w:color="auto"/>
        <w:left w:val="none" w:sz="0" w:space="0" w:color="auto"/>
        <w:bottom w:val="none" w:sz="0" w:space="0" w:color="auto"/>
        <w:right w:val="none" w:sz="0" w:space="0" w:color="auto"/>
      </w:divBdr>
    </w:div>
    <w:div w:id="533495121">
      <w:bodyDiv w:val="1"/>
      <w:marLeft w:val="0"/>
      <w:marRight w:val="0"/>
      <w:marTop w:val="0"/>
      <w:marBottom w:val="0"/>
      <w:divBdr>
        <w:top w:val="none" w:sz="0" w:space="0" w:color="auto"/>
        <w:left w:val="none" w:sz="0" w:space="0" w:color="auto"/>
        <w:bottom w:val="none" w:sz="0" w:space="0" w:color="auto"/>
        <w:right w:val="none" w:sz="0" w:space="0" w:color="auto"/>
      </w:divBdr>
    </w:div>
    <w:div w:id="576986728">
      <w:bodyDiv w:val="1"/>
      <w:marLeft w:val="0"/>
      <w:marRight w:val="0"/>
      <w:marTop w:val="0"/>
      <w:marBottom w:val="0"/>
      <w:divBdr>
        <w:top w:val="none" w:sz="0" w:space="0" w:color="auto"/>
        <w:left w:val="none" w:sz="0" w:space="0" w:color="auto"/>
        <w:bottom w:val="none" w:sz="0" w:space="0" w:color="auto"/>
        <w:right w:val="none" w:sz="0" w:space="0" w:color="auto"/>
      </w:divBdr>
    </w:div>
    <w:div w:id="925579354">
      <w:bodyDiv w:val="1"/>
      <w:marLeft w:val="0"/>
      <w:marRight w:val="0"/>
      <w:marTop w:val="0"/>
      <w:marBottom w:val="0"/>
      <w:divBdr>
        <w:top w:val="none" w:sz="0" w:space="0" w:color="auto"/>
        <w:left w:val="none" w:sz="0" w:space="0" w:color="auto"/>
        <w:bottom w:val="none" w:sz="0" w:space="0" w:color="auto"/>
        <w:right w:val="none" w:sz="0" w:space="0" w:color="auto"/>
      </w:divBdr>
    </w:div>
    <w:div w:id="925722808">
      <w:bodyDiv w:val="1"/>
      <w:marLeft w:val="0"/>
      <w:marRight w:val="0"/>
      <w:marTop w:val="0"/>
      <w:marBottom w:val="0"/>
      <w:divBdr>
        <w:top w:val="none" w:sz="0" w:space="0" w:color="auto"/>
        <w:left w:val="none" w:sz="0" w:space="0" w:color="auto"/>
        <w:bottom w:val="none" w:sz="0" w:space="0" w:color="auto"/>
        <w:right w:val="none" w:sz="0" w:space="0" w:color="auto"/>
      </w:divBdr>
    </w:div>
    <w:div w:id="1048606029">
      <w:bodyDiv w:val="1"/>
      <w:marLeft w:val="0"/>
      <w:marRight w:val="0"/>
      <w:marTop w:val="0"/>
      <w:marBottom w:val="0"/>
      <w:divBdr>
        <w:top w:val="none" w:sz="0" w:space="0" w:color="auto"/>
        <w:left w:val="none" w:sz="0" w:space="0" w:color="auto"/>
        <w:bottom w:val="none" w:sz="0" w:space="0" w:color="auto"/>
        <w:right w:val="none" w:sz="0" w:space="0" w:color="auto"/>
      </w:divBdr>
    </w:div>
    <w:div w:id="1057124795">
      <w:bodyDiv w:val="1"/>
      <w:marLeft w:val="0"/>
      <w:marRight w:val="0"/>
      <w:marTop w:val="0"/>
      <w:marBottom w:val="0"/>
      <w:divBdr>
        <w:top w:val="none" w:sz="0" w:space="0" w:color="auto"/>
        <w:left w:val="none" w:sz="0" w:space="0" w:color="auto"/>
        <w:bottom w:val="none" w:sz="0" w:space="0" w:color="auto"/>
        <w:right w:val="none" w:sz="0" w:space="0" w:color="auto"/>
      </w:divBdr>
    </w:div>
    <w:div w:id="1068650189">
      <w:bodyDiv w:val="1"/>
      <w:marLeft w:val="0"/>
      <w:marRight w:val="0"/>
      <w:marTop w:val="0"/>
      <w:marBottom w:val="0"/>
      <w:divBdr>
        <w:top w:val="none" w:sz="0" w:space="0" w:color="auto"/>
        <w:left w:val="none" w:sz="0" w:space="0" w:color="auto"/>
        <w:bottom w:val="none" w:sz="0" w:space="0" w:color="auto"/>
        <w:right w:val="none" w:sz="0" w:space="0" w:color="auto"/>
      </w:divBdr>
    </w:div>
    <w:div w:id="1146781091">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sChild>
        <w:div w:id="883911506">
          <w:marLeft w:val="0"/>
          <w:marRight w:val="0"/>
          <w:marTop w:val="0"/>
          <w:marBottom w:val="0"/>
          <w:divBdr>
            <w:top w:val="none" w:sz="0" w:space="0" w:color="auto"/>
            <w:left w:val="none" w:sz="0" w:space="0" w:color="auto"/>
            <w:bottom w:val="none" w:sz="0" w:space="0" w:color="auto"/>
            <w:right w:val="none" w:sz="0" w:space="0" w:color="auto"/>
          </w:divBdr>
          <w:divsChild>
            <w:div w:id="21081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1995">
      <w:bodyDiv w:val="1"/>
      <w:marLeft w:val="0"/>
      <w:marRight w:val="0"/>
      <w:marTop w:val="0"/>
      <w:marBottom w:val="0"/>
      <w:divBdr>
        <w:top w:val="none" w:sz="0" w:space="0" w:color="auto"/>
        <w:left w:val="none" w:sz="0" w:space="0" w:color="auto"/>
        <w:bottom w:val="none" w:sz="0" w:space="0" w:color="auto"/>
        <w:right w:val="none" w:sz="0" w:space="0" w:color="auto"/>
      </w:divBdr>
    </w:div>
    <w:div w:id="1508785649">
      <w:bodyDiv w:val="1"/>
      <w:marLeft w:val="0"/>
      <w:marRight w:val="0"/>
      <w:marTop w:val="0"/>
      <w:marBottom w:val="0"/>
      <w:divBdr>
        <w:top w:val="none" w:sz="0" w:space="0" w:color="auto"/>
        <w:left w:val="none" w:sz="0" w:space="0" w:color="auto"/>
        <w:bottom w:val="none" w:sz="0" w:space="0" w:color="auto"/>
        <w:right w:val="none" w:sz="0" w:space="0" w:color="auto"/>
      </w:divBdr>
    </w:div>
    <w:div w:id="1547371563">
      <w:bodyDiv w:val="1"/>
      <w:marLeft w:val="0"/>
      <w:marRight w:val="0"/>
      <w:marTop w:val="0"/>
      <w:marBottom w:val="0"/>
      <w:divBdr>
        <w:top w:val="none" w:sz="0" w:space="0" w:color="auto"/>
        <w:left w:val="none" w:sz="0" w:space="0" w:color="auto"/>
        <w:bottom w:val="none" w:sz="0" w:space="0" w:color="auto"/>
        <w:right w:val="none" w:sz="0" w:space="0" w:color="auto"/>
      </w:divBdr>
    </w:div>
    <w:div w:id="1591305432">
      <w:bodyDiv w:val="1"/>
      <w:marLeft w:val="0"/>
      <w:marRight w:val="0"/>
      <w:marTop w:val="0"/>
      <w:marBottom w:val="0"/>
      <w:divBdr>
        <w:top w:val="none" w:sz="0" w:space="0" w:color="auto"/>
        <w:left w:val="none" w:sz="0" w:space="0" w:color="auto"/>
        <w:bottom w:val="none" w:sz="0" w:space="0" w:color="auto"/>
        <w:right w:val="none" w:sz="0" w:space="0" w:color="auto"/>
      </w:divBdr>
    </w:div>
    <w:div w:id="1627009161">
      <w:bodyDiv w:val="1"/>
      <w:marLeft w:val="0"/>
      <w:marRight w:val="0"/>
      <w:marTop w:val="0"/>
      <w:marBottom w:val="0"/>
      <w:divBdr>
        <w:top w:val="none" w:sz="0" w:space="0" w:color="auto"/>
        <w:left w:val="none" w:sz="0" w:space="0" w:color="auto"/>
        <w:bottom w:val="none" w:sz="0" w:space="0" w:color="auto"/>
        <w:right w:val="none" w:sz="0" w:space="0" w:color="auto"/>
      </w:divBdr>
    </w:div>
    <w:div w:id="1725592956">
      <w:bodyDiv w:val="1"/>
      <w:marLeft w:val="0"/>
      <w:marRight w:val="0"/>
      <w:marTop w:val="0"/>
      <w:marBottom w:val="0"/>
      <w:divBdr>
        <w:top w:val="none" w:sz="0" w:space="0" w:color="auto"/>
        <w:left w:val="none" w:sz="0" w:space="0" w:color="auto"/>
        <w:bottom w:val="none" w:sz="0" w:space="0" w:color="auto"/>
        <w:right w:val="none" w:sz="0" w:space="0" w:color="auto"/>
      </w:divBdr>
    </w:div>
    <w:div w:id="1747729836">
      <w:bodyDiv w:val="1"/>
      <w:marLeft w:val="0"/>
      <w:marRight w:val="0"/>
      <w:marTop w:val="0"/>
      <w:marBottom w:val="0"/>
      <w:divBdr>
        <w:top w:val="none" w:sz="0" w:space="0" w:color="auto"/>
        <w:left w:val="none" w:sz="0" w:space="0" w:color="auto"/>
        <w:bottom w:val="none" w:sz="0" w:space="0" w:color="auto"/>
        <w:right w:val="none" w:sz="0" w:space="0" w:color="auto"/>
      </w:divBdr>
    </w:div>
    <w:div w:id="1752196905">
      <w:bodyDiv w:val="1"/>
      <w:marLeft w:val="0"/>
      <w:marRight w:val="0"/>
      <w:marTop w:val="0"/>
      <w:marBottom w:val="0"/>
      <w:divBdr>
        <w:top w:val="none" w:sz="0" w:space="0" w:color="auto"/>
        <w:left w:val="none" w:sz="0" w:space="0" w:color="auto"/>
        <w:bottom w:val="none" w:sz="0" w:space="0" w:color="auto"/>
        <w:right w:val="none" w:sz="0" w:space="0" w:color="auto"/>
      </w:divBdr>
    </w:div>
    <w:div w:id="1988431756">
      <w:bodyDiv w:val="1"/>
      <w:marLeft w:val="0"/>
      <w:marRight w:val="0"/>
      <w:marTop w:val="0"/>
      <w:marBottom w:val="0"/>
      <w:divBdr>
        <w:top w:val="none" w:sz="0" w:space="0" w:color="auto"/>
        <w:left w:val="none" w:sz="0" w:space="0" w:color="auto"/>
        <w:bottom w:val="none" w:sz="0" w:space="0" w:color="auto"/>
        <w:right w:val="none" w:sz="0" w:space="0" w:color="auto"/>
      </w:divBdr>
    </w:div>
    <w:div w:id="2040467084">
      <w:bodyDiv w:val="1"/>
      <w:marLeft w:val="0"/>
      <w:marRight w:val="0"/>
      <w:marTop w:val="0"/>
      <w:marBottom w:val="0"/>
      <w:divBdr>
        <w:top w:val="none" w:sz="0" w:space="0" w:color="auto"/>
        <w:left w:val="none" w:sz="0" w:space="0" w:color="auto"/>
        <w:bottom w:val="none" w:sz="0" w:space="0" w:color="auto"/>
        <w:right w:val="none" w:sz="0" w:space="0" w:color="auto"/>
      </w:divBdr>
    </w:div>
    <w:div w:id="2113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jrfm151105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01696-3ECE-4DB1-880C-3848AFE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10563</Words>
  <Characters>67288</Characters>
  <Application>Microsoft Office Word</Application>
  <DocSecurity>0</DocSecurity>
  <Lines>1431</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.A.KIBONA</dc:creator>
  <cp:lastModifiedBy>Dr. Cornel Kibona</cp:lastModifiedBy>
  <cp:revision>3</cp:revision>
  <cp:lastPrinted>2025-07-09T17:27:00Z</cp:lastPrinted>
  <dcterms:created xsi:type="dcterms:W3CDTF">2025-07-12T03:04:00Z</dcterms:created>
  <dcterms:modified xsi:type="dcterms:W3CDTF">2025-07-12T03:07:00Z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90434909-e8ab-4a5e-b89a-31101f76689c</vt:lpwstr>
  </property>
</Properties>
</file>