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A5341" w14:textId="77777777" w:rsidR="00487CB5" w:rsidRDefault="002B62DD">
      <w:pPr>
        <w:ind w:left="283" w:firstLine="28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Understanding the Role of Personal Norms and Consumer Scepticism in Green Purchase Decisions</w:t>
      </w:r>
    </w:p>
    <w:p w14:paraId="0388CC2B" w14:textId="77777777" w:rsidR="00487CB5" w:rsidRDefault="00487CB5">
      <w:pPr>
        <w:ind w:left="283" w:firstLine="283"/>
        <w:jc w:val="center"/>
        <w:rPr>
          <w:rFonts w:ascii="Times New Roman" w:eastAsia="Times New Roman" w:hAnsi="Times New Roman" w:cs="Times New Roman"/>
          <w:b/>
          <w:sz w:val="26"/>
          <w:szCs w:val="26"/>
        </w:rPr>
      </w:pPr>
    </w:p>
    <w:p w14:paraId="7D0554D7" w14:textId="77777777" w:rsidR="00487CB5" w:rsidRDefault="00487CB5">
      <w:pPr>
        <w:ind w:left="283" w:firstLine="283"/>
        <w:jc w:val="center"/>
        <w:rPr>
          <w:rFonts w:ascii="Times New Roman" w:eastAsia="Times New Roman" w:hAnsi="Times New Roman" w:cs="Times New Roman"/>
          <w:b/>
          <w:sz w:val="26"/>
          <w:szCs w:val="26"/>
        </w:rPr>
      </w:pPr>
    </w:p>
    <w:p w14:paraId="5094AE25" w14:textId="77777777" w:rsidR="00487CB5" w:rsidRDefault="002B62DD">
      <w:pPr>
        <w:spacing w:before="240" w:after="2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Abstract</w:t>
      </w:r>
    </w:p>
    <w:p w14:paraId="72E9ACF6" w14:textId="3F8E9AFD" w:rsidR="00487CB5" w:rsidRPr="00FB0AA7" w:rsidRDefault="002B62DD">
      <w:pPr>
        <w:jc w:val="both"/>
        <w:rPr>
          <w:rFonts w:ascii="Times New Roman" w:eastAsia="Times New Roman" w:hAnsi="Times New Roman" w:cs="Times New Roman"/>
          <w:highlight w:val="yellow"/>
        </w:rPr>
      </w:pPr>
      <w:r>
        <w:rPr>
          <w:rFonts w:ascii="Times New Roman" w:eastAsia="Times New Roman" w:hAnsi="Times New Roman" w:cs="Times New Roman"/>
        </w:rPr>
        <w:t>Understanding consumer behavio</w:t>
      </w:r>
      <w:r w:rsidR="00D178DA">
        <w:rPr>
          <w:rFonts w:ascii="Times New Roman" w:eastAsia="Times New Roman" w:hAnsi="Times New Roman" w:cs="Times New Roman"/>
        </w:rPr>
        <w:t>u</w:t>
      </w:r>
      <w:r>
        <w:rPr>
          <w:rFonts w:ascii="Times New Roman" w:eastAsia="Times New Roman" w:hAnsi="Times New Roman" w:cs="Times New Roman"/>
        </w:rPr>
        <w:t xml:space="preserve">r in the context of sustainable consumption is crucial for fostering long-term environmental responsibility. This study examines the interconnections between personal norms, green purchase intention, consumer buying processes, and post-purchase outcomes. The research investigates how personal norms shape green purchase intention and how consumer satisfaction </w:t>
      </w:r>
      <w:r w:rsidRPr="00FB0AA7">
        <w:rPr>
          <w:rFonts w:ascii="Times New Roman" w:eastAsia="Times New Roman" w:hAnsi="Times New Roman" w:cs="Times New Roman"/>
          <w:highlight w:val="yellow"/>
        </w:rPr>
        <w:t xml:space="preserve">and </w:t>
      </w:r>
      <w:r w:rsidR="00D178DA" w:rsidRPr="00FB0AA7">
        <w:rPr>
          <w:rFonts w:ascii="Times New Roman" w:eastAsia="Times New Roman" w:hAnsi="Times New Roman" w:cs="Times New Roman"/>
          <w:highlight w:val="yellow"/>
        </w:rPr>
        <w:t xml:space="preserve">scepticism </w:t>
      </w:r>
      <w:r w:rsidRPr="00FB0AA7">
        <w:rPr>
          <w:rFonts w:ascii="Times New Roman" w:eastAsia="Times New Roman" w:hAnsi="Times New Roman" w:cs="Times New Roman"/>
          <w:highlight w:val="yellow"/>
        </w:rPr>
        <w:t xml:space="preserve">influence continued green consumption. The study also explores the role of greenwashing in </w:t>
      </w:r>
      <w:proofErr w:type="spellStart"/>
      <w:r w:rsidRPr="00FB0AA7">
        <w:rPr>
          <w:rFonts w:ascii="Times New Roman" w:eastAsia="Times New Roman" w:hAnsi="Times New Roman" w:cs="Times New Roman"/>
          <w:highlight w:val="yellow"/>
        </w:rPr>
        <w:t>fueling</w:t>
      </w:r>
      <w:proofErr w:type="spellEnd"/>
      <w:r w:rsidRPr="00FB0AA7">
        <w:rPr>
          <w:rFonts w:ascii="Times New Roman" w:eastAsia="Times New Roman" w:hAnsi="Times New Roman" w:cs="Times New Roman"/>
          <w:highlight w:val="yellow"/>
        </w:rPr>
        <w:t xml:space="preserve"> </w:t>
      </w:r>
      <w:r w:rsidR="00D178DA" w:rsidRPr="00FB0AA7">
        <w:rPr>
          <w:rFonts w:ascii="Times New Roman" w:eastAsia="Times New Roman" w:hAnsi="Times New Roman" w:cs="Times New Roman"/>
          <w:highlight w:val="yellow"/>
        </w:rPr>
        <w:t xml:space="preserve">scepticism </w:t>
      </w:r>
      <w:r w:rsidRPr="00FB0AA7">
        <w:rPr>
          <w:rFonts w:ascii="Times New Roman" w:eastAsia="Times New Roman" w:hAnsi="Times New Roman" w:cs="Times New Roman"/>
          <w:highlight w:val="yellow"/>
        </w:rPr>
        <w:t xml:space="preserve">and alternative evaluation in influencing purchase satisfaction. Employing a correlational research design, data </w:t>
      </w:r>
      <w:r w:rsidR="00D178DA" w:rsidRPr="00FB0AA7">
        <w:rPr>
          <w:rFonts w:ascii="Times New Roman" w:eastAsia="Times New Roman" w:hAnsi="Times New Roman" w:cs="Times New Roman"/>
          <w:highlight w:val="yellow"/>
        </w:rPr>
        <w:t>were</w:t>
      </w:r>
      <w:r w:rsidR="00D178DA">
        <w:rPr>
          <w:rFonts w:ascii="Times New Roman" w:eastAsia="Times New Roman" w:hAnsi="Times New Roman" w:cs="Times New Roman"/>
        </w:rPr>
        <w:t xml:space="preserve"> </w:t>
      </w:r>
      <w:r>
        <w:rPr>
          <w:rFonts w:ascii="Times New Roman" w:eastAsia="Times New Roman" w:hAnsi="Times New Roman" w:cs="Times New Roman"/>
        </w:rPr>
        <w:t xml:space="preserve">collected through a structured questionnaire using a five-point Likert scale. A pilot study confirmed the reliability of adapted scales, and statistical analyses were conducted to determine relationships between the following key variables: personal norms, green purchase intention, green choice, satisfaction, alternative evaluation, greenwashing, and consumer </w:t>
      </w:r>
      <w:r w:rsidR="00D178DA" w:rsidRPr="00FB0AA7">
        <w:rPr>
          <w:rFonts w:ascii="Times New Roman" w:eastAsia="Times New Roman" w:hAnsi="Times New Roman" w:cs="Times New Roman"/>
          <w:highlight w:val="yellow"/>
        </w:rPr>
        <w:t xml:space="preserve"> scepticism</w:t>
      </w:r>
      <w:r w:rsidRPr="00FB0AA7">
        <w:rPr>
          <w:rFonts w:ascii="Times New Roman" w:eastAsia="Times New Roman" w:hAnsi="Times New Roman" w:cs="Times New Roman"/>
          <w:highlight w:val="yellow"/>
        </w:rPr>
        <w:t xml:space="preserve">. It further </w:t>
      </w:r>
      <w:r w:rsidR="00D178DA" w:rsidRPr="00FB0AA7">
        <w:rPr>
          <w:rFonts w:ascii="Times New Roman" w:eastAsia="Times New Roman" w:hAnsi="Times New Roman" w:cs="Times New Roman"/>
          <w:highlight w:val="yellow"/>
        </w:rPr>
        <w:t xml:space="preserve">analysed </w:t>
      </w:r>
      <w:r w:rsidRPr="00FB0AA7">
        <w:rPr>
          <w:rFonts w:ascii="Times New Roman" w:eastAsia="Times New Roman" w:hAnsi="Times New Roman" w:cs="Times New Roman"/>
          <w:highlight w:val="yellow"/>
        </w:rPr>
        <w:t>variations</w:t>
      </w:r>
      <w:r>
        <w:rPr>
          <w:rFonts w:ascii="Times New Roman" w:eastAsia="Times New Roman" w:hAnsi="Times New Roman" w:cs="Times New Roman"/>
        </w:rPr>
        <w:t xml:space="preserve"> across socio-demographic factors such as gender, area of residence, and income groups. Findings reveal that personal norms significantly influence green purchase intention, which in turn impacts satisfaction. Satisfaction positively correlates with </w:t>
      </w:r>
      <w:r w:rsidRPr="00FB0AA7">
        <w:rPr>
          <w:rFonts w:ascii="Times New Roman" w:eastAsia="Times New Roman" w:hAnsi="Times New Roman" w:cs="Times New Roman"/>
          <w:highlight w:val="yellow"/>
        </w:rPr>
        <w:t xml:space="preserve">consumer </w:t>
      </w:r>
      <w:r w:rsidR="00D178DA" w:rsidRPr="00FB0AA7">
        <w:rPr>
          <w:rFonts w:ascii="Times New Roman" w:eastAsia="Times New Roman" w:hAnsi="Times New Roman" w:cs="Times New Roman"/>
          <w:highlight w:val="yellow"/>
        </w:rPr>
        <w:t xml:space="preserve"> scepticis</w:t>
      </w:r>
      <w:r w:rsidR="00D178DA">
        <w:rPr>
          <w:rFonts w:ascii="Times New Roman" w:eastAsia="Times New Roman" w:hAnsi="Times New Roman" w:cs="Times New Roman"/>
        </w:rPr>
        <w:t>m</w:t>
      </w:r>
      <w:r>
        <w:rPr>
          <w:rFonts w:ascii="Times New Roman" w:eastAsia="Times New Roman" w:hAnsi="Times New Roman" w:cs="Times New Roman"/>
        </w:rPr>
        <w:t xml:space="preserve">, highlighting the complexity of green consumption. Additionally, alternative evaluation is linked to both satisfaction and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suggesting that consumers reassess their choices in response to market inconsistencies. Mediation analyses demonstrate that green purchase intention partially mediates the relationship between personal norms and green purchases, while consumer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mediates the relationship between alternative evaluation and both satisfaction and green purchase</w:t>
      </w:r>
      <w:r>
        <w:rPr>
          <w:rFonts w:ascii="Times New Roman" w:eastAsia="Times New Roman" w:hAnsi="Times New Roman" w:cs="Times New Roman"/>
        </w:rPr>
        <w:t xml:space="preserve"> </w:t>
      </w:r>
      <w:r w:rsidR="00EF084F" w:rsidRPr="00FB0AA7">
        <w:rPr>
          <w:rFonts w:ascii="Times New Roman" w:eastAsia="Times New Roman" w:hAnsi="Times New Roman" w:cs="Times New Roman"/>
          <w:highlight w:val="yellow"/>
        </w:rPr>
        <w:t xml:space="preserve"> behaviour</w:t>
      </w:r>
      <w:r w:rsidRPr="00FB0AA7">
        <w:rPr>
          <w:rFonts w:ascii="Times New Roman" w:eastAsia="Times New Roman" w:hAnsi="Times New Roman" w:cs="Times New Roman"/>
          <w:highlight w:val="yellow"/>
        </w:rPr>
        <w:t xml:space="preserve">. This research contributes to the existing literature by elucidating the psychological and </w:t>
      </w:r>
      <w:r w:rsidR="00EF084F" w:rsidRPr="00FB0AA7">
        <w:rPr>
          <w:rFonts w:ascii="Times New Roman" w:eastAsia="Times New Roman" w:hAnsi="Times New Roman" w:cs="Times New Roman"/>
          <w:highlight w:val="yellow"/>
        </w:rPr>
        <w:t xml:space="preserve"> behaviour</w:t>
      </w:r>
      <w:r w:rsidRPr="00FB0AA7">
        <w:rPr>
          <w:rFonts w:ascii="Times New Roman" w:eastAsia="Times New Roman" w:hAnsi="Times New Roman" w:cs="Times New Roman"/>
          <w:highlight w:val="yellow"/>
        </w:rPr>
        <w:t xml:space="preserve">al mechanisms underlying green purchase decisions. The findings offer valuable insights for policymakers, businesses, and marketers to develop strategies that enhance consumer trust, reduce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and promote sustainable consumption.</w:t>
      </w:r>
    </w:p>
    <w:p w14:paraId="099D4C50" w14:textId="77777777" w:rsidR="00487CB5" w:rsidRPr="00FB0AA7" w:rsidRDefault="00487CB5">
      <w:pPr>
        <w:rPr>
          <w:rFonts w:ascii="Times New Roman" w:eastAsia="Times New Roman" w:hAnsi="Times New Roman" w:cs="Times New Roman"/>
          <w:highlight w:val="yellow"/>
        </w:rPr>
      </w:pPr>
    </w:p>
    <w:p w14:paraId="72853EC0" w14:textId="1C1842B3" w:rsidR="00487CB5" w:rsidRDefault="002B62DD">
      <w:pPr>
        <w:rPr>
          <w:rFonts w:ascii="Times New Roman" w:eastAsia="Times New Roman" w:hAnsi="Times New Roman" w:cs="Times New Roman"/>
        </w:rPr>
      </w:pPr>
      <w:r w:rsidRPr="00FB0AA7">
        <w:rPr>
          <w:rFonts w:ascii="Times New Roman" w:eastAsia="Times New Roman" w:hAnsi="Times New Roman" w:cs="Times New Roman"/>
          <w:b/>
          <w:highlight w:val="yellow"/>
        </w:rPr>
        <w:t>Keywords</w:t>
      </w:r>
      <w:r w:rsidRPr="00FB0AA7">
        <w:rPr>
          <w:rFonts w:ascii="Times New Roman" w:eastAsia="Times New Roman" w:hAnsi="Times New Roman" w:cs="Times New Roman"/>
          <w:highlight w:val="yellow"/>
        </w:rPr>
        <w:t xml:space="preserve">: Green Purchase </w:t>
      </w:r>
      <w:r w:rsidR="006133FA" w:rsidRPr="00FB0AA7">
        <w:rPr>
          <w:rFonts w:ascii="Times New Roman" w:eastAsia="Times New Roman" w:hAnsi="Times New Roman" w:cs="Times New Roman"/>
          <w:highlight w:val="yellow"/>
        </w:rPr>
        <w:t xml:space="preserve"> </w:t>
      </w:r>
      <w:r w:rsidR="00EF084F" w:rsidRPr="00FB0AA7">
        <w:rPr>
          <w:rFonts w:ascii="Times New Roman" w:eastAsia="Times New Roman" w:hAnsi="Times New Roman" w:cs="Times New Roman"/>
          <w:highlight w:val="yellow"/>
        </w:rPr>
        <w:t xml:space="preserve"> </w:t>
      </w:r>
      <w:r w:rsidR="006133FA" w:rsidRPr="00FB0AA7">
        <w:rPr>
          <w:rFonts w:ascii="Times New Roman" w:eastAsia="Times New Roman" w:hAnsi="Times New Roman" w:cs="Times New Roman"/>
          <w:highlight w:val="yellow"/>
        </w:rPr>
        <w:t>B</w:t>
      </w:r>
      <w:r w:rsidR="00EF084F" w:rsidRPr="00FB0AA7">
        <w:rPr>
          <w:rFonts w:ascii="Times New Roman" w:eastAsia="Times New Roman" w:hAnsi="Times New Roman" w:cs="Times New Roman"/>
          <w:highlight w:val="yellow"/>
        </w:rPr>
        <w:t>ehaviou</w:t>
      </w:r>
      <w:r w:rsidR="00EF084F">
        <w:rPr>
          <w:rFonts w:ascii="Times New Roman" w:eastAsia="Times New Roman" w:hAnsi="Times New Roman" w:cs="Times New Roman"/>
        </w:rPr>
        <w:t>r</w:t>
      </w:r>
      <w:r>
        <w:rPr>
          <w:rFonts w:ascii="Times New Roman" w:eastAsia="Times New Roman" w:hAnsi="Times New Roman" w:cs="Times New Roman"/>
        </w:rPr>
        <w:t xml:space="preserve">, Consumer </w:t>
      </w:r>
      <w:r w:rsidR="00631966" w:rsidRPr="00FB0AA7">
        <w:rPr>
          <w:rFonts w:ascii="Times New Roman" w:eastAsia="Times New Roman" w:hAnsi="Times New Roman" w:cs="Times New Roman"/>
          <w:highlight w:val="yellow"/>
        </w:rPr>
        <w:t xml:space="preserve">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Personal Norm</w:t>
      </w:r>
      <w:r>
        <w:rPr>
          <w:rFonts w:ascii="Times New Roman" w:eastAsia="Times New Roman" w:hAnsi="Times New Roman" w:cs="Times New Roman"/>
        </w:rPr>
        <w:t>s, Greenwashing, Sustainable Consumption</w:t>
      </w:r>
    </w:p>
    <w:p w14:paraId="174D935F" w14:textId="77777777" w:rsidR="002B62DD" w:rsidRDefault="002B62DD">
      <w:pPr>
        <w:rPr>
          <w:rFonts w:ascii="Times New Roman" w:eastAsia="Times New Roman" w:hAnsi="Times New Roman" w:cs="Times New Roman"/>
        </w:rPr>
      </w:pPr>
    </w:p>
    <w:p w14:paraId="09BB0A6C" w14:textId="610D88DC" w:rsidR="00DB7FD8" w:rsidRDefault="00DB7FD8">
      <w:pPr>
        <w:rPr>
          <w:rFonts w:ascii="Times New Roman" w:eastAsia="Times New Roman" w:hAnsi="Times New Roman" w:cs="Times New Roman"/>
          <w:b/>
          <w:sz w:val="24"/>
        </w:rPr>
      </w:pPr>
      <w:r w:rsidRPr="002B62DD">
        <w:rPr>
          <w:rFonts w:ascii="Times New Roman" w:eastAsia="Times New Roman" w:hAnsi="Times New Roman" w:cs="Times New Roman"/>
          <w:b/>
          <w:sz w:val="24"/>
        </w:rPr>
        <w:t xml:space="preserve">Introduction </w:t>
      </w:r>
    </w:p>
    <w:p w14:paraId="5F48564F" w14:textId="77777777" w:rsidR="002B62DD" w:rsidRDefault="002B62DD">
      <w:pPr>
        <w:rPr>
          <w:rFonts w:ascii="Times New Roman" w:eastAsia="Times New Roman" w:hAnsi="Times New Roman" w:cs="Times New Roman"/>
          <w:b/>
          <w:sz w:val="24"/>
        </w:rPr>
      </w:pPr>
    </w:p>
    <w:p w14:paraId="0E61EB13" w14:textId="77777777" w:rsidR="00C7387A" w:rsidRPr="00C7387A" w:rsidRDefault="00C7387A" w:rsidP="00C7387A">
      <w:pPr>
        <w:jc w:val="both"/>
        <w:rPr>
          <w:rFonts w:ascii="Times New Roman" w:eastAsia="Times New Roman" w:hAnsi="Times New Roman" w:cs="Times New Roman"/>
          <w:sz w:val="24"/>
          <w:highlight w:val="yellow"/>
        </w:rPr>
      </w:pPr>
      <w:r w:rsidRPr="00C7387A">
        <w:rPr>
          <w:rFonts w:ascii="Times New Roman" w:eastAsia="Times New Roman" w:hAnsi="Times New Roman" w:cs="Times New Roman"/>
          <w:sz w:val="24"/>
          <w:highlight w:val="yellow"/>
        </w:rPr>
        <w:t>The increasing awareness of environmental changes has led people to be more environmentally</w:t>
      </w:r>
    </w:p>
    <w:p w14:paraId="0C0E91F0" w14:textId="692C72F0" w:rsidR="002B62DD" w:rsidRPr="002B62DD" w:rsidRDefault="00C7387A" w:rsidP="00C7387A">
      <w:pPr>
        <w:jc w:val="both"/>
        <w:rPr>
          <w:rFonts w:ascii="Times New Roman" w:eastAsia="Times New Roman" w:hAnsi="Times New Roman" w:cs="Times New Roman"/>
          <w:sz w:val="24"/>
        </w:rPr>
      </w:pPr>
      <w:r w:rsidRPr="00C7387A">
        <w:rPr>
          <w:rFonts w:ascii="Times New Roman" w:eastAsia="Times New Roman" w:hAnsi="Times New Roman" w:cs="Times New Roman"/>
          <w:sz w:val="24"/>
          <w:highlight w:val="yellow"/>
        </w:rPr>
        <w:t xml:space="preserve">conscious. The green movement has become more significant and is being accepted as a </w:t>
      </w:r>
      <w:r w:rsidR="00EF084F" w:rsidRPr="00FB0AA7">
        <w:rPr>
          <w:rFonts w:ascii="Times New Roman" w:eastAsia="Times New Roman" w:hAnsi="Times New Roman" w:cs="Times New Roman"/>
          <w:sz w:val="24"/>
          <w:highlight w:val="yellow"/>
        </w:rPr>
        <w:t xml:space="preserve">mainstream </w:t>
      </w:r>
      <w:r w:rsidRPr="00FB0AA7">
        <w:rPr>
          <w:rFonts w:ascii="Times New Roman" w:eastAsia="Times New Roman" w:hAnsi="Times New Roman" w:cs="Times New Roman"/>
          <w:sz w:val="24"/>
          <w:highlight w:val="yellow"/>
        </w:rPr>
        <w:t xml:space="preserve">approach among consumers </w:t>
      </w:r>
      <w:r w:rsidR="00215E7F" w:rsidRPr="00FB0AA7">
        <w:rPr>
          <w:rFonts w:ascii="Times New Roman" w:eastAsia="Times New Roman" w:hAnsi="Times New Roman" w:cs="Times New Roman"/>
          <w:sz w:val="24"/>
          <w:highlight w:val="yellow"/>
        </w:rPr>
        <w:t>(</w:t>
      </w:r>
      <w:proofErr w:type="spellStart"/>
      <w:r w:rsidR="00215E7F" w:rsidRPr="00FB0AA7">
        <w:rPr>
          <w:rFonts w:ascii="Times New Roman" w:eastAsia="Times New Roman" w:hAnsi="Times New Roman" w:cs="Times New Roman"/>
          <w:sz w:val="24"/>
          <w:highlight w:val="yellow"/>
        </w:rPr>
        <w:t>Syadzwina</w:t>
      </w:r>
      <w:proofErr w:type="spellEnd"/>
      <w:r w:rsidR="00215E7F" w:rsidRPr="00FB0AA7">
        <w:rPr>
          <w:rFonts w:ascii="Times New Roman" w:eastAsia="Times New Roman" w:hAnsi="Times New Roman" w:cs="Times New Roman"/>
          <w:sz w:val="24"/>
          <w:highlight w:val="yellow"/>
        </w:rPr>
        <w:t xml:space="preserve"> &amp; Astuti, 2021)</w:t>
      </w:r>
      <w:r w:rsidRPr="00FB0AA7">
        <w:rPr>
          <w:rFonts w:ascii="Times New Roman" w:eastAsia="Times New Roman" w:hAnsi="Times New Roman" w:cs="Times New Roman"/>
          <w:sz w:val="24"/>
          <w:highlight w:val="yellow"/>
        </w:rPr>
        <w:t xml:space="preserve">. </w:t>
      </w:r>
      <w:r w:rsidR="002B62DD" w:rsidRPr="00FB0AA7">
        <w:rPr>
          <w:rFonts w:ascii="Times New Roman" w:eastAsia="Times New Roman" w:hAnsi="Times New Roman" w:cs="Times New Roman"/>
          <w:sz w:val="24"/>
          <w:highlight w:val="yellow"/>
        </w:rPr>
        <w:t xml:space="preserve">Consumer green purchase </w:t>
      </w:r>
      <w:r w:rsidR="00EF084F" w:rsidRPr="00FB0AA7">
        <w:rPr>
          <w:rFonts w:ascii="Times New Roman" w:eastAsia="Times New Roman" w:hAnsi="Times New Roman" w:cs="Times New Roman"/>
          <w:sz w:val="24"/>
          <w:highlight w:val="yellow"/>
        </w:rPr>
        <w:t xml:space="preserve"> behaviour </w:t>
      </w:r>
      <w:r w:rsidR="002B62DD" w:rsidRPr="00FB0AA7">
        <w:rPr>
          <w:rFonts w:ascii="Times New Roman" w:eastAsia="Times New Roman" w:hAnsi="Times New Roman" w:cs="Times New Roman"/>
          <w:sz w:val="24"/>
          <w:highlight w:val="yellow"/>
        </w:rPr>
        <w:t>has become one of the most popular res</w:t>
      </w:r>
      <w:r w:rsidR="002B62DD" w:rsidRPr="002B62DD">
        <w:rPr>
          <w:rFonts w:ascii="Times New Roman" w:eastAsia="Times New Roman" w:hAnsi="Times New Roman" w:cs="Times New Roman"/>
          <w:sz w:val="24"/>
        </w:rPr>
        <w:t>earch topics among academics, especially in the last three decades. Once, consumer demographics were one of the most widely used methods. However</w:t>
      </w:r>
      <w:r w:rsidR="00EF084F">
        <w:rPr>
          <w:rFonts w:ascii="Times New Roman" w:eastAsia="Times New Roman" w:hAnsi="Times New Roman" w:cs="Times New Roman"/>
          <w:sz w:val="24"/>
        </w:rPr>
        <w:t>,,</w:t>
      </w:r>
      <w:r w:rsidR="002B62DD" w:rsidRPr="002B62DD">
        <w:rPr>
          <w:rFonts w:ascii="Times New Roman" w:eastAsia="Times New Roman" w:hAnsi="Times New Roman" w:cs="Times New Roman"/>
          <w:sz w:val="24"/>
        </w:rPr>
        <w:t xml:space="preserve"> later literature reviews showed that  they  have  had  only  limited  success  to  explain  consumer  green  purchase behaviour</w:t>
      </w:r>
      <w:r w:rsidR="002B62DD">
        <w:rPr>
          <w:rFonts w:ascii="Times New Roman" w:eastAsia="Times New Roman" w:hAnsi="Times New Roman" w:cs="Times New Roman"/>
          <w:sz w:val="24"/>
        </w:rPr>
        <w:t xml:space="preserve"> </w:t>
      </w:r>
      <w:r w:rsidR="002B62DD" w:rsidRPr="002B62DD">
        <w:rPr>
          <w:rFonts w:ascii="Times New Roman" w:eastAsia="Times New Roman" w:hAnsi="Times New Roman" w:cs="Times New Roman"/>
          <w:sz w:val="24"/>
        </w:rPr>
        <w:t>(Albayrak et al., 2011).</w:t>
      </w:r>
      <w:r w:rsidR="002B62DD">
        <w:rPr>
          <w:rFonts w:ascii="Times New Roman" w:eastAsia="Times New Roman" w:hAnsi="Times New Roman" w:cs="Times New Roman"/>
          <w:sz w:val="24"/>
        </w:rPr>
        <w:t xml:space="preserve"> </w:t>
      </w:r>
      <w:r w:rsidR="002B62DD" w:rsidRPr="002B62DD">
        <w:rPr>
          <w:rFonts w:ascii="Times New Roman" w:eastAsia="Times New Roman" w:hAnsi="Times New Roman" w:cs="Times New Roman"/>
          <w:sz w:val="24"/>
        </w:rPr>
        <w:t xml:space="preserve">One type of environmentally sensitive </w:t>
      </w:r>
      <w:r w:rsidR="00EF084F">
        <w:rPr>
          <w:rFonts w:ascii="Times New Roman" w:eastAsia="Times New Roman" w:hAnsi="Times New Roman" w:cs="Times New Roman"/>
          <w:sz w:val="24"/>
        </w:rPr>
        <w:t xml:space="preserve"> </w:t>
      </w:r>
      <w:r w:rsidR="00EF084F" w:rsidRPr="00FB0AA7">
        <w:rPr>
          <w:rFonts w:ascii="Times New Roman" w:eastAsia="Times New Roman" w:hAnsi="Times New Roman" w:cs="Times New Roman"/>
          <w:sz w:val="24"/>
          <w:highlight w:val="yellow"/>
        </w:rPr>
        <w:t>behaviour</w:t>
      </w:r>
      <w:r w:rsidR="002B62DD" w:rsidRPr="00FB0AA7">
        <w:rPr>
          <w:rFonts w:ascii="Times New Roman" w:eastAsia="Times New Roman" w:hAnsi="Times New Roman" w:cs="Times New Roman"/>
          <w:sz w:val="24"/>
          <w:highlight w:val="yellow"/>
        </w:rPr>
        <w:t xml:space="preserve"> is “green purchase </w:t>
      </w:r>
      <w:r w:rsidR="00EF084F" w:rsidRPr="00FB0AA7">
        <w:rPr>
          <w:rFonts w:ascii="Times New Roman" w:eastAsia="Times New Roman" w:hAnsi="Times New Roman" w:cs="Times New Roman"/>
          <w:sz w:val="24"/>
          <w:highlight w:val="yellow"/>
        </w:rPr>
        <w:t xml:space="preserve"> behaviour</w:t>
      </w:r>
      <w:r w:rsidR="002B62DD" w:rsidRPr="00FB0AA7">
        <w:rPr>
          <w:rFonts w:ascii="Times New Roman" w:eastAsia="Times New Roman" w:hAnsi="Times New Roman" w:cs="Times New Roman"/>
          <w:sz w:val="24"/>
          <w:highlight w:val="yellow"/>
        </w:rPr>
        <w:t>” which can  be observed in those consumers who scrutinise labels, who use</w:t>
      </w:r>
      <w:r w:rsidR="002B62DD" w:rsidRPr="002B62DD">
        <w:rPr>
          <w:rFonts w:ascii="Times New Roman" w:eastAsia="Times New Roman" w:hAnsi="Times New Roman" w:cs="Times New Roman"/>
          <w:sz w:val="24"/>
        </w:rPr>
        <w:t xml:space="preserve"> biodegradable garbage bags and biodegradable soaps and natural detergents, who  purchase  goods  with biodegradable  </w:t>
      </w:r>
      <w:r w:rsidR="002B62DD" w:rsidRPr="002B62DD">
        <w:rPr>
          <w:rFonts w:ascii="Times New Roman" w:eastAsia="Times New Roman" w:hAnsi="Times New Roman" w:cs="Times New Roman"/>
          <w:sz w:val="24"/>
        </w:rPr>
        <w:lastRenderedPageBreak/>
        <w:t xml:space="preserve">packaging  and who  refuse  to  purchase  from  restaurants  where </w:t>
      </w:r>
      <w:proofErr w:type="spellStart"/>
      <w:r w:rsidR="002B62DD" w:rsidRPr="002B62DD">
        <w:rPr>
          <w:rFonts w:ascii="Times New Roman" w:eastAsia="Times New Roman" w:hAnsi="Times New Roman" w:cs="Times New Roman"/>
          <w:sz w:val="24"/>
        </w:rPr>
        <w:t>styrofoam</w:t>
      </w:r>
      <w:proofErr w:type="spellEnd"/>
      <w:r w:rsidR="002B62DD" w:rsidRPr="002B62DD">
        <w:rPr>
          <w:rFonts w:ascii="Times New Roman" w:eastAsia="Times New Roman" w:hAnsi="Times New Roman" w:cs="Times New Roman"/>
          <w:sz w:val="24"/>
        </w:rPr>
        <w:t xml:space="preserve"> packages are used</w:t>
      </w:r>
      <w:r w:rsidR="002B62DD">
        <w:rPr>
          <w:rFonts w:ascii="Times New Roman" w:eastAsia="Times New Roman" w:hAnsi="Times New Roman" w:cs="Times New Roman"/>
          <w:sz w:val="24"/>
        </w:rPr>
        <w:t xml:space="preserve"> </w:t>
      </w:r>
      <w:r w:rsidR="002B62DD" w:rsidRPr="002B62DD">
        <w:rPr>
          <w:rFonts w:ascii="Times New Roman" w:eastAsia="Times New Roman" w:hAnsi="Times New Roman" w:cs="Times New Roman"/>
          <w:sz w:val="24"/>
        </w:rPr>
        <w:t>(</w:t>
      </w:r>
      <w:proofErr w:type="spellStart"/>
      <w:r w:rsidR="002B62DD" w:rsidRPr="002B62DD">
        <w:rPr>
          <w:rFonts w:ascii="Times New Roman" w:eastAsia="Times New Roman" w:hAnsi="Times New Roman" w:cs="Times New Roman"/>
          <w:sz w:val="24"/>
        </w:rPr>
        <w:t>Kreczmańska-Gigol</w:t>
      </w:r>
      <w:proofErr w:type="spellEnd"/>
      <w:r w:rsidR="002B62DD" w:rsidRPr="002B62DD">
        <w:rPr>
          <w:rFonts w:ascii="Times New Roman" w:eastAsia="Times New Roman" w:hAnsi="Times New Roman" w:cs="Times New Roman"/>
          <w:sz w:val="24"/>
        </w:rPr>
        <w:t xml:space="preserve"> &amp; </w:t>
      </w:r>
      <w:proofErr w:type="spellStart"/>
      <w:r w:rsidR="002B62DD" w:rsidRPr="002B62DD">
        <w:rPr>
          <w:rFonts w:ascii="Times New Roman" w:eastAsia="Times New Roman" w:hAnsi="Times New Roman" w:cs="Times New Roman"/>
          <w:sz w:val="24"/>
        </w:rPr>
        <w:t>Gigol</w:t>
      </w:r>
      <w:proofErr w:type="spellEnd"/>
      <w:r w:rsidR="002B62DD" w:rsidRPr="002B62DD">
        <w:rPr>
          <w:rFonts w:ascii="Times New Roman" w:eastAsia="Times New Roman" w:hAnsi="Times New Roman" w:cs="Times New Roman"/>
          <w:sz w:val="24"/>
        </w:rPr>
        <w:t>, 2022)</w:t>
      </w:r>
      <w:r w:rsidR="002B62DD">
        <w:rPr>
          <w:rFonts w:ascii="Times New Roman" w:eastAsia="Times New Roman" w:hAnsi="Times New Roman" w:cs="Times New Roman"/>
          <w:sz w:val="24"/>
        </w:rPr>
        <w:t xml:space="preserve">. </w:t>
      </w:r>
      <w:r w:rsidRPr="00C7387A">
        <w:rPr>
          <w:rFonts w:ascii="Times New Roman" w:eastAsia="Times New Roman" w:hAnsi="Times New Roman" w:cs="Times New Roman"/>
          <w:sz w:val="24"/>
          <w:highlight w:val="yellow"/>
        </w:rPr>
        <w:t>One shall consider consumers' trust with deep concerns and knowledge regarding the</w:t>
      </w:r>
      <w:r w:rsidR="00676E73">
        <w:rPr>
          <w:rFonts w:ascii="Times New Roman" w:eastAsia="Times New Roman" w:hAnsi="Times New Roman" w:cs="Times New Roman"/>
          <w:sz w:val="24"/>
          <w:highlight w:val="yellow"/>
        </w:rPr>
        <w:t xml:space="preserve"> </w:t>
      </w:r>
      <w:r w:rsidRPr="00C7387A">
        <w:rPr>
          <w:rFonts w:ascii="Times New Roman" w:eastAsia="Times New Roman" w:hAnsi="Times New Roman" w:cs="Times New Roman"/>
          <w:sz w:val="24"/>
          <w:highlight w:val="yellow"/>
        </w:rPr>
        <w:t xml:space="preserve">environmental issues to notable predictors of green purchase </w:t>
      </w:r>
      <w:r w:rsidR="00EF084F">
        <w:rPr>
          <w:rFonts w:ascii="Times New Roman" w:eastAsia="Times New Roman" w:hAnsi="Times New Roman" w:cs="Times New Roman"/>
          <w:sz w:val="24"/>
          <w:highlight w:val="yellow"/>
        </w:rPr>
        <w:t xml:space="preserve"> behaviour</w:t>
      </w:r>
      <w:r w:rsidRPr="00C7387A">
        <w:rPr>
          <w:rFonts w:ascii="Times New Roman" w:eastAsia="Times New Roman" w:hAnsi="Times New Roman" w:cs="Times New Roman"/>
          <w:sz w:val="24"/>
          <w:highlight w:val="yellow"/>
        </w:rPr>
        <w:t>. Previous research shows that</w:t>
      </w:r>
      <w:r w:rsidR="00676E73">
        <w:rPr>
          <w:rFonts w:ascii="Times New Roman" w:eastAsia="Times New Roman" w:hAnsi="Times New Roman" w:cs="Times New Roman"/>
          <w:sz w:val="24"/>
          <w:highlight w:val="yellow"/>
        </w:rPr>
        <w:t xml:space="preserve"> </w:t>
      </w:r>
      <w:r w:rsidRPr="00C7387A">
        <w:rPr>
          <w:rFonts w:ascii="Times New Roman" w:eastAsia="Times New Roman" w:hAnsi="Times New Roman" w:cs="Times New Roman"/>
          <w:sz w:val="24"/>
          <w:highlight w:val="yellow"/>
        </w:rPr>
        <w:t>consumers who believe in environmental issues' urgency show a higher intention to pay more for</w:t>
      </w:r>
      <w:r w:rsidR="00676E73">
        <w:rPr>
          <w:rFonts w:ascii="Times New Roman" w:eastAsia="Times New Roman" w:hAnsi="Times New Roman" w:cs="Times New Roman"/>
          <w:sz w:val="24"/>
          <w:highlight w:val="yellow"/>
        </w:rPr>
        <w:t xml:space="preserve"> </w:t>
      </w:r>
      <w:r w:rsidRPr="00C7387A">
        <w:rPr>
          <w:rFonts w:ascii="Times New Roman" w:eastAsia="Times New Roman" w:hAnsi="Times New Roman" w:cs="Times New Roman"/>
          <w:sz w:val="24"/>
          <w:highlight w:val="yellow"/>
        </w:rPr>
        <w:t xml:space="preserve">sustainably claimed products </w:t>
      </w:r>
      <w:r w:rsidR="002D4413">
        <w:rPr>
          <w:rFonts w:ascii="Times New Roman" w:eastAsia="Times New Roman" w:hAnsi="Times New Roman" w:cs="Times New Roman"/>
          <w:sz w:val="24"/>
          <w:highlight w:val="yellow"/>
        </w:rPr>
        <w:t>(</w:t>
      </w:r>
      <w:r w:rsidR="002D4413" w:rsidRPr="002D4413">
        <w:rPr>
          <w:rFonts w:ascii="Times New Roman" w:eastAsia="Times New Roman" w:hAnsi="Times New Roman" w:cs="Times New Roman"/>
          <w:sz w:val="24"/>
        </w:rPr>
        <w:t>González-Rodríguez</w:t>
      </w:r>
      <w:r w:rsidR="002D4413">
        <w:rPr>
          <w:rFonts w:ascii="Times New Roman" w:eastAsia="Times New Roman" w:hAnsi="Times New Roman" w:cs="Times New Roman"/>
          <w:sz w:val="24"/>
        </w:rPr>
        <w:t xml:space="preserve"> et al.,2020)</w:t>
      </w:r>
      <w:r w:rsidRPr="00C7387A">
        <w:rPr>
          <w:rFonts w:ascii="Times New Roman" w:eastAsia="Times New Roman" w:hAnsi="Times New Roman" w:cs="Times New Roman"/>
          <w:sz w:val="24"/>
          <w:highlight w:val="yellow"/>
        </w:rPr>
        <w:t>.</w:t>
      </w:r>
      <w:r w:rsidR="00E31BF2">
        <w:rPr>
          <w:rFonts w:ascii="Times New Roman" w:eastAsia="Times New Roman" w:hAnsi="Times New Roman" w:cs="Times New Roman"/>
          <w:sz w:val="24"/>
        </w:rPr>
        <w:t xml:space="preserve"> </w:t>
      </w:r>
      <w:r w:rsidR="009668D8" w:rsidRPr="009328BF">
        <w:rPr>
          <w:rFonts w:ascii="Times New Roman" w:eastAsia="Times New Roman" w:hAnsi="Times New Roman" w:cs="Times New Roman"/>
          <w:sz w:val="24"/>
          <w:highlight w:val="yellow"/>
        </w:rPr>
        <w:t>In green consumption, buyers consider the environmental impact of buying, using, and disposing of different products</w:t>
      </w:r>
      <w:r w:rsidR="006740D8">
        <w:rPr>
          <w:rFonts w:ascii="Times New Roman" w:eastAsia="Times New Roman" w:hAnsi="Times New Roman" w:cs="Times New Roman"/>
          <w:sz w:val="24"/>
          <w:highlight w:val="yellow"/>
        </w:rPr>
        <w:t xml:space="preserve"> (</w:t>
      </w:r>
      <w:proofErr w:type="spellStart"/>
      <w:r w:rsidR="006740D8" w:rsidRPr="006740D8">
        <w:rPr>
          <w:rFonts w:ascii="Times New Roman" w:eastAsia="Times New Roman" w:hAnsi="Times New Roman" w:cs="Times New Roman"/>
          <w:sz w:val="24"/>
        </w:rPr>
        <w:t>Moisander</w:t>
      </w:r>
      <w:proofErr w:type="spellEnd"/>
      <w:r w:rsidR="006740D8" w:rsidRPr="006740D8">
        <w:rPr>
          <w:rFonts w:ascii="Times New Roman" w:eastAsia="Times New Roman" w:hAnsi="Times New Roman" w:cs="Times New Roman"/>
          <w:sz w:val="24"/>
        </w:rPr>
        <w:t>, 2007)</w:t>
      </w:r>
      <w:r w:rsidR="009668D8" w:rsidRPr="009328BF">
        <w:rPr>
          <w:rFonts w:ascii="Times New Roman" w:eastAsia="Times New Roman" w:hAnsi="Times New Roman" w:cs="Times New Roman"/>
          <w:sz w:val="24"/>
          <w:highlight w:val="yellow"/>
        </w:rPr>
        <w:t xml:space="preserve">. Green purchasing </w:t>
      </w:r>
      <w:r w:rsidR="00EF084F">
        <w:rPr>
          <w:rFonts w:ascii="Times New Roman" w:eastAsia="Times New Roman" w:hAnsi="Times New Roman" w:cs="Times New Roman"/>
          <w:sz w:val="24"/>
          <w:highlight w:val="yellow"/>
        </w:rPr>
        <w:t xml:space="preserve"> behaviour</w:t>
      </w:r>
      <w:r w:rsidR="009668D8" w:rsidRPr="009328BF">
        <w:rPr>
          <w:rFonts w:ascii="Times New Roman" w:eastAsia="Times New Roman" w:hAnsi="Times New Roman" w:cs="Times New Roman"/>
          <w:sz w:val="24"/>
          <w:highlight w:val="yellow"/>
        </w:rPr>
        <w:t xml:space="preserve"> is affected by consumers’ material status, tertiary education, and knowledge of the environmental impacts of products </w:t>
      </w:r>
      <w:r w:rsidR="00161702">
        <w:rPr>
          <w:rFonts w:ascii="Times New Roman" w:eastAsia="Times New Roman" w:hAnsi="Times New Roman" w:cs="Times New Roman"/>
          <w:sz w:val="24"/>
          <w:highlight w:val="yellow"/>
        </w:rPr>
        <w:t>(</w:t>
      </w:r>
      <w:r w:rsidR="00161702" w:rsidRPr="00161702">
        <w:rPr>
          <w:rFonts w:ascii="Times New Roman" w:eastAsia="Times New Roman" w:hAnsi="Times New Roman" w:cs="Times New Roman"/>
          <w:sz w:val="24"/>
        </w:rPr>
        <w:t>Ritter</w:t>
      </w:r>
      <w:r w:rsidR="00161702">
        <w:rPr>
          <w:rFonts w:ascii="Times New Roman" w:eastAsia="Times New Roman" w:hAnsi="Times New Roman" w:cs="Times New Roman"/>
          <w:sz w:val="24"/>
        </w:rPr>
        <w:t xml:space="preserve"> et al., </w:t>
      </w:r>
      <w:r w:rsidR="00161702" w:rsidRPr="00161702">
        <w:rPr>
          <w:rFonts w:ascii="Times New Roman" w:eastAsia="Times New Roman" w:hAnsi="Times New Roman" w:cs="Times New Roman"/>
          <w:sz w:val="24"/>
        </w:rPr>
        <w:t>2015</w:t>
      </w:r>
      <w:r w:rsidR="00161702">
        <w:rPr>
          <w:rFonts w:ascii="Times New Roman" w:eastAsia="Times New Roman" w:hAnsi="Times New Roman" w:cs="Times New Roman"/>
          <w:sz w:val="24"/>
        </w:rPr>
        <w:t>)</w:t>
      </w:r>
      <w:r w:rsidR="009668D8" w:rsidRPr="009328BF">
        <w:rPr>
          <w:rFonts w:ascii="Times New Roman" w:eastAsia="Times New Roman" w:hAnsi="Times New Roman" w:cs="Times New Roman"/>
          <w:sz w:val="24"/>
          <w:highlight w:val="yellow"/>
        </w:rPr>
        <w:t xml:space="preserve">. Consumer attitudes toward the environment are equally important. Women tend to </w:t>
      </w:r>
      <w:r w:rsidR="009668D8" w:rsidRPr="00AA15F9">
        <w:rPr>
          <w:rFonts w:ascii="Times New Roman" w:eastAsia="Times New Roman" w:hAnsi="Times New Roman" w:cs="Times New Roman"/>
          <w:sz w:val="24"/>
          <w:highlight w:val="yellow"/>
        </w:rPr>
        <w:t xml:space="preserve">be more concerned than men that the products they buy positively impact health and protect the environment </w:t>
      </w:r>
      <w:r w:rsidR="00B0520F" w:rsidRPr="00AA15F9">
        <w:rPr>
          <w:rFonts w:ascii="Times New Roman" w:eastAsia="Times New Roman" w:hAnsi="Times New Roman" w:cs="Times New Roman"/>
          <w:sz w:val="24"/>
          <w:highlight w:val="yellow"/>
        </w:rPr>
        <w:t>(Testa et al., 2021</w:t>
      </w:r>
      <w:r w:rsidR="00AA15F9" w:rsidRPr="00AA15F9">
        <w:rPr>
          <w:rFonts w:ascii="Times New Roman" w:eastAsia="Times New Roman" w:hAnsi="Times New Roman" w:cs="Times New Roman"/>
          <w:sz w:val="24"/>
          <w:highlight w:val="yellow"/>
        </w:rPr>
        <w:t>; Irianto, 2015</w:t>
      </w:r>
      <w:r w:rsidR="00B0520F" w:rsidRPr="00AA15F9">
        <w:rPr>
          <w:rFonts w:ascii="Times New Roman" w:eastAsia="Times New Roman" w:hAnsi="Times New Roman" w:cs="Times New Roman"/>
          <w:sz w:val="24"/>
          <w:highlight w:val="yellow"/>
        </w:rPr>
        <w:t>)</w:t>
      </w:r>
      <w:r w:rsidR="009668D8" w:rsidRPr="00AA15F9">
        <w:rPr>
          <w:rFonts w:ascii="Times New Roman" w:eastAsia="Times New Roman" w:hAnsi="Times New Roman" w:cs="Times New Roman"/>
          <w:sz w:val="24"/>
          <w:highlight w:val="yellow"/>
        </w:rPr>
        <w:t>.</w:t>
      </w:r>
      <w:r w:rsidR="00FE7EAD">
        <w:rPr>
          <w:rFonts w:ascii="Times New Roman" w:eastAsia="Times New Roman" w:hAnsi="Times New Roman" w:cs="Times New Roman"/>
          <w:sz w:val="24"/>
        </w:rPr>
        <w:t xml:space="preserve"> </w:t>
      </w:r>
    </w:p>
    <w:p w14:paraId="2028391F" w14:textId="26C70FCB" w:rsidR="00487CB5" w:rsidRPr="00FE7EAD" w:rsidRDefault="002B62DD" w:rsidP="00FE7EAD">
      <w:pPr>
        <w:ind w:left="283" w:firstLine="28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42241C46"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Greenwashing</w:t>
      </w:r>
    </w:p>
    <w:p w14:paraId="7E5D843D" w14:textId="77777777" w:rsidR="00487CB5" w:rsidRDefault="00487CB5">
      <w:pPr>
        <w:rPr>
          <w:rFonts w:ascii="Times New Roman" w:eastAsia="Times New Roman" w:hAnsi="Times New Roman" w:cs="Times New Roman"/>
          <w:b/>
        </w:rPr>
      </w:pPr>
    </w:p>
    <w:p w14:paraId="64A71E0E"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Lyon and Maxwell, who presented the first economic analysis of greenwashing in 2011, considered selective disclosure to also be a form of greenwashing. Selective disclosure of positive information about a company’s environmental or social performance, without full disclosure of negative information on these dimensions, was done in order to maintain a pristine corporate image.</w:t>
      </w:r>
    </w:p>
    <w:p w14:paraId="7A38EFB3" w14:textId="77777777" w:rsidR="00487CB5" w:rsidRDefault="00487CB5">
      <w:pPr>
        <w:ind w:left="283"/>
        <w:jc w:val="both"/>
        <w:rPr>
          <w:rFonts w:ascii="Times New Roman" w:eastAsia="Times New Roman" w:hAnsi="Times New Roman" w:cs="Times New Roman"/>
        </w:rPr>
      </w:pPr>
    </w:p>
    <w:p w14:paraId="7550A674" w14:textId="530BFC26"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Siano et al., associate greenwashing with symbolic actions, describing it as a practice that shifts focus to minor issues or generates "green talk"—statements intended to meet stakeholder expectations regarding sustainability without implementing any meaningful actions. The phenomenon of greenwashing has also been linked to corporate legitimacy theory in existing literature, which </w:t>
      </w:r>
      <w:r w:rsidR="00421D20" w:rsidRPr="00FB0AA7">
        <w:rPr>
          <w:rFonts w:ascii="Times New Roman" w:eastAsia="Times New Roman" w:hAnsi="Times New Roman" w:cs="Times New Roman"/>
          <w:highlight w:val="yellow"/>
        </w:rPr>
        <w:t xml:space="preserve">categorises </w:t>
      </w:r>
      <w:r w:rsidRPr="00FB0AA7">
        <w:rPr>
          <w:rFonts w:ascii="Times New Roman" w:eastAsia="Times New Roman" w:hAnsi="Times New Roman" w:cs="Times New Roman"/>
          <w:highlight w:val="yellow"/>
        </w:rPr>
        <w:t xml:space="preserve">legitimacy into three types: cognitive, pragmatic, and moral. According to Seele and Gatti in 2017, greenwashing is primarily associated with pragmatic legitimacy. They explain that “cognitive legitimacy is rooted in shared, taken-for-granted assumptions within an </w:t>
      </w:r>
      <w:r w:rsidR="00421D20" w:rsidRPr="00FB0AA7">
        <w:rPr>
          <w:rFonts w:ascii="Times New Roman" w:eastAsia="Times New Roman" w:hAnsi="Times New Roman" w:cs="Times New Roman"/>
          <w:highlight w:val="yellow"/>
        </w:rPr>
        <w:t xml:space="preserve">organisation’s </w:t>
      </w:r>
      <w:r w:rsidRPr="00FB0AA7">
        <w:rPr>
          <w:rFonts w:ascii="Times New Roman" w:eastAsia="Times New Roman" w:hAnsi="Times New Roman" w:cs="Times New Roman"/>
          <w:highlight w:val="yellow"/>
        </w:rPr>
        <w:t xml:space="preserve">societal environment,” while “moral legitimacy is based on ethical evaluations of the </w:t>
      </w:r>
      <w:r w:rsidR="00421D20" w:rsidRPr="00FB0AA7">
        <w:rPr>
          <w:rFonts w:ascii="Times New Roman" w:eastAsia="Times New Roman" w:hAnsi="Times New Roman" w:cs="Times New Roman"/>
          <w:highlight w:val="yellow"/>
        </w:rPr>
        <w:t xml:space="preserve">organisation </w:t>
      </w:r>
      <w:r w:rsidRPr="00FB0AA7">
        <w:rPr>
          <w:rFonts w:ascii="Times New Roman" w:eastAsia="Times New Roman" w:hAnsi="Times New Roman" w:cs="Times New Roman"/>
          <w:highlight w:val="yellow"/>
        </w:rPr>
        <w:t xml:space="preserve">and its </w:t>
      </w:r>
      <w:r w:rsidR="00EF084F" w:rsidRPr="00FB0AA7">
        <w:rPr>
          <w:rFonts w:ascii="Times New Roman" w:eastAsia="Times New Roman" w:hAnsi="Times New Roman" w:cs="Times New Roman"/>
          <w:highlight w:val="yellow"/>
        </w:rPr>
        <w:t xml:space="preserve"> behaviour</w:t>
      </w:r>
      <w:r w:rsidRPr="00FB0AA7">
        <w:rPr>
          <w:rFonts w:ascii="Times New Roman" w:eastAsia="Times New Roman" w:hAnsi="Times New Roman" w:cs="Times New Roman"/>
          <w:highlight w:val="yellow"/>
        </w:rPr>
        <w:t xml:space="preserve">”. Pragmatic legitimacy, on the other hand, arises from the self-interested calculations of key stakeholders and depends on their perception of personal benefits gained from the </w:t>
      </w:r>
      <w:r w:rsidR="00421D20" w:rsidRPr="00FB0AA7">
        <w:rPr>
          <w:rFonts w:ascii="Times New Roman" w:eastAsia="Times New Roman" w:hAnsi="Times New Roman" w:cs="Times New Roman"/>
          <w:highlight w:val="yellow"/>
        </w:rPr>
        <w:t xml:space="preserve">organisation’s </w:t>
      </w:r>
      <w:r w:rsidRPr="00FB0AA7">
        <w:rPr>
          <w:rFonts w:ascii="Times New Roman" w:eastAsia="Times New Roman" w:hAnsi="Times New Roman" w:cs="Times New Roman"/>
          <w:highlight w:val="yellow"/>
        </w:rPr>
        <w:t>actions and communications.</w:t>
      </w:r>
    </w:p>
    <w:p w14:paraId="320E96DE" w14:textId="77777777" w:rsidR="00487CB5" w:rsidRDefault="00487CB5">
      <w:pPr>
        <w:rPr>
          <w:rFonts w:ascii="Times New Roman" w:eastAsia="Times New Roman" w:hAnsi="Times New Roman" w:cs="Times New Roman"/>
        </w:rPr>
      </w:pPr>
    </w:p>
    <w:p w14:paraId="74BE9DAF" w14:textId="77777777" w:rsidR="00487CB5" w:rsidRDefault="00487CB5">
      <w:pPr>
        <w:rPr>
          <w:rFonts w:ascii="Times New Roman" w:eastAsia="Times New Roman" w:hAnsi="Times New Roman" w:cs="Times New Roman"/>
          <w:shd w:val="clear" w:color="auto" w:fill="FFF2CC"/>
        </w:rPr>
      </w:pPr>
    </w:p>
    <w:p w14:paraId="4FB43703"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Green Purchase Intention</w:t>
      </w:r>
    </w:p>
    <w:p w14:paraId="4FAF526B" w14:textId="77777777" w:rsidR="00487CB5" w:rsidRDefault="00487CB5" w:rsidP="009B6419">
      <w:pPr>
        <w:jc w:val="both"/>
        <w:rPr>
          <w:rFonts w:ascii="Times New Roman" w:eastAsia="Times New Roman" w:hAnsi="Times New Roman" w:cs="Times New Roman"/>
          <w:b/>
        </w:rPr>
      </w:pPr>
    </w:p>
    <w:p w14:paraId="13F9B508" w14:textId="0DD517F2"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According to Chen &amp; Chang, Green purchase intention (GPI) refers to a consumer's willingness or likelihood to prefer eco-friendly products over conventional alternatives. It reflects a conscious effort by individuals to </w:t>
      </w:r>
      <w:r w:rsidR="00421D20">
        <w:rPr>
          <w:rFonts w:ascii="Times New Roman" w:eastAsia="Times New Roman" w:hAnsi="Times New Roman" w:cs="Times New Roman"/>
        </w:rPr>
        <w:t xml:space="preserve">minimise </w:t>
      </w:r>
      <w:r>
        <w:rPr>
          <w:rFonts w:ascii="Times New Roman" w:eastAsia="Times New Roman" w:hAnsi="Times New Roman" w:cs="Times New Roman"/>
        </w:rPr>
        <w:t>their environmental impact through consumption choices. GPI is often influenced by a combination of internal factors (e.g., attitudes, values) and external factors (e.g., societal norms, marketing strategies). It is a significant predictor of green purchase behaviour, meaning that it positively affects the likelihood of a customer deciding whether or not to buy green products. In Chan’s study in 2001, he found that there was a low degree of actual commitment to green purchases.</w:t>
      </w:r>
    </w:p>
    <w:p w14:paraId="6DA2A56E" w14:textId="77777777" w:rsidR="00487CB5" w:rsidRDefault="00487CB5" w:rsidP="009B6419">
      <w:pPr>
        <w:jc w:val="both"/>
        <w:rPr>
          <w:rFonts w:ascii="Times New Roman" w:eastAsia="Times New Roman" w:hAnsi="Times New Roman" w:cs="Times New Roman"/>
        </w:rPr>
      </w:pPr>
    </w:p>
    <w:p w14:paraId="13B16FA4"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The Theory of Planned Behaviour (TPB), developed by Ajzen in 1991, provides a fundamental archetype for researching GPI. TPB claims that viewpoints on eco-friendly items have a big impact on </w:t>
      </w:r>
      <w:r>
        <w:rPr>
          <w:rFonts w:ascii="Times New Roman" w:eastAsia="Times New Roman" w:hAnsi="Times New Roman" w:cs="Times New Roman"/>
        </w:rPr>
        <w:lastRenderedPageBreak/>
        <w:t xml:space="preserve">consumers' intention to buy them. Customers' aspirations to select green alternatives are frequently fortified by conducive opinions about the advantages for the environment, product quality, and health. </w:t>
      </w:r>
    </w:p>
    <w:p w14:paraId="191491AA" w14:textId="77777777" w:rsidR="00487CB5" w:rsidRDefault="00487CB5" w:rsidP="009B6419">
      <w:pPr>
        <w:jc w:val="both"/>
        <w:rPr>
          <w:rFonts w:ascii="Times New Roman" w:eastAsia="Times New Roman" w:hAnsi="Times New Roman" w:cs="Times New Roman"/>
        </w:rPr>
      </w:pPr>
    </w:p>
    <w:p w14:paraId="4524EB3E" w14:textId="798C3F4A"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A consumer's perception that their personal activities can help protect the environment is known as perceived consumer effectiveness, or PCE</w:t>
      </w:r>
      <w:r w:rsidR="00421D20">
        <w:rPr>
          <w:rFonts w:ascii="Times New Roman" w:eastAsia="Times New Roman" w:hAnsi="Times New Roman" w:cs="Times New Roman"/>
        </w:rPr>
        <w:t>,</w:t>
      </w:r>
      <w:r>
        <w:rPr>
          <w:rFonts w:ascii="Times New Roman" w:eastAsia="Times New Roman" w:hAnsi="Times New Roman" w:cs="Times New Roman"/>
        </w:rPr>
        <w:t xml:space="preserve"> and because customers feel more empowered to influence their purchasing decisions, higher PCE boosts GPI.</w:t>
      </w:r>
    </w:p>
    <w:p w14:paraId="3461841D" w14:textId="77777777" w:rsidR="00487CB5" w:rsidRDefault="00487CB5" w:rsidP="009B6419">
      <w:pPr>
        <w:jc w:val="both"/>
        <w:rPr>
          <w:rFonts w:ascii="Times New Roman" w:eastAsia="Times New Roman" w:hAnsi="Times New Roman" w:cs="Times New Roman"/>
          <w:shd w:val="clear" w:color="auto" w:fill="FCE5CD"/>
        </w:rPr>
      </w:pPr>
    </w:p>
    <w:p w14:paraId="1C16172B" w14:textId="77777777" w:rsidR="00487CB5" w:rsidRDefault="002B62DD" w:rsidP="009B641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 &amp; Decision Making</w:t>
      </w:r>
    </w:p>
    <w:p w14:paraId="16837CCE" w14:textId="77777777" w:rsidR="00487CB5" w:rsidRDefault="00487CB5" w:rsidP="009B6419">
      <w:pPr>
        <w:jc w:val="both"/>
        <w:rPr>
          <w:rFonts w:ascii="Times New Roman" w:eastAsia="Times New Roman" w:hAnsi="Times New Roman" w:cs="Times New Roman"/>
          <w:b/>
        </w:rPr>
      </w:pPr>
    </w:p>
    <w:p w14:paraId="4D579672" w14:textId="43046619"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Decision making is a cognitive process that involves coming to a conclusion about taking an action after going through multiple or different alternatives or options. The Engel Blackwell Miniard model, or EBM model, is the most </w:t>
      </w:r>
      <w:r w:rsidRPr="00FB0AA7">
        <w:rPr>
          <w:rFonts w:ascii="Times New Roman" w:eastAsia="Times New Roman" w:hAnsi="Times New Roman" w:cs="Times New Roman"/>
          <w:highlight w:val="yellow"/>
        </w:rPr>
        <w:t xml:space="preserve">commonly </w:t>
      </w:r>
      <w:r w:rsidR="00421D20" w:rsidRPr="00FB0AA7">
        <w:rPr>
          <w:rFonts w:ascii="Times New Roman" w:eastAsia="Times New Roman" w:hAnsi="Times New Roman" w:cs="Times New Roman"/>
          <w:highlight w:val="yellow"/>
        </w:rPr>
        <w:t>recognised</w:t>
      </w:r>
      <w:r w:rsidR="00421D20">
        <w:rPr>
          <w:rFonts w:ascii="Times New Roman" w:eastAsia="Times New Roman" w:hAnsi="Times New Roman" w:cs="Times New Roman"/>
        </w:rPr>
        <w:t xml:space="preserve"> </w:t>
      </w:r>
      <w:r>
        <w:rPr>
          <w:rFonts w:ascii="Times New Roman" w:eastAsia="Times New Roman" w:hAnsi="Times New Roman" w:cs="Times New Roman"/>
        </w:rPr>
        <w:t xml:space="preserve">model among several that have been constructed (Engel et al., 1995).  According to this model, a buyer goes through five stages when making a decision. The phases are - (I) Need Recognition, (II) Information Search, (III) Evaluation of Alternatives, (IV) Purchase and (V) Post Purchase. </w:t>
      </w:r>
    </w:p>
    <w:p w14:paraId="34336251" w14:textId="77777777" w:rsidR="00487CB5" w:rsidRDefault="00487CB5" w:rsidP="009B6419">
      <w:pPr>
        <w:jc w:val="both"/>
        <w:rPr>
          <w:rFonts w:ascii="Times New Roman" w:eastAsia="Times New Roman" w:hAnsi="Times New Roman" w:cs="Times New Roman"/>
        </w:rPr>
      </w:pPr>
    </w:p>
    <w:p w14:paraId="324F7B2B" w14:textId="1ACD95FD"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The initial three phases are together referred to as the Pre-Purchasing stage. This stage is when a </w:t>
      </w:r>
      <w:r w:rsidRPr="00FB0AA7">
        <w:rPr>
          <w:rFonts w:ascii="Times New Roman" w:eastAsia="Times New Roman" w:hAnsi="Times New Roman" w:cs="Times New Roman"/>
          <w:highlight w:val="yellow"/>
        </w:rPr>
        <w:t xml:space="preserve">customer </w:t>
      </w:r>
      <w:r w:rsidR="00421D20" w:rsidRPr="00FB0AA7">
        <w:rPr>
          <w:rFonts w:ascii="Times New Roman" w:eastAsia="Times New Roman" w:hAnsi="Times New Roman" w:cs="Times New Roman"/>
          <w:highlight w:val="yellow"/>
        </w:rPr>
        <w:t xml:space="preserve">realises </w:t>
      </w:r>
      <w:r w:rsidRPr="00FB0AA7">
        <w:rPr>
          <w:rFonts w:ascii="Times New Roman" w:eastAsia="Times New Roman" w:hAnsi="Times New Roman" w:cs="Times New Roman"/>
          <w:highlight w:val="yellow"/>
        </w:rPr>
        <w:t>that they need a particular good, and looks for data to satisfy that need. When all of the options have been compared and a</w:t>
      </w:r>
      <w:r>
        <w:rPr>
          <w:rFonts w:ascii="Times New Roman" w:eastAsia="Times New Roman" w:hAnsi="Times New Roman" w:cs="Times New Roman"/>
        </w:rPr>
        <w:t xml:space="preserve">ssessed, the best option is finally chosen (Mishra, 2018). </w:t>
      </w:r>
    </w:p>
    <w:p w14:paraId="2E34EDE0" w14:textId="77777777" w:rsidR="00487CB5" w:rsidRDefault="00487CB5" w:rsidP="009B6419">
      <w:pPr>
        <w:jc w:val="both"/>
        <w:rPr>
          <w:rFonts w:ascii="Times New Roman" w:eastAsia="Times New Roman" w:hAnsi="Times New Roman" w:cs="Times New Roman"/>
        </w:rPr>
      </w:pPr>
    </w:p>
    <w:p w14:paraId="3F966844"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Gay et al. (2010) described that evaluation entails gathering and evaluating the data collected during the information search phase. The benchmarks that customers use to distinguish between various products or brand types are known as evaluative criteria. </w:t>
      </w:r>
    </w:p>
    <w:p w14:paraId="082AD3E5" w14:textId="77777777" w:rsidR="00487CB5" w:rsidRDefault="00487CB5" w:rsidP="009B6419">
      <w:pPr>
        <w:jc w:val="both"/>
        <w:rPr>
          <w:rFonts w:ascii="Times New Roman" w:eastAsia="Times New Roman" w:hAnsi="Times New Roman" w:cs="Times New Roman"/>
        </w:rPr>
      </w:pPr>
    </w:p>
    <w:p w14:paraId="6E0FADD6" w14:textId="5BFFDAA2"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This assessment may be subjective or objective. The practical parts of the product, such as its properties and the advantages that it offers</w:t>
      </w:r>
      <w:r w:rsidR="00421D20">
        <w:rPr>
          <w:rFonts w:ascii="Times New Roman" w:eastAsia="Times New Roman" w:hAnsi="Times New Roman" w:cs="Times New Roman"/>
        </w:rPr>
        <w:t>,</w:t>
      </w:r>
      <w:r>
        <w:rPr>
          <w:rFonts w:ascii="Times New Roman" w:eastAsia="Times New Roman" w:hAnsi="Times New Roman" w:cs="Times New Roman"/>
        </w:rPr>
        <w:t xml:space="preserve"> are considered objective attributes. Conversely, subjective elements are associated with the sentimental aspects of the product, such as ease, status, etc. When making a first-time purchase, consumers carefully assess a number of product types, whereas habitual decision-makers may not weigh as many options. When a consumer is faced with a choice between multiple products, he must also conduct an extended examination of his </w:t>
      </w:r>
      <w:r w:rsidRPr="00FB0AA7">
        <w:rPr>
          <w:rFonts w:ascii="Times New Roman" w:eastAsia="Times New Roman" w:hAnsi="Times New Roman" w:cs="Times New Roman"/>
          <w:highlight w:val="yellow"/>
        </w:rPr>
        <w:t>options (</w:t>
      </w:r>
      <w:r w:rsidR="00421D20" w:rsidRPr="00FB0AA7">
        <w:rPr>
          <w:rFonts w:ascii="Times New Roman" w:eastAsia="Times New Roman" w:hAnsi="Times New Roman" w:cs="Times New Roman"/>
          <w:highlight w:val="yellow"/>
        </w:rPr>
        <w:t>Solomon</w:t>
      </w:r>
      <w:r w:rsidRPr="00FB0AA7">
        <w:rPr>
          <w:rFonts w:ascii="Times New Roman" w:eastAsia="Times New Roman" w:hAnsi="Times New Roman" w:cs="Times New Roman"/>
          <w:highlight w:val="yellow"/>
        </w:rPr>
        <w:t>, 2004).</w:t>
      </w:r>
      <w:r>
        <w:rPr>
          <w:rFonts w:ascii="Times New Roman" w:eastAsia="Times New Roman" w:hAnsi="Times New Roman" w:cs="Times New Roman"/>
        </w:rPr>
        <w:t xml:space="preserve"> </w:t>
      </w:r>
    </w:p>
    <w:p w14:paraId="6A8CED0A" w14:textId="77777777" w:rsidR="00487CB5" w:rsidRDefault="00487CB5" w:rsidP="009B6419">
      <w:pPr>
        <w:jc w:val="both"/>
        <w:rPr>
          <w:rFonts w:ascii="Times New Roman" w:eastAsia="Times New Roman" w:hAnsi="Times New Roman" w:cs="Times New Roman"/>
        </w:rPr>
      </w:pPr>
    </w:p>
    <w:p w14:paraId="3B6E940A" w14:textId="6990536A"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There are a number of criteria which consumers use for alternative evaluation. One of the key factors considered while comparing options is price. One of the most widely held notions among customers is the price-quality correlation. Pechmann and Ratneshwar stated that</w:t>
      </w:r>
      <w:r w:rsidR="00421D20">
        <w:rPr>
          <w:rFonts w:ascii="Times New Roman" w:eastAsia="Times New Roman" w:hAnsi="Times New Roman" w:cs="Times New Roman"/>
        </w:rPr>
        <w:t>,</w:t>
      </w:r>
      <w:r>
        <w:rPr>
          <w:rFonts w:ascii="Times New Roman" w:eastAsia="Times New Roman" w:hAnsi="Times New Roman" w:cs="Times New Roman"/>
        </w:rPr>
        <w:t xml:space="preserve"> in general, buyers view price as an exterior characteristic to assess the quality of the goods (1991). However, Rao and Monroe (1988) </w:t>
      </w:r>
      <w:r w:rsidRPr="00FB0AA7">
        <w:rPr>
          <w:rFonts w:ascii="Times New Roman" w:eastAsia="Times New Roman" w:hAnsi="Times New Roman" w:cs="Times New Roman"/>
          <w:highlight w:val="yellow"/>
        </w:rPr>
        <w:t xml:space="preserve">believed that when customers can manage to comprehend various other indicators, the likelihood of </w:t>
      </w:r>
      <w:r w:rsidR="00421D20" w:rsidRPr="00FB0AA7">
        <w:rPr>
          <w:rFonts w:ascii="Times New Roman" w:eastAsia="Times New Roman" w:hAnsi="Times New Roman" w:cs="Times New Roman"/>
          <w:highlight w:val="yellow"/>
        </w:rPr>
        <w:t>their considering</w:t>
      </w:r>
      <w:r w:rsidRPr="00FB0AA7">
        <w:rPr>
          <w:rFonts w:ascii="Times New Roman" w:eastAsia="Times New Roman" w:hAnsi="Times New Roman" w:cs="Times New Roman"/>
          <w:highlight w:val="yellow"/>
        </w:rPr>
        <w:t xml:space="preserve"> cost as a measure of quality decreases. In a study conducted by Mishra (2018) on the criteria for alternative evaluation among consumers, 856 respondents were studied. The results showed that 50% people always used price as a </w:t>
      </w:r>
      <w:r w:rsidR="00421D20" w:rsidRPr="00FB0AA7">
        <w:rPr>
          <w:rFonts w:ascii="Times New Roman" w:eastAsia="Times New Roman" w:hAnsi="Times New Roman" w:cs="Times New Roman"/>
          <w:highlight w:val="yellow"/>
        </w:rPr>
        <w:t xml:space="preserve">criterion </w:t>
      </w:r>
      <w:r w:rsidRPr="00FB0AA7">
        <w:rPr>
          <w:rFonts w:ascii="Times New Roman" w:eastAsia="Times New Roman" w:hAnsi="Times New Roman" w:cs="Times New Roman"/>
          <w:highlight w:val="yellow"/>
        </w:rPr>
        <w:t xml:space="preserve">for comparison, and when it comes to product quality, more than half </w:t>
      </w:r>
      <w:r w:rsidR="00421D20" w:rsidRPr="00FB0AA7">
        <w:rPr>
          <w:rFonts w:ascii="Times New Roman" w:eastAsia="Times New Roman" w:hAnsi="Times New Roman" w:cs="Times New Roman"/>
          <w:highlight w:val="yellow"/>
        </w:rPr>
        <w:t xml:space="preserve">of </w:t>
      </w:r>
      <w:r w:rsidRPr="00FB0AA7">
        <w:rPr>
          <w:rFonts w:ascii="Times New Roman" w:eastAsia="Times New Roman" w:hAnsi="Times New Roman" w:cs="Times New Roman"/>
          <w:highlight w:val="yellow"/>
        </w:rPr>
        <w:t xml:space="preserve">the respondents agreed </w:t>
      </w:r>
      <w:r w:rsidR="00421D20" w:rsidRPr="00FB0AA7">
        <w:rPr>
          <w:rFonts w:ascii="Times New Roman" w:eastAsia="Times New Roman" w:hAnsi="Times New Roman" w:cs="Times New Roman"/>
          <w:highlight w:val="yellow"/>
        </w:rPr>
        <w:t xml:space="preserve">that </w:t>
      </w:r>
      <w:r w:rsidRPr="00FB0AA7">
        <w:rPr>
          <w:rFonts w:ascii="Times New Roman" w:eastAsia="Times New Roman" w:hAnsi="Times New Roman" w:cs="Times New Roman"/>
          <w:highlight w:val="yellow"/>
        </w:rPr>
        <w:t xml:space="preserve">it </w:t>
      </w:r>
      <w:r w:rsidR="00421D20" w:rsidRPr="00FB0AA7">
        <w:rPr>
          <w:rFonts w:ascii="Times New Roman" w:eastAsia="Times New Roman" w:hAnsi="Times New Roman" w:cs="Times New Roman"/>
          <w:highlight w:val="yellow"/>
        </w:rPr>
        <w:t xml:space="preserve">is </w:t>
      </w:r>
      <w:r w:rsidRPr="00FB0AA7">
        <w:rPr>
          <w:rFonts w:ascii="Times New Roman" w:eastAsia="Times New Roman" w:hAnsi="Times New Roman" w:cs="Times New Roman"/>
          <w:highlight w:val="yellow"/>
        </w:rPr>
        <w:t>always</w:t>
      </w:r>
      <w:r>
        <w:rPr>
          <w:rFonts w:ascii="Times New Roman" w:eastAsia="Times New Roman" w:hAnsi="Times New Roman" w:cs="Times New Roman"/>
        </w:rPr>
        <w:t xml:space="preserve"> a factor to consider purchase. </w:t>
      </w:r>
    </w:p>
    <w:p w14:paraId="1C3223B2" w14:textId="77777777" w:rsidR="00487CB5" w:rsidRDefault="00487CB5" w:rsidP="009B6419">
      <w:pPr>
        <w:ind w:left="283"/>
        <w:jc w:val="both"/>
        <w:rPr>
          <w:rFonts w:ascii="Times New Roman" w:eastAsia="Times New Roman" w:hAnsi="Times New Roman" w:cs="Times New Roman"/>
        </w:rPr>
      </w:pPr>
    </w:p>
    <w:p w14:paraId="4A9011E5" w14:textId="16DF29ED"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Another </w:t>
      </w:r>
      <w:r w:rsidR="00421D20">
        <w:rPr>
          <w:rFonts w:ascii="Times New Roman" w:eastAsia="Times New Roman" w:hAnsi="Times New Roman" w:cs="Times New Roman"/>
        </w:rPr>
        <w:t xml:space="preserve">criterion </w:t>
      </w:r>
      <w:r>
        <w:rPr>
          <w:rFonts w:ascii="Times New Roman" w:eastAsia="Times New Roman" w:hAnsi="Times New Roman" w:cs="Times New Roman"/>
        </w:rPr>
        <w:t xml:space="preserve">used for alternative evaluation is brand. Choosing and sticking to a certain brand is a popular method of streamlining the decision-making process. The client can then spend less time in the information and assessment phases. The customer can just decide to buy directly from their favoured brand (Mishra, 2018). Aaker and Keller in 1990 said that customers relate </w:t>
      </w:r>
      <w:r w:rsidR="00421D20">
        <w:rPr>
          <w:rFonts w:ascii="Times New Roman" w:eastAsia="Times New Roman" w:hAnsi="Times New Roman" w:cs="Times New Roman"/>
        </w:rPr>
        <w:t xml:space="preserve">to </w:t>
      </w:r>
      <w:r>
        <w:rPr>
          <w:rFonts w:ascii="Times New Roman" w:eastAsia="Times New Roman" w:hAnsi="Times New Roman" w:cs="Times New Roman"/>
        </w:rPr>
        <w:t xml:space="preserve">the brand identity and hence, it becomes an important criterion to base purchase decisions. Businesses think that by developing a robust brand perception in the eyes of the customers, they might lessen the consumer's uncertainty while weighing the pros and cons of several options. Additionally, this enhances one's commitment to </w:t>
      </w:r>
      <w:r>
        <w:rPr>
          <w:rFonts w:ascii="Times New Roman" w:eastAsia="Times New Roman" w:hAnsi="Times New Roman" w:cs="Times New Roman"/>
        </w:rPr>
        <w:lastRenderedPageBreak/>
        <w:t>the brand</w:t>
      </w:r>
      <w:r w:rsidR="00421D20">
        <w:rPr>
          <w:rFonts w:ascii="Times New Roman" w:eastAsia="Times New Roman" w:hAnsi="Times New Roman" w:cs="Times New Roman"/>
        </w:rPr>
        <w:t>,</w:t>
      </w:r>
      <w:r>
        <w:rPr>
          <w:rFonts w:ascii="Times New Roman" w:eastAsia="Times New Roman" w:hAnsi="Times New Roman" w:cs="Times New Roman"/>
        </w:rPr>
        <w:t xml:space="preserve"> and the potential for buying from the brand rises. When making regular purchases, a customer might not consider all the options available and ultimately, just buy their preferred brand. On the other hand, consumers will weigh the pros and disadvantages of several brands while making their initial product purchase (Mishra, 2018).</w:t>
      </w:r>
    </w:p>
    <w:p w14:paraId="140B5ACE" w14:textId="77777777" w:rsidR="00487CB5" w:rsidRDefault="00487CB5" w:rsidP="009B6419">
      <w:pPr>
        <w:jc w:val="both"/>
        <w:rPr>
          <w:rFonts w:ascii="Times New Roman" w:eastAsia="Times New Roman" w:hAnsi="Times New Roman" w:cs="Times New Roman"/>
        </w:rPr>
      </w:pPr>
    </w:p>
    <w:p w14:paraId="12A757CC" w14:textId="1CB9C773"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Offering sales and discounts affects consumers' perceptions of the worth of their purchases. Customers believe that they have negotiated because of sales and discounts</w:t>
      </w:r>
      <w:r w:rsidR="00421D20">
        <w:rPr>
          <w:rFonts w:ascii="Times New Roman" w:eastAsia="Times New Roman" w:hAnsi="Times New Roman" w:cs="Times New Roman"/>
        </w:rPr>
        <w:t>,</w:t>
      </w:r>
      <w:r>
        <w:rPr>
          <w:rFonts w:ascii="Times New Roman" w:eastAsia="Times New Roman" w:hAnsi="Times New Roman" w:cs="Times New Roman"/>
        </w:rPr>
        <w:t xml:space="preserve"> which fosters “transaction utility” or “smart shopper thoughts.” The hedonic value rises as a result. Furthermore, bargains and reductions may result in the purchase of an effective final good, which might increase utilitarian value (Babin et al., 1994). </w:t>
      </w:r>
      <w:proofErr w:type="spellStart"/>
      <w:r>
        <w:rPr>
          <w:rFonts w:ascii="Times New Roman" w:eastAsia="Times New Roman" w:hAnsi="Times New Roman" w:cs="Times New Roman"/>
        </w:rPr>
        <w:t>Muruganantham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Bhakat</w:t>
      </w:r>
      <w:proofErr w:type="spellEnd"/>
      <w:r w:rsidR="00421D20">
        <w:rPr>
          <w:rFonts w:ascii="Times New Roman" w:eastAsia="Times New Roman" w:hAnsi="Times New Roman" w:cs="Times New Roman"/>
        </w:rPr>
        <w:t>,</w:t>
      </w:r>
      <w:r>
        <w:rPr>
          <w:rFonts w:ascii="Times New Roman" w:eastAsia="Times New Roman" w:hAnsi="Times New Roman" w:cs="Times New Roman"/>
        </w:rPr>
        <w:t xml:space="preserve"> in their 2013 study</w:t>
      </w:r>
      <w:r w:rsidR="00421D20">
        <w:rPr>
          <w:rFonts w:ascii="Times New Roman" w:eastAsia="Times New Roman" w:hAnsi="Times New Roman" w:cs="Times New Roman"/>
        </w:rPr>
        <w:t>,</w:t>
      </w:r>
      <w:r>
        <w:rPr>
          <w:rFonts w:ascii="Times New Roman" w:eastAsia="Times New Roman" w:hAnsi="Times New Roman" w:cs="Times New Roman"/>
        </w:rPr>
        <w:t xml:space="preserve"> stated that offers have been identified as one of the primary factors driving consumers’ impulsive purchases.</w:t>
      </w:r>
    </w:p>
    <w:p w14:paraId="38DFE11C" w14:textId="77777777" w:rsidR="00487CB5" w:rsidRDefault="00487CB5" w:rsidP="009B6419">
      <w:pPr>
        <w:jc w:val="both"/>
        <w:rPr>
          <w:rFonts w:ascii="Times New Roman" w:eastAsia="Times New Roman" w:hAnsi="Times New Roman" w:cs="Times New Roman"/>
        </w:rPr>
      </w:pPr>
    </w:p>
    <w:p w14:paraId="7FCBCB41" w14:textId="740D4563" w:rsidR="00487CB5" w:rsidRDefault="00421D20" w:rsidP="009B6419">
      <w:pPr>
        <w:jc w:val="both"/>
        <w:rPr>
          <w:rFonts w:ascii="Times New Roman" w:eastAsia="Times New Roman" w:hAnsi="Times New Roman" w:cs="Times New Roman"/>
        </w:rPr>
      </w:pPr>
      <w:r w:rsidRPr="00FB0AA7">
        <w:rPr>
          <w:rFonts w:ascii="Times New Roman" w:eastAsia="Times New Roman" w:hAnsi="Times New Roman" w:cs="Times New Roman"/>
          <w:highlight w:val="yellow"/>
        </w:rPr>
        <w:t xml:space="preserve">The majority </w:t>
      </w:r>
      <w:r w:rsidR="002B62DD" w:rsidRPr="00FB0AA7">
        <w:rPr>
          <w:rFonts w:ascii="Times New Roman" w:eastAsia="Times New Roman" w:hAnsi="Times New Roman" w:cs="Times New Roman"/>
          <w:highlight w:val="yellow"/>
        </w:rPr>
        <w:t>of word</w:t>
      </w:r>
      <w:r w:rsidR="002B62DD">
        <w:rPr>
          <w:rFonts w:ascii="Times New Roman" w:eastAsia="Times New Roman" w:hAnsi="Times New Roman" w:cs="Times New Roman"/>
        </w:rPr>
        <w:t>-of-mouth comes from people the consumer trusts</w:t>
      </w:r>
      <w:r>
        <w:rPr>
          <w:rFonts w:ascii="Times New Roman" w:eastAsia="Times New Roman" w:hAnsi="Times New Roman" w:cs="Times New Roman"/>
        </w:rPr>
        <w:t>,</w:t>
      </w:r>
      <w:r w:rsidR="002B62DD">
        <w:rPr>
          <w:rFonts w:ascii="Times New Roman" w:eastAsia="Times New Roman" w:hAnsi="Times New Roman" w:cs="Times New Roman"/>
        </w:rPr>
        <w:t xml:space="preserve"> like friends and family (Bansal and Voyer, 2000; Brown and </w:t>
      </w:r>
      <w:proofErr w:type="spellStart"/>
      <w:r w:rsidR="002B62DD">
        <w:rPr>
          <w:rFonts w:ascii="Times New Roman" w:eastAsia="Times New Roman" w:hAnsi="Times New Roman" w:cs="Times New Roman"/>
        </w:rPr>
        <w:t>Reingen</w:t>
      </w:r>
      <w:proofErr w:type="spellEnd"/>
      <w:r w:rsidR="002B62DD">
        <w:rPr>
          <w:rFonts w:ascii="Times New Roman" w:eastAsia="Times New Roman" w:hAnsi="Times New Roman" w:cs="Times New Roman"/>
        </w:rPr>
        <w:t xml:space="preserve">, 1987). Some customers only buy products from brands they have used in their own family. </w:t>
      </w:r>
    </w:p>
    <w:p w14:paraId="484185E2" w14:textId="77777777" w:rsidR="00487CB5" w:rsidRDefault="00487CB5" w:rsidP="009B6419">
      <w:pPr>
        <w:jc w:val="both"/>
        <w:rPr>
          <w:rFonts w:ascii="Times New Roman" w:eastAsia="Times New Roman" w:hAnsi="Times New Roman" w:cs="Times New Roman"/>
        </w:rPr>
      </w:pPr>
    </w:p>
    <w:p w14:paraId="14B9FFF4" w14:textId="3C2BDA81"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The appraisal of options is the most important of these three sub-stages. It brings consumers to the point of purchase in their decision-making process. Mishra (2018) suggested the assessment criteria can be roughly categorised as follows: non-product associated criteria, primary product criteria, and </w:t>
      </w:r>
      <w:r w:rsidRPr="00FB0AA7">
        <w:rPr>
          <w:rFonts w:ascii="Times New Roman" w:eastAsia="Times New Roman" w:hAnsi="Times New Roman" w:cs="Times New Roman"/>
          <w:highlight w:val="yellow"/>
        </w:rPr>
        <w:t xml:space="preserve">additional </w:t>
      </w:r>
      <w:r w:rsidR="00421D20" w:rsidRPr="00FB0AA7">
        <w:rPr>
          <w:rFonts w:ascii="Times New Roman" w:eastAsia="Times New Roman" w:hAnsi="Times New Roman" w:cs="Times New Roman"/>
          <w:highlight w:val="yellow"/>
        </w:rPr>
        <w:t>item-</w:t>
      </w:r>
      <w:r w:rsidRPr="00FB0AA7">
        <w:rPr>
          <w:rFonts w:ascii="Times New Roman" w:eastAsia="Times New Roman" w:hAnsi="Times New Roman" w:cs="Times New Roman"/>
          <w:highlight w:val="yellow"/>
        </w:rPr>
        <w:t>related criteria</w:t>
      </w:r>
      <w:r>
        <w:rPr>
          <w:rFonts w:ascii="Times New Roman" w:eastAsia="Times New Roman" w:hAnsi="Times New Roman" w:cs="Times New Roman"/>
        </w:rPr>
        <w:t xml:space="preserve"> for alternative evaluation.</w:t>
      </w:r>
    </w:p>
    <w:p w14:paraId="3E9CE6BE" w14:textId="77777777" w:rsidR="00487CB5" w:rsidRDefault="00487CB5" w:rsidP="009B6419">
      <w:pPr>
        <w:jc w:val="both"/>
        <w:rPr>
          <w:rFonts w:ascii="Times New Roman" w:eastAsia="Times New Roman" w:hAnsi="Times New Roman" w:cs="Times New Roman"/>
        </w:rPr>
      </w:pPr>
    </w:p>
    <w:p w14:paraId="244CDC38" w14:textId="3D11F535" w:rsidR="00487CB5" w:rsidRDefault="002B62DD" w:rsidP="009B6419">
      <w:pPr>
        <w:jc w:val="both"/>
        <w:rPr>
          <w:rFonts w:ascii="Times New Roman" w:eastAsia="Times New Roman" w:hAnsi="Times New Roman" w:cs="Times New Roman"/>
        </w:rPr>
      </w:pPr>
      <w:proofErr w:type="spellStart"/>
      <w:r>
        <w:rPr>
          <w:rFonts w:ascii="Times New Roman" w:eastAsia="Times New Roman" w:hAnsi="Times New Roman" w:cs="Times New Roman"/>
        </w:rPr>
        <w:t>Emekci</w:t>
      </w:r>
      <w:proofErr w:type="spellEnd"/>
      <w:r>
        <w:rPr>
          <w:rFonts w:ascii="Times New Roman" w:eastAsia="Times New Roman" w:hAnsi="Times New Roman" w:cs="Times New Roman"/>
        </w:rPr>
        <w:t xml:space="preserve"> (2019) believed that personality attributes, rather than socioeconomic considerations, are a more reliable predictor of environmentally conscious consumers. The Big Five Personality Traits theory</w:t>
      </w:r>
      <w:r w:rsidR="00421D20">
        <w:rPr>
          <w:rFonts w:ascii="Times New Roman" w:eastAsia="Times New Roman" w:hAnsi="Times New Roman" w:cs="Times New Roman"/>
        </w:rPr>
        <w:t>,</w:t>
      </w:r>
      <w:r>
        <w:rPr>
          <w:rFonts w:ascii="Times New Roman" w:eastAsia="Times New Roman" w:hAnsi="Times New Roman" w:cs="Times New Roman"/>
        </w:rPr>
        <w:t xml:space="preserve"> initially given by </w:t>
      </w:r>
      <w:proofErr w:type="spellStart"/>
      <w:r>
        <w:rPr>
          <w:rFonts w:ascii="Times New Roman" w:eastAsia="Times New Roman" w:hAnsi="Times New Roman" w:cs="Times New Roman"/>
        </w:rPr>
        <w:t>D.W.Fiske</w:t>
      </w:r>
      <w:proofErr w:type="spellEnd"/>
      <w:r w:rsidR="00421D20">
        <w:rPr>
          <w:rFonts w:ascii="Times New Roman" w:eastAsia="Times New Roman" w:hAnsi="Times New Roman" w:cs="Times New Roman"/>
        </w:rPr>
        <w:t>,</w:t>
      </w:r>
      <w:r>
        <w:rPr>
          <w:rFonts w:ascii="Times New Roman" w:eastAsia="Times New Roman" w:hAnsi="Times New Roman" w:cs="Times New Roman"/>
        </w:rPr>
        <w:t xml:space="preserve"> talks about five major personality traits - neuroticism, agreeableness, extraversion, conscientiousness, and openness. </w:t>
      </w:r>
    </w:p>
    <w:p w14:paraId="33A917FA" w14:textId="77777777" w:rsidR="00487CB5" w:rsidRDefault="00487CB5" w:rsidP="009B6419">
      <w:pPr>
        <w:jc w:val="both"/>
        <w:rPr>
          <w:rFonts w:ascii="Times New Roman" w:eastAsia="Times New Roman" w:hAnsi="Times New Roman" w:cs="Times New Roman"/>
        </w:rPr>
      </w:pPr>
    </w:p>
    <w:p w14:paraId="79099E2B"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A study done by </w:t>
      </w:r>
      <w:proofErr w:type="spellStart"/>
      <w:r>
        <w:rPr>
          <w:rFonts w:ascii="Times New Roman" w:eastAsia="Times New Roman" w:hAnsi="Times New Roman" w:cs="Times New Roman"/>
        </w:rPr>
        <w:t>Bhrambhatt</w:t>
      </w:r>
      <w:proofErr w:type="spellEnd"/>
      <w:r>
        <w:rPr>
          <w:rFonts w:ascii="Times New Roman" w:eastAsia="Times New Roman" w:hAnsi="Times New Roman" w:cs="Times New Roman"/>
        </w:rPr>
        <w:t xml:space="preserve"> in 2023 showed that people with high scores for Openness, Conscientiousness, Extraversion, and Agreeableness also scored considerably high in their Green Purchase Intention. However, no correlation was found between individuals with high scores for green purchase intention and high scores for Neuroticism personality traits. </w:t>
      </w:r>
    </w:p>
    <w:p w14:paraId="0105DB59" w14:textId="77777777" w:rsidR="00487CB5" w:rsidRDefault="00487CB5" w:rsidP="009B6419">
      <w:pPr>
        <w:jc w:val="both"/>
        <w:rPr>
          <w:rFonts w:ascii="Times New Roman" w:eastAsia="Times New Roman" w:hAnsi="Times New Roman" w:cs="Times New Roman"/>
        </w:rPr>
      </w:pPr>
    </w:p>
    <w:p w14:paraId="58BCA565"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In the same research, those with high scores on environmental concern were also found to have considerably greater ratings on extraversion, conscientiousness, agreeableness and openness in the OCEAN personality traits. Yet, no association was found between those with high scores on environmental importance and neuroticism traits.</w:t>
      </w:r>
    </w:p>
    <w:p w14:paraId="5821F925" w14:textId="77777777" w:rsidR="00487CB5" w:rsidRDefault="00487CB5" w:rsidP="009B6419">
      <w:pPr>
        <w:jc w:val="both"/>
        <w:rPr>
          <w:rFonts w:ascii="Times New Roman" w:eastAsia="Times New Roman" w:hAnsi="Times New Roman" w:cs="Times New Roman"/>
        </w:rPr>
      </w:pPr>
    </w:p>
    <w:p w14:paraId="2A5FE380"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Schwartz created the Norm activation theory (NAT) to explain the connection between actions, personal norms, and activators (Harland et al., 2007). NAT was originally developed to explain helping behaviour, but it was later expanded to philanthropic behaviour that benefits others in general. One of the primary NAT theories is that pro-social conduct is influenced by the stimulation of ethical values that an individual has (Turaga et al., 2010). NAT is frequently used to explain how decisions are made in moral contexts like environmentally conscious behaviour (Stern et al., 1999). </w:t>
      </w:r>
    </w:p>
    <w:p w14:paraId="3BA75DEC" w14:textId="77777777" w:rsidR="00487CB5" w:rsidRDefault="00487CB5" w:rsidP="009B6419">
      <w:pPr>
        <w:jc w:val="both"/>
        <w:rPr>
          <w:rFonts w:ascii="Times New Roman" w:eastAsia="Times New Roman" w:hAnsi="Times New Roman" w:cs="Times New Roman"/>
        </w:rPr>
      </w:pPr>
    </w:p>
    <w:p w14:paraId="1ECAF7F6" w14:textId="0196A4DC"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Norm</w:t>
      </w:r>
      <w:r w:rsidRPr="00FB0AA7">
        <w:rPr>
          <w:rFonts w:ascii="Times New Roman" w:eastAsia="Times New Roman" w:hAnsi="Times New Roman" w:cs="Times New Roman"/>
          <w:highlight w:val="yellow"/>
        </w:rPr>
        <w:t>-activations</w:t>
      </w:r>
      <w:r w:rsidR="00421D20" w:rsidRPr="00FB0AA7">
        <w:rPr>
          <w:rFonts w:ascii="Times New Roman" w:eastAsia="Times New Roman" w:hAnsi="Times New Roman" w:cs="Times New Roman"/>
          <w:highlight w:val="yellow"/>
        </w:rPr>
        <w:t>,</w:t>
      </w:r>
      <w:r w:rsidRPr="00FB0AA7">
        <w:rPr>
          <w:rFonts w:ascii="Times New Roman" w:eastAsia="Times New Roman" w:hAnsi="Times New Roman" w:cs="Times New Roman"/>
          <w:highlight w:val="yellow"/>
        </w:rPr>
        <w:t xml:space="preserve"> as defined by NAT, are the processes by which people form expectations for </w:t>
      </w:r>
      <w:r w:rsidR="00421D20" w:rsidRPr="00FB0AA7">
        <w:rPr>
          <w:rFonts w:ascii="Times New Roman" w:eastAsia="Times New Roman" w:hAnsi="Times New Roman" w:cs="Times New Roman"/>
          <w:highlight w:val="yellow"/>
        </w:rPr>
        <w:t xml:space="preserve">themselves </w:t>
      </w:r>
      <w:r w:rsidRPr="00FB0AA7">
        <w:rPr>
          <w:rFonts w:ascii="Times New Roman" w:eastAsia="Times New Roman" w:hAnsi="Times New Roman" w:cs="Times New Roman"/>
          <w:highlight w:val="yellow"/>
        </w:rPr>
        <w:t>about pro-social behaviour. These self-expectations are referred to as "personal norms" and are character</w:t>
      </w:r>
      <w:r>
        <w:rPr>
          <w:rFonts w:ascii="Times New Roman" w:eastAsia="Times New Roman" w:hAnsi="Times New Roman" w:cs="Times New Roman"/>
        </w:rPr>
        <w:t>ised by righteous duties or responsibilities that directly impact conduct (Harland et al., 2007). However</w:t>
      </w:r>
      <w:r w:rsidR="00421D20">
        <w:rPr>
          <w:rFonts w:ascii="Times New Roman" w:eastAsia="Times New Roman" w:hAnsi="Times New Roman" w:cs="Times New Roman"/>
        </w:rPr>
        <w:t>,</w:t>
      </w:r>
      <w:r>
        <w:rPr>
          <w:rFonts w:ascii="Times New Roman" w:eastAsia="Times New Roman" w:hAnsi="Times New Roman" w:cs="Times New Roman"/>
        </w:rPr>
        <w:t xml:space="preserve"> the study by Harland et al. in 2007 also mentioned that personal norm activation alone </w:t>
      </w:r>
      <w:r>
        <w:rPr>
          <w:rFonts w:ascii="Times New Roman" w:eastAsia="Times New Roman" w:hAnsi="Times New Roman" w:cs="Times New Roman"/>
        </w:rPr>
        <w:lastRenderedPageBreak/>
        <w:t xml:space="preserve">is insufficient to promote prosocial behaviour because it can be countered by downplaying the impact of one’s actions on other people or by downplaying one’s own responsibility for their deeds. </w:t>
      </w:r>
    </w:p>
    <w:p w14:paraId="6B9747F2" w14:textId="77777777" w:rsidR="00487CB5" w:rsidRDefault="00487CB5" w:rsidP="009B6419">
      <w:pPr>
        <w:jc w:val="both"/>
        <w:rPr>
          <w:rFonts w:ascii="Times New Roman" w:eastAsia="Times New Roman" w:hAnsi="Times New Roman" w:cs="Times New Roman"/>
        </w:rPr>
      </w:pPr>
    </w:p>
    <w:p w14:paraId="25AFF5DE"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Four situational elements or activators namely,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awareness of need, (ii) situational accountability, (iii) efficacy, and (iv) ability as well as two activators of personality traits i.e.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awareness of consequences and (ii) denial of accountability—combine to form the framework of norm activation. </w:t>
      </w:r>
    </w:p>
    <w:p w14:paraId="6A780F4D" w14:textId="77777777" w:rsidR="00487CB5" w:rsidRDefault="00487CB5" w:rsidP="009B6419">
      <w:pPr>
        <w:ind w:left="283"/>
        <w:jc w:val="both"/>
        <w:rPr>
          <w:rFonts w:ascii="Times New Roman" w:eastAsia="Times New Roman" w:hAnsi="Times New Roman" w:cs="Times New Roman"/>
        </w:rPr>
      </w:pPr>
    </w:p>
    <w:p w14:paraId="1AEFEC05" w14:textId="0B3F391B"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So NAT states that environmentally friendly behaviour in people emerges when they acknowledge responsibility for doing their </w:t>
      </w:r>
      <w:r w:rsidRPr="00FB0AA7">
        <w:rPr>
          <w:rFonts w:ascii="Times New Roman" w:eastAsia="Times New Roman" w:hAnsi="Times New Roman" w:cs="Times New Roman"/>
          <w:highlight w:val="yellow"/>
        </w:rPr>
        <w:t xml:space="preserve">part for the good of all mankind and when they are mindful of the implications of their choices and </w:t>
      </w:r>
      <w:r w:rsidR="00EF084F" w:rsidRPr="00FB0AA7">
        <w:rPr>
          <w:rFonts w:ascii="Times New Roman" w:eastAsia="Times New Roman" w:hAnsi="Times New Roman" w:cs="Times New Roman"/>
          <w:highlight w:val="yellow"/>
        </w:rPr>
        <w:t xml:space="preserve"> behaviour</w:t>
      </w:r>
      <w:r w:rsidRPr="00FB0AA7">
        <w:rPr>
          <w:rFonts w:ascii="Times New Roman" w:eastAsia="Times New Roman" w:hAnsi="Times New Roman" w:cs="Times New Roman"/>
          <w:highlight w:val="yellow"/>
        </w:rPr>
        <w:t>s on t</w:t>
      </w:r>
      <w:r>
        <w:rPr>
          <w:rFonts w:ascii="Times New Roman" w:eastAsia="Times New Roman" w:hAnsi="Times New Roman" w:cs="Times New Roman"/>
        </w:rPr>
        <w:t xml:space="preserve">he planet (Turaga et al., 2010). </w:t>
      </w:r>
    </w:p>
    <w:p w14:paraId="013E36A4" w14:textId="77777777" w:rsidR="00487CB5" w:rsidRDefault="00487CB5" w:rsidP="009B6419">
      <w:pPr>
        <w:jc w:val="both"/>
        <w:rPr>
          <w:rFonts w:ascii="Times New Roman" w:eastAsia="Times New Roman" w:hAnsi="Times New Roman" w:cs="Times New Roman"/>
          <w:b/>
        </w:rPr>
      </w:pPr>
    </w:p>
    <w:p w14:paraId="4AC2D53E" w14:textId="77777777" w:rsidR="00487CB5" w:rsidRDefault="002B62DD" w:rsidP="009B641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Green Purchase Behaviour </w:t>
      </w:r>
    </w:p>
    <w:p w14:paraId="2F7B970C" w14:textId="77777777" w:rsidR="00487CB5" w:rsidRDefault="00487CB5" w:rsidP="009B6419">
      <w:pPr>
        <w:jc w:val="both"/>
        <w:rPr>
          <w:rFonts w:ascii="Times New Roman" w:eastAsia="Times New Roman" w:hAnsi="Times New Roman" w:cs="Times New Roman"/>
          <w:b/>
        </w:rPr>
      </w:pPr>
    </w:p>
    <w:p w14:paraId="335E7F67" w14:textId="784AEEA4"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According to Joshi &amp; </w:t>
      </w:r>
      <w:r w:rsidRPr="00FB0AA7">
        <w:rPr>
          <w:rFonts w:ascii="Times New Roman" w:eastAsia="Times New Roman" w:hAnsi="Times New Roman" w:cs="Times New Roman"/>
          <w:highlight w:val="yellow"/>
        </w:rPr>
        <w:t xml:space="preserve">Rahman, Green purchase </w:t>
      </w:r>
      <w:r w:rsidR="00EF084F" w:rsidRPr="00FB0AA7">
        <w:rPr>
          <w:rFonts w:ascii="Times New Roman" w:eastAsia="Times New Roman" w:hAnsi="Times New Roman" w:cs="Times New Roman"/>
          <w:highlight w:val="yellow"/>
        </w:rPr>
        <w:t xml:space="preserve"> behaviour</w:t>
      </w:r>
      <w:r w:rsidRPr="00FB0AA7">
        <w:rPr>
          <w:rFonts w:ascii="Times New Roman" w:eastAsia="Times New Roman" w:hAnsi="Times New Roman" w:cs="Times New Roman"/>
          <w:highlight w:val="yellow"/>
        </w:rPr>
        <w:t xml:space="preserve"> (GPB) refers to the actual buying actions of consumers who </w:t>
      </w:r>
      <w:r w:rsidR="00421D20" w:rsidRPr="00FB0AA7">
        <w:rPr>
          <w:rFonts w:ascii="Times New Roman" w:eastAsia="Times New Roman" w:hAnsi="Times New Roman" w:cs="Times New Roman"/>
          <w:highlight w:val="yellow"/>
        </w:rPr>
        <w:t xml:space="preserve">prioritise </w:t>
      </w:r>
      <w:r w:rsidRPr="00FB0AA7">
        <w:rPr>
          <w:rFonts w:ascii="Times New Roman" w:eastAsia="Times New Roman" w:hAnsi="Times New Roman" w:cs="Times New Roman"/>
          <w:highlight w:val="yellow"/>
        </w:rPr>
        <w:t>environmentally friendly products and services over conventional ones. Unlike green purchase intention,</w:t>
      </w:r>
      <w:r>
        <w:rPr>
          <w:rFonts w:ascii="Times New Roman" w:eastAsia="Times New Roman" w:hAnsi="Times New Roman" w:cs="Times New Roman"/>
        </w:rPr>
        <w:t xml:space="preserve"> which reflects willingness or readiness, GPB is the manifestation of these intentions in real purchasing decisions. </w:t>
      </w:r>
    </w:p>
    <w:p w14:paraId="4B4A564D" w14:textId="77777777" w:rsidR="00487CB5" w:rsidRDefault="00487CB5" w:rsidP="009B6419">
      <w:pPr>
        <w:jc w:val="both"/>
        <w:rPr>
          <w:rFonts w:ascii="Times New Roman" w:eastAsia="Times New Roman" w:hAnsi="Times New Roman" w:cs="Times New Roman"/>
        </w:rPr>
      </w:pPr>
    </w:p>
    <w:p w14:paraId="7DDDB78A" w14:textId="6DB213B5" w:rsidR="00487CB5" w:rsidRDefault="002B62DD" w:rsidP="009B6419">
      <w:pPr>
        <w:jc w:val="both"/>
        <w:rPr>
          <w:rFonts w:ascii="Times New Roman" w:eastAsia="Times New Roman" w:hAnsi="Times New Roman" w:cs="Times New Roman"/>
        </w:rPr>
      </w:pPr>
      <w:proofErr w:type="spellStart"/>
      <w:r>
        <w:rPr>
          <w:rFonts w:ascii="Times New Roman" w:eastAsia="Times New Roman" w:hAnsi="Times New Roman" w:cs="Times New Roman"/>
        </w:rPr>
        <w:t>Taufique</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Vaithianathan’s</w:t>
      </w:r>
      <w:proofErr w:type="spellEnd"/>
      <w:r>
        <w:rPr>
          <w:rFonts w:ascii="Times New Roman" w:eastAsia="Times New Roman" w:hAnsi="Times New Roman" w:cs="Times New Roman"/>
        </w:rPr>
        <w:t xml:space="preserve"> study on understanding green </w:t>
      </w:r>
      <w:r w:rsidRPr="00FB0AA7">
        <w:rPr>
          <w:rFonts w:ascii="Times New Roman" w:eastAsia="Times New Roman" w:hAnsi="Times New Roman" w:cs="Times New Roman"/>
          <w:highlight w:val="yellow"/>
        </w:rPr>
        <w:t xml:space="preserve">consumer </w:t>
      </w:r>
      <w:r w:rsidR="00EF084F" w:rsidRPr="00FB0AA7">
        <w:rPr>
          <w:rFonts w:ascii="Times New Roman" w:eastAsia="Times New Roman" w:hAnsi="Times New Roman" w:cs="Times New Roman"/>
          <w:highlight w:val="yellow"/>
        </w:rPr>
        <w:t xml:space="preserve"> behaviour</w:t>
      </w:r>
      <w:r w:rsidRPr="00FB0AA7">
        <w:rPr>
          <w:rFonts w:ascii="Times New Roman" w:eastAsia="Times New Roman" w:hAnsi="Times New Roman" w:cs="Times New Roman"/>
          <w:highlight w:val="yellow"/>
        </w:rPr>
        <w:t xml:space="preserve"> among</w:t>
      </w:r>
      <w:r>
        <w:rPr>
          <w:rFonts w:ascii="Times New Roman" w:eastAsia="Times New Roman" w:hAnsi="Times New Roman" w:cs="Times New Roman"/>
        </w:rPr>
        <w:t xml:space="preserve"> young urban Indian consumers reveal that environmental knowledge—both general and product-specific—has a significant impact on GPB. Consumers who understand environmental issues, such as climate change and resource depletion, are more inclined to support eco-friendly products. </w:t>
      </w:r>
    </w:p>
    <w:p w14:paraId="3DD714BB" w14:textId="77777777" w:rsidR="00487CB5" w:rsidRDefault="00487CB5" w:rsidP="009B6419">
      <w:pPr>
        <w:jc w:val="both"/>
        <w:rPr>
          <w:rFonts w:ascii="Times New Roman" w:eastAsia="Times New Roman" w:hAnsi="Times New Roman" w:cs="Times New Roman"/>
        </w:rPr>
      </w:pPr>
    </w:p>
    <w:p w14:paraId="7F431D7A" w14:textId="63AAEE3A" w:rsidR="00487CB5" w:rsidRDefault="002B62DD" w:rsidP="009B6419">
      <w:pPr>
        <w:jc w:val="both"/>
        <w:rPr>
          <w:rFonts w:ascii="Times New Roman" w:eastAsia="Times New Roman" w:hAnsi="Times New Roman" w:cs="Times New Roman"/>
          <w:b/>
          <w:sz w:val="24"/>
          <w:szCs w:val="24"/>
        </w:rPr>
      </w:pPr>
      <w:r w:rsidRPr="00FB0AA7">
        <w:rPr>
          <w:rFonts w:ascii="Times New Roman" w:eastAsia="Times New Roman" w:hAnsi="Times New Roman" w:cs="Times New Roman"/>
          <w:b/>
          <w:sz w:val="24"/>
          <w:szCs w:val="24"/>
          <w:highlight w:val="yellow"/>
        </w:rPr>
        <w:t xml:space="preserve">Consumer </w:t>
      </w:r>
      <w:r w:rsidR="00D178DA" w:rsidRPr="00FB0AA7">
        <w:rPr>
          <w:rFonts w:ascii="Times New Roman" w:eastAsia="Times New Roman" w:hAnsi="Times New Roman" w:cs="Times New Roman"/>
          <w:b/>
          <w:sz w:val="24"/>
          <w:szCs w:val="24"/>
          <w:highlight w:val="yellow"/>
        </w:rPr>
        <w:t>Scepticism</w:t>
      </w:r>
      <w:r>
        <w:rPr>
          <w:rFonts w:ascii="Times New Roman" w:eastAsia="Times New Roman" w:hAnsi="Times New Roman" w:cs="Times New Roman"/>
          <w:b/>
          <w:sz w:val="24"/>
          <w:szCs w:val="24"/>
        </w:rPr>
        <w:t xml:space="preserve"> </w:t>
      </w:r>
    </w:p>
    <w:p w14:paraId="4CCEBF77" w14:textId="77777777" w:rsidR="00487CB5" w:rsidRDefault="00487CB5" w:rsidP="009B6419">
      <w:pPr>
        <w:jc w:val="both"/>
        <w:rPr>
          <w:rFonts w:ascii="Times New Roman" w:eastAsia="Times New Roman" w:hAnsi="Times New Roman" w:cs="Times New Roman"/>
        </w:rPr>
      </w:pPr>
    </w:p>
    <w:p w14:paraId="329412AC" w14:textId="2E494431" w:rsidR="00487CB5" w:rsidRDefault="002B62DD" w:rsidP="009B6419">
      <w:pPr>
        <w:jc w:val="both"/>
        <w:rPr>
          <w:rFonts w:ascii="Times New Roman" w:eastAsia="Times New Roman" w:hAnsi="Times New Roman" w:cs="Times New Roman"/>
        </w:rPr>
      </w:pPr>
      <w:proofErr w:type="spellStart"/>
      <w:r>
        <w:rPr>
          <w:rFonts w:ascii="Times New Roman" w:eastAsia="Times New Roman" w:hAnsi="Times New Roman" w:cs="Times New Roman"/>
        </w:rPr>
        <w:t>Foreh</w:t>
      </w:r>
      <w:proofErr w:type="spellEnd"/>
      <w:r>
        <w:rPr>
          <w:rFonts w:ascii="Times New Roman" w:eastAsia="Times New Roman" w:hAnsi="Times New Roman" w:cs="Times New Roman"/>
        </w:rPr>
        <w:t xml:space="preserve"> &amp; Grier, used the definition of the </w:t>
      </w:r>
      <w:r w:rsidRPr="00FB0AA7">
        <w:rPr>
          <w:rFonts w:ascii="Times New Roman" w:eastAsia="Times New Roman" w:hAnsi="Times New Roman" w:cs="Times New Roman"/>
          <w:highlight w:val="yellow"/>
        </w:rPr>
        <w:t>term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is that it refers to an individual's inclination to doubt, disbelieve, or question someone or something.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is a topic studied across different fields of subjects such as psychology, sociology, politics, and philosophy</w:t>
      </w:r>
      <w:r>
        <w:rPr>
          <w:rFonts w:ascii="Times New Roman" w:eastAsia="Times New Roman" w:hAnsi="Times New Roman" w:cs="Times New Roman"/>
        </w:rPr>
        <w:t xml:space="preserve">. </w:t>
      </w:r>
    </w:p>
    <w:p w14:paraId="759D0D2C" w14:textId="77777777" w:rsidR="00487CB5" w:rsidRDefault="00487CB5" w:rsidP="009B6419">
      <w:pPr>
        <w:jc w:val="both"/>
        <w:rPr>
          <w:rFonts w:ascii="Times New Roman" w:eastAsia="Times New Roman" w:hAnsi="Times New Roman" w:cs="Times New Roman"/>
        </w:rPr>
      </w:pPr>
    </w:p>
    <w:p w14:paraId="250F5622" w14:textId="561D561B"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According to Obermiller, </w:t>
      </w:r>
      <w:r w:rsidRPr="00FB0AA7">
        <w:rPr>
          <w:rFonts w:ascii="Times New Roman" w:eastAsia="Times New Roman" w:hAnsi="Times New Roman" w:cs="Times New Roman"/>
          <w:highlight w:val="yellow"/>
        </w:rPr>
        <w:t xml:space="preserve">consumer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refers to th</w:t>
      </w:r>
      <w:r>
        <w:rPr>
          <w:rFonts w:ascii="Times New Roman" w:eastAsia="Times New Roman" w:hAnsi="Times New Roman" w:cs="Times New Roman"/>
        </w:rPr>
        <w:t xml:space="preserve">e degree to which consumers doubt or </w:t>
      </w:r>
      <w:r w:rsidRPr="00FB0AA7">
        <w:rPr>
          <w:rFonts w:ascii="Times New Roman" w:eastAsia="Times New Roman" w:hAnsi="Times New Roman" w:cs="Times New Roman"/>
          <w:highlight w:val="yellow"/>
        </w:rPr>
        <w:t xml:space="preserve">question the authenticity of marketing claims, especially those related to environmental and ethical issues. This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is crucial in the context of greenwashing, where companies may falsely portray their products or practices as environmentally friendly. As confirmed by Goh and Balaji in 2016,  greenwashing leads to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which directly impacts the green purchase decision of the consumers. Therefore,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in</w:t>
      </w:r>
      <w:r>
        <w:rPr>
          <w:rFonts w:ascii="Times New Roman" w:eastAsia="Times New Roman" w:hAnsi="Times New Roman" w:cs="Times New Roman"/>
        </w:rPr>
        <w:t xml:space="preserve"> this context is the tendency of consumers to disbelieve advertising information and distrust the advertiser’s intentions. </w:t>
      </w:r>
    </w:p>
    <w:p w14:paraId="586827A6" w14:textId="77777777" w:rsidR="00487CB5" w:rsidRDefault="00487CB5" w:rsidP="009B6419">
      <w:pPr>
        <w:jc w:val="both"/>
        <w:rPr>
          <w:rFonts w:ascii="Times New Roman" w:eastAsia="Times New Roman" w:hAnsi="Times New Roman" w:cs="Times New Roman"/>
        </w:rPr>
      </w:pPr>
    </w:p>
    <w:p w14:paraId="2EC5E838" w14:textId="7586C4C5"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Consumers' </w:t>
      </w:r>
      <w:r w:rsidR="00D178DA">
        <w:rPr>
          <w:rFonts w:ascii="Times New Roman" w:eastAsia="Times New Roman" w:hAnsi="Times New Roman" w:cs="Times New Roman"/>
        </w:rPr>
        <w:t>scepticism</w:t>
      </w:r>
      <w:r>
        <w:rPr>
          <w:rFonts w:ascii="Times New Roman" w:eastAsia="Times New Roman" w:hAnsi="Times New Roman" w:cs="Times New Roman"/>
        </w:rPr>
        <w:t xml:space="preserve"> increases when green claims lack credibility or transparency. According to Aji and </w:t>
      </w:r>
      <w:proofErr w:type="spellStart"/>
      <w:r>
        <w:rPr>
          <w:rFonts w:ascii="Times New Roman" w:eastAsia="Times New Roman" w:hAnsi="Times New Roman" w:cs="Times New Roman"/>
        </w:rPr>
        <w:t>Sutikno</w:t>
      </w:r>
      <w:proofErr w:type="spellEnd"/>
      <w:r>
        <w:rPr>
          <w:rFonts w:ascii="Times New Roman" w:eastAsia="Times New Roman" w:hAnsi="Times New Roman" w:cs="Times New Roman"/>
        </w:rPr>
        <w:t xml:space="preserve"> (2015), when companies make environmental claims without providing evidence or clear explanations, it diminishes consumer trust and </w:t>
      </w:r>
      <w:r w:rsidRPr="00FB0AA7">
        <w:rPr>
          <w:rFonts w:ascii="Times New Roman" w:eastAsia="Times New Roman" w:hAnsi="Times New Roman" w:cs="Times New Roman"/>
          <w:highlight w:val="yellow"/>
        </w:rPr>
        <w:t xml:space="preserve">encourages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They noted that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also arises from what has been termed "green talk"—</w:t>
      </w:r>
      <w:r>
        <w:rPr>
          <w:rFonts w:ascii="Times New Roman" w:eastAsia="Times New Roman" w:hAnsi="Times New Roman" w:cs="Times New Roman"/>
        </w:rPr>
        <w:t xml:space="preserve">exaggerated or unsubstantiated environmental claims. When companies overstate their environmental achievements without any verifiable evidence, it only fuels </w:t>
      </w:r>
      <w:r w:rsidRPr="00FB0AA7">
        <w:rPr>
          <w:rFonts w:ascii="Times New Roman" w:eastAsia="Times New Roman" w:hAnsi="Times New Roman" w:cs="Times New Roman"/>
          <w:highlight w:val="yellow"/>
        </w:rPr>
        <w:t xml:space="preserve">consumer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The use of vague language like "eco-friendly" or "green" without accompanying proof leads to a negative</w:t>
      </w:r>
      <w:r>
        <w:rPr>
          <w:rFonts w:ascii="Times New Roman" w:eastAsia="Times New Roman" w:hAnsi="Times New Roman" w:cs="Times New Roman"/>
        </w:rPr>
        <w:t xml:space="preserve"> perception among consumers, who begin to question the sincerity of companies' green intentions.</w:t>
      </w:r>
    </w:p>
    <w:p w14:paraId="796A68CF" w14:textId="77777777" w:rsidR="00487CB5" w:rsidRDefault="00487CB5" w:rsidP="009B6419">
      <w:pPr>
        <w:jc w:val="both"/>
        <w:rPr>
          <w:rFonts w:ascii="Times New Roman" w:eastAsia="Times New Roman" w:hAnsi="Times New Roman" w:cs="Times New Roman"/>
        </w:rPr>
      </w:pPr>
    </w:p>
    <w:p w14:paraId="0243BD72" w14:textId="247F7F61"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According to Romani, </w:t>
      </w:r>
      <w:proofErr w:type="spellStart"/>
      <w:r>
        <w:rPr>
          <w:rFonts w:ascii="Times New Roman" w:eastAsia="Times New Roman" w:hAnsi="Times New Roman" w:cs="Times New Roman"/>
        </w:rPr>
        <w:t>Grappi</w:t>
      </w:r>
      <w:proofErr w:type="spellEnd"/>
      <w:r>
        <w:rPr>
          <w:rFonts w:ascii="Times New Roman" w:eastAsia="Times New Roman" w:hAnsi="Times New Roman" w:cs="Times New Roman"/>
        </w:rPr>
        <w:t xml:space="preserve">, &amp; Bagozzi, there are two possible types </w:t>
      </w:r>
      <w:r w:rsidRPr="00FB0AA7">
        <w:rPr>
          <w:rFonts w:ascii="Times New Roman" w:eastAsia="Times New Roman" w:hAnsi="Times New Roman" w:cs="Times New Roman"/>
          <w:highlight w:val="yellow"/>
        </w:rPr>
        <w:t xml:space="preserve">of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situational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also known as state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in which peopl</w:t>
      </w:r>
      <w:r>
        <w:rPr>
          <w:rFonts w:ascii="Times New Roman" w:eastAsia="Times New Roman" w:hAnsi="Times New Roman" w:cs="Times New Roman"/>
        </w:rPr>
        <w:t xml:space="preserve">e's </w:t>
      </w:r>
      <w:r w:rsidR="00D178DA">
        <w:rPr>
          <w:rFonts w:ascii="Times New Roman" w:eastAsia="Times New Roman" w:hAnsi="Times New Roman" w:cs="Times New Roman"/>
        </w:rPr>
        <w:t>scepticism</w:t>
      </w:r>
      <w:r>
        <w:rPr>
          <w:rFonts w:ascii="Times New Roman" w:eastAsia="Times New Roman" w:hAnsi="Times New Roman" w:cs="Times New Roman"/>
        </w:rPr>
        <w:t xml:space="preserve"> fluctuates depending on the source and message variables; and dispositional/trait </w:t>
      </w:r>
      <w:r w:rsidR="00D178DA">
        <w:rPr>
          <w:rFonts w:ascii="Times New Roman" w:eastAsia="Times New Roman" w:hAnsi="Times New Roman" w:cs="Times New Roman"/>
        </w:rPr>
        <w:t>scepticism</w:t>
      </w:r>
      <w:r>
        <w:rPr>
          <w:rFonts w:ascii="Times New Roman" w:eastAsia="Times New Roman" w:hAnsi="Times New Roman" w:cs="Times New Roman"/>
        </w:rPr>
        <w:t xml:space="preserve">, in which people have doubts about business, marketing, advertising, and organizational communication. </w:t>
      </w:r>
    </w:p>
    <w:p w14:paraId="7BC775C8" w14:textId="77777777" w:rsidR="00487CB5" w:rsidRDefault="00487CB5" w:rsidP="009B6419">
      <w:pPr>
        <w:jc w:val="both"/>
        <w:rPr>
          <w:rFonts w:ascii="Times New Roman" w:eastAsia="Times New Roman" w:hAnsi="Times New Roman" w:cs="Times New Roman"/>
        </w:rPr>
      </w:pPr>
    </w:p>
    <w:p w14:paraId="2DFE82C7" w14:textId="3775AC23" w:rsidR="00487CB5" w:rsidRDefault="002B62DD" w:rsidP="009B6419">
      <w:pPr>
        <w:jc w:val="both"/>
        <w:rPr>
          <w:rFonts w:ascii="Times New Roman" w:eastAsia="Times New Roman" w:hAnsi="Times New Roman" w:cs="Times New Roman"/>
        </w:rPr>
      </w:pPr>
      <w:r w:rsidRPr="00FB0AA7">
        <w:rPr>
          <w:rFonts w:ascii="Times New Roman" w:eastAsia="Times New Roman" w:hAnsi="Times New Roman" w:cs="Times New Roman"/>
          <w:highlight w:val="yellow"/>
        </w:rPr>
        <w:t xml:space="preserve">Situational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relies on the circumstances and is not influenced by an individual's traits. It occurs in circumstances where people mi</w:t>
      </w:r>
      <w:r>
        <w:rPr>
          <w:rFonts w:ascii="Times New Roman" w:eastAsia="Times New Roman" w:hAnsi="Times New Roman" w:cs="Times New Roman"/>
        </w:rPr>
        <w:t xml:space="preserve">ght have doubts in trusting certain green claims. </w:t>
      </w:r>
      <w:r w:rsidRPr="00FB0AA7">
        <w:rPr>
          <w:rFonts w:ascii="Times New Roman" w:eastAsia="Times New Roman" w:hAnsi="Times New Roman" w:cs="Times New Roman"/>
          <w:highlight w:val="yellow"/>
        </w:rPr>
        <w:t xml:space="preserve">Situational factors like time constraints, accessibility, and perceived social norms can further fuel this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leading</w:t>
      </w:r>
      <w:r>
        <w:rPr>
          <w:rFonts w:ascii="Times New Roman" w:eastAsia="Times New Roman" w:hAnsi="Times New Roman" w:cs="Times New Roman"/>
        </w:rPr>
        <w:t xml:space="preserve"> individuals to revert to more familiar, mainstream products despite their environmental concerns. This hesitation to fully embrace green consumption can be exacerbated by greenwashing tactics, where companies make misleading or unsubstantiated environmental claims to attract eco-conscious consumers. Consumers who display </w:t>
      </w:r>
      <w:r w:rsidRPr="00FB0AA7">
        <w:rPr>
          <w:rFonts w:ascii="Times New Roman" w:eastAsia="Times New Roman" w:hAnsi="Times New Roman" w:cs="Times New Roman"/>
          <w:highlight w:val="yellow"/>
        </w:rPr>
        <w:t xml:space="preserve">dispositional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may be more likely to scrutinize the sustainability and eco-friendly credentials of products rather than simply</w:t>
      </w:r>
      <w:r>
        <w:rPr>
          <w:rFonts w:ascii="Times New Roman" w:eastAsia="Times New Roman" w:hAnsi="Times New Roman" w:cs="Times New Roman"/>
        </w:rPr>
        <w:t xml:space="preserve"> trust manufacturers' </w:t>
      </w:r>
      <w:r w:rsidRPr="00FB0AA7">
        <w:rPr>
          <w:rFonts w:ascii="Times New Roman" w:eastAsia="Times New Roman" w:hAnsi="Times New Roman" w:cs="Times New Roman"/>
          <w:highlight w:val="yellow"/>
        </w:rPr>
        <w:t xml:space="preserve">marketing claims. This is because they are ‘predisposed’ to questioning the authenticity. Dispositional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occurs among consumers who have a tendency to be critical and analytical of everything they come across. They may carefully</w:t>
      </w:r>
      <w:r>
        <w:rPr>
          <w:rFonts w:ascii="Times New Roman" w:eastAsia="Times New Roman" w:hAnsi="Times New Roman" w:cs="Times New Roman"/>
        </w:rPr>
        <w:t xml:space="preserve"> research and evaluate the actual environmental impact and production processes </w:t>
      </w:r>
      <w:r w:rsidRPr="00FB0AA7">
        <w:rPr>
          <w:rFonts w:ascii="Times New Roman" w:eastAsia="Times New Roman" w:hAnsi="Times New Roman" w:cs="Times New Roman"/>
          <w:highlight w:val="yellow"/>
        </w:rPr>
        <w:t xml:space="preserve">behind "green" goods, looking for objective evidence to support any environmental benefits. Dispositional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in green consumption can also manifest as a general distrust of corporate motives, doubting whether</w:t>
      </w:r>
      <w:r>
        <w:rPr>
          <w:rFonts w:ascii="Times New Roman" w:eastAsia="Times New Roman" w:hAnsi="Times New Roman" w:cs="Times New Roman"/>
        </w:rPr>
        <w:t xml:space="preserve"> companies are genuinely committed to sustainability or are merely using it as a marketing ploy. </w:t>
      </w:r>
    </w:p>
    <w:p w14:paraId="17EBE649" w14:textId="77777777" w:rsidR="00487CB5" w:rsidRDefault="00487CB5" w:rsidP="009B6419">
      <w:pPr>
        <w:jc w:val="both"/>
        <w:rPr>
          <w:rFonts w:ascii="Times New Roman" w:eastAsia="Times New Roman" w:hAnsi="Times New Roman" w:cs="Times New Roman"/>
        </w:rPr>
      </w:pPr>
    </w:p>
    <w:p w14:paraId="4FEE37C4" w14:textId="3323A24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Chaabane &amp; </w:t>
      </w:r>
      <w:proofErr w:type="spellStart"/>
      <w:r>
        <w:rPr>
          <w:rFonts w:ascii="Times New Roman" w:eastAsia="Times New Roman" w:hAnsi="Times New Roman" w:cs="Times New Roman"/>
        </w:rPr>
        <w:t>Parguel</w:t>
      </w:r>
      <w:proofErr w:type="spellEnd"/>
      <w:r>
        <w:rPr>
          <w:rFonts w:ascii="Times New Roman" w:eastAsia="Times New Roman" w:hAnsi="Times New Roman" w:cs="Times New Roman"/>
        </w:rPr>
        <w:t xml:space="preserve"> emphasize that high </w:t>
      </w:r>
      <w:r w:rsidRPr="00FB0AA7">
        <w:rPr>
          <w:rFonts w:ascii="Times New Roman" w:eastAsia="Times New Roman" w:hAnsi="Times New Roman" w:cs="Times New Roman"/>
          <w:highlight w:val="yellow"/>
        </w:rPr>
        <w:t xml:space="preserve">levels of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can dampen attitudes toward the message, the organization, and purchase intention, as well as reduce positive feelings. While this outcome was a case of situational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studies offer empirical evidence for similar outcomes with dispositional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w:t>
      </w:r>
      <w:r>
        <w:rPr>
          <w:rFonts w:ascii="Times New Roman" w:eastAsia="Times New Roman" w:hAnsi="Times New Roman" w:cs="Times New Roman"/>
        </w:rPr>
        <w:t xml:space="preserve"> </w:t>
      </w:r>
    </w:p>
    <w:p w14:paraId="00DE2B5B" w14:textId="77777777" w:rsidR="00487CB5" w:rsidRDefault="00487CB5" w:rsidP="009B6419">
      <w:pPr>
        <w:jc w:val="both"/>
        <w:rPr>
          <w:rFonts w:ascii="Times New Roman" w:eastAsia="Times New Roman" w:hAnsi="Times New Roman" w:cs="Times New Roman"/>
        </w:rPr>
      </w:pPr>
    </w:p>
    <w:p w14:paraId="6631EAAB" w14:textId="79154160"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Ottman et al.. (2006) emphasized that companies should communicate their environmental practices to gain consumer confidence. Moreover, when the information presented is vague or misleading, </w:t>
      </w:r>
      <w:r w:rsidRPr="00FB0AA7">
        <w:rPr>
          <w:rFonts w:ascii="Times New Roman" w:eastAsia="Times New Roman" w:hAnsi="Times New Roman" w:cs="Times New Roman"/>
          <w:highlight w:val="yellow"/>
        </w:rPr>
        <w:t xml:space="preserve">consumers are likely to perceive the claims as manipulative, significantly increasing their </w:t>
      </w:r>
      <w:r w:rsidR="00D178DA" w:rsidRPr="00FB0AA7">
        <w:rPr>
          <w:rFonts w:ascii="Times New Roman" w:eastAsia="Times New Roman" w:hAnsi="Times New Roman" w:cs="Times New Roman"/>
          <w:highlight w:val="yellow"/>
        </w:rPr>
        <w:t>scepticism</w:t>
      </w:r>
      <w:r>
        <w:rPr>
          <w:rFonts w:ascii="Times New Roman" w:eastAsia="Times New Roman" w:hAnsi="Times New Roman" w:cs="Times New Roman"/>
        </w:rPr>
        <w:t>.</w:t>
      </w:r>
    </w:p>
    <w:p w14:paraId="24048D32" w14:textId="77777777" w:rsidR="00487CB5" w:rsidRDefault="00487CB5" w:rsidP="009B6419">
      <w:pPr>
        <w:jc w:val="both"/>
        <w:rPr>
          <w:rFonts w:ascii="Times New Roman" w:eastAsia="Times New Roman" w:hAnsi="Times New Roman" w:cs="Times New Roman"/>
        </w:rPr>
      </w:pPr>
    </w:p>
    <w:p w14:paraId="5DA98BC2" w14:textId="3F79F9EF" w:rsidR="00487CB5" w:rsidRDefault="002B62DD" w:rsidP="009B6419">
      <w:pPr>
        <w:jc w:val="both"/>
        <w:rPr>
          <w:rFonts w:ascii="Times New Roman" w:eastAsia="Times New Roman" w:hAnsi="Times New Roman" w:cs="Times New Roman"/>
        </w:rPr>
      </w:pPr>
      <w:r w:rsidRPr="00FB0AA7">
        <w:rPr>
          <w:rFonts w:ascii="Times New Roman" w:eastAsia="Times New Roman" w:hAnsi="Times New Roman" w:cs="Times New Roman"/>
          <w:highlight w:val="yellow"/>
        </w:rPr>
        <w:t xml:space="preserve">Third-party certifications play a critical role in alleviating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According to Zinkhan and Carlson (1995), certifications like Energy Star or Fair Trade provide con</w:t>
      </w:r>
      <w:r>
        <w:rPr>
          <w:rFonts w:ascii="Times New Roman" w:eastAsia="Times New Roman" w:hAnsi="Times New Roman" w:cs="Times New Roman"/>
        </w:rPr>
        <w:t xml:space="preserve">sumers with an objective measure of a product's environmental credentials, helping them overcome doubts about the legitimacy of green claims. </w:t>
      </w:r>
    </w:p>
    <w:p w14:paraId="4C636E16" w14:textId="77777777" w:rsidR="00487CB5" w:rsidRDefault="00487CB5" w:rsidP="009B6419">
      <w:pPr>
        <w:jc w:val="both"/>
        <w:rPr>
          <w:rFonts w:ascii="Times New Roman" w:eastAsia="Times New Roman" w:hAnsi="Times New Roman" w:cs="Times New Roman"/>
        </w:rPr>
      </w:pPr>
    </w:p>
    <w:p w14:paraId="1D832F51"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A study conducted by Khandelwal, Sharma &amp; Jain (2019) confirmed that the level of awareness of customers is low by testing how greenwashing affects customers’ perception. In Context to this study, the attitude towards quality </w:t>
      </w:r>
      <w:proofErr w:type="spellStart"/>
      <w:r>
        <w:rPr>
          <w:rFonts w:ascii="Times New Roman" w:eastAsia="Times New Roman" w:hAnsi="Times New Roman" w:cs="Times New Roman"/>
        </w:rPr>
        <w:t>labeling</w:t>
      </w:r>
      <w:proofErr w:type="spellEnd"/>
      <w:r>
        <w:rPr>
          <w:rFonts w:ascii="Times New Roman" w:eastAsia="Times New Roman" w:hAnsi="Times New Roman" w:cs="Times New Roman"/>
        </w:rPr>
        <w:t xml:space="preserve"> and the perceived value were assumed to decline when customers are getting informed about greenwashing. The awareness has been considered to influence customers' beliefs and norms, consequently affecting customers’ purchase decision, in particular, on the tested constructs of the attitude towards quality label and their perceived value. It became clear that the explanation of the phenomenon had a consequential effect on participants’ responses. Overall, this indicates a decline in customers' decisions to purchase quality-</w:t>
      </w:r>
      <w:proofErr w:type="spellStart"/>
      <w:r>
        <w:rPr>
          <w:rFonts w:ascii="Times New Roman" w:eastAsia="Times New Roman" w:hAnsi="Times New Roman" w:cs="Times New Roman"/>
        </w:rPr>
        <w:t>labeled</w:t>
      </w:r>
      <w:proofErr w:type="spellEnd"/>
      <w:r>
        <w:rPr>
          <w:rFonts w:ascii="Times New Roman" w:eastAsia="Times New Roman" w:hAnsi="Times New Roman" w:cs="Times New Roman"/>
        </w:rPr>
        <w:t xml:space="preserve"> products. This outcome is further supported by the respondents' preference for either </w:t>
      </w:r>
      <w:proofErr w:type="spellStart"/>
      <w:r>
        <w:rPr>
          <w:rFonts w:ascii="Times New Roman" w:eastAsia="Times New Roman" w:hAnsi="Times New Roman" w:cs="Times New Roman"/>
        </w:rPr>
        <w:t>labeled</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unlabeled</w:t>
      </w:r>
      <w:proofErr w:type="spellEnd"/>
      <w:r>
        <w:rPr>
          <w:rFonts w:ascii="Times New Roman" w:eastAsia="Times New Roman" w:hAnsi="Times New Roman" w:cs="Times New Roman"/>
        </w:rPr>
        <w:t xml:space="preserve"> packaging. The number of respondents choosing the </w:t>
      </w:r>
      <w:proofErr w:type="spellStart"/>
      <w:r>
        <w:rPr>
          <w:rFonts w:ascii="Times New Roman" w:eastAsia="Times New Roman" w:hAnsi="Times New Roman" w:cs="Times New Roman"/>
        </w:rPr>
        <w:t>unlabeled</w:t>
      </w:r>
      <w:proofErr w:type="spellEnd"/>
      <w:r>
        <w:rPr>
          <w:rFonts w:ascii="Times New Roman" w:eastAsia="Times New Roman" w:hAnsi="Times New Roman" w:cs="Times New Roman"/>
        </w:rPr>
        <w:t xml:space="preserve"> product increased, while the choice for the </w:t>
      </w:r>
      <w:proofErr w:type="spellStart"/>
      <w:r>
        <w:rPr>
          <w:rFonts w:ascii="Times New Roman" w:eastAsia="Times New Roman" w:hAnsi="Times New Roman" w:cs="Times New Roman"/>
        </w:rPr>
        <w:t>labeled</w:t>
      </w:r>
      <w:proofErr w:type="spellEnd"/>
      <w:r>
        <w:rPr>
          <w:rFonts w:ascii="Times New Roman" w:eastAsia="Times New Roman" w:hAnsi="Times New Roman" w:cs="Times New Roman"/>
        </w:rPr>
        <w:t xml:space="preserve"> product decreased. </w:t>
      </w:r>
    </w:p>
    <w:p w14:paraId="4CBAEA6D" w14:textId="77777777" w:rsidR="00487CB5" w:rsidRDefault="00487CB5">
      <w:pPr>
        <w:rPr>
          <w:rFonts w:ascii="Times New Roman" w:eastAsia="Times New Roman" w:hAnsi="Times New Roman" w:cs="Times New Roman"/>
          <w:b/>
        </w:rPr>
      </w:pPr>
    </w:p>
    <w:p w14:paraId="39C033AF"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Theoretical Framework</w:t>
      </w:r>
    </w:p>
    <w:p w14:paraId="1D8BA37B" w14:textId="77777777" w:rsidR="00487CB5" w:rsidRDefault="00487CB5">
      <w:pPr>
        <w:rPr>
          <w:rFonts w:ascii="Times New Roman" w:eastAsia="Times New Roman" w:hAnsi="Times New Roman" w:cs="Times New Roman"/>
          <w:b/>
        </w:rPr>
      </w:pPr>
    </w:p>
    <w:p w14:paraId="110B7689" w14:textId="43EF9541"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This research seeks to unravel the complexities of green purchase behaviour by exploring the interplay between personal norms, green purchase intention, consumer buying processes, and post-purchase outcomes. Personal norms act as the moral compass driving intention, which serves as the bridge between values and action. Four situational elements or activators namely,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awareness of need, (ii) situational accountability, (iii) efficacy, and (iv) ability as well as two activators of personality traits i.e.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awareness of consequences and (ii) denial of accountability—combine to form the framework of norm activation. (Harland et al., 2007) This combined set of traits makes up behaviour, which in this case is the intention to purchase green products or GPI. This study aims to examine a consumer’s process of purchasing, and this step is necessary as it determines whether an individual is willing to purchase green products; the Purchase Intention, without which the process wouldn't exist. The consumer buying process encompasses alternative evaluation, decision-making, and reflection on outcomes. The framework is inspired by </w:t>
      </w:r>
      <w:r w:rsidRPr="00FB0AA7">
        <w:rPr>
          <w:rFonts w:ascii="Times New Roman" w:eastAsia="Times New Roman" w:hAnsi="Times New Roman" w:cs="Times New Roman"/>
          <w:highlight w:val="yellow"/>
        </w:rPr>
        <w:t xml:space="preserve">the </w:t>
      </w:r>
      <w:r w:rsidR="00421D20" w:rsidRPr="00FB0AA7">
        <w:rPr>
          <w:rFonts w:ascii="Times New Roman" w:eastAsia="Times New Roman" w:hAnsi="Times New Roman" w:cs="Times New Roman"/>
          <w:highlight w:val="yellow"/>
        </w:rPr>
        <w:t xml:space="preserve">Engel-Blackwell-Miniard </w:t>
      </w:r>
      <w:r w:rsidRPr="00FB0AA7">
        <w:rPr>
          <w:rFonts w:ascii="Times New Roman" w:eastAsia="Times New Roman" w:hAnsi="Times New Roman" w:cs="Times New Roman"/>
          <w:highlight w:val="yellow"/>
        </w:rPr>
        <w:t>model. This model includes the five phases a buyer goes through befo</w:t>
      </w:r>
      <w:r>
        <w:rPr>
          <w:rFonts w:ascii="Times New Roman" w:eastAsia="Times New Roman" w:hAnsi="Times New Roman" w:cs="Times New Roman"/>
        </w:rPr>
        <w:t xml:space="preserve">re making a purchase being  (I) Need Recognition, (II) Information Search, (III) Evaluation of Alternatives, (IV) Purchase and (V) Post Purchase (Engel et al., 1995). The framework for this study includes Personal Norms and GPI as pre-purchasing steps as they work to build the intent of a consumer to purchase green products, leading to the eventual purchasing behaviour, refer </w:t>
      </w:r>
      <w:r w:rsidR="00A2218F">
        <w:rPr>
          <w:rFonts w:ascii="Times New Roman" w:eastAsia="Times New Roman" w:hAnsi="Times New Roman" w:cs="Times New Roman"/>
        </w:rPr>
        <w:t xml:space="preserve">to </w:t>
      </w:r>
      <w:r>
        <w:rPr>
          <w:rFonts w:ascii="Times New Roman" w:eastAsia="Times New Roman" w:hAnsi="Times New Roman" w:cs="Times New Roman"/>
        </w:rPr>
        <w:t>diagram 1. The crux of this model, which is the purchase, the outcome (consumer satisfaction or dissatisfaction), and the evaluation of alternatives, are one of the focal points of this study. The outcome is either satisfaction or dissatisfaction that further governs the behaviour of the consumer. If the consumer is satisfied with their product</w:t>
      </w:r>
      <w:r w:rsidR="00A2218F">
        <w:rPr>
          <w:rFonts w:ascii="Times New Roman" w:eastAsia="Times New Roman" w:hAnsi="Times New Roman" w:cs="Times New Roman"/>
        </w:rPr>
        <w:t>,</w:t>
      </w:r>
      <w:r>
        <w:rPr>
          <w:rFonts w:ascii="Times New Roman" w:eastAsia="Times New Roman" w:hAnsi="Times New Roman" w:cs="Times New Roman"/>
        </w:rPr>
        <w:t xml:space="preserve"> the cycle ends there, but if the purchase leads to dissatisfaction, the cycle further goes on</w:t>
      </w:r>
      <w:r w:rsidR="00A2218F">
        <w:rPr>
          <w:rFonts w:ascii="Times New Roman" w:eastAsia="Times New Roman" w:hAnsi="Times New Roman" w:cs="Times New Roman"/>
        </w:rPr>
        <w:t xml:space="preserve"> </w:t>
      </w:r>
      <w:r>
        <w:rPr>
          <w:rFonts w:ascii="Times New Roman" w:eastAsia="Times New Roman" w:hAnsi="Times New Roman" w:cs="Times New Roman"/>
        </w:rPr>
        <w:t>to the next phase of the process, which is consumer scepticism and alternative evaluation of a product. A study conducted by Mishra (2018), served as the basis for evaluation criteria of various consumers.</w:t>
      </w:r>
      <w:r w:rsidR="00A2218F">
        <w:rPr>
          <w:rFonts w:ascii="Times New Roman" w:eastAsia="Times New Roman" w:hAnsi="Times New Roman" w:cs="Times New Roman"/>
        </w:rPr>
        <w:t xml:space="preserve"> </w:t>
      </w:r>
      <w:r>
        <w:rPr>
          <w:rFonts w:ascii="Times New Roman" w:eastAsia="Times New Roman" w:hAnsi="Times New Roman" w:cs="Times New Roman"/>
        </w:rPr>
        <w:t>Post-purchase outcomes</w:t>
      </w:r>
      <w:r w:rsidRPr="00FB0AA7">
        <w:rPr>
          <w:rFonts w:ascii="Times New Roman" w:eastAsia="Times New Roman" w:hAnsi="Times New Roman" w:cs="Times New Roman"/>
          <w:highlight w:val="yellow"/>
        </w:rPr>
        <w:t xml:space="preserve">, </w:t>
      </w:r>
      <w:proofErr w:type="spellStart"/>
      <w:r w:rsidRPr="00FB0AA7">
        <w:rPr>
          <w:rFonts w:ascii="Times New Roman" w:eastAsia="Times New Roman" w:hAnsi="Times New Roman" w:cs="Times New Roman"/>
          <w:highlight w:val="yellow"/>
        </w:rPr>
        <w:t>ie</w:t>
      </w:r>
      <w:proofErr w:type="spellEnd"/>
      <w:r w:rsidRPr="00FB0AA7">
        <w:rPr>
          <w:rFonts w:ascii="Times New Roman" w:eastAsia="Times New Roman" w:hAnsi="Times New Roman" w:cs="Times New Roman"/>
          <w:highlight w:val="yellow"/>
        </w:rPr>
        <w:t xml:space="preserve">. </w:t>
      </w:r>
      <w:r w:rsidR="00D178DA" w:rsidRPr="00FB0AA7">
        <w:rPr>
          <w:rFonts w:ascii="Times New Roman" w:eastAsia="Times New Roman" w:hAnsi="Times New Roman" w:cs="Times New Roman"/>
          <w:highlight w:val="yellow"/>
        </w:rPr>
        <w:t>scepticism</w:t>
      </w:r>
      <w:r w:rsidRPr="00FB0AA7">
        <w:rPr>
          <w:rFonts w:ascii="Times New Roman" w:eastAsia="Times New Roman" w:hAnsi="Times New Roman" w:cs="Times New Roman"/>
          <w:highlight w:val="yellow"/>
        </w:rPr>
        <w:t xml:space="preserve"> or satisfaction, significantly influence whether consumers persist in their green consumption journey or retreat</w:t>
      </w:r>
      <w:r>
        <w:rPr>
          <w:rFonts w:ascii="Times New Roman" w:eastAsia="Times New Roman" w:hAnsi="Times New Roman" w:cs="Times New Roman"/>
        </w:rPr>
        <w:t xml:space="preserve"> to conventional choices. Scepticism, often </w:t>
      </w:r>
      <w:proofErr w:type="spellStart"/>
      <w:r>
        <w:rPr>
          <w:rFonts w:ascii="Times New Roman" w:eastAsia="Times New Roman" w:hAnsi="Times New Roman" w:cs="Times New Roman"/>
        </w:rPr>
        <w:t>fueled</w:t>
      </w:r>
      <w:proofErr w:type="spellEnd"/>
      <w:r>
        <w:rPr>
          <w:rFonts w:ascii="Times New Roman" w:eastAsia="Times New Roman" w:hAnsi="Times New Roman" w:cs="Times New Roman"/>
        </w:rPr>
        <w:t xml:space="preserve"> by greenwashing or perceived inauthenticity, challenges the credibility of green claims, while satisfaction reinforces trust and encourages repeat purchases. This study is focused on a vital aspect of greenwashing</w:t>
      </w:r>
      <w:r w:rsidR="00A2218F">
        <w:rPr>
          <w:rFonts w:ascii="Times New Roman" w:eastAsia="Times New Roman" w:hAnsi="Times New Roman" w:cs="Times New Roman"/>
        </w:rPr>
        <w:t>,</w:t>
      </w:r>
      <w:r>
        <w:rPr>
          <w:rFonts w:ascii="Times New Roman" w:eastAsia="Times New Roman" w:hAnsi="Times New Roman" w:cs="Times New Roman"/>
        </w:rPr>
        <w:t xml:space="preserve"> and it further examines how consumers navigate obstacles like inconvenience and misinformation and whether they remain steadfast in their pursuit of sustainable products. </w:t>
      </w:r>
      <w:r w:rsidRPr="00917A4C">
        <w:rPr>
          <w:rFonts w:ascii="Times New Roman" w:eastAsia="Times New Roman" w:hAnsi="Times New Roman" w:cs="Times New Roman"/>
          <w:highlight w:val="yellow"/>
        </w:rPr>
        <w:t xml:space="preserve">By </w:t>
      </w:r>
      <w:r w:rsidR="00A2218F" w:rsidRPr="00917A4C">
        <w:rPr>
          <w:rFonts w:ascii="Times New Roman" w:eastAsia="Times New Roman" w:hAnsi="Times New Roman" w:cs="Times New Roman"/>
          <w:highlight w:val="yellow"/>
        </w:rPr>
        <w:t>analy</w:t>
      </w:r>
      <w:r w:rsidR="00A2218F">
        <w:rPr>
          <w:rFonts w:ascii="Times New Roman" w:eastAsia="Times New Roman" w:hAnsi="Times New Roman" w:cs="Times New Roman"/>
          <w:highlight w:val="yellow"/>
        </w:rPr>
        <w:t>s</w:t>
      </w:r>
      <w:r w:rsidR="00A2218F" w:rsidRPr="00917A4C">
        <w:rPr>
          <w:rFonts w:ascii="Times New Roman" w:eastAsia="Times New Roman" w:hAnsi="Times New Roman" w:cs="Times New Roman"/>
          <w:highlight w:val="yellow"/>
        </w:rPr>
        <w:t xml:space="preserve">ing </w:t>
      </w:r>
      <w:r w:rsidRPr="00917A4C">
        <w:rPr>
          <w:rFonts w:ascii="Times New Roman" w:eastAsia="Times New Roman" w:hAnsi="Times New Roman" w:cs="Times New Roman"/>
          <w:highlight w:val="yellow"/>
        </w:rPr>
        <w:t>these dynamics, the research aims to provide actionable insights into fostering sustained green consumption and mitigating barriers such as scepticism or dissatisfaction.</w:t>
      </w:r>
      <w:r>
        <w:rPr>
          <w:rFonts w:ascii="Times New Roman" w:eastAsia="Times New Roman" w:hAnsi="Times New Roman" w:cs="Times New Roman"/>
        </w:rPr>
        <w:t xml:space="preserve"> </w:t>
      </w:r>
    </w:p>
    <w:p w14:paraId="3DEC7369" w14:textId="77777777" w:rsidR="00917A4C" w:rsidRDefault="00917A4C">
      <w:pPr>
        <w:rPr>
          <w:rFonts w:ascii="Times New Roman" w:eastAsia="Times New Roman" w:hAnsi="Times New Roman" w:cs="Times New Roman"/>
        </w:rPr>
      </w:pPr>
    </w:p>
    <w:p w14:paraId="21B5AF0C" w14:textId="1222105B" w:rsidR="00DB7FD8" w:rsidRDefault="00DB7FD8" w:rsidP="00DB7FD8">
      <w:pPr>
        <w:rPr>
          <w:rFonts w:ascii="Times New Roman" w:eastAsia="Times New Roman" w:hAnsi="Times New Roman" w:cs="Times New Roman"/>
          <w:b/>
          <w:sz w:val="24"/>
          <w:szCs w:val="24"/>
        </w:rPr>
      </w:pPr>
      <w:r>
        <w:rPr>
          <w:rFonts w:ascii="Times New Roman" w:eastAsia="Times New Roman" w:hAnsi="Times New Roman" w:cs="Times New Roman"/>
        </w:rPr>
        <w:t xml:space="preserve">Diagram 1  : </w:t>
      </w:r>
      <w:r>
        <w:rPr>
          <w:rFonts w:ascii="Times New Roman" w:eastAsia="Times New Roman" w:hAnsi="Times New Roman" w:cs="Times New Roman"/>
          <w:b/>
          <w:sz w:val="24"/>
          <w:szCs w:val="24"/>
        </w:rPr>
        <w:t>Theoretical Framework</w:t>
      </w:r>
    </w:p>
    <w:p w14:paraId="1B677774" w14:textId="52092052" w:rsidR="00DB7FD8" w:rsidRDefault="00DB7FD8">
      <w:pPr>
        <w:rPr>
          <w:rFonts w:ascii="Times New Roman" w:eastAsia="Times New Roman" w:hAnsi="Times New Roman" w:cs="Times New Roman"/>
        </w:rPr>
      </w:pPr>
    </w:p>
    <w:p w14:paraId="7FCF18DE" w14:textId="77777777" w:rsidR="00487CB5" w:rsidRDefault="002B62DD">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3C1232C4" wp14:editId="671C2E47">
            <wp:extent cx="5925312" cy="2055571"/>
            <wp:effectExtent l="0" t="0" r="0" b="190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7"/>
                    <a:srcRect l="7308" t="19786" r="9014" b="28653"/>
                    <a:stretch>
                      <a:fillRect/>
                    </a:stretch>
                  </pic:blipFill>
                  <pic:spPr bwMode="auto">
                    <a:xfrm>
                      <a:off x="0" y="0"/>
                      <a:ext cx="5926253" cy="2055897"/>
                    </a:xfrm>
                    <a:prstGeom prst="rect">
                      <a:avLst/>
                    </a:prstGeom>
                    <a:ln>
                      <a:noFill/>
                    </a:ln>
                    <a:extLst>
                      <a:ext uri="{53640926-AAD7-44D8-BBD7-CCE9431645EC}">
                        <a14:shadowObscured xmlns:a14="http://schemas.microsoft.com/office/drawing/2010/main"/>
                      </a:ext>
                    </a:extLst>
                  </pic:spPr>
                </pic:pic>
              </a:graphicData>
            </a:graphic>
          </wp:inline>
        </w:drawing>
      </w:r>
    </w:p>
    <w:p w14:paraId="46F9F835" w14:textId="77777777" w:rsidR="00487CB5" w:rsidRDefault="00487CB5">
      <w:pPr>
        <w:rPr>
          <w:rFonts w:ascii="Times New Roman" w:eastAsia="Times New Roman" w:hAnsi="Times New Roman" w:cs="Times New Roman"/>
        </w:rPr>
      </w:pPr>
    </w:p>
    <w:p w14:paraId="7EB3D0F5" w14:textId="77777777" w:rsidR="00487CB5" w:rsidRDefault="002B62DD">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Methodology:</w:t>
      </w:r>
    </w:p>
    <w:p w14:paraId="5787CD30" w14:textId="77777777" w:rsidR="00DA38FE" w:rsidRDefault="00DA38FE" w:rsidP="00DA38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Research Design</w:t>
      </w:r>
    </w:p>
    <w:p w14:paraId="0FD7803C" w14:textId="77777777" w:rsidR="00DA38FE" w:rsidRDefault="00DA38FE" w:rsidP="00DA38FE">
      <w:pPr>
        <w:rPr>
          <w:rFonts w:ascii="Times New Roman" w:eastAsia="Times New Roman" w:hAnsi="Times New Roman" w:cs="Times New Roman"/>
        </w:rPr>
      </w:pPr>
    </w:p>
    <w:p w14:paraId="595F3072" w14:textId="77777777" w:rsidR="00DA38FE" w:rsidRDefault="00DA38FE" w:rsidP="00DA38FE">
      <w:pPr>
        <w:jc w:val="both"/>
        <w:rPr>
          <w:rFonts w:ascii="Times New Roman" w:eastAsia="Times New Roman" w:hAnsi="Times New Roman" w:cs="Times New Roman"/>
        </w:rPr>
      </w:pPr>
      <w:r>
        <w:rPr>
          <w:rFonts w:ascii="Times New Roman" w:eastAsia="Times New Roman" w:hAnsi="Times New Roman" w:cs="Times New Roman"/>
        </w:rPr>
        <w:t>This study uses a correlational research design to explore relationships between two or more variables, aiming to identify statistically significant correlations. Data collection centres on the relevant variables, which are analysed using statistical techniques to assess the strength and direction of their relationships. The questionnaire employed validated, reliable scales, adapted to suit the specific research context. This approach helps reveal how the variables are connected and interact with one another.</w:t>
      </w:r>
    </w:p>
    <w:p w14:paraId="33D27D86" w14:textId="77777777" w:rsidR="00DA38FE" w:rsidRDefault="00DA38FE" w:rsidP="00DA38FE">
      <w:pPr>
        <w:rPr>
          <w:rFonts w:ascii="Times New Roman" w:eastAsia="Times New Roman" w:hAnsi="Times New Roman" w:cs="Times New Roman"/>
        </w:rPr>
      </w:pPr>
    </w:p>
    <w:p w14:paraId="2D265E0A" w14:textId="77777777" w:rsidR="00DA38FE" w:rsidRDefault="00DA38FE" w:rsidP="00DA38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Participants</w:t>
      </w:r>
    </w:p>
    <w:p w14:paraId="33F26FBD" w14:textId="77777777" w:rsidR="00DA38FE" w:rsidRDefault="00DA38FE" w:rsidP="00DA38FE">
      <w:pPr>
        <w:rPr>
          <w:rFonts w:ascii="Times New Roman" w:eastAsia="Times New Roman" w:hAnsi="Times New Roman" w:cs="Times New Roman"/>
          <w:b/>
        </w:rPr>
      </w:pPr>
    </w:p>
    <w:p w14:paraId="76B571C9"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b/>
        </w:rPr>
        <w:t>Inclusion criteria:</w:t>
      </w:r>
    </w:p>
    <w:p w14:paraId="29DB1AD7"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rPr>
        <w:t xml:space="preserve">Minimum 18 years of age  </w:t>
      </w:r>
    </w:p>
    <w:p w14:paraId="55A17675"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rPr>
        <w:t>Female, Male, Other Gender.</w:t>
      </w:r>
    </w:p>
    <w:p w14:paraId="2E4A43DE" w14:textId="77777777" w:rsidR="00DA38FE" w:rsidRDefault="00DA38FE" w:rsidP="00DA38FE">
      <w:pPr>
        <w:rPr>
          <w:rFonts w:ascii="Times New Roman" w:eastAsia="Times New Roman" w:hAnsi="Times New Roman" w:cs="Times New Roman"/>
        </w:rPr>
      </w:pPr>
    </w:p>
    <w:p w14:paraId="721A5B8F"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b/>
        </w:rPr>
        <w:t>Exclusion criteria:</w:t>
      </w:r>
    </w:p>
    <w:p w14:paraId="78377AD3"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rPr>
        <w:t xml:space="preserve">Anyone under 18 years of age.  </w:t>
      </w:r>
    </w:p>
    <w:p w14:paraId="036FF6DA" w14:textId="77777777" w:rsidR="00DA38FE" w:rsidRDefault="00DA38FE" w:rsidP="00DA38FE">
      <w:pPr>
        <w:rPr>
          <w:rFonts w:ascii="Times New Roman" w:eastAsia="Times New Roman" w:hAnsi="Times New Roman" w:cs="Times New Roman"/>
        </w:rPr>
      </w:pPr>
    </w:p>
    <w:p w14:paraId="795DC8F5"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b/>
        </w:rPr>
        <w:t>Demographic Details of the Participants:</w:t>
      </w:r>
    </w:p>
    <w:p w14:paraId="1DF34EF3"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rPr>
        <w:t>Demographic Details of the Participants: Of the 340 participants, 94 were male (30.1%), 215 female (68.9%), 3 were other (1%).</w:t>
      </w:r>
    </w:p>
    <w:p w14:paraId="1A288224" w14:textId="77777777" w:rsidR="00DA38FE" w:rsidRDefault="00DA38FE" w:rsidP="00DA38FE">
      <w:pPr>
        <w:rPr>
          <w:rFonts w:ascii="Times New Roman" w:eastAsia="Times New Roman" w:hAnsi="Times New Roman" w:cs="Times New Roman"/>
        </w:rPr>
      </w:pPr>
    </w:p>
    <w:p w14:paraId="1F156BF5"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rPr>
        <w:t>Majority of the sample lies in the age range of 18-24 (166, 53.2%), followed by 45 and above (60, 19.2%), and 25-34 (50, 16%), 35-44 (36, 11.5%).</w:t>
      </w:r>
    </w:p>
    <w:p w14:paraId="13DB576B" w14:textId="77777777" w:rsidR="00DA38FE" w:rsidRDefault="00DA38FE" w:rsidP="00DA38FE">
      <w:pPr>
        <w:rPr>
          <w:rFonts w:ascii="Times New Roman" w:eastAsia="Times New Roman" w:hAnsi="Times New Roman" w:cs="Times New Roman"/>
        </w:rPr>
      </w:pPr>
    </w:p>
    <w:p w14:paraId="60B56D4D"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rPr>
        <w:t>152 (48.7%) undergraduates (pursuing as well as graduates), and 135 (43.3%) pursuing or having completed post-graduation or above, 24 (7.7%) were educated between 8 and 13 years, with 1 (0.3%), educated up to 8 years.</w:t>
      </w:r>
    </w:p>
    <w:p w14:paraId="2B2EFD1D" w14:textId="77777777" w:rsidR="00DA38FE" w:rsidRDefault="00DA38FE" w:rsidP="00DA38FE">
      <w:pPr>
        <w:rPr>
          <w:rFonts w:ascii="Times New Roman" w:eastAsia="Times New Roman" w:hAnsi="Times New Roman" w:cs="Times New Roman"/>
        </w:rPr>
      </w:pPr>
    </w:p>
    <w:p w14:paraId="44B108B8"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rPr>
        <w:t xml:space="preserve">153 participants (49%) were students, 21 (6.7%) were unemployed, and 138 (44.2%) were employed (Salaried, Self-employed and/or by other means) </w:t>
      </w:r>
    </w:p>
    <w:p w14:paraId="56A843BF" w14:textId="77777777" w:rsidR="00DA38FE" w:rsidRDefault="00DA38FE" w:rsidP="00DA38FE">
      <w:pPr>
        <w:rPr>
          <w:rFonts w:ascii="Times New Roman" w:eastAsia="Times New Roman" w:hAnsi="Times New Roman" w:cs="Times New Roman"/>
        </w:rPr>
      </w:pPr>
    </w:p>
    <w:p w14:paraId="103BEC7A"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rPr>
        <w:t>75 participants (24%) reported family income below 3 lakhs, 96 participants (30.8%) between 3 and 8 lakhs, 60 participants (19.2%) between 8 and 12 lakhs, and 81 participants (26%) above 12 lakhs.</w:t>
      </w:r>
    </w:p>
    <w:p w14:paraId="65EBC1FC" w14:textId="77777777" w:rsidR="00DA38FE" w:rsidRDefault="00DA38FE" w:rsidP="00DA38FE">
      <w:pPr>
        <w:rPr>
          <w:rFonts w:ascii="Times New Roman" w:eastAsia="Times New Roman" w:hAnsi="Times New Roman" w:cs="Times New Roman"/>
        </w:rPr>
      </w:pPr>
    </w:p>
    <w:p w14:paraId="207DCD32"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rPr>
        <w:t>271 (86.9%) participants resided in urban areas, while 41 (13.1%) resided in rural areas.</w:t>
      </w:r>
    </w:p>
    <w:p w14:paraId="1535B92E" w14:textId="77777777" w:rsidR="00DA38FE" w:rsidRDefault="00DA38FE" w:rsidP="00DA38FE">
      <w:pPr>
        <w:rPr>
          <w:rFonts w:ascii="Times New Roman" w:eastAsia="Times New Roman" w:hAnsi="Times New Roman" w:cs="Times New Roman"/>
        </w:rPr>
      </w:pPr>
    </w:p>
    <w:p w14:paraId="490DCE29"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rPr>
        <w:t xml:space="preserve">186 (59.6%) participants reported their marital status as single, 121 (38.8%) reported to be married, and 5 (1.6%) participants reported to have been separated. </w:t>
      </w:r>
    </w:p>
    <w:p w14:paraId="31AADA6E" w14:textId="77777777" w:rsidR="00DA38FE" w:rsidRDefault="00DA38FE" w:rsidP="00DA38FE">
      <w:pPr>
        <w:rPr>
          <w:rFonts w:ascii="Times New Roman" w:eastAsia="Times New Roman" w:hAnsi="Times New Roman" w:cs="Times New Roman"/>
        </w:rPr>
      </w:pPr>
    </w:p>
    <w:p w14:paraId="028A7825" w14:textId="77777777" w:rsidR="00DA38FE" w:rsidRDefault="00DA38FE" w:rsidP="00DA38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14:paraId="152FD02D" w14:textId="77777777" w:rsidR="00DA38FE" w:rsidRDefault="00DA38FE" w:rsidP="00DA38FE">
      <w:pPr>
        <w:rPr>
          <w:rFonts w:ascii="Times New Roman" w:eastAsia="Times New Roman" w:hAnsi="Times New Roman" w:cs="Times New Roman"/>
        </w:rPr>
      </w:pPr>
    </w:p>
    <w:p w14:paraId="665212AF" w14:textId="77777777" w:rsidR="00DA38FE" w:rsidRDefault="00DA38FE" w:rsidP="00DA38FE">
      <w:pPr>
        <w:rPr>
          <w:rFonts w:ascii="Times New Roman" w:eastAsia="Times New Roman" w:hAnsi="Times New Roman" w:cs="Times New Roman"/>
        </w:rPr>
      </w:pPr>
      <w:r>
        <w:rPr>
          <w:rFonts w:ascii="Times New Roman" w:eastAsia="Times New Roman" w:hAnsi="Times New Roman" w:cs="Times New Roman"/>
        </w:rPr>
        <w:t xml:space="preserve">This study aimed to explore the relationship between various variables: Personal Norms, Green Purchase Intention, Green Choice, Satisfaction, Alternative Evaluation, Greenwashing, and Consumer Scepticism. It also examined how these variables differed across socio-demographic groups, including gender, area, and family income. Data was collected using an online Google Form to maximise reach, with a consent form ensuring participants' privacy and willingness to participate. Instructions guided participants on using a five-point Likert scale, where 1 indicated strong disagreement and 5 indicated </w:t>
      </w:r>
      <w:r>
        <w:rPr>
          <w:rFonts w:ascii="Times New Roman" w:eastAsia="Times New Roman" w:hAnsi="Times New Roman" w:cs="Times New Roman"/>
        </w:rPr>
        <w:lastRenderedPageBreak/>
        <w:t>strong agreement, to rate the relevance of topics to their experiences. The questionnaire consisted of 34 items, including seven questions related to socio-demographics. The Likert scale helped in measuring participants' responses across the study's key topics, enabling a thorough understanding of their perspectives on green choices and consumer scepticism in relation to personal norms and greenwashing.</w:t>
      </w:r>
    </w:p>
    <w:p w14:paraId="4E3E87C2" w14:textId="77777777" w:rsidR="00DA38FE" w:rsidRDefault="00DA38FE">
      <w:pPr>
        <w:rPr>
          <w:rFonts w:ascii="Times New Roman" w:eastAsia="Times New Roman" w:hAnsi="Times New Roman" w:cs="Times New Roman"/>
          <w:b/>
          <w:sz w:val="26"/>
          <w:szCs w:val="26"/>
        </w:rPr>
      </w:pPr>
    </w:p>
    <w:p w14:paraId="4D990B83" w14:textId="77777777" w:rsidR="00D9230E" w:rsidRDefault="00D9230E">
      <w:pPr>
        <w:rPr>
          <w:rFonts w:ascii="Times New Roman" w:eastAsia="Times New Roman" w:hAnsi="Times New Roman" w:cs="Times New Roman"/>
          <w:b/>
          <w:sz w:val="24"/>
          <w:szCs w:val="24"/>
        </w:rPr>
      </w:pPr>
    </w:p>
    <w:p w14:paraId="536440B0"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Hypotheses</w:t>
      </w:r>
    </w:p>
    <w:p w14:paraId="4812792D" w14:textId="77777777" w:rsidR="00487CB5" w:rsidRDefault="00487CB5">
      <w:pPr>
        <w:rPr>
          <w:rFonts w:ascii="Times New Roman" w:eastAsia="Times New Roman" w:hAnsi="Times New Roman" w:cs="Times New Roman"/>
          <w:b/>
          <w:sz w:val="24"/>
          <w:szCs w:val="24"/>
        </w:rPr>
      </w:pPr>
    </w:p>
    <w:p w14:paraId="07BF9A01"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Correlation:</w:t>
      </w:r>
    </w:p>
    <w:p w14:paraId="5C83C5FE" w14:textId="77777777" w:rsidR="00487CB5" w:rsidRDefault="00487CB5">
      <w:pPr>
        <w:rPr>
          <w:rFonts w:ascii="Times New Roman" w:eastAsia="Times New Roman" w:hAnsi="Times New Roman" w:cs="Times New Roman"/>
        </w:rPr>
      </w:pPr>
    </w:p>
    <w:p w14:paraId="464F92DD" w14:textId="77777777" w:rsidR="00487CB5" w:rsidRDefault="002B62DD">
      <w:pPr>
        <w:numPr>
          <w:ilvl w:val="0"/>
          <w:numId w:val="1"/>
        </w:numPr>
        <w:rPr>
          <w:rFonts w:ascii="Times New Roman" w:eastAsia="Times New Roman" w:hAnsi="Times New Roman" w:cs="Times New Roman"/>
        </w:rPr>
      </w:pPr>
      <w:r>
        <w:rPr>
          <w:rFonts w:ascii="Times New Roman" w:eastAsia="Times New Roman" w:hAnsi="Times New Roman" w:cs="Times New Roman"/>
        </w:rPr>
        <w:t>There is no significant correlation between (a.) personal norms and (b.) consumer’s intention of buying green products. (H 1)</w:t>
      </w:r>
    </w:p>
    <w:p w14:paraId="75C21035" w14:textId="77777777" w:rsidR="00487CB5" w:rsidRDefault="002B62DD">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There is no significant correlation between the intention of buying green products and the outcome (satisfaction or dissatisfaction) of the purchase. (H 2) </w:t>
      </w:r>
    </w:p>
    <w:p w14:paraId="30F4BEFC" w14:textId="77777777" w:rsidR="00487CB5" w:rsidRDefault="002B62DD">
      <w:pPr>
        <w:numPr>
          <w:ilvl w:val="0"/>
          <w:numId w:val="1"/>
        </w:numPr>
        <w:rPr>
          <w:rFonts w:ascii="Times New Roman" w:eastAsia="Times New Roman" w:hAnsi="Times New Roman" w:cs="Times New Roman"/>
        </w:rPr>
      </w:pPr>
      <w:r>
        <w:rPr>
          <w:rFonts w:ascii="Times New Roman" w:eastAsia="Times New Roman" w:hAnsi="Times New Roman" w:cs="Times New Roman"/>
        </w:rPr>
        <w:t>There is no significant correlation between consumer satisfaction and the alternative evaluation of green products. (H 3)</w:t>
      </w:r>
    </w:p>
    <w:p w14:paraId="384F9B98" w14:textId="77777777" w:rsidR="00487CB5" w:rsidRDefault="002B62DD">
      <w:pPr>
        <w:numPr>
          <w:ilvl w:val="0"/>
          <w:numId w:val="1"/>
        </w:numPr>
        <w:rPr>
          <w:rFonts w:ascii="Times New Roman" w:eastAsia="Times New Roman" w:hAnsi="Times New Roman" w:cs="Times New Roman"/>
        </w:rPr>
      </w:pPr>
      <w:r>
        <w:rPr>
          <w:rFonts w:ascii="Times New Roman" w:eastAsia="Times New Roman" w:hAnsi="Times New Roman" w:cs="Times New Roman"/>
        </w:rPr>
        <w:t>There is no significant correlation between the outcome of the purchase of green products and consumer scepticism of green products. (H 4)</w:t>
      </w:r>
    </w:p>
    <w:p w14:paraId="6110EC16" w14:textId="77777777" w:rsidR="00487CB5" w:rsidRDefault="002B62DD">
      <w:pPr>
        <w:numPr>
          <w:ilvl w:val="0"/>
          <w:numId w:val="1"/>
        </w:numPr>
        <w:rPr>
          <w:rFonts w:ascii="Times New Roman" w:eastAsia="Times New Roman" w:hAnsi="Times New Roman" w:cs="Times New Roman"/>
        </w:rPr>
      </w:pPr>
      <w:r>
        <w:rPr>
          <w:rFonts w:ascii="Times New Roman" w:eastAsia="Times New Roman" w:hAnsi="Times New Roman" w:cs="Times New Roman"/>
        </w:rPr>
        <w:t>There is no significant correlation between the evaluation of alternatives and consumer scepticism of green products. (H 5)</w:t>
      </w:r>
    </w:p>
    <w:p w14:paraId="613DE7F9" w14:textId="77777777" w:rsidR="00487CB5" w:rsidRDefault="00487CB5">
      <w:pPr>
        <w:rPr>
          <w:rFonts w:ascii="Times New Roman" w:eastAsia="Times New Roman" w:hAnsi="Times New Roman" w:cs="Times New Roman"/>
        </w:rPr>
      </w:pPr>
    </w:p>
    <w:p w14:paraId="1EF92F73"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Demographics with Personal Norms:</w:t>
      </w:r>
    </w:p>
    <w:p w14:paraId="589E0925" w14:textId="77777777" w:rsidR="00487CB5" w:rsidRDefault="00487CB5">
      <w:pPr>
        <w:rPr>
          <w:rFonts w:ascii="Times New Roman" w:eastAsia="Times New Roman" w:hAnsi="Times New Roman" w:cs="Times New Roman"/>
        </w:rPr>
      </w:pPr>
    </w:p>
    <w:p w14:paraId="41D1BD63" w14:textId="77777777" w:rsidR="00487CB5" w:rsidRDefault="002B62DD">
      <w:pPr>
        <w:numPr>
          <w:ilvl w:val="0"/>
          <w:numId w:val="6"/>
        </w:numPr>
        <w:rPr>
          <w:rFonts w:ascii="Times New Roman" w:eastAsia="Times New Roman" w:hAnsi="Times New Roman" w:cs="Times New Roman"/>
        </w:rPr>
      </w:pPr>
      <w:r>
        <w:rPr>
          <w:rFonts w:ascii="Times New Roman" w:eastAsia="Times New Roman" w:hAnsi="Times New Roman" w:cs="Times New Roman"/>
        </w:rPr>
        <w:t>There will not be a significant difference in “Personal Norms” between “Genders”.(H 6.1)</w:t>
      </w:r>
    </w:p>
    <w:p w14:paraId="265B5CDA" w14:textId="77777777" w:rsidR="00487CB5" w:rsidRDefault="002B62DD">
      <w:pPr>
        <w:numPr>
          <w:ilvl w:val="0"/>
          <w:numId w:val="6"/>
        </w:numPr>
        <w:rPr>
          <w:rFonts w:ascii="Times New Roman" w:eastAsia="Times New Roman" w:hAnsi="Times New Roman" w:cs="Times New Roman"/>
        </w:rPr>
      </w:pPr>
      <w:r>
        <w:rPr>
          <w:rFonts w:ascii="Times New Roman" w:eastAsia="Times New Roman" w:hAnsi="Times New Roman" w:cs="Times New Roman"/>
        </w:rPr>
        <w:t>There will not be a significant difference in “Personal Norms” between “Area of Residence”. (H 6.2)</w:t>
      </w:r>
    </w:p>
    <w:p w14:paraId="1A05E187" w14:textId="77777777" w:rsidR="00487CB5" w:rsidRDefault="002B62DD">
      <w:pPr>
        <w:numPr>
          <w:ilvl w:val="0"/>
          <w:numId w:val="6"/>
        </w:numPr>
        <w:rPr>
          <w:rFonts w:ascii="Times New Roman" w:eastAsia="Times New Roman" w:hAnsi="Times New Roman" w:cs="Times New Roman"/>
        </w:rPr>
      </w:pPr>
      <w:r>
        <w:rPr>
          <w:rFonts w:ascii="Times New Roman" w:eastAsia="Times New Roman" w:hAnsi="Times New Roman" w:cs="Times New Roman"/>
        </w:rPr>
        <w:t>There will not be a significant difference in “Personal Norms” between “Family Income”.(H 6.3)</w:t>
      </w:r>
    </w:p>
    <w:p w14:paraId="6EA9B2B6" w14:textId="77777777" w:rsidR="00487CB5" w:rsidRDefault="00487CB5">
      <w:pPr>
        <w:ind w:left="720"/>
        <w:rPr>
          <w:rFonts w:ascii="Times New Roman" w:eastAsia="Times New Roman" w:hAnsi="Times New Roman" w:cs="Times New Roman"/>
        </w:rPr>
      </w:pPr>
    </w:p>
    <w:p w14:paraId="7F39D292"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Demographics with Alternative Evaluation:</w:t>
      </w:r>
    </w:p>
    <w:p w14:paraId="68501EF3" w14:textId="77777777" w:rsidR="00487CB5" w:rsidRDefault="00487CB5">
      <w:pPr>
        <w:rPr>
          <w:rFonts w:ascii="Times New Roman" w:eastAsia="Times New Roman" w:hAnsi="Times New Roman" w:cs="Times New Roman"/>
          <w:b/>
          <w:sz w:val="24"/>
          <w:szCs w:val="24"/>
        </w:rPr>
      </w:pPr>
    </w:p>
    <w:p w14:paraId="64C0507A" w14:textId="77777777" w:rsidR="00487CB5" w:rsidRDefault="002B62DD">
      <w:pPr>
        <w:numPr>
          <w:ilvl w:val="0"/>
          <w:numId w:val="5"/>
        </w:numPr>
        <w:rPr>
          <w:rFonts w:ascii="Times New Roman" w:eastAsia="Times New Roman" w:hAnsi="Times New Roman" w:cs="Times New Roman"/>
        </w:rPr>
      </w:pPr>
      <w:r>
        <w:rPr>
          <w:rFonts w:ascii="Times New Roman" w:eastAsia="Times New Roman" w:hAnsi="Times New Roman" w:cs="Times New Roman"/>
        </w:rPr>
        <w:t>There will not be a significant difference in “Alternative Evaluation” between “Genders”.(H 7.1)</w:t>
      </w:r>
    </w:p>
    <w:p w14:paraId="40DC505B" w14:textId="77777777" w:rsidR="00487CB5" w:rsidRDefault="002B62DD">
      <w:pPr>
        <w:numPr>
          <w:ilvl w:val="0"/>
          <w:numId w:val="5"/>
        </w:numPr>
        <w:rPr>
          <w:rFonts w:ascii="Times New Roman" w:eastAsia="Times New Roman" w:hAnsi="Times New Roman" w:cs="Times New Roman"/>
        </w:rPr>
      </w:pPr>
      <w:r>
        <w:rPr>
          <w:rFonts w:ascii="Times New Roman" w:eastAsia="Times New Roman" w:hAnsi="Times New Roman" w:cs="Times New Roman"/>
        </w:rPr>
        <w:t>There will not be a significant difference in “Alternative Evaluation” between “Area of Residence”. (H 7.2)</w:t>
      </w:r>
    </w:p>
    <w:p w14:paraId="5F038C72" w14:textId="77777777" w:rsidR="00487CB5" w:rsidRDefault="002B62DD">
      <w:pPr>
        <w:numPr>
          <w:ilvl w:val="0"/>
          <w:numId w:val="5"/>
        </w:numPr>
        <w:rPr>
          <w:rFonts w:ascii="Times New Roman" w:eastAsia="Times New Roman" w:hAnsi="Times New Roman" w:cs="Times New Roman"/>
        </w:rPr>
      </w:pPr>
      <w:r>
        <w:rPr>
          <w:rFonts w:ascii="Times New Roman" w:eastAsia="Times New Roman" w:hAnsi="Times New Roman" w:cs="Times New Roman"/>
        </w:rPr>
        <w:t>There will not be a significant difference in “Alternative Evaluation” between “Family Income”.(H 7.3)</w:t>
      </w:r>
    </w:p>
    <w:p w14:paraId="262FE601" w14:textId="77777777" w:rsidR="00487CB5" w:rsidRDefault="00487CB5">
      <w:pPr>
        <w:rPr>
          <w:rFonts w:ascii="Times New Roman" w:eastAsia="Times New Roman" w:hAnsi="Times New Roman" w:cs="Times New Roman"/>
        </w:rPr>
      </w:pPr>
    </w:p>
    <w:p w14:paraId="1697801E" w14:textId="77777777" w:rsidR="00487CB5" w:rsidRDefault="00487CB5">
      <w:pPr>
        <w:rPr>
          <w:rFonts w:ascii="Times New Roman" w:eastAsia="Times New Roman" w:hAnsi="Times New Roman" w:cs="Times New Roman"/>
          <w:b/>
          <w:sz w:val="24"/>
          <w:szCs w:val="24"/>
        </w:rPr>
      </w:pPr>
    </w:p>
    <w:p w14:paraId="4D1ACAE0"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Demographics with Consumer Scepticism:</w:t>
      </w:r>
    </w:p>
    <w:p w14:paraId="17E5D443" w14:textId="77777777" w:rsidR="00487CB5" w:rsidRDefault="00487CB5">
      <w:pPr>
        <w:rPr>
          <w:rFonts w:ascii="Times New Roman" w:eastAsia="Times New Roman" w:hAnsi="Times New Roman" w:cs="Times New Roman"/>
        </w:rPr>
      </w:pPr>
    </w:p>
    <w:p w14:paraId="670CBC7E" w14:textId="77777777" w:rsidR="00487CB5" w:rsidRDefault="002B62DD">
      <w:pPr>
        <w:numPr>
          <w:ilvl w:val="0"/>
          <w:numId w:val="4"/>
        </w:numPr>
        <w:rPr>
          <w:rFonts w:ascii="Times New Roman" w:eastAsia="Times New Roman" w:hAnsi="Times New Roman" w:cs="Times New Roman"/>
        </w:rPr>
      </w:pPr>
      <w:r>
        <w:rPr>
          <w:rFonts w:ascii="Times New Roman" w:eastAsia="Times New Roman" w:hAnsi="Times New Roman" w:cs="Times New Roman"/>
        </w:rPr>
        <w:t>There will not be a significant difference in “Consumer Scepticism” between “Genders”.(H 8.1)</w:t>
      </w:r>
    </w:p>
    <w:p w14:paraId="6EA829C7" w14:textId="77777777" w:rsidR="00487CB5" w:rsidRDefault="002B62DD">
      <w:pPr>
        <w:numPr>
          <w:ilvl w:val="0"/>
          <w:numId w:val="4"/>
        </w:numPr>
        <w:rPr>
          <w:rFonts w:ascii="Times New Roman" w:eastAsia="Times New Roman" w:hAnsi="Times New Roman" w:cs="Times New Roman"/>
        </w:rPr>
      </w:pPr>
      <w:r>
        <w:rPr>
          <w:rFonts w:ascii="Times New Roman" w:eastAsia="Times New Roman" w:hAnsi="Times New Roman" w:cs="Times New Roman"/>
        </w:rPr>
        <w:t>There will not be a significant difference in “Consumer Scepticism” between “Area of Residence”.(H 8.2)</w:t>
      </w:r>
    </w:p>
    <w:p w14:paraId="4457A8BC" w14:textId="77777777" w:rsidR="00487CB5" w:rsidRDefault="002B62DD">
      <w:pPr>
        <w:numPr>
          <w:ilvl w:val="0"/>
          <w:numId w:val="4"/>
        </w:numPr>
        <w:rPr>
          <w:rFonts w:ascii="Times New Roman" w:eastAsia="Times New Roman" w:hAnsi="Times New Roman" w:cs="Times New Roman"/>
        </w:rPr>
      </w:pPr>
      <w:r>
        <w:rPr>
          <w:rFonts w:ascii="Times New Roman" w:eastAsia="Times New Roman" w:hAnsi="Times New Roman" w:cs="Times New Roman"/>
        </w:rPr>
        <w:lastRenderedPageBreak/>
        <w:t>There will not be a significant difference in “Consumer Scepticism” between “Family Income”.(H 8.3)</w:t>
      </w:r>
    </w:p>
    <w:p w14:paraId="71F10E6F" w14:textId="77777777" w:rsidR="00487CB5" w:rsidRDefault="00487CB5">
      <w:pPr>
        <w:rPr>
          <w:rFonts w:ascii="Times New Roman" w:eastAsia="Times New Roman" w:hAnsi="Times New Roman" w:cs="Times New Roman"/>
        </w:rPr>
      </w:pPr>
    </w:p>
    <w:p w14:paraId="47C3A5DF"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Mediation</w:t>
      </w:r>
    </w:p>
    <w:p w14:paraId="37BF2511" w14:textId="77777777" w:rsidR="00487CB5" w:rsidRDefault="00487CB5">
      <w:pPr>
        <w:rPr>
          <w:rFonts w:ascii="Times New Roman" w:eastAsia="Times New Roman" w:hAnsi="Times New Roman" w:cs="Times New Roman"/>
        </w:rPr>
      </w:pPr>
    </w:p>
    <w:p w14:paraId="3AFDDAD6" w14:textId="77777777" w:rsidR="00487CB5" w:rsidRDefault="002B62DD">
      <w:pPr>
        <w:numPr>
          <w:ilvl w:val="0"/>
          <w:numId w:val="2"/>
        </w:numPr>
        <w:rPr>
          <w:rFonts w:ascii="Times New Roman" w:eastAsia="Times New Roman" w:hAnsi="Times New Roman" w:cs="Times New Roman"/>
        </w:rPr>
      </w:pPr>
      <w:r>
        <w:rPr>
          <w:rFonts w:ascii="Times New Roman" w:eastAsia="Times New Roman" w:hAnsi="Times New Roman" w:cs="Times New Roman"/>
        </w:rPr>
        <w:t>The relationship between</w:t>
      </w:r>
      <w:r>
        <w:rPr>
          <w:rFonts w:ascii="Times New Roman" w:eastAsia="Times New Roman" w:hAnsi="Times New Roman" w:cs="Times New Roman"/>
          <w:b/>
        </w:rPr>
        <w:t xml:space="preserve"> Personal norms</w:t>
      </w:r>
      <w:r>
        <w:rPr>
          <w:rFonts w:ascii="Times New Roman" w:eastAsia="Times New Roman" w:hAnsi="Times New Roman" w:cs="Times New Roman"/>
        </w:rPr>
        <w:t xml:space="preserve"> and </w:t>
      </w:r>
      <w:r>
        <w:rPr>
          <w:rFonts w:ascii="Times New Roman" w:eastAsia="Times New Roman" w:hAnsi="Times New Roman" w:cs="Times New Roman"/>
          <w:b/>
        </w:rPr>
        <w:t>Green purchase</w:t>
      </w:r>
      <w:r>
        <w:rPr>
          <w:rFonts w:ascii="Times New Roman" w:eastAsia="Times New Roman" w:hAnsi="Times New Roman" w:cs="Times New Roman"/>
        </w:rPr>
        <w:t xml:space="preserve"> is not mediated by (not accounted for by) </w:t>
      </w:r>
      <w:r>
        <w:rPr>
          <w:rFonts w:ascii="Times New Roman" w:eastAsia="Times New Roman" w:hAnsi="Times New Roman" w:cs="Times New Roman"/>
          <w:b/>
        </w:rPr>
        <w:t>Green purchase intention</w:t>
      </w:r>
      <w:r>
        <w:rPr>
          <w:rFonts w:ascii="Times New Roman" w:eastAsia="Times New Roman" w:hAnsi="Times New Roman" w:cs="Times New Roman"/>
        </w:rPr>
        <w:t>. (H 9.1) (A-B-C)</w:t>
      </w:r>
    </w:p>
    <w:p w14:paraId="37C11F88" w14:textId="593DBEF8" w:rsidR="00487CB5" w:rsidRDefault="002B62DD">
      <w:pPr>
        <w:numPr>
          <w:ilvl w:val="0"/>
          <w:numId w:val="2"/>
        </w:numPr>
        <w:rPr>
          <w:rFonts w:ascii="Times New Roman" w:eastAsia="Times New Roman" w:hAnsi="Times New Roman" w:cs="Times New Roman"/>
        </w:rPr>
      </w:pPr>
      <w:r>
        <w:rPr>
          <w:rFonts w:ascii="Times New Roman" w:eastAsia="Times New Roman" w:hAnsi="Times New Roman" w:cs="Times New Roman"/>
        </w:rPr>
        <w:t>The relationship between</w:t>
      </w:r>
      <w:r>
        <w:rPr>
          <w:rFonts w:ascii="Times New Roman" w:eastAsia="Times New Roman" w:hAnsi="Times New Roman" w:cs="Times New Roman"/>
          <w:b/>
        </w:rPr>
        <w:t xml:space="preserve"> Alternative Evaluation</w:t>
      </w:r>
      <w:r>
        <w:rPr>
          <w:rFonts w:ascii="Times New Roman" w:eastAsia="Times New Roman" w:hAnsi="Times New Roman" w:cs="Times New Roman"/>
        </w:rPr>
        <w:t xml:space="preserve"> and </w:t>
      </w:r>
      <w:r>
        <w:rPr>
          <w:rFonts w:ascii="Times New Roman" w:eastAsia="Times New Roman" w:hAnsi="Times New Roman" w:cs="Times New Roman"/>
          <w:b/>
        </w:rPr>
        <w:t>outcome (purchase Satisfaction)</w:t>
      </w:r>
      <w:r>
        <w:rPr>
          <w:rFonts w:ascii="Times New Roman" w:eastAsia="Times New Roman" w:hAnsi="Times New Roman" w:cs="Times New Roman"/>
        </w:rPr>
        <w:t xml:space="preserve"> is not mediated by (not accounted for by) </w:t>
      </w:r>
      <w:r w:rsidRPr="00CD0DCB">
        <w:rPr>
          <w:rFonts w:ascii="Times New Roman" w:eastAsia="Times New Roman" w:hAnsi="Times New Roman" w:cs="Times New Roman"/>
          <w:b/>
          <w:highlight w:val="yellow"/>
        </w:rPr>
        <w:t xml:space="preserve">Consumer </w:t>
      </w:r>
      <w:r w:rsidR="00D178DA" w:rsidRPr="00CD0DCB">
        <w:rPr>
          <w:rFonts w:ascii="Times New Roman" w:eastAsia="Times New Roman" w:hAnsi="Times New Roman" w:cs="Times New Roman"/>
          <w:b/>
          <w:highlight w:val="yellow"/>
        </w:rPr>
        <w:t>Scepticism</w:t>
      </w:r>
      <w:r w:rsidRPr="00CD0DCB">
        <w:rPr>
          <w:rFonts w:ascii="Times New Roman" w:eastAsia="Times New Roman" w:hAnsi="Times New Roman" w:cs="Times New Roman"/>
          <w:highlight w:val="yellow"/>
        </w:rPr>
        <w:t>. (</w:t>
      </w:r>
      <w:r>
        <w:rPr>
          <w:rFonts w:ascii="Times New Roman" w:eastAsia="Times New Roman" w:hAnsi="Times New Roman" w:cs="Times New Roman"/>
        </w:rPr>
        <w:t>H 9.2) (E-G-D)</w:t>
      </w:r>
    </w:p>
    <w:p w14:paraId="06E36B71" w14:textId="77777777" w:rsidR="00487CB5" w:rsidRDefault="002B62DD">
      <w:pPr>
        <w:numPr>
          <w:ilvl w:val="0"/>
          <w:numId w:val="2"/>
        </w:numPr>
        <w:rPr>
          <w:rFonts w:ascii="Times New Roman" w:eastAsia="Times New Roman" w:hAnsi="Times New Roman" w:cs="Times New Roman"/>
        </w:rPr>
      </w:pPr>
      <w:r>
        <w:rPr>
          <w:rFonts w:ascii="Times New Roman" w:eastAsia="Times New Roman" w:hAnsi="Times New Roman" w:cs="Times New Roman"/>
        </w:rPr>
        <w:t>The relationship between</w:t>
      </w:r>
      <w:r>
        <w:rPr>
          <w:rFonts w:ascii="Times New Roman" w:eastAsia="Times New Roman" w:hAnsi="Times New Roman" w:cs="Times New Roman"/>
          <w:b/>
        </w:rPr>
        <w:t xml:space="preserve"> Alternative Evaluation</w:t>
      </w:r>
      <w:r>
        <w:rPr>
          <w:rFonts w:ascii="Times New Roman" w:eastAsia="Times New Roman" w:hAnsi="Times New Roman" w:cs="Times New Roman"/>
        </w:rPr>
        <w:t xml:space="preserve"> and </w:t>
      </w:r>
      <w:r>
        <w:rPr>
          <w:rFonts w:ascii="Times New Roman" w:eastAsia="Times New Roman" w:hAnsi="Times New Roman" w:cs="Times New Roman"/>
          <w:b/>
        </w:rPr>
        <w:t>Green Purchase</w:t>
      </w:r>
      <w:r>
        <w:rPr>
          <w:rFonts w:ascii="Times New Roman" w:eastAsia="Times New Roman" w:hAnsi="Times New Roman" w:cs="Times New Roman"/>
        </w:rPr>
        <w:t xml:space="preserve"> is not mediated by (not accounted for by) </w:t>
      </w:r>
      <w:r>
        <w:rPr>
          <w:rFonts w:ascii="Times New Roman" w:eastAsia="Times New Roman" w:hAnsi="Times New Roman" w:cs="Times New Roman"/>
          <w:b/>
        </w:rPr>
        <w:t>consumer scepticism</w:t>
      </w:r>
      <w:r>
        <w:rPr>
          <w:rFonts w:ascii="Times New Roman" w:eastAsia="Times New Roman" w:hAnsi="Times New Roman" w:cs="Times New Roman"/>
        </w:rPr>
        <w:t>. (H 9.3) (E-G-C)</w:t>
      </w:r>
    </w:p>
    <w:p w14:paraId="5D9D8905" w14:textId="77777777" w:rsidR="00487CB5" w:rsidRDefault="00487CB5">
      <w:pPr>
        <w:rPr>
          <w:rFonts w:ascii="Times New Roman" w:eastAsia="Times New Roman" w:hAnsi="Times New Roman" w:cs="Times New Roman"/>
        </w:rPr>
      </w:pPr>
    </w:p>
    <w:p w14:paraId="7F9E5CC7"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 Measuring Scales:</w:t>
      </w:r>
    </w:p>
    <w:p w14:paraId="795A47EF" w14:textId="77777777" w:rsidR="00487CB5" w:rsidRDefault="00487CB5">
      <w:pPr>
        <w:rPr>
          <w:rFonts w:ascii="Times New Roman" w:eastAsia="Times New Roman" w:hAnsi="Times New Roman" w:cs="Times New Roman"/>
        </w:rPr>
      </w:pPr>
    </w:p>
    <w:p w14:paraId="17868F97"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The scales and measures used for the constructs were adapted from:</w:t>
      </w:r>
    </w:p>
    <w:p w14:paraId="203F5FC3"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(Chandra,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 consisting of 4 items for</w:t>
      </w:r>
      <w:r>
        <w:rPr>
          <w:rFonts w:ascii="Times New Roman" w:eastAsia="Times New Roman" w:hAnsi="Times New Roman" w:cs="Times New Roman"/>
          <w:b/>
        </w:rPr>
        <w:t xml:space="preserve"> Personal Norms</w:t>
      </w:r>
      <w:r>
        <w:rPr>
          <w:rFonts w:ascii="Times New Roman" w:eastAsia="Times New Roman" w:hAnsi="Times New Roman" w:cs="Times New Roman"/>
        </w:rPr>
        <w:t xml:space="preserve">. </w:t>
      </w:r>
    </w:p>
    <w:p w14:paraId="3A496F64"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(Li et al., 2021) consisting of 7 items for </w:t>
      </w:r>
      <w:r>
        <w:rPr>
          <w:rFonts w:ascii="Times New Roman" w:eastAsia="Times New Roman" w:hAnsi="Times New Roman" w:cs="Times New Roman"/>
          <w:b/>
        </w:rPr>
        <w:t>Green Purchase Intention</w:t>
      </w:r>
      <w:r>
        <w:rPr>
          <w:rFonts w:ascii="Times New Roman" w:eastAsia="Times New Roman" w:hAnsi="Times New Roman" w:cs="Times New Roman"/>
        </w:rPr>
        <w:t xml:space="preserve">. </w:t>
      </w:r>
    </w:p>
    <w:p w14:paraId="2E4327F8"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(Gupta, 2022) consisting of 2 items for </w:t>
      </w:r>
      <w:r>
        <w:rPr>
          <w:rFonts w:ascii="Times New Roman" w:eastAsia="Times New Roman" w:hAnsi="Times New Roman" w:cs="Times New Roman"/>
          <w:b/>
        </w:rPr>
        <w:t>Purchase</w:t>
      </w:r>
      <w:r>
        <w:rPr>
          <w:rFonts w:ascii="Times New Roman" w:eastAsia="Times New Roman" w:hAnsi="Times New Roman" w:cs="Times New Roman"/>
        </w:rPr>
        <w:t>.</w:t>
      </w:r>
    </w:p>
    <w:p w14:paraId="61612A5C"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(Braga et al., 2019) consisting of 6 items for </w:t>
      </w:r>
      <w:r>
        <w:rPr>
          <w:rFonts w:ascii="Times New Roman" w:eastAsia="Times New Roman" w:hAnsi="Times New Roman" w:cs="Times New Roman"/>
          <w:b/>
        </w:rPr>
        <w:t>Satisfaction</w:t>
      </w:r>
      <w:r>
        <w:rPr>
          <w:rFonts w:ascii="Times New Roman" w:eastAsia="Times New Roman" w:hAnsi="Times New Roman" w:cs="Times New Roman"/>
        </w:rPr>
        <w:t>.</w:t>
      </w:r>
    </w:p>
    <w:p w14:paraId="67A3006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(Mishra, 2018) consisting of 4 items for </w:t>
      </w:r>
      <w:r>
        <w:rPr>
          <w:rFonts w:ascii="Times New Roman" w:eastAsia="Times New Roman" w:hAnsi="Times New Roman" w:cs="Times New Roman"/>
          <w:b/>
        </w:rPr>
        <w:t>Alternative Evaluation</w:t>
      </w:r>
      <w:r>
        <w:rPr>
          <w:rFonts w:ascii="Times New Roman" w:eastAsia="Times New Roman" w:hAnsi="Times New Roman" w:cs="Times New Roman"/>
        </w:rPr>
        <w:t xml:space="preserve"> (questions derived from the stated criteria).</w:t>
      </w:r>
    </w:p>
    <w:p w14:paraId="73529E31"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(Li et al., 2021) consisting of 5 items for </w:t>
      </w:r>
      <w:r>
        <w:rPr>
          <w:rFonts w:ascii="Times New Roman" w:eastAsia="Times New Roman" w:hAnsi="Times New Roman" w:cs="Times New Roman"/>
          <w:b/>
        </w:rPr>
        <w:t>Greenwashing</w:t>
      </w:r>
      <w:r>
        <w:rPr>
          <w:rFonts w:ascii="Times New Roman" w:eastAsia="Times New Roman" w:hAnsi="Times New Roman" w:cs="Times New Roman"/>
        </w:rPr>
        <w:t>.</w:t>
      </w:r>
    </w:p>
    <w:p w14:paraId="438BC1E6"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(Braga et al., 2019) consisting of 6 items for </w:t>
      </w:r>
      <w:r>
        <w:rPr>
          <w:rFonts w:ascii="Times New Roman" w:eastAsia="Times New Roman" w:hAnsi="Times New Roman" w:cs="Times New Roman"/>
          <w:b/>
        </w:rPr>
        <w:t>Consumer Scepticism</w:t>
      </w:r>
      <w:r>
        <w:rPr>
          <w:rFonts w:ascii="Times New Roman" w:eastAsia="Times New Roman" w:hAnsi="Times New Roman" w:cs="Times New Roman"/>
        </w:rPr>
        <w:t>.</w:t>
      </w:r>
    </w:p>
    <w:p w14:paraId="639A7762" w14:textId="77777777" w:rsidR="00487CB5" w:rsidRDefault="00487CB5">
      <w:pPr>
        <w:rPr>
          <w:rFonts w:ascii="Times New Roman" w:eastAsia="Times New Roman" w:hAnsi="Times New Roman" w:cs="Times New Roman"/>
        </w:rPr>
      </w:pPr>
    </w:p>
    <w:p w14:paraId="37E2DAD8"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All the adapted scales used a five-point Likert scale. The Likert scale ranges from 1 to 5, where 1 represents strongly disagree and 5 represents strongly agree. A pilot study involving 25 participants was carried out to evaluate the internal consistency of the scales. A metric called Cronbach's alpha was employed to evaluate internal consistency. The analysis's findings are presented below in Table 1.</w:t>
      </w:r>
    </w:p>
    <w:p w14:paraId="14F26E0F" w14:textId="77777777" w:rsidR="00487CB5" w:rsidRDefault="00487CB5">
      <w:pPr>
        <w:rPr>
          <w:rFonts w:ascii="Times New Roman" w:eastAsia="Times New Roman" w:hAnsi="Times New Roman" w:cs="Times New Roman"/>
        </w:rPr>
      </w:pPr>
    </w:p>
    <w:p w14:paraId="26580670" w14:textId="77777777" w:rsidR="00487CB5" w:rsidRDefault="00487CB5">
      <w:pPr>
        <w:jc w:val="center"/>
        <w:rPr>
          <w:rFonts w:ascii="Times New Roman" w:eastAsia="Times New Roman" w:hAnsi="Times New Roman" w:cs="Times New Roman"/>
          <w:b/>
        </w:rPr>
      </w:pPr>
    </w:p>
    <w:p w14:paraId="52B6033B" w14:textId="77777777" w:rsidR="00B16A5C" w:rsidRDefault="002B62DD" w:rsidP="00B16A5C">
      <w:pPr>
        <w:jc w:val="center"/>
        <w:rPr>
          <w:rFonts w:ascii="Times New Roman" w:eastAsia="Times New Roman" w:hAnsi="Times New Roman" w:cs="Times New Roman"/>
          <w:b/>
          <w:sz w:val="24"/>
          <w:szCs w:val="24"/>
        </w:rPr>
      </w:pPr>
      <w:r>
        <w:rPr>
          <w:rFonts w:ascii="Times New Roman" w:eastAsia="Times New Roman" w:hAnsi="Times New Roman" w:cs="Times New Roman"/>
          <w:b/>
        </w:rPr>
        <w:t>Table: 1</w:t>
      </w:r>
      <w:r w:rsidR="00B16A5C">
        <w:rPr>
          <w:rFonts w:ascii="Times New Roman" w:eastAsia="Times New Roman" w:hAnsi="Times New Roman" w:cs="Times New Roman"/>
          <w:b/>
        </w:rPr>
        <w:t xml:space="preserve">: </w:t>
      </w:r>
      <w:r w:rsidR="00B16A5C">
        <w:rPr>
          <w:rFonts w:ascii="Times New Roman" w:eastAsia="Times New Roman" w:hAnsi="Times New Roman" w:cs="Times New Roman"/>
          <w:b/>
          <w:sz w:val="24"/>
          <w:szCs w:val="24"/>
        </w:rPr>
        <w:t>Cronbach’s Alpha Value of a Pilot with 25 Subjects</w:t>
      </w:r>
    </w:p>
    <w:p w14:paraId="19FBB149" w14:textId="2BA6BD7C" w:rsidR="00487CB5" w:rsidRDefault="00487CB5">
      <w:pPr>
        <w:rPr>
          <w:rFonts w:ascii="Times New Roman" w:eastAsia="Times New Roman" w:hAnsi="Times New Roman" w:cs="Times New Roman"/>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4755"/>
        <w:gridCol w:w="3000"/>
      </w:tblGrid>
      <w:tr w:rsidR="00487CB5" w14:paraId="58310D0A" w14:textId="77777777">
        <w:tc>
          <w:tcPr>
            <w:tcW w:w="1245" w:type="dxa"/>
            <w:shd w:val="clear" w:color="auto" w:fill="auto"/>
            <w:tcMar>
              <w:top w:w="100" w:type="dxa"/>
              <w:left w:w="100" w:type="dxa"/>
              <w:bottom w:w="100" w:type="dxa"/>
              <w:right w:w="100" w:type="dxa"/>
            </w:tcMar>
          </w:tcPr>
          <w:p w14:paraId="67CCF2A4" w14:textId="77777777" w:rsidR="00487CB5" w:rsidRDefault="002B62DD">
            <w:pPr>
              <w:widowControl w:val="0"/>
              <w:rPr>
                <w:rFonts w:ascii="Times New Roman" w:eastAsia="Times New Roman" w:hAnsi="Times New Roman" w:cs="Times New Roman"/>
                <w:b/>
              </w:rPr>
            </w:pPr>
            <w:proofErr w:type="spellStart"/>
            <w:r>
              <w:rPr>
                <w:rFonts w:ascii="Times New Roman" w:eastAsia="Times New Roman" w:hAnsi="Times New Roman" w:cs="Times New Roman"/>
                <w:b/>
              </w:rPr>
              <w:t>Sr.No</w:t>
            </w:r>
            <w:proofErr w:type="spellEnd"/>
            <w:r>
              <w:rPr>
                <w:rFonts w:ascii="Times New Roman" w:eastAsia="Times New Roman" w:hAnsi="Times New Roman" w:cs="Times New Roman"/>
                <w:b/>
              </w:rPr>
              <w:t xml:space="preserve"> </w:t>
            </w:r>
          </w:p>
        </w:tc>
        <w:tc>
          <w:tcPr>
            <w:tcW w:w="4755" w:type="dxa"/>
            <w:shd w:val="clear" w:color="auto" w:fill="auto"/>
            <w:tcMar>
              <w:top w:w="100" w:type="dxa"/>
              <w:left w:w="100" w:type="dxa"/>
              <w:bottom w:w="100" w:type="dxa"/>
              <w:right w:w="100" w:type="dxa"/>
            </w:tcMar>
          </w:tcPr>
          <w:p w14:paraId="3C857577"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shd w:val="clear" w:color="auto" w:fill="auto"/>
            <w:tcMar>
              <w:top w:w="100" w:type="dxa"/>
              <w:left w:w="100" w:type="dxa"/>
              <w:bottom w:w="100" w:type="dxa"/>
              <w:right w:w="100" w:type="dxa"/>
            </w:tcMar>
          </w:tcPr>
          <w:p w14:paraId="66F821AE"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65F77FA1" w14:textId="77777777">
        <w:tc>
          <w:tcPr>
            <w:tcW w:w="1245" w:type="dxa"/>
            <w:shd w:val="clear" w:color="auto" w:fill="auto"/>
            <w:tcMar>
              <w:top w:w="100" w:type="dxa"/>
              <w:left w:w="100" w:type="dxa"/>
              <w:bottom w:w="100" w:type="dxa"/>
              <w:right w:w="100" w:type="dxa"/>
            </w:tcMar>
          </w:tcPr>
          <w:p w14:paraId="6CCE29FF"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A.</w:t>
            </w:r>
          </w:p>
        </w:tc>
        <w:tc>
          <w:tcPr>
            <w:tcW w:w="4755" w:type="dxa"/>
            <w:shd w:val="clear" w:color="auto" w:fill="auto"/>
            <w:tcMar>
              <w:top w:w="100" w:type="dxa"/>
              <w:left w:w="100" w:type="dxa"/>
              <w:bottom w:w="100" w:type="dxa"/>
              <w:right w:w="100" w:type="dxa"/>
            </w:tcMar>
          </w:tcPr>
          <w:p w14:paraId="3C2E1505"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Personal Norms.</w:t>
            </w:r>
          </w:p>
        </w:tc>
        <w:tc>
          <w:tcPr>
            <w:tcW w:w="3000" w:type="dxa"/>
            <w:shd w:val="clear" w:color="auto" w:fill="auto"/>
            <w:tcMar>
              <w:top w:w="100" w:type="dxa"/>
              <w:left w:w="100" w:type="dxa"/>
              <w:bottom w:w="100" w:type="dxa"/>
              <w:right w:w="100" w:type="dxa"/>
            </w:tcMar>
          </w:tcPr>
          <w:p w14:paraId="4EE9448C"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0.857</w:t>
            </w:r>
          </w:p>
        </w:tc>
      </w:tr>
      <w:tr w:rsidR="00487CB5" w14:paraId="0D452231" w14:textId="77777777">
        <w:tc>
          <w:tcPr>
            <w:tcW w:w="1245" w:type="dxa"/>
            <w:shd w:val="clear" w:color="auto" w:fill="auto"/>
            <w:tcMar>
              <w:top w:w="100" w:type="dxa"/>
              <w:left w:w="100" w:type="dxa"/>
              <w:bottom w:w="100" w:type="dxa"/>
              <w:right w:w="100" w:type="dxa"/>
            </w:tcMar>
          </w:tcPr>
          <w:p w14:paraId="62E83C5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shd w:val="clear" w:color="auto" w:fill="auto"/>
            <w:tcMar>
              <w:top w:w="100" w:type="dxa"/>
              <w:left w:w="100" w:type="dxa"/>
              <w:bottom w:w="100" w:type="dxa"/>
              <w:right w:w="100" w:type="dxa"/>
            </w:tcMar>
          </w:tcPr>
          <w:p w14:paraId="025FFBA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I feel morally obliged to protect the environment.  </w:t>
            </w:r>
          </w:p>
        </w:tc>
        <w:tc>
          <w:tcPr>
            <w:tcW w:w="3000" w:type="dxa"/>
            <w:shd w:val="clear" w:color="auto" w:fill="auto"/>
            <w:tcMar>
              <w:top w:w="100" w:type="dxa"/>
              <w:left w:w="100" w:type="dxa"/>
              <w:bottom w:w="100" w:type="dxa"/>
              <w:right w:w="100" w:type="dxa"/>
            </w:tcMar>
          </w:tcPr>
          <w:p w14:paraId="3745D690" w14:textId="77777777" w:rsidR="00487CB5" w:rsidRDefault="00487CB5">
            <w:pPr>
              <w:widowControl w:val="0"/>
              <w:rPr>
                <w:rFonts w:ascii="Times New Roman" w:eastAsia="Times New Roman" w:hAnsi="Times New Roman" w:cs="Times New Roman"/>
              </w:rPr>
            </w:pPr>
          </w:p>
        </w:tc>
      </w:tr>
      <w:tr w:rsidR="00487CB5" w14:paraId="0DE555B7" w14:textId="77777777">
        <w:tc>
          <w:tcPr>
            <w:tcW w:w="1245" w:type="dxa"/>
            <w:shd w:val="clear" w:color="auto" w:fill="auto"/>
            <w:tcMar>
              <w:top w:w="100" w:type="dxa"/>
              <w:left w:w="100" w:type="dxa"/>
              <w:bottom w:w="100" w:type="dxa"/>
              <w:right w:w="100" w:type="dxa"/>
            </w:tcMar>
          </w:tcPr>
          <w:p w14:paraId="303D6E0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shd w:val="clear" w:color="auto" w:fill="auto"/>
            <w:tcMar>
              <w:top w:w="100" w:type="dxa"/>
              <w:left w:w="100" w:type="dxa"/>
              <w:bottom w:w="100" w:type="dxa"/>
              <w:right w:w="100" w:type="dxa"/>
            </w:tcMar>
          </w:tcPr>
          <w:p w14:paraId="3FB3775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I feel it is important that people in general have concern about the environment.  </w:t>
            </w:r>
          </w:p>
        </w:tc>
        <w:tc>
          <w:tcPr>
            <w:tcW w:w="3000" w:type="dxa"/>
            <w:shd w:val="clear" w:color="auto" w:fill="auto"/>
            <w:tcMar>
              <w:top w:w="100" w:type="dxa"/>
              <w:left w:w="100" w:type="dxa"/>
              <w:bottom w:w="100" w:type="dxa"/>
              <w:right w:w="100" w:type="dxa"/>
            </w:tcMar>
          </w:tcPr>
          <w:p w14:paraId="62F5E1D3" w14:textId="77777777" w:rsidR="00487CB5" w:rsidRDefault="00487CB5">
            <w:pPr>
              <w:widowControl w:val="0"/>
              <w:rPr>
                <w:rFonts w:ascii="Times New Roman" w:eastAsia="Times New Roman" w:hAnsi="Times New Roman" w:cs="Times New Roman"/>
              </w:rPr>
            </w:pPr>
          </w:p>
        </w:tc>
      </w:tr>
      <w:tr w:rsidR="00487CB5" w14:paraId="11E46D3C" w14:textId="77777777">
        <w:tc>
          <w:tcPr>
            <w:tcW w:w="1245" w:type="dxa"/>
            <w:shd w:val="clear" w:color="auto" w:fill="auto"/>
            <w:tcMar>
              <w:top w:w="100" w:type="dxa"/>
              <w:left w:w="100" w:type="dxa"/>
              <w:bottom w:w="100" w:type="dxa"/>
              <w:right w:w="100" w:type="dxa"/>
            </w:tcMar>
          </w:tcPr>
          <w:p w14:paraId="3215FCD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4755" w:type="dxa"/>
            <w:shd w:val="clear" w:color="auto" w:fill="auto"/>
            <w:tcMar>
              <w:top w:w="100" w:type="dxa"/>
              <w:left w:w="100" w:type="dxa"/>
              <w:bottom w:w="100" w:type="dxa"/>
              <w:right w:w="100" w:type="dxa"/>
            </w:tcMar>
          </w:tcPr>
          <w:p w14:paraId="10916FC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Because of my personal norms and values, I feel it’s important to be as environmentally friendly as possible.   </w:t>
            </w:r>
          </w:p>
        </w:tc>
        <w:tc>
          <w:tcPr>
            <w:tcW w:w="3000" w:type="dxa"/>
            <w:shd w:val="clear" w:color="auto" w:fill="auto"/>
            <w:tcMar>
              <w:top w:w="100" w:type="dxa"/>
              <w:left w:w="100" w:type="dxa"/>
              <w:bottom w:w="100" w:type="dxa"/>
              <w:right w:w="100" w:type="dxa"/>
            </w:tcMar>
          </w:tcPr>
          <w:p w14:paraId="367A6E40" w14:textId="77777777" w:rsidR="00487CB5" w:rsidRDefault="00487CB5">
            <w:pPr>
              <w:widowControl w:val="0"/>
              <w:rPr>
                <w:rFonts w:ascii="Times New Roman" w:eastAsia="Times New Roman" w:hAnsi="Times New Roman" w:cs="Times New Roman"/>
              </w:rPr>
            </w:pPr>
          </w:p>
        </w:tc>
      </w:tr>
      <w:tr w:rsidR="00487CB5" w14:paraId="572BCCBC" w14:textId="77777777">
        <w:tc>
          <w:tcPr>
            <w:tcW w:w="1245" w:type="dxa"/>
            <w:shd w:val="clear" w:color="auto" w:fill="auto"/>
            <w:tcMar>
              <w:top w:w="100" w:type="dxa"/>
              <w:left w:w="100" w:type="dxa"/>
              <w:bottom w:w="100" w:type="dxa"/>
              <w:right w:w="100" w:type="dxa"/>
            </w:tcMar>
          </w:tcPr>
          <w:p w14:paraId="033F646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shd w:val="clear" w:color="auto" w:fill="auto"/>
            <w:tcMar>
              <w:top w:w="100" w:type="dxa"/>
              <w:left w:w="100" w:type="dxa"/>
              <w:bottom w:w="100" w:type="dxa"/>
              <w:right w:w="100" w:type="dxa"/>
            </w:tcMar>
          </w:tcPr>
          <w:p w14:paraId="31FC63F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I feel like I should protect the environment even if it is a small act of my own.</w:t>
            </w:r>
          </w:p>
        </w:tc>
        <w:tc>
          <w:tcPr>
            <w:tcW w:w="3000" w:type="dxa"/>
            <w:shd w:val="clear" w:color="auto" w:fill="auto"/>
            <w:tcMar>
              <w:top w:w="100" w:type="dxa"/>
              <w:left w:w="100" w:type="dxa"/>
              <w:bottom w:w="100" w:type="dxa"/>
              <w:right w:w="100" w:type="dxa"/>
            </w:tcMar>
          </w:tcPr>
          <w:p w14:paraId="3A93E7AE" w14:textId="77777777" w:rsidR="00487CB5" w:rsidRDefault="00487CB5">
            <w:pPr>
              <w:widowControl w:val="0"/>
              <w:rPr>
                <w:rFonts w:ascii="Times New Roman" w:eastAsia="Times New Roman" w:hAnsi="Times New Roman" w:cs="Times New Roman"/>
              </w:rPr>
            </w:pPr>
          </w:p>
        </w:tc>
      </w:tr>
      <w:tr w:rsidR="00487CB5" w14:paraId="464DE398" w14:textId="77777777">
        <w:tc>
          <w:tcPr>
            <w:tcW w:w="1245" w:type="dxa"/>
            <w:shd w:val="clear" w:color="auto" w:fill="auto"/>
            <w:tcMar>
              <w:top w:w="100" w:type="dxa"/>
              <w:left w:w="100" w:type="dxa"/>
              <w:bottom w:w="100" w:type="dxa"/>
              <w:right w:w="100" w:type="dxa"/>
            </w:tcMar>
          </w:tcPr>
          <w:p w14:paraId="465A2FEC"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0CED5298"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07864D3D" w14:textId="77777777" w:rsidR="00487CB5" w:rsidRDefault="00487CB5">
            <w:pPr>
              <w:widowControl w:val="0"/>
              <w:rPr>
                <w:rFonts w:ascii="Times New Roman" w:eastAsia="Times New Roman" w:hAnsi="Times New Roman" w:cs="Times New Roman"/>
              </w:rPr>
            </w:pPr>
          </w:p>
        </w:tc>
      </w:tr>
      <w:tr w:rsidR="00487CB5" w14:paraId="0FA21122" w14:textId="77777777">
        <w:tc>
          <w:tcPr>
            <w:tcW w:w="1245" w:type="dxa"/>
            <w:shd w:val="clear" w:color="auto" w:fill="auto"/>
            <w:tcMar>
              <w:top w:w="100" w:type="dxa"/>
              <w:left w:w="100" w:type="dxa"/>
              <w:bottom w:w="100" w:type="dxa"/>
              <w:right w:w="100" w:type="dxa"/>
            </w:tcMar>
          </w:tcPr>
          <w:p w14:paraId="35210E2B" w14:textId="77777777" w:rsidR="00487CB5" w:rsidRDefault="002B62DD">
            <w:pPr>
              <w:widowControl w:val="0"/>
              <w:rPr>
                <w:rFonts w:ascii="Times New Roman" w:eastAsia="Times New Roman" w:hAnsi="Times New Roman" w:cs="Times New Roman"/>
                <w:b/>
              </w:rPr>
            </w:pPr>
            <w:proofErr w:type="spellStart"/>
            <w:r>
              <w:rPr>
                <w:rFonts w:ascii="Times New Roman" w:eastAsia="Times New Roman" w:hAnsi="Times New Roman" w:cs="Times New Roman"/>
                <w:b/>
              </w:rPr>
              <w:t>Sr.No</w:t>
            </w:r>
            <w:proofErr w:type="spellEnd"/>
            <w:r>
              <w:rPr>
                <w:rFonts w:ascii="Times New Roman" w:eastAsia="Times New Roman" w:hAnsi="Times New Roman" w:cs="Times New Roman"/>
                <w:b/>
              </w:rPr>
              <w:t xml:space="preserve"> </w:t>
            </w:r>
          </w:p>
        </w:tc>
        <w:tc>
          <w:tcPr>
            <w:tcW w:w="4755" w:type="dxa"/>
            <w:shd w:val="clear" w:color="auto" w:fill="auto"/>
            <w:tcMar>
              <w:top w:w="100" w:type="dxa"/>
              <w:left w:w="100" w:type="dxa"/>
              <w:bottom w:w="100" w:type="dxa"/>
              <w:right w:w="100" w:type="dxa"/>
            </w:tcMar>
          </w:tcPr>
          <w:p w14:paraId="50295A31"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shd w:val="clear" w:color="auto" w:fill="auto"/>
            <w:tcMar>
              <w:top w:w="100" w:type="dxa"/>
              <w:left w:w="100" w:type="dxa"/>
              <w:bottom w:w="100" w:type="dxa"/>
              <w:right w:w="100" w:type="dxa"/>
            </w:tcMar>
          </w:tcPr>
          <w:p w14:paraId="5D75EA15"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267E9DCA" w14:textId="77777777">
        <w:tc>
          <w:tcPr>
            <w:tcW w:w="1245" w:type="dxa"/>
            <w:shd w:val="clear" w:color="auto" w:fill="auto"/>
            <w:tcMar>
              <w:top w:w="100" w:type="dxa"/>
              <w:left w:w="100" w:type="dxa"/>
              <w:bottom w:w="100" w:type="dxa"/>
              <w:right w:w="100" w:type="dxa"/>
            </w:tcMar>
          </w:tcPr>
          <w:p w14:paraId="5777EF3C"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B.</w:t>
            </w:r>
          </w:p>
        </w:tc>
        <w:tc>
          <w:tcPr>
            <w:tcW w:w="4755" w:type="dxa"/>
            <w:shd w:val="clear" w:color="auto" w:fill="auto"/>
            <w:tcMar>
              <w:top w:w="100" w:type="dxa"/>
              <w:left w:w="100" w:type="dxa"/>
              <w:bottom w:w="100" w:type="dxa"/>
              <w:right w:w="100" w:type="dxa"/>
            </w:tcMar>
          </w:tcPr>
          <w:p w14:paraId="2F21BF3E"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Green Purchase Intention.</w:t>
            </w:r>
          </w:p>
        </w:tc>
        <w:tc>
          <w:tcPr>
            <w:tcW w:w="3000" w:type="dxa"/>
            <w:shd w:val="clear" w:color="auto" w:fill="auto"/>
            <w:tcMar>
              <w:top w:w="100" w:type="dxa"/>
              <w:left w:w="100" w:type="dxa"/>
              <w:bottom w:w="100" w:type="dxa"/>
              <w:right w:w="100" w:type="dxa"/>
            </w:tcMar>
          </w:tcPr>
          <w:p w14:paraId="3CB27D53"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0.883</w:t>
            </w:r>
          </w:p>
        </w:tc>
      </w:tr>
      <w:tr w:rsidR="00487CB5" w14:paraId="62BA8CA3" w14:textId="77777777">
        <w:tc>
          <w:tcPr>
            <w:tcW w:w="1245" w:type="dxa"/>
            <w:shd w:val="clear" w:color="auto" w:fill="auto"/>
            <w:tcMar>
              <w:top w:w="100" w:type="dxa"/>
              <w:left w:w="100" w:type="dxa"/>
              <w:bottom w:w="100" w:type="dxa"/>
              <w:right w:w="100" w:type="dxa"/>
            </w:tcMar>
          </w:tcPr>
          <w:p w14:paraId="6278108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shd w:val="clear" w:color="auto" w:fill="auto"/>
            <w:tcMar>
              <w:top w:w="100" w:type="dxa"/>
              <w:left w:w="100" w:type="dxa"/>
              <w:bottom w:w="100" w:type="dxa"/>
              <w:right w:w="100" w:type="dxa"/>
            </w:tcMar>
          </w:tcPr>
          <w:p w14:paraId="331F8D3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You expect to buy environmentally friendly and sustainable products.</w:t>
            </w:r>
          </w:p>
        </w:tc>
        <w:tc>
          <w:tcPr>
            <w:tcW w:w="3000" w:type="dxa"/>
            <w:shd w:val="clear" w:color="auto" w:fill="auto"/>
            <w:tcMar>
              <w:top w:w="100" w:type="dxa"/>
              <w:left w:w="100" w:type="dxa"/>
              <w:bottom w:w="100" w:type="dxa"/>
              <w:right w:w="100" w:type="dxa"/>
            </w:tcMar>
          </w:tcPr>
          <w:p w14:paraId="5C7A812D" w14:textId="77777777" w:rsidR="00487CB5" w:rsidRDefault="00487CB5">
            <w:pPr>
              <w:widowControl w:val="0"/>
              <w:rPr>
                <w:rFonts w:ascii="Times New Roman" w:eastAsia="Times New Roman" w:hAnsi="Times New Roman" w:cs="Times New Roman"/>
              </w:rPr>
            </w:pPr>
          </w:p>
        </w:tc>
      </w:tr>
      <w:tr w:rsidR="00487CB5" w14:paraId="185B9D62" w14:textId="77777777">
        <w:tc>
          <w:tcPr>
            <w:tcW w:w="1245" w:type="dxa"/>
            <w:shd w:val="clear" w:color="auto" w:fill="auto"/>
            <w:tcMar>
              <w:top w:w="100" w:type="dxa"/>
              <w:left w:w="100" w:type="dxa"/>
              <w:bottom w:w="100" w:type="dxa"/>
              <w:right w:w="100" w:type="dxa"/>
            </w:tcMar>
          </w:tcPr>
          <w:p w14:paraId="29B23BA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shd w:val="clear" w:color="auto" w:fill="auto"/>
            <w:tcMar>
              <w:top w:w="100" w:type="dxa"/>
              <w:left w:w="100" w:type="dxa"/>
              <w:bottom w:w="100" w:type="dxa"/>
              <w:right w:w="100" w:type="dxa"/>
            </w:tcMar>
          </w:tcPr>
          <w:p w14:paraId="35A6775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You tend to buy products that are recyclable or that have a clear way to dispose of them at the end of their use.</w:t>
            </w:r>
          </w:p>
        </w:tc>
        <w:tc>
          <w:tcPr>
            <w:tcW w:w="3000" w:type="dxa"/>
            <w:shd w:val="clear" w:color="auto" w:fill="auto"/>
            <w:tcMar>
              <w:top w:w="100" w:type="dxa"/>
              <w:left w:w="100" w:type="dxa"/>
              <w:bottom w:w="100" w:type="dxa"/>
              <w:right w:w="100" w:type="dxa"/>
            </w:tcMar>
          </w:tcPr>
          <w:p w14:paraId="4E3D1501" w14:textId="77777777" w:rsidR="00487CB5" w:rsidRDefault="00487CB5">
            <w:pPr>
              <w:widowControl w:val="0"/>
              <w:rPr>
                <w:rFonts w:ascii="Times New Roman" w:eastAsia="Times New Roman" w:hAnsi="Times New Roman" w:cs="Times New Roman"/>
              </w:rPr>
            </w:pPr>
          </w:p>
        </w:tc>
      </w:tr>
      <w:tr w:rsidR="00487CB5" w14:paraId="2F73EE69" w14:textId="77777777">
        <w:tc>
          <w:tcPr>
            <w:tcW w:w="1245" w:type="dxa"/>
            <w:shd w:val="clear" w:color="auto" w:fill="auto"/>
            <w:tcMar>
              <w:top w:w="100" w:type="dxa"/>
              <w:left w:w="100" w:type="dxa"/>
              <w:bottom w:w="100" w:type="dxa"/>
              <w:right w:w="100" w:type="dxa"/>
            </w:tcMar>
          </w:tcPr>
          <w:p w14:paraId="0DB1802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4755" w:type="dxa"/>
            <w:shd w:val="clear" w:color="auto" w:fill="auto"/>
            <w:tcMar>
              <w:top w:w="100" w:type="dxa"/>
              <w:left w:w="100" w:type="dxa"/>
              <w:bottom w:w="100" w:type="dxa"/>
              <w:right w:w="100" w:type="dxa"/>
            </w:tcMar>
          </w:tcPr>
          <w:p w14:paraId="6D8E6A4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When purchasing a product, you will consider whether the production of the product is harmful to animals and plants.  </w:t>
            </w:r>
          </w:p>
        </w:tc>
        <w:tc>
          <w:tcPr>
            <w:tcW w:w="3000" w:type="dxa"/>
            <w:shd w:val="clear" w:color="auto" w:fill="auto"/>
            <w:tcMar>
              <w:top w:w="100" w:type="dxa"/>
              <w:left w:w="100" w:type="dxa"/>
              <w:bottom w:w="100" w:type="dxa"/>
              <w:right w:w="100" w:type="dxa"/>
            </w:tcMar>
          </w:tcPr>
          <w:p w14:paraId="0B900747" w14:textId="77777777" w:rsidR="00487CB5" w:rsidRDefault="00487CB5">
            <w:pPr>
              <w:widowControl w:val="0"/>
              <w:rPr>
                <w:rFonts w:ascii="Times New Roman" w:eastAsia="Times New Roman" w:hAnsi="Times New Roman" w:cs="Times New Roman"/>
              </w:rPr>
            </w:pPr>
          </w:p>
        </w:tc>
      </w:tr>
      <w:tr w:rsidR="00487CB5" w14:paraId="12E215CF" w14:textId="77777777">
        <w:tc>
          <w:tcPr>
            <w:tcW w:w="1245" w:type="dxa"/>
            <w:shd w:val="clear" w:color="auto" w:fill="auto"/>
            <w:tcMar>
              <w:top w:w="100" w:type="dxa"/>
              <w:left w:w="100" w:type="dxa"/>
              <w:bottom w:w="100" w:type="dxa"/>
              <w:right w:w="100" w:type="dxa"/>
            </w:tcMar>
          </w:tcPr>
          <w:p w14:paraId="0D8DEDC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shd w:val="clear" w:color="auto" w:fill="auto"/>
            <w:tcMar>
              <w:top w:w="100" w:type="dxa"/>
              <w:left w:w="100" w:type="dxa"/>
              <w:bottom w:w="100" w:type="dxa"/>
              <w:right w:w="100" w:type="dxa"/>
            </w:tcMar>
          </w:tcPr>
          <w:p w14:paraId="18E8285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You want to buy products with environmental performance (energy saving and emission reduction), such as energy-saving air conditioning.  </w:t>
            </w:r>
          </w:p>
        </w:tc>
        <w:tc>
          <w:tcPr>
            <w:tcW w:w="3000" w:type="dxa"/>
            <w:shd w:val="clear" w:color="auto" w:fill="auto"/>
            <w:tcMar>
              <w:top w:w="100" w:type="dxa"/>
              <w:left w:w="100" w:type="dxa"/>
              <w:bottom w:w="100" w:type="dxa"/>
              <w:right w:w="100" w:type="dxa"/>
            </w:tcMar>
          </w:tcPr>
          <w:p w14:paraId="1D604FCC" w14:textId="77777777" w:rsidR="00487CB5" w:rsidRDefault="00487CB5">
            <w:pPr>
              <w:widowControl w:val="0"/>
              <w:rPr>
                <w:rFonts w:ascii="Times New Roman" w:eastAsia="Times New Roman" w:hAnsi="Times New Roman" w:cs="Times New Roman"/>
              </w:rPr>
            </w:pPr>
          </w:p>
        </w:tc>
      </w:tr>
      <w:tr w:rsidR="00487CB5" w14:paraId="7C9CB510" w14:textId="77777777">
        <w:tc>
          <w:tcPr>
            <w:tcW w:w="1245" w:type="dxa"/>
            <w:shd w:val="clear" w:color="auto" w:fill="auto"/>
            <w:tcMar>
              <w:top w:w="100" w:type="dxa"/>
              <w:left w:w="100" w:type="dxa"/>
              <w:bottom w:w="100" w:type="dxa"/>
              <w:right w:w="100" w:type="dxa"/>
            </w:tcMar>
          </w:tcPr>
          <w:p w14:paraId="066B71B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5.</w:t>
            </w:r>
          </w:p>
        </w:tc>
        <w:tc>
          <w:tcPr>
            <w:tcW w:w="4755" w:type="dxa"/>
            <w:shd w:val="clear" w:color="auto" w:fill="auto"/>
            <w:tcMar>
              <w:top w:w="100" w:type="dxa"/>
              <w:left w:w="100" w:type="dxa"/>
              <w:bottom w:w="100" w:type="dxa"/>
              <w:right w:w="100" w:type="dxa"/>
            </w:tcMar>
          </w:tcPr>
          <w:p w14:paraId="62F6CA01"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For ecological reasons, you may consider switching to a greener brand.  </w:t>
            </w:r>
          </w:p>
        </w:tc>
        <w:tc>
          <w:tcPr>
            <w:tcW w:w="3000" w:type="dxa"/>
            <w:shd w:val="clear" w:color="auto" w:fill="auto"/>
            <w:tcMar>
              <w:top w:w="100" w:type="dxa"/>
              <w:left w:w="100" w:type="dxa"/>
              <w:bottom w:w="100" w:type="dxa"/>
              <w:right w:w="100" w:type="dxa"/>
            </w:tcMar>
          </w:tcPr>
          <w:p w14:paraId="30B0759C" w14:textId="77777777" w:rsidR="00487CB5" w:rsidRDefault="00487CB5">
            <w:pPr>
              <w:widowControl w:val="0"/>
              <w:rPr>
                <w:rFonts w:ascii="Times New Roman" w:eastAsia="Times New Roman" w:hAnsi="Times New Roman" w:cs="Times New Roman"/>
              </w:rPr>
            </w:pPr>
          </w:p>
        </w:tc>
      </w:tr>
      <w:tr w:rsidR="00487CB5" w14:paraId="2B92BFEA" w14:textId="77777777">
        <w:tc>
          <w:tcPr>
            <w:tcW w:w="1245" w:type="dxa"/>
            <w:shd w:val="clear" w:color="auto" w:fill="auto"/>
            <w:tcMar>
              <w:top w:w="100" w:type="dxa"/>
              <w:left w:w="100" w:type="dxa"/>
              <w:bottom w:w="100" w:type="dxa"/>
              <w:right w:w="100" w:type="dxa"/>
            </w:tcMar>
          </w:tcPr>
          <w:p w14:paraId="22DB2D6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6.</w:t>
            </w:r>
          </w:p>
        </w:tc>
        <w:tc>
          <w:tcPr>
            <w:tcW w:w="4755" w:type="dxa"/>
            <w:shd w:val="clear" w:color="auto" w:fill="auto"/>
            <w:tcMar>
              <w:top w:w="100" w:type="dxa"/>
              <w:left w:w="100" w:type="dxa"/>
              <w:bottom w:w="100" w:type="dxa"/>
              <w:right w:w="100" w:type="dxa"/>
            </w:tcMar>
          </w:tcPr>
          <w:p w14:paraId="4D68EB22"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You plan to switch to a green product (e.g. replace the lights in your home with energy efficient ones).  </w:t>
            </w:r>
          </w:p>
        </w:tc>
        <w:tc>
          <w:tcPr>
            <w:tcW w:w="3000" w:type="dxa"/>
            <w:shd w:val="clear" w:color="auto" w:fill="auto"/>
            <w:tcMar>
              <w:top w:w="100" w:type="dxa"/>
              <w:left w:w="100" w:type="dxa"/>
              <w:bottom w:w="100" w:type="dxa"/>
              <w:right w:w="100" w:type="dxa"/>
            </w:tcMar>
          </w:tcPr>
          <w:p w14:paraId="4D114BB8" w14:textId="77777777" w:rsidR="00487CB5" w:rsidRDefault="00487CB5">
            <w:pPr>
              <w:widowControl w:val="0"/>
              <w:rPr>
                <w:rFonts w:ascii="Times New Roman" w:eastAsia="Times New Roman" w:hAnsi="Times New Roman" w:cs="Times New Roman"/>
              </w:rPr>
            </w:pPr>
          </w:p>
        </w:tc>
      </w:tr>
      <w:tr w:rsidR="00487CB5" w14:paraId="69290732" w14:textId="77777777">
        <w:tc>
          <w:tcPr>
            <w:tcW w:w="1245" w:type="dxa"/>
            <w:shd w:val="clear" w:color="auto" w:fill="auto"/>
            <w:tcMar>
              <w:top w:w="100" w:type="dxa"/>
              <w:left w:w="100" w:type="dxa"/>
              <w:bottom w:w="100" w:type="dxa"/>
              <w:right w:w="100" w:type="dxa"/>
            </w:tcMar>
          </w:tcPr>
          <w:p w14:paraId="37D9475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7.</w:t>
            </w:r>
          </w:p>
        </w:tc>
        <w:tc>
          <w:tcPr>
            <w:tcW w:w="4755" w:type="dxa"/>
            <w:shd w:val="clear" w:color="auto" w:fill="auto"/>
            <w:tcMar>
              <w:top w:w="100" w:type="dxa"/>
              <w:left w:w="100" w:type="dxa"/>
              <w:bottom w:w="100" w:type="dxa"/>
              <w:right w:w="100" w:type="dxa"/>
            </w:tcMar>
          </w:tcPr>
          <w:p w14:paraId="25923AC2"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In future consumption, you want to increase the purchase/use of green products for yourself.   </w:t>
            </w:r>
          </w:p>
        </w:tc>
        <w:tc>
          <w:tcPr>
            <w:tcW w:w="3000" w:type="dxa"/>
            <w:shd w:val="clear" w:color="auto" w:fill="auto"/>
            <w:tcMar>
              <w:top w:w="100" w:type="dxa"/>
              <w:left w:w="100" w:type="dxa"/>
              <w:bottom w:w="100" w:type="dxa"/>
              <w:right w:w="100" w:type="dxa"/>
            </w:tcMar>
          </w:tcPr>
          <w:p w14:paraId="75E4E4C3" w14:textId="77777777" w:rsidR="00487CB5" w:rsidRDefault="00487CB5">
            <w:pPr>
              <w:widowControl w:val="0"/>
              <w:rPr>
                <w:rFonts w:ascii="Times New Roman" w:eastAsia="Times New Roman" w:hAnsi="Times New Roman" w:cs="Times New Roman"/>
              </w:rPr>
            </w:pPr>
          </w:p>
        </w:tc>
      </w:tr>
      <w:tr w:rsidR="00487CB5" w14:paraId="2C42131A" w14:textId="77777777">
        <w:tc>
          <w:tcPr>
            <w:tcW w:w="1245" w:type="dxa"/>
            <w:shd w:val="clear" w:color="auto" w:fill="auto"/>
            <w:tcMar>
              <w:top w:w="100" w:type="dxa"/>
              <w:left w:w="100" w:type="dxa"/>
              <w:bottom w:w="100" w:type="dxa"/>
              <w:right w:w="100" w:type="dxa"/>
            </w:tcMar>
          </w:tcPr>
          <w:p w14:paraId="6605FAD4"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0E7485EA"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27420EE4" w14:textId="77777777" w:rsidR="00487CB5" w:rsidRDefault="00487CB5">
            <w:pPr>
              <w:widowControl w:val="0"/>
              <w:rPr>
                <w:rFonts w:ascii="Times New Roman" w:eastAsia="Times New Roman" w:hAnsi="Times New Roman" w:cs="Times New Roman"/>
              </w:rPr>
            </w:pPr>
          </w:p>
        </w:tc>
      </w:tr>
      <w:tr w:rsidR="00487CB5" w14:paraId="7071E908" w14:textId="77777777">
        <w:tc>
          <w:tcPr>
            <w:tcW w:w="1245" w:type="dxa"/>
          </w:tcPr>
          <w:p w14:paraId="7DE390DA" w14:textId="77777777" w:rsidR="00487CB5" w:rsidRDefault="002B62DD">
            <w:pPr>
              <w:widowControl w:val="0"/>
              <w:rPr>
                <w:rFonts w:ascii="Times New Roman" w:eastAsia="Times New Roman" w:hAnsi="Times New Roman" w:cs="Times New Roman"/>
                <w:b/>
              </w:rPr>
            </w:pPr>
            <w:proofErr w:type="spellStart"/>
            <w:r>
              <w:rPr>
                <w:rFonts w:ascii="Times New Roman" w:eastAsia="Times New Roman" w:hAnsi="Times New Roman" w:cs="Times New Roman"/>
                <w:b/>
              </w:rPr>
              <w:t>Sr.No</w:t>
            </w:r>
            <w:proofErr w:type="spellEnd"/>
            <w:r>
              <w:rPr>
                <w:rFonts w:ascii="Times New Roman" w:eastAsia="Times New Roman" w:hAnsi="Times New Roman" w:cs="Times New Roman"/>
                <w:b/>
              </w:rPr>
              <w:t xml:space="preserve"> </w:t>
            </w:r>
          </w:p>
        </w:tc>
        <w:tc>
          <w:tcPr>
            <w:tcW w:w="4755" w:type="dxa"/>
          </w:tcPr>
          <w:p w14:paraId="1E38F52E"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tcPr>
          <w:p w14:paraId="0A22B477"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56309247" w14:textId="77777777">
        <w:tc>
          <w:tcPr>
            <w:tcW w:w="1245" w:type="dxa"/>
          </w:tcPr>
          <w:p w14:paraId="5D05D3C3"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C.</w:t>
            </w:r>
          </w:p>
        </w:tc>
        <w:tc>
          <w:tcPr>
            <w:tcW w:w="4755" w:type="dxa"/>
          </w:tcPr>
          <w:p w14:paraId="4399C36B"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The Decision Making Process: Green Choice (Purchase).</w:t>
            </w:r>
          </w:p>
        </w:tc>
        <w:tc>
          <w:tcPr>
            <w:tcW w:w="3000" w:type="dxa"/>
          </w:tcPr>
          <w:p w14:paraId="7CEAC911"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0.72</w:t>
            </w:r>
          </w:p>
        </w:tc>
      </w:tr>
      <w:tr w:rsidR="00487CB5" w14:paraId="4FEF6E85" w14:textId="77777777">
        <w:tc>
          <w:tcPr>
            <w:tcW w:w="1245" w:type="dxa"/>
          </w:tcPr>
          <w:p w14:paraId="2068866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tcPr>
          <w:p w14:paraId="64FA259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You use green products because they are the best choice for you.</w:t>
            </w:r>
          </w:p>
        </w:tc>
        <w:tc>
          <w:tcPr>
            <w:tcW w:w="3000" w:type="dxa"/>
          </w:tcPr>
          <w:p w14:paraId="6B8106D1" w14:textId="77777777" w:rsidR="00487CB5" w:rsidRDefault="00487CB5">
            <w:pPr>
              <w:widowControl w:val="0"/>
              <w:rPr>
                <w:rFonts w:ascii="Times New Roman" w:eastAsia="Times New Roman" w:hAnsi="Times New Roman" w:cs="Times New Roman"/>
              </w:rPr>
            </w:pPr>
          </w:p>
        </w:tc>
      </w:tr>
      <w:tr w:rsidR="00487CB5" w14:paraId="56637D00" w14:textId="77777777">
        <w:tc>
          <w:tcPr>
            <w:tcW w:w="1245" w:type="dxa"/>
          </w:tcPr>
          <w:p w14:paraId="2F6FC20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tcPr>
          <w:p w14:paraId="6D744F7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In comparison to non-green products, green products are growing in popularity.  </w:t>
            </w:r>
          </w:p>
        </w:tc>
        <w:tc>
          <w:tcPr>
            <w:tcW w:w="3000" w:type="dxa"/>
          </w:tcPr>
          <w:p w14:paraId="2219E499" w14:textId="77777777" w:rsidR="00487CB5" w:rsidRDefault="00487CB5">
            <w:pPr>
              <w:widowControl w:val="0"/>
              <w:rPr>
                <w:rFonts w:ascii="Times New Roman" w:eastAsia="Times New Roman" w:hAnsi="Times New Roman" w:cs="Times New Roman"/>
              </w:rPr>
            </w:pPr>
          </w:p>
        </w:tc>
      </w:tr>
      <w:tr w:rsidR="00487CB5" w14:paraId="7B99160E" w14:textId="77777777">
        <w:tc>
          <w:tcPr>
            <w:tcW w:w="1245" w:type="dxa"/>
            <w:shd w:val="clear" w:color="auto" w:fill="auto"/>
            <w:tcMar>
              <w:top w:w="100" w:type="dxa"/>
              <w:left w:w="100" w:type="dxa"/>
              <w:bottom w:w="100" w:type="dxa"/>
              <w:right w:w="100" w:type="dxa"/>
            </w:tcMar>
          </w:tcPr>
          <w:p w14:paraId="41BF446A"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61B0610F"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46887263" w14:textId="77777777" w:rsidR="00487CB5" w:rsidRDefault="00487CB5">
            <w:pPr>
              <w:widowControl w:val="0"/>
              <w:rPr>
                <w:rFonts w:ascii="Times New Roman" w:eastAsia="Times New Roman" w:hAnsi="Times New Roman" w:cs="Times New Roman"/>
              </w:rPr>
            </w:pPr>
          </w:p>
        </w:tc>
      </w:tr>
      <w:tr w:rsidR="00487CB5" w14:paraId="470A316D" w14:textId="77777777">
        <w:tc>
          <w:tcPr>
            <w:tcW w:w="1245" w:type="dxa"/>
          </w:tcPr>
          <w:p w14:paraId="3AF00BFA" w14:textId="77777777" w:rsidR="00487CB5" w:rsidRDefault="002B62DD">
            <w:pPr>
              <w:widowControl w:val="0"/>
              <w:rPr>
                <w:rFonts w:ascii="Times New Roman" w:eastAsia="Times New Roman" w:hAnsi="Times New Roman" w:cs="Times New Roman"/>
                <w:b/>
              </w:rPr>
            </w:pPr>
            <w:proofErr w:type="spellStart"/>
            <w:r>
              <w:rPr>
                <w:rFonts w:ascii="Times New Roman" w:eastAsia="Times New Roman" w:hAnsi="Times New Roman" w:cs="Times New Roman"/>
                <w:b/>
              </w:rPr>
              <w:t>Sr.No</w:t>
            </w:r>
            <w:proofErr w:type="spellEnd"/>
            <w:r>
              <w:rPr>
                <w:rFonts w:ascii="Times New Roman" w:eastAsia="Times New Roman" w:hAnsi="Times New Roman" w:cs="Times New Roman"/>
                <w:b/>
              </w:rPr>
              <w:t xml:space="preserve"> </w:t>
            </w:r>
          </w:p>
        </w:tc>
        <w:tc>
          <w:tcPr>
            <w:tcW w:w="4755" w:type="dxa"/>
          </w:tcPr>
          <w:p w14:paraId="26083716"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tcPr>
          <w:p w14:paraId="2436027D"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7F95CCF4" w14:textId="77777777">
        <w:tc>
          <w:tcPr>
            <w:tcW w:w="1245" w:type="dxa"/>
          </w:tcPr>
          <w:p w14:paraId="6D170F64"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D.</w:t>
            </w:r>
          </w:p>
        </w:tc>
        <w:tc>
          <w:tcPr>
            <w:tcW w:w="4755" w:type="dxa"/>
          </w:tcPr>
          <w:p w14:paraId="28B665A4"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The Decision Making Process: Satisfaction (Outcome).</w:t>
            </w:r>
          </w:p>
        </w:tc>
        <w:tc>
          <w:tcPr>
            <w:tcW w:w="3000" w:type="dxa"/>
          </w:tcPr>
          <w:p w14:paraId="78661739"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0.713</w:t>
            </w:r>
          </w:p>
        </w:tc>
      </w:tr>
      <w:tr w:rsidR="00487CB5" w14:paraId="787CA557" w14:textId="77777777">
        <w:tc>
          <w:tcPr>
            <w:tcW w:w="1245" w:type="dxa"/>
          </w:tcPr>
          <w:p w14:paraId="30E4B88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tcPr>
          <w:p w14:paraId="5188180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I always identify with green products.</w:t>
            </w:r>
          </w:p>
        </w:tc>
        <w:tc>
          <w:tcPr>
            <w:tcW w:w="3000" w:type="dxa"/>
          </w:tcPr>
          <w:p w14:paraId="6D0F2147" w14:textId="77777777" w:rsidR="00487CB5" w:rsidRDefault="00487CB5">
            <w:pPr>
              <w:widowControl w:val="0"/>
              <w:rPr>
                <w:rFonts w:ascii="Times New Roman" w:eastAsia="Times New Roman" w:hAnsi="Times New Roman" w:cs="Times New Roman"/>
              </w:rPr>
            </w:pPr>
          </w:p>
        </w:tc>
      </w:tr>
      <w:tr w:rsidR="00487CB5" w14:paraId="1C3DDD61" w14:textId="77777777">
        <w:tc>
          <w:tcPr>
            <w:tcW w:w="1245" w:type="dxa"/>
          </w:tcPr>
          <w:p w14:paraId="60DFE0E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lastRenderedPageBreak/>
              <w:t>2.</w:t>
            </w:r>
          </w:p>
        </w:tc>
        <w:tc>
          <w:tcPr>
            <w:tcW w:w="4755" w:type="dxa"/>
          </w:tcPr>
          <w:p w14:paraId="07C315B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I always recommend green products to my friends and family members.</w:t>
            </w:r>
          </w:p>
        </w:tc>
        <w:tc>
          <w:tcPr>
            <w:tcW w:w="3000" w:type="dxa"/>
          </w:tcPr>
          <w:p w14:paraId="62240E1A" w14:textId="77777777" w:rsidR="00487CB5" w:rsidRDefault="00487CB5">
            <w:pPr>
              <w:widowControl w:val="0"/>
              <w:rPr>
                <w:rFonts w:ascii="Times New Roman" w:eastAsia="Times New Roman" w:hAnsi="Times New Roman" w:cs="Times New Roman"/>
              </w:rPr>
            </w:pPr>
          </w:p>
        </w:tc>
      </w:tr>
      <w:tr w:rsidR="00487CB5" w14:paraId="011AAA27" w14:textId="77777777">
        <w:tc>
          <w:tcPr>
            <w:tcW w:w="1245" w:type="dxa"/>
          </w:tcPr>
          <w:p w14:paraId="0C62953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4755" w:type="dxa"/>
          </w:tcPr>
          <w:p w14:paraId="3D039462"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Green products meet my quality expectations.</w:t>
            </w:r>
          </w:p>
        </w:tc>
        <w:tc>
          <w:tcPr>
            <w:tcW w:w="3000" w:type="dxa"/>
          </w:tcPr>
          <w:p w14:paraId="4D6043ED" w14:textId="77777777" w:rsidR="00487CB5" w:rsidRDefault="00487CB5">
            <w:pPr>
              <w:widowControl w:val="0"/>
              <w:rPr>
                <w:rFonts w:ascii="Times New Roman" w:eastAsia="Times New Roman" w:hAnsi="Times New Roman" w:cs="Times New Roman"/>
              </w:rPr>
            </w:pPr>
          </w:p>
        </w:tc>
      </w:tr>
      <w:tr w:rsidR="00487CB5" w14:paraId="2332FD75" w14:textId="77777777">
        <w:tc>
          <w:tcPr>
            <w:tcW w:w="1245" w:type="dxa"/>
          </w:tcPr>
          <w:p w14:paraId="76FE3F7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tcPr>
          <w:p w14:paraId="12D63D0F"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Green product prices represent their quality.</w:t>
            </w:r>
          </w:p>
        </w:tc>
        <w:tc>
          <w:tcPr>
            <w:tcW w:w="3000" w:type="dxa"/>
          </w:tcPr>
          <w:p w14:paraId="3FF132B4" w14:textId="77777777" w:rsidR="00487CB5" w:rsidRDefault="00487CB5">
            <w:pPr>
              <w:widowControl w:val="0"/>
              <w:rPr>
                <w:rFonts w:ascii="Times New Roman" w:eastAsia="Times New Roman" w:hAnsi="Times New Roman" w:cs="Times New Roman"/>
              </w:rPr>
            </w:pPr>
          </w:p>
        </w:tc>
      </w:tr>
      <w:tr w:rsidR="00487CB5" w14:paraId="419A4F0C" w14:textId="77777777">
        <w:tc>
          <w:tcPr>
            <w:tcW w:w="1245" w:type="dxa"/>
          </w:tcPr>
          <w:p w14:paraId="763231B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5.</w:t>
            </w:r>
          </w:p>
        </w:tc>
        <w:tc>
          <w:tcPr>
            <w:tcW w:w="4755" w:type="dxa"/>
          </w:tcPr>
          <w:p w14:paraId="7EAA2CDE"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Green product prices are higher than their quality.</w:t>
            </w:r>
          </w:p>
        </w:tc>
        <w:tc>
          <w:tcPr>
            <w:tcW w:w="3000" w:type="dxa"/>
          </w:tcPr>
          <w:p w14:paraId="6188365C" w14:textId="77777777" w:rsidR="00487CB5" w:rsidRDefault="00487CB5">
            <w:pPr>
              <w:widowControl w:val="0"/>
              <w:rPr>
                <w:rFonts w:ascii="Times New Roman" w:eastAsia="Times New Roman" w:hAnsi="Times New Roman" w:cs="Times New Roman"/>
              </w:rPr>
            </w:pPr>
          </w:p>
        </w:tc>
      </w:tr>
      <w:tr w:rsidR="00487CB5" w14:paraId="1500574C" w14:textId="77777777">
        <w:tc>
          <w:tcPr>
            <w:tcW w:w="1245" w:type="dxa"/>
          </w:tcPr>
          <w:p w14:paraId="57D7613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6.</w:t>
            </w:r>
          </w:p>
        </w:tc>
        <w:tc>
          <w:tcPr>
            <w:tcW w:w="4755" w:type="dxa"/>
          </w:tcPr>
          <w:p w14:paraId="7CB95D5C"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When I buy a green product, I'm satisfied with its quality.</w:t>
            </w:r>
          </w:p>
        </w:tc>
        <w:tc>
          <w:tcPr>
            <w:tcW w:w="3000" w:type="dxa"/>
          </w:tcPr>
          <w:p w14:paraId="6E3F7F37" w14:textId="77777777" w:rsidR="00487CB5" w:rsidRDefault="00487CB5">
            <w:pPr>
              <w:widowControl w:val="0"/>
              <w:rPr>
                <w:rFonts w:ascii="Times New Roman" w:eastAsia="Times New Roman" w:hAnsi="Times New Roman" w:cs="Times New Roman"/>
              </w:rPr>
            </w:pPr>
          </w:p>
        </w:tc>
      </w:tr>
      <w:tr w:rsidR="00487CB5" w14:paraId="2A7AD291" w14:textId="77777777">
        <w:tc>
          <w:tcPr>
            <w:tcW w:w="1245" w:type="dxa"/>
            <w:shd w:val="clear" w:color="auto" w:fill="auto"/>
            <w:tcMar>
              <w:top w:w="100" w:type="dxa"/>
              <w:left w:w="100" w:type="dxa"/>
              <w:bottom w:w="100" w:type="dxa"/>
              <w:right w:w="100" w:type="dxa"/>
            </w:tcMar>
          </w:tcPr>
          <w:p w14:paraId="4921AAE4"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2BA5D415"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13C5E8A6" w14:textId="77777777" w:rsidR="00487CB5" w:rsidRDefault="00487CB5">
            <w:pPr>
              <w:widowControl w:val="0"/>
              <w:rPr>
                <w:rFonts w:ascii="Times New Roman" w:eastAsia="Times New Roman" w:hAnsi="Times New Roman" w:cs="Times New Roman"/>
              </w:rPr>
            </w:pPr>
          </w:p>
        </w:tc>
      </w:tr>
      <w:tr w:rsidR="00487CB5" w14:paraId="2AC7BA98" w14:textId="77777777">
        <w:tc>
          <w:tcPr>
            <w:tcW w:w="1245" w:type="dxa"/>
          </w:tcPr>
          <w:p w14:paraId="44ECC93C" w14:textId="77777777" w:rsidR="00487CB5" w:rsidRDefault="002B62DD">
            <w:pPr>
              <w:widowControl w:val="0"/>
              <w:rPr>
                <w:rFonts w:ascii="Times New Roman" w:eastAsia="Times New Roman" w:hAnsi="Times New Roman" w:cs="Times New Roman"/>
                <w:b/>
              </w:rPr>
            </w:pPr>
            <w:proofErr w:type="spellStart"/>
            <w:r>
              <w:rPr>
                <w:rFonts w:ascii="Times New Roman" w:eastAsia="Times New Roman" w:hAnsi="Times New Roman" w:cs="Times New Roman"/>
                <w:b/>
              </w:rPr>
              <w:t>Sr.No</w:t>
            </w:r>
            <w:proofErr w:type="spellEnd"/>
            <w:r>
              <w:rPr>
                <w:rFonts w:ascii="Times New Roman" w:eastAsia="Times New Roman" w:hAnsi="Times New Roman" w:cs="Times New Roman"/>
                <w:b/>
              </w:rPr>
              <w:t xml:space="preserve"> </w:t>
            </w:r>
          </w:p>
        </w:tc>
        <w:tc>
          <w:tcPr>
            <w:tcW w:w="4755" w:type="dxa"/>
          </w:tcPr>
          <w:p w14:paraId="4AF0E45A"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tcPr>
          <w:p w14:paraId="16753D92"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3AA55413" w14:textId="77777777">
        <w:tc>
          <w:tcPr>
            <w:tcW w:w="1245" w:type="dxa"/>
          </w:tcPr>
          <w:p w14:paraId="4B4E27AB"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E.</w:t>
            </w:r>
          </w:p>
        </w:tc>
        <w:tc>
          <w:tcPr>
            <w:tcW w:w="4755" w:type="dxa"/>
          </w:tcPr>
          <w:p w14:paraId="1054ABC8"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The Decision Making Process: Alternative Evaluation.</w:t>
            </w:r>
          </w:p>
        </w:tc>
        <w:tc>
          <w:tcPr>
            <w:tcW w:w="3000" w:type="dxa"/>
          </w:tcPr>
          <w:p w14:paraId="1B4ED746"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0.898</w:t>
            </w:r>
          </w:p>
        </w:tc>
      </w:tr>
      <w:tr w:rsidR="00487CB5" w14:paraId="06531212" w14:textId="77777777">
        <w:tc>
          <w:tcPr>
            <w:tcW w:w="1245" w:type="dxa"/>
          </w:tcPr>
          <w:p w14:paraId="739726D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tcPr>
          <w:p w14:paraId="08BA841E" w14:textId="30D42090"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I compare the price of a particular product with other relevant products before making a purchase.</w:t>
            </w:r>
          </w:p>
        </w:tc>
        <w:tc>
          <w:tcPr>
            <w:tcW w:w="3000" w:type="dxa"/>
          </w:tcPr>
          <w:p w14:paraId="766B1D61" w14:textId="77777777" w:rsidR="00487CB5" w:rsidRDefault="00487CB5">
            <w:pPr>
              <w:widowControl w:val="0"/>
              <w:rPr>
                <w:rFonts w:ascii="Times New Roman" w:eastAsia="Times New Roman" w:hAnsi="Times New Roman" w:cs="Times New Roman"/>
              </w:rPr>
            </w:pPr>
          </w:p>
        </w:tc>
      </w:tr>
      <w:tr w:rsidR="00487CB5" w14:paraId="3AA63F96" w14:textId="77777777">
        <w:tc>
          <w:tcPr>
            <w:tcW w:w="1245" w:type="dxa"/>
          </w:tcPr>
          <w:p w14:paraId="3BE8EB8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tcPr>
          <w:p w14:paraId="71A022E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I check and compare the quality of multiple products before making a purchase.</w:t>
            </w:r>
          </w:p>
        </w:tc>
        <w:tc>
          <w:tcPr>
            <w:tcW w:w="3000" w:type="dxa"/>
          </w:tcPr>
          <w:p w14:paraId="27672294" w14:textId="77777777" w:rsidR="00487CB5" w:rsidRDefault="00487CB5">
            <w:pPr>
              <w:widowControl w:val="0"/>
              <w:rPr>
                <w:rFonts w:ascii="Times New Roman" w:eastAsia="Times New Roman" w:hAnsi="Times New Roman" w:cs="Times New Roman"/>
              </w:rPr>
            </w:pPr>
          </w:p>
        </w:tc>
      </w:tr>
      <w:tr w:rsidR="00487CB5" w14:paraId="3B1169B8" w14:textId="77777777">
        <w:tc>
          <w:tcPr>
            <w:tcW w:w="1245" w:type="dxa"/>
          </w:tcPr>
          <w:p w14:paraId="16E243B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4755" w:type="dxa"/>
          </w:tcPr>
          <w:p w14:paraId="014BD437"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I compare discounts and deals of various products in a given market, as the availability of such factors adds value to the overall purchasing decision.</w:t>
            </w:r>
          </w:p>
        </w:tc>
        <w:tc>
          <w:tcPr>
            <w:tcW w:w="3000" w:type="dxa"/>
          </w:tcPr>
          <w:p w14:paraId="5518FF92" w14:textId="77777777" w:rsidR="00487CB5" w:rsidRDefault="00487CB5">
            <w:pPr>
              <w:widowControl w:val="0"/>
              <w:rPr>
                <w:rFonts w:ascii="Times New Roman" w:eastAsia="Times New Roman" w:hAnsi="Times New Roman" w:cs="Times New Roman"/>
              </w:rPr>
            </w:pPr>
          </w:p>
        </w:tc>
      </w:tr>
      <w:tr w:rsidR="00487CB5" w14:paraId="2AC855B7" w14:textId="77777777">
        <w:tc>
          <w:tcPr>
            <w:tcW w:w="1245" w:type="dxa"/>
          </w:tcPr>
          <w:p w14:paraId="2611897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tcPr>
          <w:p w14:paraId="09D2867A"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I make purchasing decisions based on the experience of using the products, </w:t>
            </w:r>
            <w:proofErr w:type="spellStart"/>
            <w:r>
              <w:rPr>
                <w:rFonts w:ascii="Times New Roman" w:eastAsia="Times New Roman" w:hAnsi="Times New Roman" w:cs="Times New Roman"/>
                <w:color w:val="202124"/>
              </w:rPr>
              <w:t>eg</w:t>
            </w:r>
            <w:proofErr w:type="spellEnd"/>
            <w:r>
              <w:rPr>
                <w:rFonts w:ascii="Times New Roman" w:eastAsia="Times New Roman" w:hAnsi="Times New Roman" w:cs="Times New Roman"/>
                <w:color w:val="202124"/>
              </w:rPr>
              <w:t>: customer reviews, discussion with family and friends.</w:t>
            </w:r>
          </w:p>
        </w:tc>
        <w:tc>
          <w:tcPr>
            <w:tcW w:w="3000" w:type="dxa"/>
          </w:tcPr>
          <w:p w14:paraId="6C7DA24D" w14:textId="77777777" w:rsidR="00487CB5" w:rsidRDefault="00487CB5">
            <w:pPr>
              <w:widowControl w:val="0"/>
              <w:rPr>
                <w:rFonts w:ascii="Times New Roman" w:eastAsia="Times New Roman" w:hAnsi="Times New Roman" w:cs="Times New Roman"/>
              </w:rPr>
            </w:pPr>
          </w:p>
        </w:tc>
      </w:tr>
      <w:tr w:rsidR="00487CB5" w14:paraId="09B274A1" w14:textId="77777777">
        <w:tc>
          <w:tcPr>
            <w:tcW w:w="1245" w:type="dxa"/>
            <w:shd w:val="clear" w:color="auto" w:fill="auto"/>
            <w:tcMar>
              <w:top w:w="100" w:type="dxa"/>
              <w:left w:w="100" w:type="dxa"/>
              <w:bottom w:w="100" w:type="dxa"/>
              <w:right w:w="100" w:type="dxa"/>
            </w:tcMar>
          </w:tcPr>
          <w:p w14:paraId="628D1D21"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5AA3580C"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4775B520" w14:textId="77777777" w:rsidR="00487CB5" w:rsidRDefault="00487CB5">
            <w:pPr>
              <w:widowControl w:val="0"/>
              <w:rPr>
                <w:rFonts w:ascii="Times New Roman" w:eastAsia="Times New Roman" w:hAnsi="Times New Roman" w:cs="Times New Roman"/>
              </w:rPr>
            </w:pPr>
          </w:p>
        </w:tc>
      </w:tr>
      <w:tr w:rsidR="00487CB5" w14:paraId="6952D797" w14:textId="77777777">
        <w:tc>
          <w:tcPr>
            <w:tcW w:w="1245" w:type="dxa"/>
          </w:tcPr>
          <w:p w14:paraId="1E30FC76" w14:textId="77777777" w:rsidR="00487CB5" w:rsidRDefault="002B62DD">
            <w:pPr>
              <w:widowControl w:val="0"/>
              <w:rPr>
                <w:rFonts w:ascii="Times New Roman" w:eastAsia="Times New Roman" w:hAnsi="Times New Roman" w:cs="Times New Roman"/>
                <w:b/>
              </w:rPr>
            </w:pPr>
            <w:proofErr w:type="spellStart"/>
            <w:r>
              <w:rPr>
                <w:rFonts w:ascii="Times New Roman" w:eastAsia="Times New Roman" w:hAnsi="Times New Roman" w:cs="Times New Roman"/>
                <w:b/>
              </w:rPr>
              <w:t>Sr.No</w:t>
            </w:r>
            <w:proofErr w:type="spellEnd"/>
            <w:r>
              <w:rPr>
                <w:rFonts w:ascii="Times New Roman" w:eastAsia="Times New Roman" w:hAnsi="Times New Roman" w:cs="Times New Roman"/>
                <w:b/>
              </w:rPr>
              <w:t xml:space="preserve"> </w:t>
            </w:r>
          </w:p>
        </w:tc>
        <w:tc>
          <w:tcPr>
            <w:tcW w:w="4755" w:type="dxa"/>
          </w:tcPr>
          <w:p w14:paraId="585208A4"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tcPr>
          <w:p w14:paraId="5E226A3F"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12A64522" w14:textId="77777777">
        <w:tc>
          <w:tcPr>
            <w:tcW w:w="1245" w:type="dxa"/>
          </w:tcPr>
          <w:p w14:paraId="2A259A7E"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F.</w:t>
            </w:r>
          </w:p>
        </w:tc>
        <w:tc>
          <w:tcPr>
            <w:tcW w:w="4755" w:type="dxa"/>
          </w:tcPr>
          <w:p w14:paraId="7FA4970E"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Greenwashing.</w:t>
            </w:r>
          </w:p>
        </w:tc>
        <w:tc>
          <w:tcPr>
            <w:tcW w:w="3000" w:type="dxa"/>
          </w:tcPr>
          <w:p w14:paraId="6843F8A2"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0.912</w:t>
            </w:r>
          </w:p>
        </w:tc>
      </w:tr>
      <w:tr w:rsidR="00487CB5" w14:paraId="0DC3759C" w14:textId="77777777">
        <w:tc>
          <w:tcPr>
            <w:tcW w:w="1245" w:type="dxa"/>
          </w:tcPr>
          <w:p w14:paraId="0FB6DA8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tcPr>
          <w:p w14:paraId="74E966B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You can recognize that the product is literally misleading about its environmental characteristics.  </w:t>
            </w:r>
          </w:p>
        </w:tc>
        <w:tc>
          <w:tcPr>
            <w:tcW w:w="3000" w:type="dxa"/>
          </w:tcPr>
          <w:p w14:paraId="3915A0B8" w14:textId="77777777" w:rsidR="00487CB5" w:rsidRDefault="00487CB5">
            <w:pPr>
              <w:widowControl w:val="0"/>
              <w:rPr>
                <w:rFonts w:ascii="Times New Roman" w:eastAsia="Times New Roman" w:hAnsi="Times New Roman" w:cs="Times New Roman"/>
              </w:rPr>
            </w:pPr>
          </w:p>
        </w:tc>
      </w:tr>
      <w:tr w:rsidR="00487CB5" w14:paraId="667174EB" w14:textId="77777777">
        <w:tc>
          <w:tcPr>
            <w:tcW w:w="1245" w:type="dxa"/>
          </w:tcPr>
          <w:p w14:paraId="1E838F1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tcPr>
          <w:p w14:paraId="3814CEF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You can identify products with "green labels" or images that mislead the nature of their environment.  </w:t>
            </w:r>
          </w:p>
        </w:tc>
        <w:tc>
          <w:tcPr>
            <w:tcW w:w="3000" w:type="dxa"/>
          </w:tcPr>
          <w:p w14:paraId="11543492" w14:textId="77777777" w:rsidR="00487CB5" w:rsidRDefault="00487CB5">
            <w:pPr>
              <w:widowControl w:val="0"/>
              <w:rPr>
                <w:rFonts w:ascii="Times New Roman" w:eastAsia="Times New Roman" w:hAnsi="Times New Roman" w:cs="Times New Roman"/>
              </w:rPr>
            </w:pPr>
          </w:p>
        </w:tc>
      </w:tr>
      <w:tr w:rsidR="00487CB5" w14:paraId="5ECC6CC0" w14:textId="77777777">
        <w:tc>
          <w:tcPr>
            <w:tcW w:w="1245" w:type="dxa"/>
          </w:tcPr>
          <w:p w14:paraId="299F37D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4755" w:type="dxa"/>
          </w:tcPr>
          <w:p w14:paraId="5C2DC5C3"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You can recognize that the product has a vague or seemingly unprovable green claim.  </w:t>
            </w:r>
          </w:p>
        </w:tc>
        <w:tc>
          <w:tcPr>
            <w:tcW w:w="3000" w:type="dxa"/>
          </w:tcPr>
          <w:p w14:paraId="6308AC72" w14:textId="77777777" w:rsidR="00487CB5" w:rsidRDefault="00487CB5">
            <w:pPr>
              <w:widowControl w:val="0"/>
              <w:rPr>
                <w:rFonts w:ascii="Times New Roman" w:eastAsia="Times New Roman" w:hAnsi="Times New Roman" w:cs="Times New Roman"/>
              </w:rPr>
            </w:pPr>
          </w:p>
        </w:tc>
      </w:tr>
      <w:tr w:rsidR="00487CB5" w14:paraId="698FD924" w14:textId="77777777">
        <w:tc>
          <w:tcPr>
            <w:tcW w:w="1245" w:type="dxa"/>
          </w:tcPr>
          <w:p w14:paraId="6374EBB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tcPr>
          <w:p w14:paraId="178305BA"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You can tell that the product is exaggerating its green features.  </w:t>
            </w:r>
          </w:p>
        </w:tc>
        <w:tc>
          <w:tcPr>
            <w:tcW w:w="3000" w:type="dxa"/>
          </w:tcPr>
          <w:p w14:paraId="187F5FEE" w14:textId="77777777" w:rsidR="00487CB5" w:rsidRDefault="00487CB5">
            <w:pPr>
              <w:widowControl w:val="0"/>
              <w:rPr>
                <w:rFonts w:ascii="Times New Roman" w:eastAsia="Times New Roman" w:hAnsi="Times New Roman" w:cs="Times New Roman"/>
              </w:rPr>
            </w:pPr>
          </w:p>
        </w:tc>
      </w:tr>
      <w:tr w:rsidR="00487CB5" w14:paraId="16F40443" w14:textId="77777777">
        <w:tc>
          <w:tcPr>
            <w:tcW w:w="1245" w:type="dxa"/>
          </w:tcPr>
          <w:p w14:paraId="4E8A364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lastRenderedPageBreak/>
              <w:t>5.</w:t>
            </w:r>
          </w:p>
        </w:tc>
        <w:tc>
          <w:tcPr>
            <w:tcW w:w="4755" w:type="dxa"/>
          </w:tcPr>
          <w:p w14:paraId="275254AF"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You can tell that the product omits or obscures important information to make the green claim sound better than it should.  </w:t>
            </w:r>
          </w:p>
        </w:tc>
        <w:tc>
          <w:tcPr>
            <w:tcW w:w="3000" w:type="dxa"/>
          </w:tcPr>
          <w:p w14:paraId="1C878B34" w14:textId="77777777" w:rsidR="00487CB5" w:rsidRDefault="00487CB5">
            <w:pPr>
              <w:widowControl w:val="0"/>
              <w:rPr>
                <w:rFonts w:ascii="Times New Roman" w:eastAsia="Times New Roman" w:hAnsi="Times New Roman" w:cs="Times New Roman"/>
              </w:rPr>
            </w:pPr>
          </w:p>
        </w:tc>
      </w:tr>
      <w:tr w:rsidR="00487CB5" w14:paraId="15046064" w14:textId="77777777">
        <w:tc>
          <w:tcPr>
            <w:tcW w:w="1245" w:type="dxa"/>
            <w:shd w:val="clear" w:color="auto" w:fill="auto"/>
            <w:tcMar>
              <w:top w:w="100" w:type="dxa"/>
              <w:left w:w="100" w:type="dxa"/>
              <w:bottom w:w="100" w:type="dxa"/>
              <w:right w:w="100" w:type="dxa"/>
            </w:tcMar>
          </w:tcPr>
          <w:p w14:paraId="2A5444ED"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7DE4EF9E"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52C97117" w14:textId="77777777" w:rsidR="00487CB5" w:rsidRDefault="00487CB5">
            <w:pPr>
              <w:widowControl w:val="0"/>
              <w:rPr>
                <w:rFonts w:ascii="Times New Roman" w:eastAsia="Times New Roman" w:hAnsi="Times New Roman" w:cs="Times New Roman"/>
              </w:rPr>
            </w:pPr>
          </w:p>
        </w:tc>
      </w:tr>
      <w:tr w:rsidR="00487CB5" w14:paraId="745501F0" w14:textId="77777777">
        <w:tc>
          <w:tcPr>
            <w:tcW w:w="1245" w:type="dxa"/>
          </w:tcPr>
          <w:p w14:paraId="63F2986B" w14:textId="77777777" w:rsidR="00487CB5" w:rsidRDefault="002B62DD">
            <w:pPr>
              <w:widowControl w:val="0"/>
              <w:rPr>
                <w:rFonts w:ascii="Times New Roman" w:eastAsia="Times New Roman" w:hAnsi="Times New Roman" w:cs="Times New Roman"/>
                <w:b/>
              </w:rPr>
            </w:pPr>
            <w:proofErr w:type="spellStart"/>
            <w:r>
              <w:rPr>
                <w:rFonts w:ascii="Times New Roman" w:eastAsia="Times New Roman" w:hAnsi="Times New Roman" w:cs="Times New Roman"/>
                <w:b/>
              </w:rPr>
              <w:t>Sr.No</w:t>
            </w:r>
            <w:proofErr w:type="spellEnd"/>
            <w:r>
              <w:rPr>
                <w:rFonts w:ascii="Times New Roman" w:eastAsia="Times New Roman" w:hAnsi="Times New Roman" w:cs="Times New Roman"/>
                <w:b/>
              </w:rPr>
              <w:t xml:space="preserve"> </w:t>
            </w:r>
          </w:p>
        </w:tc>
        <w:tc>
          <w:tcPr>
            <w:tcW w:w="4755" w:type="dxa"/>
          </w:tcPr>
          <w:p w14:paraId="6CCE34A2"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tcPr>
          <w:p w14:paraId="3DC61D0B"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60D0ED1D" w14:textId="77777777">
        <w:tc>
          <w:tcPr>
            <w:tcW w:w="1245" w:type="dxa"/>
          </w:tcPr>
          <w:p w14:paraId="7C38574F"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G.</w:t>
            </w:r>
          </w:p>
        </w:tc>
        <w:tc>
          <w:tcPr>
            <w:tcW w:w="4755" w:type="dxa"/>
          </w:tcPr>
          <w:p w14:paraId="187A6D1C"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Consumer Scepticism.</w:t>
            </w:r>
          </w:p>
        </w:tc>
        <w:tc>
          <w:tcPr>
            <w:tcW w:w="3000" w:type="dxa"/>
          </w:tcPr>
          <w:p w14:paraId="2BB884F1"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0.854</w:t>
            </w:r>
          </w:p>
        </w:tc>
      </w:tr>
      <w:tr w:rsidR="00487CB5" w14:paraId="508D10D3" w14:textId="77777777">
        <w:tc>
          <w:tcPr>
            <w:tcW w:w="1245" w:type="dxa"/>
          </w:tcPr>
          <w:p w14:paraId="4A254A0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tcPr>
          <w:p w14:paraId="1395B5E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There is a great similarity between many products and this makes it hard to know which one is green.</w:t>
            </w:r>
          </w:p>
        </w:tc>
        <w:tc>
          <w:tcPr>
            <w:tcW w:w="3000" w:type="dxa"/>
          </w:tcPr>
          <w:p w14:paraId="716F2937" w14:textId="77777777" w:rsidR="00487CB5" w:rsidRDefault="00487CB5">
            <w:pPr>
              <w:widowControl w:val="0"/>
              <w:rPr>
                <w:rFonts w:ascii="Times New Roman" w:eastAsia="Times New Roman" w:hAnsi="Times New Roman" w:cs="Times New Roman"/>
              </w:rPr>
            </w:pPr>
          </w:p>
        </w:tc>
      </w:tr>
      <w:tr w:rsidR="00487CB5" w14:paraId="40C07412" w14:textId="77777777">
        <w:tc>
          <w:tcPr>
            <w:tcW w:w="1245" w:type="dxa"/>
          </w:tcPr>
          <w:p w14:paraId="4ECB539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tcPr>
          <w:p w14:paraId="6952484E" w14:textId="54F20070" w:rsidR="00487CB5" w:rsidRDefault="00A2218F">
            <w:pPr>
              <w:widowControl w:val="0"/>
              <w:rPr>
                <w:rFonts w:ascii="Times New Roman" w:eastAsia="Times New Roman" w:hAnsi="Times New Roman" w:cs="Times New Roman"/>
              </w:rPr>
            </w:pPr>
            <w:r w:rsidRPr="00CD0DCB">
              <w:rPr>
                <w:rFonts w:ascii="Times New Roman" w:eastAsia="Times New Roman" w:hAnsi="Times New Roman" w:cs="Times New Roman"/>
                <w:color w:val="202124"/>
                <w:highlight w:val="yellow"/>
              </w:rPr>
              <w:t xml:space="preserve">Recognising </w:t>
            </w:r>
            <w:r w:rsidR="002B62DD" w:rsidRPr="00CD0DCB">
              <w:rPr>
                <w:rFonts w:ascii="Times New Roman" w:eastAsia="Times New Roman" w:hAnsi="Times New Roman" w:cs="Times New Roman"/>
                <w:color w:val="202124"/>
                <w:highlight w:val="yellow"/>
              </w:rPr>
              <w:t>the differences between a green product and other products</w:t>
            </w:r>
            <w:r w:rsidR="002B62DD">
              <w:rPr>
                <w:rFonts w:ascii="Times New Roman" w:eastAsia="Times New Roman" w:hAnsi="Times New Roman" w:cs="Times New Roman"/>
                <w:color w:val="202124"/>
              </w:rPr>
              <w:t xml:space="preserve"> on the market is very difficult.</w:t>
            </w:r>
          </w:p>
        </w:tc>
        <w:tc>
          <w:tcPr>
            <w:tcW w:w="3000" w:type="dxa"/>
          </w:tcPr>
          <w:p w14:paraId="14ACB5A0" w14:textId="77777777" w:rsidR="00487CB5" w:rsidRDefault="00487CB5">
            <w:pPr>
              <w:widowControl w:val="0"/>
              <w:rPr>
                <w:rFonts w:ascii="Times New Roman" w:eastAsia="Times New Roman" w:hAnsi="Times New Roman" w:cs="Times New Roman"/>
              </w:rPr>
            </w:pPr>
          </w:p>
        </w:tc>
      </w:tr>
      <w:tr w:rsidR="00487CB5" w14:paraId="5E0BFA5C" w14:textId="77777777">
        <w:tc>
          <w:tcPr>
            <w:tcW w:w="1245" w:type="dxa"/>
          </w:tcPr>
          <w:p w14:paraId="3231B22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4755" w:type="dxa"/>
          </w:tcPr>
          <w:p w14:paraId="378D47CF" w14:textId="6307B781" w:rsidR="00487CB5" w:rsidRPr="00CD0DCB" w:rsidRDefault="002B62DD">
            <w:pPr>
              <w:widowControl w:val="0"/>
              <w:rPr>
                <w:rFonts w:ascii="Times New Roman" w:eastAsia="Times New Roman" w:hAnsi="Times New Roman" w:cs="Times New Roman"/>
                <w:color w:val="202124"/>
                <w:highlight w:val="yellow"/>
              </w:rPr>
            </w:pPr>
            <w:r w:rsidRPr="00CD0DCB">
              <w:rPr>
                <w:rFonts w:ascii="Times New Roman" w:eastAsia="Times New Roman" w:hAnsi="Times New Roman" w:cs="Times New Roman"/>
                <w:color w:val="202124"/>
                <w:highlight w:val="yellow"/>
              </w:rPr>
              <w:t xml:space="preserve">The fact that there are many products on the market always creates confusion in </w:t>
            </w:r>
            <w:r w:rsidR="00A2218F" w:rsidRPr="00CD0DCB">
              <w:rPr>
                <w:rFonts w:ascii="Times New Roman" w:eastAsia="Times New Roman" w:hAnsi="Times New Roman" w:cs="Times New Roman"/>
                <w:color w:val="202124"/>
                <w:highlight w:val="yellow"/>
              </w:rPr>
              <w:t xml:space="preserve">recognising </w:t>
            </w:r>
            <w:r w:rsidRPr="00CD0DCB">
              <w:rPr>
                <w:rFonts w:ascii="Times New Roman" w:eastAsia="Times New Roman" w:hAnsi="Times New Roman" w:cs="Times New Roman"/>
                <w:color w:val="202124"/>
                <w:highlight w:val="yellow"/>
              </w:rPr>
              <w:t>their green characteristics.</w:t>
            </w:r>
          </w:p>
        </w:tc>
        <w:tc>
          <w:tcPr>
            <w:tcW w:w="3000" w:type="dxa"/>
          </w:tcPr>
          <w:p w14:paraId="42089369" w14:textId="77777777" w:rsidR="00487CB5" w:rsidRDefault="00487CB5">
            <w:pPr>
              <w:widowControl w:val="0"/>
              <w:rPr>
                <w:rFonts w:ascii="Times New Roman" w:eastAsia="Times New Roman" w:hAnsi="Times New Roman" w:cs="Times New Roman"/>
              </w:rPr>
            </w:pPr>
          </w:p>
        </w:tc>
      </w:tr>
      <w:tr w:rsidR="00487CB5" w14:paraId="1069CA85" w14:textId="77777777">
        <w:tc>
          <w:tcPr>
            <w:tcW w:w="1245" w:type="dxa"/>
          </w:tcPr>
          <w:p w14:paraId="0C9085C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tcPr>
          <w:p w14:paraId="1F67C090" w14:textId="3A17C281" w:rsidR="00487CB5" w:rsidRPr="00CD0DCB" w:rsidRDefault="002B62DD">
            <w:pPr>
              <w:widowControl w:val="0"/>
              <w:rPr>
                <w:rFonts w:ascii="Times New Roman" w:eastAsia="Times New Roman" w:hAnsi="Times New Roman" w:cs="Times New Roman"/>
                <w:color w:val="202124"/>
                <w:highlight w:val="yellow"/>
              </w:rPr>
            </w:pPr>
            <w:r w:rsidRPr="00CD0DCB">
              <w:rPr>
                <w:rFonts w:ascii="Times New Roman" w:eastAsia="Times New Roman" w:hAnsi="Times New Roman" w:cs="Times New Roman"/>
                <w:color w:val="202124"/>
                <w:highlight w:val="yellow"/>
              </w:rPr>
              <w:t>There are so many products that it is hard to decide to buy the one that respects the proper use of environmental resources.</w:t>
            </w:r>
          </w:p>
        </w:tc>
        <w:tc>
          <w:tcPr>
            <w:tcW w:w="3000" w:type="dxa"/>
          </w:tcPr>
          <w:p w14:paraId="6A53156C" w14:textId="77777777" w:rsidR="00487CB5" w:rsidRDefault="00487CB5">
            <w:pPr>
              <w:widowControl w:val="0"/>
              <w:rPr>
                <w:rFonts w:ascii="Times New Roman" w:eastAsia="Times New Roman" w:hAnsi="Times New Roman" w:cs="Times New Roman"/>
              </w:rPr>
            </w:pPr>
          </w:p>
        </w:tc>
      </w:tr>
      <w:tr w:rsidR="00487CB5" w14:paraId="53F213FC" w14:textId="77777777">
        <w:tc>
          <w:tcPr>
            <w:tcW w:w="1245" w:type="dxa"/>
          </w:tcPr>
          <w:p w14:paraId="458B149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5.</w:t>
            </w:r>
          </w:p>
        </w:tc>
        <w:tc>
          <w:tcPr>
            <w:tcW w:w="4755" w:type="dxa"/>
          </w:tcPr>
          <w:p w14:paraId="03A13774" w14:textId="0C0E5B54" w:rsidR="00487CB5" w:rsidRPr="00CD0DCB" w:rsidRDefault="002B62DD">
            <w:pPr>
              <w:widowControl w:val="0"/>
              <w:rPr>
                <w:rFonts w:ascii="Times New Roman" w:eastAsia="Times New Roman" w:hAnsi="Times New Roman" w:cs="Times New Roman"/>
                <w:color w:val="202124"/>
                <w:highlight w:val="yellow"/>
              </w:rPr>
            </w:pPr>
            <w:r w:rsidRPr="00CD0DCB">
              <w:rPr>
                <w:rFonts w:ascii="Times New Roman" w:eastAsia="Times New Roman" w:hAnsi="Times New Roman" w:cs="Times New Roman"/>
                <w:color w:val="202124"/>
                <w:highlight w:val="yellow"/>
              </w:rPr>
              <w:t xml:space="preserve">Whenever I buy a product, I don't feel sufficiently informed </w:t>
            </w:r>
            <w:r w:rsidR="00A2218F" w:rsidRPr="00CD0DCB">
              <w:rPr>
                <w:rFonts w:ascii="Times New Roman" w:eastAsia="Times New Roman" w:hAnsi="Times New Roman" w:cs="Times New Roman"/>
                <w:color w:val="202124"/>
                <w:highlight w:val="yellow"/>
              </w:rPr>
              <w:t xml:space="preserve">about </w:t>
            </w:r>
            <w:r w:rsidRPr="00CD0DCB">
              <w:rPr>
                <w:rFonts w:ascii="Times New Roman" w:eastAsia="Times New Roman" w:hAnsi="Times New Roman" w:cs="Times New Roman"/>
                <w:color w:val="202124"/>
                <w:highlight w:val="yellow"/>
              </w:rPr>
              <w:t>whether or not it is green.</w:t>
            </w:r>
          </w:p>
        </w:tc>
        <w:tc>
          <w:tcPr>
            <w:tcW w:w="3000" w:type="dxa"/>
          </w:tcPr>
          <w:p w14:paraId="5AD90DC5" w14:textId="77777777" w:rsidR="00487CB5" w:rsidRDefault="00487CB5">
            <w:pPr>
              <w:widowControl w:val="0"/>
              <w:rPr>
                <w:rFonts w:ascii="Times New Roman" w:eastAsia="Times New Roman" w:hAnsi="Times New Roman" w:cs="Times New Roman"/>
              </w:rPr>
            </w:pPr>
          </w:p>
        </w:tc>
      </w:tr>
      <w:tr w:rsidR="00487CB5" w14:paraId="0ABA70D6" w14:textId="77777777">
        <w:tc>
          <w:tcPr>
            <w:tcW w:w="1245" w:type="dxa"/>
          </w:tcPr>
          <w:p w14:paraId="08F5871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6.</w:t>
            </w:r>
          </w:p>
        </w:tc>
        <w:tc>
          <w:tcPr>
            <w:tcW w:w="4755" w:type="dxa"/>
          </w:tcPr>
          <w:p w14:paraId="4E4C16FB" w14:textId="3D77F1BE"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Whenever I buy a product</w:t>
            </w:r>
            <w:r w:rsidR="00A2218F">
              <w:rPr>
                <w:rFonts w:ascii="Times New Roman" w:eastAsia="Times New Roman" w:hAnsi="Times New Roman" w:cs="Times New Roman"/>
                <w:color w:val="202124"/>
              </w:rPr>
              <w:t>,</w:t>
            </w:r>
            <w:r>
              <w:rPr>
                <w:rFonts w:ascii="Times New Roman" w:eastAsia="Times New Roman" w:hAnsi="Times New Roman" w:cs="Times New Roman"/>
                <w:color w:val="202124"/>
              </w:rPr>
              <w:t xml:space="preserve"> I question its green characteristics.</w:t>
            </w:r>
          </w:p>
        </w:tc>
        <w:tc>
          <w:tcPr>
            <w:tcW w:w="3000" w:type="dxa"/>
          </w:tcPr>
          <w:p w14:paraId="581A79AB" w14:textId="77777777" w:rsidR="00487CB5" w:rsidRDefault="00487CB5">
            <w:pPr>
              <w:widowControl w:val="0"/>
              <w:rPr>
                <w:rFonts w:ascii="Times New Roman" w:eastAsia="Times New Roman" w:hAnsi="Times New Roman" w:cs="Times New Roman"/>
              </w:rPr>
            </w:pPr>
          </w:p>
        </w:tc>
      </w:tr>
    </w:tbl>
    <w:p w14:paraId="2D8781CF" w14:textId="77777777" w:rsidR="00487CB5" w:rsidRDefault="00487CB5">
      <w:pPr>
        <w:rPr>
          <w:rFonts w:ascii="Times New Roman" w:eastAsia="Times New Roman" w:hAnsi="Times New Roman" w:cs="Times New Roman"/>
          <w:b/>
          <w:sz w:val="24"/>
          <w:szCs w:val="24"/>
        </w:rPr>
      </w:pPr>
    </w:p>
    <w:p w14:paraId="66AB02D4" w14:textId="77777777" w:rsidR="00487CB5" w:rsidRDefault="00487CB5">
      <w:pPr>
        <w:rPr>
          <w:rFonts w:ascii="Times New Roman" w:eastAsia="Times New Roman" w:hAnsi="Times New Roman" w:cs="Times New Roman"/>
        </w:rPr>
      </w:pPr>
    </w:p>
    <w:p w14:paraId="49986E22"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77C5F680" w14:textId="77777777" w:rsidR="00487CB5" w:rsidRDefault="00487CB5">
      <w:pPr>
        <w:rPr>
          <w:rFonts w:ascii="Times New Roman" w:eastAsia="Times New Roman" w:hAnsi="Times New Roman" w:cs="Times New Roman"/>
        </w:rPr>
      </w:pPr>
    </w:p>
    <w:p w14:paraId="008E78C7"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Descriptive statistics were conducted for the scores of Personal Norms, Green Purchase Intention, Green Choice, Satisfaction, Alternative Evaluation, Greenwashing, and Consumer Scepticism in a sample of 340 participants. Table 2  shows the mean and standard deviation for the mentioned variables. </w:t>
      </w:r>
    </w:p>
    <w:p w14:paraId="74BC0989"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They are as follows: “Personal Norms” (M = 28.412, SD = 4.213), “Green Purchase Intention” </w:t>
      </w:r>
    </w:p>
    <w:p w14:paraId="6CC6C328"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(M = 17.374, SD = 2.317), “Green Choice” (M = 21.685, SD = 3.443) “Satisfaction”</w:t>
      </w:r>
    </w:p>
    <w:p w14:paraId="2039BA9D"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(M = 16.271, SD = 2.504), “Alternative Evaluation” (M = 18.312, SD  =3.314), </w:t>
      </w:r>
    </w:p>
    <w:p w14:paraId="61B8CDDC"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“Greenwashing” (M = 22.241, SD =3.729), “Consumer Scepticism”(M = 7.603, SD = 1.332).  </w:t>
      </w:r>
    </w:p>
    <w:p w14:paraId="09BE4CF0" w14:textId="77777777" w:rsidR="00487CB5" w:rsidRDefault="00487CB5">
      <w:pPr>
        <w:rPr>
          <w:rFonts w:ascii="Times New Roman" w:eastAsia="Times New Roman" w:hAnsi="Times New Roman" w:cs="Times New Roman"/>
        </w:rPr>
      </w:pPr>
    </w:p>
    <w:p w14:paraId="649A48C2"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Table 2: Descriptive Statistics for Variables(N = 340)</w:t>
      </w:r>
    </w:p>
    <w:p w14:paraId="0DE635D0" w14:textId="77777777" w:rsidR="00487CB5" w:rsidRDefault="00487CB5">
      <w:pPr>
        <w:jc w:val="center"/>
        <w:rPr>
          <w:rFonts w:ascii="Times New Roman" w:eastAsia="Times New Roman" w:hAnsi="Times New Roman" w:cs="Times New Roman"/>
        </w:rPr>
      </w:pPr>
    </w:p>
    <w:tbl>
      <w:tblPr>
        <w:tblStyle w:val="a0"/>
        <w:tblW w:w="8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990"/>
        <w:gridCol w:w="960"/>
        <w:gridCol w:w="1035"/>
        <w:gridCol w:w="1110"/>
        <w:gridCol w:w="1095"/>
        <w:gridCol w:w="1110"/>
        <w:gridCol w:w="1155"/>
      </w:tblGrid>
      <w:tr w:rsidR="00487CB5" w14:paraId="558E409B" w14:textId="77777777">
        <w:tc>
          <w:tcPr>
            <w:tcW w:w="1425" w:type="dxa"/>
            <w:shd w:val="clear" w:color="auto" w:fill="auto"/>
            <w:tcMar>
              <w:top w:w="100" w:type="dxa"/>
              <w:left w:w="100" w:type="dxa"/>
              <w:bottom w:w="100" w:type="dxa"/>
              <w:right w:w="100" w:type="dxa"/>
            </w:tcMar>
          </w:tcPr>
          <w:p w14:paraId="53AB1F4A"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990" w:type="dxa"/>
            <w:shd w:val="clear" w:color="auto" w:fill="auto"/>
            <w:tcMar>
              <w:top w:w="100" w:type="dxa"/>
              <w:left w:w="100" w:type="dxa"/>
              <w:bottom w:w="100" w:type="dxa"/>
              <w:right w:w="100" w:type="dxa"/>
            </w:tcMar>
          </w:tcPr>
          <w:p w14:paraId="66DC329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A</w:t>
            </w:r>
          </w:p>
        </w:tc>
        <w:tc>
          <w:tcPr>
            <w:tcW w:w="960" w:type="dxa"/>
            <w:shd w:val="clear" w:color="auto" w:fill="auto"/>
            <w:tcMar>
              <w:top w:w="100" w:type="dxa"/>
              <w:left w:w="100" w:type="dxa"/>
              <w:bottom w:w="100" w:type="dxa"/>
              <w:right w:w="100" w:type="dxa"/>
            </w:tcMar>
          </w:tcPr>
          <w:p w14:paraId="288DF3D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B</w:t>
            </w:r>
          </w:p>
        </w:tc>
        <w:tc>
          <w:tcPr>
            <w:tcW w:w="1035" w:type="dxa"/>
            <w:shd w:val="clear" w:color="auto" w:fill="auto"/>
            <w:tcMar>
              <w:top w:w="100" w:type="dxa"/>
              <w:left w:w="100" w:type="dxa"/>
              <w:bottom w:w="100" w:type="dxa"/>
              <w:right w:w="100" w:type="dxa"/>
            </w:tcMar>
          </w:tcPr>
          <w:p w14:paraId="68CF89C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C</w:t>
            </w:r>
          </w:p>
        </w:tc>
        <w:tc>
          <w:tcPr>
            <w:tcW w:w="1110" w:type="dxa"/>
            <w:shd w:val="clear" w:color="auto" w:fill="auto"/>
            <w:tcMar>
              <w:top w:w="100" w:type="dxa"/>
              <w:left w:w="100" w:type="dxa"/>
              <w:bottom w:w="100" w:type="dxa"/>
              <w:right w:w="100" w:type="dxa"/>
            </w:tcMar>
          </w:tcPr>
          <w:p w14:paraId="7CE5132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D</w:t>
            </w:r>
          </w:p>
        </w:tc>
        <w:tc>
          <w:tcPr>
            <w:tcW w:w="1095" w:type="dxa"/>
            <w:shd w:val="clear" w:color="auto" w:fill="auto"/>
            <w:tcMar>
              <w:top w:w="100" w:type="dxa"/>
              <w:left w:w="100" w:type="dxa"/>
              <w:bottom w:w="100" w:type="dxa"/>
              <w:right w:w="100" w:type="dxa"/>
            </w:tcMar>
          </w:tcPr>
          <w:p w14:paraId="7B1D593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E</w:t>
            </w:r>
          </w:p>
        </w:tc>
        <w:tc>
          <w:tcPr>
            <w:tcW w:w="1110" w:type="dxa"/>
            <w:shd w:val="clear" w:color="auto" w:fill="auto"/>
            <w:tcMar>
              <w:top w:w="100" w:type="dxa"/>
              <w:left w:w="100" w:type="dxa"/>
              <w:bottom w:w="100" w:type="dxa"/>
              <w:right w:w="100" w:type="dxa"/>
            </w:tcMar>
          </w:tcPr>
          <w:p w14:paraId="2FF3C7A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F</w:t>
            </w:r>
          </w:p>
        </w:tc>
        <w:tc>
          <w:tcPr>
            <w:tcW w:w="1155" w:type="dxa"/>
            <w:shd w:val="clear" w:color="auto" w:fill="auto"/>
            <w:tcMar>
              <w:top w:w="100" w:type="dxa"/>
              <w:left w:w="100" w:type="dxa"/>
              <w:bottom w:w="100" w:type="dxa"/>
              <w:right w:w="100" w:type="dxa"/>
            </w:tcMar>
          </w:tcPr>
          <w:p w14:paraId="3640231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G</w:t>
            </w:r>
          </w:p>
        </w:tc>
      </w:tr>
      <w:tr w:rsidR="00487CB5" w14:paraId="4B7C0DF3" w14:textId="77777777">
        <w:tc>
          <w:tcPr>
            <w:tcW w:w="1425" w:type="dxa"/>
            <w:shd w:val="clear" w:color="auto" w:fill="auto"/>
            <w:tcMar>
              <w:top w:w="100" w:type="dxa"/>
              <w:left w:w="100" w:type="dxa"/>
              <w:bottom w:w="100" w:type="dxa"/>
              <w:right w:w="100" w:type="dxa"/>
            </w:tcMar>
          </w:tcPr>
          <w:p w14:paraId="4D5156B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Valid</w:t>
            </w:r>
          </w:p>
        </w:tc>
        <w:tc>
          <w:tcPr>
            <w:tcW w:w="990" w:type="dxa"/>
            <w:shd w:val="clear" w:color="auto" w:fill="auto"/>
            <w:tcMar>
              <w:top w:w="100" w:type="dxa"/>
              <w:left w:w="100" w:type="dxa"/>
              <w:bottom w:w="100" w:type="dxa"/>
              <w:right w:w="100" w:type="dxa"/>
            </w:tcMar>
          </w:tcPr>
          <w:p w14:paraId="4477C31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340</w:t>
            </w:r>
          </w:p>
        </w:tc>
        <w:tc>
          <w:tcPr>
            <w:tcW w:w="960" w:type="dxa"/>
            <w:shd w:val="clear" w:color="auto" w:fill="auto"/>
            <w:tcMar>
              <w:top w:w="100" w:type="dxa"/>
              <w:left w:w="100" w:type="dxa"/>
              <w:bottom w:w="100" w:type="dxa"/>
              <w:right w:w="100" w:type="dxa"/>
            </w:tcMar>
          </w:tcPr>
          <w:p w14:paraId="4183BCFE"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340</w:t>
            </w:r>
          </w:p>
        </w:tc>
        <w:tc>
          <w:tcPr>
            <w:tcW w:w="1035" w:type="dxa"/>
            <w:shd w:val="clear" w:color="auto" w:fill="auto"/>
            <w:tcMar>
              <w:top w:w="100" w:type="dxa"/>
              <w:left w:w="100" w:type="dxa"/>
              <w:bottom w:w="100" w:type="dxa"/>
              <w:right w:w="100" w:type="dxa"/>
            </w:tcMar>
          </w:tcPr>
          <w:p w14:paraId="75F6373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340</w:t>
            </w:r>
          </w:p>
        </w:tc>
        <w:tc>
          <w:tcPr>
            <w:tcW w:w="1110" w:type="dxa"/>
            <w:shd w:val="clear" w:color="auto" w:fill="auto"/>
            <w:tcMar>
              <w:top w:w="100" w:type="dxa"/>
              <w:left w:w="100" w:type="dxa"/>
              <w:bottom w:w="100" w:type="dxa"/>
              <w:right w:w="100" w:type="dxa"/>
            </w:tcMar>
          </w:tcPr>
          <w:p w14:paraId="01B1E64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340</w:t>
            </w:r>
          </w:p>
        </w:tc>
        <w:tc>
          <w:tcPr>
            <w:tcW w:w="1095" w:type="dxa"/>
            <w:shd w:val="clear" w:color="auto" w:fill="auto"/>
            <w:tcMar>
              <w:top w:w="100" w:type="dxa"/>
              <w:left w:w="100" w:type="dxa"/>
              <w:bottom w:w="100" w:type="dxa"/>
              <w:right w:w="100" w:type="dxa"/>
            </w:tcMar>
          </w:tcPr>
          <w:p w14:paraId="20DBA71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340</w:t>
            </w:r>
          </w:p>
        </w:tc>
        <w:tc>
          <w:tcPr>
            <w:tcW w:w="1110" w:type="dxa"/>
            <w:shd w:val="clear" w:color="auto" w:fill="auto"/>
            <w:tcMar>
              <w:top w:w="100" w:type="dxa"/>
              <w:left w:w="100" w:type="dxa"/>
              <w:bottom w:w="100" w:type="dxa"/>
              <w:right w:w="100" w:type="dxa"/>
            </w:tcMar>
          </w:tcPr>
          <w:p w14:paraId="25A5851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340</w:t>
            </w:r>
          </w:p>
        </w:tc>
        <w:tc>
          <w:tcPr>
            <w:tcW w:w="1155" w:type="dxa"/>
            <w:shd w:val="clear" w:color="auto" w:fill="auto"/>
            <w:tcMar>
              <w:top w:w="100" w:type="dxa"/>
              <w:left w:w="100" w:type="dxa"/>
              <w:bottom w:w="100" w:type="dxa"/>
              <w:right w:w="100" w:type="dxa"/>
            </w:tcMar>
          </w:tcPr>
          <w:p w14:paraId="59EF46C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340</w:t>
            </w:r>
          </w:p>
        </w:tc>
      </w:tr>
      <w:tr w:rsidR="00487CB5" w14:paraId="32A21A6B" w14:textId="77777777">
        <w:tc>
          <w:tcPr>
            <w:tcW w:w="1425" w:type="dxa"/>
            <w:shd w:val="clear" w:color="auto" w:fill="auto"/>
            <w:tcMar>
              <w:top w:w="100" w:type="dxa"/>
              <w:left w:w="100" w:type="dxa"/>
              <w:bottom w:w="100" w:type="dxa"/>
              <w:right w:w="100" w:type="dxa"/>
            </w:tcMar>
          </w:tcPr>
          <w:p w14:paraId="712FF73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Missing </w:t>
            </w:r>
          </w:p>
        </w:tc>
        <w:tc>
          <w:tcPr>
            <w:tcW w:w="990" w:type="dxa"/>
            <w:shd w:val="clear" w:color="auto" w:fill="auto"/>
            <w:tcMar>
              <w:top w:w="100" w:type="dxa"/>
              <w:left w:w="100" w:type="dxa"/>
              <w:bottom w:w="100" w:type="dxa"/>
              <w:right w:w="100" w:type="dxa"/>
            </w:tcMar>
          </w:tcPr>
          <w:p w14:paraId="582B23C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960" w:type="dxa"/>
            <w:shd w:val="clear" w:color="auto" w:fill="auto"/>
            <w:tcMar>
              <w:top w:w="100" w:type="dxa"/>
              <w:left w:w="100" w:type="dxa"/>
              <w:bottom w:w="100" w:type="dxa"/>
              <w:right w:w="100" w:type="dxa"/>
            </w:tcMar>
          </w:tcPr>
          <w:p w14:paraId="0A08C22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1035" w:type="dxa"/>
            <w:shd w:val="clear" w:color="auto" w:fill="auto"/>
            <w:tcMar>
              <w:top w:w="100" w:type="dxa"/>
              <w:left w:w="100" w:type="dxa"/>
              <w:bottom w:w="100" w:type="dxa"/>
              <w:right w:w="100" w:type="dxa"/>
            </w:tcMar>
          </w:tcPr>
          <w:p w14:paraId="0D0CBD0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1110" w:type="dxa"/>
            <w:shd w:val="clear" w:color="auto" w:fill="auto"/>
            <w:tcMar>
              <w:top w:w="100" w:type="dxa"/>
              <w:left w:w="100" w:type="dxa"/>
              <w:bottom w:w="100" w:type="dxa"/>
              <w:right w:w="100" w:type="dxa"/>
            </w:tcMar>
          </w:tcPr>
          <w:p w14:paraId="3CBCF9EE"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1095" w:type="dxa"/>
            <w:shd w:val="clear" w:color="auto" w:fill="auto"/>
            <w:tcMar>
              <w:top w:w="100" w:type="dxa"/>
              <w:left w:w="100" w:type="dxa"/>
              <w:bottom w:w="100" w:type="dxa"/>
              <w:right w:w="100" w:type="dxa"/>
            </w:tcMar>
          </w:tcPr>
          <w:p w14:paraId="38CCFC5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1110" w:type="dxa"/>
            <w:shd w:val="clear" w:color="auto" w:fill="auto"/>
            <w:tcMar>
              <w:top w:w="100" w:type="dxa"/>
              <w:left w:w="100" w:type="dxa"/>
              <w:bottom w:w="100" w:type="dxa"/>
              <w:right w:w="100" w:type="dxa"/>
            </w:tcMar>
          </w:tcPr>
          <w:p w14:paraId="2AFAAB5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1155" w:type="dxa"/>
            <w:shd w:val="clear" w:color="auto" w:fill="auto"/>
            <w:tcMar>
              <w:top w:w="100" w:type="dxa"/>
              <w:left w:w="100" w:type="dxa"/>
              <w:bottom w:w="100" w:type="dxa"/>
              <w:right w:w="100" w:type="dxa"/>
            </w:tcMar>
          </w:tcPr>
          <w:p w14:paraId="6D8C18D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r>
      <w:tr w:rsidR="00487CB5" w14:paraId="046B3C1A" w14:textId="77777777">
        <w:tc>
          <w:tcPr>
            <w:tcW w:w="1425" w:type="dxa"/>
            <w:shd w:val="clear" w:color="auto" w:fill="auto"/>
            <w:tcMar>
              <w:top w:w="100" w:type="dxa"/>
              <w:left w:w="100" w:type="dxa"/>
              <w:bottom w:w="100" w:type="dxa"/>
              <w:right w:w="100" w:type="dxa"/>
            </w:tcMar>
          </w:tcPr>
          <w:p w14:paraId="0FDC4FC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Mean</w:t>
            </w:r>
          </w:p>
        </w:tc>
        <w:tc>
          <w:tcPr>
            <w:tcW w:w="990" w:type="dxa"/>
            <w:shd w:val="clear" w:color="auto" w:fill="auto"/>
            <w:tcMar>
              <w:top w:w="100" w:type="dxa"/>
              <w:left w:w="100" w:type="dxa"/>
              <w:bottom w:w="100" w:type="dxa"/>
              <w:right w:w="100" w:type="dxa"/>
            </w:tcMar>
          </w:tcPr>
          <w:p w14:paraId="11ECE45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28.412</w:t>
            </w:r>
          </w:p>
        </w:tc>
        <w:tc>
          <w:tcPr>
            <w:tcW w:w="960" w:type="dxa"/>
            <w:shd w:val="clear" w:color="auto" w:fill="auto"/>
            <w:tcMar>
              <w:top w:w="100" w:type="dxa"/>
              <w:left w:w="100" w:type="dxa"/>
              <w:bottom w:w="100" w:type="dxa"/>
              <w:right w:w="100" w:type="dxa"/>
            </w:tcMar>
          </w:tcPr>
          <w:p w14:paraId="480020F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17.374</w:t>
            </w:r>
          </w:p>
        </w:tc>
        <w:tc>
          <w:tcPr>
            <w:tcW w:w="1035" w:type="dxa"/>
            <w:shd w:val="clear" w:color="auto" w:fill="auto"/>
            <w:tcMar>
              <w:top w:w="100" w:type="dxa"/>
              <w:left w:w="100" w:type="dxa"/>
              <w:bottom w:w="100" w:type="dxa"/>
              <w:right w:w="100" w:type="dxa"/>
            </w:tcMar>
          </w:tcPr>
          <w:p w14:paraId="47FE65C6"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21.685</w:t>
            </w:r>
          </w:p>
        </w:tc>
        <w:tc>
          <w:tcPr>
            <w:tcW w:w="1110" w:type="dxa"/>
            <w:shd w:val="clear" w:color="auto" w:fill="auto"/>
            <w:tcMar>
              <w:top w:w="100" w:type="dxa"/>
              <w:left w:w="100" w:type="dxa"/>
              <w:bottom w:w="100" w:type="dxa"/>
              <w:right w:w="100" w:type="dxa"/>
            </w:tcMar>
          </w:tcPr>
          <w:p w14:paraId="05932AE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16.271</w:t>
            </w:r>
          </w:p>
        </w:tc>
        <w:tc>
          <w:tcPr>
            <w:tcW w:w="1095" w:type="dxa"/>
            <w:shd w:val="clear" w:color="auto" w:fill="auto"/>
            <w:tcMar>
              <w:top w:w="100" w:type="dxa"/>
              <w:left w:w="100" w:type="dxa"/>
              <w:bottom w:w="100" w:type="dxa"/>
              <w:right w:w="100" w:type="dxa"/>
            </w:tcMar>
          </w:tcPr>
          <w:p w14:paraId="79E2C9A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18.312</w:t>
            </w:r>
          </w:p>
        </w:tc>
        <w:tc>
          <w:tcPr>
            <w:tcW w:w="1110" w:type="dxa"/>
            <w:shd w:val="clear" w:color="auto" w:fill="auto"/>
            <w:tcMar>
              <w:top w:w="100" w:type="dxa"/>
              <w:left w:w="100" w:type="dxa"/>
              <w:bottom w:w="100" w:type="dxa"/>
              <w:right w:w="100" w:type="dxa"/>
            </w:tcMar>
          </w:tcPr>
          <w:p w14:paraId="0C5FA3D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22.241</w:t>
            </w:r>
          </w:p>
        </w:tc>
        <w:tc>
          <w:tcPr>
            <w:tcW w:w="1155" w:type="dxa"/>
            <w:shd w:val="clear" w:color="auto" w:fill="auto"/>
            <w:tcMar>
              <w:top w:w="100" w:type="dxa"/>
              <w:left w:w="100" w:type="dxa"/>
              <w:bottom w:w="100" w:type="dxa"/>
              <w:right w:w="100" w:type="dxa"/>
            </w:tcMar>
          </w:tcPr>
          <w:p w14:paraId="4C1CB57C"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7.603</w:t>
            </w:r>
          </w:p>
        </w:tc>
      </w:tr>
      <w:tr w:rsidR="00487CB5" w14:paraId="53D7B002" w14:textId="77777777">
        <w:tc>
          <w:tcPr>
            <w:tcW w:w="1425" w:type="dxa"/>
            <w:shd w:val="clear" w:color="auto" w:fill="auto"/>
            <w:tcMar>
              <w:top w:w="100" w:type="dxa"/>
              <w:left w:w="100" w:type="dxa"/>
              <w:bottom w:w="100" w:type="dxa"/>
              <w:right w:w="100" w:type="dxa"/>
            </w:tcMar>
          </w:tcPr>
          <w:p w14:paraId="20ED740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Std. Deviation</w:t>
            </w:r>
          </w:p>
        </w:tc>
        <w:tc>
          <w:tcPr>
            <w:tcW w:w="990" w:type="dxa"/>
            <w:shd w:val="clear" w:color="auto" w:fill="auto"/>
            <w:tcMar>
              <w:top w:w="100" w:type="dxa"/>
              <w:left w:w="100" w:type="dxa"/>
              <w:bottom w:w="100" w:type="dxa"/>
              <w:right w:w="100" w:type="dxa"/>
            </w:tcMar>
          </w:tcPr>
          <w:p w14:paraId="508A294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4.213</w:t>
            </w:r>
          </w:p>
        </w:tc>
        <w:tc>
          <w:tcPr>
            <w:tcW w:w="960" w:type="dxa"/>
            <w:shd w:val="clear" w:color="auto" w:fill="auto"/>
            <w:tcMar>
              <w:top w:w="100" w:type="dxa"/>
              <w:left w:w="100" w:type="dxa"/>
              <w:bottom w:w="100" w:type="dxa"/>
              <w:right w:w="100" w:type="dxa"/>
            </w:tcMar>
          </w:tcPr>
          <w:p w14:paraId="5F5E941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2.317</w:t>
            </w:r>
          </w:p>
        </w:tc>
        <w:tc>
          <w:tcPr>
            <w:tcW w:w="1035" w:type="dxa"/>
            <w:shd w:val="clear" w:color="auto" w:fill="auto"/>
            <w:tcMar>
              <w:top w:w="100" w:type="dxa"/>
              <w:left w:w="100" w:type="dxa"/>
              <w:bottom w:w="100" w:type="dxa"/>
              <w:right w:w="100" w:type="dxa"/>
            </w:tcMar>
          </w:tcPr>
          <w:p w14:paraId="4A63DD2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3.443</w:t>
            </w:r>
          </w:p>
        </w:tc>
        <w:tc>
          <w:tcPr>
            <w:tcW w:w="1110" w:type="dxa"/>
            <w:shd w:val="clear" w:color="auto" w:fill="auto"/>
            <w:tcMar>
              <w:top w:w="100" w:type="dxa"/>
              <w:left w:w="100" w:type="dxa"/>
              <w:bottom w:w="100" w:type="dxa"/>
              <w:right w:w="100" w:type="dxa"/>
            </w:tcMar>
          </w:tcPr>
          <w:p w14:paraId="742897E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2.504</w:t>
            </w:r>
          </w:p>
        </w:tc>
        <w:tc>
          <w:tcPr>
            <w:tcW w:w="1095" w:type="dxa"/>
            <w:shd w:val="clear" w:color="auto" w:fill="auto"/>
            <w:tcMar>
              <w:top w:w="100" w:type="dxa"/>
              <w:left w:w="100" w:type="dxa"/>
              <w:bottom w:w="100" w:type="dxa"/>
              <w:right w:w="100" w:type="dxa"/>
            </w:tcMar>
          </w:tcPr>
          <w:p w14:paraId="54587E9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3.314</w:t>
            </w:r>
          </w:p>
        </w:tc>
        <w:tc>
          <w:tcPr>
            <w:tcW w:w="1110" w:type="dxa"/>
            <w:shd w:val="clear" w:color="auto" w:fill="auto"/>
            <w:tcMar>
              <w:top w:w="100" w:type="dxa"/>
              <w:left w:w="100" w:type="dxa"/>
              <w:bottom w:w="100" w:type="dxa"/>
              <w:right w:w="100" w:type="dxa"/>
            </w:tcMar>
          </w:tcPr>
          <w:p w14:paraId="61FD427E"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3.729</w:t>
            </w:r>
          </w:p>
        </w:tc>
        <w:tc>
          <w:tcPr>
            <w:tcW w:w="1155" w:type="dxa"/>
            <w:shd w:val="clear" w:color="auto" w:fill="auto"/>
            <w:tcMar>
              <w:top w:w="100" w:type="dxa"/>
              <w:left w:w="100" w:type="dxa"/>
              <w:bottom w:w="100" w:type="dxa"/>
              <w:right w:w="100" w:type="dxa"/>
            </w:tcMar>
          </w:tcPr>
          <w:p w14:paraId="4BECBB3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1.332</w:t>
            </w:r>
          </w:p>
        </w:tc>
      </w:tr>
      <w:tr w:rsidR="00487CB5" w14:paraId="0202FFC0" w14:textId="77777777">
        <w:tc>
          <w:tcPr>
            <w:tcW w:w="1425" w:type="dxa"/>
            <w:shd w:val="clear" w:color="auto" w:fill="auto"/>
            <w:tcMar>
              <w:top w:w="100" w:type="dxa"/>
              <w:left w:w="100" w:type="dxa"/>
              <w:bottom w:w="100" w:type="dxa"/>
              <w:right w:w="100" w:type="dxa"/>
            </w:tcMar>
          </w:tcPr>
          <w:p w14:paraId="148813F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Shapiro-Wilk</w:t>
            </w:r>
          </w:p>
        </w:tc>
        <w:tc>
          <w:tcPr>
            <w:tcW w:w="990" w:type="dxa"/>
            <w:shd w:val="clear" w:color="auto" w:fill="auto"/>
            <w:tcMar>
              <w:top w:w="100" w:type="dxa"/>
              <w:left w:w="100" w:type="dxa"/>
              <w:bottom w:w="100" w:type="dxa"/>
              <w:right w:w="100" w:type="dxa"/>
            </w:tcMar>
          </w:tcPr>
          <w:p w14:paraId="4371EEE0"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0.944</w:t>
            </w:r>
          </w:p>
        </w:tc>
        <w:tc>
          <w:tcPr>
            <w:tcW w:w="960" w:type="dxa"/>
            <w:shd w:val="clear" w:color="auto" w:fill="auto"/>
            <w:tcMar>
              <w:top w:w="100" w:type="dxa"/>
              <w:left w:w="100" w:type="dxa"/>
              <w:bottom w:w="100" w:type="dxa"/>
              <w:right w:w="100" w:type="dxa"/>
            </w:tcMar>
          </w:tcPr>
          <w:p w14:paraId="04E5D78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0.884</w:t>
            </w:r>
          </w:p>
        </w:tc>
        <w:tc>
          <w:tcPr>
            <w:tcW w:w="1035" w:type="dxa"/>
            <w:shd w:val="clear" w:color="auto" w:fill="auto"/>
            <w:tcMar>
              <w:top w:w="100" w:type="dxa"/>
              <w:left w:w="100" w:type="dxa"/>
              <w:bottom w:w="100" w:type="dxa"/>
              <w:right w:w="100" w:type="dxa"/>
            </w:tcMar>
          </w:tcPr>
          <w:p w14:paraId="008AFD5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0.979</w:t>
            </w:r>
          </w:p>
        </w:tc>
        <w:tc>
          <w:tcPr>
            <w:tcW w:w="1110" w:type="dxa"/>
            <w:shd w:val="clear" w:color="auto" w:fill="auto"/>
            <w:tcMar>
              <w:top w:w="100" w:type="dxa"/>
              <w:left w:w="100" w:type="dxa"/>
              <w:bottom w:w="100" w:type="dxa"/>
              <w:right w:w="100" w:type="dxa"/>
            </w:tcMar>
          </w:tcPr>
          <w:p w14:paraId="6F25A02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0.909</w:t>
            </w:r>
          </w:p>
        </w:tc>
        <w:tc>
          <w:tcPr>
            <w:tcW w:w="1095" w:type="dxa"/>
            <w:shd w:val="clear" w:color="auto" w:fill="auto"/>
            <w:tcMar>
              <w:top w:w="100" w:type="dxa"/>
              <w:left w:w="100" w:type="dxa"/>
              <w:bottom w:w="100" w:type="dxa"/>
              <w:right w:w="100" w:type="dxa"/>
            </w:tcMar>
          </w:tcPr>
          <w:p w14:paraId="117E2F86"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0.969</w:t>
            </w:r>
          </w:p>
        </w:tc>
        <w:tc>
          <w:tcPr>
            <w:tcW w:w="1110" w:type="dxa"/>
            <w:shd w:val="clear" w:color="auto" w:fill="auto"/>
            <w:tcMar>
              <w:top w:w="100" w:type="dxa"/>
              <w:left w:w="100" w:type="dxa"/>
              <w:bottom w:w="100" w:type="dxa"/>
              <w:right w:w="100" w:type="dxa"/>
            </w:tcMar>
          </w:tcPr>
          <w:p w14:paraId="30F1D29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0.974</w:t>
            </w:r>
          </w:p>
        </w:tc>
        <w:tc>
          <w:tcPr>
            <w:tcW w:w="1155" w:type="dxa"/>
            <w:shd w:val="clear" w:color="auto" w:fill="auto"/>
            <w:tcMar>
              <w:top w:w="100" w:type="dxa"/>
              <w:left w:w="100" w:type="dxa"/>
              <w:bottom w:w="100" w:type="dxa"/>
              <w:right w:w="100" w:type="dxa"/>
            </w:tcMar>
          </w:tcPr>
          <w:p w14:paraId="4829ADF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0.930</w:t>
            </w:r>
          </w:p>
        </w:tc>
      </w:tr>
      <w:tr w:rsidR="00487CB5" w14:paraId="790B9140" w14:textId="77777777">
        <w:tc>
          <w:tcPr>
            <w:tcW w:w="1425" w:type="dxa"/>
            <w:shd w:val="clear" w:color="auto" w:fill="auto"/>
            <w:tcMar>
              <w:top w:w="100" w:type="dxa"/>
              <w:left w:w="100" w:type="dxa"/>
              <w:bottom w:w="100" w:type="dxa"/>
              <w:right w:w="100" w:type="dxa"/>
            </w:tcMar>
          </w:tcPr>
          <w:p w14:paraId="481A0C4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P-value of Shapiro-Wilk</w:t>
            </w:r>
          </w:p>
        </w:tc>
        <w:tc>
          <w:tcPr>
            <w:tcW w:w="990" w:type="dxa"/>
            <w:shd w:val="clear" w:color="auto" w:fill="auto"/>
            <w:tcMar>
              <w:top w:w="100" w:type="dxa"/>
              <w:left w:w="100" w:type="dxa"/>
              <w:bottom w:w="100" w:type="dxa"/>
              <w:right w:w="100" w:type="dxa"/>
            </w:tcMar>
          </w:tcPr>
          <w:p w14:paraId="2A556A4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&lt;.001</w:t>
            </w:r>
          </w:p>
        </w:tc>
        <w:tc>
          <w:tcPr>
            <w:tcW w:w="960" w:type="dxa"/>
            <w:shd w:val="clear" w:color="auto" w:fill="auto"/>
            <w:tcMar>
              <w:top w:w="100" w:type="dxa"/>
              <w:left w:w="100" w:type="dxa"/>
              <w:bottom w:w="100" w:type="dxa"/>
              <w:right w:w="100" w:type="dxa"/>
            </w:tcMar>
          </w:tcPr>
          <w:p w14:paraId="29DB84B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1035" w:type="dxa"/>
            <w:shd w:val="clear" w:color="auto" w:fill="auto"/>
            <w:tcMar>
              <w:top w:w="100" w:type="dxa"/>
              <w:left w:w="100" w:type="dxa"/>
              <w:bottom w:w="100" w:type="dxa"/>
              <w:right w:w="100" w:type="dxa"/>
            </w:tcMar>
          </w:tcPr>
          <w:p w14:paraId="657ED5D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1110" w:type="dxa"/>
            <w:shd w:val="clear" w:color="auto" w:fill="auto"/>
            <w:tcMar>
              <w:top w:w="100" w:type="dxa"/>
              <w:left w:w="100" w:type="dxa"/>
              <w:bottom w:w="100" w:type="dxa"/>
              <w:right w:w="100" w:type="dxa"/>
            </w:tcMar>
          </w:tcPr>
          <w:p w14:paraId="4DDE7AE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1095" w:type="dxa"/>
            <w:shd w:val="clear" w:color="auto" w:fill="auto"/>
            <w:tcMar>
              <w:top w:w="100" w:type="dxa"/>
              <w:left w:w="100" w:type="dxa"/>
              <w:bottom w:w="100" w:type="dxa"/>
              <w:right w:w="100" w:type="dxa"/>
            </w:tcMar>
          </w:tcPr>
          <w:p w14:paraId="6B1D31E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1110" w:type="dxa"/>
            <w:shd w:val="clear" w:color="auto" w:fill="auto"/>
            <w:tcMar>
              <w:top w:w="100" w:type="dxa"/>
              <w:left w:w="100" w:type="dxa"/>
              <w:bottom w:w="100" w:type="dxa"/>
              <w:right w:w="100" w:type="dxa"/>
            </w:tcMar>
          </w:tcPr>
          <w:p w14:paraId="5A0F4F4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1155" w:type="dxa"/>
            <w:shd w:val="clear" w:color="auto" w:fill="auto"/>
            <w:tcMar>
              <w:top w:w="100" w:type="dxa"/>
              <w:left w:w="100" w:type="dxa"/>
              <w:bottom w:w="100" w:type="dxa"/>
              <w:right w:w="100" w:type="dxa"/>
            </w:tcMar>
          </w:tcPr>
          <w:p w14:paraId="1861BFE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r>
    </w:tbl>
    <w:p w14:paraId="4BD03504" w14:textId="77777777" w:rsidR="00487CB5" w:rsidRDefault="00487CB5">
      <w:pPr>
        <w:rPr>
          <w:rFonts w:ascii="Times New Roman" w:eastAsia="Times New Roman" w:hAnsi="Times New Roman" w:cs="Times New Roman"/>
        </w:rPr>
      </w:pPr>
    </w:p>
    <w:p w14:paraId="0D8EC288" w14:textId="77777777" w:rsidR="00487CB5" w:rsidRDefault="00487CB5">
      <w:pPr>
        <w:rPr>
          <w:rFonts w:ascii="Times New Roman" w:eastAsia="Times New Roman" w:hAnsi="Times New Roman" w:cs="Times New Roman"/>
        </w:rPr>
      </w:pPr>
    </w:p>
    <w:p w14:paraId="38C99A59"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Correlation</w:t>
      </w:r>
    </w:p>
    <w:p w14:paraId="293311FD" w14:textId="77777777" w:rsidR="00487CB5" w:rsidRDefault="00487CB5">
      <w:pPr>
        <w:rPr>
          <w:rFonts w:ascii="Times New Roman" w:eastAsia="Times New Roman" w:hAnsi="Times New Roman" w:cs="Times New Roman"/>
        </w:rPr>
      </w:pPr>
    </w:p>
    <w:p w14:paraId="2745DF98"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Table 3 shows Spearman’s Rho, which indicates the correlation between the following variables “Personal Norms”,  “Green Purchase Intention”, “Satisfaction”, “Consumer Scepticism” and “Alternative Evaluation”. We are taking into consideration three levels of significance from .05 .01 and .001, results pertaining to our hypothesis under consideration, indicated that:</w:t>
      </w:r>
    </w:p>
    <w:p w14:paraId="3E9F850A" w14:textId="77777777" w:rsidR="00487CB5" w:rsidRDefault="00487CB5">
      <w:pPr>
        <w:rPr>
          <w:rFonts w:ascii="Times New Roman" w:eastAsia="Times New Roman" w:hAnsi="Times New Roman" w:cs="Times New Roman"/>
        </w:rPr>
      </w:pPr>
    </w:p>
    <w:p w14:paraId="08BF9AAA"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‘Sum A ’(Personal Norms) and ‘Sum B’(Green Purchase Intention) have a correlation with, p &lt; 0.001 and rho = 0.303 . (H1)</w:t>
      </w:r>
    </w:p>
    <w:p w14:paraId="399D30EB" w14:textId="77777777" w:rsidR="00487CB5" w:rsidRDefault="00487CB5">
      <w:pPr>
        <w:rPr>
          <w:rFonts w:ascii="Times New Roman" w:eastAsia="Times New Roman" w:hAnsi="Times New Roman" w:cs="Times New Roman"/>
        </w:rPr>
      </w:pPr>
    </w:p>
    <w:p w14:paraId="5E6A73F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‘Sum B’(Green Purchase intention) and ‘Sum D’(Satisfaction) have a correlation with, p &lt; 0.001 and rho = 0.303 . (H2)</w:t>
      </w:r>
    </w:p>
    <w:p w14:paraId="34EEFD2E" w14:textId="77777777" w:rsidR="00487CB5" w:rsidRDefault="00487CB5">
      <w:pPr>
        <w:rPr>
          <w:rFonts w:ascii="Times New Roman" w:eastAsia="Times New Roman" w:hAnsi="Times New Roman" w:cs="Times New Roman"/>
        </w:rPr>
      </w:pPr>
    </w:p>
    <w:p w14:paraId="4F73A7A0"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‘Sum E’(Alternative Evaluation) and ‘Sum D’(Satisfaction) have a correlation with, p &lt; 0.001 and rho = 0.303 . (H3)</w:t>
      </w:r>
    </w:p>
    <w:p w14:paraId="22F27DC4" w14:textId="77777777" w:rsidR="00487CB5" w:rsidRDefault="00487CB5">
      <w:pPr>
        <w:rPr>
          <w:rFonts w:ascii="Times New Roman" w:eastAsia="Times New Roman" w:hAnsi="Times New Roman" w:cs="Times New Roman"/>
        </w:rPr>
      </w:pPr>
    </w:p>
    <w:p w14:paraId="4BCF9D79"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‘Sum D’(Satisfaction)) and ‘Sum G’(Consumer Scepticism) have a correlation with, p &lt; 0.001 and rho = 0.303 . (H4)</w:t>
      </w:r>
    </w:p>
    <w:p w14:paraId="76D8F98E" w14:textId="77777777" w:rsidR="00487CB5" w:rsidRDefault="00487CB5">
      <w:pPr>
        <w:rPr>
          <w:rFonts w:ascii="Times New Roman" w:eastAsia="Times New Roman" w:hAnsi="Times New Roman" w:cs="Times New Roman"/>
        </w:rPr>
      </w:pPr>
    </w:p>
    <w:p w14:paraId="7CEAAB2D"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‘Sum E’(Alternative Evaluation) and ‘Sum G’(Consumer Scepticism) have a correlation with, p &lt; 0.001 and rho = 0.303 . (H5)</w:t>
      </w:r>
    </w:p>
    <w:p w14:paraId="51B5E172" w14:textId="77777777" w:rsidR="00487CB5" w:rsidRDefault="00487CB5">
      <w:pPr>
        <w:rPr>
          <w:rFonts w:ascii="Times New Roman" w:eastAsia="Times New Roman" w:hAnsi="Times New Roman" w:cs="Times New Roman"/>
        </w:rPr>
      </w:pPr>
    </w:p>
    <w:p w14:paraId="4996B53F"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b/>
        </w:rPr>
        <w:t xml:space="preserve">Table 3: Spearman's Correlations </w:t>
      </w: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500"/>
        <w:gridCol w:w="1500"/>
        <w:gridCol w:w="1695"/>
        <w:gridCol w:w="1305"/>
        <w:gridCol w:w="1500"/>
      </w:tblGrid>
      <w:tr w:rsidR="00487CB5" w14:paraId="1B4D6C83" w14:textId="77777777">
        <w:tc>
          <w:tcPr>
            <w:tcW w:w="1500" w:type="dxa"/>
            <w:shd w:val="clear" w:color="auto" w:fill="auto"/>
            <w:tcMar>
              <w:top w:w="100" w:type="dxa"/>
              <w:left w:w="100" w:type="dxa"/>
              <w:bottom w:w="100" w:type="dxa"/>
              <w:right w:w="100" w:type="dxa"/>
            </w:tcMar>
          </w:tcPr>
          <w:p w14:paraId="35B3FBC4"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54CE6BCA"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0E09F934"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695" w:type="dxa"/>
            <w:shd w:val="clear" w:color="auto" w:fill="auto"/>
            <w:tcMar>
              <w:top w:w="100" w:type="dxa"/>
              <w:left w:w="100" w:type="dxa"/>
              <w:bottom w:w="100" w:type="dxa"/>
              <w:right w:w="100" w:type="dxa"/>
            </w:tcMar>
          </w:tcPr>
          <w:p w14:paraId="2FAA0B0C"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Spearman's rho</w:t>
            </w:r>
          </w:p>
        </w:tc>
        <w:tc>
          <w:tcPr>
            <w:tcW w:w="1305" w:type="dxa"/>
            <w:shd w:val="clear" w:color="auto" w:fill="auto"/>
            <w:tcMar>
              <w:top w:w="100" w:type="dxa"/>
              <w:left w:w="100" w:type="dxa"/>
              <w:bottom w:w="100" w:type="dxa"/>
              <w:right w:w="100" w:type="dxa"/>
            </w:tcMar>
          </w:tcPr>
          <w:p w14:paraId="297685F4"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42FDBD21" w14:textId="77777777" w:rsidR="00487CB5" w:rsidRDefault="002B62DD">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p</w:t>
            </w:r>
          </w:p>
        </w:tc>
      </w:tr>
      <w:tr w:rsidR="00487CB5" w14:paraId="53D88489" w14:textId="77777777">
        <w:tc>
          <w:tcPr>
            <w:tcW w:w="1500" w:type="dxa"/>
            <w:shd w:val="clear" w:color="auto" w:fill="auto"/>
            <w:tcMar>
              <w:top w:w="100" w:type="dxa"/>
              <w:left w:w="100" w:type="dxa"/>
              <w:bottom w:w="100" w:type="dxa"/>
              <w:right w:w="100" w:type="dxa"/>
            </w:tcMar>
          </w:tcPr>
          <w:p w14:paraId="0448A90C"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7289E176"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2E9B5D3C"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695" w:type="dxa"/>
            <w:shd w:val="clear" w:color="auto" w:fill="auto"/>
            <w:tcMar>
              <w:top w:w="100" w:type="dxa"/>
              <w:left w:w="100" w:type="dxa"/>
              <w:bottom w:w="100" w:type="dxa"/>
              <w:right w:w="100" w:type="dxa"/>
            </w:tcMar>
          </w:tcPr>
          <w:p w14:paraId="195499E5"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305" w:type="dxa"/>
            <w:shd w:val="clear" w:color="auto" w:fill="auto"/>
            <w:tcMar>
              <w:top w:w="100" w:type="dxa"/>
              <w:left w:w="100" w:type="dxa"/>
              <w:bottom w:w="100" w:type="dxa"/>
              <w:right w:w="100" w:type="dxa"/>
            </w:tcMar>
          </w:tcPr>
          <w:p w14:paraId="5DA0AA86"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77BAC9B1"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r>
      <w:tr w:rsidR="00487CB5" w14:paraId="28B81C73" w14:textId="77777777">
        <w:tc>
          <w:tcPr>
            <w:tcW w:w="1500" w:type="dxa"/>
            <w:shd w:val="clear" w:color="auto" w:fill="auto"/>
            <w:tcMar>
              <w:top w:w="100" w:type="dxa"/>
              <w:left w:w="100" w:type="dxa"/>
              <w:bottom w:w="100" w:type="dxa"/>
              <w:right w:w="100" w:type="dxa"/>
            </w:tcMar>
          </w:tcPr>
          <w:p w14:paraId="346151B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A</w:t>
            </w:r>
          </w:p>
        </w:tc>
        <w:tc>
          <w:tcPr>
            <w:tcW w:w="1500" w:type="dxa"/>
            <w:shd w:val="clear" w:color="auto" w:fill="auto"/>
            <w:tcMar>
              <w:top w:w="100" w:type="dxa"/>
              <w:left w:w="100" w:type="dxa"/>
              <w:bottom w:w="100" w:type="dxa"/>
              <w:right w:w="100" w:type="dxa"/>
            </w:tcMar>
          </w:tcPr>
          <w:p w14:paraId="14889A1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578B6E0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B</w:t>
            </w:r>
          </w:p>
        </w:tc>
        <w:tc>
          <w:tcPr>
            <w:tcW w:w="1695" w:type="dxa"/>
            <w:shd w:val="clear" w:color="auto" w:fill="auto"/>
            <w:tcMar>
              <w:top w:w="100" w:type="dxa"/>
              <w:left w:w="100" w:type="dxa"/>
              <w:bottom w:w="100" w:type="dxa"/>
              <w:right w:w="100" w:type="dxa"/>
            </w:tcMar>
          </w:tcPr>
          <w:p w14:paraId="1B097D1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0.627</w:t>
            </w:r>
          </w:p>
        </w:tc>
        <w:tc>
          <w:tcPr>
            <w:tcW w:w="1305" w:type="dxa"/>
            <w:shd w:val="clear" w:color="auto" w:fill="auto"/>
            <w:tcMar>
              <w:top w:w="100" w:type="dxa"/>
              <w:left w:w="100" w:type="dxa"/>
              <w:bottom w:w="100" w:type="dxa"/>
              <w:right w:w="100" w:type="dxa"/>
            </w:tcMar>
          </w:tcPr>
          <w:p w14:paraId="561137DE"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6D992F4A"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&lt;.001</w:t>
            </w:r>
          </w:p>
        </w:tc>
      </w:tr>
      <w:tr w:rsidR="00487CB5" w14:paraId="34F83B5C" w14:textId="77777777">
        <w:tc>
          <w:tcPr>
            <w:tcW w:w="1500" w:type="dxa"/>
            <w:shd w:val="clear" w:color="auto" w:fill="auto"/>
            <w:tcMar>
              <w:top w:w="100" w:type="dxa"/>
              <w:left w:w="100" w:type="dxa"/>
              <w:bottom w:w="100" w:type="dxa"/>
              <w:right w:w="100" w:type="dxa"/>
            </w:tcMar>
          </w:tcPr>
          <w:p w14:paraId="3A28374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B</w:t>
            </w:r>
          </w:p>
        </w:tc>
        <w:tc>
          <w:tcPr>
            <w:tcW w:w="1500" w:type="dxa"/>
            <w:shd w:val="clear" w:color="auto" w:fill="auto"/>
            <w:tcMar>
              <w:top w:w="100" w:type="dxa"/>
              <w:left w:w="100" w:type="dxa"/>
              <w:bottom w:w="100" w:type="dxa"/>
              <w:right w:w="100" w:type="dxa"/>
            </w:tcMar>
          </w:tcPr>
          <w:p w14:paraId="33DD6DE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50CEA30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D</w:t>
            </w:r>
          </w:p>
        </w:tc>
        <w:tc>
          <w:tcPr>
            <w:tcW w:w="1695" w:type="dxa"/>
            <w:shd w:val="clear" w:color="auto" w:fill="auto"/>
            <w:tcMar>
              <w:top w:w="100" w:type="dxa"/>
              <w:left w:w="100" w:type="dxa"/>
              <w:bottom w:w="100" w:type="dxa"/>
              <w:right w:w="100" w:type="dxa"/>
            </w:tcMar>
          </w:tcPr>
          <w:p w14:paraId="2250B7B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0.639</w:t>
            </w:r>
          </w:p>
        </w:tc>
        <w:tc>
          <w:tcPr>
            <w:tcW w:w="1305" w:type="dxa"/>
            <w:shd w:val="clear" w:color="auto" w:fill="auto"/>
            <w:tcMar>
              <w:top w:w="100" w:type="dxa"/>
              <w:left w:w="100" w:type="dxa"/>
              <w:bottom w:w="100" w:type="dxa"/>
              <w:right w:w="100" w:type="dxa"/>
            </w:tcMar>
          </w:tcPr>
          <w:p w14:paraId="0DA459C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7514AB3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r>
      <w:tr w:rsidR="00487CB5" w14:paraId="1EE25101" w14:textId="77777777">
        <w:tc>
          <w:tcPr>
            <w:tcW w:w="1500" w:type="dxa"/>
            <w:shd w:val="clear" w:color="auto" w:fill="auto"/>
            <w:tcMar>
              <w:top w:w="100" w:type="dxa"/>
              <w:left w:w="100" w:type="dxa"/>
              <w:bottom w:w="100" w:type="dxa"/>
              <w:right w:w="100" w:type="dxa"/>
            </w:tcMar>
          </w:tcPr>
          <w:p w14:paraId="320A1A0E"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E</w:t>
            </w:r>
          </w:p>
        </w:tc>
        <w:tc>
          <w:tcPr>
            <w:tcW w:w="1500" w:type="dxa"/>
            <w:shd w:val="clear" w:color="auto" w:fill="auto"/>
            <w:tcMar>
              <w:top w:w="100" w:type="dxa"/>
              <w:left w:w="100" w:type="dxa"/>
              <w:bottom w:w="100" w:type="dxa"/>
              <w:right w:w="100" w:type="dxa"/>
            </w:tcMar>
          </w:tcPr>
          <w:p w14:paraId="48965890"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4AD05F1C"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D</w:t>
            </w:r>
          </w:p>
        </w:tc>
        <w:tc>
          <w:tcPr>
            <w:tcW w:w="1695" w:type="dxa"/>
            <w:shd w:val="clear" w:color="auto" w:fill="auto"/>
            <w:tcMar>
              <w:top w:w="100" w:type="dxa"/>
              <w:left w:w="100" w:type="dxa"/>
              <w:bottom w:w="100" w:type="dxa"/>
              <w:right w:w="100" w:type="dxa"/>
            </w:tcMar>
          </w:tcPr>
          <w:p w14:paraId="36DD83F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0.145</w:t>
            </w:r>
          </w:p>
        </w:tc>
        <w:tc>
          <w:tcPr>
            <w:tcW w:w="1305" w:type="dxa"/>
            <w:shd w:val="clear" w:color="auto" w:fill="auto"/>
            <w:tcMar>
              <w:top w:w="100" w:type="dxa"/>
              <w:left w:w="100" w:type="dxa"/>
              <w:bottom w:w="100" w:type="dxa"/>
              <w:right w:w="100" w:type="dxa"/>
            </w:tcMar>
          </w:tcPr>
          <w:p w14:paraId="6B1DAAC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6C2D3F4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0.007</w:t>
            </w:r>
          </w:p>
        </w:tc>
      </w:tr>
      <w:tr w:rsidR="00487CB5" w14:paraId="570478E7" w14:textId="77777777">
        <w:tc>
          <w:tcPr>
            <w:tcW w:w="1500" w:type="dxa"/>
            <w:shd w:val="clear" w:color="auto" w:fill="auto"/>
            <w:tcMar>
              <w:top w:w="100" w:type="dxa"/>
              <w:left w:w="100" w:type="dxa"/>
              <w:bottom w:w="100" w:type="dxa"/>
              <w:right w:w="100" w:type="dxa"/>
            </w:tcMar>
          </w:tcPr>
          <w:p w14:paraId="6B4A59B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D</w:t>
            </w:r>
          </w:p>
        </w:tc>
        <w:tc>
          <w:tcPr>
            <w:tcW w:w="1500" w:type="dxa"/>
            <w:shd w:val="clear" w:color="auto" w:fill="auto"/>
            <w:tcMar>
              <w:top w:w="100" w:type="dxa"/>
              <w:left w:w="100" w:type="dxa"/>
              <w:bottom w:w="100" w:type="dxa"/>
              <w:right w:w="100" w:type="dxa"/>
            </w:tcMar>
          </w:tcPr>
          <w:p w14:paraId="1E60D73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042C234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G</w:t>
            </w:r>
          </w:p>
        </w:tc>
        <w:tc>
          <w:tcPr>
            <w:tcW w:w="1695" w:type="dxa"/>
            <w:shd w:val="clear" w:color="auto" w:fill="auto"/>
            <w:tcMar>
              <w:top w:w="100" w:type="dxa"/>
              <w:left w:w="100" w:type="dxa"/>
              <w:bottom w:w="100" w:type="dxa"/>
              <w:right w:w="100" w:type="dxa"/>
            </w:tcMar>
          </w:tcPr>
          <w:p w14:paraId="2C5248A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0.241</w:t>
            </w:r>
          </w:p>
        </w:tc>
        <w:tc>
          <w:tcPr>
            <w:tcW w:w="1305" w:type="dxa"/>
            <w:shd w:val="clear" w:color="auto" w:fill="auto"/>
            <w:tcMar>
              <w:top w:w="100" w:type="dxa"/>
              <w:left w:w="100" w:type="dxa"/>
              <w:bottom w:w="100" w:type="dxa"/>
              <w:right w:w="100" w:type="dxa"/>
            </w:tcMar>
          </w:tcPr>
          <w:p w14:paraId="6BB979F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4589EAE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r>
      <w:tr w:rsidR="00487CB5" w14:paraId="030E7C00" w14:textId="77777777">
        <w:tc>
          <w:tcPr>
            <w:tcW w:w="1500" w:type="dxa"/>
            <w:shd w:val="clear" w:color="auto" w:fill="auto"/>
            <w:tcMar>
              <w:top w:w="100" w:type="dxa"/>
              <w:left w:w="100" w:type="dxa"/>
              <w:bottom w:w="100" w:type="dxa"/>
              <w:right w:w="100" w:type="dxa"/>
            </w:tcMar>
          </w:tcPr>
          <w:p w14:paraId="619F147A"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Sum E</w:t>
            </w:r>
          </w:p>
        </w:tc>
        <w:tc>
          <w:tcPr>
            <w:tcW w:w="1500" w:type="dxa"/>
            <w:shd w:val="clear" w:color="auto" w:fill="auto"/>
            <w:tcMar>
              <w:top w:w="100" w:type="dxa"/>
              <w:left w:w="100" w:type="dxa"/>
              <w:bottom w:w="100" w:type="dxa"/>
              <w:right w:w="100" w:type="dxa"/>
            </w:tcMar>
          </w:tcPr>
          <w:p w14:paraId="2EE16F0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196C354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G</w:t>
            </w:r>
          </w:p>
        </w:tc>
        <w:tc>
          <w:tcPr>
            <w:tcW w:w="1695" w:type="dxa"/>
            <w:shd w:val="clear" w:color="auto" w:fill="auto"/>
            <w:tcMar>
              <w:top w:w="100" w:type="dxa"/>
              <w:left w:w="100" w:type="dxa"/>
              <w:bottom w:w="100" w:type="dxa"/>
              <w:right w:w="100" w:type="dxa"/>
            </w:tcMar>
          </w:tcPr>
          <w:p w14:paraId="6745D72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0.270</w:t>
            </w:r>
          </w:p>
        </w:tc>
        <w:tc>
          <w:tcPr>
            <w:tcW w:w="1305" w:type="dxa"/>
            <w:shd w:val="clear" w:color="auto" w:fill="auto"/>
            <w:tcMar>
              <w:top w:w="100" w:type="dxa"/>
              <w:left w:w="100" w:type="dxa"/>
              <w:bottom w:w="100" w:type="dxa"/>
              <w:right w:w="100" w:type="dxa"/>
            </w:tcMar>
          </w:tcPr>
          <w:p w14:paraId="7D5C3A5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56367AB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r>
    </w:tbl>
    <w:p w14:paraId="5DB7C458"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6DF45496"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*p&lt; .05, **p&lt; .01, ***p&lt; .001</w:t>
      </w:r>
    </w:p>
    <w:p w14:paraId="515DEF8F" w14:textId="77777777" w:rsidR="00487CB5" w:rsidRDefault="00487CB5">
      <w:pPr>
        <w:rPr>
          <w:rFonts w:ascii="Times New Roman" w:eastAsia="Times New Roman" w:hAnsi="Times New Roman" w:cs="Times New Roman"/>
        </w:rPr>
      </w:pPr>
    </w:p>
    <w:p w14:paraId="1BBC1E8A" w14:textId="77777777" w:rsidR="00487CB5" w:rsidRDefault="00487CB5">
      <w:pPr>
        <w:rPr>
          <w:rFonts w:ascii="Times New Roman" w:eastAsia="Times New Roman" w:hAnsi="Times New Roman" w:cs="Times New Roman"/>
        </w:rPr>
      </w:pPr>
    </w:p>
    <w:p w14:paraId="1AEC4297"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T-Test</w:t>
      </w:r>
    </w:p>
    <w:p w14:paraId="74C36601" w14:textId="77777777" w:rsidR="00487CB5" w:rsidRDefault="00487CB5">
      <w:pPr>
        <w:rPr>
          <w:rFonts w:ascii="Times New Roman" w:eastAsia="Times New Roman" w:hAnsi="Times New Roman" w:cs="Times New Roman"/>
        </w:rPr>
      </w:pPr>
    </w:p>
    <w:p w14:paraId="072D3BB0"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4: Descriptive Statistics for “Personal Norms” Scores by Genders</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2E19CB9B" w14:textId="77777777">
        <w:tc>
          <w:tcPr>
            <w:tcW w:w="1289" w:type="dxa"/>
            <w:shd w:val="clear" w:color="auto" w:fill="auto"/>
            <w:tcMar>
              <w:top w:w="100" w:type="dxa"/>
              <w:left w:w="100" w:type="dxa"/>
              <w:bottom w:w="100" w:type="dxa"/>
              <w:right w:w="100" w:type="dxa"/>
            </w:tcMar>
          </w:tcPr>
          <w:p w14:paraId="6D578436"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5177EB13"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008221A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1B50DC4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081F71E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39607ACD"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4553D33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3BD9D05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01DCD3FD" w14:textId="77777777">
        <w:tc>
          <w:tcPr>
            <w:tcW w:w="1289" w:type="dxa"/>
            <w:shd w:val="clear" w:color="auto" w:fill="auto"/>
            <w:tcMar>
              <w:top w:w="100" w:type="dxa"/>
              <w:left w:w="100" w:type="dxa"/>
              <w:bottom w:w="100" w:type="dxa"/>
              <w:right w:w="100" w:type="dxa"/>
            </w:tcMar>
          </w:tcPr>
          <w:p w14:paraId="2EA4CFC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A</w:t>
            </w:r>
          </w:p>
        </w:tc>
        <w:tc>
          <w:tcPr>
            <w:tcW w:w="1289" w:type="dxa"/>
            <w:shd w:val="clear" w:color="auto" w:fill="auto"/>
            <w:tcMar>
              <w:top w:w="100" w:type="dxa"/>
              <w:left w:w="100" w:type="dxa"/>
              <w:bottom w:w="100" w:type="dxa"/>
              <w:right w:w="100" w:type="dxa"/>
            </w:tcMar>
          </w:tcPr>
          <w:p w14:paraId="03C3D04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Female</w:t>
            </w:r>
          </w:p>
        </w:tc>
        <w:tc>
          <w:tcPr>
            <w:tcW w:w="1289" w:type="dxa"/>
            <w:shd w:val="clear" w:color="auto" w:fill="auto"/>
            <w:tcMar>
              <w:top w:w="100" w:type="dxa"/>
              <w:left w:w="100" w:type="dxa"/>
              <w:bottom w:w="100" w:type="dxa"/>
              <w:right w:w="100" w:type="dxa"/>
            </w:tcMar>
          </w:tcPr>
          <w:p w14:paraId="0A1AC6A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239</w:t>
            </w:r>
          </w:p>
        </w:tc>
        <w:tc>
          <w:tcPr>
            <w:tcW w:w="1289" w:type="dxa"/>
            <w:shd w:val="clear" w:color="auto" w:fill="auto"/>
            <w:tcMar>
              <w:top w:w="100" w:type="dxa"/>
              <w:left w:w="100" w:type="dxa"/>
              <w:bottom w:w="100" w:type="dxa"/>
              <w:right w:w="100" w:type="dxa"/>
            </w:tcMar>
          </w:tcPr>
          <w:p w14:paraId="4042F23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17.397</w:t>
            </w:r>
          </w:p>
        </w:tc>
        <w:tc>
          <w:tcPr>
            <w:tcW w:w="1289" w:type="dxa"/>
            <w:shd w:val="clear" w:color="auto" w:fill="auto"/>
            <w:tcMar>
              <w:top w:w="100" w:type="dxa"/>
              <w:left w:w="100" w:type="dxa"/>
              <w:bottom w:w="100" w:type="dxa"/>
              <w:right w:w="100" w:type="dxa"/>
            </w:tcMar>
          </w:tcPr>
          <w:p w14:paraId="63531F1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2.349</w:t>
            </w:r>
          </w:p>
        </w:tc>
        <w:tc>
          <w:tcPr>
            <w:tcW w:w="1289" w:type="dxa"/>
            <w:shd w:val="clear" w:color="auto" w:fill="auto"/>
            <w:tcMar>
              <w:top w:w="100" w:type="dxa"/>
              <w:left w:w="100" w:type="dxa"/>
              <w:bottom w:w="100" w:type="dxa"/>
              <w:right w:w="100" w:type="dxa"/>
            </w:tcMar>
          </w:tcPr>
          <w:p w14:paraId="06DD9466"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0.152</w:t>
            </w:r>
          </w:p>
        </w:tc>
        <w:tc>
          <w:tcPr>
            <w:tcW w:w="1289" w:type="dxa"/>
            <w:shd w:val="clear" w:color="auto" w:fill="auto"/>
            <w:tcMar>
              <w:top w:w="100" w:type="dxa"/>
              <w:left w:w="100" w:type="dxa"/>
              <w:bottom w:w="100" w:type="dxa"/>
              <w:right w:w="100" w:type="dxa"/>
            </w:tcMar>
          </w:tcPr>
          <w:p w14:paraId="7D92C00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0.135</w:t>
            </w:r>
          </w:p>
        </w:tc>
      </w:tr>
      <w:tr w:rsidR="00487CB5" w14:paraId="37A148D3" w14:textId="77777777">
        <w:tc>
          <w:tcPr>
            <w:tcW w:w="1289" w:type="dxa"/>
            <w:shd w:val="clear" w:color="auto" w:fill="auto"/>
            <w:tcMar>
              <w:top w:w="100" w:type="dxa"/>
              <w:left w:w="100" w:type="dxa"/>
              <w:bottom w:w="100" w:type="dxa"/>
              <w:right w:w="100" w:type="dxa"/>
            </w:tcMar>
          </w:tcPr>
          <w:p w14:paraId="0FBD3A80"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6979ECB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Male</w:t>
            </w:r>
          </w:p>
        </w:tc>
        <w:tc>
          <w:tcPr>
            <w:tcW w:w="1289" w:type="dxa"/>
            <w:shd w:val="clear" w:color="auto" w:fill="auto"/>
            <w:tcMar>
              <w:top w:w="100" w:type="dxa"/>
              <w:left w:w="100" w:type="dxa"/>
              <w:bottom w:w="100" w:type="dxa"/>
              <w:right w:w="100" w:type="dxa"/>
            </w:tcMar>
          </w:tcPr>
          <w:p w14:paraId="057AD30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101</w:t>
            </w:r>
          </w:p>
        </w:tc>
        <w:tc>
          <w:tcPr>
            <w:tcW w:w="1289" w:type="dxa"/>
            <w:shd w:val="clear" w:color="auto" w:fill="auto"/>
            <w:tcMar>
              <w:top w:w="100" w:type="dxa"/>
              <w:left w:w="100" w:type="dxa"/>
              <w:bottom w:w="100" w:type="dxa"/>
              <w:right w:w="100" w:type="dxa"/>
            </w:tcMar>
          </w:tcPr>
          <w:p w14:paraId="53FF071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17.317</w:t>
            </w:r>
          </w:p>
        </w:tc>
        <w:tc>
          <w:tcPr>
            <w:tcW w:w="1289" w:type="dxa"/>
            <w:shd w:val="clear" w:color="auto" w:fill="auto"/>
            <w:tcMar>
              <w:top w:w="100" w:type="dxa"/>
              <w:left w:w="100" w:type="dxa"/>
              <w:bottom w:w="100" w:type="dxa"/>
              <w:right w:w="100" w:type="dxa"/>
            </w:tcMar>
          </w:tcPr>
          <w:p w14:paraId="79BEE83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2.249</w:t>
            </w:r>
          </w:p>
        </w:tc>
        <w:tc>
          <w:tcPr>
            <w:tcW w:w="1289" w:type="dxa"/>
            <w:shd w:val="clear" w:color="auto" w:fill="auto"/>
            <w:tcMar>
              <w:top w:w="100" w:type="dxa"/>
              <w:left w:w="100" w:type="dxa"/>
              <w:bottom w:w="100" w:type="dxa"/>
              <w:right w:w="100" w:type="dxa"/>
            </w:tcMar>
          </w:tcPr>
          <w:p w14:paraId="2BE0A74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0.224</w:t>
            </w:r>
          </w:p>
        </w:tc>
        <w:tc>
          <w:tcPr>
            <w:tcW w:w="1289" w:type="dxa"/>
            <w:shd w:val="clear" w:color="auto" w:fill="auto"/>
            <w:tcMar>
              <w:top w:w="100" w:type="dxa"/>
              <w:left w:w="100" w:type="dxa"/>
              <w:bottom w:w="100" w:type="dxa"/>
              <w:right w:w="100" w:type="dxa"/>
            </w:tcMar>
          </w:tcPr>
          <w:p w14:paraId="647D57E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0.130</w:t>
            </w:r>
          </w:p>
        </w:tc>
      </w:tr>
    </w:tbl>
    <w:p w14:paraId="4173AAAF" w14:textId="77777777" w:rsidR="00487CB5" w:rsidRDefault="00487CB5">
      <w:pPr>
        <w:jc w:val="center"/>
        <w:rPr>
          <w:rFonts w:ascii="Times New Roman" w:eastAsia="Times New Roman" w:hAnsi="Times New Roman" w:cs="Times New Roman"/>
        </w:rPr>
      </w:pPr>
    </w:p>
    <w:p w14:paraId="0D67C1DC"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Mann-Whitney Score = 12314.000, p = 0.765</w:t>
      </w:r>
    </w:p>
    <w:p w14:paraId="6084D6EF" w14:textId="77777777" w:rsidR="00487CB5" w:rsidRDefault="00487CB5">
      <w:pPr>
        <w:rPr>
          <w:rFonts w:ascii="Times New Roman" w:eastAsia="Times New Roman" w:hAnsi="Times New Roman" w:cs="Times New Roman"/>
        </w:rPr>
      </w:pPr>
    </w:p>
    <w:p w14:paraId="633669A3"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5: Descriptive Statistics for “Personal Norms” Scores by Area</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18CBC1DE" w14:textId="77777777">
        <w:tc>
          <w:tcPr>
            <w:tcW w:w="1289" w:type="dxa"/>
            <w:shd w:val="clear" w:color="auto" w:fill="auto"/>
            <w:tcMar>
              <w:top w:w="100" w:type="dxa"/>
              <w:left w:w="100" w:type="dxa"/>
              <w:bottom w:w="100" w:type="dxa"/>
              <w:right w:w="100" w:type="dxa"/>
            </w:tcMar>
          </w:tcPr>
          <w:p w14:paraId="397F71C0"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693B9CE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2F00298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3447174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2655182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298D22DB"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267F015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7163B2B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1C1B1692" w14:textId="77777777">
        <w:tc>
          <w:tcPr>
            <w:tcW w:w="1289" w:type="dxa"/>
            <w:shd w:val="clear" w:color="auto" w:fill="auto"/>
            <w:tcMar>
              <w:top w:w="100" w:type="dxa"/>
              <w:left w:w="100" w:type="dxa"/>
              <w:bottom w:w="100" w:type="dxa"/>
              <w:right w:w="100" w:type="dxa"/>
            </w:tcMar>
          </w:tcPr>
          <w:p w14:paraId="5BD91BB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A</w:t>
            </w:r>
          </w:p>
        </w:tc>
        <w:tc>
          <w:tcPr>
            <w:tcW w:w="1289" w:type="dxa"/>
            <w:shd w:val="clear" w:color="auto" w:fill="auto"/>
            <w:tcMar>
              <w:top w:w="100" w:type="dxa"/>
              <w:left w:w="100" w:type="dxa"/>
              <w:bottom w:w="100" w:type="dxa"/>
              <w:right w:w="100" w:type="dxa"/>
            </w:tcMar>
          </w:tcPr>
          <w:p w14:paraId="330932E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Rural</w:t>
            </w:r>
          </w:p>
        </w:tc>
        <w:tc>
          <w:tcPr>
            <w:tcW w:w="1289" w:type="dxa"/>
            <w:shd w:val="clear" w:color="auto" w:fill="auto"/>
            <w:tcMar>
              <w:top w:w="100" w:type="dxa"/>
              <w:left w:w="100" w:type="dxa"/>
              <w:bottom w:w="100" w:type="dxa"/>
              <w:right w:w="100" w:type="dxa"/>
            </w:tcMar>
          </w:tcPr>
          <w:p w14:paraId="02F3296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42</w:t>
            </w:r>
          </w:p>
        </w:tc>
        <w:tc>
          <w:tcPr>
            <w:tcW w:w="1289" w:type="dxa"/>
            <w:shd w:val="clear" w:color="auto" w:fill="auto"/>
            <w:tcMar>
              <w:top w:w="100" w:type="dxa"/>
              <w:left w:w="100" w:type="dxa"/>
              <w:bottom w:w="100" w:type="dxa"/>
              <w:right w:w="100" w:type="dxa"/>
            </w:tcMar>
          </w:tcPr>
          <w:p w14:paraId="4587371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17.000</w:t>
            </w:r>
          </w:p>
        </w:tc>
        <w:tc>
          <w:tcPr>
            <w:tcW w:w="1289" w:type="dxa"/>
            <w:shd w:val="clear" w:color="auto" w:fill="auto"/>
            <w:tcMar>
              <w:top w:w="100" w:type="dxa"/>
              <w:left w:w="100" w:type="dxa"/>
              <w:bottom w:w="100" w:type="dxa"/>
              <w:right w:w="100" w:type="dxa"/>
            </w:tcMar>
          </w:tcPr>
          <w:p w14:paraId="6F58764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2.802</w:t>
            </w:r>
          </w:p>
        </w:tc>
        <w:tc>
          <w:tcPr>
            <w:tcW w:w="1289" w:type="dxa"/>
            <w:shd w:val="clear" w:color="auto" w:fill="auto"/>
            <w:tcMar>
              <w:top w:w="100" w:type="dxa"/>
              <w:left w:w="100" w:type="dxa"/>
              <w:bottom w:w="100" w:type="dxa"/>
              <w:right w:w="100" w:type="dxa"/>
            </w:tcMar>
          </w:tcPr>
          <w:p w14:paraId="2FBF1A6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0.432</w:t>
            </w:r>
          </w:p>
        </w:tc>
        <w:tc>
          <w:tcPr>
            <w:tcW w:w="1289" w:type="dxa"/>
            <w:shd w:val="clear" w:color="auto" w:fill="auto"/>
            <w:tcMar>
              <w:top w:w="100" w:type="dxa"/>
              <w:left w:w="100" w:type="dxa"/>
              <w:bottom w:w="100" w:type="dxa"/>
              <w:right w:w="100" w:type="dxa"/>
            </w:tcMar>
          </w:tcPr>
          <w:p w14:paraId="51649E5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0.165</w:t>
            </w:r>
          </w:p>
        </w:tc>
      </w:tr>
      <w:tr w:rsidR="00487CB5" w14:paraId="5968A465" w14:textId="77777777">
        <w:tc>
          <w:tcPr>
            <w:tcW w:w="1289" w:type="dxa"/>
            <w:shd w:val="clear" w:color="auto" w:fill="auto"/>
            <w:tcMar>
              <w:top w:w="100" w:type="dxa"/>
              <w:left w:w="100" w:type="dxa"/>
              <w:bottom w:w="100" w:type="dxa"/>
              <w:right w:w="100" w:type="dxa"/>
            </w:tcMar>
          </w:tcPr>
          <w:p w14:paraId="563DA3E6"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15C585A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Urban</w:t>
            </w:r>
          </w:p>
        </w:tc>
        <w:tc>
          <w:tcPr>
            <w:tcW w:w="1289" w:type="dxa"/>
            <w:shd w:val="clear" w:color="auto" w:fill="auto"/>
            <w:tcMar>
              <w:top w:w="100" w:type="dxa"/>
              <w:left w:w="100" w:type="dxa"/>
              <w:bottom w:w="100" w:type="dxa"/>
              <w:right w:w="100" w:type="dxa"/>
            </w:tcMar>
          </w:tcPr>
          <w:p w14:paraId="55A4012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298</w:t>
            </w:r>
          </w:p>
        </w:tc>
        <w:tc>
          <w:tcPr>
            <w:tcW w:w="1289" w:type="dxa"/>
            <w:shd w:val="clear" w:color="auto" w:fill="auto"/>
            <w:tcMar>
              <w:top w:w="100" w:type="dxa"/>
              <w:left w:w="100" w:type="dxa"/>
              <w:bottom w:w="100" w:type="dxa"/>
              <w:right w:w="100" w:type="dxa"/>
            </w:tcMar>
          </w:tcPr>
          <w:p w14:paraId="0FCCE73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17.426</w:t>
            </w:r>
          </w:p>
        </w:tc>
        <w:tc>
          <w:tcPr>
            <w:tcW w:w="1289" w:type="dxa"/>
            <w:shd w:val="clear" w:color="auto" w:fill="auto"/>
            <w:tcMar>
              <w:top w:w="100" w:type="dxa"/>
              <w:left w:w="100" w:type="dxa"/>
              <w:bottom w:w="100" w:type="dxa"/>
              <w:right w:w="100" w:type="dxa"/>
            </w:tcMar>
          </w:tcPr>
          <w:p w14:paraId="42CF361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2.240</w:t>
            </w:r>
          </w:p>
        </w:tc>
        <w:tc>
          <w:tcPr>
            <w:tcW w:w="1289" w:type="dxa"/>
            <w:shd w:val="clear" w:color="auto" w:fill="auto"/>
            <w:tcMar>
              <w:top w:w="100" w:type="dxa"/>
              <w:left w:w="100" w:type="dxa"/>
              <w:bottom w:w="100" w:type="dxa"/>
              <w:right w:w="100" w:type="dxa"/>
            </w:tcMar>
          </w:tcPr>
          <w:p w14:paraId="225A2B8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0.130</w:t>
            </w:r>
          </w:p>
        </w:tc>
        <w:tc>
          <w:tcPr>
            <w:tcW w:w="1289" w:type="dxa"/>
            <w:shd w:val="clear" w:color="auto" w:fill="auto"/>
            <w:tcMar>
              <w:top w:w="100" w:type="dxa"/>
              <w:left w:w="100" w:type="dxa"/>
              <w:bottom w:w="100" w:type="dxa"/>
              <w:right w:w="100" w:type="dxa"/>
            </w:tcMar>
          </w:tcPr>
          <w:p w14:paraId="7843BAF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0.129</w:t>
            </w:r>
          </w:p>
        </w:tc>
      </w:tr>
    </w:tbl>
    <w:p w14:paraId="1E778A8A" w14:textId="77777777" w:rsidR="00487CB5" w:rsidRDefault="00487CB5">
      <w:pPr>
        <w:jc w:val="center"/>
        <w:rPr>
          <w:rFonts w:ascii="Times New Roman" w:eastAsia="Times New Roman" w:hAnsi="Times New Roman" w:cs="Times New Roman"/>
        </w:rPr>
      </w:pPr>
    </w:p>
    <w:p w14:paraId="6B0A8D6C"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Mann-Whitney Score = 5902.000, p = 0.546</w:t>
      </w:r>
    </w:p>
    <w:p w14:paraId="0EE05868" w14:textId="77777777" w:rsidR="00487CB5" w:rsidRDefault="00487CB5">
      <w:pPr>
        <w:rPr>
          <w:rFonts w:ascii="Times New Roman" w:eastAsia="Times New Roman" w:hAnsi="Times New Roman" w:cs="Times New Roman"/>
        </w:rPr>
      </w:pPr>
    </w:p>
    <w:p w14:paraId="4FAC3E1C"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6: Descriptive Statistics for “Alternative Evaluation” Scores by Genders</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7C0C5BD2" w14:textId="77777777">
        <w:tc>
          <w:tcPr>
            <w:tcW w:w="1289" w:type="dxa"/>
            <w:shd w:val="clear" w:color="auto" w:fill="auto"/>
            <w:tcMar>
              <w:top w:w="100" w:type="dxa"/>
              <w:left w:w="100" w:type="dxa"/>
              <w:bottom w:w="100" w:type="dxa"/>
              <w:right w:w="100" w:type="dxa"/>
            </w:tcMar>
          </w:tcPr>
          <w:p w14:paraId="1DD79815"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72F2244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4E66E95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5D13CE3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5BDB9CC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131A54FD"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743B277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1C657A2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33E413DF" w14:textId="77777777">
        <w:tc>
          <w:tcPr>
            <w:tcW w:w="1289" w:type="dxa"/>
            <w:shd w:val="clear" w:color="auto" w:fill="auto"/>
            <w:tcMar>
              <w:top w:w="100" w:type="dxa"/>
              <w:left w:w="100" w:type="dxa"/>
              <w:bottom w:w="100" w:type="dxa"/>
              <w:right w:w="100" w:type="dxa"/>
            </w:tcMar>
          </w:tcPr>
          <w:p w14:paraId="012B7AD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E</w:t>
            </w:r>
          </w:p>
        </w:tc>
        <w:tc>
          <w:tcPr>
            <w:tcW w:w="1289" w:type="dxa"/>
            <w:shd w:val="clear" w:color="auto" w:fill="auto"/>
            <w:tcMar>
              <w:top w:w="100" w:type="dxa"/>
              <w:left w:w="100" w:type="dxa"/>
              <w:bottom w:w="100" w:type="dxa"/>
              <w:right w:w="100" w:type="dxa"/>
            </w:tcMar>
          </w:tcPr>
          <w:p w14:paraId="7C13F47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Female </w:t>
            </w:r>
          </w:p>
        </w:tc>
        <w:tc>
          <w:tcPr>
            <w:tcW w:w="1289" w:type="dxa"/>
            <w:shd w:val="clear" w:color="auto" w:fill="auto"/>
            <w:tcMar>
              <w:top w:w="100" w:type="dxa"/>
              <w:left w:w="100" w:type="dxa"/>
              <w:bottom w:w="100" w:type="dxa"/>
              <w:right w:w="100" w:type="dxa"/>
            </w:tcMar>
          </w:tcPr>
          <w:p w14:paraId="2495CD0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239</w:t>
            </w:r>
          </w:p>
        </w:tc>
        <w:tc>
          <w:tcPr>
            <w:tcW w:w="1289" w:type="dxa"/>
            <w:shd w:val="clear" w:color="auto" w:fill="auto"/>
            <w:tcMar>
              <w:top w:w="100" w:type="dxa"/>
              <w:left w:w="100" w:type="dxa"/>
              <w:bottom w:w="100" w:type="dxa"/>
              <w:right w:w="100" w:type="dxa"/>
            </w:tcMar>
          </w:tcPr>
          <w:p w14:paraId="21E73E1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16.305</w:t>
            </w:r>
          </w:p>
        </w:tc>
        <w:tc>
          <w:tcPr>
            <w:tcW w:w="1289" w:type="dxa"/>
            <w:shd w:val="clear" w:color="auto" w:fill="auto"/>
            <w:tcMar>
              <w:top w:w="100" w:type="dxa"/>
              <w:left w:w="100" w:type="dxa"/>
              <w:bottom w:w="100" w:type="dxa"/>
              <w:right w:w="100" w:type="dxa"/>
            </w:tcMar>
          </w:tcPr>
          <w:p w14:paraId="3F46BDB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2.514</w:t>
            </w:r>
          </w:p>
        </w:tc>
        <w:tc>
          <w:tcPr>
            <w:tcW w:w="1289" w:type="dxa"/>
            <w:shd w:val="clear" w:color="auto" w:fill="auto"/>
            <w:tcMar>
              <w:top w:w="100" w:type="dxa"/>
              <w:left w:w="100" w:type="dxa"/>
              <w:bottom w:w="100" w:type="dxa"/>
              <w:right w:w="100" w:type="dxa"/>
            </w:tcMar>
          </w:tcPr>
          <w:p w14:paraId="17E8235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0.163</w:t>
            </w:r>
          </w:p>
        </w:tc>
        <w:tc>
          <w:tcPr>
            <w:tcW w:w="1289" w:type="dxa"/>
            <w:shd w:val="clear" w:color="auto" w:fill="auto"/>
            <w:tcMar>
              <w:top w:w="100" w:type="dxa"/>
              <w:left w:w="100" w:type="dxa"/>
              <w:bottom w:w="100" w:type="dxa"/>
              <w:right w:w="100" w:type="dxa"/>
            </w:tcMar>
          </w:tcPr>
          <w:p w14:paraId="3FA18E7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0.154</w:t>
            </w:r>
          </w:p>
        </w:tc>
      </w:tr>
      <w:tr w:rsidR="00487CB5" w14:paraId="2D0FE6C1" w14:textId="77777777">
        <w:tc>
          <w:tcPr>
            <w:tcW w:w="1289" w:type="dxa"/>
            <w:shd w:val="clear" w:color="auto" w:fill="auto"/>
            <w:tcMar>
              <w:top w:w="100" w:type="dxa"/>
              <w:left w:w="100" w:type="dxa"/>
              <w:bottom w:w="100" w:type="dxa"/>
              <w:right w:w="100" w:type="dxa"/>
            </w:tcMar>
          </w:tcPr>
          <w:p w14:paraId="4FDB3045"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26D7B43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Male</w:t>
            </w:r>
          </w:p>
        </w:tc>
        <w:tc>
          <w:tcPr>
            <w:tcW w:w="1289" w:type="dxa"/>
            <w:shd w:val="clear" w:color="auto" w:fill="auto"/>
            <w:tcMar>
              <w:top w:w="100" w:type="dxa"/>
              <w:left w:w="100" w:type="dxa"/>
              <w:bottom w:w="100" w:type="dxa"/>
              <w:right w:w="100" w:type="dxa"/>
            </w:tcMar>
          </w:tcPr>
          <w:p w14:paraId="3C2A549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101</w:t>
            </w:r>
          </w:p>
        </w:tc>
        <w:tc>
          <w:tcPr>
            <w:tcW w:w="1289" w:type="dxa"/>
            <w:shd w:val="clear" w:color="auto" w:fill="auto"/>
            <w:tcMar>
              <w:top w:w="100" w:type="dxa"/>
              <w:left w:w="100" w:type="dxa"/>
              <w:bottom w:w="100" w:type="dxa"/>
              <w:right w:w="100" w:type="dxa"/>
            </w:tcMar>
          </w:tcPr>
          <w:p w14:paraId="3EFBE2D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16.188</w:t>
            </w:r>
          </w:p>
        </w:tc>
        <w:tc>
          <w:tcPr>
            <w:tcW w:w="1289" w:type="dxa"/>
            <w:shd w:val="clear" w:color="auto" w:fill="auto"/>
            <w:tcMar>
              <w:top w:w="100" w:type="dxa"/>
              <w:left w:w="100" w:type="dxa"/>
              <w:bottom w:w="100" w:type="dxa"/>
              <w:right w:w="100" w:type="dxa"/>
            </w:tcMar>
          </w:tcPr>
          <w:p w14:paraId="6039747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2.489</w:t>
            </w:r>
          </w:p>
        </w:tc>
        <w:tc>
          <w:tcPr>
            <w:tcW w:w="1289" w:type="dxa"/>
            <w:shd w:val="clear" w:color="auto" w:fill="auto"/>
            <w:tcMar>
              <w:top w:w="100" w:type="dxa"/>
              <w:left w:w="100" w:type="dxa"/>
              <w:bottom w:w="100" w:type="dxa"/>
              <w:right w:w="100" w:type="dxa"/>
            </w:tcMar>
          </w:tcPr>
          <w:p w14:paraId="1735114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0.248</w:t>
            </w:r>
          </w:p>
        </w:tc>
        <w:tc>
          <w:tcPr>
            <w:tcW w:w="1289" w:type="dxa"/>
            <w:shd w:val="clear" w:color="auto" w:fill="auto"/>
            <w:tcMar>
              <w:top w:w="100" w:type="dxa"/>
              <w:left w:w="100" w:type="dxa"/>
              <w:bottom w:w="100" w:type="dxa"/>
              <w:right w:w="100" w:type="dxa"/>
            </w:tcMar>
          </w:tcPr>
          <w:p w14:paraId="69E5B9A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0.154</w:t>
            </w:r>
          </w:p>
        </w:tc>
      </w:tr>
    </w:tbl>
    <w:p w14:paraId="56143E99" w14:textId="77777777" w:rsidR="00487CB5" w:rsidRDefault="00487CB5">
      <w:pPr>
        <w:jc w:val="center"/>
        <w:rPr>
          <w:rFonts w:ascii="Times New Roman" w:eastAsia="Times New Roman" w:hAnsi="Times New Roman" w:cs="Times New Roman"/>
        </w:rPr>
      </w:pPr>
    </w:p>
    <w:p w14:paraId="61B24E2B"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Mann-Whitney Score = 12549.000, p = 0.554</w:t>
      </w:r>
    </w:p>
    <w:p w14:paraId="106DB89E" w14:textId="77777777" w:rsidR="00487CB5" w:rsidRDefault="00487CB5">
      <w:pPr>
        <w:rPr>
          <w:rFonts w:ascii="Times New Roman" w:eastAsia="Times New Roman" w:hAnsi="Times New Roman" w:cs="Times New Roman"/>
        </w:rPr>
      </w:pPr>
    </w:p>
    <w:p w14:paraId="5C503593"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7: Descriptive Statistics for “Alternative Evaluation” Scores by Area</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32E7F522" w14:textId="77777777">
        <w:tc>
          <w:tcPr>
            <w:tcW w:w="1289" w:type="dxa"/>
            <w:shd w:val="clear" w:color="auto" w:fill="auto"/>
            <w:tcMar>
              <w:top w:w="100" w:type="dxa"/>
              <w:left w:w="100" w:type="dxa"/>
              <w:bottom w:w="100" w:type="dxa"/>
              <w:right w:w="100" w:type="dxa"/>
            </w:tcMar>
          </w:tcPr>
          <w:p w14:paraId="0C2440BE"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65D4618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1FAF8F0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2D0FD95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54119C7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42AD8F53"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17603F2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62640A3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06A27E33" w14:textId="77777777">
        <w:tc>
          <w:tcPr>
            <w:tcW w:w="1289" w:type="dxa"/>
            <w:shd w:val="clear" w:color="auto" w:fill="auto"/>
            <w:tcMar>
              <w:top w:w="100" w:type="dxa"/>
              <w:left w:w="100" w:type="dxa"/>
              <w:bottom w:w="100" w:type="dxa"/>
              <w:right w:w="100" w:type="dxa"/>
            </w:tcMar>
          </w:tcPr>
          <w:p w14:paraId="07B3F27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A</w:t>
            </w:r>
          </w:p>
        </w:tc>
        <w:tc>
          <w:tcPr>
            <w:tcW w:w="1289" w:type="dxa"/>
            <w:shd w:val="clear" w:color="auto" w:fill="auto"/>
            <w:tcMar>
              <w:top w:w="100" w:type="dxa"/>
              <w:left w:w="100" w:type="dxa"/>
              <w:bottom w:w="100" w:type="dxa"/>
              <w:right w:w="100" w:type="dxa"/>
            </w:tcMar>
          </w:tcPr>
          <w:p w14:paraId="1D68B1C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Rural</w:t>
            </w:r>
          </w:p>
        </w:tc>
        <w:tc>
          <w:tcPr>
            <w:tcW w:w="1289" w:type="dxa"/>
            <w:shd w:val="clear" w:color="auto" w:fill="auto"/>
            <w:tcMar>
              <w:top w:w="100" w:type="dxa"/>
              <w:left w:w="100" w:type="dxa"/>
              <w:bottom w:w="100" w:type="dxa"/>
              <w:right w:w="100" w:type="dxa"/>
            </w:tcMar>
          </w:tcPr>
          <w:p w14:paraId="5478887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42</w:t>
            </w:r>
          </w:p>
        </w:tc>
        <w:tc>
          <w:tcPr>
            <w:tcW w:w="1289" w:type="dxa"/>
            <w:shd w:val="clear" w:color="auto" w:fill="auto"/>
            <w:tcMar>
              <w:top w:w="100" w:type="dxa"/>
              <w:left w:w="100" w:type="dxa"/>
              <w:bottom w:w="100" w:type="dxa"/>
              <w:right w:w="100" w:type="dxa"/>
            </w:tcMar>
          </w:tcPr>
          <w:p w14:paraId="2F17218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15.714</w:t>
            </w:r>
          </w:p>
        </w:tc>
        <w:tc>
          <w:tcPr>
            <w:tcW w:w="1289" w:type="dxa"/>
            <w:shd w:val="clear" w:color="auto" w:fill="auto"/>
            <w:tcMar>
              <w:top w:w="100" w:type="dxa"/>
              <w:left w:w="100" w:type="dxa"/>
              <w:bottom w:w="100" w:type="dxa"/>
              <w:right w:w="100" w:type="dxa"/>
            </w:tcMar>
          </w:tcPr>
          <w:p w14:paraId="256E270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2.916</w:t>
            </w:r>
          </w:p>
        </w:tc>
        <w:tc>
          <w:tcPr>
            <w:tcW w:w="1289" w:type="dxa"/>
            <w:shd w:val="clear" w:color="auto" w:fill="auto"/>
            <w:tcMar>
              <w:top w:w="100" w:type="dxa"/>
              <w:left w:w="100" w:type="dxa"/>
              <w:bottom w:w="100" w:type="dxa"/>
              <w:right w:w="100" w:type="dxa"/>
            </w:tcMar>
          </w:tcPr>
          <w:p w14:paraId="0DDB784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0.450</w:t>
            </w:r>
          </w:p>
        </w:tc>
        <w:tc>
          <w:tcPr>
            <w:tcW w:w="1289" w:type="dxa"/>
            <w:shd w:val="clear" w:color="auto" w:fill="auto"/>
            <w:tcMar>
              <w:top w:w="100" w:type="dxa"/>
              <w:left w:w="100" w:type="dxa"/>
              <w:bottom w:w="100" w:type="dxa"/>
              <w:right w:w="100" w:type="dxa"/>
            </w:tcMar>
          </w:tcPr>
          <w:p w14:paraId="37A3167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0.186</w:t>
            </w:r>
          </w:p>
        </w:tc>
      </w:tr>
      <w:tr w:rsidR="00487CB5" w14:paraId="79CF227B" w14:textId="77777777">
        <w:tc>
          <w:tcPr>
            <w:tcW w:w="1289" w:type="dxa"/>
            <w:shd w:val="clear" w:color="auto" w:fill="auto"/>
            <w:tcMar>
              <w:top w:w="100" w:type="dxa"/>
              <w:left w:w="100" w:type="dxa"/>
              <w:bottom w:w="100" w:type="dxa"/>
              <w:right w:w="100" w:type="dxa"/>
            </w:tcMar>
          </w:tcPr>
          <w:p w14:paraId="22D01444"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23A62ED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Urban</w:t>
            </w:r>
          </w:p>
        </w:tc>
        <w:tc>
          <w:tcPr>
            <w:tcW w:w="1289" w:type="dxa"/>
            <w:shd w:val="clear" w:color="auto" w:fill="auto"/>
            <w:tcMar>
              <w:top w:w="100" w:type="dxa"/>
              <w:left w:w="100" w:type="dxa"/>
              <w:bottom w:w="100" w:type="dxa"/>
              <w:right w:w="100" w:type="dxa"/>
            </w:tcMar>
          </w:tcPr>
          <w:p w14:paraId="396012E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298</w:t>
            </w:r>
          </w:p>
        </w:tc>
        <w:tc>
          <w:tcPr>
            <w:tcW w:w="1289" w:type="dxa"/>
            <w:shd w:val="clear" w:color="auto" w:fill="auto"/>
            <w:tcMar>
              <w:top w:w="100" w:type="dxa"/>
              <w:left w:w="100" w:type="dxa"/>
              <w:bottom w:w="100" w:type="dxa"/>
              <w:right w:w="100" w:type="dxa"/>
            </w:tcMar>
          </w:tcPr>
          <w:p w14:paraId="35C0DF4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16.349</w:t>
            </w:r>
          </w:p>
        </w:tc>
        <w:tc>
          <w:tcPr>
            <w:tcW w:w="1289" w:type="dxa"/>
            <w:shd w:val="clear" w:color="auto" w:fill="auto"/>
            <w:tcMar>
              <w:top w:w="100" w:type="dxa"/>
              <w:left w:w="100" w:type="dxa"/>
              <w:bottom w:w="100" w:type="dxa"/>
              <w:right w:w="100" w:type="dxa"/>
            </w:tcMar>
          </w:tcPr>
          <w:p w14:paraId="4341D68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2.436</w:t>
            </w:r>
          </w:p>
        </w:tc>
        <w:tc>
          <w:tcPr>
            <w:tcW w:w="1289" w:type="dxa"/>
            <w:shd w:val="clear" w:color="auto" w:fill="auto"/>
            <w:tcMar>
              <w:top w:w="100" w:type="dxa"/>
              <w:left w:w="100" w:type="dxa"/>
              <w:bottom w:w="100" w:type="dxa"/>
              <w:right w:w="100" w:type="dxa"/>
            </w:tcMar>
          </w:tcPr>
          <w:p w14:paraId="4FD07E1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0.141</w:t>
            </w:r>
          </w:p>
        </w:tc>
        <w:tc>
          <w:tcPr>
            <w:tcW w:w="1289" w:type="dxa"/>
            <w:shd w:val="clear" w:color="auto" w:fill="auto"/>
            <w:tcMar>
              <w:top w:w="100" w:type="dxa"/>
              <w:left w:w="100" w:type="dxa"/>
              <w:bottom w:w="100" w:type="dxa"/>
              <w:right w:w="100" w:type="dxa"/>
            </w:tcMar>
          </w:tcPr>
          <w:p w14:paraId="0C82324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0.149</w:t>
            </w:r>
          </w:p>
        </w:tc>
      </w:tr>
    </w:tbl>
    <w:p w14:paraId="1A6AC957" w14:textId="77777777" w:rsidR="00487CB5" w:rsidRDefault="00487CB5">
      <w:pPr>
        <w:jc w:val="center"/>
        <w:rPr>
          <w:rFonts w:ascii="Times New Roman" w:eastAsia="Times New Roman" w:hAnsi="Times New Roman" w:cs="Times New Roman"/>
        </w:rPr>
      </w:pPr>
    </w:p>
    <w:p w14:paraId="0DBABD70"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lastRenderedPageBreak/>
        <w:t>Mann-Whitney Score = 5268.000, p = 0.089</w:t>
      </w:r>
    </w:p>
    <w:p w14:paraId="50023951"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8: Descriptive Statistics for “Consumer Scepticism” Scores by Genders</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557DC44F" w14:textId="77777777">
        <w:tc>
          <w:tcPr>
            <w:tcW w:w="1289" w:type="dxa"/>
            <w:shd w:val="clear" w:color="auto" w:fill="auto"/>
            <w:tcMar>
              <w:top w:w="100" w:type="dxa"/>
              <w:left w:w="100" w:type="dxa"/>
              <w:bottom w:w="100" w:type="dxa"/>
              <w:right w:w="100" w:type="dxa"/>
            </w:tcMar>
          </w:tcPr>
          <w:p w14:paraId="005DCB25"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2947017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240F0BF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704AE8A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04CB69E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0AAA1DFB"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3B4CEAF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10DEFC3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0C714C93" w14:textId="77777777">
        <w:tc>
          <w:tcPr>
            <w:tcW w:w="1289" w:type="dxa"/>
            <w:shd w:val="clear" w:color="auto" w:fill="auto"/>
            <w:tcMar>
              <w:top w:w="100" w:type="dxa"/>
              <w:left w:w="100" w:type="dxa"/>
              <w:bottom w:w="100" w:type="dxa"/>
              <w:right w:w="100" w:type="dxa"/>
            </w:tcMar>
          </w:tcPr>
          <w:p w14:paraId="54E0E2B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E</w:t>
            </w:r>
          </w:p>
        </w:tc>
        <w:tc>
          <w:tcPr>
            <w:tcW w:w="1289" w:type="dxa"/>
            <w:shd w:val="clear" w:color="auto" w:fill="auto"/>
            <w:tcMar>
              <w:top w:w="100" w:type="dxa"/>
              <w:left w:w="100" w:type="dxa"/>
              <w:bottom w:w="100" w:type="dxa"/>
              <w:right w:w="100" w:type="dxa"/>
            </w:tcMar>
          </w:tcPr>
          <w:p w14:paraId="526756E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Female </w:t>
            </w:r>
          </w:p>
        </w:tc>
        <w:tc>
          <w:tcPr>
            <w:tcW w:w="1289" w:type="dxa"/>
            <w:shd w:val="clear" w:color="auto" w:fill="auto"/>
            <w:tcMar>
              <w:top w:w="100" w:type="dxa"/>
              <w:left w:w="100" w:type="dxa"/>
              <w:bottom w:w="100" w:type="dxa"/>
              <w:right w:w="100" w:type="dxa"/>
            </w:tcMar>
          </w:tcPr>
          <w:p w14:paraId="617DF1D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239</w:t>
            </w:r>
          </w:p>
        </w:tc>
        <w:tc>
          <w:tcPr>
            <w:tcW w:w="1289" w:type="dxa"/>
            <w:shd w:val="clear" w:color="auto" w:fill="auto"/>
            <w:tcMar>
              <w:top w:w="100" w:type="dxa"/>
              <w:left w:w="100" w:type="dxa"/>
              <w:bottom w:w="100" w:type="dxa"/>
              <w:right w:w="100" w:type="dxa"/>
            </w:tcMar>
          </w:tcPr>
          <w:p w14:paraId="37B3FD6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22.335</w:t>
            </w:r>
          </w:p>
        </w:tc>
        <w:tc>
          <w:tcPr>
            <w:tcW w:w="1289" w:type="dxa"/>
            <w:shd w:val="clear" w:color="auto" w:fill="auto"/>
            <w:tcMar>
              <w:top w:w="100" w:type="dxa"/>
              <w:left w:w="100" w:type="dxa"/>
              <w:bottom w:w="100" w:type="dxa"/>
              <w:right w:w="100" w:type="dxa"/>
            </w:tcMar>
          </w:tcPr>
          <w:p w14:paraId="0F0E388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3.741</w:t>
            </w:r>
          </w:p>
        </w:tc>
        <w:tc>
          <w:tcPr>
            <w:tcW w:w="1289" w:type="dxa"/>
            <w:shd w:val="clear" w:color="auto" w:fill="auto"/>
            <w:tcMar>
              <w:top w:w="100" w:type="dxa"/>
              <w:left w:w="100" w:type="dxa"/>
              <w:bottom w:w="100" w:type="dxa"/>
              <w:right w:w="100" w:type="dxa"/>
            </w:tcMar>
          </w:tcPr>
          <w:p w14:paraId="2F9A9B0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0.242</w:t>
            </w:r>
          </w:p>
        </w:tc>
        <w:tc>
          <w:tcPr>
            <w:tcW w:w="1289" w:type="dxa"/>
            <w:shd w:val="clear" w:color="auto" w:fill="auto"/>
            <w:tcMar>
              <w:top w:w="100" w:type="dxa"/>
              <w:left w:w="100" w:type="dxa"/>
              <w:bottom w:w="100" w:type="dxa"/>
              <w:right w:w="100" w:type="dxa"/>
            </w:tcMar>
          </w:tcPr>
          <w:p w14:paraId="5939760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0.168</w:t>
            </w:r>
          </w:p>
        </w:tc>
      </w:tr>
      <w:tr w:rsidR="00487CB5" w14:paraId="47E92524" w14:textId="77777777">
        <w:tc>
          <w:tcPr>
            <w:tcW w:w="1289" w:type="dxa"/>
            <w:shd w:val="clear" w:color="auto" w:fill="auto"/>
            <w:tcMar>
              <w:top w:w="100" w:type="dxa"/>
              <w:left w:w="100" w:type="dxa"/>
              <w:bottom w:w="100" w:type="dxa"/>
              <w:right w:w="100" w:type="dxa"/>
            </w:tcMar>
          </w:tcPr>
          <w:p w14:paraId="71936410"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3E72B0A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Male</w:t>
            </w:r>
          </w:p>
        </w:tc>
        <w:tc>
          <w:tcPr>
            <w:tcW w:w="1289" w:type="dxa"/>
            <w:shd w:val="clear" w:color="auto" w:fill="auto"/>
            <w:tcMar>
              <w:top w:w="100" w:type="dxa"/>
              <w:left w:w="100" w:type="dxa"/>
              <w:bottom w:w="100" w:type="dxa"/>
              <w:right w:w="100" w:type="dxa"/>
            </w:tcMar>
          </w:tcPr>
          <w:p w14:paraId="50EFAD7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101</w:t>
            </w:r>
          </w:p>
        </w:tc>
        <w:tc>
          <w:tcPr>
            <w:tcW w:w="1289" w:type="dxa"/>
            <w:shd w:val="clear" w:color="auto" w:fill="auto"/>
            <w:tcMar>
              <w:top w:w="100" w:type="dxa"/>
              <w:left w:w="100" w:type="dxa"/>
              <w:bottom w:w="100" w:type="dxa"/>
              <w:right w:w="100" w:type="dxa"/>
            </w:tcMar>
          </w:tcPr>
          <w:p w14:paraId="15DD996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22.020</w:t>
            </w:r>
          </w:p>
        </w:tc>
        <w:tc>
          <w:tcPr>
            <w:tcW w:w="1289" w:type="dxa"/>
            <w:shd w:val="clear" w:color="auto" w:fill="auto"/>
            <w:tcMar>
              <w:top w:w="100" w:type="dxa"/>
              <w:left w:w="100" w:type="dxa"/>
              <w:bottom w:w="100" w:type="dxa"/>
              <w:right w:w="100" w:type="dxa"/>
            </w:tcMar>
          </w:tcPr>
          <w:p w14:paraId="7153A81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3.709</w:t>
            </w:r>
          </w:p>
        </w:tc>
        <w:tc>
          <w:tcPr>
            <w:tcW w:w="1289" w:type="dxa"/>
            <w:shd w:val="clear" w:color="auto" w:fill="auto"/>
            <w:tcMar>
              <w:top w:w="100" w:type="dxa"/>
              <w:left w:w="100" w:type="dxa"/>
              <w:bottom w:w="100" w:type="dxa"/>
              <w:right w:w="100" w:type="dxa"/>
            </w:tcMar>
          </w:tcPr>
          <w:p w14:paraId="31653F3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0.369</w:t>
            </w:r>
          </w:p>
        </w:tc>
        <w:tc>
          <w:tcPr>
            <w:tcW w:w="1289" w:type="dxa"/>
            <w:shd w:val="clear" w:color="auto" w:fill="auto"/>
            <w:tcMar>
              <w:top w:w="100" w:type="dxa"/>
              <w:left w:w="100" w:type="dxa"/>
              <w:bottom w:w="100" w:type="dxa"/>
              <w:right w:w="100" w:type="dxa"/>
            </w:tcMar>
          </w:tcPr>
          <w:p w14:paraId="14381E2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0.168</w:t>
            </w:r>
          </w:p>
        </w:tc>
      </w:tr>
    </w:tbl>
    <w:p w14:paraId="5642BCA7" w14:textId="77777777" w:rsidR="00487CB5" w:rsidRDefault="00487CB5">
      <w:pPr>
        <w:jc w:val="center"/>
        <w:rPr>
          <w:rFonts w:ascii="Times New Roman" w:eastAsia="Times New Roman" w:hAnsi="Times New Roman" w:cs="Times New Roman"/>
        </w:rPr>
      </w:pPr>
    </w:p>
    <w:p w14:paraId="594C460E"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Mann-Whitney Score = 12831.000, p = 0.355</w:t>
      </w:r>
    </w:p>
    <w:p w14:paraId="5E287CCC" w14:textId="77777777" w:rsidR="00487CB5" w:rsidRDefault="00487CB5">
      <w:pPr>
        <w:rPr>
          <w:rFonts w:ascii="Times New Roman" w:eastAsia="Times New Roman" w:hAnsi="Times New Roman" w:cs="Times New Roman"/>
        </w:rPr>
      </w:pPr>
    </w:p>
    <w:p w14:paraId="524885A9"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9: Descriptive Statistics for “Consumer Scepticism” Scores by Area</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306B9F9C" w14:textId="77777777">
        <w:tc>
          <w:tcPr>
            <w:tcW w:w="1289" w:type="dxa"/>
            <w:shd w:val="clear" w:color="auto" w:fill="auto"/>
            <w:tcMar>
              <w:top w:w="100" w:type="dxa"/>
              <w:left w:w="100" w:type="dxa"/>
              <w:bottom w:w="100" w:type="dxa"/>
              <w:right w:w="100" w:type="dxa"/>
            </w:tcMar>
          </w:tcPr>
          <w:p w14:paraId="433C7F48"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02EBD3A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2C23C07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729AF59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3DCD5FD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0AE3038B"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420B9AB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523AAF8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2A57F6FD" w14:textId="77777777">
        <w:tc>
          <w:tcPr>
            <w:tcW w:w="1289" w:type="dxa"/>
            <w:shd w:val="clear" w:color="auto" w:fill="auto"/>
            <w:tcMar>
              <w:top w:w="100" w:type="dxa"/>
              <w:left w:w="100" w:type="dxa"/>
              <w:bottom w:w="100" w:type="dxa"/>
              <w:right w:w="100" w:type="dxa"/>
            </w:tcMar>
          </w:tcPr>
          <w:p w14:paraId="2BD702E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A</w:t>
            </w:r>
          </w:p>
        </w:tc>
        <w:tc>
          <w:tcPr>
            <w:tcW w:w="1289" w:type="dxa"/>
            <w:shd w:val="clear" w:color="auto" w:fill="auto"/>
            <w:tcMar>
              <w:top w:w="100" w:type="dxa"/>
              <w:left w:w="100" w:type="dxa"/>
              <w:bottom w:w="100" w:type="dxa"/>
              <w:right w:w="100" w:type="dxa"/>
            </w:tcMar>
          </w:tcPr>
          <w:p w14:paraId="729752F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Rural</w:t>
            </w:r>
          </w:p>
        </w:tc>
        <w:tc>
          <w:tcPr>
            <w:tcW w:w="1289" w:type="dxa"/>
            <w:shd w:val="clear" w:color="auto" w:fill="auto"/>
            <w:tcMar>
              <w:top w:w="100" w:type="dxa"/>
              <w:left w:w="100" w:type="dxa"/>
              <w:bottom w:w="100" w:type="dxa"/>
              <w:right w:w="100" w:type="dxa"/>
            </w:tcMar>
          </w:tcPr>
          <w:p w14:paraId="325617D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42</w:t>
            </w:r>
          </w:p>
        </w:tc>
        <w:tc>
          <w:tcPr>
            <w:tcW w:w="1289" w:type="dxa"/>
            <w:shd w:val="clear" w:color="auto" w:fill="auto"/>
            <w:tcMar>
              <w:top w:w="100" w:type="dxa"/>
              <w:left w:w="100" w:type="dxa"/>
              <w:bottom w:w="100" w:type="dxa"/>
              <w:right w:w="100" w:type="dxa"/>
            </w:tcMar>
          </w:tcPr>
          <w:p w14:paraId="2BDE15D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22.190</w:t>
            </w:r>
          </w:p>
        </w:tc>
        <w:tc>
          <w:tcPr>
            <w:tcW w:w="1289" w:type="dxa"/>
            <w:shd w:val="clear" w:color="auto" w:fill="auto"/>
            <w:tcMar>
              <w:top w:w="100" w:type="dxa"/>
              <w:left w:w="100" w:type="dxa"/>
              <w:bottom w:w="100" w:type="dxa"/>
              <w:right w:w="100" w:type="dxa"/>
            </w:tcMar>
          </w:tcPr>
          <w:p w14:paraId="01F86E1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3.664</w:t>
            </w:r>
          </w:p>
        </w:tc>
        <w:tc>
          <w:tcPr>
            <w:tcW w:w="1289" w:type="dxa"/>
            <w:shd w:val="clear" w:color="auto" w:fill="auto"/>
            <w:tcMar>
              <w:top w:w="100" w:type="dxa"/>
              <w:left w:w="100" w:type="dxa"/>
              <w:bottom w:w="100" w:type="dxa"/>
              <w:right w:w="100" w:type="dxa"/>
            </w:tcMar>
          </w:tcPr>
          <w:p w14:paraId="32A4167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0.565</w:t>
            </w:r>
          </w:p>
        </w:tc>
        <w:tc>
          <w:tcPr>
            <w:tcW w:w="1289" w:type="dxa"/>
            <w:shd w:val="clear" w:color="auto" w:fill="auto"/>
            <w:tcMar>
              <w:top w:w="100" w:type="dxa"/>
              <w:left w:w="100" w:type="dxa"/>
              <w:bottom w:w="100" w:type="dxa"/>
              <w:right w:w="100" w:type="dxa"/>
            </w:tcMar>
          </w:tcPr>
          <w:p w14:paraId="5BFD955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0.165</w:t>
            </w:r>
          </w:p>
        </w:tc>
      </w:tr>
      <w:tr w:rsidR="00487CB5" w14:paraId="5112D9BB" w14:textId="77777777">
        <w:tc>
          <w:tcPr>
            <w:tcW w:w="1289" w:type="dxa"/>
            <w:shd w:val="clear" w:color="auto" w:fill="auto"/>
            <w:tcMar>
              <w:top w:w="100" w:type="dxa"/>
              <w:left w:w="100" w:type="dxa"/>
              <w:bottom w:w="100" w:type="dxa"/>
              <w:right w:w="100" w:type="dxa"/>
            </w:tcMar>
          </w:tcPr>
          <w:p w14:paraId="0BAB1876"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3DD6247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Urban</w:t>
            </w:r>
          </w:p>
        </w:tc>
        <w:tc>
          <w:tcPr>
            <w:tcW w:w="1289" w:type="dxa"/>
            <w:shd w:val="clear" w:color="auto" w:fill="auto"/>
            <w:tcMar>
              <w:top w:w="100" w:type="dxa"/>
              <w:left w:w="100" w:type="dxa"/>
              <w:bottom w:w="100" w:type="dxa"/>
              <w:right w:w="100" w:type="dxa"/>
            </w:tcMar>
          </w:tcPr>
          <w:p w14:paraId="5B41822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298</w:t>
            </w:r>
          </w:p>
        </w:tc>
        <w:tc>
          <w:tcPr>
            <w:tcW w:w="1289" w:type="dxa"/>
            <w:shd w:val="clear" w:color="auto" w:fill="auto"/>
            <w:tcMar>
              <w:top w:w="100" w:type="dxa"/>
              <w:left w:w="100" w:type="dxa"/>
              <w:bottom w:w="100" w:type="dxa"/>
              <w:right w:w="100" w:type="dxa"/>
            </w:tcMar>
          </w:tcPr>
          <w:p w14:paraId="7B2C0B3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22.248</w:t>
            </w:r>
          </w:p>
        </w:tc>
        <w:tc>
          <w:tcPr>
            <w:tcW w:w="1289" w:type="dxa"/>
            <w:shd w:val="clear" w:color="auto" w:fill="auto"/>
            <w:tcMar>
              <w:top w:w="100" w:type="dxa"/>
              <w:left w:w="100" w:type="dxa"/>
              <w:bottom w:w="100" w:type="dxa"/>
              <w:right w:w="100" w:type="dxa"/>
            </w:tcMar>
          </w:tcPr>
          <w:p w14:paraId="63B6CAB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3.744</w:t>
            </w:r>
          </w:p>
        </w:tc>
        <w:tc>
          <w:tcPr>
            <w:tcW w:w="1289" w:type="dxa"/>
            <w:shd w:val="clear" w:color="auto" w:fill="auto"/>
            <w:tcMar>
              <w:top w:w="100" w:type="dxa"/>
              <w:left w:w="100" w:type="dxa"/>
              <w:bottom w:w="100" w:type="dxa"/>
              <w:right w:w="100" w:type="dxa"/>
            </w:tcMar>
          </w:tcPr>
          <w:p w14:paraId="768ACB6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0.217</w:t>
            </w:r>
          </w:p>
        </w:tc>
        <w:tc>
          <w:tcPr>
            <w:tcW w:w="1289" w:type="dxa"/>
            <w:shd w:val="clear" w:color="auto" w:fill="auto"/>
            <w:tcMar>
              <w:top w:w="100" w:type="dxa"/>
              <w:left w:w="100" w:type="dxa"/>
              <w:bottom w:w="100" w:type="dxa"/>
              <w:right w:w="100" w:type="dxa"/>
            </w:tcMar>
          </w:tcPr>
          <w:p w14:paraId="45AB20B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0.168</w:t>
            </w:r>
          </w:p>
        </w:tc>
      </w:tr>
    </w:tbl>
    <w:p w14:paraId="5B37BF30" w14:textId="77777777" w:rsidR="00487CB5" w:rsidRDefault="00487CB5">
      <w:pPr>
        <w:jc w:val="center"/>
        <w:rPr>
          <w:rFonts w:ascii="Times New Roman" w:eastAsia="Times New Roman" w:hAnsi="Times New Roman" w:cs="Times New Roman"/>
        </w:rPr>
      </w:pPr>
    </w:p>
    <w:p w14:paraId="04AE6FA1"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 xml:space="preserve"> p = 0.925</w:t>
      </w:r>
    </w:p>
    <w:p w14:paraId="32FD2923" w14:textId="77777777" w:rsidR="00487CB5" w:rsidRDefault="00487CB5">
      <w:pPr>
        <w:rPr>
          <w:rFonts w:ascii="Times New Roman" w:eastAsia="Times New Roman" w:hAnsi="Times New Roman" w:cs="Times New Roman"/>
        </w:rPr>
      </w:pPr>
    </w:p>
    <w:p w14:paraId="351FFFA7"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sz w:val="24"/>
          <w:szCs w:val="24"/>
        </w:rPr>
        <w:t>Anova</w:t>
      </w:r>
    </w:p>
    <w:p w14:paraId="279F7EA3" w14:textId="77777777" w:rsidR="00487CB5" w:rsidRDefault="00487CB5">
      <w:pPr>
        <w:rPr>
          <w:rFonts w:ascii="Times New Roman" w:eastAsia="Times New Roman" w:hAnsi="Times New Roman" w:cs="Times New Roman"/>
        </w:rPr>
      </w:pPr>
    </w:p>
    <w:p w14:paraId="2CCA0C4E"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10: Descriptive Statistics for “Personal Norms” Scores by people in different income groups</w:t>
      </w:r>
    </w:p>
    <w:tbl>
      <w:tblPr>
        <w:tblStyle w:val="a8"/>
        <w:tblW w:w="9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260"/>
        <w:gridCol w:w="1500"/>
        <w:gridCol w:w="1500"/>
        <w:gridCol w:w="1500"/>
        <w:gridCol w:w="1665"/>
      </w:tblGrid>
      <w:tr w:rsidR="00487CB5" w14:paraId="36EDD053" w14:textId="77777777">
        <w:tc>
          <w:tcPr>
            <w:tcW w:w="1740" w:type="dxa"/>
            <w:shd w:val="clear" w:color="auto" w:fill="auto"/>
            <w:tcMar>
              <w:top w:w="100" w:type="dxa"/>
              <w:left w:w="100" w:type="dxa"/>
              <w:bottom w:w="100" w:type="dxa"/>
              <w:right w:w="100" w:type="dxa"/>
            </w:tcMar>
          </w:tcPr>
          <w:p w14:paraId="5E46E50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Family Income</w:t>
            </w:r>
          </w:p>
        </w:tc>
        <w:tc>
          <w:tcPr>
            <w:tcW w:w="1260" w:type="dxa"/>
            <w:shd w:val="clear" w:color="auto" w:fill="auto"/>
            <w:tcMar>
              <w:top w:w="100" w:type="dxa"/>
              <w:left w:w="100" w:type="dxa"/>
              <w:bottom w:w="100" w:type="dxa"/>
              <w:right w:w="100" w:type="dxa"/>
            </w:tcMar>
          </w:tcPr>
          <w:p w14:paraId="60CDFFF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N</w:t>
            </w:r>
          </w:p>
        </w:tc>
        <w:tc>
          <w:tcPr>
            <w:tcW w:w="1500" w:type="dxa"/>
            <w:shd w:val="clear" w:color="auto" w:fill="auto"/>
            <w:tcMar>
              <w:top w:w="100" w:type="dxa"/>
              <w:left w:w="100" w:type="dxa"/>
              <w:bottom w:w="100" w:type="dxa"/>
              <w:right w:w="100" w:type="dxa"/>
            </w:tcMar>
          </w:tcPr>
          <w:p w14:paraId="59E14AD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Mean </w:t>
            </w:r>
          </w:p>
        </w:tc>
        <w:tc>
          <w:tcPr>
            <w:tcW w:w="1500" w:type="dxa"/>
            <w:shd w:val="clear" w:color="auto" w:fill="auto"/>
            <w:tcMar>
              <w:top w:w="100" w:type="dxa"/>
              <w:left w:w="100" w:type="dxa"/>
              <w:bottom w:w="100" w:type="dxa"/>
              <w:right w:w="100" w:type="dxa"/>
            </w:tcMar>
          </w:tcPr>
          <w:p w14:paraId="33012F70"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SD</w:t>
            </w:r>
          </w:p>
        </w:tc>
        <w:tc>
          <w:tcPr>
            <w:tcW w:w="1500" w:type="dxa"/>
            <w:shd w:val="clear" w:color="auto" w:fill="auto"/>
            <w:tcMar>
              <w:top w:w="100" w:type="dxa"/>
              <w:left w:w="100" w:type="dxa"/>
              <w:bottom w:w="100" w:type="dxa"/>
              <w:right w:w="100" w:type="dxa"/>
            </w:tcMar>
          </w:tcPr>
          <w:p w14:paraId="4F85B5E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SE</w:t>
            </w:r>
          </w:p>
        </w:tc>
        <w:tc>
          <w:tcPr>
            <w:tcW w:w="1665" w:type="dxa"/>
            <w:shd w:val="clear" w:color="auto" w:fill="auto"/>
            <w:tcMar>
              <w:top w:w="100" w:type="dxa"/>
              <w:left w:w="100" w:type="dxa"/>
              <w:bottom w:w="100" w:type="dxa"/>
              <w:right w:w="100" w:type="dxa"/>
            </w:tcMar>
          </w:tcPr>
          <w:p w14:paraId="57A02D1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1A881DF9" w14:textId="77777777">
        <w:tc>
          <w:tcPr>
            <w:tcW w:w="1740" w:type="dxa"/>
            <w:shd w:val="clear" w:color="auto" w:fill="auto"/>
            <w:tcMar>
              <w:top w:w="100" w:type="dxa"/>
              <w:left w:w="100" w:type="dxa"/>
              <w:bottom w:w="100" w:type="dxa"/>
              <w:right w:w="100" w:type="dxa"/>
            </w:tcMar>
          </w:tcPr>
          <w:p w14:paraId="5C5DD040"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260" w:type="dxa"/>
            <w:shd w:val="clear" w:color="auto" w:fill="auto"/>
            <w:tcMar>
              <w:top w:w="100" w:type="dxa"/>
              <w:left w:w="100" w:type="dxa"/>
              <w:bottom w:w="100" w:type="dxa"/>
              <w:right w:w="100" w:type="dxa"/>
            </w:tcMar>
          </w:tcPr>
          <w:p w14:paraId="160B07C3"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40357585"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5DEA3333"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7CBB1B18"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665" w:type="dxa"/>
            <w:shd w:val="clear" w:color="auto" w:fill="auto"/>
            <w:tcMar>
              <w:top w:w="100" w:type="dxa"/>
              <w:left w:w="100" w:type="dxa"/>
              <w:bottom w:w="100" w:type="dxa"/>
              <w:right w:w="100" w:type="dxa"/>
            </w:tcMar>
          </w:tcPr>
          <w:p w14:paraId="310B5351"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r>
      <w:tr w:rsidR="00487CB5" w14:paraId="75CB1CC1" w14:textId="77777777">
        <w:tc>
          <w:tcPr>
            <w:tcW w:w="1740" w:type="dxa"/>
            <w:shd w:val="clear" w:color="auto" w:fill="auto"/>
            <w:tcMar>
              <w:top w:w="100" w:type="dxa"/>
              <w:left w:w="100" w:type="dxa"/>
              <w:bottom w:w="100" w:type="dxa"/>
              <w:right w:w="100" w:type="dxa"/>
            </w:tcMar>
          </w:tcPr>
          <w:p w14:paraId="72F2A13C"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3 - 8 Lakhs</w:t>
            </w:r>
          </w:p>
        </w:tc>
        <w:tc>
          <w:tcPr>
            <w:tcW w:w="1260" w:type="dxa"/>
            <w:shd w:val="clear" w:color="auto" w:fill="auto"/>
            <w:tcMar>
              <w:top w:w="100" w:type="dxa"/>
              <w:left w:w="100" w:type="dxa"/>
              <w:bottom w:w="100" w:type="dxa"/>
              <w:right w:w="100" w:type="dxa"/>
            </w:tcMar>
          </w:tcPr>
          <w:p w14:paraId="61207B7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105</w:t>
            </w:r>
          </w:p>
        </w:tc>
        <w:tc>
          <w:tcPr>
            <w:tcW w:w="1500" w:type="dxa"/>
            <w:shd w:val="clear" w:color="auto" w:fill="auto"/>
            <w:tcMar>
              <w:top w:w="100" w:type="dxa"/>
              <w:left w:w="100" w:type="dxa"/>
              <w:bottom w:w="100" w:type="dxa"/>
              <w:right w:w="100" w:type="dxa"/>
            </w:tcMar>
          </w:tcPr>
          <w:p w14:paraId="362CBFF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17.248</w:t>
            </w:r>
          </w:p>
        </w:tc>
        <w:tc>
          <w:tcPr>
            <w:tcW w:w="1500" w:type="dxa"/>
            <w:shd w:val="clear" w:color="auto" w:fill="auto"/>
            <w:tcMar>
              <w:top w:w="100" w:type="dxa"/>
              <w:left w:w="100" w:type="dxa"/>
              <w:bottom w:w="100" w:type="dxa"/>
              <w:right w:w="100" w:type="dxa"/>
            </w:tcMar>
          </w:tcPr>
          <w:p w14:paraId="6DCD7B16"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2.409</w:t>
            </w:r>
          </w:p>
        </w:tc>
        <w:tc>
          <w:tcPr>
            <w:tcW w:w="1500" w:type="dxa"/>
            <w:shd w:val="clear" w:color="auto" w:fill="auto"/>
            <w:tcMar>
              <w:top w:w="100" w:type="dxa"/>
              <w:left w:w="100" w:type="dxa"/>
              <w:bottom w:w="100" w:type="dxa"/>
              <w:right w:w="100" w:type="dxa"/>
            </w:tcMar>
          </w:tcPr>
          <w:p w14:paraId="7EF7EDB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0.235</w:t>
            </w:r>
          </w:p>
        </w:tc>
        <w:tc>
          <w:tcPr>
            <w:tcW w:w="1665" w:type="dxa"/>
            <w:shd w:val="clear" w:color="auto" w:fill="auto"/>
            <w:tcMar>
              <w:top w:w="100" w:type="dxa"/>
              <w:left w:w="100" w:type="dxa"/>
              <w:bottom w:w="100" w:type="dxa"/>
              <w:right w:w="100" w:type="dxa"/>
            </w:tcMar>
          </w:tcPr>
          <w:p w14:paraId="0867163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0.140</w:t>
            </w:r>
          </w:p>
        </w:tc>
      </w:tr>
      <w:tr w:rsidR="00487CB5" w14:paraId="7AACFF0C" w14:textId="77777777">
        <w:tc>
          <w:tcPr>
            <w:tcW w:w="1740" w:type="dxa"/>
            <w:shd w:val="clear" w:color="auto" w:fill="auto"/>
            <w:tcMar>
              <w:top w:w="100" w:type="dxa"/>
              <w:left w:w="100" w:type="dxa"/>
              <w:bottom w:w="100" w:type="dxa"/>
              <w:right w:w="100" w:type="dxa"/>
            </w:tcMar>
          </w:tcPr>
          <w:p w14:paraId="0C1B18D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8 - 12 Lakhs</w:t>
            </w:r>
          </w:p>
        </w:tc>
        <w:tc>
          <w:tcPr>
            <w:tcW w:w="1260" w:type="dxa"/>
            <w:shd w:val="clear" w:color="auto" w:fill="auto"/>
            <w:tcMar>
              <w:top w:w="100" w:type="dxa"/>
              <w:left w:w="100" w:type="dxa"/>
              <w:bottom w:w="100" w:type="dxa"/>
              <w:right w:w="100" w:type="dxa"/>
            </w:tcMar>
          </w:tcPr>
          <w:p w14:paraId="0694CC5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66</w:t>
            </w:r>
          </w:p>
        </w:tc>
        <w:tc>
          <w:tcPr>
            <w:tcW w:w="1500" w:type="dxa"/>
            <w:shd w:val="clear" w:color="auto" w:fill="auto"/>
            <w:tcMar>
              <w:top w:w="100" w:type="dxa"/>
              <w:left w:w="100" w:type="dxa"/>
              <w:bottom w:w="100" w:type="dxa"/>
              <w:right w:w="100" w:type="dxa"/>
            </w:tcMar>
          </w:tcPr>
          <w:p w14:paraId="15701673"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17.197</w:t>
            </w:r>
          </w:p>
        </w:tc>
        <w:tc>
          <w:tcPr>
            <w:tcW w:w="1500" w:type="dxa"/>
            <w:shd w:val="clear" w:color="auto" w:fill="auto"/>
            <w:tcMar>
              <w:top w:w="100" w:type="dxa"/>
              <w:left w:w="100" w:type="dxa"/>
              <w:bottom w:w="100" w:type="dxa"/>
              <w:right w:w="100" w:type="dxa"/>
            </w:tcMar>
          </w:tcPr>
          <w:p w14:paraId="081A0263"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2.017</w:t>
            </w:r>
          </w:p>
        </w:tc>
        <w:tc>
          <w:tcPr>
            <w:tcW w:w="1500" w:type="dxa"/>
            <w:shd w:val="clear" w:color="auto" w:fill="auto"/>
            <w:tcMar>
              <w:top w:w="100" w:type="dxa"/>
              <w:left w:w="100" w:type="dxa"/>
              <w:bottom w:w="100" w:type="dxa"/>
              <w:right w:w="100" w:type="dxa"/>
            </w:tcMar>
          </w:tcPr>
          <w:p w14:paraId="68DA43D0"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0.248</w:t>
            </w:r>
          </w:p>
        </w:tc>
        <w:tc>
          <w:tcPr>
            <w:tcW w:w="1665" w:type="dxa"/>
            <w:shd w:val="clear" w:color="auto" w:fill="auto"/>
            <w:tcMar>
              <w:top w:w="100" w:type="dxa"/>
              <w:left w:w="100" w:type="dxa"/>
              <w:bottom w:w="100" w:type="dxa"/>
              <w:right w:w="100" w:type="dxa"/>
            </w:tcMar>
          </w:tcPr>
          <w:p w14:paraId="1868771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0.117</w:t>
            </w:r>
          </w:p>
        </w:tc>
      </w:tr>
      <w:tr w:rsidR="00487CB5" w14:paraId="18089C23" w14:textId="77777777">
        <w:tc>
          <w:tcPr>
            <w:tcW w:w="1740" w:type="dxa"/>
            <w:shd w:val="clear" w:color="auto" w:fill="auto"/>
            <w:tcMar>
              <w:top w:w="100" w:type="dxa"/>
              <w:left w:w="100" w:type="dxa"/>
              <w:bottom w:w="100" w:type="dxa"/>
              <w:right w:w="100" w:type="dxa"/>
            </w:tcMar>
          </w:tcPr>
          <w:p w14:paraId="59C165D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Above 12 Lakhs</w:t>
            </w:r>
          </w:p>
        </w:tc>
        <w:tc>
          <w:tcPr>
            <w:tcW w:w="1260" w:type="dxa"/>
            <w:shd w:val="clear" w:color="auto" w:fill="auto"/>
            <w:tcMar>
              <w:top w:w="100" w:type="dxa"/>
              <w:left w:w="100" w:type="dxa"/>
              <w:bottom w:w="100" w:type="dxa"/>
              <w:right w:w="100" w:type="dxa"/>
            </w:tcMar>
          </w:tcPr>
          <w:p w14:paraId="6B6C09D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88</w:t>
            </w:r>
          </w:p>
        </w:tc>
        <w:tc>
          <w:tcPr>
            <w:tcW w:w="1500" w:type="dxa"/>
            <w:shd w:val="clear" w:color="auto" w:fill="auto"/>
            <w:tcMar>
              <w:top w:w="100" w:type="dxa"/>
              <w:left w:w="100" w:type="dxa"/>
              <w:bottom w:w="100" w:type="dxa"/>
              <w:right w:w="100" w:type="dxa"/>
            </w:tcMar>
          </w:tcPr>
          <w:p w14:paraId="2AC38F06"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17.489</w:t>
            </w:r>
          </w:p>
        </w:tc>
        <w:tc>
          <w:tcPr>
            <w:tcW w:w="1500" w:type="dxa"/>
            <w:shd w:val="clear" w:color="auto" w:fill="auto"/>
            <w:tcMar>
              <w:top w:w="100" w:type="dxa"/>
              <w:left w:w="100" w:type="dxa"/>
              <w:bottom w:w="100" w:type="dxa"/>
              <w:right w:w="100" w:type="dxa"/>
            </w:tcMar>
          </w:tcPr>
          <w:p w14:paraId="2B5298F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2.202</w:t>
            </w:r>
          </w:p>
        </w:tc>
        <w:tc>
          <w:tcPr>
            <w:tcW w:w="1500" w:type="dxa"/>
            <w:shd w:val="clear" w:color="auto" w:fill="auto"/>
            <w:tcMar>
              <w:top w:w="100" w:type="dxa"/>
              <w:left w:w="100" w:type="dxa"/>
              <w:bottom w:w="100" w:type="dxa"/>
              <w:right w:w="100" w:type="dxa"/>
            </w:tcMar>
          </w:tcPr>
          <w:p w14:paraId="1AC2457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0.235</w:t>
            </w:r>
          </w:p>
        </w:tc>
        <w:tc>
          <w:tcPr>
            <w:tcW w:w="1665" w:type="dxa"/>
            <w:shd w:val="clear" w:color="auto" w:fill="auto"/>
            <w:tcMar>
              <w:top w:w="100" w:type="dxa"/>
              <w:left w:w="100" w:type="dxa"/>
              <w:bottom w:w="100" w:type="dxa"/>
              <w:right w:w="100" w:type="dxa"/>
            </w:tcMar>
          </w:tcPr>
          <w:p w14:paraId="29F0DADA"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0.126</w:t>
            </w:r>
          </w:p>
        </w:tc>
      </w:tr>
      <w:tr w:rsidR="00487CB5" w14:paraId="35A778C0" w14:textId="77777777">
        <w:tc>
          <w:tcPr>
            <w:tcW w:w="1740" w:type="dxa"/>
            <w:shd w:val="clear" w:color="auto" w:fill="auto"/>
            <w:tcMar>
              <w:top w:w="100" w:type="dxa"/>
              <w:left w:w="100" w:type="dxa"/>
              <w:bottom w:w="100" w:type="dxa"/>
              <w:right w:w="100" w:type="dxa"/>
            </w:tcMar>
          </w:tcPr>
          <w:p w14:paraId="1D5AB45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Below 3 Lakhs</w:t>
            </w:r>
          </w:p>
        </w:tc>
        <w:tc>
          <w:tcPr>
            <w:tcW w:w="1260" w:type="dxa"/>
            <w:shd w:val="clear" w:color="auto" w:fill="auto"/>
            <w:tcMar>
              <w:top w:w="100" w:type="dxa"/>
              <w:left w:w="100" w:type="dxa"/>
              <w:bottom w:w="100" w:type="dxa"/>
              <w:right w:w="100" w:type="dxa"/>
            </w:tcMar>
          </w:tcPr>
          <w:p w14:paraId="3BC6693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81</w:t>
            </w:r>
          </w:p>
        </w:tc>
        <w:tc>
          <w:tcPr>
            <w:tcW w:w="1500" w:type="dxa"/>
            <w:shd w:val="clear" w:color="auto" w:fill="auto"/>
            <w:tcMar>
              <w:top w:w="100" w:type="dxa"/>
              <w:left w:w="100" w:type="dxa"/>
              <w:bottom w:w="100" w:type="dxa"/>
              <w:right w:w="100" w:type="dxa"/>
            </w:tcMar>
          </w:tcPr>
          <w:p w14:paraId="45BE5DFC"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17.556</w:t>
            </w:r>
          </w:p>
        </w:tc>
        <w:tc>
          <w:tcPr>
            <w:tcW w:w="1500" w:type="dxa"/>
            <w:shd w:val="clear" w:color="auto" w:fill="auto"/>
            <w:tcMar>
              <w:top w:w="100" w:type="dxa"/>
              <w:left w:w="100" w:type="dxa"/>
              <w:bottom w:w="100" w:type="dxa"/>
              <w:right w:w="100" w:type="dxa"/>
            </w:tcMar>
          </w:tcPr>
          <w:p w14:paraId="3328569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2.554</w:t>
            </w:r>
          </w:p>
        </w:tc>
        <w:tc>
          <w:tcPr>
            <w:tcW w:w="1500" w:type="dxa"/>
            <w:shd w:val="clear" w:color="auto" w:fill="auto"/>
            <w:tcMar>
              <w:top w:w="100" w:type="dxa"/>
              <w:left w:w="100" w:type="dxa"/>
              <w:bottom w:w="100" w:type="dxa"/>
              <w:right w:w="100" w:type="dxa"/>
            </w:tcMar>
          </w:tcPr>
          <w:p w14:paraId="2D8E30E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0.284</w:t>
            </w:r>
          </w:p>
        </w:tc>
        <w:tc>
          <w:tcPr>
            <w:tcW w:w="1665" w:type="dxa"/>
            <w:shd w:val="clear" w:color="auto" w:fill="auto"/>
            <w:tcMar>
              <w:top w:w="100" w:type="dxa"/>
              <w:left w:w="100" w:type="dxa"/>
              <w:bottom w:w="100" w:type="dxa"/>
              <w:right w:w="100" w:type="dxa"/>
            </w:tcMar>
          </w:tcPr>
          <w:p w14:paraId="42F7C0A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0.146</w:t>
            </w:r>
          </w:p>
        </w:tc>
      </w:tr>
    </w:tbl>
    <w:p w14:paraId="74D037A9" w14:textId="77777777" w:rsidR="00487CB5" w:rsidRDefault="00487CB5">
      <w:pPr>
        <w:rPr>
          <w:rFonts w:ascii="Times New Roman" w:eastAsia="Times New Roman" w:hAnsi="Times New Roman" w:cs="Times New Roman"/>
        </w:rPr>
      </w:pPr>
    </w:p>
    <w:p w14:paraId="72F44D65"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p = 0.705</w:t>
      </w:r>
    </w:p>
    <w:p w14:paraId="214A1766" w14:textId="77777777" w:rsidR="00487CB5" w:rsidRDefault="00487CB5">
      <w:pPr>
        <w:rPr>
          <w:rFonts w:ascii="Times New Roman" w:eastAsia="Times New Roman" w:hAnsi="Times New Roman" w:cs="Times New Roman"/>
        </w:rPr>
      </w:pPr>
    </w:p>
    <w:p w14:paraId="327079B3"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11: Descriptive Statistics for “Alternative Evaluation” Scores by people in different income groups</w:t>
      </w:r>
    </w:p>
    <w:tbl>
      <w:tblPr>
        <w:tblStyle w:val="a9"/>
        <w:tblW w:w="9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260"/>
        <w:gridCol w:w="1500"/>
        <w:gridCol w:w="1500"/>
        <w:gridCol w:w="1500"/>
        <w:gridCol w:w="1665"/>
      </w:tblGrid>
      <w:tr w:rsidR="00487CB5" w14:paraId="565CC263" w14:textId="77777777">
        <w:tc>
          <w:tcPr>
            <w:tcW w:w="1740" w:type="dxa"/>
            <w:shd w:val="clear" w:color="auto" w:fill="auto"/>
            <w:tcMar>
              <w:top w:w="100" w:type="dxa"/>
              <w:left w:w="100" w:type="dxa"/>
              <w:bottom w:w="100" w:type="dxa"/>
              <w:right w:w="100" w:type="dxa"/>
            </w:tcMar>
          </w:tcPr>
          <w:p w14:paraId="1FF9931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Family Income</w:t>
            </w:r>
          </w:p>
        </w:tc>
        <w:tc>
          <w:tcPr>
            <w:tcW w:w="1260" w:type="dxa"/>
            <w:shd w:val="clear" w:color="auto" w:fill="auto"/>
            <w:tcMar>
              <w:top w:w="100" w:type="dxa"/>
              <w:left w:w="100" w:type="dxa"/>
              <w:bottom w:w="100" w:type="dxa"/>
              <w:right w:w="100" w:type="dxa"/>
            </w:tcMar>
          </w:tcPr>
          <w:p w14:paraId="448D4CC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N</w:t>
            </w:r>
          </w:p>
        </w:tc>
        <w:tc>
          <w:tcPr>
            <w:tcW w:w="1500" w:type="dxa"/>
            <w:shd w:val="clear" w:color="auto" w:fill="auto"/>
            <w:tcMar>
              <w:top w:w="100" w:type="dxa"/>
              <w:left w:w="100" w:type="dxa"/>
              <w:bottom w:w="100" w:type="dxa"/>
              <w:right w:w="100" w:type="dxa"/>
            </w:tcMar>
          </w:tcPr>
          <w:p w14:paraId="7BC80DB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Mean </w:t>
            </w:r>
          </w:p>
        </w:tc>
        <w:tc>
          <w:tcPr>
            <w:tcW w:w="1500" w:type="dxa"/>
            <w:shd w:val="clear" w:color="auto" w:fill="auto"/>
            <w:tcMar>
              <w:top w:w="100" w:type="dxa"/>
              <w:left w:w="100" w:type="dxa"/>
              <w:bottom w:w="100" w:type="dxa"/>
              <w:right w:w="100" w:type="dxa"/>
            </w:tcMar>
          </w:tcPr>
          <w:p w14:paraId="44C31CF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SD</w:t>
            </w:r>
          </w:p>
        </w:tc>
        <w:tc>
          <w:tcPr>
            <w:tcW w:w="1500" w:type="dxa"/>
            <w:shd w:val="clear" w:color="auto" w:fill="auto"/>
            <w:tcMar>
              <w:top w:w="100" w:type="dxa"/>
              <w:left w:w="100" w:type="dxa"/>
              <w:bottom w:w="100" w:type="dxa"/>
              <w:right w:w="100" w:type="dxa"/>
            </w:tcMar>
          </w:tcPr>
          <w:p w14:paraId="0C3C0B5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SE</w:t>
            </w:r>
          </w:p>
        </w:tc>
        <w:tc>
          <w:tcPr>
            <w:tcW w:w="1665" w:type="dxa"/>
            <w:shd w:val="clear" w:color="auto" w:fill="auto"/>
            <w:tcMar>
              <w:top w:w="100" w:type="dxa"/>
              <w:left w:w="100" w:type="dxa"/>
              <w:bottom w:w="100" w:type="dxa"/>
              <w:right w:w="100" w:type="dxa"/>
            </w:tcMar>
          </w:tcPr>
          <w:p w14:paraId="768B3AD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22071489" w14:textId="77777777">
        <w:tc>
          <w:tcPr>
            <w:tcW w:w="1740" w:type="dxa"/>
            <w:shd w:val="clear" w:color="auto" w:fill="auto"/>
            <w:tcMar>
              <w:top w:w="100" w:type="dxa"/>
              <w:left w:w="100" w:type="dxa"/>
              <w:bottom w:w="100" w:type="dxa"/>
              <w:right w:w="100" w:type="dxa"/>
            </w:tcMar>
          </w:tcPr>
          <w:p w14:paraId="3F9A350B" w14:textId="77777777" w:rsidR="00487CB5" w:rsidRDefault="00487CB5">
            <w:pPr>
              <w:widowControl w:val="0"/>
              <w:rPr>
                <w:rFonts w:ascii="Times New Roman" w:eastAsia="Times New Roman" w:hAnsi="Times New Roman" w:cs="Times New Roman"/>
              </w:rPr>
            </w:pPr>
          </w:p>
        </w:tc>
        <w:tc>
          <w:tcPr>
            <w:tcW w:w="1260" w:type="dxa"/>
            <w:shd w:val="clear" w:color="auto" w:fill="auto"/>
            <w:tcMar>
              <w:top w:w="100" w:type="dxa"/>
              <w:left w:w="100" w:type="dxa"/>
              <w:bottom w:w="100" w:type="dxa"/>
              <w:right w:w="100" w:type="dxa"/>
            </w:tcMar>
          </w:tcPr>
          <w:p w14:paraId="19F1C21D"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6AB08137"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1059FB0B"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6700833A" w14:textId="77777777" w:rsidR="00487CB5" w:rsidRDefault="00487CB5">
            <w:pPr>
              <w:widowControl w:val="0"/>
              <w:rPr>
                <w:rFonts w:ascii="Times New Roman" w:eastAsia="Times New Roman" w:hAnsi="Times New Roman" w:cs="Times New Roman"/>
              </w:rPr>
            </w:pPr>
          </w:p>
        </w:tc>
        <w:tc>
          <w:tcPr>
            <w:tcW w:w="1665" w:type="dxa"/>
            <w:shd w:val="clear" w:color="auto" w:fill="auto"/>
            <w:tcMar>
              <w:top w:w="100" w:type="dxa"/>
              <w:left w:w="100" w:type="dxa"/>
              <w:bottom w:w="100" w:type="dxa"/>
              <w:right w:w="100" w:type="dxa"/>
            </w:tcMar>
          </w:tcPr>
          <w:p w14:paraId="19B724AF" w14:textId="77777777" w:rsidR="00487CB5" w:rsidRDefault="00487CB5">
            <w:pPr>
              <w:widowControl w:val="0"/>
              <w:rPr>
                <w:rFonts w:ascii="Times New Roman" w:eastAsia="Times New Roman" w:hAnsi="Times New Roman" w:cs="Times New Roman"/>
              </w:rPr>
            </w:pPr>
          </w:p>
        </w:tc>
      </w:tr>
      <w:tr w:rsidR="00487CB5" w14:paraId="2541E67B" w14:textId="77777777">
        <w:tc>
          <w:tcPr>
            <w:tcW w:w="1740" w:type="dxa"/>
            <w:shd w:val="clear" w:color="auto" w:fill="auto"/>
            <w:tcMar>
              <w:top w:w="100" w:type="dxa"/>
              <w:left w:w="100" w:type="dxa"/>
              <w:bottom w:w="100" w:type="dxa"/>
              <w:right w:w="100" w:type="dxa"/>
            </w:tcMar>
          </w:tcPr>
          <w:p w14:paraId="04AB7FC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lastRenderedPageBreak/>
              <w:t>3 - 8 Lakhs</w:t>
            </w:r>
          </w:p>
        </w:tc>
        <w:tc>
          <w:tcPr>
            <w:tcW w:w="1260" w:type="dxa"/>
            <w:shd w:val="clear" w:color="auto" w:fill="auto"/>
            <w:tcMar>
              <w:top w:w="100" w:type="dxa"/>
              <w:left w:w="100" w:type="dxa"/>
              <w:bottom w:w="100" w:type="dxa"/>
              <w:right w:w="100" w:type="dxa"/>
            </w:tcMar>
          </w:tcPr>
          <w:p w14:paraId="425184A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105</w:t>
            </w:r>
          </w:p>
        </w:tc>
        <w:tc>
          <w:tcPr>
            <w:tcW w:w="1500" w:type="dxa"/>
            <w:shd w:val="clear" w:color="auto" w:fill="auto"/>
            <w:tcMar>
              <w:top w:w="100" w:type="dxa"/>
              <w:left w:w="100" w:type="dxa"/>
              <w:bottom w:w="100" w:type="dxa"/>
              <w:right w:w="100" w:type="dxa"/>
            </w:tcMar>
          </w:tcPr>
          <w:p w14:paraId="4C5ADD9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16.038</w:t>
            </w:r>
          </w:p>
        </w:tc>
        <w:tc>
          <w:tcPr>
            <w:tcW w:w="1500" w:type="dxa"/>
            <w:shd w:val="clear" w:color="auto" w:fill="auto"/>
            <w:tcMar>
              <w:top w:w="100" w:type="dxa"/>
              <w:left w:w="100" w:type="dxa"/>
              <w:bottom w:w="100" w:type="dxa"/>
              <w:right w:w="100" w:type="dxa"/>
            </w:tcMar>
          </w:tcPr>
          <w:p w14:paraId="54F3214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2.653</w:t>
            </w:r>
          </w:p>
        </w:tc>
        <w:tc>
          <w:tcPr>
            <w:tcW w:w="1500" w:type="dxa"/>
            <w:shd w:val="clear" w:color="auto" w:fill="auto"/>
            <w:tcMar>
              <w:top w:w="100" w:type="dxa"/>
              <w:left w:w="100" w:type="dxa"/>
              <w:bottom w:w="100" w:type="dxa"/>
              <w:right w:w="100" w:type="dxa"/>
            </w:tcMar>
          </w:tcPr>
          <w:p w14:paraId="0E4F6DB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0.259</w:t>
            </w:r>
          </w:p>
        </w:tc>
        <w:tc>
          <w:tcPr>
            <w:tcW w:w="1665" w:type="dxa"/>
            <w:shd w:val="clear" w:color="auto" w:fill="auto"/>
            <w:tcMar>
              <w:top w:w="100" w:type="dxa"/>
              <w:left w:w="100" w:type="dxa"/>
              <w:bottom w:w="100" w:type="dxa"/>
              <w:right w:w="100" w:type="dxa"/>
            </w:tcMar>
          </w:tcPr>
          <w:p w14:paraId="1830DAA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0.165</w:t>
            </w:r>
          </w:p>
        </w:tc>
      </w:tr>
      <w:tr w:rsidR="00487CB5" w14:paraId="19786E45" w14:textId="77777777">
        <w:tc>
          <w:tcPr>
            <w:tcW w:w="1740" w:type="dxa"/>
            <w:shd w:val="clear" w:color="auto" w:fill="auto"/>
            <w:tcMar>
              <w:top w:w="100" w:type="dxa"/>
              <w:left w:w="100" w:type="dxa"/>
              <w:bottom w:w="100" w:type="dxa"/>
              <w:right w:w="100" w:type="dxa"/>
            </w:tcMar>
          </w:tcPr>
          <w:p w14:paraId="6C33C90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8 - 12 Lakhs</w:t>
            </w:r>
          </w:p>
        </w:tc>
        <w:tc>
          <w:tcPr>
            <w:tcW w:w="1260" w:type="dxa"/>
            <w:shd w:val="clear" w:color="auto" w:fill="auto"/>
            <w:tcMar>
              <w:top w:w="100" w:type="dxa"/>
              <w:left w:w="100" w:type="dxa"/>
              <w:bottom w:w="100" w:type="dxa"/>
              <w:right w:w="100" w:type="dxa"/>
            </w:tcMar>
          </w:tcPr>
          <w:p w14:paraId="19B43BA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66</w:t>
            </w:r>
          </w:p>
        </w:tc>
        <w:tc>
          <w:tcPr>
            <w:tcW w:w="1500" w:type="dxa"/>
            <w:shd w:val="clear" w:color="auto" w:fill="auto"/>
            <w:tcMar>
              <w:top w:w="100" w:type="dxa"/>
              <w:left w:w="100" w:type="dxa"/>
              <w:bottom w:w="100" w:type="dxa"/>
              <w:right w:w="100" w:type="dxa"/>
            </w:tcMar>
          </w:tcPr>
          <w:p w14:paraId="326075E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16.227</w:t>
            </w:r>
          </w:p>
        </w:tc>
        <w:tc>
          <w:tcPr>
            <w:tcW w:w="1500" w:type="dxa"/>
            <w:shd w:val="clear" w:color="auto" w:fill="auto"/>
            <w:tcMar>
              <w:top w:w="100" w:type="dxa"/>
              <w:left w:w="100" w:type="dxa"/>
              <w:bottom w:w="100" w:type="dxa"/>
              <w:right w:w="100" w:type="dxa"/>
            </w:tcMar>
          </w:tcPr>
          <w:p w14:paraId="3998777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2.217</w:t>
            </w:r>
          </w:p>
        </w:tc>
        <w:tc>
          <w:tcPr>
            <w:tcW w:w="1500" w:type="dxa"/>
            <w:shd w:val="clear" w:color="auto" w:fill="auto"/>
            <w:tcMar>
              <w:top w:w="100" w:type="dxa"/>
              <w:left w:w="100" w:type="dxa"/>
              <w:bottom w:w="100" w:type="dxa"/>
              <w:right w:w="100" w:type="dxa"/>
            </w:tcMar>
          </w:tcPr>
          <w:p w14:paraId="292BC17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0.273</w:t>
            </w:r>
          </w:p>
        </w:tc>
        <w:tc>
          <w:tcPr>
            <w:tcW w:w="1665" w:type="dxa"/>
            <w:shd w:val="clear" w:color="auto" w:fill="auto"/>
            <w:tcMar>
              <w:top w:w="100" w:type="dxa"/>
              <w:left w:w="100" w:type="dxa"/>
              <w:bottom w:w="100" w:type="dxa"/>
              <w:right w:w="100" w:type="dxa"/>
            </w:tcMar>
          </w:tcPr>
          <w:p w14:paraId="0EA98C4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0.137</w:t>
            </w:r>
          </w:p>
        </w:tc>
      </w:tr>
      <w:tr w:rsidR="00487CB5" w14:paraId="0E7565CC" w14:textId="77777777">
        <w:tc>
          <w:tcPr>
            <w:tcW w:w="1740" w:type="dxa"/>
            <w:shd w:val="clear" w:color="auto" w:fill="auto"/>
            <w:tcMar>
              <w:top w:w="100" w:type="dxa"/>
              <w:left w:w="100" w:type="dxa"/>
              <w:bottom w:w="100" w:type="dxa"/>
              <w:right w:w="100" w:type="dxa"/>
            </w:tcMar>
          </w:tcPr>
          <w:p w14:paraId="3C2B100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Above 12 Lakhs</w:t>
            </w:r>
          </w:p>
        </w:tc>
        <w:tc>
          <w:tcPr>
            <w:tcW w:w="1260" w:type="dxa"/>
            <w:shd w:val="clear" w:color="auto" w:fill="auto"/>
            <w:tcMar>
              <w:top w:w="100" w:type="dxa"/>
              <w:left w:w="100" w:type="dxa"/>
              <w:bottom w:w="100" w:type="dxa"/>
              <w:right w:w="100" w:type="dxa"/>
            </w:tcMar>
          </w:tcPr>
          <w:p w14:paraId="5B13AB6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88</w:t>
            </w:r>
          </w:p>
        </w:tc>
        <w:tc>
          <w:tcPr>
            <w:tcW w:w="1500" w:type="dxa"/>
            <w:shd w:val="clear" w:color="auto" w:fill="auto"/>
            <w:tcMar>
              <w:top w:w="100" w:type="dxa"/>
              <w:left w:w="100" w:type="dxa"/>
              <w:bottom w:w="100" w:type="dxa"/>
              <w:right w:w="100" w:type="dxa"/>
            </w:tcMar>
          </w:tcPr>
          <w:p w14:paraId="1CA3386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16.443</w:t>
            </w:r>
          </w:p>
        </w:tc>
        <w:tc>
          <w:tcPr>
            <w:tcW w:w="1500" w:type="dxa"/>
            <w:shd w:val="clear" w:color="auto" w:fill="auto"/>
            <w:tcMar>
              <w:top w:w="100" w:type="dxa"/>
              <w:left w:w="100" w:type="dxa"/>
              <w:bottom w:w="100" w:type="dxa"/>
              <w:right w:w="100" w:type="dxa"/>
            </w:tcMar>
          </w:tcPr>
          <w:p w14:paraId="3CB6B04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2.634</w:t>
            </w:r>
          </w:p>
        </w:tc>
        <w:tc>
          <w:tcPr>
            <w:tcW w:w="1500" w:type="dxa"/>
            <w:shd w:val="clear" w:color="auto" w:fill="auto"/>
            <w:tcMar>
              <w:top w:w="100" w:type="dxa"/>
              <w:left w:w="100" w:type="dxa"/>
              <w:bottom w:w="100" w:type="dxa"/>
              <w:right w:w="100" w:type="dxa"/>
            </w:tcMar>
          </w:tcPr>
          <w:p w14:paraId="4795D28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0.281</w:t>
            </w:r>
          </w:p>
        </w:tc>
        <w:tc>
          <w:tcPr>
            <w:tcW w:w="1665" w:type="dxa"/>
            <w:shd w:val="clear" w:color="auto" w:fill="auto"/>
            <w:tcMar>
              <w:top w:w="100" w:type="dxa"/>
              <w:left w:w="100" w:type="dxa"/>
              <w:bottom w:w="100" w:type="dxa"/>
              <w:right w:w="100" w:type="dxa"/>
            </w:tcMar>
          </w:tcPr>
          <w:p w14:paraId="59BBA35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0.160</w:t>
            </w:r>
          </w:p>
        </w:tc>
      </w:tr>
      <w:tr w:rsidR="00487CB5" w14:paraId="0A27F129" w14:textId="77777777">
        <w:tc>
          <w:tcPr>
            <w:tcW w:w="1740" w:type="dxa"/>
            <w:shd w:val="clear" w:color="auto" w:fill="auto"/>
            <w:tcMar>
              <w:top w:w="100" w:type="dxa"/>
              <w:left w:w="100" w:type="dxa"/>
              <w:bottom w:w="100" w:type="dxa"/>
              <w:right w:w="100" w:type="dxa"/>
            </w:tcMar>
          </w:tcPr>
          <w:p w14:paraId="48CEF0E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Below 3 Lakhs</w:t>
            </w:r>
          </w:p>
        </w:tc>
        <w:tc>
          <w:tcPr>
            <w:tcW w:w="1260" w:type="dxa"/>
            <w:shd w:val="clear" w:color="auto" w:fill="auto"/>
            <w:tcMar>
              <w:top w:w="100" w:type="dxa"/>
              <w:left w:w="100" w:type="dxa"/>
              <w:bottom w:w="100" w:type="dxa"/>
              <w:right w:w="100" w:type="dxa"/>
            </w:tcMar>
          </w:tcPr>
          <w:p w14:paraId="45FC33F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81</w:t>
            </w:r>
          </w:p>
        </w:tc>
        <w:tc>
          <w:tcPr>
            <w:tcW w:w="1500" w:type="dxa"/>
            <w:shd w:val="clear" w:color="auto" w:fill="auto"/>
            <w:tcMar>
              <w:top w:w="100" w:type="dxa"/>
              <w:left w:w="100" w:type="dxa"/>
              <w:bottom w:w="100" w:type="dxa"/>
              <w:right w:w="100" w:type="dxa"/>
            </w:tcMar>
          </w:tcPr>
          <w:p w14:paraId="776376F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16.420</w:t>
            </w:r>
          </w:p>
        </w:tc>
        <w:tc>
          <w:tcPr>
            <w:tcW w:w="1500" w:type="dxa"/>
            <w:shd w:val="clear" w:color="auto" w:fill="auto"/>
            <w:tcMar>
              <w:top w:w="100" w:type="dxa"/>
              <w:left w:w="100" w:type="dxa"/>
              <w:bottom w:w="100" w:type="dxa"/>
              <w:right w:w="100" w:type="dxa"/>
            </w:tcMar>
          </w:tcPr>
          <w:p w14:paraId="3DD76D1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2.397</w:t>
            </w:r>
          </w:p>
        </w:tc>
        <w:tc>
          <w:tcPr>
            <w:tcW w:w="1500" w:type="dxa"/>
            <w:shd w:val="clear" w:color="auto" w:fill="auto"/>
            <w:tcMar>
              <w:top w:w="100" w:type="dxa"/>
              <w:left w:w="100" w:type="dxa"/>
              <w:bottom w:w="100" w:type="dxa"/>
              <w:right w:w="100" w:type="dxa"/>
            </w:tcMar>
          </w:tcPr>
          <w:p w14:paraId="0C82091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0.266</w:t>
            </w:r>
          </w:p>
        </w:tc>
        <w:tc>
          <w:tcPr>
            <w:tcW w:w="1665" w:type="dxa"/>
            <w:shd w:val="clear" w:color="auto" w:fill="auto"/>
            <w:tcMar>
              <w:top w:w="100" w:type="dxa"/>
              <w:left w:w="100" w:type="dxa"/>
              <w:bottom w:w="100" w:type="dxa"/>
              <w:right w:w="100" w:type="dxa"/>
            </w:tcMar>
          </w:tcPr>
          <w:p w14:paraId="73A488F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0.146</w:t>
            </w:r>
          </w:p>
        </w:tc>
      </w:tr>
    </w:tbl>
    <w:p w14:paraId="395B5BA1" w14:textId="77777777" w:rsidR="00487CB5" w:rsidRDefault="00487CB5">
      <w:pPr>
        <w:rPr>
          <w:rFonts w:ascii="Times New Roman" w:eastAsia="Times New Roman" w:hAnsi="Times New Roman" w:cs="Times New Roman"/>
        </w:rPr>
      </w:pPr>
    </w:p>
    <w:p w14:paraId="00D71000"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p = 0.654</w:t>
      </w:r>
    </w:p>
    <w:p w14:paraId="558D81AD" w14:textId="77777777" w:rsidR="00487CB5" w:rsidRDefault="00487CB5">
      <w:pPr>
        <w:rPr>
          <w:rFonts w:ascii="Times New Roman" w:eastAsia="Times New Roman" w:hAnsi="Times New Roman" w:cs="Times New Roman"/>
        </w:rPr>
      </w:pPr>
    </w:p>
    <w:p w14:paraId="30B4B419"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12: Descriptive Statistics for “Consumer Scepticism” Scores by people in different income group</w:t>
      </w:r>
    </w:p>
    <w:tbl>
      <w:tblPr>
        <w:tblStyle w:val="aa"/>
        <w:tblW w:w="9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260"/>
        <w:gridCol w:w="1500"/>
        <w:gridCol w:w="1500"/>
        <w:gridCol w:w="1500"/>
        <w:gridCol w:w="1665"/>
      </w:tblGrid>
      <w:tr w:rsidR="00487CB5" w14:paraId="6514B0B5" w14:textId="77777777">
        <w:tc>
          <w:tcPr>
            <w:tcW w:w="1740" w:type="dxa"/>
            <w:shd w:val="clear" w:color="auto" w:fill="auto"/>
            <w:tcMar>
              <w:top w:w="100" w:type="dxa"/>
              <w:left w:w="100" w:type="dxa"/>
              <w:bottom w:w="100" w:type="dxa"/>
              <w:right w:w="100" w:type="dxa"/>
            </w:tcMar>
          </w:tcPr>
          <w:p w14:paraId="1F6DF7C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Family Income</w:t>
            </w:r>
          </w:p>
        </w:tc>
        <w:tc>
          <w:tcPr>
            <w:tcW w:w="1260" w:type="dxa"/>
            <w:shd w:val="clear" w:color="auto" w:fill="auto"/>
            <w:tcMar>
              <w:top w:w="100" w:type="dxa"/>
              <w:left w:w="100" w:type="dxa"/>
              <w:bottom w:w="100" w:type="dxa"/>
              <w:right w:w="100" w:type="dxa"/>
            </w:tcMar>
          </w:tcPr>
          <w:p w14:paraId="58C6645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N</w:t>
            </w:r>
          </w:p>
        </w:tc>
        <w:tc>
          <w:tcPr>
            <w:tcW w:w="1500" w:type="dxa"/>
            <w:shd w:val="clear" w:color="auto" w:fill="auto"/>
            <w:tcMar>
              <w:top w:w="100" w:type="dxa"/>
              <w:left w:w="100" w:type="dxa"/>
              <w:bottom w:w="100" w:type="dxa"/>
              <w:right w:w="100" w:type="dxa"/>
            </w:tcMar>
          </w:tcPr>
          <w:p w14:paraId="4E03D3B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Mean </w:t>
            </w:r>
          </w:p>
        </w:tc>
        <w:tc>
          <w:tcPr>
            <w:tcW w:w="1500" w:type="dxa"/>
            <w:shd w:val="clear" w:color="auto" w:fill="auto"/>
            <w:tcMar>
              <w:top w:w="100" w:type="dxa"/>
              <w:left w:w="100" w:type="dxa"/>
              <w:bottom w:w="100" w:type="dxa"/>
              <w:right w:w="100" w:type="dxa"/>
            </w:tcMar>
          </w:tcPr>
          <w:p w14:paraId="03DDEE3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SD</w:t>
            </w:r>
          </w:p>
        </w:tc>
        <w:tc>
          <w:tcPr>
            <w:tcW w:w="1500" w:type="dxa"/>
            <w:shd w:val="clear" w:color="auto" w:fill="auto"/>
            <w:tcMar>
              <w:top w:w="100" w:type="dxa"/>
              <w:left w:w="100" w:type="dxa"/>
              <w:bottom w:w="100" w:type="dxa"/>
              <w:right w:w="100" w:type="dxa"/>
            </w:tcMar>
          </w:tcPr>
          <w:p w14:paraId="7408B2E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SE</w:t>
            </w:r>
          </w:p>
        </w:tc>
        <w:tc>
          <w:tcPr>
            <w:tcW w:w="1665" w:type="dxa"/>
            <w:shd w:val="clear" w:color="auto" w:fill="auto"/>
            <w:tcMar>
              <w:top w:w="100" w:type="dxa"/>
              <w:left w:w="100" w:type="dxa"/>
              <w:bottom w:w="100" w:type="dxa"/>
              <w:right w:w="100" w:type="dxa"/>
            </w:tcMar>
          </w:tcPr>
          <w:p w14:paraId="0CC462F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4316508B" w14:textId="77777777">
        <w:tc>
          <w:tcPr>
            <w:tcW w:w="1740" w:type="dxa"/>
            <w:shd w:val="clear" w:color="auto" w:fill="auto"/>
            <w:tcMar>
              <w:top w:w="100" w:type="dxa"/>
              <w:left w:w="100" w:type="dxa"/>
              <w:bottom w:w="100" w:type="dxa"/>
              <w:right w:w="100" w:type="dxa"/>
            </w:tcMar>
          </w:tcPr>
          <w:p w14:paraId="65CC04F1" w14:textId="77777777" w:rsidR="00487CB5" w:rsidRDefault="00487CB5">
            <w:pPr>
              <w:widowControl w:val="0"/>
              <w:rPr>
                <w:rFonts w:ascii="Times New Roman" w:eastAsia="Times New Roman" w:hAnsi="Times New Roman" w:cs="Times New Roman"/>
              </w:rPr>
            </w:pPr>
          </w:p>
        </w:tc>
        <w:tc>
          <w:tcPr>
            <w:tcW w:w="1260" w:type="dxa"/>
            <w:shd w:val="clear" w:color="auto" w:fill="auto"/>
            <w:tcMar>
              <w:top w:w="100" w:type="dxa"/>
              <w:left w:w="100" w:type="dxa"/>
              <w:bottom w:w="100" w:type="dxa"/>
              <w:right w:w="100" w:type="dxa"/>
            </w:tcMar>
          </w:tcPr>
          <w:p w14:paraId="5EE66EAF"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4931274F"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7DBDE593"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791D3D79" w14:textId="77777777" w:rsidR="00487CB5" w:rsidRDefault="00487CB5">
            <w:pPr>
              <w:widowControl w:val="0"/>
              <w:rPr>
                <w:rFonts w:ascii="Times New Roman" w:eastAsia="Times New Roman" w:hAnsi="Times New Roman" w:cs="Times New Roman"/>
              </w:rPr>
            </w:pPr>
          </w:p>
        </w:tc>
        <w:tc>
          <w:tcPr>
            <w:tcW w:w="1665" w:type="dxa"/>
            <w:shd w:val="clear" w:color="auto" w:fill="auto"/>
            <w:tcMar>
              <w:top w:w="100" w:type="dxa"/>
              <w:left w:w="100" w:type="dxa"/>
              <w:bottom w:w="100" w:type="dxa"/>
              <w:right w:w="100" w:type="dxa"/>
            </w:tcMar>
          </w:tcPr>
          <w:p w14:paraId="71CC3B92" w14:textId="77777777" w:rsidR="00487CB5" w:rsidRDefault="00487CB5">
            <w:pPr>
              <w:widowControl w:val="0"/>
              <w:rPr>
                <w:rFonts w:ascii="Times New Roman" w:eastAsia="Times New Roman" w:hAnsi="Times New Roman" w:cs="Times New Roman"/>
              </w:rPr>
            </w:pPr>
          </w:p>
        </w:tc>
      </w:tr>
      <w:tr w:rsidR="00487CB5" w14:paraId="71DE3835" w14:textId="77777777">
        <w:tc>
          <w:tcPr>
            <w:tcW w:w="1740" w:type="dxa"/>
            <w:shd w:val="clear" w:color="auto" w:fill="auto"/>
            <w:tcMar>
              <w:top w:w="100" w:type="dxa"/>
              <w:left w:w="100" w:type="dxa"/>
              <w:bottom w:w="100" w:type="dxa"/>
              <w:right w:w="100" w:type="dxa"/>
            </w:tcMar>
          </w:tcPr>
          <w:p w14:paraId="4A1CABC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3 - 8 Lakhs</w:t>
            </w:r>
          </w:p>
        </w:tc>
        <w:tc>
          <w:tcPr>
            <w:tcW w:w="1260" w:type="dxa"/>
            <w:shd w:val="clear" w:color="auto" w:fill="auto"/>
            <w:tcMar>
              <w:top w:w="100" w:type="dxa"/>
              <w:left w:w="100" w:type="dxa"/>
              <w:bottom w:w="100" w:type="dxa"/>
              <w:right w:w="100" w:type="dxa"/>
            </w:tcMar>
          </w:tcPr>
          <w:p w14:paraId="48F5DAF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105</w:t>
            </w:r>
          </w:p>
        </w:tc>
        <w:tc>
          <w:tcPr>
            <w:tcW w:w="1500" w:type="dxa"/>
            <w:shd w:val="clear" w:color="auto" w:fill="auto"/>
            <w:tcMar>
              <w:top w:w="100" w:type="dxa"/>
              <w:left w:w="100" w:type="dxa"/>
              <w:bottom w:w="100" w:type="dxa"/>
              <w:right w:w="100" w:type="dxa"/>
            </w:tcMar>
          </w:tcPr>
          <w:p w14:paraId="1ADEE78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22.162</w:t>
            </w:r>
          </w:p>
        </w:tc>
        <w:tc>
          <w:tcPr>
            <w:tcW w:w="1500" w:type="dxa"/>
            <w:shd w:val="clear" w:color="auto" w:fill="auto"/>
            <w:tcMar>
              <w:top w:w="100" w:type="dxa"/>
              <w:left w:w="100" w:type="dxa"/>
              <w:bottom w:w="100" w:type="dxa"/>
              <w:right w:w="100" w:type="dxa"/>
            </w:tcMar>
          </w:tcPr>
          <w:p w14:paraId="746470F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3.453</w:t>
            </w:r>
          </w:p>
        </w:tc>
        <w:tc>
          <w:tcPr>
            <w:tcW w:w="1500" w:type="dxa"/>
            <w:shd w:val="clear" w:color="auto" w:fill="auto"/>
            <w:tcMar>
              <w:top w:w="100" w:type="dxa"/>
              <w:left w:w="100" w:type="dxa"/>
              <w:bottom w:w="100" w:type="dxa"/>
              <w:right w:w="100" w:type="dxa"/>
            </w:tcMar>
          </w:tcPr>
          <w:p w14:paraId="4C4FA96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0.337</w:t>
            </w:r>
          </w:p>
        </w:tc>
        <w:tc>
          <w:tcPr>
            <w:tcW w:w="1665" w:type="dxa"/>
            <w:shd w:val="clear" w:color="auto" w:fill="auto"/>
            <w:tcMar>
              <w:top w:w="100" w:type="dxa"/>
              <w:left w:w="100" w:type="dxa"/>
              <w:bottom w:w="100" w:type="dxa"/>
              <w:right w:w="100" w:type="dxa"/>
            </w:tcMar>
          </w:tcPr>
          <w:p w14:paraId="272281E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0.156</w:t>
            </w:r>
          </w:p>
        </w:tc>
      </w:tr>
      <w:tr w:rsidR="00487CB5" w14:paraId="5907BDE4" w14:textId="77777777">
        <w:tc>
          <w:tcPr>
            <w:tcW w:w="1740" w:type="dxa"/>
            <w:shd w:val="clear" w:color="auto" w:fill="auto"/>
            <w:tcMar>
              <w:top w:w="100" w:type="dxa"/>
              <w:left w:w="100" w:type="dxa"/>
              <w:bottom w:w="100" w:type="dxa"/>
              <w:right w:w="100" w:type="dxa"/>
            </w:tcMar>
          </w:tcPr>
          <w:p w14:paraId="751F396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8 - 12 Lakhs</w:t>
            </w:r>
          </w:p>
        </w:tc>
        <w:tc>
          <w:tcPr>
            <w:tcW w:w="1260" w:type="dxa"/>
            <w:shd w:val="clear" w:color="auto" w:fill="auto"/>
            <w:tcMar>
              <w:top w:w="100" w:type="dxa"/>
              <w:left w:w="100" w:type="dxa"/>
              <w:bottom w:w="100" w:type="dxa"/>
              <w:right w:w="100" w:type="dxa"/>
            </w:tcMar>
          </w:tcPr>
          <w:p w14:paraId="49EABAE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66</w:t>
            </w:r>
          </w:p>
        </w:tc>
        <w:tc>
          <w:tcPr>
            <w:tcW w:w="1500" w:type="dxa"/>
            <w:shd w:val="clear" w:color="auto" w:fill="auto"/>
            <w:tcMar>
              <w:top w:w="100" w:type="dxa"/>
              <w:left w:w="100" w:type="dxa"/>
              <w:bottom w:w="100" w:type="dxa"/>
              <w:right w:w="100" w:type="dxa"/>
            </w:tcMar>
          </w:tcPr>
          <w:p w14:paraId="4D11F61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22.061</w:t>
            </w:r>
          </w:p>
        </w:tc>
        <w:tc>
          <w:tcPr>
            <w:tcW w:w="1500" w:type="dxa"/>
            <w:shd w:val="clear" w:color="auto" w:fill="auto"/>
            <w:tcMar>
              <w:top w:w="100" w:type="dxa"/>
              <w:left w:w="100" w:type="dxa"/>
              <w:bottom w:w="100" w:type="dxa"/>
              <w:right w:w="100" w:type="dxa"/>
            </w:tcMar>
          </w:tcPr>
          <w:p w14:paraId="451A514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3.243</w:t>
            </w:r>
          </w:p>
        </w:tc>
        <w:tc>
          <w:tcPr>
            <w:tcW w:w="1500" w:type="dxa"/>
            <w:shd w:val="clear" w:color="auto" w:fill="auto"/>
            <w:tcMar>
              <w:top w:w="100" w:type="dxa"/>
              <w:left w:w="100" w:type="dxa"/>
              <w:bottom w:w="100" w:type="dxa"/>
              <w:right w:w="100" w:type="dxa"/>
            </w:tcMar>
          </w:tcPr>
          <w:p w14:paraId="1DAC0B5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0.399</w:t>
            </w:r>
          </w:p>
        </w:tc>
        <w:tc>
          <w:tcPr>
            <w:tcW w:w="1665" w:type="dxa"/>
            <w:shd w:val="clear" w:color="auto" w:fill="auto"/>
            <w:tcMar>
              <w:top w:w="100" w:type="dxa"/>
              <w:left w:w="100" w:type="dxa"/>
              <w:bottom w:w="100" w:type="dxa"/>
              <w:right w:w="100" w:type="dxa"/>
            </w:tcMar>
          </w:tcPr>
          <w:p w14:paraId="6C3C1BE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0.147</w:t>
            </w:r>
          </w:p>
        </w:tc>
      </w:tr>
      <w:tr w:rsidR="00487CB5" w14:paraId="07CF9D36" w14:textId="77777777">
        <w:tc>
          <w:tcPr>
            <w:tcW w:w="1740" w:type="dxa"/>
            <w:shd w:val="clear" w:color="auto" w:fill="auto"/>
            <w:tcMar>
              <w:top w:w="100" w:type="dxa"/>
              <w:left w:w="100" w:type="dxa"/>
              <w:bottom w:w="100" w:type="dxa"/>
              <w:right w:w="100" w:type="dxa"/>
            </w:tcMar>
          </w:tcPr>
          <w:p w14:paraId="190CC49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Above 12 Lakhs</w:t>
            </w:r>
          </w:p>
        </w:tc>
        <w:tc>
          <w:tcPr>
            <w:tcW w:w="1260" w:type="dxa"/>
            <w:shd w:val="clear" w:color="auto" w:fill="auto"/>
            <w:tcMar>
              <w:top w:w="100" w:type="dxa"/>
              <w:left w:w="100" w:type="dxa"/>
              <w:bottom w:w="100" w:type="dxa"/>
              <w:right w:w="100" w:type="dxa"/>
            </w:tcMar>
          </w:tcPr>
          <w:p w14:paraId="19DEE33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88</w:t>
            </w:r>
          </w:p>
        </w:tc>
        <w:tc>
          <w:tcPr>
            <w:tcW w:w="1500" w:type="dxa"/>
            <w:shd w:val="clear" w:color="auto" w:fill="auto"/>
            <w:tcMar>
              <w:top w:w="100" w:type="dxa"/>
              <w:left w:w="100" w:type="dxa"/>
              <w:bottom w:w="100" w:type="dxa"/>
              <w:right w:w="100" w:type="dxa"/>
            </w:tcMar>
          </w:tcPr>
          <w:p w14:paraId="16BFB9A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22.989</w:t>
            </w:r>
          </w:p>
        </w:tc>
        <w:tc>
          <w:tcPr>
            <w:tcW w:w="1500" w:type="dxa"/>
            <w:shd w:val="clear" w:color="auto" w:fill="auto"/>
            <w:tcMar>
              <w:top w:w="100" w:type="dxa"/>
              <w:left w:w="100" w:type="dxa"/>
              <w:bottom w:w="100" w:type="dxa"/>
              <w:right w:w="100" w:type="dxa"/>
            </w:tcMar>
          </w:tcPr>
          <w:p w14:paraId="544315F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3.929</w:t>
            </w:r>
          </w:p>
        </w:tc>
        <w:tc>
          <w:tcPr>
            <w:tcW w:w="1500" w:type="dxa"/>
            <w:shd w:val="clear" w:color="auto" w:fill="auto"/>
            <w:tcMar>
              <w:top w:w="100" w:type="dxa"/>
              <w:left w:w="100" w:type="dxa"/>
              <w:bottom w:w="100" w:type="dxa"/>
              <w:right w:w="100" w:type="dxa"/>
            </w:tcMar>
          </w:tcPr>
          <w:p w14:paraId="2CAF533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0.419</w:t>
            </w:r>
          </w:p>
        </w:tc>
        <w:tc>
          <w:tcPr>
            <w:tcW w:w="1665" w:type="dxa"/>
            <w:shd w:val="clear" w:color="auto" w:fill="auto"/>
            <w:tcMar>
              <w:top w:w="100" w:type="dxa"/>
              <w:left w:w="100" w:type="dxa"/>
              <w:bottom w:w="100" w:type="dxa"/>
              <w:right w:w="100" w:type="dxa"/>
            </w:tcMar>
          </w:tcPr>
          <w:p w14:paraId="5D1849A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0.179</w:t>
            </w:r>
          </w:p>
        </w:tc>
      </w:tr>
      <w:tr w:rsidR="00487CB5" w14:paraId="00EB9F2F" w14:textId="77777777">
        <w:tc>
          <w:tcPr>
            <w:tcW w:w="1740" w:type="dxa"/>
            <w:shd w:val="clear" w:color="auto" w:fill="auto"/>
            <w:tcMar>
              <w:top w:w="100" w:type="dxa"/>
              <w:left w:w="100" w:type="dxa"/>
              <w:bottom w:w="100" w:type="dxa"/>
              <w:right w:w="100" w:type="dxa"/>
            </w:tcMar>
          </w:tcPr>
          <w:p w14:paraId="42CEE3E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Below 3 Lakhs</w:t>
            </w:r>
          </w:p>
        </w:tc>
        <w:tc>
          <w:tcPr>
            <w:tcW w:w="1260" w:type="dxa"/>
            <w:shd w:val="clear" w:color="auto" w:fill="auto"/>
            <w:tcMar>
              <w:top w:w="100" w:type="dxa"/>
              <w:left w:w="100" w:type="dxa"/>
              <w:bottom w:w="100" w:type="dxa"/>
              <w:right w:w="100" w:type="dxa"/>
            </w:tcMar>
          </w:tcPr>
          <w:p w14:paraId="1609F31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81</w:t>
            </w:r>
          </w:p>
        </w:tc>
        <w:tc>
          <w:tcPr>
            <w:tcW w:w="1500" w:type="dxa"/>
            <w:shd w:val="clear" w:color="auto" w:fill="auto"/>
            <w:tcMar>
              <w:top w:w="100" w:type="dxa"/>
              <w:left w:w="100" w:type="dxa"/>
              <w:bottom w:w="100" w:type="dxa"/>
              <w:right w:w="100" w:type="dxa"/>
            </w:tcMar>
          </w:tcPr>
          <w:p w14:paraId="16C012A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22.765</w:t>
            </w:r>
          </w:p>
        </w:tc>
        <w:tc>
          <w:tcPr>
            <w:tcW w:w="1500" w:type="dxa"/>
            <w:shd w:val="clear" w:color="auto" w:fill="auto"/>
            <w:tcMar>
              <w:top w:w="100" w:type="dxa"/>
              <w:left w:w="100" w:type="dxa"/>
              <w:bottom w:w="100" w:type="dxa"/>
              <w:right w:w="100" w:type="dxa"/>
            </w:tcMar>
          </w:tcPr>
          <w:p w14:paraId="61983AD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4.208</w:t>
            </w:r>
          </w:p>
        </w:tc>
        <w:tc>
          <w:tcPr>
            <w:tcW w:w="1500" w:type="dxa"/>
            <w:shd w:val="clear" w:color="auto" w:fill="auto"/>
            <w:tcMar>
              <w:top w:w="100" w:type="dxa"/>
              <w:left w:w="100" w:type="dxa"/>
              <w:bottom w:w="100" w:type="dxa"/>
              <w:right w:w="100" w:type="dxa"/>
            </w:tcMar>
          </w:tcPr>
          <w:p w14:paraId="2816A12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0.468</w:t>
            </w:r>
          </w:p>
        </w:tc>
        <w:tc>
          <w:tcPr>
            <w:tcW w:w="1665" w:type="dxa"/>
            <w:shd w:val="clear" w:color="auto" w:fill="auto"/>
            <w:tcMar>
              <w:top w:w="100" w:type="dxa"/>
              <w:left w:w="100" w:type="dxa"/>
              <w:bottom w:w="100" w:type="dxa"/>
              <w:right w:w="100" w:type="dxa"/>
            </w:tcMar>
          </w:tcPr>
          <w:p w14:paraId="0731147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0.185</w:t>
            </w:r>
          </w:p>
        </w:tc>
      </w:tr>
    </w:tbl>
    <w:p w14:paraId="6A468226" w14:textId="77777777" w:rsidR="00487CB5" w:rsidRDefault="00487CB5">
      <w:pPr>
        <w:rPr>
          <w:rFonts w:ascii="Times New Roman" w:eastAsia="Times New Roman" w:hAnsi="Times New Roman" w:cs="Times New Roman"/>
        </w:rPr>
      </w:pPr>
    </w:p>
    <w:p w14:paraId="2DFBCEDD"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p = 0.532</w:t>
      </w:r>
    </w:p>
    <w:p w14:paraId="303BB82C" w14:textId="77777777" w:rsidR="00487CB5" w:rsidRDefault="00487CB5">
      <w:pPr>
        <w:rPr>
          <w:rFonts w:ascii="Times New Roman" w:eastAsia="Times New Roman" w:hAnsi="Times New Roman" w:cs="Times New Roman"/>
        </w:rPr>
      </w:pPr>
    </w:p>
    <w:p w14:paraId="7E153930" w14:textId="77777777" w:rsidR="00487CB5" w:rsidRDefault="002B62DD">
      <w:pPr>
        <w:rPr>
          <w:rFonts w:ascii="Times New Roman" w:eastAsia="Times New Roman" w:hAnsi="Times New Roman" w:cs="Times New Roman"/>
          <w:b/>
        </w:rPr>
      </w:pPr>
      <w:r>
        <w:rPr>
          <w:rFonts w:ascii="Times New Roman" w:eastAsia="Times New Roman" w:hAnsi="Times New Roman" w:cs="Times New Roman"/>
          <w:b/>
        </w:rPr>
        <w:t>Mediation</w:t>
      </w:r>
    </w:p>
    <w:p w14:paraId="0F3FD20A" w14:textId="77777777" w:rsidR="00487CB5" w:rsidRDefault="00487CB5">
      <w:pPr>
        <w:rPr>
          <w:rFonts w:ascii="Times New Roman" w:eastAsia="Times New Roman" w:hAnsi="Times New Roman" w:cs="Times New Roman"/>
          <w:b/>
        </w:rPr>
      </w:pPr>
    </w:p>
    <w:p w14:paraId="1E6976D1" w14:textId="77777777" w:rsidR="00487CB5" w:rsidRDefault="002B62DD">
      <w:pPr>
        <w:spacing w:after="120"/>
        <w:jc w:val="both"/>
        <w:rPr>
          <w:rFonts w:ascii="Times New Roman" w:eastAsia="Times New Roman" w:hAnsi="Times New Roman" w:cs="Times New Roman"/>
          <w:b/>
        </w:rPr>
      </w:pPr>
      <w:r>
        <w:rPr>
          <w:rFonts w:ascii="Times New Roman" w:eastAsia="Times New Roman" w:hAnsi="Times New Roman" w:cs="Times New Roman"/>
          <w:b/>
          <w:noProof/>
          <w:lang w:val="en-US" w:eastAsia="en-US"/>
        </w:rPr>
        <w:drawing>
          <wp:inline distT="114300" distB="114300" distL="114300" distR="114300" wp14:anchorId="25E8E4D7" wp14:editId="04F29849">
            <wp:extent cx="5640019" cy="28968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l="2491" t="4374" r="3320" b="9714"/>
                    <a:stretch>
                      <a:fillRect/>
                    </a:stretch>
                  </pic:blipFill>
                  <pic:spPr bwMode="auto">
                    <a:xfrm>
                      <a:off x="0" y="0"/>
                      <a:ext cx="5641077" cy="2897364"/>
                    </a:xfrm>
                    <a:prstGeom prst="rect">
                      <a:avLst/>
                    </a:prstGeom>
                    <a:ln>
                      <a:noFill/>
                    </a:ln>
                    <a:extLst>
                      <a:ext uri="{53640926-AAD7-44D8-BBD7-CCE9431645EC}">
                        <a14:shadowObscured xmlns:a14="http://schemas.microsoft.com/office/drawing/2010/main"/>
                      </a:ext>
                    </a:extLst>
                  </pic:spPr>
                </pic:pic>
              </a:graphicData>
            </a:graphic>
          </wp:inline>
        </w:drawing>
      </w:r>
    </w:p>
    <w:p w14:paraId="4EFFF7B5" w14:textId="77777777" w:rsidR="00487CB5" w:rsidRDefault="002B62DD">
      <w:pPr>
        <w:spacing w:after="120"/>
        <w:jc w:val="both"/>
        <w:rPr>
          <w:rFonts w:ascii="Times New Roman" w:eastAsia="Times New Roman" w:hAnsi="Times New Roman" w:cs="Times New Roman"/>
        </w:rPr>
      </w:pPr>
      <w:r>
        <w:rPr>
          <w:rFonts w:ascii="Times New Roman" w:eastAsia="Times New Roman" w:hAnsi="Times New Roman" w:cs="Times New Roman"/>
          <w:b/>
        </w:rPr>
        <w:t>(A-B-C)</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(e₁.₁ - e₁.₂) </w:t>
      </w:r>
      <w:r>
        <w:rPr>
          <w:rFonts w:ascii="Times New Roman" w:eastAsia="Times New Roman" w:hAnsi="Times New Roman" w:cs="Times New Roman"/>
          <w:highlight w:val="white"/>
        </w:rPr>
        <w:t xml:space="preserve">Multiple regression was used to test the mediation model. Table </w:t>
      </w:r>
      <w:r>
        <w:rPr>
          <w:rFonts w:ascii="Times New Roman" w:eastAsia="Times New Roman" w:hAnsi="Times New Roman" w:cs="Times New Roman"/>
          <w:b/>
          <w:highlight w:val="white"/>
        </w:rPr>
        <w:t>13</w:t>
      </w:r>
      <w:r>
        <w:rPr>
          <w:rFonts w:ascii="Times New Roman" w:eastAsia="Times New Roman" w:hAnsi="Times New Roman" w:cs="Times New Roman"/>
          <w:highlight w:val="white"/>
        </w:rPr>
        <w:t xml:space="preserve"> reveals that </w:t>
      </w:r>
      <w:r>
        <w:rPr>
          <w:rFonts w:ascii="Times New Roman" w:eastAsia="Times New Roman" w:hAnsi="Times New Roman" w:cs="Times New Roman"/>
        </w:rPr>
        <w:t xml:space="preserve">(a.) </w:t>
      </w:r>
      <w:r>
        <w:rPr>
          <w:rFonts w:ascii="Times New Roman" w:eastAsia="Times New Roman" w:hAnsi="Times New Roman" w:cs="Times New Roman"/>
          <w:b/>
        </w:rPr>
        <w:t>Personal Norms</w:t>
      </w:r>
      <w:r>
        <w:rPr>
          <w:rFonts w:ascii="Times New Roman" w:eastAsia="Times New Roman" w:hAnsi="Times New Roman" w:cs="Times New Roman"/>
          <w:highlight w:val="white"/>
        </w:rPr>
        <w:t xml:space="preserve"> positively predict </w:t>
      </w:r>
      <w:r>
        <w:rPr>
          <w:rFonts w:ascii="Times New Roman" w:eastAsia="Times New Roman" w:hAnsi="Times New Roman" w:cs="Times New Roman"/>
        </w:rPr>
        <w:t xml:space="preserve">(c.) </w:t>
      </w:r>
      <w:r>
        <w:rPr>
          <w:rFonts w:ascii="Times New Roman" w:eastAsia="Times New Roman" w:hAnsi="Times New Roman" w:cs="Times New Roman"/>
          <w:b/>
        </w:rPr>
        <w:t>Green Purchase</w:t>
      </w:r>
      <w:r>
        <w:rPr>
          <w:rFonts w:ascii="Times New Roman" w:eastAsia="Times New Roman" w:hAnsi="Times New Roman" w:cs="Times New Roman"/>
          <w:highlight w:val="white"/>
        </w:rPr>
        <w:t xml:space="preserve">, ß = .274 (95% CI: 0.220, 0.328), z=9.993, p&lt;.001. Furthermore, </w:t>
      </w:r>
      <w:r>
        <w:rPr>
          <w:rFonts w:ascii="Times New Roman" w:eastAsia="Times New Roman" w:hAnsi="Times New Roman" w:cs="Times New Roman"/>
        </w:rPr>
        <w:t xml:space="preserve">(b.) </w:t>
      </w:r>
      <w:r>
        <w:rPr>
          <w:rFonts w:ascii="Times New Roman" w:eastAsia="Times New Roman" w:hAnsi="Times New Roman" w:cs="Times New Roman"/>
          <w:b/>
        </w:rPr>
        <w:t>Green Purchase Intention</w:t>
      </w:r>
      <w:r>
        <w:rPr>
          <w:rFonts w:ascii="Times New Roman" w:eastAsia="Times New Roman" w:hAnsi="Times New Roman" w:cs="Times New Roman"/>
          <w:highlight w:val="white"/>
        </w:rPr>
        <w:t xml:space="preserve"> significantly mediates this relationship, ß= 0.191 </w:t>
      </w:r>
      <w:r>
        <w:rPr>
          <w:rFonts w:ascii="Times New Roman" w:eastAsia="Times New Roman" w:hAnsi="Times New Roman" w:cs="Times New Roman"/>
          <w:highlight w:val="white"/>
        </w:rPr>
        <w:lastRenderedPageBreak/>
        <w:t xml:space="preserve">(95% CI: 0.143, 0.238), z=7.880, p&lt;.001. It is estimated that </w:t>
      </w:r>
      <w:r>
        <w:rPr>
          <w:rFonts w:ascii="Times New Roman" w:eastAsia="Times New Roman" w:hAnsi="Times New Roman" w:cs="Times New Roman"/>
        </w:rPr>
        <w:t xml:space="preserve">(b.) </w:t>
      </w:r>
      <w:r>
        <w:rPr>
          <w:rFonts w:ascii="Times New Roman" w:eastAsia="Times New Roman" w:hAnsi="Times New Roman" w:cs="Times New Roman"/>
          <w:b/>
        </w:rPr>
        <w:t>Green Purchase intention</w:t>
      </w:r>
      <w:r>
        <w:rPr>
          <w:rFonts w:ascii="Times New Roman" w:eastAsia="Times New Roman" w:hAnsi="Times New Roman" w:cs="Times New Roman"/>
        </w:rPr>
        <w:t xml:space="preserve"> accounts for 68.71 % of (a.) </w:t>
      </w:r>
      <w:r>
        <w:rPr>
          <w:rFonts w:ascii="Times New Roman" w:eastAsia="Times New Roman" w:hAnsi="Times New Roman" w:cs="Times New Roman"/>
          <w:b/>
        </w:rPr>
        <w:t>Personal Norms</w:t>
      </w:r>
      <w:r>
        <w:rPr>
          <w:rFonts w:ascii="Times New Roman" w:eastAsia="Times New Roman" w:hAnsi="Times New Roman" w:cs="Times New Roman"/>
        </w:rPr>
        <w:t xml:space="preserve">’ Effect on (c.) </w:t>
      </w:r>
      <w:proofErr w:type="spellStart"/>
      <w:r>
        <w:rPr>
          <w:rFonts w:ascii="Times New Roman" w:eastAsia="Times New Roman" w:hAnsi="Times New Roman" w:cs="Times New Roman"/>
          <w:b/>
        </w:rPr>
        <w:t>GreenPurchase</w:t>
      </w:r>
      <w:proofErr w:type="spellEnd"/>
      <w:r>
        <w:rPr>
          <w:rFonts w:ascii="Times New Roman" w:eastAsia="Times New Roman" w:hAnsi="Times New Roman" w:cs="Times New Roman"/>
          <w:highlight w:val="white"/>
        </w:rPr>
        <w:t>. Nevertheless, (</w:t>
      </w:r>
      <w:r>
        <w:rPr>
          <w:rFonts w:ascii="Times New Roman" w:eastAsia="Times New Roman" w:hAnsi="Times New Roman" w:cs="Times New Roman"/>
        </w:rPr>
        <w:t xml:space="preserve">a.) </w:t>
      </w:r>
      <w:r>
        <w:rPr>
          <w:rFonts w:ascii="Times New Roman" w:eastAsia="Times New Roman" w:hAnsi="Times New Roman" w:cs="Times New Roman"/>
          <w:b/>
        </w:rPr>
        <w:t>Personal Norms</w:t>
      </w:r>
      <w:r>
        <w:rPr>
          <w:rFonts w:ascii="Times New Roman" w:eastAsia="Times New Roman" w:hAnsi="Times New Roman" w:cs="Times New Roman"/>
          <w:highlight w:val="white"/>
        </w:rPr>
        <w:t xml:space="preserve"> still have a significant positive direct effect</w:t>
      </w:r>
      <w:r>
        <w:rPr>
          <w:rFonts w:ascii="Times New Roman" w:eastAsia="Times New Roman" w:hAnsi="Times New Roman" w:cs="Times New Roman"/>
        </w:rPr>
        <w:t xml:space="preserve">, ß= 0.083 (95% CI: 0.029, 0.147), z = 2.581, p = 0.010. (H 9.1) </w:t>
      </w:r>
    </w:p>
    <w:p w14:paraId="4CCEB50B" w14:textId="77777777" w:rsidR="00487CB5" w:rsidRDefault="00487CB5">
      <w:pPr>
        <w:spacing w:after="160"/>
        <w:rPr>
          <w:rFonts w:ascii="Times New Roman" w:eastAsia="Times New Roman" w:hAnsi="Times New Roman" w:cs="Times New Roman"/>
        </w:rPr>
      </w:pPr>
    </w:p>
    <w:tbl>
      <w:tblPr>
        <w:tblStyle w:val="ab"/>
        <w:tblW w:w="9780" w:type="dxa"/>
        <w:tblInd w:w="-632" w:type="dxa"/>
        <w:tblBorders>
          <w:top w:val="nil"/>
          <w:left w:val="nil"/>
          <w:bottom w:val="nil"/>
          <w:right w:val="nil"/>
          <w:insideH w:val="nil"/>
          <w:insideV w:val="nil"/>
        </w:tblBorders>
        <w:tblLayout w:type="fixed"/>
        <w:tblLook w:val="0600" w:firstRow="0" w:lastRow="0" w:firstColumn="0" w:lastColumn="0" w:noHBand="1" w:noVBand="1"/>
      </w:tblPr>
      <w:tblGrid>
        <w:gridCol w:w="915"/>
        <w:gridCol w:w="525"/>
        <w:gridCol w:w="240"/>
        <w:gridCol w:w="345"/>
        <w:gridCol w:w="240"/>
        <w:gridCol w:w="720"/>
        <w:gridCol w:w="240"/>
        <w:gridCol w:w="810"/>
        <w:gridCol w:w="450"/>
        <w:gridCol w:w="690"/>
        <w:gridCol w:w="405"/>
        <w:gridCol w:w="840"/>
        <w:gridCol w:w="750"/>
        <w:gridCol w:w="1080"/>
        <w:gridCol w:w="240"/>
        <w:gridCol w:w="1050"/>
        <w:gridCol w:w="240"/>
      </w:tblGrid>
      <w:tr w:rsidR="00487CB5" w14:paraId="605F63C9" w14:textId="77777777">
        <w:trPr>
          <w:trHeight w:val="515"/>
        </w:trPr>
        <w:tc>
          <w:tcPr>
            <w:tcW w:w="915" w:type="dxa"/>
            <w:tcBorders>
              <w:top w:val="nil"/>
              <w:left w:val="nil"/>
              <w:bottom w:val="single" w:sz="6" w:space="0" w:color="000000"/>
              <w:right w:val="nil"/>
            </w:tcBorders>
            <w:tcMar>
              <w:top w:w="100" w:type="dxa"/>
              <w:left w:w="100" w:type="dxa"/>
              <w:bottom w:w="100" w:type="dxa"/>
              <w:right w:w="100" w:type="dxa"/>
            </w:tcMar>
          </w:tcPr>
          <w:p w14:paraId="31043C1E" w14:textId="77777777" w:rsidR="00487CB5" w:rsidRDefault="00487CB5">
            <w:pPr>
              <w:spacing w:after="160"/>
              <w:rPr>
                <w:rFonts w:ascii="Times New Roman" w:eastAsia="Times New Roman" w:hAnsi="Times New Roman" w:cs="Times New Roman"/>
                <w:b/>
              </w:rPr>
            </w:pPr>
          </w:p>
        </w:tc>
        <w:tc>
          <w:tcPr>
            <w:tcW w:w="8865" w:type="dxa"/>
            <w:gridSpan w:val="16"/>
            <w:tcBorders>
              <w:top w:val="nil"/>
              <w:left w:val="nil"/>
              <w:bottom w:val="single" w:sz="6" w:space="0" w:color="000000"/>
              <w:right w:val="nil"/>
            </w:tcBorders>
            <w:tcMar>
              <w:top w:w="100" w:type="dxa"/>
              <w:left w:w="100" w:type="dxa"/>
              <w:bottom w:w="100" w:type="dxa"/>
              <w:right w:w="100" w:type="dxa"/>
            </w:tcMar>
          </w:tcPr>
          <w:p w14:paraId="0A830B91"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b/>
              </w:rPr>
              <w:t xml:space="preserve">TABLE 13. </w:t>
            </w:r>
            <w:r>
              <w:rPr>
                <w:rFonts w:ascii="Times New Roman" w:eastAsia="Times New Roman" w:hAnsi="Times New Roman" w:cs="Times New Roman"/>
              </w:rPr>
              <w:t>Results of Mediation Analysis (A-B-C)</w:t>
            </w:r>
          </w:p>
        </w:tc>
      </w:tr>
      <w:tr w:rsidR="00487CB5" w14:paraId="56FDF36A"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4683F301" w14:textId="77777777" w:rsidR="00487CB5" w:rsidRDefault="00487CB5">
            <w:pPr>
              <w:spacing w:after="160"/>
              <w:jc w:val="center"/>
              <w:rPr>
                <w:rFonts w:ascii="Times New Roman" w:eastAsia="Times New Roman" w:hAnsi="Times New Roman" w:cs="Times New Roman"/>
              </w:rPr>
            </w:pPr>
          </w:p>
        </w:tc>
        <w:tc>
          <w:tcPr>
            <w:tcW w:w="6255" w:type="dxa"/>
            <w:gridSpan w:val="12"/>
            <w:tcBorders>
              <w:top w:val="nil"/>
              <w:left w:val="nil"/>
              <w:bottom w:val="nil"/>
              <w:right w:val="nil"/>
            </w:tcBorders>
            <w:shd w:val="clear" w:color="auto" w:fill="auto"/>
            <w:tcMar>
              <w:top w:w="100" w:type="dxa"/>
              <w:left w:w="100" w:type="dxa"/>
              <w:bottom w:w="100" w:type="dxa"/>
              <w:right w:w="100" w:type="dxa"/>
            </w:tcMar>
          </w:tcPr>
          <w:p w14:paraId="4F0E5729" w14:textId="77777777" w:rsidR="00487CB5" w:rsidRDefault="00487CB5">
            <w:pPr>
              <w:spacing w:after="160"/>
              <w:jc w:val="center"/>
              <w:rPr>
                <w:rFonts w:ascii="Times New Roman" w:eastAsia="Times New Roman" w:hAnsi="Times New Roman" w:cs="Times New Roman"/>
              </w:rPr>
            </w:pPr>
          </w:p>
        </w:tc>
        <w:tc>
          <w:tcPr>
            <w:tcW w:w="2610"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7432AC03"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95% Confidence Interval</w:t>
            </w:r>
          </w:p>
        </w:tc>
      </w:tr>
      <w:tr w:rsidR="00487CB5" w14:paraId="7A3659F5" w14:textId="77777777">
        <w:trPr>
          <w:trHeight w:val="515"/>
        </w:trPr>
        <w:tc>
          <w:tcPr>
            <w:tcW w:w="915" w:type="dxa"/>
            <w:tcBorders>
              <w:top w:val="nil"/>
              <w:left w:val="nil"/>
              <w:bottom w:val="single" w:sz="6" w:space="0" w:color="000000"/>
              <w:right w:val="nil"/>
            </w:tcBorders>
            <w:shd w:val="clear" w:color="auto" w:fill="auto"/>
            <w:tcMar>
              <w:top w:w="100" w:type="dxa"/>
              <w:left w:w="100" w:type="dxa"/>
              <w:bottom w:w="100" w:type="dxa"/>
              <w:right w:w="100" w:type="dxa"/>
            </w:tcMar>
          </w:tcPr>
          <w:p w14:paraId="676FFAF4" w14:textId="77777777" w:rsidR="00487CB5" w:rsidRDefault="002B62DD">
            <w:pPr>
              <w:spacing w:after="160"/>
              <w:rPr>
                <w:rFonts w:ascii="Times New Roman" w:eastAsia="Times New Roman" w:hAnsi="Times New Roman" w:cs="Times New Roman"/>
                <w:b/>
              </w:rPr>
            </w:pPr>
            <w:r>
              <w:rPr>
                <w:rFonts w:ascii="Times New Roman" w:eastAsia="Times New Roman" w:hAnsi="Times New Roman" w:cs="Times New Roman"/>
                <w:b/>
              </w:rPr>
              <w:t>Effect</w:t>
            </w:r>
          </w:p>
        </w:tc>
        <w:tc>
          <w:tcPr>
            <w:tcW w:w="76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4DFB4D7D"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545"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3CD88F00"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26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5AF2BDA1"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Estimate (</w:t>
            </w:r>
            <w:r>
              <w:rPr>
                <w:rFonts w:ascii="Times New Roman" w:eastAsia="Times New Roman" w:hAnsi="Times New Roman" w:cs="Times New Roman"/>
                <w:highlight w:val="white"/>
              </w:rPr>
              <w:t>ß</w:t>
            </w:r>
            <w:r>
              <w:rPr>
                <w:rFonts w:ascii="Times New Roman" w:eastAsia="Times New Roman" w:hAnsi="Times New Roman" w:cs="Times New Roman"/>
                <w:b/>
              </w:rPr>
              <w:t>)</w:t>
            </w:r>
          </w:p>
        </w:tc>
        <w:tc>
          <w:tcPr>
            <w:tcW w:w="109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2D61A008"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Std. Error</w:t>
            </w:r>
          </w:p>
        </w:tc>
        <w:tc>
          <w:tcPr>
            <w:tcW w:w="840" w:type="dxa"/>
            <w:tcBorders>
              <w:top w:val="nil"/>
              <w:left w:val="nil"/>
              <w:bottom w:val="single" w:sz="6" w:space="0" w:color="000000"/>
              <w:right w:val="nil"/>
            </w:tcBorders>
            <w:shd w:val="clear" w:color="auto" w:fill="auto"/>
            <w:tcMar>
              <w:top w:w="100" w:type="dxa"/>
              <w:left w:w="100" w:type="dxa"/>
              <w:bottom w:w="100" w:type="dxa"/>
              <w:right w:w="100" w:type="dxa"/>
            </w:tcMar>
          </w:tcPr>
          <w:p w14:paraId="154524E1"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z-value</w:t>
            </w:r>
          </w:p>
        </w:tc>
        <w:tc>
          <w:tcPr>
            <w:tcW w:w="750" w:type="dxa"/>
            <w:tcBorders>
              <w:top w:val="nil"/>
              <w:left w:val="nil"/>
              <w:bottom w:val="single" w:sz="6" w:space="0" w:color="000000"/>
              <w:right w:val="nil"/>
            </w:tcBorders>
            <w:shd w:val="clear" w:color="auto" w:fill="auto"/>
            <w:tcMar>
              <w:top w:w="100" w:type="dxa"/>
              <w:left w:w="100" w:type="dxa"/>
              <w:bottom w:w="100" w:type="dxa"/>
              <w:right w:w="100" w:type="dxa"/>
            </w:tcMar>
          </w:tcPr>
          <w:p w14:paraId="18A49AA4"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p</w:t>
            </w:r>
          </w:p>
        </w:tc>
        <w:tc>
          <w:tcPr>
            <w:tcW w:w="132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7DCD4351"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Lower</w:t>
            </w:r>
          </w:p>
        </w:tc>
        <w:tc>
          <w:tcPr>
            <w:tcW w:w="129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469C6E0A"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Upper</w:t>
            </w:r>
          </w:p>
        </w:tc>
      </w:tr>
      <w:tr w:rsidR="00487CB5" w14:paraId="0E2273DC"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12261487"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Direct</w:t>
            </w:r>
          </w:p>
        </w:tc>
        <w:tc>
          <w:tcPr>
            <w:tcW w:w="525" w:type="dxa"/>
            <w:tcBorders>
              <w:top w:val="nil"/>
              <w:left w:val="nil"/>
              <w:bottom w:val="nil"/>
              <w:right w:val="nil"/>
            </w:tcBorders>
            <w:shd w:val="clear" w:color="auto" w:fill="auto"/>
            <w:tcMar>
              <w:top w:w="100" w:type="dxa"/>
              <w:left w:w="100" w:type="dxa"/>
              <w:bottom w:w="100" w:type="dxa"/>
              <w:right w:w="100" w:type="dxa"/>
            </w:tcMar>
          </w:tcPr>
          <w:p w14:paraId="59EE30B8"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A</w:t>
            </w:r>
          </w:p>
        </w:tc>
        <w:tc>
          <w:tcPr>
            <w:tcW w:w="240" w:type="dxa"/>
            <w:tcBorders>
              <w:top w:val="nil"/>
              <w:left w:val="nil"/>
              <w:bottom w:val="nil"/>
              <w:right w:val="nil"/>
            </w:tcBorders>
            <w:shd w:val="clear" w:color="auto" w:fill="auto"/>
            <w:tcMar>
              <w:top w:w="100" w:type="dxa"/>
              <w:left w:w="100" w:type="dxa"/>
              <w:bottom w:w="100" w:type="dxa"/>
              <w:right w:w="100" w:type="dxa"/>
            </w:tcMar>
          </w:tcPr>
          <w:p w14:paraId="21CFED18"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40C77AED"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3FC39B55"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4E2ADF6C"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C</w:t>
            </w:r>
          </w:p>
        </w:tc>
        <w:tc>
          <w:tcPr>
            <w:tcW w:w="240" w:type="dxa"/>
            <w:tcBorders>
              <w:top w:val="nil"/>
              <w:left w:val="nil"/>
              <w:bottom w:val="nil"/>
              <w:right w:val="nil"/>
            </w:tcBorders>
            <w:shd w:val="clear" w:color="auto" w:fill="auto"/>
            <w:tcMar>
              <w:top w:w="100" w:type="dxa"/>
              <w:left w:w="100" w:type="dxa"/>
              <w:bottom w:w="100" w:type="dxa"/>
              <w:right w:w="100" w:type="dxa"/>
            </w:tcMar>
          </w:tcPr>
          <w:p w14:paraId="5DCA2061"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2E49038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0.083</w:t>
            </w:r>
          </w:p>
        </w:tc>
        <w:tc>
          <w:tcPr>
            <w:tcW w:w="450" w:type="dxa"/>
            <w:tcBorders>
              <w:top w:val="nil"/>
              <w:left w:val="nil"/>
              <w:bottom w:val="nil"/>
              <w:right w:val="nil"/>
            </w:tcBorders>
            <w:shd w:val="clear" w:color="auto" w:fill="auto"/>
            <w:tcMar>
              <w:top w:w="100" w:type="dxa"/>
              <w:left w:w="100" w:type="dxa"/>
              <w:bottom w:w="100" w:type="dxa"/>
              <w:right w:w="100" w:type="dxa"/>
            </w:tcMar>
          </w:tcPr>
          <w:p w14:paraId="42192729"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5A0036EB"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0.032</w:t>
            </w:r>
          </w:p>
        </w:tc>
        <w:tc>
          <w:tcPr>
            <w:tcW w:w="405" w:type="dxa"/>
            <w:tcBorders>
              <w:top w:val="nil"/>
              <w:left w:val="nil"/>
              <w:bottom w:val="nil"/>
              <w:right w:val="nil"/>
            </w:tcBorders>
            <w:shd w:val="clear" w:color="auto" w:fill="auto"/>
            <w:tcMar>
              <w:top w:w="100" w:type="dxa"/>
              <w:left w:w="100" w:type="dxa"/>
              <w:bottom w:w="100" w:type="dxa"/>
              <w:right w:w="100" w:type="dxa"/>
            </w:tcMar>
          </w:tcPr>
          <w:p w14:paraId="5547CC35"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3E71EA3E"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2.581</w:t>
            </w:r>
          </w:p>
        </w:tc>
        <w:tc>
          <w:tcPr>
            <w:tcW w:w="750" w:type="dxa"/>
            <w:tcBorders>
              <w:top w:val="nil"/>
              <w:left w:val="nil"/>
              <w:bottom w:val="nil"/>
              <w:right w:val="nil"/>
            </w:tcBorders>
            <w:shd w:val="clear" w:color="auto" w:fill="auto"/>
            <w:tcMar>
              <w:top w:w="100" w:type="dxa"/>
              <w:left w:w="100" w:type="dxa"/>
              <w:bottom w:w="100" w:type="dxa"/>
              <w:right w:w="100" w:type="dxa"/>
            </w:tcMar>
          </w:tcPr>
          <w:p w14:paraId="33340FF6"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0.010</w:t>
            </w:r>
          </w:p>
        </w:tc>
        <w:tc>
          <w:tcPr>
            <w:tcW w:w="1080" w:type="dxa"/>
            <w:tcBorders>
              <w:top w:val="nil"/>
              <w:left w:val="nil"/>
              <w:bottom w:val="nil"/>
              <w:right w:val="nil"/>
            </w:tcBorders>
            <w:shd w:val="clear" w:color="auto" w:fill="auto"/>
            <w:tcMar>
              <w:top w:w="100" w:type="dxa"/>
              <w:left w:w="100" w:type="dxa"/>
              <w:bottom w:w="100" w:type="dxa"/>
              <w:right w:w="100" w:type="dxa"/>
            </w:tcMar>
          </w:tcPr>
          <w:p w14:paraId="6F55161F"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0.020</w:t>
            </w:r>
          </w:p>
        </w:tc>
        <w:tc>
          <w:tcPr>
            <w:tcW w:w="240" w:type="dxa"/>
            <w:tcBorders>
              <w:top w:val="nil"/>
              <w:left w:val="nil"/>
              <w:bottom w:val="nil"/>
              <w:right w:val="nil"/>
            </w:tcBorders>
            <w:shd w:val="clear" w:color="auto" w:fill="auto"/>
            <w:tcMar>
              <w:top w:w="100" w:type="dxa"/>
              <w:left w:w="100" w:type="dxa"/>
              <w:bottom w:w="100" w:type="dxa"/>
              <w:right w:w="100" w:type="dxa"/>
            </w:tcMar>
          </w:tcPr>
          <w:p w14:paraId="2E3EA796"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34AFF6F1"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0.147</w:t>
            </w:r>
          </w:p>
        </w:tc>
        <w:tc>
          <w:tcPr>
            <w:tcW w:w="240" w:type="dxa"/>
            <w:tcBorders>
              <w:top w:val="nil"/>
              <w:left w:val="nil"/>
              <w:bottom w:val="nil"/>
              <w:right w:val="nil"/>
            </w:tcBorders>
            <w:shd w:val="clear" w:color="auto" w:fill="auto"/>
            <w:tcMar>
              <w:top w:w="100" w:type="dxa"/>
              <w:left w:w="100" w:type="dxa"/>
              <w:bottom w:w="100" w:type="dxa"/>
              <w:right w:w="100" w:type="dxa"/>
            </w:tcMar>
          </w:tcPr>
          <w:p w14:paraId="5DA14009" w14:textId="77777777" w:rsidR="00487CB5" w:rsidRDefault="00487CB5">
            <w:pPr>
              <w:spacing w:after="160"/>
              <w:rPr>
                <w:rFonts w:ascii="Times New Roman" w:eastAsia="Times New Roman" w:hAnsi="Times New Roman" w:cs="Times New Roman"/>
              </w:rPr>
            </w:pPr>
          </w:p>
        </w:tc>
      </w:tr>
      <w:tr w:rsidR="00487CB5" w14:paraId="47F501DB"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5AC3898D"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Indirect</w:t>
            </w:r>
          </w:p>
        </w:tc>
        <w:tc>
          <w:tcPr>
            <w:tcW w:w="2070" w:type="dxa"/>
            <w:gridSpan w:val="5"/>
            <w:tcBorders>
              <w:top w:val="nil"/>
              <w:left w:val="nil"/>
              <w:bottom w:val="nil"/>
              <w:right w:val="nil"/>
            </w:tcBorders>
            <w:shd w:val="clear" w:color="auto" w:fill="auto"/>
            <w:tcMar>
              <w:top w:w="100" w:type="dxa"/>
              <w:left w:w="100" w:type="dxa"/>
              <w:bottom w:w="100" w:type="dxa"/>
              <w:right w:w="100" w:type="dxa"/>
            </w:tcMar>
          </w:tcPr>
          <w:p w14:paraId="1A80BCC4" w14:textId="77777777" w:rsidR="00487CB5" w:rsidRDefault="002B62DD">
            <w:pPr>
              <w:spacing w:after="160"/>
              <w:rPr>
                <w:rFonts w:ascii="Times New Roman" w:eastAsia="Times New Roman" w:hAnsi="Times New Roman" w:cs="Times New Roman"/>
              </w:rPr>
            </w:pPr>
            <w:r>
              <w:rPr>
                <w:rFonts w:ascii="Cardo" w:eastAsia="Cardo" w:hAnsi="Cardo" w:cs="Cardo"/>
              </w:rPr>
              <w:t>A     →      B      →   C</w:t>
            </w:r>
          </w:p>
        </w:tc>
        <w:tc>
          <w:tcPr>
            <w:tcW w:w="240" w:type="dxa"/>
            <w:tcBorders>
              <w:top w:val="nil"/>
              <w:left w:val="nil"/>
              <w:bottom w:val="nil"/>
              <w:right w:val="nil"/>
            </w:tcBorders>
            <w:shd w:val="clear" w:color="auto" w:fill="auto"/>
            <w:tcMar>
              <w:top w:w="100" w:type="dxa"/>
              <w:left w:w="100" w:type="dxa"/>
              <w:bottom w:w="100" w:type="dxa"/>
              <w:right w:w="100" w:type="dxa"/>
            </w:tcMar>
          </w:tcPr>
          <w:p w14:paraId="57D67D2C"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5A8CF63F"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0.191</w:t>
            </w:r>
          </w:p>
        </w:tc>
        <w:tc>
          <w:tcPr>
            <w:tcW w:w="450" w:type="dxa"/>
            <w:tcBorders>
              <w:top w:val="nil"/>
              <w:left w:val="nil"/>
              <w:bottom w:val="nil"/>
              <w:right w:val="nil"/>
            </w:tcBorders>
            <w:shd w:val="clear" w:color="auto" w:fill="auto"/>
            <w:tcMar>
              <w:top w:w="100" w:type="dxa"/>
              <w:left w:w="100" w:type="dxa"/>
              <w:bottom w:w="100" w:type="dxa"/>
              <w:right w:w="100" w:type="dxa"/>
            </w:tcMar>
          </w:tcPr>
          <w:p w14:paraId="6CCFB2FD"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7712878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0.024</w:t>
            </w:r>
          </w:p>
        </w:tc>
        <w:tc>
          <w:tcPr>
            <w:tcW w:w="405" w:type="dxa"/>
            <w:tcBorders>
              <w:top w:val="nil"/>
              <w:left w:val="nil"/>
              <w:bottom w:val="nil"/>
              <w:right w:val="nil"/>
            </w:tcBorders>
            <w:shd w:val="clear" w:color="auto" w:fill="auto"/>
            <w:tcMar>
              <w:top w:w="100" w:type="dxa"/>
              <w:left w:w="100" w:type="dxa"/>
              <w:bottom w:w="100" w:type="dxa"/>
              <w:right w:w="100" w:type="dxa"/>
            </w:tcMar>
          </w:tcPr>
          <w:p w14:paraId="1CE60403"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3F34A2F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7.880</w:t>
            </w:r>
          </w:p>
        </w:tc>
        <w:tc>
          <w:tcPr>
            <w:tcW w:w="750" w:type="dxa"/>
            <w:tcBorders>
              <w:top w:val="nil"/>
              <w:left w:val="nil"/>
              <w:bottom w:val="nil"/>
              <w:right w:val="nil"/>
            </w:tcBorders>
            <w:shd w:val="clear" w:color="auto" w:fill="auto"/>
            <w:tcMar>
              <w:top w:w="100" w:type="dxa"/>
              <w:left w:w="100" w:type="dxa"/>
              <w:bottom w:w="100" w:type="dxa"/>
              <w:right w:w="100" w:type="dxa"/>
            </w:tcMar>
          </w:tcPr>
          <w:p w14:paraId="615C6FDD"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&lt; .001</w:t>
            </w:r>
          </w:p>
        </w:tc>
        <w:tc>
          <w:tcPr>
            <w:tcW w:w="1080" w:type="dxa"/>
            <w:tcBorders>
              <w:top w:val="nil"/>
              <w:left w:val="nil"/>
              <w:bottom w:val="nil"/>
              <w:right w:val="nil"/>
            </w:tcBorders>
            <w:shd w:val="clear" w:color="auto" w:fill="auto"/>
            <w:tcMar>
              <w:top w:w="100" w:type="dxa"/>
              <w:left w:w="100" w:type="dxa"/>
              <w:bottom w:w="100" w:type="dxa"/>
              <w:right w:w="100" w:type="dxa"/>
            </w:tcMar>
          </w:tcPr>
          <w:p w14:paraId="323C497A"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0.143</w:t>
            </w:r>
          </w:p>
        </w:tc>
        <w:tc>
          <w:tcPr>
            <w:tcW w:w="240" w:type="dxa"/>
            <w:tcBorders>
              <w:top w:val="nil"/>
              <w:left w:val="nil"/>
              <w:bottom w:val="nil"/>
              <w:right w:val="nil"/>
            </w:tcBorders>
            <w:shd w:val="clear" w:color="auto" w:fill="auto"/>
            <w:tcMar>
              <w:top w:w="100" w:type="dxa"/>
              <w:left w:w="100" w:type="dxa"/>
              <w:bottom w:w="100" w:type="dxa"/>
              <w:right w:w="100" w:type="dxa"/>
            </w:tcMar>
          </w:tcPr>
          <w:p w14:paraId="4DDB9F24"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7D750F6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0.238</w:t>
            </w:r>
          </w:p>
        </w:tc>
        <w:tc>
          <w:tcPr>
            <w:tcW w:w="240" w:type="dxa"/>
            <w:tcBorders>
              <w:top w:val="nil"/>
              <w:left w:val="nil"/>
              <w:bottom w:val="nil"/>
              <w:right w:val="nil"/>
            </w:tcBorders>
            <w:shd w:val="clear" w:color="auto" w:fill="auto"/>
            <w:tcMar>
              <w:top w:w="100" w:type="dxa"/>
              <w:left w:w="100" w:type="dxa"/>
              <w:bottom w:w="100" w:type="dxa"/>
              <w:right w:w="100" w:type="dxa"/>
            </w:tcMar>
          </w:tcPr>
          <w:p w14:paraId="0EDCCEC5" w14:textId="77777777" w:rsidR="00487CB5" w:rsidRDefault="00487CB5">
            <w:pPr>
              <w:spacing w:after="160"/>
              <w:rPr>
                <w:rFonts w:ascii="Times New Roman" w:eastAsia="Times New Roman" w:hAnsi="Times New Roman" w:cs="Times New Roman"/>
              </w:rPr>
            </w:pPr>
          </w:p>
        </w:tc>
      </w:tr>
      <w:tr w:rsidR="00487CB5" w14:paraId="6C963055"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1D55016F"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Total</w:t>
            </w:r>
          </w:p>
        </w:tc>
        <w:tc>
          <w:tcPr>
            <w:tcW w:w="525" w:type="dxa"/>
            <w:tcBorders>
              <w:top w:val="nil"/>
              <w:left w:val="nil"/>
              <w:bottom w:val="nil"/>
              <w:right w:val="nil"/>
            </w:tcBorders>
            <w:shd w:val="clear" w:color="auto" w:fill="auto"/>
            <w:tcMar>
              <w:top w:w="100" w:type="dxa"/>
              <w:left w:w="100" w:type="dxa"/>
              <w:bottom w:w="100" w:type="dxa"/>
              <w:right w:w="100" w:type="dxa"/>
            </w:tcMar>
          </w:tcPr>
          <w:p w14:paraId="6124AEC1"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A</w:t>
            </w:r>
          </w:p>
        </w:tc>
        <w:tc>
          <w:tcPr>
            <w:tcW w:w="240" w:type="dxa"/>
            <w:tcBorders>
              <w:top w:val="nil"/>
              <w:left w:val="nil"/>
              <w:bottom w:val="nil"/>
              <w:right w:val="nil"/>
            </w:tcBorders>
            <w:shd w:val="clear" w:color="auto" w:fill="auto"/>
            <w:tcMar>
              <w:top w:w="100" w:type="dxa"/>
              <w:left w:w="100" w:type="dxa"/>
              <w:bottom w:w="100" w:type="dxa"/>
              <w:right w:w="100" w:type="dxa"/>
            </w:tcMar>
          </w:tcPr>
          <w:p w14:paraId="5750FB21"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58BEF2BC"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3072F6A8"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456D5523"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C</w:t>
            </w:r>
          </w:p>
        </w:tc>
        <w:tc>
          <w:tcPr>
            <w:tcW w:w="240" w:type="dxa"/>
            <w:tcBorders>
              <w:top w:val="nil"/>
              <w:left w:val="nil"/>
              <w:bottom w:val="nil"/>
              <w:right w:val="nil"/>
            </w:tcBorders>
            <w:shd w:val="clear" w:color="auto" w:fill="auto"/>
            <w:tcMar>
              <w:top w:w="100" w:type="dxa"/>
              <w:left w:w="100" w:type="dxa"/>
              <w:bottom w:w="100" w:type="dxa"/>
              <w:right w:w="100" w:type="dxa"/>
            </w:tcMar>
          </w:tcPr>
          <w:p w14:paraId="0E67EBD8"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43CF85ED"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0.274</w:t>
            </w:r>
          </w:p>
        </w:tc>
        <w:tc>
          <w:tcPr>
            <w:tcW w:w="450" w:type="dxa"/>
            <w:tcBorders>
              <w:top w:val="nil"/>
              <w:left w:val="nil"/>
              <w:bottom w:val="nil"/>
              <w:right w:val="nil"/>
            </w:tcBorders>
            <w:shd w:val="clear" w:color="auto" w:fill="auto"/>
            <w:tcMar>
              <w:top w:w="100" w:type="dxa"/>
              <w:left w:w="100" w:type="dxa"/>
              <w:bottom w:w="100" w:type="dxa"/>
              <w:right w:w="100" w:type="dxa"/>
            </w:tcMar>
          </w:tcPr>
          <w:p w14:paraId="0B51A161"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55A8B644"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0.027</w:t>
            </w:r>
          </w:p>
        </w:tc>
        <w:tc>
          <w:tcPr>
            <w:tcW w:w="405" w:type="dxa"/>
            <w:tcBorders>
              <w:top w:val="nil"/>
              <w:left w:val="nil"/>
              <w:bottom w:val="nil"/>
              <w:right w:val="nil"/>
            </w:tcBorders>
            <w:shd w:val="clear" w:color="auto" w:fill="auto"/>
            <w:tcMar>
              <w:top w:w="100" w:type="dxa"/>
              <w:left w:w="100" w:type="dxa"/>
              <w:bottom w:w="100" w:type="dxa"/>
              <w:right w:w="100" w:type="dxa"/>
            </w:tcMar>
          </w:tcPr>
          <w:p w14:paraId="4465391A"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7A4C719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9.993</w:t>
            </w:r>
          </w:p>
        </w:tc>
        <w:tc>
          <w:tcPr>
            <w:tcW w:w="750" w:type="dxa"/>
            <w:tcBorders>
              <w:top w:val="nil"/>
              <w:left w:val="nil"/>
              <w:bottom w:val="nil"/>
              <w:right w:val="nil"/>
            </w:tcBorders>
            <w:shd w:val="clear" w:color="auto" w:fill="auto"/>
            <w:tcMar>
              <w:top w:w="100" w:type="dxa"/>
              <w:left w:w="100" w:type="dxa"/>
              <w:bottom w:w="100" w:type="dxa"/>
              <w:right w:w="100" w:type="dxa"/>
            </w:tcMar>
          </w:tcPr>
          <w:p w14:paraId="61AE6AD8"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&lt; .001</w:t>
            </w:r>
          </w:p>
        </w:tc>
        <w:tc>
          <w:tcPr>
            <w:tcW w:w="1080" w:type="dxa"/>
            <w:tcBorders>
              <w:top w:val="nil"/>
              <w:left w:val="nil"/>
              <w:bottom w:val="nil"/>
              <w:right w:val="nil"/>
            </w:tcBorders>
            <w:shd w:val="clear" w:color="auto" w:fill="auto"/>
            <w:tcMar>
              <w:top w:w="100" w:type="dxa"/>
              <w:left w:w="100" w:type="dxa"/>
              <w:bottom w:w="100" w:type="dxa"/>
              <w:right w:w="100" w:type="dxa"/>
            </w:tcMar>
          </w:tcPr>
          <w:p w14:paraId="7B45DB46"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0.220</w:t>
            </w:r>
          </w:p>
        </w:tc>
        <w:tc>
          <w:tcPr>
            <w:tcW w:w="240" w:type="dxa"/>
            <w:tcBorders>
              <w:top w:val="nil"/>
              <w:left w:val="nil"/>
              <w:bottom w:val="nil"/>
              <w:right w:val="nil"/>
            </w:tcBorders>
            <w:shd w:val="clear" w:color="auto" w:fill="auto"/>
            <w:tcMar>
              <w:top w:w="100" w:type="dxa"/>
              <w:left w:w="100" w:type="dxa"/>
              <w:bottom w:w="100" w:type="dxa"/>
              <w:right w:w="100" w:type="dxa"/>
            </w:tcMar>
          </w:tcPr>
          <w:p w14:paraId="41FA0178"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2F1727F2"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0.328</w:t>
            </w:r>
          </w:p>
        </w:tc>
        <w:tc>
          <w:tcPr>
            <w:tcW w:w="240" w:type="dxa"/>
            <w:tcBorders>
              <w:top w:val="nil"/>
              <w:left w:val="nil"/>
              <w:bottom w:val="nil"/>
              <w:right w:val="nil"/>
            </w:tcBorders>
            <w:shd w:val="clear" w:color="auto" w:fill="auto"/>
            <w:tcMar>
              <w:top w:w="100" w:type="dxa"/>
              <w:left w:w="100" w:type="dxa"/>
              <w:bottom w:w="100" w:type="dxa"/>
              <w:right w:w="100" w:type="dxa"/>
            </w:tcMar>
          </w:tcPr>
          <w:p w14:paraId="2664301B" w14:textId="77777777" w:rsidR="00487CB5" w:rsidRDefault="00487CB5">
            <w:pPr>
              <w:spacing w:after="160"/>
              <w:rPr>
                <w:rFonts w:ascii="Times New Roman" w:eastAsia="Times New Roman" w:hAnsi="Times New Roman" w:cs="Times New Roman"/>
              </w:rPr>
            </w:pPr>
          </w:p>
        </w:tc>
      </w:tr>
      <w:tr w:rsidR="00487CB5" w14:paraId="5D6492DD" w14:textId="77777777">
        <w:trPr>
          <w:trHeight w:val="245"/>
        </w:trPr>
        <w:tc>
          <w:tcPr>
            <w:tcW w:w="915" w:type="dxa"/>
            <w:tcBorders>
              <w:top w:val="nil"/>
              <w:left w:val="nil"/>
              <w:bottom w:val="single" w:sz="12" w:space="0" w:color="000000"/>
              <w:right w:val="nil"/>
            </w:tcBorders>
            <w:shd w:val="clear" w:color="auto" w:fill="auto"/>
            <w:tcMar>
              <w:top w:w="100" w:type="dxa"/>
              <w:left w:w="100" w:type="dxa"/>
              <w:bottom w:w="100" w:type="dxa"/>
              <w:right w:w="100" w:type="dxa"/>
            </w:tcMar>
          </w:tcPr>
          <w:p w14:paraId="58C91361" w14:textId="77777777" w:rsidR="00487CB5" w:rsidRDefault="00487CB5">
            <w:pPr>
              <w:spacing w:after="160"/>
              <w:jc w:val="right"/>
              <w:rPr>
                <w:rFonts w:ascii="Times New Roman" w:eastAsia="Times New Roman" w:hAnsi="Times New Roman" w:cs="Times New Roman"/>
              </w:rPr>
            </w:pPr>
          </w:p>
        </w:tc>
        <w:tc>
          <w:tcPr>
            <w:tcW w:w="8865" w:type="dxa"/>
            <w:gridSpan w:val="16"/>
            <w:tcBorders>
              <w:top w:val="nil"/>
              <w:left w:val="nil"/>
              <w:bottom w:val="single" w:sz="12" w:space="0" w:color="000000"/>
              <w:right w:val="nil"/>
            </w:tcBorders>
            <w:shd w:val="clear" w:color="auto" w:fill="auto"/>
            <w:tcMar>
              <w:top w:w="100" w:type="dxa"/>
              <w:left w:w="100" w:type="dxa"/>
              <w:bottom w:w="100" w:type="dxa"/>
              <w:right w:w="100" w:type="dxa"/>
            </w:tcMar>
          </w:tcPr>
          <w:p w14:paraId="34F95CA9" w14:textId="77777777" w:rsidR="00487CB5" w:rsidRDefault="00487CB5">
            <w:pPr>
              <w:spacing w:after="160"/>
              <w:jc w:val="right"/>
              <w:rPr>
                <w:rFonts w:ascii="Times New Roman" w:eastAsia="Times New Roman" w:hAnsi="Times New Roman" w:cs="Times New Roman"/>
              </w:rPr>
            </w:pPr>
          </w:p>
        </w:tc>
      </w:tr>
      <w:tr w:rsidR="00487CB5" w14:paraId="44F87889"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76630F75" w14:textId="77777777" w:rsidR="00487CB5" w:rsidRDefault="00487CB5">
            <w:pPr>
              <w:spacing w:after="160"/>
              <w:rPr>
                <w:rFonts w:ascii="Times New Roman" w:eastAsia="Times New Roman" w:hAnsi="Times New Roman" w:cs="Times New Roman"/>
              </w:rPr>
            </w:pPr>
          </w:p>
        </w:tc>
        <w:tc>
          <w:tcPr>
            <w:tcW w:w="8865" w:type="dxa"/>
            <w:gridSpan w:val="16"/>
            <w:tcBorders>
              <w:top w:val="nil"/>
              <w:left w:val="nil"/>
              <w:bottom w:val="nil"/>
              <w:right w:val="nil"/>
            </w:tcBorders>
            <w:shd w:val="clear" w:color="auto" w:fill="auto"/>
            <w:tcMar>
              <w:top w:w="100" w:type="dxa"/>
              <w:left w:w="100" w:type="dxa"/>
              <w:bottom w:w="100" w:type="dxa"/>
              <w:right w:w="100" w:type="dxa"/>
            </w:tcMar>
          </w:tcPr>
          <w:p w14:paraId="51550047"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Note.  Delta method standard errors, normal theory confidence intervals, ML estimator.</w:t>
            </w:r>
          </w:p>
        </w:tc>
      </w:tr>
    </w:tbl>
    <w:p w14:paraId="0B350A52" w14:textId="77777777" w:rsidR="00487CB5" w:rsidRDefault="00487CB5">
      <w:pPr>
        <w:spacing w:after="160"/>
        <w:rPr>
          <w:rFonts w:ascii="Times New Roman" w:eastAsia="Times New Roman" w:hAnsi="Times New Roman" w:cs="Times New Roman"/>
          <w:b/>
        </w:rPr>
      </w:pPr>
    </w:p>
    <w:p w14:paraId="0CD9AA82" w14:textId="21099903" w:rsidR="00487CB5" w:rsidRDefault="002B62DD">
      <w:pPr>
        <w:spacing w:after="120"/>
        <w:jc w:val="both"/>
        <w:rPr>
          <w:rFonts w:ascii="Times New Roman" w:eastAsia="Times New Roman" w:hAnsi="Times New Roman" w:cs="Times New Roman"/>
          <w:highlight w:val="white"/>
        </w:rPr>
      </w:pPr>
      <w:r>
        <w:rPr>
          <w:rFonts w:ascii="Times New Roman" w:eastAsia="Times New Roman" w:hAnsi="Times New Roman" w:cs="Times New Roman"/>
          <w:b/>
        </w:rPr>
        <w:t xml:space="preserve">(E-G-D) </w:t>
      </w:r>
      <w:r>
        <w:rPr>
          <w:rFonts w:ascii="Times New Roman" w:eastAsia="Times New Roman" w:hAnsi="Times New Roman" w:cs="Times New Roman"/>
        </w:rPr>
        <w:t>(e₂.₁ - e₂.₂)</w:t>
      </w:r>
      <w:r>
        <w:rPr>
          <w:rFonts w:ascii="Times New Roman" w:eastAsia="Times New Roman" w:hAnsi="Times New Roman" w:cs="Times New Roman"/>
          <w:highlight w:val="white"/>
        </w:rPr>
        <w:t xml:space="preserve"> Multiple regression was used to test the mediation model. Table </w:t>
      </w:r>
      <w:r>
        <w:rPr>
          <w:rFonts w:ascii="Times New Roman" w:eastAsia="Times New Roman" w:hAnsi="Times New Roman" w:cs="Times New Roman"/>
          <w:b/>
          <w:highlight w:val="white"/>
        </w:rPr>
        <w:t>14</w:t>
      </w:r>
      <w:r>
        <w:rPr>
          <w:rFonts w:ascii="Times New Roman" w:eastAsia="Times New Roman" w:hAnsi="Times New Roman" w:cs="Times New Roman"/>
          <w:highlight w:val="white"/>
        </w:rPr>
        <w:t xml:space="preserve"> reveals that </w:t>
      </w:r>
      <w:r>
        <w:rPr>
          <w:rFonts w:ascii="Times New Roman" w:eastAsia="Times New Roman" w:hAnsi="Times New Roman" w:cs="Times New Roman"/>
        </w:rPr>
        <w:t xml:space="preserve">(e.) </w:t>
      </w:r>
      <w:r>
        <w:rPr>
          <w:rFonts w:ascii="Times New Roman" w:eastAsia="Times New Roman" w:hAnsi="Times New Roman" w:cs="Times New Roman"/>
          <w:b/>
        </w:rPr>
        <w:t>Alternative Evaluation</w:t>
      </w:r>
      <w:r>
        <w:rPr>
          <w:rFonts w:ascii="Times New Roman" w:eastAsia="Times New Roman" w:hAnsi="Times New Roman" w:cs="Times New Roman"/>
        </w:rPr>
        <w:t>,</w:t>
      </w:r>
      <w:r>
        <w:rPr>
          <w:rFonts w:ascii="Times New Roman" w:eastAsia="Times New Roman" w:hAnsi="Times New Roman" w:cs="Times New Roman"/>
          <w:highlight w:val="white"/>
        </w:rPr>
        <w:t xml:space="preserve"> positively predicts </w:t>
      </w:r>
      <w:r>
        <w:rPr>
          <w:rFonts w:ascii="Times New Roman" w:eastAsia="Times New Roman" w:hAnsi="Times New Roman" w:cs="Times New Roman"/>
        </w:rPr>
        <w:t>(d</w:t>
      </w:r>
      <w:r w:rsidRPr="00CD0DCB">
        <w:rPr>
          <w:rFonts w:ascii="Times New Roman" w:eastAsia="Times New Roman" w:hAnsi="Times New Roman" w:cs="Times New Roman"/>
          <w:highlight w:val="yellow"/>
        </w:rPr>
        <w:t xml:space="preserve">.) </w:t>
      </w:r>
      <w:r w:rsidRPr="00CD0DCB">
        <w:rPr>
          <w:rFonts w:ascii="Times New Roman" w:eastAsia="Times New Roman" w:hAnsi="Times New Roman" w:cs="Times New Roman"/>
          <w:b/>
          <w:highlight w:val="yellow"/>
        </w:rPr>
        <w:t>Consumer Satisfaction</w:t>
      </w:r>
      <w:r w:rsidRPr="00CD0DCB">
        <w:rPr>
          <w:rFonts w:ascii="Times New Roman" w:eastAsia="Times New Roman" w:hAnsi="Times New Roman" w:cs="Times New Roman"/>
          <w:highlight w:val="yellow"/>
        </w:rPr>
        <w:t xml:space="preserve">, ß = .175 (95% CI: 0.030, 0.32), z=2.359, p = 0.018. Furthermore, (g.) </w:t>
      </w:r>
      <w:r w:rsidRPr="00CD0DCB">
        <w:rPr>
          <w:rFonts w:ascii="Times New Roman" w:eastAsia="Times New Roman" w:hAnsi="Times New Roman" w:cs="Times New Roman"/>
          <w:b/>
          <w:highlight w:val="yellow"/>
        </w:rPr>
        <w:t xml:space="preserve">Consumer </w:t>
      </w:r>
      <w:r w:rsidR="00D178DA" w:rsidRPr="00CD0DCB">
        <w:rPr>
          <w:rFonts w:ascii="Times New Roman" w:eastAsia="Times New Roman" w:hAnsi="Times New Roman" w:cs="Times New Roman"/>
          <w:b/>
          <w:highlight w:val="yellow"/>
        </w:rPr>
        <w:t>Scepticism</w:t>
      </w:r>
      <w:r w:rsidRPr="00CD0DCB">
        <w:rPr>
          <w:rFonts w:ascii="Times New Roman" w:eastAsia="Times New Roman" w:hAnsi="Times New Roman" w:cs="Times New Roman"/>
          <w:highlight w:val="yellow"/>
        </w:rPr>
        <w:t xml:space="preserve"> significantly mediates this relationship, ß= 0.77 (95% CI: 0.029, 0.126), z=3.127, p = 0.002. It is estimated that (g.) </w:t>
      </w:r>
      <w:r w:rsidRPr="00CD0DCB">
        <w:rPr>
          <w:rFonts w:ascii="Times New Roman" w:eastAsia="Times New Roman" w:hAnsi="Times New Roman" w:cs="Times New Roman"/>
          <w:b/>
          <w:highlight w:val="yellow"/>
        </w:rPr>
        <w:t xml:space="preserve">Consumer </w:t>
      </w:r>
      <w:r w:rsidR="00D178DA" w:rsidRPr="00CD0DCB">
        <w:rPr>
          <w:rFonts w:ascii="Times New Roman" w:eastAsia="Times New Roman" w:hAnsi="Times New Roman" w:cs="Times New Roman"/>
          <w:b/>
          <w:highlight w:val="yellow"/>
        </w:rPr>
        <w:t>Scepticism</w:t>
      </w:r>
      <w:r w:rsidRPr="00CD0DCB">
        <w:rPr>
          <w:rFonts w:ascii="Times New Roman" w:eastAsia="Times New Roman" w:hAnsi="Times New Roman" w:cs="Times New Roman"/>
          <w:highlight w:val="yellow"/>
        </w:rPr>
        <w:t xml:space="preserve"> accounts for 44 % of (e.) </w:t>
      </w:r>
      <w:r w:rsidRPr="00CD0DCB">
        <w:rPr>
          <w:rFonts w:ascii="Times New Roman" w:eastAsia="Times New Roman" w:hAnsi="Times New Roman" w:cs="Times New Roman"/>
          <w:b/>
          <w:highlight w:val="yellow"/>
        </w:rPr>
        <w:t>Alternative Evaluation</w:t>
      </w:r>
      <w:r w:rsidRPr="00CD0DCB">
        <w:rPr>
          <w:rFonts w:ascii="Times New Roman" w:eastAsia="Times New Roman" w:hAnsi="Times New Roman" w:cs="Times New Roman"/>
          <w:highlight w:val="yellow"/>
        </w:rPr>
        <w:t>’s Effect on (d.)</w:t>
      </w:r>
      <w:r>
        <w:rPr>
          <w:rFonts w:ascii="Times New Roman" w:eastAsia="Times New Roman" w:hAnsi="Times New Roman" w:cs="Times New Roman"/>
        </w:rPr>
        <w:t xml:space="preserve"> </w:t>
      </w:r>
      <w:r>
        <w:rPr>
          <w:rFonts w:ascii="Times New Roman" w:eastAsia="Times New Roman" w:hAnsi="Times New Roman" w:cs="Times New Roman"/>
          <w:b/>
        </w:rPr>
        <w:t>Consumer Satisfaction</w:t>
      </w:r>
      <w:r>
        <w:rPr>
          <w:rFonts w:ascii="Times New Roman" w:eastAsia="Times New Roman" w:hAnsi="Times New Roman" w:cs="Times New Roman"/>
          <w:highlight w:val="white"/>
        </w:rPr>
        <w:t>. It’s important to note that (</w:t>
      </w:r>
      <w:r>
        <w:rPr>
          <w:rFonts w:ascii="Times New Roman" w:eastAsia="Times New Roman" w:hAnsi="Times New Roman" w:cs="Times New Roman"/>
        </w:rPr>
        <w:t xml:space="preserve">e.) </w:t>
      </w:r>
      <w:r>
        <w:rPr>
          <w:rFonts w:ascii="Times New Roman" w:eastAsia="Times New Roman" w:hAnsi="Times New Roman" w:cs="Times New Roman"/>
          <w:b/>
        </w:rPr>
        <w:t>Alternative Evaluation</w:t>
      </w:r>
      <w:r>
        <w:rPr>
          <w:rFonts w:ascii="Times New Roman" w:eastAsia="Times New Roman" w:hAnsi="Times New Roman" w:cs="Times New Roman"/>
          <w:highlight w:val="white"/>
        </w:rPr>
        <w:t xml:space="preserve"> have no significant positive direct effect, ß= 0.097 (95% CI: -0.049, 0.243), z = 1.303, p = 0.193. (H 9.2)</w:t>
      </w:r>
    </w:p>
    <w:p w14:paraId="156EF1FB" w14:textId="77777777" w:rsidR="00487CB5" w:rsidRDefault="00487CB5">
      <w:pPr>
        <w:spacing w:after="120"/>
        <w:ind w:left="720"/>
        <w:jc w:val="both"/>
        <w:rPr>
          <w:rFonts w:ascii="Times New Roman" w:eastAsia="Times New Roman" w:hAnsi="Times New Roman" w:cs="Times New Roman"/>
          <w:highlight w:val="white"/>
        </w:rPr>
      </w:pPr>
    </w:p>
    <w:p w14:paraId="5C45D8DD" w14:textId="77777777" w:rsidR="00487CB5" w:rsidRDefault="00487CB5">
      <w:pPr>
        <w:spacing w:after="160"/>
        <w:rPr>
          <w:rFonts w:ascii="Times New Roman" w:eastAsia="Times New Roman" w:hAnsi="Times New Roman" w:cs="Times New Roman"/>
        </w:rPr>
      </w:pPr>
    </w:p>
    <w:tbl>
      <w:tblPr>
        <w:tblStyle w:val="ac"/>
        <w:tblW w:w="9780" w:type="dxa"/>
        <w:tblInd w:w="-632" w:type="dxa"/>
        <w:tblBorders>
          <w:top w:val="nil"/>
          <w:left w:val="nil"/>
          <w:bottom w:val="nil"/>
          <w:right w:val="nil"/>
          <w:insideH w:val="nil"/>
          <w:insideV w:val="nil"/>
        </w:tblBorders>
        <w:tblLayout w:type="fixed"/>
        <w:tblLook w:val="0600" w:firstRow="0" w:lastRow="0" w:firstColumn="0" w:lastColumn="0" w:noHBand="1" w:noVBand="1"/>
      </w:tblPr>
      <w:tblGrid>
        <w:gridCol w:w="915"/>
        <w:gridCol w:w="525"/>
        <w:gridCol w:w="240"/>
        <w:gridCol w:w="345"/>
        <w:gridCol w:w="240"/>
        <w:gridCol w:w="720"/>
        <w:gridCol w:w="240"/>
        <w:gridCol w:w="810"/>
        <w:gridCol w:w="450"/>
        <w:gridCol w:w="690"/>
        <w:gridCol w:w="405"/>
        <w:gridCol w:w="840"/>
        <w:gridCol w:w="750"/>
        <w:gridCol w:w="1080"/>
        <w:gridCol w:w="240"/>
        <w:gridCol w:w="1050"/>
        <w:gridCol w:w="240"/>
      </w:tblGrid>
      <w:tr w:rsidR="00487CB5" w14:paraId="03ED8B01" w14:textId="77777777">
        <w:trPr>
          <w:trHeight w:val="515"/>
        </w:trPr>
        <w:tc>
          <w:tcPr>
            <w:tcW w:w="915" w:type="dxa"/>
            <w:tcBorders>
              <w:top w:val="nil"/>
              <w:left w:val="nil"/>
              <w:bottom w:val="single" w:sz="6" w:space="0" w:color="000000"/>
              <w:right w:val="nil"/>
            </w:tcBorders>
            <w:tcMar>
              <w:top w:w="100" w:type="dxa"/>
              <w:left w:w="100" w:type="dxa"/>
              <w:bottom w:w="100" w:type="dxa"/>
              <w:right w:w="100" w:type="dxa"/>
            </w:tcMar>
          </w:tcPr>
          <w:p w14:paraId="7E9D7657" w14:textId="77777777" w:rsidR="00487CB5" w:rsidRDefault="00487CB5">
            <w:pPr>
              <w:spacing w:after="160"/>
              <w:rPr>
                <w:rFonts w:ascii="Times New Roman" w:eastAsia="Times New Roman" w:hAnsi="Times New Roman" w:cs="Times New Roman"/>
                <w:b/>
              </w:rPr>
            </w:pPr>
          </w:p>
        </w:tc>
        <w:tc>
          <w:tcPr>
            <w:tcW w:w="8865" w:type="dxa"/>
            <w:gridSpan w:val="16"/>
            <w:tcBorders>
              <w:top w:val="nil"/>
              <w:left w:val="nil"/>
              <w:bottom w:val="single" w:sz="6" w:space="0" w:color="000000"/>
              <w:right w:val="nil"/>
            </w:tcBorders>
            <w:tcMar>
              <w:top w:w="100" w:type="dxa"/>
              <w:left w:w="100" w:type="dxa"/>
              <w:bottom w:w="100" w:type="dxa"/>
              <w:right w:w="100" w:type="dxa"/>
            </w:tcMar>
          </w:tcPr>
          <w:p w14:paraId="79D1E28F"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b/>
              </w:rPr>
              <w:t xml:space="preserve">TABLE 14. </w:t>
            </w:r>
            <w:r>
              <w:rPr>
                <w:rFonts w:ascii="Times New Roman" w:eastAsia="Times New Roman" w:hAnsi="Times New Roman" w:cs="Times New Roman"/>
              </w:rPr>
              <w:t>Results of Mediation Analysis (E-G-D)</w:t>
            </w:r>
          </w:p>
        </w:tc>
      </w:tr>
      <w:tr w:rsidR="00487CB5" w14:paraId="26946FD7"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4AFA4D00" w14:textId="77777777" w:rsidR="00487CB5" w:rsidRDefault="00487CB5">
            <w:pPr>
              <w:spacing w:after="160"/>
              <w:jc w:val="center"/>
              <w:rPr>
                <w:rFonts w:ascii="Times New Roman" w:eastAsia="Times New Roman" w:hAnsi="Times New Roman" w:cs="Times New Roman"/>
              </w:rPr>
            </w:pPr>
          </w:p>
        </w:tc>
        <w:tc>
          <w:tcPr>
            <w:tcW w:w="6255" w:type="dxa"/>
            <w:gridSpan w:val="12"/>
            <w:tcBorders>
              <w:top w:val="nil"/>
              <w:left w:val="nil"/>
              <w:bottom w:val="nil"/>
              <w:right w:val="nil"/>
            </w:tcBorders>
            <w:shd w:val="clear" w:color="auto" w:fill="auto"/>
            <w:tcMar>
              <w:top w:w="100" w:type="dxa"/>
              <w:left w:w="100" w:type="dxa"/>
              <w:bottom w:w="100" w:type="dxa"/>
              <w:right w:w="100" w:type="dxa"/>
            </w:tcMar>
          </w:tcPr>
          <w:p w14:paraId="7F68D635" w14:textId="77777777" w:rsidR="00487CB5" w:rsidRDefault="00487CB5">
            <w:pPr>
              <w:spacing w:after="160"/>
              <w:jc w:val="center"/>
              <w:rPr>
                <w:rFonts w:ascii="Times New Roman" w:eastAsia="Times New Roman" w:hAnsi="Times New Roman" w:cs="Times New Roman"/>
              </w:rPr>
            </w:pPr>
          </w:p>
        </w:tc>
        <w:tc>
          <w:tcPr>
            <w:tcW w:w="2610"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73EEADF4"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95% Confidence Interval</w:t>
            </w:r>
          </w:p>
        </w:tc>
      </w:tr>
      <w:tr w:rsidR="00487CB5" w14:paraId="729355D4" w14:textId="77777777">
        <w:trPr>
          <w:trHeight w:val="515"/>
        </w:trPr>
        <w:tc>
          <w:tcPr>
            <w:tcW w:w="915" w:type="dxa"/>
            <w:tcBorders>
              <w:top w:val="nil"/>
              <w:left w:val="nil"/>
              <w:bottom w:val="single" w:sz="6" w:space="0" w:color="000000"/>
              <w:right w:val="nil"/>
            </w:tcBorders>
            <w:shd w:val="clear" w:color="auto" w:fill="auto"/>
            <w:tcMar>
              <w:top w:w="100" w:type="dxa"/>
              <w:left w:w="100" w:type="dxa"/>
              <w:bottom w:w="100" w:type="dxa"/>
              <w:right w:w="100" w:type="dxa"/>
            </w:tcMar>
          </w:tcPr>
          <w:p w14:paraId="27934ADF" w14:textId="77777777" w:rsidR="00487CB5" w:rsidRDefault="002B62DD">
            <w:pPr>
              <w:spacing w:after="160"/>
              <w:rPr>
                <w:rFonts w:ascii="Times New Roman" w:eastAsia="Times New Roman" w:hAnsi="Times New Roman" w:cs="Times New Roman"/>
                <w:b/>
              </w:rPr>
            </w:pPr>
            <w:r>
              <w:rPr>
                <w:rFonts w:ascii="Times New Roman" w:eastAsia="Times New Roman" w:hAnsi="Times New Roman" w:cs="Times New Roman"/>
                <w:b/>
              </w:rPr>
              <w:lastRenderedPageBreak/>
              <w:t>Effect</w:t>
            </w:r>
          </w:p>
        </w:tc>
        <w:tc>
          <w:tcPr>
            <w:tcW w:w="76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58AC1697"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545"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5CEB86EE"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26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52A43DC3"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Estimate (</w:t>
            </w:r>
            <w:r>
              <w:rPr>
                <w:rFonts w:ascii="Times New Roman" w:eastAsia="Times New Roman" w:hAnsi="Times New Roman" w:cs="Times New Roman"/>
                <w:highlight w:val="white"/>
              </w:rPr>
              <w:t>ß</w:t>
            </w:r>
            <w:r>
              <w:rPr>
                <w:rFonts w:ascii="Times New Roman" w:eastAsia="Times New Roman" w:hAnsi="Times New Roman" w:cs="Times New Roman"/>
                <w:b/>
              </w:rPr>
              <w:t>)</w:t>
            </w:r>
          </w:p>
        </w:tc>
        <w:tc>
          <w:tcPr>
            <w:tcW w:w="109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01E251DD"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Std. Error</w:t>
            </w:r>
          </w:p>
        </w:tc>
        <w:tc>
          <w:tcPr>
            <w:tcW w:w="840" w:type="dxa"/>
            <w:tcBorders>
              <w:top w:val="nil"/>
              <w:left w:val="nil"/>
              <w:bottom w:val="single" w:sz="6" w:space="0" w:color="000000"/>
              <w:right w:val="nil"/>
            </w:tcBorders>
            <w:shd w:val="clear" w:color="auto" w:fill="auto"/>
            <w:tcMar>
              <w:top w:w="100" w:type="dxa"/>
              <w:left w:w="100" w:type="dxa"/>
              <w:bottom w:w="100" w:type="dxa"/>
              <w:right w:w="100" w:type="dxa"/>
            </w:tcMar>
          </w:tcPr>
          <w:p w14:paraId="626B2D9A"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z-value</w:t>
            </w:r>
          </w:p>
        </w:tc>
        <w:tc>
          <w:tcPr>
            <w:tcW w:w="750" w:type="dxa"/>
            <w:tcBorders>
              <w:top w:val="nil"/>
              <w:left w:val="nil"/>
              <w:bottom w:val="single" w:sz="6" w:space="0" w:color="000000"/>
              <w:right w:val="nil"/>
            </w:tcBorders>
            <w:shd w:val="clear" w:color="auto" w:fill="auto"/>
            <w:tcMar>
              <w:top w:w="100" w:type="dxa"/>
              <w:left w:w="100" w:type="dxa"/>
              <w:bottom w:w="100" w:type="dxa"/>
              <w:right w:w="100" w:type="dxa"/>
            </w:tcMar>
          </w:tcPr>
          <w:p w14:paraId="44C14E21"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p</w:t>
            </w:r>
          </w:p>
        </w:tc>
        <w:tc>
          <w:tcPr>
            <w:tcW w:w="132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46DF2905"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Lower</w:t>
            </w:r>
          </w:p>
        </w:tc>
        <w:tc>
          <w:tcPr>
            <w:tcW w:w="129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7A358745"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Upper</w:t>
            </w:r>
          </w:p>
        </w:tc>
      </w:tr>
      <w:tr w:rsidR="00487CB5" w14:paraId="0665A9FC"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19509849"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Direct</w:t>
            </w:r>
          </w:p>
        </w:tc>
        <w:tc>
          <w:tcPr>
            <w:tcW w:w="525" w:type="dxa"/>
            <w:tcBorders>
              <w:top w:val="nil"/>
              <w:left w:val="nil"/>
              <w:bottom w:val="nil"/>
              <w:right w:val="nil"/>
            </w:tcBorders>
            <w:shd w:val="clear" w:color="auto" w:fill="auto"/>
            <w:tcMar>
              <w:top w:w="100" w:type="dxa"/>
              <w:left w:w="100" w:type="dxa"/>
              <w:bottom w:w="100" w:type="dxa"/>
              <w:right w:w="100" w:type="dxa"/>
            </w:tcMar>
          </w:tcPr>
          <w:p w14:paraId="43EEDC25"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E</w:t>
            </w:r>
          </w:p>
        </w:tc>
        <w:tc>
          <w:tcPr>
            <w:tcW w:w="240" w:type="dxa"/>
            <w:tcBorders>
              <w:top w:val="nil"/>
              <w:left w:val="nil"/>
              <w:bottom w:val="nil"/>
              <w:right w:val="nil"/>
            </w:tcBorders>
            <w:shd w:val="clear" w:color="auto" w:fill="auto"/>
            <w:tcMar>
              <w:top w:w="100" w:type="dxa"/>
              <w:left w:w="100" w:type="dxa"/>
              <w:bottom w:w="100" w:type="dxa"/>
              <w:right w:w="100" w:type="dxa"/>
            </w:tcMar>
          </w:tcPr>
          <w:p w14:paraId="3D80570D"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7F985EDE"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137C5FFD"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257B31C5"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D</w:t>
            </w:r>
          </w:p>
        </w:tc>
        <w:tc>
          <w:tcPr>
            <w:tcW w:w="240" w:type="dxa"/>
            <w:tcBorders>
              <w:top w:val="nil"/>
              <w:left w:val="nil"/>
              <w:bottom w:val="nil"/>
              <w:right w:val="nil"/>
            </w:tcBorders>
            <w:shd w:val="clear" w:color="auto" w:fill="auto"/>
            <w:tcMar>
              <w:top w:w="100" w:type="dxa"/>
              <w:left w:w="100" w:type="dxa"/>
              <w:bottom w:w="100" w:type="dxa"/>
              <w:right w:w="100" w:type="dxa"/>
            </w:tcMar>
          </w:tcPr>
          <w:p w14:paraId="023129A3"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3317083D"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0.097</w:t>
            </w:r>
          </w:p>
        </w:tc>
        <w:tc>
          <w:tcPr>
            <w:tcW w:w="450" w:type="dxa"/>
            <w:tcBorders>
              <w:top w:val="nil"/>
              <w:left w:val="nil"/>
              <w:bottom w:val="nil"/>
              <w:right w:val="nil"/>
            </w:tcBorders>
            <w:shd w:val="clear" w:color="auto" w:fill="auto"/>
            <w:tcMar>
              <w:top w:w="100" w:type="dxa"/>
              <w:left w:w="100" w:type="dxa"/>
              <w:bottom w:w="100" w:type="dxa"/>
              <w:right w:w="100" w:type="dxa"/>
            </w:tcMar>
          </w:tcPr>
          <w:p w14:paraId="15A3E495"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4B84D922"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0.075</w:t>
            </w:r>
          </w:p>
        </w:tc>
        <w:tc>
          <w:tcPr>
            <w:tcW w:w="405" w:type="dxa"/>
            <w:tcBorders>
              <w:top w:val="nil"/>
              <w:left w:val="nil"/>
              <w:bottom w:val="nil"/>
              <w:right w:val="nil"/>
            </w:tcBorders>
            <w:shd w:val="clear" w:color="auto" w:fill="auto"/>
            <w:tcMar>
              <w:top w:w="100" w:type="dxa"/>
              <w:left w:w="100" w:type="dxa"/>
              <w:bottom w:w="100" w:type="dxa"/>
              <w:right w:w="100" w:type="dxa"/>
            </w:tcMar>
          </w:tcPr>
          <w:p w14:paraId="428ABF40"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5FD7C22E"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1.303</w:t>
            </w:r>
          </w:p>
        </w:tc>
        <w:tc>
          <w:tcPr>
            <w:tcW w:w="750" w:type="dxa"/>
            <w:tcBorders>
              <w:top w:val="nil"/>
              <w:left w:val="nil"/>
              <w:bottom w:val="nil"/>
              <w:right w:val="nil"/>
            </w:tcBorders>
            <w:shd w:val="clear" w:color="auto" w:fill="auto"/>
            <w:tcMar>
              <w:top w:w="100" w:type="dxa"/>
              <w:left w:w="100" w:type="dxa"/>
              <w:bottom w:w="100" w:type="dxa"/>
              <w:right w:w="100" w:type="dxa"/>
            </w:tcMar>
          </w:tcPr>
          <w:p w14:paraId="734146EF"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0.193</w:t>
            </w:r>
          </w:p>
        </w:tc>
        <w:tc>
          <w:tcPr>
            <w:tcW w:w="1080" w:type="dxa"/>
            <w:tcBorders>
              <w:top w:val="nil"/>
              <w:left w:val="nil"/>
              <w:bottom w:val="nil"/>
              <w:right w:val="nil"/>
            </w:tcBorders>
            <w:shd w:val="clear" w:color="auto" w:fill="auto"/>
            <w:tcMar>
              <w:top w:w="100" w:type="dxa"/>
              <w:left w:w="100" w:type="dxa"/>
              <w:bottom w:w="100" w:type="dxa"/>
              <w:right w:w="100" w:type="dxa"/>
            </w:tcMar>
          </w:tcPr>
          <w:p w14:paraId="2A4B3211"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-0.049</w:t>
            </w:r>
          </w:p>
        </w:tc>
        <w:tc>
          <w:tcPr>
            <w:tcW w:w="240" w:type="dxa"/>
            <w:tcBorders>
              <w:top w:val="nil"/>
              <w:left w:val="nil"/>
              <w:bottom w:val="nil"/>
              <w:right w:val="nil"/>
            </w:tcBorders>
            <w:shd w:val="clear" w:color="auto" w:fill="auto"/>
            <w:tcMar>
              <w:top w:w="100" w:type="dxa"/>
              <w:left w:w="100" w:type="dxa"/>
              <w:bottom w:w="100" w:type="dxa"/>
              <w:right w:w="100" w:type="dxa"/>
            </w:tcMar>
          </w:tcPr>
          <w:p w14:paraId="21CC77BD"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3C1A650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0.243</w:t>
            </w:r>
          </w:p>
        </w:tc>
        <w:tc>
          <w:tcPr>
            <w:tcW w:w="240" w:type="dxa"/>
            <w:tcBorders>
              <w:top w:val="nil"/>
              <w:left w:val="nil"/>
              <w:bottom w:val="nil"/>
              <w:right w:val="nil"/>
            </w:tcBorders>
            <w:shd w:val="clear" w:color="auto" w:fill="auto"/>
            <w:tcMar>
              <w:top w:w="100" w:type="dxa"/>
              <w:left w:w="100" w:type="dxa"/>
              <w:bottom w:w="100" w:type="dxa"/>
              <w:right w:w="100" w:type="dxa"/>
            </w:tcMar>
          </w:tcPr>
          <w:p w14:paraId="5BA28F70" w14:textId="77777777" w:rsidR="00487CB5" w:rsidRDefault="00487CB5">
            <w:pPr>
              <w:spacing w:after="160"/>
              <w:rPr>
                <w:rFonts w:ascii="Times New Roman" w:eastAsia="Times New Roman" w:hAnsi="Times New Roman" w:cs="Times New Roman"/>
              </w:rPr>
            </w:pPr>
          </w:p>
        </w:tc>
      </w:tr>
      <w:tr w:rsidR="00487CB5" w14:paraId="478C187A"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0536EA6A"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Indirect</w:t>
            </w:r>
          </w:p>
        </w:tc>
        <w:tc>
          <w:tcPr>
            <w:tcW w:w="2070" w:type="dxa"/>
            <w:gridSpan w:val="5"/>
            <w:tcBorders>
              <w:top w:val="nil"/>
              <w:left w:val="nil"/>
              <w:bottom w:val="nil"/>
              <w:right w:val="nil"/>
            </w:tcBorders>
            <w:shd w:val="clear" w:color="auto" w:fill="auto"/>
            <w:tcMar>
              <w:top w:w="100" w:type="dxa"/>
              <w:left w:w="100" w:type="dxa"/>
              <w:bottom w:w="100" w:type="dxa"/>
              <w:right w:w="100" w:type="dxa"/>
            </w:tcMar>
          </w:tcPr>
          <w:p w14:paraId="26CB8B06" w14:textId="77777777" w:rsidR="00487CB5" w:rsidRDefault="002B62DD">
            <w:pPr>
              <w:spacing w:after="160"/>
              <w:rPr>
                <w:rFonts w:ascii="Times New Roman" w:eastAsia="Times New Roman" w:hAnsi="Times New Roman" w:cs="Times New Roman"/>
              </w:rPr>
            </w:pPr>
            <w:r>
              <w:rPr>
                <w:rFonts w:ascii="Cardo" w:eastAsia="Cardo" w:hAnsi="Cardo" w:cs="Cardo"/>
              </w:rPr>
              <w:t>E     →      G      →   D</w:t>
            </w:r>
          </w:p>
        </w:tc>
        <w:tc>
          <w:tcPr>
            <w:tcW w:w="240" w:type="dxa"/>
            <w:tcBorders>
              <w:top w:val="nil"/>
              <w:left w:val="nil"/>
              <w:bottom w:val="nil"/>
              <w:right w:val="nil"/>
            </w:tcBorders>
            <w:shd w:val="clear" w:color="auto" w:fill="auto"/>
            <w:tcMar>
              <w:top w:w="100" w:type="dxa"/>
              <w:left w:w="100" w:type="dxa"/>
              <w:bottom w:w="100" w:type="dxa"/>
              <w:right w:w="100" w:type="dxa"/>
            </w:tcMar>
          </w:tcPr>
          <w:p w14:paraId="69A12697"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66525EA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0.077</w:t>
            </w:r>
          </w:p>
        </w:tc>
        <w:tc>
          <w:tcPr>
            <w:tcW w:w="450" w:type="dxa"/>
            <w:tcBorders>
              <w:top w:val="nil"/>
              <w:left w:val="nil"/>
              <w:bottom w:val="nil"/>
              <w:right w:val="nil"/>
            </w:tcBorders>
            <w:shd w:val="clear" w:color="auto" w:fill="auto"/>
            <w:tcMar>
              <w:top w:w="100" w:type="dxa"/>
              <w:left w:w="100" w:type="dxa"/>
              <w:bottom w:w="100" w:type="dxa"/>
              <w:right w:w="100" w:type="dxa"/>
            </w:tcMar>
          </w:tcPr>
          <w:p w14:paraId="0105E073"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59803C98"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0.025</w:t>
            </w:r>
          </w:p>
        </w:tc>
        <w:tc>
          <w:tcPr>
            <w:tcW w:w="405" w:type="dxa"/>
            <w:tcBorders>
              <w:top w:val="nil"/>
              <w:left w:val="nil"/>
              <w:bottom w:val="nil"/>
              <w:right w:val="nil"/>
            </w:tcBorders>
            <w:shd w:val="clear" w:color="auto" w:fill="auto"/>
            <w:tcMar>
              <w:top w:w="100" w:type="dxa"/>
              <w:left w:w="100" w:type="dxa"/>
              <w:bottom w:w="100" w:type="dxa"/>
              <w:right w:w="100" w:type="dxa"/>
            </w:tcMar>
          </w:tcPr>
          <w:p w14:paraId="27A1827E"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7A17D098"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3.127</w:t>
            </w:r>
          </w:p>
        </w:tc>
        <w:tc>
          <w:tcPr>
            <w:tcW w:w="750" w:type="dxa"/>
            <w:tcBorders>
              <w:top w:val="nil"/>
              <w:left w:val="nil"/>
              <w:bottom w:val="nil"/>
              <w:right w:val="nil"/>
            </w:tcBorders>
            <w:shd w:val="clear" w:color="auto" w:fill="auto"/>
            <w:tcMar>
              <w:top w:w="100" w:type="dxa"/>
              <w:left w:w="100" w:type="dxa"/>
              <w:bottom w:w="100" w:type="dxa"/>
              <w:right w:w="100" w:type="dxa"/>
            </w:tcMar>
          </w:tcPr>
          <w:p w14:paraId="7EAA599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0.002</w:t>
            </w:r>
          </w:p>
        </w:tc>
        <w:tc>
          <w:tcPr>
            <w:tcW w:w="1080" w:type="dxa"/>
            <w:tcBorders>
              <w:top w:val="nil"/>
              <w:left w:val="nil"/>
              <w:bottom w:val="nil"/>
              <w:right w:val="nil"/>
            </w:tcBorders>
            <w:shd w:val="clear" w:color="auto" w:fill="auto"/>
            <w:tcMar>
              <w:top w:w="100" w:type="dxa"/>
              <w:left w:w="100" w:type="dxa"/>
              <w:bottom w:w="100" w:type="dxa"/>
              <w:right w:w="100" w:type="dxa"/>
            </w:tcMar>
          </w:tcPr>
          <w:p w14:paraId="683BF82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0.029</w:t>
            </w:r>
          </w:p>
        </w:tc>
        <w:tc>
          <w:tcPr>
            <w:tcW w:w="240" w:type="dxa"/>
            <w:tcBorders>
              <w:top w:val="nil"/>
              <w:left w:val="nil"/>
              <w:bottom w:val="nil"/>
              <w:right w:val="nil"/>
            </w:tcBorders>
            <w:shd w:val="clear" w:color="auto" w:fill="auto"/>
            <w:tcMar>
              <w:top w:w="100" w:type="dxa"/>
              <w:left w:w="100" w:type="dxa"/>
              <w:bottom w:w="100" w:type="dxa"/>
              <w:right w:w="100" w:type="dxa"/>
            </w:tcMar>
          </w:tcPr>
          <w:p w14:paraId="5FABEB93"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6179467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0.126</w:t>
            </w:r>
          </w:p>
        </w:tc>
        <w:tc>
          <w:tcPr>
            <w:tcW w:w="240" w:type="dxa"/>
            <w:tcBorders>
              <w:top w:val="nil"/>
              <w:left w:val="nil"/>
              <w:bottom w:val="nil"/>
              <w:right w:val="nil"/>
            </w:tcBorders>
            <w:shd w:val="clear" w:color="auto" w:fill="auto"/>
            <w:tcMar>
              <w:top w:w="100" w:type="dxa"/>
              <w:left w:w="100" w:type="dxa"/>
              <w:bottom w:w="100" w:type="dxa"/>
              <w:right w:w="100" w:type="dxa"/>
            </w:tcMar>
          </w:tcPr>
          <w:p w14:paraId="0490F177" w14:textId="77777777" w:rsidR="00487CB5" w:rsidRDefault="00487CB5">
            <w:pPr>
              <w:spacing w:after="160"/>
              <w:rPr>
                <w:rFonts w:ascii="Times New Roman" w:eastAsia="Times New Roman" w:hAnsi="Times New Roman" w:cs="Times New Roman"/>
              </w:rPr>
            </w:pPr>
          </w:p>
        </w:tc>
      </w:tr>
      <w:tr w:rsidR="00487CB5" w14:paraId="4A38A6A0"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6493EDA4"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Total</w:t>
            </w:r>
          </w:p>
        </w:tc>
        <w:tc>
          <w:tcPr>
            <w:tcW w:w="525" w:type="dxa"/>
            <w:tcBorders>
              <w:top w:val="nil"/>
              <w:left w:val="nil"/>
              <w:bottom w:val="nil"/>
              <w:right w:val="nil"/>
            </w:tcBorders>
            <w:shd w:val="clear" w:color="auto" w:fill="auto"/>
            <w:tcMar>
              <w:top w:w="100" w:type="dxa"/>
              <w:left w:w="100" w:type="dxa"/>
              <w:bottom w:w="100" w:type="dxa"/>
              <w:right w:w="100" w:type="dxa"/>
            </w:tcMar>
          </w:tcPr>
          <w:p w14:paraId="1A1086F2"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E</w:t>
            </w:r>
          </w:p>
        </w:tc>
        <w:tc>
          <w:tcPr>
            <w:tcW w:w="240" w:type="dxa"/>
            <w:tcBorders>
              <w:top w:val="nil"/>
              <w:left w:val="nil"/>
              <w:bottom w:val="nil"/>
              <w:right w:val="nil"/>
            </w:tcBorders>
            <w:shd w:val="clear" w:color="auto" w:fill="auto"/>
            <w:tcMar>
              <w:top w:w="100" w:type="dxa"/>
              <w:left w:w="100" w:type="dxa"/>
              <w:bottom w:w="100" w:type="dxa"/>
              <w:right w:w="100" w:type="dxa"/>
            </w:tcMar>
          </w:tcPr>
          <w:p w14:paraId="0715A7A4"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64CCFB1E"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26CAA51C"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472CFCA3"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D</w:t>
            </w:r>
          </w:p>
        </w:tc>
        <w:tc>
          <w:tcPr>
            <w:tcW w:w="240" w:type="dxa"/>
            <w:tcBorders>
              <w:top w:val="nil"/>
              <w:left w:val="nil"/>
              <w:bottom w:val="nil"/>
              <w:right w:val="nil"/>
            </w:tcBorders>
            <w:shd w:val="clear" w:color="auto" w:fill="auto"/>
            <w:tcMar>
              <w:top w:w="100" w:type="dxa"/>
              <w:left w:w="100" w:type="dxa"/>
              <w:bottom w:w="100" w:type="dxa"/>
              <w:right w:w="100" w:type="dxa"/>
            </w:tcMar>
          </w:tcPr>
          <w:p w14:paraId="23E4CE69"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1BCF59C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0.175</w:t>
            </w:r>
          </w:p>
        </w:tc>
        <w:tc>
          <w:tcPr>
            <w:tcW w:w="450" w:type="dxa"/>
            <w:tcBorders>
              <w:top w:val="nil"/>
              <w:left w:val="nil"/>
              <w:bottom w:val="nil"/>
              <w:right w:val="nil"/>
            </w:tcBorders>
            <w:shd w:val="clear" w:color="auto" w:fill="auto"/>
            <w:tcMar>
              <w:top w:w="100" w:type="dxa"/>
              <w:left w:w="100" w:type="dxa"/>
              <w:bottom w:w="100" w:type="dxa"/>
              <w:right w:w="100" w:type="dxa"/>
            </w:tcMar>
          </w:tcPr>
          <w:p w14:paraId="7CB3F3A4"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1E96DE4E"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0.074</w:t>
            </w:r>
          </w:p>
        </w:tc>
        <w:tc>
          <w:tcPr>
            <w:tcW w:w="405" w:type="dxa"/>
            <w:tcBorders>
              <w:top w:val="nil"/>
              <w:left w:val="nil"/>
              <w:bottom w:val="nil"/>
              <w:right w:val="nil"/>
            </w:tcBorders>
            <w:shd w:val="clear" w:color="auto" w:fill="auto"/>
            <w:tcMar>
              <w:top w:w="100" w:type="dxa"/>
              <w:left w:w="100" w:type="dxa"/>
              <w:bottom w:w="100" w:type="dxa"/>
              <w:right w:w="100" w:type="dxa"/>
            </w:tcMar>
          </w:tcPr>
          <w:p w14:paraId="1CDB1667"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1BF72C83"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2.359</w:t>
            </w:r>
          </w:p>
        </w:tc>
        <w:tc>
          <w:tcPr>
            <w:tcW w:w="750" w:type="dxa"/>
            <w:tcBorders>
              <w:top w:val="nil"/>
              <w:left w:val="nil"/>
              <w:bottom w:val="nil"/>
              <w:right w:val="nil"/>
            </w:tcBorders>
            <w:shd w:val="clear" w:color="auto" w:fill="auto"/>
            <w:tcMar>
              <w:top w:w="100" w:type="dxa"/>
              <w:left w:w="100" w:type="dxa"/>
              <w:bottom w:w="100" w:type="dxa"/>
              <w:right w:w="100" w:type="dxa"/>
            </w:tcMar>
          </w:tcPr>
          <w:p w14:paraId="74734ED1"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0.018</w:t>
            </w:r>
          </w:p>
        </w:tc>
        <w:tc>
          <w:tcPr>
            <w:tcW w:w="1080" w:type="dxa"/>
            <w:tcBorders>
              <w:top w:val="nil"/>
              <w:left w:val="nil"/>
              <w:bottom w:val="nil"/>
              <w:right w:val="nil"/>
            </w:tcBorders>
            <w:shd w:val="clear" w:color="auto" w:fill="auto"/>
            <w:tcMar>
              <w:top w:w="100" w:type="dxa"/>
              <w:left w:w="100" w:type="dxa"/>
              <w:bottom w:w="100" w:type="dxa"/>
              <w:right w:w="100" w:type="dxa"/>
            </w:tcMar>
          </w:tcPr>
          <w:p w14:paraId="06A38EBB"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0.030</w:t>
            </w:r>
          </w:p>
        </w:tc>
        <w:tc>
          <w:tcPr>
            <w:tcW w:w="240" w:type="dxa"/>
            <w:tcBorders>
              <w:top w:val="nil"/>
              <w:left w:val="nil"/>
              <w:bottom w:val="nil"/>
              <w:right w:val="nil"/>
            </w:tcBorders>
            <w:shd w:val="clear" w:color="auto" w:fill="auto"/>
            <w:tcMar>
              <w:top w:w="100" w:type="dxa"/>
              <w:left w:w="100" w:type="dxa"/>
              <w:bottom w:w="100" w:type="dxa"/>
              <w:right w:w="100" w:type="dxa"/>
            </w:tcMar>
          </w:tcPr>
          <w:p w14:paraId="4BA75780"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6DD4B2D9"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0.320</w:t>
            </w:r>
          </w:p>
        </w:tc>
        <w:tc>
          <w:tcPr>
            <w:tcW w:w="240" w:type="dxa"/>
            <w:tcBorders>
              <w:top w:val="nil"/>
              <w:left w:val="nil"/>
              <w:bottom w:val="nil"/>
              <w:right w:val="nil"/>
            </w:tcBorders>
            <w:shd w:val="clear" w:color="auto" w:fill="auto"/>
            <w:tcMar>
              <w:top w:w="100" w:type="dxa"/>
              <w:left w:w="100" w:type="dxa"/>
              <w:bottom w:w="100" w:type="dxa"/>
              <w:right w:w="100" w:type="dxa"/>
            </w:tcMar>
          </w:tcPr>
          <w:p w14:paraId="13DE1783" w14:textId="77777777" w:rsidR="00487CB5" w:rsidRDefault="00487CB5">
            <w:pPr>
              <w:spacing w:after="160"/>
              <w:rPr>
                <w:rFonts w:ascii="Times New Roman" w:eastAsia="Times New Roman" w:hAnsi="Times New Roman" w:cs="Times New Roman"/>
              </w:rPr>
            </w:pPr>
          </w:p>
        </w:tc>
      </w:tr>
      <w:tr w:rsidR="00487CB5" w14:paraId="5D497A75" w14:textId="77777777">
        <w:trPr>
          <w:trHeight w:val="245"/>
        </w:trPr>
        <w:tc>
          <w:tcPr>
            <w:tcW w:w="915" w:type="dxa"/>
            <w:tcBorders>
              <w:top w:val="nil"/>
              <w:left w:val="nil"/>
              <w:bottom w:val="single" w:sz="12" w:space="0" w:color="000000"/>
              <w:right w:val="nil"/>
            </w:tcBorders>
            <w:shd w:val="clear" w:color="auto" w:fill="auto"/>
            <w:tcMar>
              <w:top w:w="100" w:type="dxa"/>
              <w:left w:w="100" w:type="dxa"/>
              <w:bottom w:w="100" w:type="dxa"/>
              <w:right w:w="100" w:type="dxa"/>
            </w:tcMar>
          </w:tcPr>
          <w:p w14:paraId="7A5D1E24" w14:textId="77777777" w:rsidR="00487CB5" w:rsidRDefault="00487CB5">
            <w:pPr>
              <w:spacing w:after="160"/>
              <w:jc w:val="right"/>
              <w:rPr>
                <w:rFonts w:ascii="Times New Roman" w:eastAsia="Times New Roman" w:hAnsi="Times New Roman" w:cs="Times New Roman"/>
              </w:rPr>
            </w:pPr>
          </w:p>
        </w:tc>
        <w:tc>
          <w:tcPr>
            <w:tcW w:w="8865" w:type="dxa"/>
            <w:gridSpan w:val="16"/>
            <w:tcBorders>
              <w:top w:val="nil"/>
              <w:left w:val="nil"/>
              <w:bottom w:val="single" w:sz="12" w:space="0" w:color="000000"/>
              <w:right w:val="nil"/>
            </w:tcBorders>
            <w:shd w:val="clear" w:color="auto" w:fill="auto"/>
            <w:tcMar>
              <w:top w:w="100" w:type="dxa"/>
              <w:left w:w="100" w:type="dxa"/>
              <w:bottom w:w="100" w:type="dxa"/>
              <w:right w:w="100" w:type="dxa"/>
            </w:tcMar>
          </w:tcPr>
          <w:p w14:paraId="615A38FF" w14:textId="77777777" w:rsidR="00487CB5" w:rsidRDefault="00487CB5">
            <w:pPr>
              <w:spacing w:after="160"/>
              <w:jc w:val="right"/>
              <w:rPr>
                <w:rFonts w:ascii="Times New Roman" w:eastAsia="Times New Roman" w:hAnsi="Times New Roman" w:cs="Times New Roman"/>
              </w:rPr>
            </w:pPr>
          </w:p>
        </w:tc>
      </w:tr>
      <w:tr w:rsidR="00487CB5" w14:paraId="6E54C6A5"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66EBC2F4" w14:textId="77777777" w:rsidR="00487CB5" w:rsidRDefault="00487CB5">
            <w:pPr>
              <w:spacing w:after="160"/>
              <w:rPr>
                <w:rFonts w:ascii="Times New Roman" w:eastAsia="Times New Roman" w:hAnsi="Times New Roman" w:cs="Times New Roman"/>
              </w:rPr>
            </w:pPr>
          </w:p>
        </w:tc>
        <w:tc>
          <w:tcPr>
            <w:tcW w:w="8865" w:type="dxa"/>
            <w:gridSpan w:val="16"/>
            <w:tcBorders>
              <w:top w:val="nil"/>
              <w:left w:val="nil"/>
              <w:bottom w:val="nil"/>
              <w:right w:val="nil"/>
            </w:tcBorders>
            <w:shd w:val="clear" w:color="auto" w:fill="auto"/>
            <w:tcMar>
              <w:top w:w="100" w:type="dxa"/>
              <w:left w:w="100" w:type="dxa"/>
              <w:bottom w:w="100" w:type="dxa"/>
              <w:right w:w="100" w:type="dxa"/>
            </w:tcMar>
          </w:tcPr>
          <w:p w14:paraId="7DA2EC6B"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Note.  Delta method standard errors, normal theory confidence intervals, ML estimator.</w:t>
            </w:r>
          </w:p>
        </w:tc>
      </w:tr>
    </w:tbl>
    <w:p w14:paraId="455598DC" w14:textId="77777777" w:rsidR="00487CB5" w:rsidRDefault="00487CB5">
      <w:pPr>
        <w:spacing w:after="160"/>
        <w:rPr>
          <w:rFonts w:ascii="Times New Roman" w:eastAsia="Times New Roman" w:hAnsi="Times New Roman" w:cs="Times New Roman"/>
          <w:b/>
        </w:rPr>
      </w:pPr>
    </w:p>
    <w:p w14:paraId="7FD5FF91" w14:textId="77777777" w:rsidR="00487CB5" w:rsidRDefault="00487CB5">
      <w:pPr>
        <w:rPr>
          <w:rFonts w:ascii="Times New Roman" w:eastAsia="Times New Roman" w:hAnsi="Times New Roman" w:cs="Times New Roman"/>
        </w:rPr>
      </w:pPr>
    </w:p>
    <w:p w14:paraId="4FBA6119" w14:textId="1563BDCB" w:rsidR="00487CB5" w:rsidRPr="00CD0DCB" w:rsidRDefault="002B62DD">
      <w:pPr>
        <w:spacing w:after="120"/>
        <w:jc w:val="both"/>
        <w:rPr>
          <w:rFonts w:ascii="Times New Roman" w:eastAsia="Times New Roman" w:hAnsi="Times New Roman" w:cs="Times New Roman"/>
          <w:highlight w:val="yellow"/>
        </w:rPr>
      </w:pPr>
      <w:r>
        <w:rPr>
          <w:rFonts w:ascii="Times New Roman" w:eastAsia="Times New Roman" w:hAnsi="Times New Roman" w:cs="Times New Roman"/>
          <w:b/>
        </w:rPr>
        <w:t>(E-G-C)</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(e₃.₁ - e₃.₂) </w:t>
      </w:r>
      <w:r>
        <w:rPr>
          <w:rFonts w:ascii="Times New Roman" w:eastAsia="Times New Roman" w:hAnsi="Times New Roman" w:cs="Times New Roman"/>
          <w:highlight w:val="white"/>
        </w:rPr>
        <w:t xml:space="preserve">Multiple regression was used to test the mediation model. Table </w:t>
      </w:r>
      <w:r>
        <w:rPr>
          <w:rFonts w:ascii="Times New Roman" w:eastAsia="Times New Roman" w:hAnsi="Times New Roman" w:cs="Times New Roman"/>
          <w:b/>
          <w:highlight w:val="white"/>
        </w:rPr>
        <w:t>15</w:t>
      </w:r>
      <w:r>
        <w:rPr>
          <w:rFonts w:ascii="Times New Roman" w:eastAsia="Times New Roman" w:hAnsi="Times New Roman" w:cs="Times New Roman"/>
          <w:highlight w:val="white"/>
        </w:rPr>
        <w:t xml:space="preserve"> reveals that </w:t>
      </w:r>
      <w:r>
        <w:rPr>
          <w:rFonts w:ascii="Times New Roman" w:eastAsia="Times New Roman" w:hAnsi="Times New Roman" w:cs="Times New Roman"/>
        </w:rPr>
        <w:t xml:space="preserve">(e.) </w:t>
      </w:r>
      <w:r>
        <w:rPr>
          <w:rFonts w:ascii="Times New Roman" w:eastAsia="Times New Roman" w:hAnsi="Times New Roman" w:cs="Times New Roman"/>
          <w:b/>
        </w:rPr>
        <w:t>Alternative Evaluation</w:t>
      </w:r>
      <w:r>
        <w:rPr>
          <w:rFonts w:ascii="Times New Roman" w:eastAsia="Times New Roman" w:hAnsi="Times New Roman" w:cs="Times New Roman"/>
        </w:rPr>
        <w:t>,</w:t>
      </w:r>
      <w:r>
        <w:rPr>
          <w:rFonts w:ascii="Times New Roman" w:eastAsia="Times New Roman" w:hAnsi="Times New Roman" w:cs="Times New Roman"/>
          <w:highlight w:val="white"/>
        </w:rPr>
        <w:t xml:space="preserve"> positively predicts </w:t>
      </w:r>
      <w:r>
        <w:rPr>
          <w:rFonts w:ascii="Times New Roman" w:eastAsia="Times New Roman" w:hAnsi="Times New Roman" w:cs="Times New Roman"/>
        </w:rPr>
        <w:t xml:space="preserve">(c.) </w:t>
      </w:r>
      <w:r>
        <w:rPr>
          <w:rFonts w:ascii="Times New Roman" w:eastAsia="Times New Roman" w:hAnsi="Times New Roman" w:cs="Times New Roman"/>
          <w:b/>
        </w:rPr>
        <w:t>Green Purchase</w:t>
      </w:r>
      <w:r>
        <w:rPr>
          <w:rFonts w:ascii="Times New Roman" w:eastAsia="Times New Roman" w:hAnsi="Times New Roman" w:cs="Times New Roman"/>
          <w:highlight w:val="white"/>
        </w:rPr>
        <w:t xml:space="preserve">, ß = .097 (95% CI: 0.042, 0.153), z=3.426, p&lt;.001. Furthermore, </w:t>
      </w:r>
      <w:r>
        <w:rPr>
          <w:rFonts w:ascii="Times New Roman" w:eastAsia="Times New Roman" w:hAnsi="Times New Roman" w:cs="Times New Roman"/>
        </w:rPr>
        <w:t xml:space="preserve">(g.) </w:t>
      </w:r>
      <w:r>
        <w:rPr>
          <w:rFonts w:ascii="Times New Roman" w:eastAsia="Times New Roman" w:hAnsi="Times New Roman" w:cs="Times New Roman"/>
          <w:b/>
        </w:rPr>
        <w:t xml:space="preserve">Consumer </w:t>
      </w:r>
      <w:r w:rsidR="00D178DA" w:rsidRPr="00CD0DCB">
        <w:rPr>
          <w:rFonts w:ascii="Times New Roman" w:eastAsia="Times New Roman" w:hAnsi="Times New Roman" w:cs="Times New Roman"/>
          <w:b/>
          <w:highlight w:val="yellow"/>
        </w:rPr>
        <w:t>Scepticism</w:t>
      </w:r>
      <w:r w:rsidRPr="00CD0DCB">
        <w:rPr>
          <w:rFonts w:ascii="Times New Roman" w:eastAsia="Times New Roman" w:hAnsi="Times New Roman" w:cs="Times New Roman"/>
          <w:highlight w:val="yellow"/>
        </w:rPr>
        <w:t xml:space="preserve"> significantly mediates this relationship, ß= 0.021 (95% CI: 0.004, 0.037), z=2.445, p = 0.014. It is estimated that (g.) </w:t>
      </w:r>
      <w:r w:rsidRPr="00CD0DCB">
        <w:rPr>
          <w:rFonts w:ascii="Times New Roman" w:eastAsia="Times New Roman" w:hAnsi="Times New Roman" w:cs="Times New Roman"/>
          <w:b/>
          <w:highlight w:val="yellow"/>
        </w:rPr>
        <w:t xml:space="preserve">Consumer </w:t>
      </w:r>
      <w:r w:rsidR="00D178DA" w:rsidRPr="00CD0DCB">
        <w:rPr>
          <w:rFonts w:ascii="Times New Roman" w:eastAsia="Times New Roman" w:hAnsi="Times New Roman" w:cs="Times New Roman"/>
          <w:b/>
          <w:highlight w:val="yellow"/>
        </w:rPr>
        <w:t>Scepticism</w:t>
      </w:r>
      <w:r w:rsidRPr="00CD0DCB">
        <w:rPr>
          <w:rFonts w:ascii="Times New Roman" w:eastAsia="Times New Roman" w:hAnsi="Times New Roman" w:cs="Times New Roman"/>
          <w:highlight w:val="yellow"/>
        </w:rPr>
        <w:t xml:space="preserve"> accounts for 22 % of (e.) </w:t>
      </w:r>
      <w:r w:rsidRPr="00CD0DCB">
        <w:rPr>
          <w:rFonts w:ascii="Times New Roman" w:eastAsia="Times New Roman" w:hAnsi="Times New Roman" w:cs="Times New Roman"/>
          <w:b/>
          <w:highlight w:val="yellow"/>
        </w:rPr>
        <w:t>Alternative Evaluation</w:t>
      </w:r>
      <w:r w:rsidRPr="00CD0DCB">
        <w:rPr>
          <w:rFonts w:ascii="Times New Roman" w:eastAsia="Times New Roman" w:hAnsi="Times New Roman" w:cs="Times New Roman"/>
          <w:highlight w:val="yellow"/>
        </w:rPr>
        <w:t xml:space="preserve">’ Effect on (c.) </w:t>
      </w:r>
      <w:proofErr w:type="spellStart"/>
      <w:r w:rsidRPr="00CD0DCB">
        <w:rPr>
          <w:rFonts w:ascii="Times New Roman" w:eastAsia="Times New Roman" w:hAnsi="Times New Roman" w:cs="Times New Roman"/>
          <w:b/>
          <w:highlight w:val="yellow"/>
        </w:rPr>
        <w:t>GreenPurchase</w:t>
      </w:r>
      <w:proofErr w:type="spellEnd"/>
      <w:r w:rsidRPr="00CD0DCB">
        <w:rPr>
          <w:rFonts w:ascii="Times New Roman" w:eastAsia="Times New Roman" w:hAnsi="Times New Roman" w:cs="Times New Roman"/>
          <w:highlight w:val="yellow"/>
        </w:rPr>
        <w:t xml:space="preserve">. Nevertheless, (e.) </w:t>
      </w:r>
      <w:r w:rsidRPr="00CD0DCB">
        <w:rPr>
          <w:rFonts w:ascii="Times New Roman" w:eastAsia="Times New Roman" w:hAnsi="Times New Roman" w:cs="Times New Roman"/>
          <w:b/>
          <w:highlight w:val="yellow"/>
        </w:rPr>
        <w:t>Alte]]]]]]]</w:t>
      </w:r>
      <w:proofErr w:type="spellStart"/>
      <w:r w:rsidRPr="00CD0DCB">
        <w:rPr>
          <w:rFonts w:ascii="Times New Roman" w:eastAsia="Times New Roman" w:hAnsi="Times New Roman" w:cs="Times New Roman"/>
          <w:b/>
          <w:highlight w:val="yellow"/>
        </w:rPr>
        <w:t>rnative</w:t>
      </w:r>
      <w:proofErr w:type="spellEnd"/>
      <w:r w:rsidRPr="00CD0DCB">
        <w:rPr>
          <w:rFonts w:ascii="Times New Roman" w:eastAsia="Times New Roman" w:hAnsi="Times New Roman" w:cs="Times New Roman"/>
          <w:b/>
          <w:highlight w:val="yellow"/>
        </w:rPr>
        <w:t xml:space="preserve"> Evaluation</w:t>
      </w:r>
      <w:r w:rsidRPr="00CD0DCB">
        <w:rPr>
          <w:rFonts w:ascii="Times New Roman" w:eastAsia="Times New Roman" w:hAnsi="Times New Roman" w:cs="Times New Roman"/>
          <w:highlight w:val="yellow"/>
        </w:rPr>
        <w:t xml:space="preserve"> still has a significant positive direct effect, ß= 0.076 (95% CI: 0.020, 0.133), z = 2.641, p = 0.008. (H 9.3)</w:t>
      </w:r>
    </w:p>
    <w:p w14:paraId="3C2BED00" w14:textId="77777777" w:rsidR="00487CB5" w:rsidRDefault="00487CB5">
      <w:pPr>
        <w:spacing w:after="120"/>
        <w:ind w:left="720"/>
        <w:jc w:val="both"/>
        <w:rPr>
          <w:rFonts w:ascii="Times New Roman" w:eastAsia="Times New Roman" w:hAnsi="Times New Roman" w:cs="Times New Roman"/>
          <w:highlight w:val="white"/>
        </w:rPr>
      </w:pPr>
    </w:p>
    <w:p w14:paraId="7C2FE892" w14:textId="77777777" w:rsidR="00487CB5" w:rsidRDefault="00487CB5">
      <w:pPr>
        <w:spacing w:after="160"/>
        <w:rPr>
          <w:rFonts w:ascii="Times New Roman" w:eastAsia="Times New Roman" w:hAnsi="Times New Roman" w:cs="Times New Roman"/>
        </w:rPr>
      </w:pPr>
    </w:p>
    <w:tbl>
      <w:tblPr>
        <w:tblStyle w:val="ad"/>
        <w:tblW w:w="9780" w:type="dxa"/>
        <w:tblInd w:w="-632" w:type="dxa"/>
        <w:tblBorders>
          <w:top w:val="nil"/>
          <w:left w:val="nil"/>
          <w:bottom w:val="nil"/>
          <w:right w:val="nil"/>
          <w:insideH w:val="nil"/>
          <w:insideV w:val="nil"/>
        </w:tblBorders>
        <w:tblLayout w:type="fixed"/>
        <w:tblLook w:val="0600" w:firstRow="0" w:lastRow="0" w:firstColumn="0" w:lastColumn="0" w:noHBand="1" w:noVBand="1"/>
      </w:tblPr>
      <w:tblGrid>
        <w:gridCol w:w="915"/>
        <w:gridCol w:w="525"/>
        <w:gridCol w:w="240"/>
        <w:gridCol w:w="345"/>
        <w:gridCol w:w="240"/>
        <w:gridCol w:w="720"/>
        <w:gridCol w:w="240"/>
        <w:gridCol w:w="810"/>
        <w:gridCol w:w="450"/>
        <w:gridCol w:w="690"/>
        <w:gridCol w:w="405"/>
        <w:gridCol w:w="840"/>
        <w:gridCol w:w="750"/>
        <w:gridCol w:w="1080"/>
        <w:gridCol w:w="240"/>
        <w:gridCol w:w="1050"/>
        <w:gridCol w:w="240"/>
      </w:tblGrid>
      <w:tr w:rsidR="00487CB5" w14:paraId="3035E5E4" w14:textId="77777777">
        <w:trPr>
          <w:trHeight w:val="515"/>
        </w:trPr>
        <w:tc>
          <w:tcPr>
            <w:tcW w:w="915" w:type="dxa"/>
            <w:tcBorders>
              <w:top w:val="nil"/>
              <w:left w:val="nil"/>
              <w:bottom w:val="single" w:sz="6" w:space="0" w:color="000000"/>
              <w:right w:val="nil"/>
            </w:tcBorders>
            <w:tcMar>
              <w:top w:w="100" w:type="dxa"/>
              <w:left w:w="100" w:type="dxa"/>
              <w:bottom w:w="100" w:type="dxa"/>
              <w:right w:w="100" w:type="dxa"/>
            </w:tcMar>
          </w:tcPr>
          <w:p w14:paraId="54FA257E" w14:textId="77777777" w:rsidR="00487CB5" w:rsidRDefault="00487CB5">
            <w:pPr>
              <w:spacing w:after="160"/>
              <w:rPr>
                <w:rFonts w:ascii="Times New Roman" w:eastAsia="Times New Roman" w:hAnsi="Times New Roman" w:cs="Times New Roman"/>
                <w:b/>
              </w:rPr>
            </w:pPr>
          </w:p>
        </w:tc>
        <w:tc>
          <w:tcPr>
            <w:tcW w:w="8865" w:type="dxa"/>
            <w:gridSpan w:val="16"/>
            <w:tcBorders>
              <w:top w:val="nil"/>
              <w:left w:val="nil"/>
              <w:bottom w:val="single" w:sz="6" w:space="0" w:color="000000"/>
              <w:right w:val="nil"/>
            </w:tcBorders>
            <w:tcMar>
              <w:top w:w="100" w:type="dxa"/>
              <w:left w:w="100" w:type="dxa"/>
              <w:bottom w:w="100" w:type="dxa"/>
              <w:right w:w="100" w:type="dxa"/>
            </w:tcMar>
          </w:tcPr>
          <w:p w14:paraId="1B7D47BD"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b/>
              </w:rPr>
              <w:t xml:space="preserve">TABLE 15. </w:t>
            </w:r>
            <w:r>
              <w:rPr>
                <w:rFonts w:ascii="Times New Roman" w:eastAsia="Times New Roman" w:hAnsi="Times New Roman" w:cs="Times New Roman"/>
              </w:rPr>
              <w:t>Results of Mediation Analysis (E-G-C)</w:t>
            </w:r>
          </w:p>
        </w:tc>
      </w:tr>
      <w:tr w:rsidR="00487CB5" w14:paraId="4D522A8F"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1EC13991" w14:textId="77777777" w:rsidR="00487CB5" w:rsidRDefault="00487CB5">
            <w:pPr>
              <w:spacing w:after="160"/>
              <w:jc w:val="center"/>
              <w:rPr>
                <w:rFonts w:ascii="Times New Roman" w:eastAsia="Times New Roman" w:hAnsi="Times New Roman" w:cs="Times New Roman"/>
              </w:rPr>
            </w:pPr>
          </w:p>
        </w:tc>
        <w:tc>
          <w:tcPr>
            <w:tcW w:w="6255" w:type="dxa"/>
            <w:gridSpan w:val="12"/>
            <w:tcBorders>
              <w:top w:val="nil"/>
              <w:left w:val="nil"/>
              <w:bottom w:val="nil"/>
              <w:right w:val="nil"/>
            </w:tcBorders>
            <w:shd w:val="clear" w:color="auto" w:fill="auto"/>
            <w:tcMar>
              <w:top w:w="100" w:type="dxa"/>
              <w:left w:w="100" w:type="dxa"/>
              <w:bottom w:w="100" w:type="dxa"/>
              <w:right w:w="100" w:type="dxa"/>
            </w:tcMar>
          </w:tcPr>
          <w:p w14:paraId="75CA2C11" w14:textId="77777777" w:rsidR="00487CB5" w:rsidRDefault="00487CB5">
            <w:pPr>
              <w:spacing w:after="160"/>
              <w:jc w:val="center"/>
              <w:rPr>
                <w:rFonts w:ascii="Times New Roman" w:eastAsia="Times New Roman" w:hAnsi="Times New Roman" w:cs="Times New Roman"/>
              </w:rPr>
            </w:pPr>
          </w:p>
        </w:tc>
        <w:tc>
          <w:tcPr>
            <w:tcW w:w="2610"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68097173"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95% Confidence Interval</w:t>
            </w:r>
          </w:p>
        </w:tc>
      </w:tr>
      <w:tr w:rsidR="00487CB5" w14:paraId="4542524B" w14:textId="77777777">
        <w:trPr>
          <w:trHeight w:val="515"/>
        </w:trPr>
        <w:tc>
          <w:tcPr>
            <w:tcW w:w="915" w:type="dxa"/>
            <w:tcBorders>
              <w:top w:val="nil"/>
              <w:left w:val="nil"/>
              <w:bottom w:val="single" w:sz="6" w:space="0" w:color="000000"/>
              <w:right w:val="nil"/>
            </w:tcBorders>
            <w:shd w:val="clear" w:color="auto" w:fill="auto"/>
            <w:tcMar>
              <w:top w:w="100" w:type="dxa"/>
              <w:left w:w="100" w:type="dxa"/>
              <w:bottom w:w="100" w:type="dxa"/>
              <w:right w:w="100" w:type="dxa"/>
            </w:tcMar>
          </w:tcPr>
          <w:p w14:paraId="64378B5C" w14:textId="77777777" w:rsidR="00487CB5" w:rsidRDefault="002B62DD">
            <w:pPr>
              <w:spacing w:after="160"/>
              <w:rPr>
                <w:rFonts w:ascii="Times New Roman" w:eastAsia="Times New Roman" w:hAnsi="Times New Roman" w:cs="Times New Roman"/>
                <w:b/>
              </w:rPr>
            </w:pPr>
            <w:r>
              <w:rPr>
                <w:rFonts w:ascii="Times New Roman" w:eastAsia="Times New Roman" w:hAnsi="Times New Roman" w:cs="Times New Roman"/>
                <w:b/>
              </w:rPr>
              <w:t>Effect</w:t>
            </w:r>
          </w:p>
        </w:tc>
        <w:tc>
          <w:tcPr>
            <w:tcW w:w="76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41EA3957"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545"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51A68E2E"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26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7DA950CD"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Estimate (</w:t>
            </w:r>
            <w:r>
              <w:rPr>
                <w:rFonts w:ascii="Times New Roman" w:eastAsia="Times New Roman" w:hAnsi="Times New Roman" w:cs="Times New Roman"/>
                <w:highlight w:val="white"/>
              </w:rPr>
              <w:t>ß</w:t>
            </w:r>
            <w:r>
              <w:rPr>
                <w:rFonts w:ascii="Times New Roman" w:eastAsia="Times New Roman" w:hAnsi="Times New Roman" w:cs="Times New Roman"/>
                <w:b/>
              </w:rPr>
              <w:t>)</w:t>
            </w:r>
          </w:p>
        </w:tc>
        <w:tc>
          <w:tcPr>
            <w:tcW w:w="109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638DBD5C"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Std. Error</w:t>
            </w:r>
          </w:p>
        </w:tc>
        <w:tc>
          <w:tcPr>
            <w:tcW w:w="840" w:type="dxa"/>
            <w:tcBorders>
              <w:top w:val="nil"/>
              <w:left w:val="nil"/>
              <w:bottom w:val="single" w:sz="6" w:space="0" w:color="000000"/>
              <w:right w:val="nil"/>
            </w:tcBorders>
            <w:shd w:val="clear" w:color="auto" w:fill="auto"/>
            <w:tcMar>
              <w:top w:w="100" w:type="dxa"/>
              <w:left w:w="100" w:type="dxa"/>
              <w:bottom w:w="100" w:type="dxa"/>
              <w:right w:w="100" w:type="dxa"/>
            </w:tcMar>
          </w:tcPr>
          <w:p w14:paraId="4FA65A0C"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z-value</w:t>
            </w:r>
          </w:p>
        </w:tc>
        <w:tc>
          <w:tcPr>
            <w:tcW w:w="750" w:type="dxa"/>
            <w:tcBorders>
              <w:top w:val="nil"/>
              <w:left w:val="nil"/>
              <w:bottom w:val="single" w:sz="6" w:space="0" w:color="000000"/>
              <w:right w:val="nil"/>
            </w:tcBorders>
            <w:shd w:val="clear" w:color="auto" w:fill="auto"/>
            <w:tcMar>
              <w:top w:w="100" w:type="dxa"/>
              <w:left w:w="100" w:type="dxa"/>
              <w:bottom w:w="100" w:type="dxa"/>
              <w:right w:w="100" w:type="dxa"/>
            </w:tcMar>
          </w:tcPr>
          <w:p w14:paraId="3BD96037"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p</w:t>
            </w:r>
          </w:p>
        </w:tc>
        <w:tc>
          <w:tcPr>
            <w:tcW w:w="132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1D4D005D"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Lower</w:t>
            </w:r>
          </w:p>
        </w:tc>
        <w:tc>
          <w:tcPr>
            <w:tcW w:w="129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2E13B638"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Upper</w:t>
            </w:r>
          </w:p>
        </w:tc>
      </w:tr>
      <w:tr w:rsidR="00487CB5" w14:paraId="37F0E253"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1C5BD9D2"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Direct</w:t>
            </w:r>
          </w:p>
        </w:tc>
        <w:tc>
          <w:tcPr>
            <w:tcW w:w="525" w:type="dxa"/>
            <w:tcBorders>
              <w:top w:val="nil"/>
              <w:left w:val="nil"/>
              <w:bottom w:val="nil"/>
              <w:right w:val="nil"/>
            </w:tcBorders>
            <w:shd w:val="clear" w:color="auto" w:fill="auto"/>
            <w:tcMar>
              <w:top w:w="100" w:type="dxa"/>
              <w:left w:w="100" w:type="dxa"/>
              <w:bottom w:w="100" w:type="dxa"/>
              <w:right w:w="100" w:type="dxa"/>
            </w:tcMar>
          </w:tcPr>
          <w:p w14:paraId="0AC00736"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E</w:t>
            </w:r>
          </w:p>
        </w:tc>
        <w:tc>
          <w:tcPr>
            <w:tcW w:w="240" w:type="dxa"/>
            <w:tcBorders>
              <w:top w:val="nil"/>
              <w:left w:val="nil"/>
              <w:bottom w:val="nil"/>
              <w:right w:val="nil"/>
            </w:tcBorders>
            <w:shd w:val="clear" w:color="auto" w:fill="auto"/>
            <w:tcMar>
              <w:top w:w="100" w:type="dxa"/>
              <w:left w:w="100" w:type="dxa"/>
              <w:bottom w:w="100" w:type="dxa"/>
              <w:right w:w="100" w:type="dxa"/>
            </w:tcMar>
          </w:tcPr>
          <w:p w14:paraId="03E165C2"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79096D5C"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79B550DD"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3BEC2499"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C</w:t>
            </w:r>
          </w:p>
        </w:tc>
        <w:tc>
          <w:tcPr>
            <w:tcW w:w="240" w:type="dxa"/>
            <w:tcBorders>
              <w:top w:val="nil"/>
              <w:left w:val="nil"/>
              <w:bottom w:val="nil"/>
              <w:right w:val="nil"/>
            </w:tcBorders>
            <w:shd w:val="clear" w:color="auto" w:fill="auto"/>
            <w:tcMar>
              <w:top w:w="100" w:type="dxa"/>
              <w:left w:w="100" w:type="dxa"/>
              <w:bottom w:w="100" w:type="dxa"/>
              <w:right w:w="100" w:type="dxa"/>
            </w:tcMar>
          </w:tcPr>
          <w:p w14:paraId="6D44D43A"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048E9C53"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0.076</w:t>
            </w:r>
          </w:p>
        </w:tc>
        <w:tc>
          <w:tcPr>
            <w:tcW w:w="450" w:type="dxa"/>
            <w:tcBorders>
              <w:top w:val="nil"/>
              <w:left w:val="nil"/>
              <w:bottom w:val="nil"/>
              <w:right w:val="nil"/>
            </w:tcBorders>
            <w:shd w:val="clear" w:color="auto" w:fill="auto"/>
            <w:tcMar>
              <w:top w:w="100" w:type="dxa"/>
              <w:left w:w="100" w:type="dxa"/>
              <w:bottom w:w="100" w:type="dxa"/>
              <w:right w:w="100" w:type="dxa"/>
            </w:tcMar>
          </w:tcPr>
          <w:p w14:paraId="6E0FDB50"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715D90FC"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0.029</w:t>
            </w:r>
          </w:p>
        </w:tc>
        <w:tc>
          <w:tcPr>
            <w:tcW w:w="405" w:type="dxa"/>
            <w:tcBorders>
              <w:top w:val="nil"/>
              <w:left w:val="nil"/>
              <w:bottom w:val="nil"/>
              <w:right w:val="nil"/>
            </w:tcBorders>
            <w:shd w:val="clear" w:color="auto" w:fill="auto"/>
            <w:tcMar>
              <w:top w:w="100" w:type="dxa"/>
              <w:left w:w="100" w:type="dxa"/>
              <w:bottom w:w="100" w:type="dxa"/>
              <w:right w:w="100" w:type="dxa"/>
            </w:tcMar>
          </w:tcPr>
          <w:p w14:paraId="2D8FF661"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06EBB132"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2.641</w:t>
            </w:r>
          </w:p>
        </w:tc>
        <w:tc>
          <w:tcPr>
            <w:tcW w:w="750" w:type="dxa"/>
            <w:tcBorders>
              <w:top w:val="nil"/>
              <w:left w:val="nil"/>
              <w:bottom w:val="nil"/>
              <w:right w:val="nil"/>
            </w:tcBorders>
            <w:shd w:val="clear" w:color="auto" w:fill="auto"/>
            <w:tcMar>
              <w:top w:w="100" w:type="dxa"/>
              <w:left w:w="100" w:type="dxa"/>
              <w:bottom w:w="100" w:type="dxa"/>
              <w:right w:w="100" w:type="dxa"/>
            </w:tcMar>
          </w:tcPr>
          <w:p w14:paraId="1AF9895B"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0.008</w:t>
            </w:r>
          </w:p>
        </w:tc>
        <w:tc>
          <w:tcPr>
            <w:tcW w:w="1080" w:type="dxa"/>
            <w:tcBorders>
              <w:top w:val="nil"/>
              <w:left w:val="nil"/>
              <w:bottom w:val="nil"/>
              <w:right w:val="nil"/>
            </w:tcBorders>
            <w:shd w:val="clear" w:color="auto" w:fill="auto"/>
            <w:tcMar>
              <w:top w:w="100" w:type="dxa"/>
              <w:left w:w="100" w:type="dxa"/>
              <w:bottom w:w="100" w:type="dxa"/>
              <w:right w:w="100" w:type="dxa"/>
            </w:tcMar>
          </w:tcPr>
          <w:p w14:paraId="721738C1"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0.020</w:t>
            </w:r>
          </w:p>
        </w:tc>
        <w:tc>
          <w:tcPr>
            <w:tcW w:w="240" w:type="dxa"/>
            <w:tcBorders>
              <w:top w:val="nil"/>
              <w:left w:val="nil"/>
              <w:bottom w:val="nil"/>
              <w:right w:val="nil"/>
            </w:tcBorders>
            <w:shd w:val="clear" w:color="auto" w:fill="auto"/>
            <w:tcMar>
              <w:top w:w="100" w:type="dxa"/>
              <w:left w:w="100" w:type="dxa"/>
              <w:bottom w:w="100" w:type="dxa"/>
              <w:right w:w="100" w:type="dxa"/>
            </w:tcMar>
          </w:tcPr>
          <w:p w14:paraId="7FE93600"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30C9A1CD"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0.133</w:t>
            </w:r>
          </w:p>
        </w:tc>
        <w:tc>
          <w:tcPr>
            <w:tcW w:w="240" w:type="dxa"/>
            <w:tcBorders>
              <w:top w:val="nil"/>
              <w:left w:val="nil"/>
              <w:bottom w:val="nil"/>
              <w:right w:val="nil"/>
            </w:tcBorders>
            <w:shd w:val="clear" w:color="auto" w:fill="auto"/>
            <w:tcMar>
              <w:top w:w="100" w:type="dxa"/>
              <w:left w:w="100" w:type="dxa"/>
              <w:bottom w:w="100" w:type="dxa"/>
              <w:right w:w="100" w:type="dxa"/>
            </w:tcMar>
          </w:tcPr>
          <w:p w14:paraId="4250FC6E" w14:textId="77777777" w:rsidR="00487CB5" w:rsidRDefault="00487CB5">
            <w:pPr>
              <w:spacing w:after="160"/>
              <w:rPr>
                <w:rFonts w:ascii="Times New Roman" w:eastAsia="Times New Roman" w:hAnsi="Times New Roman" w:cs="Times New Roman"/>
              </w:rPr>
            </w:pPr>
          </w:p>
        </w:tc>
      </w:tr>
      <w:tr w:rsidR="00487CB5" w14:paraId="0AC75DE3"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2F27663E"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Indirect</w:t>
            </w:r>
          </w:p>
        </w:tc>
        <w:tc>
          <w:tcPr>
            <w:tcW w:w="2070" w:type="dxa"/>
            <w:gridSpan w:val="5"/>
            <w:tcBorders>
              <w:top w:val="nil"/>
              <w:left w:val="nil"/>
              <w:bottom w:val="nil"/>
              <w:right w:val="nil"/>
            </w:tcBorders>
            <w:shd w:val="clear" w:color="auto" w:fill="auto"/>
            <w:tcMar>
              <w:top w:w="100" w:type="dxa"/>
              <w:left w:w="100" w:type="dxa"/>
              <w:bottom w:w="100" w:type="dxa"/>
              <w:right w:w="100" w:type="dxa"/>
            </w:tcMar>
          </w:tcPr>
          <w:p w14:paraId="158A1512" w14:textId="77777777" w:rsidR="00487CB5" w:rsidRDefault="002B62DD">
            <w:pPr>
              <w:spacing w:after="160"/>
              <w:rPr>
                <w:rFonts w:ascii="Times New Roman" w:eastAsia="Times New Roman" w:hAnsi="Times New Roman" w:cs="Times New Roman"/>
              </w:rPr>
            </w:pPr>
            <w:r>
              <w:rPr>
                <w:rFonts w:ascii="Cardo" w:eastAsia="Cardo" w:hAnsi="Cardo" w:cs="Cardo"/>
              </w:rPr>
              <w:t>E     →      G      →   C</w:t>
            </w:r>
          </w:p>
        </w:tc>
        <w:tc>
          <w:tcPr>
            <w:tcW w:w="240" w:type="dxa"/>
            <w:tcBorders>
              <w:top w:val="nil"/>
              <w:left w:val="nil"/>
              <w:bottom w:val="nil"/>
              <w:right w:val="nil"/>
            </w:tcBorders>
            <w:shd w:val="clear" w:color="auto" w:fill="auto"/>
            <w:tcMar>
              <w:top w:w="100" w:type="dxa"/>
              <w:left w:w="100" w:type="dxa"/>
              <w:bottom w:w="100" w:type="dxa"/>
              <w:right w:w="100" w:type="dxa"/>
            </w:tcMar>
          </w:tcPr>
          <w:p w14:paraId="6D56FE05"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3D5C05A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0.021</w:t>
            </w:r>
          </w:p>
        </w:tc>
        <w:tc>
          <w:tcPr>
            <w:tcW w:w="450" w:type="dxa"/>
            <w:tcBorders>
              <w:top w:val="nil"/>
              <w:left w:val="nil"/>
              <w:bottom w:val="nil"/>
              <w:right w:val="nil"/>
            </w:tcBorders>
            <w:shd w:val="clear" w:color="auto" w:fill="auto"/>
            <w:tcMar>
              <w:top w:w="100" w:type="dxa"/>
              <w:left w:w="100" w:type="dxa"/>
              <w:bottom w:w="100" w:type="dxa"/>
              <w:right w:w="100" w:type="dxa"/>
            </w:tcMar>
          </w:tcPr>
          <w:p w14:paraId="0E51604A"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62E7A616"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0.008</w:t>
            </w:r>
          </w:p>
        </w:tc>
        <w:tc>
          <w:tcPr>
            <w:tcW w:w="405" w:type="dxa"/>
            <w:tcBorders>
              <w:top w:val="nil"/>
              <w:left w:val="nil"/>
              <w:bottom w:val="nil"/>
              <w:right w:val="nil"/>
            </w:tcBorders>
            <w:shd w:val="clear" w:color="auto" w:fill="auto"/>
            <w:tcMar>
              <w:top w:w="100" w:type="dxa"/>
              <w:left w:w="100" w:type="dxa"/>
              <w:bottom w:w="100" w:type="dxa"/>
              <w:right w:w="100" w:type="dxa"/>
            </w:tcMar>
          </w:tcPr>
          <w:p w14:paraId="6BDB8477"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5F75A75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2.445</w:t>
            </w:r>
          </w:p>
        </w:tc>
        <w:tc>
          <w:tcPr>
            <w:tcW w:w="750" w:type="dxa"/>
            <w:tcBorders>
              <w:top w:val="nil"/>
              <w:left w:val="nil"/>
              <w:bottom w:val="nil"/>
              <w:right w:val="nil"/>
            </w:tcBorders>
            <w:shd w:val="clear" w:color="auto" w:fill="auto"/>
            <w:tcMar>
              <w:top w:w="100" w:type="dxa"/>
              <w:left w:w="100" w:type="dxa"/>
              <w:bottom w:w="100" w:type="dxa"/>
              <w:right w:w="100" w:type="dxa"/>
            </w:tcMar>
          </w:tcPr>
          <w:p w14:paraId="3FA193D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0.014</w:t>
            </w:r>
          </w:p>
        </w:tc>
        <w:tc>
          <w:tcPr>
            <w:tcW w:w="1080" w:type="dxa"/>
            <w:tcBorders>
              <w:top w:val="nil"/>
              <w:left w:val="nil"/>
              <w:bottom w:val="nil"/>
              <w:right w:val="nil"/>
            </w:tcBorders>
            <w:shd w:val="clear" w:color="auto" w:fill="auto"/>
            <w:tcMar>
              <w:top w:w="100" w:type="dxa"/>
              <w:left w:w="100" w:type="dxa"/>
              <w:bottom w:w="100" w:type="dxa"/>
              <w:right w:w="100" w:type="dxa"/>
            </w:tcMar>
          </w:tcPr>
          <w:p w14:paraId="34B173C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0.004</w:t>
            </w:r>
          </w:p>
        </w:tc>
        <w:tc>
          <w:tcPr>
            <w:tcW w:w="240" w:type="dxa"/>
            <w:tcBorders>
              <w:top w:val="nil"/>
              <w:left w:val="nil"/>
              <w:bottom w:val="nil"/>
              <w:right w:val="nil"/>
            </w:tcBorders>
            <w:shd w:val="clear" w:color="auto" w:fill="auto"/>
            <w:tcMar>
              <w:top w:w="100" w:type="dxa"/>
              <w:left w:w="100" w:type="dxa"/>
              <w:bottom w:w="100" w:type="dxa"/>
              <w:right w:w="100" w:type="dxa"/>
            </w:tcMar>
          </w:tcPr>
          <w:p w14:paraId="16B35683"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790AA26C"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0.037</w:t>
            </w:r>
          </w:p>
        </w:tc>
        <w:tc>
          <w:tcPr>
            <w:tcW w:w="240" w:type="dxa"/>
            <w:tcBorders>
              <w:top w:val="nil"/>
              <w:left w:val="nil"/>
              <w:bottom w:val="nil"/>
              <w:right w:val="nil"/>
            </w:tcBorders>
            <w:shd w:val="clear" w:color="auto" w:fill="auto"/>
            <w:tcMar>
              <w:top w:w="100" w:type="dxa"/>
              <w:left w:w="100" w:type="dxa"/>
              <w:bottom w:w="100" w:type="dxa"/>
              <w:right w:w="100" w:type="dxa"/>
            </w:tcMar>
          </w:tcPr>
          <w:p w14:paraId="28060A56" w14:textId="77777777" w:rsidR="00487CB5" w:rsidRDefault="00487CB5">
            <w:pPr>
              <w:spacing w:after="160"/>
              <w:rPr>
                <w:rFonts w:ascii="Times New Roman" w:eastAsia="Times New Roman" w:hAnsi="Times New Roman" w:cs="Times New Roman"/>
              </w:rPr>
            </w:pPr>
          </w:p>
        </w:tc>
      </w:tr>
      <w:tr w:rsidR="00487CB5" w14:paraId="778086DB"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1D697C5F"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lastRenderedPageBreak/>
              <w:t>Total</w:t>
            </w:r>
          </w:p>
        </w:tc>
        <w:tc>
          <w:tcPr>
            <w:tcW w:w="525" w:type="dxa"/>
            <w:tcBorders>
              <w:top w:val="nil"/>
              <w:left w:val="nil"/>
              <w:bottom w:val="nil"/>
              <w:right w:val="nil"/>
            </w:tcBorders>
            <w:shd w:val="clear" w:color="auto" w:fill="auto"/>
            <w:tcMar>
              <w:top w:w="100" w:type="dxa"/>
              <w:left w:w="100" w:type="dxa"/>
              <w:bottom w:w="100" w:type="dxa"/>
              <w:right w:w="100" w:type="dxa"/>
            </w:tcMar>
          </w:tcPr>
          <w:p w14:paraId="72D5171C"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E</w:t>
            </w:r>
          </w:p>
        </w:tc>
        <w:tc>
          <w:tcPr>
            <w:tcW w:w="240" w:type="dxa"/>
            <w:tcBorders>
              <w:top w:val="nil"/>
              <w:left w:val="nil"/>
              <w:bottom w:val="nil"/>
              <w:right w:val="nil"/>
            </w:tcBorders>
            <w:shd w:val="clear" w:color="auto" w:fill="auto"/>
            <w:tcMar>
              <w:top w:w="100" w:type="dxa"/>
              <w:left w:w="100" w:type="dxa"/>
              <w:bottom w:w="100" w:type="dxa"/>
              <w:right w:w="100" w:type="dxa"/>
            </w:tcMar>
          </w:tcPr>
          <w:p w14:paraId="73E47BC3"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1F6CEBF1"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30A43905"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272C3EB3"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C</w:t>
            </w:r>
          </w:p>
        </w:tc>
        <w:tc>
          <w:tcPr>
            <w:tcW w:w="240" w:type="dxa"/>
            <w:tcBorders>
              <w:top w:val="nil"/>
              <w:left w:val="nil"/>
              <w:bottom w:val="nil"/>
              <w:right w:val="nil"/>
            </w:tcBorders>
            <w:shd w:val="clear" w:color="auto" w:fill="auto"/>
            <w:tcMar>
              <w:top w:w="100" w:type="dxa"/>
              <w:left w:w="100" w:type="dxa"/>
              <w:bottom w:w="100" w:type="dxa"/>
              <w:right w:w="100" w:type="dxa"/>
            </w:tcMar>
          </w:tcPr>
          <w:p w14:paraId="676E103F"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04723C13"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0.097</w:t>
            </w:r>
          </w:p>
        </w:tc>
        <w:tc>
          <w:tcPr>
            <w:tcW w:w="450" w:type="dxa"/>
            <w:tcBorders>
              <w:top w:val="nil"/>
              <w:left w:val="nil"/>
              <w:bottom w:val="nil"/>
              <w:right w:val="nil"/>
            </w:tcBorders>
            <w:shd w:val="clear" w:color="auto" w:fill="auto"/>
            <w:tcMar>
              <w:top w:w="100" w:type="dxa"/>
              <w:left w:w="100" w:type="dxa"/>
              <w:bottom w:w="100" w:type="dxa"/>
              <w:right w:w="100" w:type="dxa"/>
            </w:tcMar>
          </w:tcPr>
          <w:p w14:paraId="2D7749B2"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5452EC42"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0.028</w:t>
            </w:r>
          </w:p>
        </w:tc>
        <w:tc>
          <w:tcPr>
            <w:tcW w:w="405" w:type="dxa"/>
            <w:tcBorders>
              <w:top w:val="nil"/>
              <w:left w:val="nil"/>
              <w:bottom w:val="nil"/>
              <w:right w:val="nil"/>
            </w:tcBorders>
            <w:shd w:val="clear" w:color="auto" w:fill="auto"/>
            <w:tcMar>
              <w:top w:w="100" w:type="dxa"/>
              <w:left w:w="100" w:type="dxa"/>
              <w:bottom w:w="100" w:type="dxa"/>
              <w:right w:w="100" w:type="dxa"/>
            </w:tcMar>
          </w:tcPr>
          <w:p w14:paraId="0C3E7B78"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541355C0"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3.426</w:t>
            </w:r>
          </w:p>
        </w:tc>
        <w:tc>
          <w:tcPr>
            <w:tcW w:w="750" w:type="dxa"/>
            <w:tcBorders>
              <w:top w:val="nil"/>
              <w:left w:val="nil"/>
              <w:bottom w:val="nil"/>
              <w:right w:val="nil"/>
            </w:tcBorders>
            <w:shd w:val="clear" w:color="auto" w:fill="auto"/>
            <w:tcMar>
              <w:top w:w="100" w:type="dxa"/>
              <w:left w:w="100" w:type="dxa"/>
              <w:bottom w:w="100" w:type="dxa"/>
              <w:right w:w="100" w:type="dxa"/>
            </w:tcMar>
          </w:tcPr>
          <w:p w14:paraId="04CD9892"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&lt; .001</w:t>
            </w:r>
          </w:p>
        </w:tc>
        <w:tc>
          <w:tcPr>
            <w:tcW w:w="1080" w:type="dxa"/>
            <w:tcBorders>
              <w:top w:val="nil"/>
              <w:left w:val="nil"/>
              <w:bottom w:val="nil"/>
              <w:right w:val="nil"/>
            </w:tcBorders>
            <w:shd w:val="clear" w:color="auto" w:fill="auto"/>
            <w:tcMar>
              <w:top w:w="100" w:type="dxa"/>
              <w:left w:w="100" w:type="dxa"/>
              <w:bottom w:w="100" w:type="dxa"/>
              <w:right w:w="100" w:type="dxa"/>
            </w:tcMar>
          </w:tcPr>
          <w:p w14:paraId="5E62C924"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0.042</w:t>
            </w:r>
          </w:p>
        </w:tc>
        <w:tc>
          <w:tcPr>
            <w:tcW w:w="240" w:type="dxa"/>
            <w:tcBorders>
              <w:top w:val="nil"/>
              <w:left w:val="nil"/>
              <w:bottom w:val="nil"/>
              <w:right w:val="nil"/>
            </w:tcBorders>
            <w:shd w:val="clear" w:color="auto" w:fill="auto"/>
            <w:tcMar>
              <w:top w:w="100" w:type="dxa"/>
              <w:left w:w="100" w:type="dxa"/>
              <w:bottom w:w="100" w:type="dxa"/>
              <w:right w:w="100" w:type="dxa"/>
            </w:tcMar>
          </w:tcPr>
          <w:p w14:paraId="0ECB5B73"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2A7FF770"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0.153</w:t>
            </w:r>
          </w:p>
        </w:tc>
        <w:tc>
          <w:tcPr>
            <w:tcW w:w="240" w:type="dxa"/>
            <w:tcBorders>
              <w:top w:val="nil"/>
              <w:left w:val="nil"/>
              <w:bottom w:val="nil"/>
              <w:right w:val="nil"/>
            </w:tcBorders>
            <w:shd w:val="clear" w:color="auto" w:fill="auto"/>
            <w:tcMar>
              <w:top w:w="100" w:type="dxa"/>
              <w:left w:w="100" w:type="dxa"/>
              <w:bottom w:w="100" w:type="dxa"/>
              <w:right w:w="100" w:type="dxa"/>
            </w:tcMar>
          </w:tcPr>
          <w:p w14:paraId="0A44410F" w14:textId="77777777" w:rsidR="00487CB5" w:rsidRDefault="00487CB5">
            <w:pPr>
              <w:spacing w:after="160"/>
              <w:rPr>
                <w:rFonts w:ascii="Times New Roman" w:eastAsia="Times New Roman" w:hAnsi="Times New Roman" w:cs="Times New Roman"/>
              </w:rPr>
            </w:pPr>
          </w:p>
        </w:tc>
      </w:tr>
      <w:tr w:rsidR="00487CB5" w14:paraId="49692A91" w14:textId="77777777">
        <w:trPr>
          <w:trHeight w:val="245"/>
        </w:trPr>
        <w:tc>
          <w:tcPr>
            <w:tcW w:w="915" w:type="dxa"/>
            <w:tcBorders>
              <w:top w:val="nil"/>
              <w:left w:val="nil"/>
              <w:bottom w:val="single" w:sz="12" w:space="0" w:color="000000"/>
              <w:right w:val="nil"/>
            </w:tcBorders>
            <w:shd w:val="clear" w:color="auto" w:fill="auto"/>
            <w:tcMar>
              <w:top w:w="100" w:type="dxa"/>
              <w:left w:w="100" w:type="dxa"/>
              <w:bottom w:w="100" w:type="dxa"/>
              <w:right w:w="100" w:type="dxa"/>
            </w:tcMar>
          </w:tcPr>
          <w:p w14:paraId="18C2786C" w14:textId="77777777" w:rsidR="00487CB5" w:rsidRDefault="00487CB5">
            <w:pPr>
              <w:spacing w:after="160"/>
              <w:jc w:val="right"/>
              <w:rPr>
                <w:rFonts w:ascii="Times New Roman" w:eastAsia="Times New Roman" w:hAnsi="Times New Roman" w:cs="Times New Roman"/>
              </w:rPr>
            </w:pPr>
          </w:p>
        </w:tc>
        <w:tc>
          <w:tcPr>
            <w:tcW w:w="8865" w:type="dxa"/>
            <w:gridSpan w:val="16"/>
            <w:tcBorders>
              <w:top w:val="nil"/>
              <w:left w:val="nil"/>
              <w:bottom w:val="single" w:sz="12" w:space="0" w:color="000000"/>
              <w:right w:val="nil"/>
            </w:tcBorders>
            <w:shd w:val="clear" w:color="auto" w:fill="auto"/>
            <w:tcMar>
              <w:top w:w="100" w:type="dxa"/>
              <w:left w:w="100" w:type="dxa"/>
              <w:bottom w:w="100" w:type="dxa"/>
              <w:right w:w="100" w:type="dxa"/>
            </w:tcMar>
          </w:tcPr>
          <w:p w14:paraId="77927A42" w14:textId="77777777" w:rsidR="00487CB5" w:rsidRDefault="00487CB5">
            <w:pPr>
              <w:spacing w:after="160"/>
              <w:jc w:val="right"/>
              <w:rPr>
                <w:rFonts w:ascii="Times New Roman" w:eastAsia="Times New Roman" w:hAnsi="Times New Roman" w:cs="Times New Roman"/>
              </w:rPr>
            </w:pPr>
          </w:p>
        </w:tc>
      </w:tr>
      <w:tr w:rsidR="00487CB5" w14:paraId="4844AB12"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6292C86D" w14:textId="77777777" w:rsidR="00487CB5" w:rsidRDefault="00487CB5">
            <w:pPr>
              <w:spacing w:after="160"/>
              <w:rPr>
                <w:rFonts w:ascii="Times New Roman" w:eastAsia="Times New Roman" w:hAnsi="Times New Roman" w:cs="Times New Roman"/>
              </w:rPr>
            </w:pPr>
          </w:p>
        </w:tc>
        <w:tc>
          <w:tcPr>
            <w:tcW w:w="8865" w:type="dxa"/>
            <w:gridSpan w:val="16"/>
            <w:tcBorders>
              <w:top w:val="nil"/>
              <w:left w:val="nil"/>
              <w:bottom w:val="nil"/>
              <w:right w:val="nil"/>
            </w:tcBorders>
            <w:shd w:val="clear" w:color="auto" w:fill="auto"/>
            <w:tcMar>
              <w:top w:w="100" w:type="dxa"/>
              <w:left w:w="100" w:type="dxa"/>
              <w:bottom w:w="100" w:type="dxa"/>
              <w:right w:w="100" w:type="dxa"/>
            </w:tcMar>
          </w:tcPr>
          <w:p w14:paraId="341FEFF0"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Note.  Delta method standard errors, normal theory confidence intervals, ML estimator.</w:t>
            </w:r>
          </w:p>
        </w:tc>
      </w:tr>
    </w:tbl>
    <w:p w14:paraId="0D63A610" w14:textId="77777777" w:rsidR="00487CB5" w:rsidRDefault="00487CB5">
      <w:pPr>
        <w:rPr>
          <w:rFonts w:ascii="Times New Roman" w:eastAsia="Times New Roman" w:hAnsi="Times New Roman" w:cs="Times New Roman"/>
        </w:rPr>
      </w:pPr>
    </w:p>
    <w:p w14:paraId="42E66318"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1B745ACD" w14:textId="77777777" w:rsidR="00487CB5" w:rsidRDefault="00487CB5">
      <w:pPr>
        <w:rPr>
          <w:rFonts w:ascii="Times New Roman" w:eastAsia="Times New Roman" w:hAnsi="Times New Roman" w:cs="Times New Roman"/>
        </w:rPr>
      </w:pPr>
    </w:p>
    <w:p w14:paraId="59CC1E19"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Global consumer utilisation of products and services has increased significantly during the past 20 years, resulting in severe environmental harm and the depletion of natural resources (Chen &amp; Chai, 2010). As a result, "sustainable development" has emerged, which has further promoted eco-friendly consumption.</w:t>
      </w:r>
    </w:p>
    <w:p w14:paraId="06AB84B2" w14:textId="77777777" w:rsidR="00487CB5" w:rsidRDefault="00487CB5">
      <w:pPr>
        <w:rPr>
          <w:rFonts w:ascii="Times New Roman" w:eastAsia="Times New Roman" w:hAnsi="Times New Roman" w:cs="Times New Roman"/>
          <w:shd w:val="clear" w:color="auto" w:fill="EA9999"/>
        </w:rPr>
      </w:pPr>
    </w:p>
    <w:p w14:paraId="7D0E4B72" w14:textId="17CABE1D"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The first hypothesis suggested that there is no significant correlation between “Personal Norms” and “Green Purchase Intention.” However, the rejection of this hypothesis reveals a significant positive correlation between “Personal Norms” and “Green Purchase intention”. This implies </w:t>
      </w:r>
      <w:r w:rsidR="00A2218F">
        <w:rPr>
          <w:rFonts w:ascii="Times New Roman" w:eastAsia="Times New Roman" w:hAnsi="Times New Roman" w:cs="Times New Roman"/>
        </w:rPr>
        <w:t xml:space="preserve">that </w:t>
      </w:r>
      <w:r>
        <w:rPr>
          <w:rFonts w:ascii="Times New Roman" w:eastAsia="Times New Roman" w:hAnsi="Times New Roman" w:cs="Times New Roman"/>
        </w:rPr>
        <w:t>individuals who scored high on Personal Norms also tend to score high on Green purchase intention.</w:t>
      </w:r>
    </w:p>
    <w:p w14:paraId="287149C1" w14:textId="77777777" w:rsidR="00487CB5" w:rsidRDefault="00487CB5">
      <w:pPr>
        <w:jc w:val="both"/>
        <w:rPr>
          <w:rFonts w:ascii="Times New Roman" w:eastAsia="Times New Roman" w:hAnsi="Times New Roman" w:cs="Times New Roman"/>
          <w:shd w:val="clear" w:color="auto" w:fill="EA9999"/>
        </w:rPr>
      </w:pPr>
    </w:p>
    <w:p w14:paraId="1D2735FA"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The second hypothesis suggested that there is no significant correlation between “Green Purchase Intention” and “Satisfaction”. However, the rejection of this hypothesis reveals a significant positive correlation between “Green Purchase Intention” and “Satisfaction”. This implies individuals who scored high on Green purchase intention also tend to score high on Satisfaction of the outcome.</w:t>
      </w:r>
    </w:p>
    <w:p w14:paraId="044E6887" w14:textId="77777777" w:rsidR="00487CB5" w:rsidRDefault="00487CB5">
      <w:pPr>
        <w:jc w:val="both"/>
        <w:rPr>
          <w:rFonts w:ascii="Times New Roman" w:eastAsia="Times New Roman" w:hAnsi="Times New Roman" w:cs="Times New Roman"/>
          <w:shd w:val="clear" w:color="auto" w:fill="EA9999"/>
        </w:rPr>
      </w:pPr>
    </w:p>
    <w:p w14:paraId="4F0CB911"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The third hypothesis suggested that there is no significant correlation between “Alternative Evaluation” and “Satisfaction”. However, the rejection of this hypothesis reveals a significant positive correlation between “Alternative Evaluation” and “Satisfaction”. This implies individuals who scored high on Alternative Evaluation also tend to score high on Satisfaction. </w:t>
      </w:r>
    </w:p>
    <w:p w14:paraId="36249998" w14:textId="77777777" w:rsidR="00487CB5" w:rsidRDefault="00487CB5">
      <w:pPr>
        <w:jc w:val="both"/>
        <w:rPr>
          <w:rFonts w:ascii="Times New Roman" w:eastAsia="Times New Roman" w:hAnsi="Times New Roman" w:cs="Times New Roman"/>
          <w:shd w:val="clear" w:color="auto" w:fill="EA9999"/>
        </w:rPr>
      </w:pPr>
    </w:p>
    <w:p w14:paraId="35251C95"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The fourth hypothesis suggested that there is no significant correlation between “Satisfaction” and “Consumer Scepticism”. However, the rejection of this hypothesis reveals a significant positive correlation between “Satisfaction” and “Consumer Scepticism”. This implies individuals who scored high on Satisfaction also tend to score high on Consumer Scepticism.</w:t>
      </w:r>
    </w:p>
    <w:p w14:paraId="6BC65B17" w14:textId="77777777" w:rsidR="00487CB5" w:rsidRDefault="00487CB5">
      <w:pPr>
        <w:jc w:val="both"/>
        <w:rPr>
          <w:rFonts w:ascii="Times New Roman" w:eastAsia="Times New Roman" w:hAnsi="Times New Roman" w:cs="Times New Roman"/>
          <w:shd w:val="clear" w:color="auto" w:fill="EA9999"/>
        </w:rPr>
      </w:pPr>
    </w:p>
    <w:p w14:paraId="33A16ED4"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The fifth hypothesis suggested that there is no significant correlation between “Alternative Evaluation” and “Consumer Scepticism”. However, the rejection of this hypothesis reveals a significant positive correlation between “Alternative Evaluation” and “Consumer Scepticism”. This implies individuals who scored high on Alternative Evaluation also tend to score high on Consumer Scepticism.</w:t>
      </w:r>
    </w:p>
    <w:p w14:paraId="53257D07" w14:textId="77777777" w:rsidR="00487CB5" w:rsidRDefault="00487CB5">
      <w:pPr>
        <w:jc w:val="both"/>
        <w:rPr>
          <w:rFonts w:ascii="Times New Roman" w:eastAsia="Times New Roman" w:hAnsi="Times New Roman" w:cs="Times New Roman"/>
          <w:shd w:val="clear" w:color="auto" w:fill="EA9999"/>
        </w:rPr>
      </w:pPr>
    </w:p>
    <w:p w14:paraId="603A505B"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6.1 suggests that there would be no significant difference in Personal Norms between Gender Groups. As we failed to reject this hypothesis, it reveals that there is no significant difference in Personal Norms between different Gender Groups. This implies that Gender Groups do not play a role in influencing individuals' Personal Norms.</w:t>
      </w:r>
    </w:p>
    <w:p w14:paraId="38299298" w14:textId="77777777" w:rsidR="00487CB5" w:rsidRDefault="00487CB5">
      <w:pPr>
        <w:jc w:val="both"/>
        <w:rPr>
          <w:rFonts w:ascii="Times New Roman" w:eastAsia="Times New Roman" w:hAnsi="Times New Roman" w:cs="Times New Roman"/>
          <w:shd w:val="clear" w:color="auto" w:fill="EA9999"/>
        </w:rPr>
      </w:pPr>
    </w:p>
    <w:p w14:paraId="2DE99B66"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Hypothesis 6.2 suggests that there would be no significant difference in Personal Norms between Areas of residence. As we failed to reject this hypothesis, it reveals that there is no significant difference in </w:t>
      </w:r>
      <w:r>
        <w:rPr>
          <w:rFonts w:ascii="Times New Roman" w:eastAsia="Times New Roman" w:hAnsi="Times New Roman" w:cs="Times New Roman"/>
        </w:rPr>
        <w:lastRenderedPageBreak/>
        <w:t>Personal Norms between different age groups. This implies that age groups do not play a role in influencing individuals' Personal Norms.</w:t>
      </w:r>
    </w:p>
    <w:p w14:paraId="75FB6B26" w14:textId="77777777" w:rsidR="00487CB5" w:rsidRDefault="00487CB5">
      <w:pPr>
        <w:jc w:val="both"/>
        <w:rPr>
          <w:rFonts w:ascii="Times New Roman" w:eastAsia="Times New Roman" w:hAnsi="Times New Roman" w:cs="Times New Roman"/>
          <w:shd w:val="clear" w:color="auto" w:fill="EA9999"/>
        </w:rPr>
      </w:pPr>
    </w:p>
    <w:p w14:paraId="494A7B81"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6.3 suggests that there would be no significant difference in Personal Norms between Income Groups. As we failed to reject this hypothesis, it reveals that there is no significant difference in Personal Norms between different Income Groups. This implies that income does not play a role in influencing individuals' Personal Norms.</w:t>
      </w:r>
    </w:p>
    <w:p w14:paraId="4970D084" w14:textId="77777777" w:rsidR="00487CB5" w:rsidRDefault="00487CB5">
      <w:pPr>
        <w:jc w:val="both"/>
        <w:rPr>
          <w:rFonts w:ascii="Times New Roman" w:eastAsia="Times New Roman" w:hAnsi="Times New Roman" w:cs="Times New Roman"/>
          <w:shd w:val="clear" w:color="auto" w:fill="EA9999"/>
        </w:rPr>
      </w:pPr>
    </w:p>
    <w:p w14:paraId="07FC2AD4"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7.1 suggests that there would be no significant difference in Alternative Evaluation between Gender Groups. As we failed to reject this hypothesis, it reveals that there is no significant difference in Alternative Evaluation between different Gender Groups. This implies that Gender Groups do not play a role in influencing individuals' Alternative Evaluation.</w:t>
      </w:r>
    </w:p>
    <w:p w14:paraId="7003B671" w14:textId="77777777" w:rsidR="00487CB5" w:rsidRDefault="00487CB5">
      <w:pPr>
        <w:jc w:val="both"/>
        <w:rPr>
          <w:rFonts w:ascii="Times New Roman" w:eastAsia="Times New Roman" w:hAnsi="Times New Roman" w:cs="Times New Roman"/>
          <w:shd w:val="clear" w:color="auto" w:fill="EA9999"/>
        </w:rPr>
      </w:pPr>
    </w:p>
    <w:p w14:paraId="597B0C6D"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7.2 suggests that there would be no significant difference in Alternative Evaluation between Areas of Residence. As we failed to reject this hypothesis, it reveals that there is no significant difference in Alternative Evaluation between different Areas of Residence. This implies that Areas of Residence do not play a role in influencing individuals' Alternative Evaluations.</w:t>
      </w:r>
    </w:p>
    <w:p w14:paraId="6098A9B5" w14:textId="77777777" w:rsidR="00487CB5" w:rsidRDefault="00487CB5">
      <w:pPr>
        <w:jc w:val="both"/>
        <w:rPr>
          <w:rFonts w:ascii="Times New Roman" w:eastAsia="Times New Roman" w:hAnsi="Times New Roman" w:cs="Times New Roman"/>
          <w:shd w:val="clear" w:color="auto" w:fill="EA9999"/>
        </w:rPr>
      </w:pPr>
    </w:p>
    <w:p w14:paraId="5BB3651C"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7.3 suggests that there would be no significant difference in Alternative Evaluation between Income Groups. As we failed to reject this hypothesis, it reveals that there is no significant difference in Alternative Evaluation between different Income Groups. This implies that Income Groups do not play a role in influencing individuals' Alternative Evaluation.</w:t>
      </w:r>
    </w:p>
    <w:p w14:paraId="0C3AD3A5" w14:textId="77777777" w:rsidR="00487CB5" w:rsidRDefault="00487CB5">
      <w:pPr>
        <w:jc w:val="both"/>
        <w:rPr>
          <w:rFonts w:ascii="Times New Roman" w:eastAsia="Times New Roman" w:hAnsi="Times New Roman" w:cs="Times New Roman"/>
          <w:shd w:val="clear" w:color="auto" w:fill="EA9999"/>
        </w:rPr>
      </w:pPr>
    </w:p>
    <w:p w14:paraId="47D606B5"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8.1 suggests that there would be no significant difference in Consumer Scepticism between Gender Groups. As we failed to reject this hypothesis, it reveals that there is no significant difference in Consumer Scepticism between different Gender Groups. This implies that Gender Groups do not play a role in influencing individuals' Consumer Scepticism.</w:t>
      </w:r>
    </w:p>
    <w:p w14:paraId="78CC1635" w14:textId="77777777" w:rsidR="00487CB5" w:rsidRDefault="00487CB5">
      <w:pPr>
        <w:jc w:val="both"/>
        <w:rPr>
          <w:rFonts w:ascii="Times New Roman" w:eastAsia="Times New Roman" w:hAnsi="Times New Roman" w:cs="Times New Roman"/>
          <w:shd w:val="clear" w:color="auto" w:fill="EA9999"/>
        </w:rPr>
      </w:pPr>
    </w:p>
    <w:p w14:paraId="487CE1E5"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8.2 suggests that there would be no significant difference in Consumer Scepticism between Areas of Residence. As we failed to reject this hypothesis, it reveals that there is no significant difference in Consumer Scepticism between different Areas of Residence. This implies that Areas of Residence do not play a role in influencing individuals' Consumer Scepticism.</w:t>
      </w:r>
    </w:p>
    <w:p w14:paraId="79F2E4BB" w14:textId="77777777" w:rsidR="00487CB5" w:rsidRDefault="00487CB5">
      <w:pPr>
        <w:jc w:val="both"/>
        <w:rPr>
          <w:rFonts w:ascii="Times New Roman" w:eastAsia="Times New Roman" w:hAnsi="Times New Roman" w:cs="Times New Roman"/>
          <w:shd w:val="clear" w:color="auto" w:fill="EA9999"/>
        </w:rPr>
      </w:pPr>
    </w:p>
    <w:p w14:paraId="763DD244"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8.3 suggests that there would be no significant difference in Consumer Scepticism between Income Groups. As we failed to reject this hypothesis, it reveals that there is no significant difference in Consumer Scepticism between different Income Groups. This implies that Income Groups do not play a role in influencing individuals' Consumer Scepticism.</w:t>
      </w:r>
    </w:p>
    <w:p w14:paraId="3CB8701E" w14:textId="77777777" w:rsidR="00487CB5" w:rsidRDefault="00487CB5">
      <w:pPr>
        <w:jc w:val="both"/>
        <w:rPr>
          <w:rFonts w:ascii="Times New Roman" w:eastAsia="Times New Roman" w:hAnsi="Times New Roman" w:cs="Times New Roman"/>
          <w:shd w:val="clear" w:color="auto" w:fill="EA9999"/>
        </w:rPr>
      </w:pPr>
    </w:p>
    <w:p w14:paraId="0AB1FAA8" w14:textId="3F5A1615"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Hypothesis 9.1 suggests that the relationship between personal norms and Green purchase is not mediated by Green </w:t>
      </w:r>
      <w:r w:rsidRPr="00CD0DCB">
        <w:rPr>
          <w:rFonts w:ascii="Times New Roman" w:eastAsia="Times New Roman" w:hAnsi="Times New Roman" w:cs="Times New Roman"/>
          <w:highlight w:val="yellow"/>
        </w:rPr>
        <w:t>Purchase intention</w:t>
      </w:r>
      <w:r w:rsidR="00A2218F" w:rsidRPr="00CD0DCB">
        <w:rPr>
          <w:rFonts w:ascii="Times New Roman" w:eastAsia="Times New Roman" w:hAnsi="Times New Roman" w:cs="Times New Roman"/>
          <w:highlight w:val="yellow"/>
        </w:rPr>
        <w:t xml:space="preserve">; </w:t>
      </w:r>
      <w:r w:rsidRPr="00CD0DCB">
        <w:rPr>
          <w:rFonts w:ascii="Times New Roman" w:eastAsia="Times New Roman" w:hAnsi="Times New Roman" w:cs="Times New Roman"/>
          <w:highlight w:val="yellow"/>
        </w:rPr>
        <w:t xml:space="preserve">however, the rejection of this hypothesis indicates that Green Purchase intention significantly does mediate this relation. Green Purchase intention accounts for 68.71 % of  Personal Norms’ Effect on </w:t>
      </w:r>
      <w:r w:rsidR="00CD0DCB" w:rsidRPr="00CD0DCB">
        <w:rPr>
          <w:rFonts w:ascii="Times New Roman" w:eastAsia="Times New Roman" w:hAnsi="Times New Roman" w:cs="Times New Roman"/>
          <w:highlight w:val="yellow"/>
        </w:rPr>
        <w:t>Green Purchase</w:t>
      </w:r>
      <w:r>
        <w:rPr>
          <w:rFonts w:ascii="Times New Roman" w:eastAsia="Times New Roman" w:hAnsi="Times New Roman" w:cs="Times New Roman"/>
        </w:rPr>
        <w:t>.</w:t>
      </w:r>
    </w:p>
    <w:p w14:paraId="68E9A4A5" w14:textId="77777777" w:rsidR="00487CB5" w:rsidRDefault="00487CB5">
      <w:pPr>
        <w:jc w:val="both"/>
        <w:rPr>
          <w:rFonts w:ascii="Times New Roman" w:eastAsia="Times New Roman" w:hAnsi="Times New Roman" w:cs="Times New Roman"/>
          <w:shd w:val="clear" w:color="auto" w:fill="EA9999"/>
        </w:rPr>
      </w:pPr>
    </w:p>
    <w:p w14:paraId="665E2ED2" w14:textId="2E74C2AE"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Hypothesis 9.2 suggests that the relationship between alternative evaluation and purchase outcome (satisfaction) is not mediated by consumer scepticism. However, rejection of this hypothesis suggests that consumer scepticism significantly does mediate this relation. Consumer </w:t>
      </w:r>
      <w:r w:rsidR="00D178DA" w:rsidRPr="00CD0DCB">
        <w:rPr>
          <w:rFonts w:ascii="Times New Roman" w:eastAsia="Times New Roman" w:hAnsi="Times New Roman" w:cs="Times New Roman"/>
          <w:highlight w:val="yellow"/>
        </w:rPr>
        <w:t>Scepticism</w:t>
      </w:r>
      <w:r>
        <w:rPr>
          <w:rFonts w:ascii="Times New Roman" w:eastAsia="Times New Roman" w:hAnsi="Times New Roman" w:cs="Times New Roman"/>
        </w:rPr>
        <w:t xml:space="preserve"> accounts for 44 % of Alternative Evaluation’s Effect on Consumer Satisfaction.</w:t>
      </w:r>
    </w:p>
    <w:p w14:paraId="4637292C" w14:textId="77777777" w:rsidR="00487CB5" w:rsidRDefault="00487CB5">
      <w:pPr>
        <w:jc w:val="both"/>
        <w:rPr>
          <w:rFonts w:ascii="Times New Roman" w:eastAsia="Times New Roman" w:hAnsi="Times New Roman" w:cs="Times New Roman"/>
          <w:shd w:val="clear" w:color="auto" w:fill="EA9999"/>
        </w:rPr>
      </w:pPr>
    </w:p>
    <w:p w14:paraId="4D3352A0" w14:textId="505D4DF3" w:rsidR="00487CB5" w:rsidRDefault="002B62DD">
      <w:pPr>
        <w:jc w:val="both"/>
        <w:rPr>
          <w:rFonts w:ascii="Times New Roman" w:eastAsia="Times New Roman" w:hAnsi="Times New Roman" w:cs="Times New Roman"/>
        </w:rPr>
      </w:pPr>
      <w:r>
        <w:rPr>
          <w:rFonts w:ascii="Times New Roman" w:eastAsia="Times New Roman" w:hAnsi="Times New Roman" w:cs="Times New Roman"/>
        </w:rPr>
        <w:lastRenderedPageBreak/>
        <w:t>Hypothesis 9.3 suggests that the relationship between Alternative evaluation and Green purchase is not mediated by consumer scepticism</w:t>
      </w:r>
      <w:r w:rsidR="00A2218F">
        <w:rPr>
          <w:rFonts w:ascii="Times New Roman" w:eastAsia="Times New Roman" w:hAnsi="Times New Roman" w:cs="Times New Roman"/>
        </w:rPr>
        <w:t xml:space="preserve">; </w:t>
      </w:r>
      <w:r>
        <w:rPr>
          <w:rFonts w:ascii="Times New Roman" w:eastAsia="Times New Roman" w:hAnsi="Times New Roman" w:cs="Times New Roman"/>
        </w:rPr>
        <w:t xml:space="preserve">however, rejection of this hypothesis suggests that consumer scepticism significantly does mediate this relation. Consumer scepticism accounts for </w:t>
      </w:r>
      <w:r w:rsidRPr="00CD0DCB">
        <w:rPr>
          <w:rFonts w:ascii="Times New Roman" w:eastAsia="Times New Roman" w:hAnsi="Times New Roman" w:cs="Times New Roman"/>
          <w:highlight w:val="yellow"/>
        </w:rPr>
        <w:t xml:space="preserve">22% of </w:t>
      </w:r>
      <w:r w:rsidR="00A2218F" w:rsidRPr="00CD0DCB">
        <w:rPr>
          <w:rFonts w:ascii="Times New Roman" w:eastAsia="Times New Roman" w:hAnsi="Times New Roman" w:cs="Times New Roman"/>
          <w:highlight w:val="yellow"/>
        </w:rPr>
        <w:t>the</w:t>
      </w:r>
      <w:r w:rsidR="00A2218F">
        <w:rPr>
          <w:rFonts w:ascii="Times New Roman" w:eastAsia="Times New Roman" w:hAnsi="Times New Roman" w:cs="Times New Roman"/>
        </w:rPr>
        <w:t xml:space="preserve"> </w:t>
      </w:r>
      <w:r>
        <w:rPr>
          <w:rFonts w:ascii="Times New Roman" w:eastAsia="Times New Roman" w:hAnsi="Times New Roman" w:cs="Times New Roman"/>
        </w:rPr>
        <w:t>alternative evaluation’s effect on green purchases.</w:t>
      </w:r>
    </w:p>
    <w:p w14:paraId="44F5B591" w14:textId="77777777" w:rsidR="00487CB5" w:rsidRDefault="00487CB5">
      <w:pPr>
        <w:rPr>
          <w:rFonts w:ascii="Times New Roman" w:eastAsia="Times New Roman" w:hAnsi="Times New Roman" w:cs="Times New Roman"/>
          <w:b/>
        </w:rPr>
      </w:pPr>
    </w:p>
    <w:p w14:paraId="214355AB"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2F3A3A5E" w14:textId="77777777" w:rsidR="00487CB5" w:rsidRDefault="00487CB5">
      <w:pPr>
        <w:rPr>
          <w:rFonts w:ascii="Times New Roman" w:eastAsia="Times New Roman" w:hAnsi="Times New Roman" w:cs="Times New Roman"/>
        </w:rPr>
      </w:pPr>
    </w:p>
    <w:p w14:paraId="67DDF94B" w14:textId="39CD7DB6"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The paper focuses on the aspects of the method of purchase and what drives one towards clarity on what to buy. All the hypotheses point in the direction that personal norms affect the individual intent to purchase green products, along with how an individual comes to purchase certain products that are greener than others in any given market. The process of purchasing and evaluating choices was also included in the framework. The correlation between personal norms and green purchase intention that affects the inevitable purchase of green products, and given that the first hypothesis was rejected, it displays a positive correlation between these variables. This leads to the second part of the framework, the decision-making process. Purchasing influences the satisfaction or dissatisfaction that consumers feel toward any green product. Based on the result, they may feel entirely dissatisfied, or dissatisfaction may prompt scepticism and lead them to consider alternatives. This process can repeat in a cycle until the </w:t>
      </w:r>
      <w:r w:rsidRPr="00CD0DCB">
        <w:rPr>
          <w:rFonts w:ascii="Times New Roman" w:eastAsia="Times New Roman" w:hAnsi="Times New Roman" w:cs="Times New Roman"/>
          <w:highlight w:val="yellow"/>
        </w:rPr>
        <w:t>consumer is satisfi</w:t>
      </w:r>
      <w:r>
        <w:rPr>
          <w:rFonts w:ascii="Times New Roman" w:eastAsia="Times New Roman" w:hAnsi="Times New Roman" w:cs="Times New Roman"/>
        </w:rPr>
        <w:t xml:space="preserve">ed with a given green product. The correlation between consumer scepticism due to greenwashing and the evaluation of alternatives implies the willingness to reevaluate products and move through scepticism. It involves not just offering environmentally friendly products and materials for consumption but also ensuring that the effects of consumption on the environment are mitigated. Green buying is important for protecting the environment. It describes consumer purchasing practices that, to meet demands and enhance quality of life, reduce the creation of pollutants and harmful substances as well as the depletion of natural resources. (Shang et al., 2024) </w:t>
      </w:r>
    </w:p>
    <w:p w14:paraId="49B1A795" w14:textId="77777777" w:rsidR="00487CB5" w:rsidRDefault="00487CB5">
      <w:pPr>
        <w:rPr>
          <w:rFonts w:ascii="Times New Roman" w:eastAsia="Times New Roman" w:hAnsi="Times New Roman" w:cs="Times New Roman"/>
        </w:rPr>
      </w:pPr>
    </w:p>
    <w:p w14:paraId="3F76EA34"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w:t>
      </w:r>
    </w:p>
    <w:p w14:paraId="50039605" w14:textId="77777777" w:rsidR="00487CB5" w:rsidRDefault="00487CB5">
      <w:pPr>
        <w:rPr>
          <w:rFonts w:ascii="Times New Roman" w:eastAsia="Times New Roman" w:hAnsi="Times New Roman" w:cs="Times New Roman"/>
        </w:rPr>
      </w:pPr>
    </w:p>
    <w:p w14:paraId="349F2272"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The way in which respondents understand the questions and response alternatives may vary depending on their individual circumstances. For instance, different people may interpret the option "somewhat agree" differently. Thanks to convenient sampling, Vadodara students make up the majority of the sample. Furthermore, the sample lacks diversity because a higher percentage of individuals reside in cities than in rural areas. The study's inclusion criteria precluded individuals under the age of 18 and members of the LGBTQ+ community, hindering any meaningful examination of this group. Further research will be necessary to make broader generalisations, as the bulk of respondents are Indian nationals.</w:t>
      </w:r>
    </w:p>
    <w:p w14:paraId="57F94714" w14:textId="77777777" w:rsidR="00487CB5" w:rsidRDefault="00487CB5" w:rsidP="009B6419">
      <w:pPr>
        <w:jc w:val="both"/>
        <w:rPr>
          <w:rFonts w:ascii="Times New Roman" w:eastAsia="Times New Roman" w:hAnsi="Times New Roman" w:cs="Times New Roman"/>
        </w:rPr>
      </w:pPr>
    </w:p>
    <w:p w14:paraId="1128B80A" w14:textId="77777777" w:rsidR="00487CB5" w:rsidRDefault="002B62DD" w:rsidP="009B641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Implications</w:t>
      </w:r>
    </w:p>
    <w:p w14:paraId="62290F14" w14:textId="1E9CF15A" w:rsidR="00487CB5" w:rsidRDefault="002B62DD" w:rsidP="009B6419">
      <w:pPr>
        <w:spacing w:before="240" w:after="240"/>
        <w:jc w:val="both"/>
        <w:rPr>
          <w:rFonts w:ascii="Times New Roman" w:eastAsia="Times New Roman" w:hAnsi="Times New Roman" w:cs="Times New Roman"/>
        </w:rPr>
      </w:pPr>
      <w:r>
        <w:rPr>
          <w:rFonts w:ascii="Times New Roman" w:eastAsia="Times New Roman" w:hAnsi="Times New Roman" w:cs="Times New Roman"/>
        </w:rPr>
        <w:t>Personal norms may significantly shape consumer choices, an area that requires further research</w:t>
      </w:r>
      <w:r w:rsidR="00A2218F">
        <w:rPr>
          <w:rFonts w:ascii="Times New Roman" w:eastAsia="Times New Roman" w:hAnsi="Times New Roman" w:cs="Times New Roman"/>
        </w:rPr>
        <w:t>,</w:t>
      </w:r>
      <w:r>
        <w:rPr>
          <w:rFonts w:ascii="Times New Roman" w:eastAsia="Times New Roman" w:hAnsi="Times New Roman" w:cs="Times New Roman"/>
        </w:rPr>
        <w:t xml:space="preserve"> as it remains relatively unexplored. Understanding this connection could provide companies with valuable insights into consumer behaviour.</w:t>
      </w:r>
    </w:p>
    <w:p w14:paraId="5C345BFD" w14:textId="77777777" w:rsidR="00487CB5" w:rsidRDefault="002B62DD" w:rsidP="009B6419">
      <w:pPr>
        <w:spacing w:before="240" w:after="240"/>
        <w:jc w:val="both"/>
        <w:rPr>
          <w:rFonts w:ascii="Times New Roman" w:eastAsia="Times New Roman" w:hAnsi="Times New Roman" w:cs="Times New Roman"/>
        </w:rPr>
      </w:pPr>
      <w:r>
        <w:rPr>
          <w:rFonts w:ascii="Times New Roman" w:eastAsia="Times New Roman" w:hAnsi="Times New Roman" w:cs="Times New Roman"/>
        </w:rPr>
        <w:t>Growing consumer interest in sustainable choices, with a willingness to adopt greener alternatives if they are affordable. This suggests that companies could benefit from making their eco-friendly products more accessible and cost-effective to meet this demand.</w:t>
      </w:r>
    </w:p>
    <w:p w14:paraId="5FB9DE10"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Greenwashing risks breaking trust in green marketing, fostering consumer scepticism and casting doubt on sustainability initiatives.</w:t>
      </w:r>
    </w:p>
    <w:p w14:paraId="7888EDE4" w14:textId="77777777" w:rsidR="00487CB5" w:rsidRDefault="00487CB5" w:rsidP="009B6419">
      <w:pPr>
        <w:jc w:val="both"/>
        <w:rPr>
          <w:rFonts w:ascii="Times New Roman" w:eastAsia="Times New Roman" w:hAnsi="Times New Roman" w:cs="Times New Roman"/>
        </w:rPr>
      </w:pPr>
    </w:p>
    <w:p w14:paraId="381B3B1D"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With rising concern for sustainability, consumers are often willing to pay a premium for eco-friendly products. However, deceptive greenwashing tactics may shift consumer behaviour, ultimately harming companies that engage in such practices.</w:t>
      </w:r>
    </w:p>
    <w:p w14:paraId="07B7A7F9" w14:textId="77777777" w:rsidR="00487CB5" w:rsidRDefault="00487CB5" w:rsidP="009B6419">
      <w:pPr>
        <w:jc w:val="both"/>
        <w:rPr>
          <w:rFonts w:ascii="Times New Roman" w:eastAsia="Times New Roman" w:hAnsi="Times New Roman" w:cs="Times New Roman"/>
        </w:rPr>
      </w:pPr>
    </w:p>
    <w:p w14:paraId="2BB3A62B"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Companies exposed for greenwashing can face lasting damage to their reputation. Negative publicity and consumer backlash may lead to a decline in trust, affecting both brand image and market share.</w:t>
      </w:r>
    </w:p>
    <w:p w14:paraId="25FA87A1" w14:textId="77777777" w:rsidR="00487CB5" w:rsidRDefault="00487CB5" w:rsidP="009B6419">
      <w:pPr>
        <w:jc w:val="both"/>
        <w:rPr>
          <w:rFonts w:ascii="Times New Roman" w:eastAsia="Times New Roman" w:hAnsi="Times New Roman" w:cs="Times New Roman"/>
        </w:rPr>
      </w:pPr>
    </w:p>
    <w:p w14:paraId="1731F452"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In contrast, companies that authentically invest in sustainable practices and transparently communicate these efforts have the opportunity to build customer trust and loyalty, enhancing brand perception, satisfaction, and long-term marketplace success. Greenwashing outcomes could also lead to a greater understanding among companies of consumer expectations and prompt more thoughtful, genuine approaches to green marketing practices.</w:t>
      </w:r>
    </w:p>
    <w:p w14:paraId="7276B68B" w14:textId="77777777" w:rsidR="00487CB5" w:rsidRDefault="00487CB5" w:rsidP="009B6419">
      <w:pPr>
        <w:jc w:val="both"/>
        <w:rPr>
          <w:rFonts w:ascii="Times New Roman" w:eastAsia="Times New Roman" w:hAnsi="Times New Roman" w:cs="Times New Roman"/>
        </w:rPr>
      </w:pPr>
    </w:p>
    <w:p w14:paraId="4F45DAA5" w14:textId="77777777"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 xml:space="preserve">The study suggests that consumer scepticism toward greenwashing may fluctuate based on personal values, like a strong commitment to environmental protection. This implies that consumers with high personal standards may become more discerning in their purchases, gravitating toward trusted brands. </w:t>
      </w:r>
    </w:p>
    <w:p w14:paraId="45E1D85D" w14:textId="77777777" w:rsidR="00487CB5" w:rsidRDefault="00487CB5" w:rsidP="009B6419">
      <w:pPr>
        <w:jc w:val="both"/>
        <w:rPr>
          <w:rFonts w:ascii="Times New Roman" w:eastAsia="Times New Roman" w:hAnsi="Times New Roman" w:cs="Times New Roman"/>
        </w:rPr>
      </w:pPr>
    </w:p>
    <w:p w14:paraId="04363B42" w14:textId="0D0EC62E" w:rsidR="00487CB5" w:rsidRDefault="002B62DD" w:rsidP="009B6419">
      <w:pPr>
        <w:jc w:val="both"/>
        <w:rPr>
          <w:rFonts w:ascii="Times New Roman" w:eastAsia="Times New Roman" w:hAnsi="Times New Roman" w:cs="Times New Roman"/>
        </w:rPr>
      </w:pPr>
      <w:r>
        <w:rPr>
          <w:rFonts w:ascii="Times New Roman" w:eastAsia="Times New Roman" w:hAnsi="Times New Roman" w:cs="Times New Roman"/>
        </w:rPr>
        <w:t>The results highlight a potential need for further exploration into how consumer scepticism and personal norms jointly shape purchasing decisions, suggesting this area could benefit from a more focused study. Thus</w:t>
      </w:r>
      <w:r w:rsidR="00A2218F">
        <w:rPr>
          <w:rFonts w:ascii="Times New Roman" w:eastAsia="Times New Roman" w:hAnsi="Times New Roman" w:cs="Times New Roman"/>
        </w:rPr>
        <w:t>,</w:t>
      </w:r>
      <w:r>
        <w:rPr>
          <w:rFonts w:ascii="Times New Roman" w:eastAsia="Times New Roman" w:hAnsi="Times New Roman" w:cs="Times New Roman"/>
        </w:rPr>
        <w:t xml:space="preserve"> pointing to a potential need for new psychological models that examine the cognitive processes behind consumer reactions to greenwashing, offering deeper insights into the mental mechanisms at play.</w:t>
      </w:r>
    </w:p>
    <w:p w14:paraId="2F8C13CA" w14:textId="77777777" w:rsidR="00487CB5" w:rsidRDefault="00487CB5" w:rsidP="009B6419">
      <w:pPr>
        <w:jc w:val="both"/>
        <w:rPr>
          <w:rFonts w:ascii="Times New Roman" w:eastAsia="Times New Roman" w:hAnsi="Times New Roman" w:cs="Times New Roman"/>
        </w:rPr>
      </w:pPr>
    </w:p>
    <w:p w14:paraId="359FBFF6" w14:textId="77777777" w:rsidR="00487CB5" w:rsidRDefault="002B62DD" w:rsidP="009B6419">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Access</w:t>
      </w:r>
    </w:p>
    <w:p w14:paraId="4C93FF15" w14:textId="73074BD5" w:rsidR="00487CB5" w:rsidRDefault="002B62DD" w:rsidP="009B641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that support the findings of this study are available on request from the corresponding author</w:t>
      </w:r>
      <w:r w:rsidR="00BA4FBE">
        <w:rPr>
          <w:rFonts w:ascii="Times New Roman" w:eastAsia="Times New Roman" w:hAnsi="Times New Roman" w:cs="Times New Roman"/>
          <w:sz w:val="24"/>
          <w:szCs w:val="24"/>
        </w:rPr>
        <w:t>.</w:t>
      </w:r>
      <w:r w:rsidR="002D64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data are not publicly available because they contain information that could compromise the privacy of research participants.</w:t>
      </w:r>
    </w:p>
    <w:p w14:paraId="64ADA3BD" w14:textId="77777777" w:rsidR="00487CB5" w:rsidRDefault="00487CB5" w:rsidP="009B6419">
      <w:pPr>
        <w:spacing w:before="240" w:after="240"/>
        <w:jc w:val="both"/>
        <w:rPr>
          <w:rFonts w:ascii="Times New Roman" w:eastAsia="Times New Roman" w:hAnsi="Times New Roman" w:cs="Times New Roman"/>
          <w:sz w:val="24"/>
          <w:szCs w:val="24"/>
        </w:rPr>
      </w:pPr>
    </w:p>
    <w:p w14:paraId="741D7B2E" w14:textId="77777777" w:rsidR="00806D74" w:rsidRPr="003A29C6" w:rsidRDefault="00806D74" w:rsidP="009B6419">
      <w:pPr>
        <w:jc w:val="both"/>
        <w:outlineLvl w:val="0"/>
      </w:pPr>
      <w:r w:rsidRPr="003A29C6">
        <w:rPr>
          <w:b/>
          <w:bCs/>
        </w:rPr>
        <w:t>COMPETING INTERESTS DISCLAIMER:</w:t>
      </w:r>
    </w:p>
    <w:p w14:paraId="2A0B8FCB" w14:textId="77777777" w:rsidR="00806D74" w:rsidRDefault="00806D74" w:rsidP="009B6419">
      <w:pPr>
        <w:jc w:val="both"/>
      </w:pPr>
      <w:r w:rsidRPr="00A10EDE">
        <w:t>Authors have declared that they have no known competing financial interests OR non-financial interests OR personal relationships that could have appeared to influence the work reported in this paper.</w:t>
      </w:r>
    </w:p>
    <w:p w14:paraId="189830CC" w14:textId="77777777" w:rsidR="00806D74" w:rsidRDefault="00806D74" w:rsidP="00806D74"/>
    <w:p w14:paraId="39E4ED95" w14:textId="2BE6D10E" w:rsidR="00806D74" w:rsidRDefault="00806D74">
      <w:pPr>
        <w:spacing w:before="240" w:after="240"/>
        <w:jc w:val="both"/>
        <w:rPr>
          <w:rFonts w:ascii="Times New Roman" w:eastAsia="Times New Roman" w:hAnsi="Times New Roman" w:cs="Times New Roman"/>
          <w:sz w:val="24"/>
          <w:szCs w:val="24"/>
        </w:rPr>
      </w:pPr>
    </w:p>
    <w:p w14:paraId="38C484C2" w14:textId="77777777" w:rsidR="00E6436A" w:rsidRPr="00E6436A" w:rsidRDefault="00E6436A" w:rsidP="00E6436A">
      <w:pPr>
        <w:spacing w:after="200"/>
        <w:rPr>
          <w:rFonts w:ascii="Calibri" w:eastAsia="Calibri" w:hAnsi="Calibri" w:cs="Times New Roman"/>
          <w:kern w:val="2"/>
          <w:highlight w:val="yellow"/>
          <w:lang w:val="en-US" w:eastAsia="en-US"/>
          <w14:ligatures w14:val="standardContextual"/>
        </w:rPr>
      </w:pPr>
      <w:r w:rsidRPr="00E6436A">
        <w:rPr>
          <w:rFonts w:ascii="Calibri" w:eastAsia="Calibri" w:hAnsi="Calibri" w:cs="Times New Roman"/>
          <w:kern w:val="2"/>
          <w:highlight w:val="yellow"/>
          <w:lang w:val="en-US" w:eastAsia="en-US"/>
          <w14:ligatures w14:val="standardContextual"/>
        </w:rPr>
        <w:t>Disclaimer (Artificial intelligence)</w:t>
      </w:r>
    </w:p>
    <w:p w14:paraId="6625E962" w14:textId="77777777" w:rsidR="00E6436A" w:rsidRPr="00E6436A" w:rsidRDefault="00E6436A" w:rsidP="00E6436A">
      <w:pPr>
        <w:spacing w:after="200"/>
        <w:rPr>
          <w:rFonts w:ascii="Calibri" w:eastAsia="Calibri" w:hAnsi="Calibri" w:cs="Times New Roman"/>
          <w:kern w:val="2"/>
          <w:highlight w:val="yellow"/>
          <w:lang w:val="en-US" w:eastAsia="en-US"/>
          <w14:ligatures w14:val="standardContextual"/>
        </w:rPr>
      </w:pPr>
      <w:r w:rsidRPr="00E6436A">
        <w:rPr>
          <w:rFonts w:ascii="Calibri" w:eastAsia="Calibri" w:hAnsi="Calibri" w:cs="Times New Roman"/>
          <w:kern w:val="2"/>
          <w:highlight w:val="yellow"/>
          <w:lang w:val="en-US" w:eastAsia="en-US"/>
          <w14:ligatures w14:val="standardContextual"/>
        </w:rPr>
        <w:t xml:space="preserve">Option 1: </w:t>
      </w:r>
    </w:p>
    <w:p w14:paraId="577730EA" w14:textId="77777777" w:rsidR="00E6436A" w:rsidRPr="00E6436A" w:rsidRDefault="00E6436A" w:rsidP="00E6436A">
      <w:pPr>
        <w:spacing w:after="200"/>
        <w:rPr>
          <w:rFonts w:ascii="Calibri" w:eastAsia="Calibri" w:hAnsi="Calibri" w:cs="Times New Roman"/>
          <w:kern w:val="2"/>
          <w:highlight w:val="yellow"/>
          <w:lang w:val="en-US" w:eastAsia="en-US"/>
          <w14:ligatures w14:val="standardContextual"/>
        </w:rPr>
      </w:pPr>
      <w:r w:rsidRPr="00E6436A">
        <w:rPr>
          <w:rFonts w:ascii="Calibri" w:eastAsia="Calibri" w:hAnsi="Calibri" w:cs="Times New Roman"/>
          <w:kern w:val="2"/>
          <w:highlight w:val="yellow"/>
          <w:lang w:val="en-US"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129C5275" w14:textId="77777777" w:rsidR="00E6436A" w:rsidRPr="00E6436A" w:rsidRDefault="00E6436A" w:rsidP="00E6436A">
      <w:pPr>
        <w:spacing w:after="200"/>
        <w:rPr>
          <w:rFonts w:ascii="Calibri" w:eastAsia="Calibri" w:hAnsi="Calibri" w:cs="Times New Roman"/>
          <w:kern w:val="2"/>
          <w:highlight w:val="yellow"/>
          <w:lang w:val="en-US" w:eastAsia="en-US"/>
          <w14:ligatures w14:val="standardContextual"/>
        </w:rPr>
      </w:pPr>
      <w:r w:rsidRPr="00E6436A">
        <w:rPr>
          <w:rFonts w:ascii="Calibri" w:eastAsia="Calibri" w:hAnsi="Calibri" w:cs="Times New Roman"/>
          <w:kern w:val="2"/>
          <w:highlight w:val="yellow"/>
          <w:lang w:val="en-US" w:eastAsia="en-US"/>
          <w14:ligatures w14:val="standardContextual"/>
        </w:rPr>
        <w:lastRenderedPageBreak/>
        <w:t xml:space="preserve">Option 2: </w:t>
      </w:r>
    </w:p>
    <w:p w14:paraId="121416FE" w14:textId="77777777" w:rsidR="00E6436A" w:rsidRPr="00E6436A" w:rsidRDefault="00E6436A" w:rsidP="00E6436A">
      <w:pPr>
        <w:spacing w:after="200"/>
        <w:rPr>
          <w:rFonts w:ascii="Calibri" w:eastAsia="Calibri" w:hAnsi="Calibri" w:cs="Times New Roman"/>
          <w:kern w:val="2"/>
          <w:highlight w:val="yellow"/>
          <w:lang w:val="en-US" w:eastAsia="en-US"/>
          <w14:ligatures w14:val="standardContextual"/>
        </w:rPr>
      </w:pPr>
      <w:r w:rsidRPr="00E6436A">
        <w:rPr>
          <w:rFonts w:ascii="Calibri" w:eastAsia="Calibri" w:hAnsi="Calibri" w:cs="Times New Roman"/>
          <w:kern w:val="2"/>
          <w:highlight w:val="yellow"/>
          <w:lang w:val="en-US"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C2C280" w14:textId="77777777" w:rsidR="00E6436A" w:rsidRPr="00E6436A" w:rsidRDefault="00E6436A" w:rsidP="00E6436A">
      <w:pPr>
        <w:spacing w:after="200"/>
        <w:rPr>
          <w:rFonts w:ascii="Calibri" w:eastAsia="Calibri" w:hAnsi="Calibri" w:cs="Times New Roman"/>
          <w:kern w:val="2"/>
          <w:highlight w:val="yellow"/>
          <w:lang w:val="en-US" w:eastAsia="en-US"/>
          <w14:ligatures w14:val="standardContextual"/>
        </w:rPr>
      </w:pPr>
      <w:r w:rsidRPr="00E6436A">
        <w:rPr>
          <w:rFonts w:ascii="Calibri" w:eastAsia="Calibri" w:hAnsi="Calibri" w:cs="Times New Roman"/>
          <w:kern w:val="2"/>
          <w:highlight w:val="yellow"/>
          <w:lang w:val="en-US" w:eastAsia="en-US"/>
          <w14:ligatures w14:val="standardContextual"/>
        </w:rPr>
        <w:t>Details of the AI usage are given below:</w:t>
      </w:r>
    </w:p>
    <w:p w14:paraId="75AC7320" w14:textId="77777777" w:rsidR="00E6436A" w:rsidRPr="00E6436A" w:rsidRDefault="00E6436A" w:rsidP="00E6436A">
      <w:pPr>
        <w:spacing w:after="200"/>
        <w:rPr>
          <w:rFonts w:ascii="Calibri" w:eastAsia="Calibri" w:hAnsi="Calibri" w:cs="Times New Roman"/>
          <w:kern w:val="2"/>
          <w:highlight w:val="yellow"/>
          <w:lang w:val="en-US" w:eastAsia="en-US"/>
          <w14:ligatures w14:val="standardContextual"/>
        </w:rPr>
      </w:pPr>
      <w:r w:rsidRPr="00E6436A">
        <w:rPr>
          <w:rFonts w:ascii="Calibri" w:eastAsia="Calibri" w:hAnsi="Calibri" w:cs="Times New Roman"/>
          <w:kern w:val="2"/>
          <w:highlight w:val="yellow"/>
          <w:lang w:val="en-US" w:eastAsia="en-US"/>
          <w14:ligatures w14:val="standardContextual"/>
        </w:rPr>
        <w:t>1.</w:t>
      </w:r>
    </w:p>
    <w:p w14:paraId="73C98F87" w14:textId="77777777" w:rsidR="00E6436A" w:rsidRPr="00E6436A" w:rsidRDefault="00E6436A" w:rsidP="00E6436A">
      <w:pPr>
        <w:spacing w:after="200"/>
        <w:rPr>
          <w:rFonts w:ascii="Calibri" w:eastAsia="Calibri" w:hAnsi="Calibri" w:cs="Times New Roman"/>
          <w:kern w:val="2"/>
          <w:highlight w:val="yellow"/>
          <w:lang w:val="en-US" w:eastAsia="en-US"/>
          <w14:ligatures w14:val="standardContextual"/>
        </w:rPr>
      </w:pPr>
      <w:r w:rsidRPr="00E6436A">
        <w:rPr>
          <w:rFonts w:ascii="Calibri" w:eastAsia="Calibri" w:hAnsi="Calibri" w:cs="Times New Roman"/>
          <w:kern w:val="2"/>
          <w:highlight w:val="yellow"/>
          <w:lang w:val="en-US" w:eastAsia="en-US"/>
          <w14:ligatures w14:val="standardContextual"/>
        </w:rPr>
        <w:t>2.</w:t>
      </w:r>
    </w:p>
    <w:p w14:paraId="16942675" w14:textId="77777777" w:rsidR="00E6436A" w:rsidRPr="00E6436A" w:rsidRDefault="00E6436A" w:rsidP="00E6436A">
      <w:pPr>
        <w:spacing w:after="200"/>
        <w:rPr>
          <w:rFonts w:ascii="Calibri" w:eastAsia="Calibri" w:hAnsi="Calibri" w:cs="Times New Roman"/>
          <w:kern w:val="2"/>
          <w:lang w:val="en-US" w:eastAsia="en-US"/>
          <w14:ligatures w14:val="standardContextual"/>
        </w:rPr>
      </w:pPr>
      <w:r w:rsidRPr="00E6436A">
        <w:rPr>
          <w:rFonts w:ascii="Calibri" w:eastAsia="Calibri" w:hAnsi="Calibri" w:cs="Times New Roman"/>
          <w:kern w:val="2"/>
          <w:highlight w:val="yellow"/>
          <w:lang w:val="en-US" w:eastAsia="en-US"/>
          <w14:ligatures w14:val="standardContextual"/>
        </w:rPr>
        <w:t>3.</w:t>
      </w:r>
      <w:r w:rsidRPr="00E6436A">
        <w:rPr>
          <w:rFonts w:ascii="Calibri" w:eastAsia="Calibri" w:hAnsi="Calibri" w:cs="Times New Roman"/>
          <w:kern w:val="2"/>
          <w:lang w:val="en-US" w:eastAsia="en-US"/>
          <w14:ligatures w14:val="standardContextual"/>
        </w:rPr>
        <w:t xml:space="preserve"> </w:t>
      </w:r>
    </w:p>
    <w:p w14:paraId="4C940615" w14:textId="77777777" w:rsidR="00E6436A" w:rsidRPr="00E6436A" w:rsidRDefault="00E6436A" w:rsidP="00E6436A">
      <w:pPr>
        <w:spacing w:after="200"/>
        <w:rPr>
          <w:rFonts w:ascii="Calibri" w:eastAsia="Calibri" w:hAnsi="Calibri" w:cs="Times New Roman"/>
          <w:kern w:val="2"/>
          <w:lang w:val="en-US" w:eastAsia="en-US"/>
          <w14:ligatures w14:val="standardContextual"/>
        </w:rPr>
      </w:pPr>
    </w:p>
    <w:p w14:paraId="46FB1014" w14:textId="28A4BBFD" w:rsidR="00E6436A" w:rsidRDefault="00E6436A">
      <w:pPr>
        <w:spacing w:before="240" w:after="240"/>
        <w:jc w:val="both"/>
        <w:rPr>
          <w:rFonts w:ascii="Times New Roman" w:eastAsia="Times New Roman" w:hAnsi="Times New Roman" w:cs="Times New Roman"/>
          <w:sz w:val="24"/>
          <w:szCs w:val="24"/>
        </w:rPr>
      </w:pPr>
    </w:p>
    <w:p w14:paraId="6A2847C1" w14:textId="77777777" w:rsidR="00487CB5" w:rsidRDefault="00487CB5">
      <w:pPr>
        <w:rPr>
          <w:rFonts w:ascii="Times New Roman" w:eastAsia="Times New Roman" w:hAnsi="Times New Roman" w:cs="Times New Roman"/>
          <w:b/>
        </w:rPr>
      </w:pPr>
    </w:p>
    <w:p w14:paraId="2655A329"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sz w:val="24"/>
          <w:szCs w:val="24"/>
        </w:rPr>
        <w:t>References</w:t>
      </w:r>
    </w:p>
    <w:p w14:paraId="3E6132E3"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 </w:t>
      </w:r>
    </w:p>
    <w:p w14:paraId="31EA03E2"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Aaker, D. A., &amp; Keller, K. L. (1990). Consumer evaluations of brand extensions. Journal of marketing, 54(1), 27-41. </w:t>
      </w:r>
      <w:hyperlink r:id="rId9">
        <w:r w:rsidR="00487CB5">
          <w:rPr>
            <w:rFonts w:ascii="Times New Roman" w:eastAsia="Times New Roman" w:hAnsi="Times New Roman" w:cs="Times New Roman"/>
            <w:color w:val="1155CC"/>
            <w:u w:val="single"/>
          </w:rPr>
          <w:t>https://journals.sagepub.com/doi/abs/10.1177/002224299005400102</w:t>
        </w:r>
      </w:hyperlink>
      <w:r>
        <w:rPr>
          <w:rFonts w:ascii="Times New Roman" w:eastAsia="Times New Roman" w:hAnsi="Times New Roman" w:cs="Times New Roman"/>
        </w:rPr>
        <w:t xml:space="preserve">  </w:t>
      </w:r>
    </w:p>
    <w:p w14:paraId="79A3D1A3" w14:textId="77777777" w:rsidR="00487CB5" w:rsidRDefault="00487CB5">
      <w:pPr>
        <w:ind w:left="283" w:firstLine="283"/>
        <w:rPr>
          <w:rFonts w:ascii="Times New Roman" w:eastAsia="Times New Roman" w:hAnsi="Times New Roman" w:cs="Times New Roman"/>
        </w:rPr>
      </w:pPr>
    </w:p>
    <w:p w14:paraId="1CAE4092" w14:textId="1B5C72EE" w:rsidR="00487CB5" w:rsidRDefault="002B62DD">
      <w:pPr>
        <w:ind w:left="283" w:firstLine="283"/>
        <w:rPr>
          <w:rFonts w:ascii="Times New Roman" w:eastAsia="Times New Roman" w:hAnsi="Times New Roman" w:cs="Times New Roman"/>
          <w:color w:val="1155CC"/>
          <w:u w:val="single"/>
        </w:rPr>
      </w:pPr>
      <w:r>
        <w:rPr>
          <w:rFonts w:ascii="Times New Roman" w:eastAsia="Times New Roman" w:hAnsi="Times New Roman" w:cs="Times New Roman"/>
        </w:rPr>
        <w:t xml:space="preserve">Aji, H. M., &amp; </w:t>
      </w:r>
      <w:proofErr w:type="spellStart"/>
      <w:r>
        <w:rPr>
          <w:rFonts w:ascii="Times New Roman" w:eastAsia="Times New Roman" w:hAnsi="Times New Roman" w:cs="Times New Roman"/>
        </w:rPr>
        <w:t>Sutikno</w:t>
      </w:r>
      <w:proofErr w:type="spellEnd"/>
      <w:r>
        <w:rPr>
          <w:rFonts w:ascii="Times New Roman" w:eastAsia="Times New Roman" w:hAnsi="Times New Roman" w:cs="Times New Roman"/>
        </w:rPr>
        <w:t xml:space="preserve">, B. (2015, December). The extended consequence of Greenwashing: Perceived consumer Scepticism. </w:t>
      </w:r>
      <w:r>
        <w:rPr>
          <w:rFonts w:ascii="Times New Roman" w:eastAsia="Times New Roman" w:hAnsi="Times New Roman" w:cs="Times New Roman"/>
          <w:color w:val="1155CC"/>
          <w:u w:val="single"/>
        </w:rPr>
        <w:t>https://www.researchgate.net/publication/296700585_The_Extended_Consequence_of_Greenwashing_Perceived_Consumer_</w:t>
      </w:r>
      <w:r w:rsidR="00D178DA">
        <w:rPr>
          <w:rFonts w:ascii="Times New Roman" w:eastAsia="Times New Roman" w:hAnsi="Times New Roman" w:cs="Times New Roman"/>
          <w:color w:val="1155CC"/>
          <w:u w:val="single"/>
        </w:rPr>
        <w:t>Scepticism</w:t>
      </w:r>
      <w:r>
        <w:rPr>
          <w:rFonts w:ascii="Times New Roman" w:eastAsia="Times New Roman" w:hAnsi="Times New Roman" w:cs="Times New Roman"/>
          <w:color w:val="1155CC"/>
          <w:u w:val="single"/>
        </w:rPr>
        <w:t xml:space="preserve"> </w:t>
      </w:r>
    </w:p>
    <w:p w14:paraId="63EFD94F" w14:textId="77777777" w:rsidR="00487CB5" w:rsidRDefault="00487CB5">
      <w:pPr>
        <w:ind w:left="283" w:firstLine="283"/>
        <w:rPr>
          <w:rFonts w:ascii="Times New Roman" w:eastAsia="Times New Roman" w:hAnsi="Times New Roman" w:cs="Times New Roman"/>
          <w:color w:val="1155CC"/>
          <w:u w:val="single"/>
        </w:rPr>
      </w:pPr>
    </w:p>
    <w:p w14:paraId="0370955A" w14:textId="75865A61"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Ajzen, I. (1991). The Theory of planned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Organizational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and Human Decision Processes. </w:t>
      </w:r>
      <w:hyperlink r:id="rId10">
        <w:r w:rsidR="00487CB5">
          <w:rPr>
            <w:rFonts w:ascii="Times New Roman" w:eastAsia="Times New Roman" w:hAnsi="Times New Roman" w:cs="Times New Roman"/>
            <w:color w:val="1155CC"/>
            <w:u w:val="single"/>
          </w:rPr>
          <w:t>https://doi.org/10.4135/9781446249215.n22</w:t>
        </w:r>
      </w:hyperlink>
    </w:p>
    <w:p w14:paraId="111E5585" w14:textId="77777777" w:rsidR="00487CB5" w:rsidRDefault="00487CB5">
      <w:pPr>
        <w:ind w:left="283" w:firstLine="283"/>
        <w:rPr>
          <w:rFonts w:ascii="Times New Roman" w:eastAsia="Times New Roman" w:hAnsi="Times New Roman" w:cs="Times New Roman"/>
        </w:rPr>
      </w:pPr>
    </w:p>
    <w:p w14:paraId="53C38F28"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Babin, B. J., Darden, W. R., &amp; Griffin, M. (1994). Work and/or fun: measuring hedonic and utilitarian shopping value. Journal of consumer research, 20(4), 644-656. </w:t>
      </w:r>
      <w:hyperlink r:id="rId11">
        <w:r w:rsidR="00487CB5">
          <w:rPr>
            <w:rFonts w:ascii="Times New Roman" w:eastAsia="Times New Roman" w:hAnsi="Times New Roman" w:cs="Times New Roman"/>
            <w:color w:val="1155CC"/>
            <w:u w:val="single"/>
          </w:rPr>
          <w:t>https://academic.oup.com/jcr/article-abstract/20/4/644/1798609</w:t>
        </w:r>
      </w:hyperlink>
      <w:r>
        <w:rPr>
          <w:rFonts w:ascii="Times New Roman" w:eastAsia="Times New Roman" w:hAnsi="Times New Roman" w:cs="Times New Roman"/>
        </w:rPr>
        <w:t xml:space="preserve">  </w:t>
      </w:r>
    </w:p>
    <w:p w14:paraId="1057C215" w14:textId="77777777" w:rsidR="00487CB5" w:rsidRDefault="00487CB5">
      <w:pPr>
        <w:ind w:left="283" w:firstLine="283"/>
        <w:rPr>
          <w:rFonts w:ascii="Times New Roman" w:eastAsia="Times New Roman" w:hAnsi="Times New Roman" w:cs="Times New Roman"/>
        </w:rPr>
      </w:pPr>
    </w:p>
    <w:p w14:paraId="11BD5D39"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Bansal, H. S., &amp; Voyer, P. A. (2000). Word-of-mouth processes within a services purchase decision context. Journal of service research, 3(2), 166-177. </w:t>
      </w:r>
      <w:hyperlink r:id="rId12">
        <w:r w:rsidR="00487CB5">
          <w:rPr>
            <w:rFonts w:ascii="Times New Roman" w:eastAsia="Times New Roman" w:hAnsi="Times New Roman" w:cs="Times New Roman"/>
            <w:color w:val="1155CC"/>
            <w:u w:val="single"/>
          </w:rPr>
          <w:t>https://journals.sagepub.com/doi/abs/10.1177/109467050032005</w:t>
        </w:r>
      </w:hyperlink>
      <w:r>
        <w:rPr>
          <w:rFonts w:ascii="Times New Roman" w:eastAsia="Times New Roman" w:hAnsi="Times New Roman" w:cs="Times New Roman"/>
        </w:rPr>
        <w:t xml:space="preserve"> </w:t>
      </w:r>
    </w:p>
    <w:p w14:paraId="28AE1306" w14:textId="77777777" w:rsidR="00487CB5" w:rsidRDefault="00487CB5">
      <w:pPr>
        <w:ind w:left="283" w:firstLine="283"/>
        <w:rPr>
          <w:rFonts w:ascii="Times New Roman" w:eastAsia="Times New Roman" w:hAnsi="Times New Roman" w:cs="Times New Roman"/>
        </w:rPr>
      </w:pPr>
    </w:p>
    <w:p w14:paraId="391C9350" w14:textId="77777777"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Bhrambhatt</w:t>
      </w:r>
      <w:proofErr w:type="spellEnd"/>
      <w:r>
        <w:rPr>
          <w:rFonts w:ascii="Times New Roman" w:eastAsia="Times New Roman" w:hAnsi="Times New Roman" w:cs="Times New Roman"/>
        </w:rPr>
        <w:t xml:space="preserve">, V. (2023). Personality Assessment of Green Consumers using the Big Five Model (OCEAN). </w:t>
      </w:r>
      <w:hyperlink r:id="rId13">
        <w:r w:rsidR="00487CB5">
          <w:rPr>
            <w:rFonts w:ascii="Times New Roman" w:eastAsia="Times New Roman" w:hAnsi="Times New Roman" w:cs="Times New Roman"/>
            <w:color w:val="1155CC"/>
            <w:u w:val="single"/>
          </w:rPr>
          <w:t>https://zenodo.org/records/10314871</w:t>
        </w:r>
      </w:hyperlink>
      <w:r>
        <w:rPr>
          <w:rFonts w:ascii="Times New Roman" w:eastAsia="Times New Roman" w:hAnsi="Times New Roman" w:cs="Times New Roman"/>
        </w:rPr>
        <w:t xml:space="preserve"> </w:t>
      </w:r>
    </w:p>
    <w:p w14:paraId="184C3E81" w14:textId="77777777" w:rsidR="00487CB5" w:rsidRDefault="00487CB5">
      <w:pPr>
        <w:ind w:left="283" w:firstLine="283"/>
        <w:rPr>
          <w:rFonts w:ascii="Times New Roman" w:eastAsia="Times New Roman" w:hAnsi="Times New Roman" w:cs="Times New Roman"/>
        </w:rPr>
      </w:pPr>
    </w:p>
    <w:p w14:paraId="4006978E" w14:textId="77777777" w:rsidR="00487CB5" w:rsidRDefault="002B62DD">
      <w:pPr>
        <w:ind w:left="283" w:firstLine="283"/>
        <w:rPr>
          <w:rFonts w:ascii="Times New Roman" w:eastAsia="Times New Roman" w:hAnsi="Times New Roman" w:cs="Times New Roman"/>
          <w:color w:val="1155CC"/>
          <w:u w:val="single"/>
        </w:rPr>
      </w:pPr>
      <w:r>
        <w:rPr>
          <w:rFonts w:ascii="Times New Roman" w:eastAsia="Times New Roman" w:hAnsi="Times New Roman" w:cs="Times New Roman"/>
        </w:rPr>
        <w:t xml:space="preserve">Braga, S., Martínez, M. P., Correa, C. M., Moura-Leite, R. C., &amp; Da Silva, D. (2019, July 15). Greenwashing effect, attitudes, and beliefs in green consumption. RAUSP Management Journal. </w:t>
      </w:r>
      <w:r>
        <w:rPr>
          <w:rFonts w:ascii="Times New Roman" w:eastAsia="Times New Roman" w:hAnsi="Times New Roman" w:cs="Times New Roman"/>
          <w:color w:val="1155CC"/>
          <w:u w:val="single"/>
        </w:rPr>
        <w:t xml:space="preserve">https://www.scielo.br/j/rmj/a/j8KWHs8k4XfndmpPCcG9f6f/?lang=en# </w:t>
      </w:r>
    </w:p>
    <w:p w14:paraId="57F1015E" w14:textId="77777777" w:rsidR="00487CB5" w:rsidRDefault="00487CB5">
      <w:pPr>
        <w:ind w:left="283" w:firstLine="283"/>
        <w:rPr>
          <w:rFonts w:ascii="Times New Roman" w:eastAsia="Times New Roman" w:hAnsi="Times New Roman" w:cs="Times New Roman"/>
        </w:rPr>
      </w:pPr>
    </w:p>
    <w:p w14:paraId="53CE6ABC" w14:textId="3E4634C6"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lastRenderedPageBreak/>
        <w:t xml:space="preserve">Brown, J. J., &amp; </w:t>
      </w:r>
      <w:proofErr w:type="spellStart"/>
      <w:r>
        <w:rPr>
          <w:rFonts w:ascii="Times New Roman" w:eastAsia="Times New Roman" w:hAnsi="Times New Roman" w:cs="Times New Roman"/>
        </w:rPr>
        <w:t>Reingen</w:t>
      </w:r>
      <w:proofErr w:type="spellEnd"/>
      <w:r>
        <w:rPr>
          <w:rFonts w:ascii="Times New Roman" w:eastAsia="Times New Roman" w:hAnsi="Times New Roman" w:cs="Times New Roman"/>
        </w:rPr>
        <w:t xml:space="preserve">, P. H. (1987). Social ties and word-of-mouth referral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Journal of Consumer research, 14(3), 350-362. </w:t>
      </w:r>
      <w:hyperlink r:id="rId14">
        <w:r w:rsidR="00487CB5">
          <w:rPr>
            <w:rFonts w:ascii="Times New Roman" w:eastAsia="Times New Roman" w:hAnsi="Times New Roman" w:cs="Times New Roman"/>
            <w:color w:val="1155CC"/>
            <w:u w:val="single"/>
          </w:rPr>
          <w:t>https://academic.oup.com/jcr/article-abstract/14/3/350/1820141</w:t>
        </w:r>
      </w:hyperlink>
    </w:p>
    <w:p w14:paraId="30E1843E" w14:textId="77777777" w:rsidR="00487CB5" w:rsidRDefault="00487CB5">
      <w:pPr>
        <w:ind w:left="283" w:firstLine="283"/>
        <w:rPr>
          <w:rFonts w:ascii="Times New Roman" w:eastAsia="Times New Roman" w:hAnsi="Times New Roman" w:cs="Times New Roman"/>
        </w:rPr>
      </w:pPr>
    </w:p>
    <w:p w14:paraId="569AFF1C" w14:textId="26635B62"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Chan, R. Y. (2001). Determinants of Chinese consumers' green purchase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Psychology &amp; marketing, 18(4), 389-413.  </w:t>
      </w:r>
      <w:hyperlink r:id="rId15">
        <w:r w:rsidR="00487CB5">
          <w:rPr>
            <w:rFonts w:ascii="Times New Roman" w:eastAsia="Times New Roman" w:hAnsi="Times New Roman" w:cs="Times New Roman"/>
            <w:color w:val="1155CC"/>
            <w:u w:val="single"/>
          </w:rPr>
          <w:t>https://doi.org/10.1002/mar.1013</w:t>
        </w:r>
      </w:hyperlink>
      <w:r>
        <w:rPr>
          <w:rFonts w:ascii="Times New Roman" w:eastAsia="Times New Roman" w:hAnsi="Times New Roman" w:cs="Times New Roman"/>
        </w:rPr>
        <w:t xml:space="preserve"> </w:t>
      </w:r>
    </w:p>
    <w:p w14:paraId="1339C50B" w14:textId="77777777" w:rsidR="00487CB5" w:rsidRDefault="00487CB5">
      <w:pPr>
        <w:ind w:left="283" w:firstLine="283"/>
        <w:rPr>
          <w:rFonts w:ascii="Times New Roman" w:eastAsia="Times New Roman" w:hAnsi="Times New Roman" w:cs="Times New Roman"/>
        </w:rPr>
      </w:pPr>
    </w:p>
    <w:p w14:paraId="2A48F1BE" w14:textId="4CB59512" w:rsidR="00487CB5" w:rsidRDefault="002B62DD">
      <w:pPr>
        <w:ind w:left="283" w:firstLine="283"/>
        <w:rPr>
          <w:rFonts w:ascii="Times New Roman" w:eastAsia="Times New Roman" w:hAnsi="Times New Roman" w:cs="Times New Roman"/>
          <w:color w:val="1155CC"/>
          <w:u w:val="single"/>
        </w:rPr>
      </w:pPr>
      <w:r>
        <w:rPr>
          <w:rFonts w:ascii="Times New Roman" w:eastAsia="Times New Roman" w:hAnsi="Times New Roman" w:cs="Times New Roman"/>
        </w:rPr>
        <w:t xml:space="preserve">Chandra, A. (n.d.). The Role of anticipated Pride and Guilt on Pro Environmental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Based on the Norm Activation Model (NAM): A study based on green-</w:t>
      </w:r>
      <w:proofErr w:type="spellStart"/>
      <w:r>
        <w:rPr>
          <w:rFonts w:ascii="Times New Roman" w:eastAsia="Times New Roman" w:hAnsi="Times New Roman" w:cs="Times New Roman"/>
        </w:rPr>
        <w:t>labeled</w:t>
      </w:r>
      <w:proofErr w:type="spellEnd"/>
      <w:r>
        <w:rPr>
          <w:rFonts w:ascii="Times New Roman" w:eastAsia="Times New Roman" w:hAnsi="Times New Roman" w:cs="Times New Roman"/>
        </w:rPr>
        <w:t xml:space="preserve"> chicken sold in major supermarket chains in the Netherlands. Faculty of Management, Radboud University, Nijmegen, the Netherlands. </w:t>
      </w:r>
      <w:r>
        <w:rPr>
          <w:rFonts w:ascii="Times New Roman" w:eastAsia="Times New Roman" w:hAnsi="Times New Roman" w:cs="Times New Roman"/>
          <w:color w:val="1155CC"/>
          <w:u w:val="single"/>
        </w:rPr>
        <w:t xml:space="preserve">https://theses.ubn.ru.nl/server/api/core/bitstreams/99bd1cd2-c1e8-4ba8-8c36-02711cb1cfce/content </w:t>
      </w:r>
    </w:p>
    <w:p w14:paraId="4B6EC915" w14:textId="77777777" w:rsidR="00487CB5" w:rsidRDefault="00487CB5">
      <w:pPr>
        <w:ind w:left="283" w:firstLine="283"/>
        <w:rPr>
          <w:rFonts w:ascii="Times New Roman" w:eastAsia="Times New Roman" w:hAnsi="Times New Roman" w:cs="Times New Roman"/>
        </w:rPr>
      </w:pPr>
    </w:p>
    <w:p w14:paraId="74251A45"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Chen, T. B., &amp; Chai, L. T. (2010). Attitude towards the environment and green products: Consumers’ perspective. Management science and engineering, 4(2), 27-39</w:t>
      </w:r>
    </w:p>
    <w:p w14:paraId="4E6DBBA2" w14:textId="77777777" w:rsidR="00487CB5" w:rsidRDefault="00487CB5">
      <w:pPr>
        <w:ind w:left="283" w:firstLine="283"/>
        <w:rPr>
          <w:rFonts w:ascii="Times New Roman" w:eastAsia="Times New Roman" w:hAnsi="Times New Roman" w:cs="Times New Roman"/>
        </w:rPr>
      </w:pPr>
    </w:p>
    <w:p w14:paraId="62C40559"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Chen, Y. S., &amp; Chang, C. H. (2013). Greenwash and green trust: The mediation effects of green consumer confusion and green perceived risk. Journal of business ethics, 114, 489-500.  </w:t>
      </w:r>
    </w:p>
    <w:p w14:paraId="150E1CD3" w14:textId="77777777" w:rsidR="00487CB5" w:rsidRDefault="00487CB5">
      <w:pPr>
        <w:ind w:left="283" w:firstLine="283"/>
        <w:rPr>
          <w:rFonts w:ascii="Times New Roman" w:eastAsia="Times New Roman" w:hAnsi="Times New Roman" w:cs="Times New Roman"/>
        </w:rPr>
      </w:pPr>
    </w:p>
    <w:p w14:paraId="597476EF" w14:textId="77777777"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Emekci</w:t>
      </w:r>
      <w:proofErr w:type="spellEnd"/>
      <w:r>
        <w:rPr>
          <w:rFonts w:ascii="Times New Roman" w:eastAsia="Times New Roman" w:hAnsi="Times New Roman" w:cs="Times New Roman"/>
        </w:rPr>
        <w:t xml:space="preserve">, S. (2019). Green consumption behaviours of consumers within the scope of TPB. Journal of Consumer Marketing, 36(3), 410-417. </w:t>
      </w:r>
      <w:hyperlink r:id="rId16">
        <w:r w:rsidR="00487CB5">
          <w:rPr>
            <w:rFonts w:ascii="Times New Roman" w:eastAsia="Times New Roman" w:hAnsi="Times New Roman" w:cs="Times New Roman"/>
            <w:color w:val="1155CC"/>
            <w:u w:val="single"/>
          </w:rPr>
          <w:t>https://www.emerald.com/insight/content/doi/10.1108/JCM-05-2018-2694/full/html</w:t>
        </w:r>
      </w:hyperlink>
      <w:r>
        <w:rPr>
          <w:rFonts w:ascii="Times New Roman" w:eastAsia="Times New Roman" w:hAnsi="Times New Roman" w:cs="Times New Roman"/>
        </w:rPr>
        <w:t xml:space="preserve"> </w:t>
      </w:r>
    </w:p>
    <w:p w14:paraId="64039613" w14:textId="77777777" w:rsidR="00487CB5" w:rsidRDefault="00487CB5">
      <w:pPr>
        <w:ind w:left="283" w:firstLine="283"/>
        <w:rPr>
          <w:rFonts w:ascii="Times New Roman" w:eastAsia="Times New Roman" w:hAnsi="Times New Roman" w:cs="Times New Roman"/>
        </w:rPr>
      </w:pPr>
    </w:p>
    <w:p w14:paraId="78A13C47"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Engel, J.F., Blackwell, R.D., &amp; Miniard, P.W., (1995). Consumer behaviour, 8th ed. Fort Worth: Dryden Press. </w:t>
      </w:r>
    </w:p>
    <w:p w14:paraId="5C9266C7" w14:textId="6D249E8A"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Foreh</w:t>
      </w:r>
      <w:proofErr w:type="spellEnd"/>
      <w:r>
        <w:rPr>
          <w:rFonts w:ascii="Times New Roman" w:eastAsia="Times New Roman" w:hAnsi="Times New Roman" w:cs="Times New Roman"/>
        </w:rPr>
        <w:t xml:space="preserve">, M. R., &amp; Grier, S. (2003). When is honesty the best policy? The effect of stated company intent on consumer </w:t>
      </w:r>
      <w:r w:rsidR="00D178DA">
        <w:rPr>
          <w:rFonts w:ascii="Times New Roman" w:eastAsia="Times New Roman" w:hAnsi="Times New Roman" w:cs="Times New Roman"/>
        </w:rPr>
        <w:t>scepticism</w:t>
      </w:r>
      <w:r>
        <w:rPr>
          <w:rFonts w:ascii="Times New Roman" w:eastAsia="Times New Roman" w:hAnsi="Times New Roman" w:cs="Times New Roman"/>
        </w:rPr>
        <w:t xml:space="preserve">. Journal of consumer psychology, 13(3), 349-356. </w:t>
      </w:r>
      <w:hyperlink r:id="rId17">
        <w:r w:rsidR="00487CB5">
          <w:rPr>
            <w:rFonts w:ascii="Times New Roman" w:eastAsia="Times New Roman" w:hAnsi="Times New Roman" w:cs="Times New Roman"/>
            <w:color w:val="1155CC"/>
            <w:u w:val="single"/>
          </w:rPr>
          <w:t>https://doi.org/10.1207/S15327663JCP1303_15</w:t>
        </w:r>
      </w:hyperlink>
      <w:r>
        <w:rPr>
          <w:rFonts w:ascii="Times New Roman" w:eastAsia="Times New Roman" w:hAnsi="Times New Roman" w:cs="Times New Roman"/>
        </w:rPr>
        <w:t xml:space="preserve"> </w:t>
      </w:r>
    </w:p>
    <w:p w14:paraId="777DCB36" w14:textId="77777777" w:rsidR="00487CB5" w:rsidRDefault="00487CB5">
      <w:pPr>
        <w:ind w:left="283" w:firstLine="283"/>
        <w:rPr>
          <w:rFonts w:ascii="Times New Roman" w:eastAsia="Times New Roman" w:hAnsi="Times New Roman" w:cs="Times New Roman"/>
        </w:rPr>
      </w:pPr>
    </w:p>
    <w:p w14:paraId="2FE9DE8A"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Gay, R., Charlesworth, A., &amp; Esen, R. (2010). Online marketing: A customer-led approach. Oxford university press. </w:t>
      </w:r>
      <w:hyperlink r:id="rId18" w:anchor="v=onepage&amp;q=gay%20r%20charlesworth&amp;f=false">
        <w:r w:rsidR="00487CB5">
          <w:rPr>
            <w:rFonts w:ascii="Times New Roman" w:eastAsia="Times New Roman" w:hAnsi="Times New Roman" w:cs="Times New Roman"/>
            <w:color w:val="1155CC"/>
            <w:u w:val="single"/>
          </w:rPr>
          <w:t>https://books.google.co.in/books?hl=en&amp;lr=&amp;id=wLipF4vctU4C&amp;oi=fnd&amp;pg=PR11&amp;dq=gay+r+charlesworth&amp;ots=Y804Gl8qEF&amp;sig=MQ_SRRuLRBFHrukRpCb2pB4fs-A&amp;redir_esc=y#v=onepage&amp;q=gay%20r%20charlesworth&amp;f=false</w:t>
        </w:r>
      </w:hyperlink>
    </w:p>
    <w:p w14:paraId="3A0B1ACA" w14:textId="77777777" w:rsidR="00487CB5" w:rsidRDefault="00487CB5">
      <w:pPr>
        <w:ind w:left="283" w:firstLine="283"/>
        <w:rPr>
          <w:rFonts w:ascii="Times New Roman" w:eastAsia="Times New Roman" w:hAnsi="Times New Roman" w:cs="Times New Roman"/>
        </w:rPr>
      </w:pPr>
    </w:p>
    <w:p w14:paraId="570F9C3C" w14:textId="118A64B0"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Goh, S. K., &amp; Balaji, M. S. (2016). Linking green </w:t>
      </w:r>
      <w:r w:rsidR="00D178DA">
        <w:rPr>
          <w:rFonts w:ascii="Times New Roman" w:eastAsia="Times New Roman" w:hAnsi="Times New Roman" w:cs="Times New Roman"/>
        </w:rPr>
        <w:t>scepticism</w:t>
      </w:r>
      <w:r>
        <w:rPr>
          <w:rFonts w:ascii="Times New Roman" w:eastAsia="Times New Roman" w:hAnsi="Times New Roman" w:cs="Times New Roman"/>
        </w:rPr>
        <w:t xml:space="preserve"> to green purchase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Journal of Cleaner Production, 131, 629-638. </w:t>
      </w:r>
      <w:hyperlink r:id="rId19">
        <w:r w:rsidR="00487CB5">
          <w:rPr>
            <w:rFonts w:ascii="Times New Roman" w:eastAsia="Times New Roman" w:hAnsi="Times New Roman" w:cs="Times New Roman"/>
            <w:color w:val="1155CC"/>
            <w:u w:val="single"/>
          </w:rPr>
          <w:t>https://doi.org/10.1016/j.jclepro.2016.04.122</w:t>
        </w:r>
      </w:hyperlink>
      <w:r>
        <w:rPr>
          <w:rFonts w:ascii="Times New Roman" w:eastAsia="Times New Roman" w:hAnsi="Times New Roman" w:cs="Times New Roman"/>
        </w:rPr>
        <w:t xml:space="preserve"> </w:t>
      </w:r>
    </w:p>
    <w:p w14:paraId="0CE9965F" w14:textId="77777777" w:rsidR="00487CB5" w:rsidRDefault="00487CB5">
      <w:pPr>
        <w:ind w:left="283" w:firstLine="283"/>
        <w:rPr>
          <w:rFonts w:ascii="Times New Roman" w:eastAsia="Times New Roman" w:hAnsi="Times New Roman" w:cs="Times New Roman"/>
        </w:rPr>
      </w:pPr>
    </w:p>
    <w:p w14:paraId="783A758D" w14:textId="51414ED4"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Gupta , V. (2022, January 16). </w:t>
      </w:r>
      <w:proofErr w:type="spellStart"/>
      <w:r>
        <w:rPr>
          <w:rFonts w:ascii="Times New Roman" w:eastAsia="Times New Roman" w:hAnsi="Times New Roman" w:cs="Times New Roman"/>
        </w:rPr>
        <w:t>Enchancing</w:t>
      </w:r>
      <w:proofErr w:type="spellEnd"/>
      <w:r>
        <w:rPr>
          <w:rFonts w:ascii="Times New Roman" w:eastAsia="Times New Roman" w:hAnsi="Times New Roman" w:cs="Times New Roman"/>
        </w:rPr>
        <w:t xml:space="preserve"> Green Product Purchase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The role of Green Satisfaction and Green Loyalty. International Journal on Customer Relations. </w:t>
      </w:r>
      <w:r>
        <w:rPr>
          <w:rFonts w:ascii="Times New Roman" w:eastAsia="Times New Roman" w:hAnsi="Times New Roman" w:cs="Times New Roman"/>
          <w:color w:val="1155CC"/>
          <w:u w:val="single"/>
        </w:rPr>
        <w:t>https://www.researchgate.net/publication/357870288_ENCHANCING_GREEN_PRODUCT_PURCHASE_</w:t>
      </w:r>
      <w:r w:rsidR="00EF084F">
        <w:rPr>
          <w:rFonts w:ascii="Times New Roman" w:eastAsia="Times New Roman" w:hAnsi="Times New Roman" w:cs="Times New Roman"/>
          <w:color w:val="1155CC"/>
          <w:u w:val="single"/>
        </w:rPr>
        <w:t xml:space="preserve"> BEHAVIOUR</w:t>
      </w:r>
      <w:r>
        <w:rPr>
          <w:rFonts w:ascii="Times New Roman" w:eastAsia="Times New Roman" w:hAnsi="Times New Roman" w:cs="Times New Roman"/>
          <w:color w:val="1155CC"/>
          <w:u w:val="single"/>
        </w:rPr>
        <w:t xml:space="preserve">_THE_ROLE_OF_GREEN_SATISFACTION_AND_GREEN_LOYALTY </w:t>
      </w:r>
    </w:p>
    <w:p w14:paraId="75BCA784" w14:textId="77777777" w:rsidR="00487CB5" w:rsidRDefault="00487CB5">
      <w:pPr>
        <w:ind w:left="283" w:firstLine="283"/>
        <w:rPr>
          <w:rFonts w:ascii="Times New Roman" w:eastAsia="Times New Roman" w:hAnsi="Times New Roman" w:cs="Times New Roman"/>
        </w:rPr>
      </w:pPr>
    </w:p>
    <w:p w14:paraId="6173788C" w14:textId="5179F454"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Harland, P., Staats, H., &amp; Wilke, H. A. (2007). Situational and personality factors as direct or personal norm mediated predictors of pro-environmental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Questions derived from norm-activation theory. Basic and applied social psychology, 29(4), 323-334. </w:t>
      </w:r>
      <w:hyperlink r:id="rId20">
        <w:r w:rsidR="00487CB5">
          <w:rPr>
            <w:rFonts w:ascii="Times New Roman" w:eastAsia="Times New Roman" w:hAnsi="Times New Roman" w:cs="Times New Roman"/>
            <w:color w:val="1155CC"/>
            <w:u w:val="single"/>
          </w:rPr>
          <w:t>https://www.tandfonline.com/doi/abs/10.1080/01973530701665058</w:t>
        </w:r>
      </w:hyperlink>
      <w:r>
        <w:rPr>
          <w:rFonts w:ascii="Times New Roman" w:eastAsia="Times New Roman" w:hAnsi="Times New Roman" w:cs="Times New Roman"/>
        </w:rPr>
        <w:t xml:space="preserve"> </w:t>
      </w:r>
    </w:p>
    <w:p w14:paraId="25E48DF8" w14:textId="77777777" w:rsidR="00487CB5" w:rsidRDefault="00487CB5">
      <w:pPr>
        <w:ind w:left="283" w:firstLine="283"/>
        <w:rPr>
          <w:rFonts w:ascii="Times New Roman" w:eastAsia="Times New Roman" w:hAnsi="Times New Roman" w:cs="Times New Roman"/>
        </w:rPr>
      </w:pPr>
    </w:p>
    <w:p w14:paraId="4C272747"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Joshi, Y., &amp; Rahman, Z. (2015). Factors affecting green purchase behaviour and future research directions. International Strategic management review, 3(1-2), 128-143.</w:t>
      </w:r>
    </w:p>
    <w:p w14:paraId="151AB3E0" w14:textId="77777777" w:rsidR="00487CB5" w:rsidRDefault="00487CB5">
      <w:pPr>
        <w:ind w:left="283" w:firstLine="283"/>
        <w:rPr>
          <w:rFonts w:ascii="Times New Roman" w:eastAsia="Times New Roman" w:hAnsi="Times New Roman" w:cs="Times New Roman"/>
        </w:rPr>
      </w:pPr>
    </w:p>
    <w:p w14:paraId="3C734D20"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Khandelwal, M., Sharma, A., &amp; Jain, V. (2019). Greenwashing: A study on the effects of greenwashing on consumer perception and trust build-up. Research Review International Journal of Multidisciplinary, 4(1), 607-612. </w:t>
      </w:r>
    </w:p>
    <w:p w14:paraId="2E6299AC" w14:textId="77777777" w:rsidR="00487CB5" w:rsidRDefault="00487CB5">
      <w:pPr>
        <w:ind w:left="283" w:firstLine="283"/>
        <w:rPr>
          <w:rFonts w:ascii="Times New Roman" w:eastAsia="Times New Roman" w:hAnsi="Times New Roman" w:cs="Times New Roman"/>
        </w:rPr>
      </w:pPr>
    </w:p>
    <w:p w14:paraId="17AE152F" w14:textId="77777777" w:rsidR="00487CB5" w:rsidRDefault="002B62DD">
      <w:pPr>
        <w:ind w:left="283" w:firstLine="283"/>
        <w:rPr>
          <w:rFonts w:ascii="Times New Roman" w:eastAsia="Times New Roman" w:hAnsi="Times New Roman" w:cs="Times New Roman"/>
          <w:color w:val="1155CC"/>
          <w:u w:val="single"/>
        </w:rPr>
      </w:pPr>
      <w:r>
        <w:rPr>
          <w:rFonts w:ascii="Times New Roman" w:eastAsia="Times New Roman" w:hAnsi="Times New Roman" w:cs="Times New Roman"/>
        </w:rPr>
        <w:t xml:space="preserve">Li  , J., Han , J., &amp; Qiu, Z. (2021, May 24). An empirical study on greenwashing and consumers’ ... </w:t>
      </w:r>
      <w:r>
        <w:rPr>
          <w:rFonts w:ascii="Times New Roman" w:eastAsia="Times New Roman" w:hAnsi="Times New Roman" w:cs="Times New Roman"/>
          <w:color w:val="1155CC"/>
          <w:u w:val="single"/>
        </w:rPr>
        <w:t xml:space="preserve">https://www.diva-portal.org/smash/get/diva2:1561441/FULLTEXT01.pdf </w:t>
      </w:r>
    </w:p>
    <w:p w14:paraId="0C6F5A4F" w14:textId="77777777" w:rsidR="00487CB5" w:rsidRDefault="00487CB5">
      <w:pPr>
        <w:ind w:left="283" w:firstLine="283"/>
        <w:rPr>
          <w:rFonts w:ascii="Times New Roman" w:eastAsia="Times New Roman" w:hAnsi="Times New Roman" w:cs="Times New Roman"/>
        </w:rPr>
      </w:pPr>
    </w:p>
    <w:p w14:paraId="26E83EF3"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Lyon, T. P., &amp; Maxwell, J. W. (2011). Greenwash: Corporate environmental disclosure under threat of audit. Journal of economics &amp; management strategy, 20(1), 3-41. </w:t>
      </w:r>
    </w:p>
    <w:p w14:paraId="36C3B73C" w14:textId="77777777" w:rsidR="00487CB5" w:rsidRDefault="00487CB5">
      <w:pPr>
        <w:ind w:left="283" w:firstLine="283"/>
        <w:rPr>
          <w:rFonts w:ascii="Times New Roman" w:eastAsia="Times New Roman" w:hAnsi="Times New Roman" w:cs="Times New Roman"/>
        </w:rPr>
      </w:pPr>
    </w:p>
    <w:p w14:paraId="0D59532A"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Mimouni Chaabane, A., &amp; </w:t>
      </w:r>
      <w:proofErr w:type="spellStart"/>
      <w:r>
        <w:rPr>
          <w:rFonts w:ascii="Times New Roman" w:eastAsia="Times New Roman" w:hAnsi="Times New Roman" w:cs="Times New Roman"/>
        </w:rPr>
        <w:t>Parguel</w:t>
      </w:r>
      <w:proofErr w:type="spellEnd"/>
      <w:r>
        <w:rPr>
          <w:rFonts w:ascii="Times New Roman" w:eastAsia="Times New Roman" w:hAnsi="Times New Roman" w:cs="Times New Roman"/>
        </w:rPr>
        <w:t xml:space="preserve">, B. (2016). The double-edge effect of retailers’ cause-related marketing: When scepticism cools the warm-glow effect. International Journal of Retail &amp; Distribution Management, 44(6), 607-626. </w:t>
      </w:r>
      <w:hyperlink r:id="rId21">
        <w:r w:rsidR="00487CB5">
          <w:rPr>
            <w:rFonts w:ascii="Times New Roman" w:eastAsia="Times New Roman" w:hAnsi="Times New Roman" w:cs="Times New Roman"/>
            <w:color w:val="1155CC"/>
            <w:u w:val="single"/>
          </w:rPr>
          <w:t>https://doi.org/10.1108/IJRDM-08-2015-0126</w:t>
        </w:r>
      </w:hyperlink>
      <w:r>
        <w:rPr>
          <w:rFonts w:ascii="Times New Roman" w:eastAsia="Times New Roman" w:hAnsi="Times New Roman" w:cs="Times New Roman"/>
        </w:rPr>
        <w:t xml:space="preserve"> </w:t>
      </w:r>
    </w:p>
    <w:p w14:paraId="36D827FB" w14:textId="77777777" w:rsidR="00487CB5" w:rsidRDefault="00487CB5">
      <w:pPr>
        <w:ind w:left="283" w:firstLine="283"/>
        <w:rPr>
          <w:rFonts w:ascii="Times New Roman" w:eastAsia="Times New Roman" w:hAnsi="Times New Roman" w:cs="Times New Roman"/>
        </w:rPr>
      </w:pPr>
    </w:p>
    <w:p w14:paraId="1D82AB17" w14:textId="77777777" w:rsidR="00487CB5" w:rsidRDefault="002B62DD">
      <w:pPr>
        <w:ind w:left="283" w:firstLine="283"/>
        <w:rPr>
          <w:rFonts w:ascii="Times New Roman" w:eastAsia="Times New Roman" w:hAnsi="Times New Roman" w:cs="Times New Roman"/>
          <w:color w:val="1155CC"/>
          <w:u w:val="single"/>
        </w:rPr>
      </w:pPr>
      <w:r>
        <w:rPr>
          <w:rFonts w:ascii="Times New Roman" w:eastAsia="Times New Roman" w:hAnsi="Times New Roman" w:cs="Times New Roman"/>
        </w:rPr>
        <w:t xml:space="preserve">Mishra, Dr. O. (2018, October). (PDF) criteria for evaluation of alternatives in online consumer decision-making process. ELK ASIA PACIFIC JOURNAL OF MARKETING &amp; RETAIL MANAGEMENT . </w:t>
      </w:r>
      <w:r>
        <w:rPr>
          <w:rFonts w:ascii="Times New Roman" w:eastAsia="Times New Roman" w:hAnsi="Times New Roman" w:cs="Times New Roman"/>
          <w:color w:val="1155CC"/>
          <w:u w:val="single"/>
        </w:rPr>
        <w:t xml:space="preserve">https://www.researchgate.net/publication/343904334_CRITERIA_FOR_EVALUATION_OF_ALTERNATIVES_IN_ONLINE_CONSUMER_DECISION-MAKING_PROCESS </w:t>
      </w:r>
    </w:p>
    <w:p w14:paraId="38EA6234" w14:textId="77777777" w:rsidR="00487CB5" w:rsidRDefault="00487CB5">
      <w:pPr>
        <w:ind w:left="283" w:firstLine="283"/>
        <w:rPr>
          <w:rFonts w:ascii="Times New Roman" w:eastAsia="Times New Roman" w:hAnsi="Times New Roman" w:cs="Times New Roman"/>
        </w:rPr>
      </w:pPr>
    </w:p>
    <w:p w14:paraId="12C63E5C"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Mishra, O. (2018). Criteria for evaluation of alternatives in online consumer </w:t>
      </w:r>
      <w:proofErr w:type="spellStart"/>
      <w:r>
        <w:rPr>
          <w:rFonts w:ascii="Times New Roman" w:eastAsia="Times New Roman" w:hAnsi="Times New Roman" w:cs="Times New Roman"/>
        </w:rPr>
        <w:t>decisionmaking</w:t>
      </w:r>
      <w:proofErr w:type="spellEnd"/>
      <w:r>
        <w:rPr>
          <w:rFonts w:ascii="Times New Roman" w:eastAsia="Times New Roman" w:hAnsi="Times New Roman" w:cs="Times New Roman"/>
        </w:rPr>
        <w:t xml:space="preserve"> process. Elk Asia Pacific Journal of Marketing and Retail Management, 9(4), 75-100. </w:t>
      </w:r>
      <w:hyperlink r:id="rId22">
        <w:r w:rsidR="00487CB5">
          <w:rPr>
            <w:rFonts w:ascii="Times New Roman" w:eastAsia="Times New Roman" w:hAnsi="Times New Roman" w:cs="Times New Roman"/>
            <w:color w:val="1155CC"/>
            <w:u w:val="single"/>
          </w:rPr>
          <w:t>https://www.researchgate.net/publication/343904334_CRITERIA_FOR_EVALUATION_OF_ALTERNATIVES_IN_ONLINE_CONSUMER_DECISION-MAKING_PROCESS</w:t>
        </w:r>
      </w:hyperlink>
      <w:r>
        <w:rPr>
          <w:rFonts w:ascii="Times New Roman" w:eastAsia="Times New Roman" w:hAnsi="Times New Roman" w:cs="Times New Roman"/>
        </w:rPr>
        <w:t xml:space="preserve">  </w:t>
      </w:r>
    </w:p>
    <w:p w14:paraId="5A52FE40" w14:textId="77777777" w:rsidR="00487CB5" w:rsidRDefault="00487CB5">
      <w:pPr>
        <w:ind w:left="283" w:firstLine="283"/>
        <w:rPr>
          <w:rFonts w:ascii="Times New Roman" w:eastAsia="Times New Roman" w:hAnsi="Times New Roman" w:cs="Times New Roman"/>
        </w:rPr>
      </w:pPr>
    </w:p>
    <w:p w14:paraId="3CF0CB3F" w14:textId="3244EA76"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Muruganantham</w:t>
      </w:r>
      <w:proofErr w:type="spellEnd"/>
      <w:r>
        <w:rPr>
          <w:rFonts w:ascii="Times New Roman" w:eastAsia="Times New Roman" w:hAnsi="Times New Roman" w:cs="Times New Roman"/>
        </w:rPr>
        <w:t xml:space="preserve">, G., &amp; </w:t>
      </w:r>
      <w:proofErr w:type="spellStart"/>
      <w:r>
        <w:rPr>
          <w:rFonts w:ascii="Times New Roman" w:eastAsia="Times New Roman" w:hAnsi="Times New Roman" w:cs="Times New Roman"/>
        </w:rPr>
        <w:t>Bhakat</w:t>
      </w:r>
      <w:proofErr w:type="spellEnd"/>
      <w:r>
        <w:rPr>
          <w:rFonts w:ascii="Times New Roman" w:eastAsia="Times New Roman" w:hAnsi="Times New Roman" w:cs="Times New Roman"/>
        </w:rPr>
        <w:t xml:space="preserve">, R. S. (2013). A review of impulse buying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International journal of marketing studies, 5(3), 149. </w:t>
      </w:r>
      <w:hyperlink r:id="rId23">
        <w:r w:rsidR="00487CB5">
          <w:rPr>
            <w:rFonts w:ascii="Times New Roman" w:eastAsia="Times New Roman" w:hAnsi="Times New Roman" w:cs="Times New Roman"/>
            <w:color w:val="1155CC"/>
            <w:u w:val="single"/>
          </w:rPr>
          <w:t>https://www.researchgate.net/profile/Ravi-Bhakat/publication/280298147_A_Review_of_Impulse_Buying_</w:t>
        </w:r>
        <w:r w:rsidR="00EF084F">
          <w:rPr>
            <w:rFonts w:ascii="Times New Roman" w:eastAsia="Times New Roman" w:hAnsi="Times New Roman" w:cs="Times New Roman"/>
            <w:color w:val="1155CC"/>
            <w:u w:val="single"/>
          </w:rPr>
          <w:t xml:space="preserve"> behaviour</w:t>
        </w:r>
        <w:r w:rsidR="00487CB5">
          <w:rPr>
            <w:rFonts w:ascii="Times New Roman" w:eastAsia="Times New Roman" w:hAnsi="Times New Roman" w:cs="Times New Roman"/>
            <w:color w:val="1155CC"/>
            <w:u w:val="single"/>
          </w:rPr>
          <w:t>/links/55ef157108aedecb68fd96b9/A-Review-of-Impulse-Buying-</w:t>
        </w:r>
        <w:r w:rsidR="00EF084F">
          <w:rPr>
            <w:rFonts w:ascii="Times New Roman" w:eastAsia="Times New Roman" w:hAnsi="Times New Roman" w:cs="Times New Roman"/>
            <w:color w:val="1155CC"/>
            <w:u w:val="single"/>
          </w:rPr>
          <w:t xml:space="preserve"> behaviour</w:t>
        </w:r>
        <w:r w:rsidR="00487CB5">
          <w:rPr>
            <w:rFonts w:ascii="Times New Roman" w:eastAsia="Times New Roman" w:hAnsi="Times New Roman" w:cs="Times New Roman"/>
            <w:color w:val="1155CC"/>
            <w:u w:val="single"/>
          </w:rPr>
          <w:t>.pdf</w:t>
        </w:r>
      </w:hyperlink>
      <w:r>
        <w:rPr>
          <w:rFonts w:ascii="Times New Roman" w:eastAsia="Times New Roman" w:hAnsi="Times New Roman" w:cs="Times New Roman"/>
        </w:rPr>
        <w:t xml:space="preserve">  </w:t>
      </w:r>
      <w:r>
        <w:rPr>
          <w:rFonts w:ascii="Times New Roman" w:eastAsia="Times New Roman" w:hAnsi="Times New Roman" w:cs="Times New Roman"/>
        </w:rPr>
        <w:br/>
      </w:r>
    </w:p>
    <w:p w14:paraId="7CB1FC3C" w14:textId="18E36EE9"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Obermiller, C., Spangenberg, E., &amp; MacLachlan, D. L. (2005). Ad </w:t>
      </w:r>
      <w:r w:rsidR="00D178DA">
        <w:rPr>
          <w:rFonts w:ascii="Times New Roman" w:eastAsia="Times New Roman" w:hAnsi="Times New Roman" w:cs="Times New Roman"/>
        </w:rPr>
        <w:t>scepticism</w:t>
      </w:r>
      <w:r>
        <w:rPr>
          <w:rFonts w:ascii="Times New Roman" w:eastAsia="Times New Roman" w:hAnsi="Times New Roman" w:cs="Times New Roman"/>
        </w:rPr>
        <w:t xml:space="preserve">: The consequences of disbelief. Journal of advertising, 34(3), 7-17. </w:t>
      </w:r>
      <w:hyperlink r:id="rId24">
        <w:r w:rsidR="00487CB5">
          <w:rPr>
            <w:rFonts w:ascii="Times New Roman" w:eastAsia="Times New Roman" w:hAnsi="Times New Roman" w:cs="Times New Roman"/>
            <w:color w:val="1155CC"/>
            <w:u w:val="single"/>
          </w:rPr>
          <w:t>https://doi.org/10.1080/00913367.2005.10639199</w:t>
        </w:r>
      </w:hyperlink>
      <w:r>
        <w:rPr>
          <w:rFonts w:ascii="Times New Roman" w:eastAsia="Times New Roman" w:hAnsi="Times New Roman" w:cs="Times New Roman"/>
        </w:rPr>
        <w:t xml:space="preserve"> </w:t>
      </w:r>
    </w:p>
    <w:p w14:paraId="53268D85" w14:textId="77777777" w:rsidR="00487CB5" w:rsidRDefault="00487CB5">
      <w:pPr>
        <w:ind w:left="283" w:firstLine="283"/>
        <w:rPr>
          <w:rFonts w:ascii="Times New Roman" w:eastAsia="Times New Roman" w:hAnsi="Times New Roman" w:cs="Times New Roman"/>
        </w:rPr>
      </w:pPr>
    </w:p>
    <w:p w14:paraId="09100DBF"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Ottman, J. A., Stafford, E. R., &amp; Hartman, C. L. (2006). Avoiding green marketing myopia: Ways to improve consumer appeal for environmentally preferable products. Environment: science and policy for sustainable development, 48(5), 22-36. </w:t>
      </w:r>
      <w:hyperlink r:id="rId25">
        <w:r w:rsidR="00487CB5">
          <w:rPr>
            <w:rFonts w:ascii="Times New Roman" w:eastAsia="Times New Roman" w:hAnsi="Times New Roman" w:cs="Times New Roman"/>
            <w:color w:val="1155CC"/>
            <w:u w:val="single"/>
          </w:rPr>
          <w:t>https://doi.org/10.3200/ENVT.48.5.22-36</w:t>
        </w:r>
      </w:hyperlink>
      <w:r>
        <w:rPr>
          <w:rFonts w:ascii="Times New Roman" w:eastAsia="Times New Roman" w:hAnsi="Times New Roman" w:cs="Times New Roman"/>
        </w:rPr>
        <w:t xml:space="preserve"> </w:t>
      </w:r>
    </w:p>
    <w:p w14:paraId="47EC177A" w14:textId="77777777" w:rsidR="00487CB5" w:rsidRDefault="00487CB5">
      <w:pPr>
        <w:ind w:left="283" w:firstLine="283"/>
        <w:rPr>
          <w:rFonts w:ascii="Times New Roman" w:eastAsia="Times New Roman" w:hAnsi="Times New Roman" w:cs="Times New Roman"/>
        </w:rPr>
      </w:pPr>
    </w:p>
    <w:p w14:paraId="474D7AE9"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Pechmann, C., &amp; Ratneshwar, S. (1991). The use of comparative advertising for brand positioning: Association versus differentiation. Journal of Consumer Research, 18(2), 145-160. </w:t>
      </w:r>
      <w:hyperlink r:id="rId26">
        <w:r w:rsidR="00487CB5">
          <w:rPr>
            <w:rFonts w:ascii="Times New Roman" w:eastAsia="Times New Roman" w:hAnsi="Times New Roman" w:cs="Times New Roman"/>
            <w:color w:val="1155CC"/>
            <w:u w:val="single"/>
          </w:rPr>
          <w:t>https://academic.oup.com/jcr/article-abstract/18/2/145/1786796</w:t>
        </w:r>
      </w:hyperlink>
      <w:r>
        <w:rPr>
          <w:rFonts w:ascii="Times New Roman" w:eastAsia="Times New Roman" w:hAnsi="Times New Roman" w:cs="Times New Roman"/>
        </w:rPr>
        <w:t xml:space="preserve">  </w:t>
      </w:r>
    </w:p>
    <w:p w14:paraId="02712373" w14:textId="77777777" w:rsidR="00487CB5" w:rsidRDefault="00487CB5">
      <w:pPr>
        <w:ind w:left="283" w:firstLine="283"/>
        <w:rPr>
          <w:rFonts w:ascii="Times New Roman" w:eastAsia="Times New Roman" w:hAnsi="Times New Roman" w:cs="Times New Roman"/>
        </w:rPr>
      </w:pPr>
    </w:p>
    <w:p w14:paraId="4969AE58"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lastRenderedPageBreak/>
        <w:t xml:space="preserve">Rao, A. R., &amp; Monroe, K. B. (1988). The moderating effect of prior knowledge on cue utilization in product evaluations. Journal of consumer research, 15(2), 253-264. </w:t>
      </w:r>
      <w:hyperlink r:id="rId27">
        <w:r w:rsidR="00487CB5">
          <w:rPr>
            <w:rFonts w:ascii="Times New Roman" w:eastAsia="Times New Roman" w:hAnsi="Times New Roman" w:cs="Times New Roman"/>
            <w:color w:val="1155CC"/>
            <w:u w:val="single"/>
          </w:rPr>
          <w:t>https://academic.oup.com/jcr/article-abstract/15/2/253/1841505</w:t>
        </w:r>
      </w:hyperlink>
      <w:r>
        <w:rPr>
          <w:rFonts w:ascii="Times New Roman" w:eastAsia="Times New Roman" w:hAnsi="Times New Roman" w:cs="Times New Roman"/>
        </w:rPr>
        <w:t xml:space="preserve">  </w:t>
      </w:r>
    </w:p>
    <w:p w14:paraId="76524F51" w14:textId="77777777" w:rsidR="00487CB5" w:rsidRDefault="00487CB5">
      <w:pPr>
        <w:ind w:left="283" w:firstLine="283"/>
        <w:rPr>
          <w:rFonts w:ascii="Times New Roman" w:eastAsia="Times New Roman" w:hAnsi="Times New Roman" w:cs="Times New Roman"/>
        </w:rPr>
      </w:pPr>
    </w:p>
    <w:p w14:paraId="4EB9D61A"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Romani, S., </w:t>
      </w:r>
      <w:proofErr w:type="spellStart"/>
      <w:r>
        <w:rPr>
          <w:rFonts w:ascii="Times New Roman" w:eastAsia="Times New Roman" w:hAnsi="Times New Roman" w:cs="Times New Roman"/>
        </w:rPr>
        <w:t>Grappi</w:t>
      </w:r>
      <w:proofErr w:type="spellEnd"/>
      <w:r>
        <w:rPr>
          <w:rFonts w:ascii="Times New Roman" w:eastAsia="Times New Roman" w:hAnsi="Times New Roman" w:cs="Times New Roman"/>
        </w:rPr>
        <w:t xml:space="preserve">, S., &amp; Bagozzi, R. P. (2016). Corporate socially responsible initiatives and their effects on consumption of green products. Journal of Business Ethics, 135, 253-264.  </w:t>
      </w:r>
    </w:p>
    <w:p w14:paraId="4A579111" w14:textId="77777777" w:rsidR="00487CB5" w:rsidRDefault="00487CB5">
      <w:pPr>
        <w:ind w:left="283" w:firstLine="283"/>
        <w:rPr>
          <w:rFonts w:ascii="Times New Roman" w:eastAsia="Times New Roman" w:hAnsi="Times New Roman" w:cs="Times New Roman"/>
        </w:rPr>
      </w:pPr>
    </w:p>
    <w:p w14:paraId="1C65090D"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Scanlan, S. J. (2017). Framing fracking: scale-shifting and greenwashing risk in the oil and gas industry. Local Environment, 22(11), 1311-1337. </w:t>
      </w:r>
      <w:hyperlink r:id="rId28">
        <w:r w:rsidR="00487CB5">
          <w:rPr>
            <w:rFonts w:ascii="Times New Roman" w:eastAsia="Times New Roman" w:hAnsi="Times New Roman" w:cs="Times New Roman"/>
            <w:color w:val="1155CC"/>
            <w:u w:val="single"/>
          </w:rPr>
          <w:t>https://doi.org/10.1080/13549839.2017.1345877</w:t>
        </w:r>
      </w:hyperlink>
    </w:p>
    <w:p w14:paraId="6B190353" w14:textId="77777777" w:rsidR="00487CB5" w:rsidRDefault="00487CB5">
      <w:pPr>
        <w:ind w:left="283" w:firstLine="283"/>
        <w:rPr>
          <w:rFonts w:ascii="Times New Roman" w:eastAsia="Times New Roman" w:hAnsi="Times New Roman" w:cs="Times New Roman"/>
        </w:rPr>
      </w:pPr>
    </w:p>
    <w:p w14:paraId="39A16B8F"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Seele, P., &amp; Gatti, L. (2017). Greenwashing revisited: In search of a typology and accusation‐based definition incorporating legitimacy strategies. Business strategy and the environment, 26(2), 239-252.  </w:t>
      </w:r>
      <w:hyperlink r:id="rId29">
        <w:r w:rsidR="00487CB5">
          <w:rPr>
            <w:rFonts w:ascii="Times New Roman" w:eastAsia="Times New Roman" w:hAnsi="Times New Roman" w:cs="Times New Roman"/>
            <w:color w:val="1155CC"/>
            <w:u w:val="single"/>
          </w:rPr>
          <w:t>https://doi.org/10.1002/bse.1912</w:t>
        </w:r>
      </w:hyperlink>
      <w:r>
        <w:rPr>
          <w:rFonts w:ascii="Times New Roman" w:eastAsia="Times New Roman" w:hAnsi="Times New Roman" w:cs="Times New Roman"/>
        </w:rPr>
        <w:t xml:space="preserve">  </w:t>
      </w:r>
    </w:p>
    <w:p w14:paraId="00A80FB7" w14:textId="77777777" w:rsidR="00487CB5" w:rsidRDefault="00487CB5">
      <w:pPr>
        <w:ind w:left="283" w:firstLine="283"/>
        <w:rPr>
          <w:rFonts w:ascii="Times New Roman" w:eastAsia="Times New Roman" w:hAnsi="Times New Roman" w:cs="Times New Roman"/>
        </w:rPr>
      </w:pPr>
    </w:p>
    <w:p w14:paraId="4A6F8CE3"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Shang, W., Zhu, R., Liu, W., &amp; Liu, Q. (2024, May 31). Understanding the influences on green purchase intention with moderation by Sustainability Awareness. MDPI. </w:t>
      </w:r>
      <w:r>
        <w:rPr>
          <w:rFonts w:ascii="Times New Roman" w:eastAsia="Times New Roman" w:hAnsi="Times New Roman" w:cs="Times New Roman"/>
          <w:color w:val="1155CC"/>
          <w:u w:val="single"/>
        </w:rPr>
        <w:t xml:space="preserve">https://www.mdpi.com/2071-1050/16/11/4688 </w:t>
      </w:r>
    </w:p>
    <w:p w14:paraId="347CBD27" w14:textId="77777777" w:rsidR="00487CB5" w:rsidRDefault="00487CB5">
      <w:pPr>
        <w:ind w:left="283" w:firstLine="283"/>
        <w:rPr>
          <w:rFonts w:ascii="Times New Roman" w:eastAsia="Times New Roman" w:hAnsi="Times New Roman" w:cs="Times New Roman"/>
        </w:rPr>
      </w:pPr>
    </w:p>
    <w:p w14:paraId="30715A8F"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Siano, A., Vollero, A., Conte, F., &amp; Amabile, S. (2017). “More than words”: Expanding the taxonomy of greenwashing after the Volkswagen scandal. Journal of business research, 71, 27-37. </w:t>
      </w:r>
      <w:hyperlink r:id="rId30">
        <w:r w:rsidR="00487CB5">
          <w:rPr>
            <w:rFonts w:ascii="Times New Roman" w:eastAsia="Times New Roman" w:hAnsi="Times New Roman" w:cs="Times New Roman"/>
            <w:color w:val="1155CC"/>
            <w:u w:val="single"/>
          </w:rPr>
          <w:t>https://doi.org/10.1016/j.jbusres.2016.11.002</w:t>
        </w:r>
      </w:hyperlink>
      <w:r>
        <w:rPr>
          <w:rFonts w:ascii="Times New Roman" w:eastAsia="Times New Roman" w:hAnsi="Times New Roman" w:cs="Times New Roman"/>
        </w:rPr>
        <w:t xml:space="preserve"> </w:t>
      </w:r>
    </w:p>
    <w:p w14:paraId="07ABEE2E" w14:textId="77777777" w:rsidR="00487CB5" w:rsidRDefault="00487CB5">
      <w:pPr>
        <w:ind w:left="283" w:firstLine="283"/>
        <w:rPr>
          <w:rFonts w:ascii="Times New Roman" w:eastAsia="Times New Roman" w:hAnsi="Times New Roman" w:cs="Times New Roman"/>
        </w:rPr>
      </w:pPr>
    </w:p>
    <w:p w14:paraId="69DD0019" w14:textId="6822A36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Solomon, M., (2004). Consumer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Buying, Having and Being, 6th Edition, FT Prentice Hall Upper Saddle River, N.J.  </w:t>
      </w:r>
    </w:p>
    <w:p w14:paraId="5E59B16C" w14:textId="77777777" w:rsidR="00487CB5" w:rsidRDefault="00487CB5">
      <w:pPr>
        <w:ind w:left="283" w:firstLine="283"/>
        <w:rPr>
          <w:rFonts w:ascii="Times New Roman" w:eastAsia="Times New Roman" w:hAnsi="Times New Roman" w:cs="Times New Roman"/>
        </w:rPr>
      </w:pPr>
    </w:p>
    <w:p w14:paraId="31F85D1E"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Stern, P. C., Dietz, T., Abel, T., </w:t>
      </w:r>
      <w:proofErr w:type="spellStart"/>
      <w:r>
        <w:rPr>
          <w:rFonts w:ascii="Times New Roman" w:eastAsia="Times New Roman" w:hAnsi="Times New Roman" w:cs="Times New Roman"/>
        </w:rPr>
        <w:t>Guagnano</w:t>
      </w:r>
      <w:proofErr w:type="spellEnd"/>
      <w:r>
        <w:rPr>
          <w:rFonts w:ascii="Times New Roman" w:eastAsia="Times New Roman" w:hAnsi="Times New Roman" w:cs="Times New Roman"/>
        </w:rPr>
        <w:t xml:space="preserve">, G. A., &amp; </w:t>
      </w:r>
      <w:proofErr w:type="spellStart"/>
      <w:r>
        <w:rPr>
          <w:rFonts w:ascii="Times New Roman" w:eastAsia="Times New Roman" w:hAnsi="Times New Roman" w:cs="Times New Roman"/>
        </w:rPr>
        <w:t>Kalof</w:t>
      </w:r>
      <w:proofErr w:type="spellEnd"/>
      <w:r>
        <w:rPr>
          <w:rFonts w:ascii="Times New Roman" w:eastAsia="Times New Roman" w:hAnsi="Times New Roman" w:cs="Times New Roman"/>
        </w:rPr>
        <w:t xml:space="preserve">, L. (1999). A value-belief-norm theory of support for social movements: The case of environmentalism. Human ecology review, 81-97. </w:t>
      </w:r>
      <w:hyperlink r:id="rId31">
        <w:r w:rsidR="00487CB5">
          <w:rPr>
            <w:rFonts w:ascii="Times New Roman" w:eastAsia="Times New Roman" w:hAnsi="Times New Roman" w:cs="Times New Roman"/>
            <w:color w:val="1155CC"/>
            <w:u w:val="single"/>
          </w:rPr>
          <w:t>https://www.jstor.org/stable/24707060</w:t>
        </w:r>
      </w:hyperlink>
      <w:r>
        <w:rPr>
          <w:rFonts w:ascii="Times New Roman" w:eastAsia="Times New Roman" w:hAnsi="Times New Roman" w:cs="Times New Roman"/>
        </w:rPr>
        <w:t xml:space="preserve"> </w:t>
      </w:r>
    </w:p>
    <w:p w14:paraId="20191C6B" w14:textId="77777777" w:rsidR="00487CB5" w:rsidRDefault="00487CB5">
      <w:pPr>
        <w:ind w:left="283" w:firstLine="283"/>
        <w:rPr>
          <w:rFonts w:ascii="Times New Roman" w:eastAsia="Times New Roman" w:hAnsi="Times New Roman" w:cs="Times New Roman"/>
        </w:rPr>
      </w:pPr>
    </w:p>
    <w:p w14:paraId="7E640A83" w14:textId="1E931DE9"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Taufique</w:t>
      </w:r>
      <w:proofErr w:type="spellEnd"/>
      <w:r>
        <w:rPr>
          <w:rFonts w:ascii="Times New Roman" w:eastAsia="Times New Roman" w:hAnsi="Times New Roman" w:cs="Times New Roman"/>
        </w:rPr>
        <w:t xml:space="preserve">, K. M. R., &amp; </w:t>
      </w:r>
      <w:proofErr w:type="spellStart"/>
      <w:r>
        <w:rPr>
          <w:rFonts w:ascii="Times New Roman" w:eastAsia="Times New Roman" w:hAnsi="Times New Roman" w:cs="Times New Roman"/>
        </w:rPr>
        <w:t>Vaithianathan</w:t>
      </w:r>
      <w:proofErr w:type="spellEnd"/>
      <w:r>
        <w:rPr>
          <w:rFonts w:ascii="Times New Roman" w:eastAsia="Times New Roman" w:hAnsi="Times New Roman" w:cs="Times New Roman"/>
        </w:rPr>
        <w:t xml:space="preserve">, S. (2018). A fresh look at understanding Green consumer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among young urban Indian consumers through the lens of Theory of Planned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Journal of cleaner production, 183, 46-55. </w:t>
      </w:r>
      <w:hyperlink r:id="rId32">
        <w:r w:rsidR="00487CB5">
          <w:rPr>
            <w:rFonts w:ascii="Times New Roman" w:eastAsia="Times New Roman" w:hAnsi="Times New Roman" w:cs="Times New Roman"/>
            <w:color w:val="1155CC"/>
            <w:u w:val="single"/>
          </w:rPr>
          <w:t>https://doi.org/10.1016/j.jclepro.2018.02.097</w:t>
        </w:r>
      </w:hyperlink>
      <w:r>
        <w:rPr>
          <w:rFonts w:ascii="Times New Roman" w:eastAsia="Times New Roman" w:hAnsi="Times New Roman" w:cs="Times New Roman"/>
        </w:rPr>
        <w:t xml:space="preserve">  </w:t>
      </w:r>
    </w:p>
    <w:p w14:paraId="5EF43508" w14:textId="77777777" w:rsidR="00487CB5" w:rsidRDefault="00487CB5">
      <w:pPr>
        <w:ind w:left="283" w:firstLine="283"/>
        <w:rPr>
          <w:rFonts w:ascii="Times New Roman" w:eastAsia="Times New Roman" w:hAnsi="Times New Roman" w:cs="Times New Roman"/>
        </w:rPr>
      </w:pPr>
    </w:p>
    <w:p w14:paraId="59A34E0B" w14:textId="77777777"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TerraChoice</w:t>
      </w:r>
      <w:proofErr w:type="spellEnd"/>
      <w:r>
        <w:rPr>
          <w:rFonts w:ascii="Times New Roman" w:eastAsia="Times New Roman" w:hAnsi="Times New Roman" w:cs="Times New Roman"/>
        </w:rPr>
        <w:t xml:space="preserve"> (2010) The sins of greenwashing: home and family edition. </w:t>
      </w:r>
      <w:hyperlink r:id="rId33">
        <w:r w:rsidR="00487CB5">
          <w:rPr>
            <w:rFonts w:ascii="Times New Roman" w:eastAsia="Times New Roman" w:hAnsi="Times New Roman" w:cs="Times New Roman"/>
            <w:color w:val="1155CC"/>
            <w:u w:val="single"/>
          </w:rPr>
          <w:t>http://sinsofgreenwashing.org/findings/the-seven-sins/</w:t>
        </w:r>
      </w:hyperlink>
    </w:p>
    <w:p w14:paraId="68F5E98A" w14:textId="77777777" w:rsidR="00487CB5" w:rsidRDefault="00487CB5">
      <w:pPr>
        <w:ind w:left="283" w:firstLine="283"/>
        <w:rPr>
          <w:rFonts w:ascii="Times New Roman" w:eastAsia="Times New Roman" w:hAnsi="Times New Roman" w:cs="Times New Roman"/>
        </w:rPr>
      </w:pPr>
    </w:p>
    <w:p w14:paraId="3D0D4267" w14:textId="0CEF4193"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Turaga, R. M. R., Howarth, R. B., &amp; Borsuk, M. E. (2010). Pro‐environmental </w:t>
      </w:r>
      <w:r w:rsidR="00EF084F">
        <w:rPr>
          <w:rFonts w:ascii="Times New Roman" w:eastAsia="Times New Roman" w:hAnsi="Times New Roman" w:cs="Times New Roman"/>
        </w:rPr>
        <w:t xml:space="preserve"> behaviour</w:t>
      </w:r>
      <w:r>
        <w:rPr>
          <w:rFonts w:ascii="Times New Roman" w:eastAsia="Times New Roman" w:hAnsi="Times New Roman" w:cs="Times New Roman"/>
        </w:rPr>
        <w:t xml:space="preserve">: Rational choice meets moral motivation. Annals of the New York Academy of Sciences, 1185(1), 211-224. </w:t>
      </w:r>
      <w:hyperlink r:id="rId34">
        <w:r w:rsidR="00487CB5">
          <w:rPr>
            <w:rFonts w:ascii="Times New Roman" w:eastAsia="Times New Roman" w:hAnsi="Times New Roman" w:cs="Times New Roman"/>
            <w:color w:val="1155CC"/>
            <w:u w:val="single"/>
          </w:rPr>
          <w:t>https://nyaspubs.onlinelibrary.wiley.com/doi/abs/10.1111/j.1749-6632.2009.05163.x</w:t>
        </w:r>
      </w:hyperlink>
      <w:r>
        <w:rPr>
          <w:rFonts w:ascii="Times New Roman" w:eastAsia="Times New Roman" w:hAnsi="Times New Roman" w:cs="Times New Roman"/>
        </w:rPr>
        <w:t xml:space="preserve"> </w:t>
      </w:r>
    </w:p>
    <w:p w14:paraId="40B93924" w14:textId="77777777" w:rsidR="00487CB5" w:rsidRDefault="00487CB5">
      <w:pPr>
        <w:ind w:left="283" w:firstLine="283"/>
        <w:rPr>
          <w:rFonts w:ascii="Times New Roman" w:eastAsia="Times New Roman" w:hAnsi="Times New Roman" w:cs="Times New Roman"/>
        </w:rPr>
      </w:pPr>
    </w:p>
    <w:p w14:paraId="1CD1FE1C"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Zinkhan, G. M., &amp; Carlson, L. (1995). Green advertising and the reluctant consumer. Journal of advertising, 24(2), 1-6. </w:t>
      </w:r>
      <w:hyperlink r:id="rId35">
        <w:r w:rsidR="00487CB5">
          <w:rPr>
            <w:rFonts w:ascii="Times New Roman" w:eastAsia="Times New Roman" w:hAnsi="Times New Roman" w:cs="Times New Roman"/>
            <w:color w:val="1155CC"/>
            <w:u w:val="single"/>
          </w:rPr>
          <w:t>https://doi.org/10.1080/00913367.1995.10673471</w:t>
        </w:r>
      </w:hyperlink>
      <w:r>
        <w:rPr>
          <w:rFonts w:ascii="Times New Roman" w:eastAsia="Times New Roman" w:hAnsi="Times New Roman" w:cs="Times New Roman"/>
        </w:rPr>
        <w:t xml:space="preserve">  </w:t>
      </w:r>
    </w:p>
    <w:p w14:paraId="3F0E3E74" w14:textId="77777777" w:rsidR="00487CB5" w:rsidRDefault="00487CB5">
      <w:pPr>
        <w:rPr>
          <w:rFonts w:ascii="Times New Roman" w:eastAsia="Times New Roman" w:hAnsi="Times New Roman" w:cs="Times New Roman"/>
        </w:rPr>
      </w:pPr>
    </w:p>
    <w:p w14:paraId="33F0FEFF" w14:textId="67B52A9E" w:rsidR="002B62DD" w:rsidRDefault="002B62DD" w:rsidP="002B62DD">
      <w:pPr>
        <w:rPr>
          <w:rFonts w:ascii="Times New Roman" w:eastAsia="Times New Roman" w:hAnsi="Times New Roman" w:cs="Times New Roman"/>
        </w:rPr>
      </w:pPr>
      <w:r w:rsidRPr="002B62DD">
        <w:rPr>
          <w:rFonts w:ascii="Times New Roman" w:eastAsia="Times New Roman" w:hAnsi="Times New Roman" w:cs="Times New Roman"/>
        </w:rPr>
        <w:t xml:space="preserve">Albayrak, T., Caber, M., Moutinho, L., &amp; Herstein, R. (2011). The influence of </w:t>
      </w:r>
      <w:r w:rsidR="00D178DA">
        <w:rPr>
          <w:rFonts w:ascii="Times New Roman" w:eastAsia="Times New Roman" w:hAnsi="Times New Roman" w:cs="Times New Roman"/>
        </w:rPr>
        <w:t>scepticism</w:t>
      </w:r>
      <w:r w:rsidRPr="002B62DD">
        <w:rPr>
          <w:rFonts w:ascii="Times New Roman" w:eastAsia="Times New Roman" w:hAnsi="Times New Roman" w:cs="Times New Roman"/>
        </w:rPr>
        <w:t xml:space="preserve"> on green purchase </w:t>
      </w:r>
      <w:r w:rsidR="00EF084F">
        <w:rPr>
          <w:rFonts w:ascii="Times New Roman" w:eastAsia="Times New Roman" w:hAnsi="Times New Roman" w:cs="Times New Roman"/>
        </w:rPr>
        <w:t xml:space="preserve"> behaviour</w:t>
      </w:r>
      <w:r w:rsidRPr="002B62DD">
        <w:rPr>
          <w:rFonts w:ascii="Times New Roman" w:eastAsia="Times New Roman" w:hAnsi="Times New Roman" w:cs="Times New Roman"/>
        </w:rPr>
        <w:t>. International Journal of Business and Social Science, 2(13), 189-197.</w:t>
      </w:r>
    </w:p>
    <w:p w14:paraId="3398DAD0" w14:textId="77777777" w:rsidR="002B62DD" w:rsidRPr="002B62DD" w:rsidRDefault="002B62DD" w:rsidP="002B62DD">
      <w:pPr>
        <w:rPr>
          <w:rFonts w:ascii="Times New Roman" w:eastAsia="Times New Roman" w:hAnsi="Times New Roman" w:cs="Times New Roman"/>
        </w:rPr>
      </w:pPr>
    </w:p>
    <w:p w14:paraId="207ED085" w14:textId="2C30CEC9" w:rsidR="00487CB5" w:rsidRDefault="002B62DD" w:rsidP="002B62DD">
      <w:pPr>
        <w:rPr>
          <w:rFonts w:ascii="Times New Roman" w:eastAsia="Times New Roman" w:hAnsi="Times New Roman" w:cs="Times New Roman"/>
        </w:rPr>
      </w:pPr>
      <w:proofErr w:type="spellStart"/>
      <w:r w:rsidRPr="002B62DD">
        <w:rPr>
          <w:rFonts w:ascii="Times New Roman" w:eastAsia="Times New Roman" w:hAnsi="Times New Roman" w:cs="Times New Roman"/>
        </w:rPr>
        <w:t>Kreczmańska-Gigol</w:t>
      </w:r>
      <w:proofErr w:type="spellEnd"/>
      <w:r w:rsidRPr="002B62DD">
        <w:rPr>
          <w:rFonts w:ascii="Times New Roman" w:eastAsia="Times New Roman" w:hAnsi="Times New Roman" w:cs="Times New Roman"/>
        </w:rPr>
        <w:t xml:space="preserve">, K., &amp; </w:t>
      </w:r>
      <w:proofErr w:type="spellStart"/>
      <w:r w:rsidRPr="002B62DD">
        <w:rPr>
          <w:rFonts w:ascii="Times New Roman" w:eastAsia="Times New Roman" w:hAnsi="Times New Roman" w:cs="Times New Roman"/>
        </w:rPr>
        <w:t>Gigol</w:t>
      </w:r>
      <w:proofErr w:type="spellEnd"/>
      <w:r w:rsidRPr="002B62DD">
        <w:rPr>
          <w:rFonts w:ascii="Times New Roman" w:eastAsia="Times New Roman" w:hAnsi="Times New Roman" w:cs="Times New Roman"/>
        </w:rPr>
        <w:t xml:space="preserve">, T. (2022). The impact of consumers’ green </w:t>
      </w:r>
      <w:r w:rsidR="00D178DA">
        <w:rPr>
          <w:rFonts w:ascii="Times New Roman" w:eastAsia="Times New Roman" w:hAnsi="Times New Roman" w:cs="Times New Roman"/>
        </w:rPr>
        <w:t>scepticism</w:t>
      </w:r>
      <w:r w:rsidRPr="002B62DD">
        <w:rPr>
          <w:rFonts w:ascii="Times New Roman" w:eastAsia="Times New Roman" w:hAnsi="Times New Roman" w:cs="Times New Roman"/>
        </w:rPr>
        <w:t xml:space="preserve"> on the purchase of energy-efficient and environmentally friendly products. Energies, 15(6), 2077.</w:t>
      </w:r>
    </w:p>
    <w:p w14:paraId="5FBB40F2" w14:textId="77777777" w:rsidR="00527BE7" w:rsidRDefault="00527BE7" w:rsidP="002B62DD">
      <w:pPr>
        <w:rPr>
          <w:rFonts w:ascii="Times New Roman" w:eastAsia="Times New Roman" w:hAnsi="Times New Roman" w:cs="Times New Roman"/>
        </w:rPr>
      </w:pPr>
    </w:p>
    <w:p w14:paraId="71940441" w14:textId="429232AD" w:rsidR="00527BE7" w:rsidRDefault="00527BE7" w:rsidP="002B62DD">
      <w:pPr>
        <w:rPr>
          <w:rFonts w:ascii="Times New Roman" w:eastAsia="Times New Roman" w:hAnsi="Times New Roman" w:cs="Times New Roman"/>
        </w:rPr>
      </w:pPr>
      <w:proofErr w:type="spellStart"/>
      <w:r w:rsidRPr="00527BE7">
        <w:rPr>
          <w:rFonts w:ascii="Times New Roman" w:eastAsia="Times New Roman" w:hAnsi="Times New Roman" w:cs="Times New Roman"/>
          <w:highlight w:val="yellow"/>
        </w:rPr>
        <w:t>Syadzwina</w:t>
      </w:r>
      <w:proofErr w:type="spellEnd"/>
      <w:r w:rsidRPr="00527BE7">
        <w:rPr>
          <w:rFonts w:ascii="Times New Roman" w:eastAsia="Times New Roman" w:hAnsi="Times New Roman" w:cs="Times New Roman"/>
          <w:highlight w:val="yellow"/>
        </w:rPr>
        <w:t xml:space="preserve">, M. N., &amp; Astuti, R. D. (2021, March). Linking green </w:t>
      </w:r>
      <w:r w:rsidR="00D178DA">
        <w:rPr>
          <w:rFonts w:ascii="Times New Roman" w:eastAsia="Times New Roman" w:hAnsi="Times New Roman" w:cs="Times New Roman"/>
          <w:highlight w:val="yellow"/>
        </w:rPr>
        <w:t>scepticism</w:t>
      </w:r>
      <w:r w:rsidRPr="00527BE7">
        <w:rPr>
          <w:rFonts w:ascii="Times New Roman" w:eastAsia="Times New Roman" w:hAnsi="Times New Roman" w:cs="Times New Roman"/>
          <w:highlight w:val="yellow"/>
        </w:rPr>
        <w:t xml:space="preserve"> to green purchase </w:t>
      </w:r>
      <w:r w:rsidR="00EF084F">
        <w:rPr>
          <w:rFonts w:ascii="Times New Roman" w:eastAsia="Times New Roman" w:hAnsi="Times New Roman" w:cs="Times New Roman"/>
          <w:highlight w:val="yellow"/>
        </w:rPr>
        <w:t xml:space="preserve"> behaviour</w:t>
      </w:r>
      <w:r w:rsidRPr="00527BE7">
        <w:rPr>
          <w:rFonts w:ascii="Times New Roman" w:eastAsia="Times New Roman" w:hAnsi="Times New Roman" w:cs="Times New Roman"/>
          <w:highlight w:val="yellow"/>
        </w:rPr>
        <w:t xml:space="preserve"> on personal care products in Indonesia. In IOP Conference Series: Earth and Environmental Science (Vol. 716, No. 1, p. 012045). IOP Publishing.</w:t>
      </w:r>
      <w:r>
        <w:rPr>
          <w:rFonts w:ascii="Times New Roman" w:eastAsia="Times New Roman" w:hAnsi="Times New Roman" w:cs="Times New Roman"/>
        </w:rPr>
        <w:t xml:space="preserve"> </w:t>
      </w:r>
    </w:p>
    <w:p w14:paraId="140C5FBC" w14:textId="77777777" w:rsidR="00D57AD6" w:rsidRDefault="00D57AD6" w:rsidP="002B62DD">
      <w:pPr>
        <w:rPr>
          <w:rFonts w:ascii="Times New Roman" w:eastAsia="Times New Roman" w:hAnsi="Times New Roman" w:cs="Times New Roman"/>
        </w:rPr>
      </w:pPr>
    </w:p>
    <w:p w14:paraId="12307C36" w14:textId="220F665B" w:rsidR="00D57AD6" w:rsidRPr="002546F8" w:rsidRDefault="00D57AD6" w:rsidP="002B62DD">
      <w:pPr>
        <w:rPr>
          <w:rFonts w:ascii="Times New Roman" w:eastAsia="Times New Roman" w:hAnsi="Times New Roman" w:cs="Times New Roman"/>
          <w:highlight w:val="yellow"/>
        </w:rPr>
      </w:pPr>
      <w:r w:rsidRPr="002546F8">
        <w:rPr>
          <w:rFonts w:ascii="Times New Roman" w:eastAsia="Times New Roman" w:hAnsi="Times New Roman" w:cs="Times New Roman"/>
          <w:highlight w:val="yellow"/>
        </w:rPr>
        <w:t>González-Rodríguez, M. R., Díaz-Fernández, M. C., &amp; Font, X. (2020). Factors influencing willingness of customers of environmentally friendly hotels to pay a price premium. International Journal of Contemporary Hospitality Management, 32(1), 60–80.</w:t>
      </w:r>
    </w:p>
    <w:p w14:paraId="67F6ACDC" w14:textId="77777777" w:rsidR="005220FA" w:rsidRPr="002546F8" w:rsidRDefault="005220FA" w:rsidP="002B62DD">
      <w:pPr>
        <w:rPr>
          <w:rFonts w:ascii="Times New Roman" w:eastAsia="Times New Roman" w:hAnsi="Times New Roman" w:cs="Times New Roman"/>
          <w:highlight w:val="yellow"/>
        </w:rPr>
      </w:pPr>
    </w:p>
    <w:p w14:paraId="5DD39197" w14:textId="605B4B2E" w:rsidR="005220FA" w:rsidRPr="002546F8" w:rsidRDefault="005220FA" w:rsidP="002B62DD">
      <w:pPr>
        <w:rPr>
          <w:rFonts w:ascii="Times New Roman" w:eastAsia="Times New Roman" w:hAnsi="Times New Roman" w:cs="Times New Roman"/>
          <w:highlight w:val="yellow"/>
        </w:rPr>
      </w:pPr>
      <w:proofErr w:type="spellStart"/>
      <w:r w:rsidRPr="002546F8">
        <w:rPr>
          <w:rFonts w:ascii="Times New Roman" w:eastAsia="Times New Roman" w:hAnsi="Times New Roman" w:cs="Times New Roman"/>
          <w:highlight w:val="yellow"/>
        </w:rPr>
        <w:t>Moisander</w:t>
      </w:r>
      <w:proofErr w:type="spellEnd"/>
      <w:r w:rsidRPr="002546F8">
        <w:rPr>
          <w:rFonts w:ascii="Times New Roman" w:eastAsia="Times New Roman" w:hAnsi="Times New Roman" w:cs="Times New Roman"/>
          <w:highlight w:val="yellow"/>
        </w:rPr>
        <w:t>, J. (2007). Motivational complexity of green consumerism. International journal of consumer studies, 31(4), 404-409.</w:t>
      </w:r>
    </w:p>
    <w:p w14:paraId="4CD61867" w14:textId="77777777" w:rsidR="0071543B" w:rsidRPr="002546F8" w:rsidRDefault="0071543B" w:rsidP="002B62DD">
      <w:pPr>
        <w:rPr>
          <w:rFonts w:ascii="Times New Roman" w:eastAsia="Times New Roman" w:hAnsi="Times New Roman" w:cs="Times New Roman"/>
          <w:highlight w:val="yellow"/>
        </w:rPr>
      </w:pPr>
    </w:p>
    <w:p w14:paraId="6E05B2E1" w14:textId="2BF47240" w:rsidR="0071543B" w:rsidRPr="002546F8" w:rsidRDefault="0071543B" w:rsidP="002B62DD">
      <w:pPr>
        <w:rPr>
          <w:rFonts w:ascii="Times New Roman" w:eastAsia="Times New Roman" w:hAnsi="Times New Roman" w:cs="Times New Roman"/>
          <w:highlight w:val="yellow"/>
        </w:rPr>
      </w:pPr>
      <w:r w:rsidRPr="002546F8">
        <w:rPr>
          <w:rFonts w:ascii="Times New Roman" w:eastAsia="Times New Roman" w:hAnsi="Times New Roman" w:cs="Times New Roman"/>
          <w:highlight w:val="yellow"/>
        </w:rPr>
        <w:t>Ritter, Á. M., Borchardt, M., Vaccaro, G. L., Pereira, G. M., &amp; Almeida, F. (2015). Motivations for promoting the consumption of green products in an emerging country: exploring attitudes of Brazilian consumers. Journal of Cleaner Production, 106, 507-520.</w:t>
      </w:r>
    </w:p>
    <w:p w14:paraId="75060B30" w14:textId="77777777" w:rsidR="0071543B" w:rsidRPr="002546F8" w:rsidRDefault="0071543B" w:rsidP="002B62DD">
      <w:pPr>
        <w:rPr>
          <w:rFonts w:ascii="Times New Roman" w:eastAsia="Times New Roman" w:hAnsi="Times New Roman" w:cs="Times New Roman"/>
          <w:highlight w:val="yellow"/>
        </w:rPr>
      </w:pPr>
    </w:p>
    <w:p w14:paraId="082E4837" w14:textId="5475091E" w:rsidR="0071543B" w:rsidRDefault="0071543B" w:rsidP="002B62DD">
      <w:pPr>
        <w:rPr>
          <w:rFonts w:ascii="Times New Roman" w:eastAsia="Times New Roman" w:hAnsi="Times New Roman" w:cs="Times New Roman"/>
        </w:rPr>
      </w:pPr>
      <w:r w:rsidRPr="002546F8">
        <w:rPr>
          <w:rFonts w:ascii="Times New Roman" w:eastAsia="Times New Roman" w:hAnsi="Times New Roman" w:cs="Times New Roman"/>
          <w:highlight w:val="yellow"/>
        </w:rPr>
        <w:t xml:space="preserve">Testa, F., </w:t>
      </w:r>
      <w:proofErr w:type="spellStart"/>
      <w:r w:rsidRPr="002546F8">
        <w:rPr>
          <w:rFonts w:ascii="Times New Roman" w:eastAsia="Times New Roman" w:hAnsi="Times New Roman" w:cs="Times New Roman"/>
          <w:highlight w:val="yellow"/>
        </w:rPr>
        <w:t>Pretner</w:t>
      </w:r>
      <w:proofErr w:type="spellEnd"/>
      <w:r w:rsidRPr="002546F8">
        <w:rPr>
          <w:rFonts w:ascii="Times New Roman" w:eastAsia="Times New Roman" w:hAnsi="Times New Roman" w:cs="Times New Roman"/>
          <w:highlight w:val="yellow"/>
        </w:rPr>
        <w:t xml:space="preserve">, G., Iovino, R., Bianchi, G., Tessitore, S., &amp; </w:t>
      </w:r>
      <w:proofErr w:type="spellStart"/>
      <w:r w:rsidRPr="002546F8">
        <w:rPr>
          <w:rFonts w:ascii="Times New Roman" w:eastAsia="Times New Roman" w:hAnsi="Times New Roman" w:cs="Times New Roman"/>
          <w:highlight w:val="yellow"/>
        </w:rPr>
        <w:t>Iraldo</w:t>
      </w:r>
      <w:proofErr w:type="spellEnd"/>
      <w:r w:rsidRPr="002546F8">
        <w:rPr>
          <w:rFonts w:ascii="Times New Roman" w:eastAsia="Times New Roman" w:hAnsi="Times New Roman" w:cs="Times New Roman"/>
          <w:highlight w:val="yellow"/>
        </w:rPr>
        <w:t>, F. (2021). Drivers to green consumption: A systematic review. Environment, development and sustainability, 23, 4826-4880.</w:t>
      </w:r>
    </w:p>
    <w:p w14:paraId="642FA924" w14:textId="77777777" w:rsidR="005220FA" w:rsidRDefault="005220FA" w:rsidP="002B62DD">
      <w:pPr>
        <w:rPr>
          <w:rFonts w:ascii="Times New Roman" w:eastAsia="Times New Roman" w:hAnsi="Times New Roman" w:cs="Times New Roman"/>
        </w:rPr>
      </w:pPr>
    </w:p>
    <w:p w14:paraId="0A656A51" w14:textId="7DAF00CB" w:rsidR="000F0C81" w:rsidRDefault="000F0C81" w:rsidP="002B62DD">
      <w:pPr>
        <w:rPr>
          <w:rFonts w:ascii="Times New Roman" w:eastAsia="Times New Roman" w:hAnsi="Times New Roman" w:cs="Times New Roman"/>
        </w:rPr>
      </w:pPr>
      <w:r w:rsidRPr="000F0C81">
        <w:rPr>
          <w:rFonts w:ascii="Times New Roman" w:eastAsia="Times New Roman" w:hAnsi="Times New Roman" w:cs="Times New Roman"/>
          <w:highlight w:val="yellow"/>
        </w:rPr>
        <w:t xml:space="preserve">Irianto, H. (2015). Consumers' attitude and intention towards organic food purchase: An extension of theory of planned </w:t>
      </w:r>
      <w:r w:rsidR="00EF084F">
        <w:rPr>
          <w:rFonts w:ascii="Times New Roman" w:eastAsia="Times New Roman" w:hAnsi="Times New Roman" w:cs="Times New Roman"/>
          <w:highlight w:val="yellow"/>
        </w:rPr>
        <w:t xml:space="preserve"> behaviour</w:t>
      </w:r>
      <w:r w:rsidRPr="000F0C81">
        <w:rPr>
          <w:rFonts w:ascii="Times New Roman" w:eastAsia="Times New Roman" w:hAnsi="Times New Roman" w:cs="Times New Roman"/>
          <w:highlight w:val="yellow"/>
        </w:rPr>
        <w:t xml:space="preserve"> in gender perspective. International journal of management, economics and social sciences, 4(1), 17-31.</w:t>
      </w:r>
    </w:p>
    <w:sectPr w:rsidR="000F0C81">
      <w:headerReference w:type="even" r:id="rId36"/>
      <w:headerReference w:type="default" r:id="rId37"/>
      <w:footerReference w:type="even" r:id="rId38"/>
      <w:footerReference w:type="default" r:id="rId39"/>
      <w:headerReference w:type="first" r:id="rId40"/>
      <w:footerReference w:type="first" r:id="rId4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3A9CB" w14:textId="77777777" w:rsidR="00557AA2" w:rsidRDefault="00557AA2" w:rsidP="00BA4FBE">
      <w:pPr>
        <w:spacing w:line="240" w:lineRule="auto"/>
      </w:pPr>
      <w:r>
        <w:separator/>
      </w:r>
    </w:p>
  </w:endnote>
  <w:endnote w:type="continuationSeparator" w:id="0">
    <w:p w14:paraId="3754EC06" w14:textId="77777777" w:rsidR="00557AA2" w:rsidRDefault="00557AA2" w:rsidP="00BA4F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698928DF-C095-4388-AC35-749B3CF06ABA}"/>
  </w:font>
  <w:font w:name="Calibri">
    <w:panose1 w:val="020F0502020204030204"/>
    <w:charset w:val="00"/>
    <w:family w:val="swiss"/>
    <w:pitch w:val="variable"/>
    <w:sig w:usb0="E4002EFF" w:usb1="C000247B" w:usb2="00000009" w:usb3="00000000" w:csb0="000001FF" w:csb1="00000000"/>
    <w:embedRegular r:id="rId2" w:fontKey="{ACB53FA0-E703-4397-BB35-1F6C50D95923}"/>
  </w:font>
  <w:font w:name="Cambria">
    <w:panose1 w:val="02040503050406030204"/>
    <w:charset w:val="00"/>
    <w:family w:val="roman"/>
    <w:pitch w:val="variable"/>
    <w:sig w:usb0="E00006FF" w:usb1="420024FF" w:usb2="02000000" w:usb3="00000000" w:csb0="0000019F" w:csb1="00000000"/>
    <w:embedRegular r:id="rId3" w:fontKey="{00869A84-19E3-46F4-9FE8-F681CE1844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9AF5" w14:textId="77777777" w:rsidR="00BA4FBE" w:rsidRDefault="00BA4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10E1" w14:textId="77777777" w:rsidR="00BA4FBE" w:rsidRDefault="00BA4F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C94EF" w14:textId="77777777" w:rsidR="00BA4FBE" w:rsidRDefault="00BA4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E704B" w14:textId="77777777" w:rsidR="00557AA2" w:rsidRDefault="00557AA2" w:rsidP="00BA4FBE">
      <w:pPr>
        <w:spacing w:line="240" w:lineRule="auto"/>
      </w:pPr>
      <w:r>
        <w:separator/>
      </w:r>
    </w:p>
  </w:footnote>
  <w:footnote w:type="continuationSeparator" w:id="0">
    <w:p w14:paraId="255BD798" w14:textId="77777777" w:rsidR="00557AA2" w:rsidRDefault="00557AA2" w:rsidP="00BA4F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223A" w14:textId="16C1DC33" w:rsidR="00BA4FBE" w:rsidRDefault="00000000">
    <w:pPr>
      <w:pStyle w:val="Header"/>
    </w:pPr>
    <w:r>
      <w:rPr>
        <w:noProof/>
      </w:rPr>
      <w:pict w14:anchorId="0E7E1A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697360"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66E0" w14:textId="2DBE78EE" w:rsidR="00BA4FBE" w:rsidRDefault="00000000">
    <w:pPr>
      <w:pStyle w:val="Header"/>
    </w:pPr>
    <w:r>
      <w:rPr>
        <w:noProof/>
      </w:rPr>
      <w:pict w14:anchorId="2CC21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697361" o:spid="_x0000_s1027"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E2B0E" w14:textId="09F74FC7" w:rsidR="00BA4FBE" w:rsidRDefault="00000000">
    <w:pPr>
      <w:pStyle w:val="Header"/>
    </w:pPr>
    <w:r>
      <w:rPr>
        <w:noProof/>
      </w:rPr>
      <w:pict w14:anchorId="5D75C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697359"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7EF3"/>
    <w:multiLevelType w:val="multilevel"/>
    <w:tmpl w:val="1FDED270"/>
    <w:lvl w:ilvl="0">
      <w:start w:val="1"/>
      <w:numFmt w:val="lowerLetter"/>
      <w:lvlText w:val="%1)"/>
      <w:lvlJc w:val="left"/>
      <w:pPr>
        <w:ind w:left="3040" w:hanging="119"/>
      </w:pPr>
      <w:rPr>
        <w:u w:val="none"/>
      </w:rPr>
    </w:lvl>
    <w:lvl w:ilvl="1">
      <w:numFmt w:val="bullet"/>
      <w:lvlText w:val="•"/>
      <w:lvlJc w:val="left"/>
      <w:pPr>
        <w:ind w:left="3692" w:hanging="119"/>
      </w:pPr>
      <w:rPr>
        <w:u w:val="none"/>
      </w:rPr>
    </w:lvl>
    <w:lvl w:ilvl="2">
      <w:numFmt w:val="bullet"/>
      <w:lvlText w:val="•"/>
      <w:lvlJc w:val="left"/>
      <w:pPr>
        <w:ind w:left="4344" w:hanging="119"/>
      </w:pPr>
      <w:rPr>
        <w:u w:val="none"/>
      </w:rPr>
    </w:lvl>
    <w:lvl w:ilvl="3">
      <w:numFmt w:val="bullet"/>
      <w:lvlText w:val="•"/>
      <w:lvlJc w:val="left"/>
      <w:pPr>
        <w:ind w:left="4996" w:hanging="119"/>
      </w:pPr>
      <w:rPr>
        <w:u w:val="none"/>
      </w:rPr>
    </w:lvl>
    <w:lvl w:ilvl="4">
      <w:numFmt w:val="bullet"/>
      <w:lvlText w:val="•"/>
      <w:lvlJc w:val="left"/>
      <w:pPr>
        <w:ind w:left="5648" w:hanging="119"/>
      </w:pPr>
      <w:rPr>
        <w:u w:val="none"/>
      </w:rPr>
    </w:lvl>
    <w:lvl w:ilvl="5">
      <w:numFmt w:val="bullet"/>
      <w:lvlText w:val="•"/>
      <w:lvlJc w:val="left"/>
      <w:pPr>
        <w:ind w:left="6300" w:hanging="119"/>
      </w:pPr>
      <w:rPr>
        <w:u w:val="none"/>
      </w:rPr>
    </w:lvl>
    <w:lvl w:ilvl="6">
      <w:numFmt w:val="bullet"/>
      <w:lvlText w:val="•"/>
      <w:lvlJc w:val="left"/>
      <w:pPr>
        <w:ind w:left="6952" w:hanging="118"/>
      </w:pPr>
      <w:rPr>
        <w:u w:val="none"/>
      </w:rPr>
    </w:lvl>
    <w:lvl w:ilvl="7">
      <w:numFmt w:val="bullet"/>
      <w:lvlText w:val="•"/>
      <w:lvlJc w:val="left"/>
      <w:pPr>
        <w:ind w:left="7604" w:hanging="119"/>
      </w:pPr>
      <w:rPr>
        <w:u w:val="none"/>
      </w:rPr>
    </w:lvl>
    <w:lvl w:ilvl="8">
      <w:numFmt w:val="bullet"/>
      <w:lvlText w:val="•"/>
      <w:lvlJc w:val="left"/>
      <w:pPr>
        <w:ind w:left="8256" w:hanging="119"/>
      </w:pPr>
      <w:rPr>
        <w:u w:val="none"/>
      </w:rPr>
    </w:lvl>
  </w:abstractNum>
  <w:abstractNum w:abstractNumId="1" w15:restartNumberingAfterBreak="0">
    <w:nsid w:val="026C1F7D"/>
    <w:multiLevelType w:val="multilevel"/>
    <w:tmpl w:val="4C04C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B1687"/>
    <w:multiLevelType w:val="multilevel"/>
    <w:tmpl w:val="C6FAD7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CE4C97"/>
    <w:multiLevelType w:val="multilevel"/>
    <w:tmpl w:val="FB409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2F5A92"/>
    <w:multiLevelType w:val="multilevel"/>
    <w:tmpl w:val="C908E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3F40965"/>
    <w:multiLevelType w:val="multilevel"/>
    <w:tmpl w:val="292CEA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68372381">
    <w:abstractNumId w:val="5"/>
  </w:num>
  <w:num w:numId="2" w16cid:durableId="1498306403">
    <w:abstractNumId w:val="4"/>
  </w:num>
  <w:num w:numId="3" w16cid:durableId="1283729127">
    <w:abstractNumId w:val="0"/>
  </w:num>
  <w:num w:numId="4" w16cid:durableId="1140149624">
    <w:abstractNumId w:val="3"/>
  </w:num>
  <w:num w:numId="5" w16cid:durableId="1122530839">
    <w:abstractNumId w:val="2"/>
  </w:num>
  <w:num w:numId="6" w16cid:durableId="836305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0MbcwNjIxNbcwMjBU0lEKTi0uzszPAykwrgUAGmiV/iwAAAA="/>
  </w:docVars>
  <w:rsids>
    <w:rsidRoot w:val="00487CB5"/>
    <w:rsid w:val="00024CDC"/>
    <w:rsid w:val="000A4A3A"/>
    <w:rsid w:val="000E65D7"/>
    <w:rsid w:val="000F0C81"/>
    <w:rsid w:val="00161702"/>
    <w:rsid w:val="00215E7F"/>
    <w:rsid w:val="00240A1B"/>
    <w:rsid w:val="002546F8"/>
    <w:rsid w:val="002B62DD"/>
    <w:rsid w:val="002D4413"/>
    <w:rsid w:val="002D6438"/>
    <w:rsid w:val="00421D20"/>
    <w:rsid w:val="00443A51"/>
    <w:rsid w:val="00487CB5"/>
    <w:rsid w:val="005220FA"/>
    <w:rsid w:val="00527BE7"/>
    <w:rsid w:val="00557AA2"/>
    <w:rsid w:val="00573EB0"/>
    <w:rsid w:val="006133FA"/>
    <w:rsid w:val="006218F9"/>
    <w:rsid w:val="00631966"/>
    <w:rsid w:val="00660AD2"/>
    <w:rsid w:val="006740D8"/>
    <w:rsid w:val="00676E73"/>
    <w:rsid w:val="006B5346"/>
    <w:rsid w:val="007018F0"/>
    <w:rsid w:val="007136D9"/>
    <w:rsid w:val="0071543B"/>
    <w:rsid w:val="00761ACB"/>
    <w:rsid w:val="007F1FBA"/>
    <w:rsid w:val="00806D74"/>
    <w:rsid w:val="008D62E4"/>
    <w:rsid w:val="00912193"/>
    <w:rsid w:val="00917A4C"/>
    <w:rsid w:val="009328BF"/>
    <w:rsid w:val="009668D8"/>
    <w:rsid w:val="00976ADA"/>
    <w:rsid w:val="009849EE"/>
    <w:rsid w:val="009B6419"/>
    <w:rsid w:val="00A2218F"/>
    <w:rsid w:val="00A76871"/>
    <w:rsid w:val="00AA15F9"/>
    <w:rsid w:val="00AB25C5"/>
    <w:rsid w:val="00B04393"/>
    <w:rsid w:val="00B0520F"/>
    <w:rsid w:val="00B16A5C"/>
    <w:rsid w:val="00BA4FBE"/>
    <w:rsid w:val="00BA6976"/>
    <w:rsid w:val="00C0470B"/>
    <w:rsid w:val="00C26C23"/>
    <w:rsid w:val="00C7387A"/>
    <w:rsid w:val="00C94FB6"/>
    <w:rsid w:val="00CD0DCB"/>
    <w:rsid w:val="00D178DA"/>
    <w:rsid w:val="00D57AD6"/>
    <w:rsid w:val="00D7130E"/>
    <w:rsid w:val="00D9230E"/>
    <w:rsid w:val="00DA38FE"/>
    <w:rsid w:val="00DB7FD8"/>
    <w:rsid w:val="00E31BF2"/>
    <w:rsid w:val="00E6436A"/>
    <w:rsid w:val="00E84C5E"/>
    <w:rsid w:val="00EF084F"/>
    <w:rsid w:val="00F4784E"/>
    <w:rsid w:val="00FB0AA7"/>
    <w:rsid w:val="00FC44B6"/>
    <w:rsid w:val="00FE7E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939727"/>
  <w15:docId w15:val="{1779FBE0-98C9-4884-B263-5EE35EA9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C94FB6"/>
    <w:pPr>
      <w:ind w:left="720"/>
      <w:contextualSpacing/>
    </w:pPr>
  </w:style>
  <w:style w:type="paragraph" w:styleId="Header">
    <w:name w:val="header"/>
    <w:basedOn w:val="Normal"/>
    <w:link w:val="HeaderChar"/>
    <w:uiPriority w:val="99"/>
    <w:unhideWhenUsed/>
    <w:rsid w:val="00BA4FBE"/>
    <w:pPr>
      <w:tabs>
        <w:tab w:val="center" w:pos="4680"/>
        <w:tab w:val="right" w:pos="9360"/>
      </w:tabs>
      <w:spacing w:line="240" w:lineRule="auto"/>
    </w:pPr>
  </w:style>
  <w:style w:type="character" w:customStyle="1" w:styleId="HeaderChar">
    <w:name w:val="Header Char"/>
    <w:basedOn w:val="DefaultParagraphFont"/>
    <w:link w:val="Header"/>
    <w:uiPriority w:val="99"/>
    <w:rsid w:val="00BA4FBE"/>
  </w:style>
  <w:style w:type="paragraph" w:styleId="Footer">
    <w:name w:val="footer"/>
    <w:basedOn w:val="Normal"/>
    <w:link w:val="FooterChar"/>
    <w:uiPriority w:val="99"/>
    <w:unhideWhenUsed/>
    <w:rsid w:val="00BA4FBE"/>
    <w:pPr>
      <w:tabs>
        <w:tab w:val="center" w:pos="4680"/>
        <w:tab w:val="right" w:pos="9360"/>
      </w:tabs>
      <w:spacing w:line="240" w:lineRule="auto"/>
    </w:pPr>
  </w:style>
  <w:style w:type="character" w:customStyle="1" w:styleId="FooterChar">
    <w:name w:val="Footer Char"/>
    <w:basedOn w:val="DefaultParagraphFont"/>
    <w:link w:val="Footer"/>
    <w:uiPriority w:val="99"/>
    <w:rsid w:val="00BA4FBE"/>
  </w:style>
  <w:style w:type="paragraph" w:styleId="Revision">
    <w:name w:val="Revision"/>
    <w:hidden/>
    <w:uiPriority w:val="99"/>
    <w:semiHidden/>
    <w:rsid w:val="00D178D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8607931">
      <w:bodyDiv w:val="1"/>
      <w:marLeft w:val="0"/>
      <w:marRight w:val="0"/>
      <w:marTop w:val="0"/>
      <w:marBottom w:val="0"/>
      <w:divBdr>
        <w:top w:val="none" w:sz="0" w:space="0" w:color="auto"/>
        <w:left w:val="none" w:sz="0" w:space="0" w:color="auto"/>
        <w:bottom w:val="none" w:sz="0" w:space="0" w:color="auto"/>
        <w:right w:val="none" w:sz="0" w:space="0" w:color="auto"/>
      </w:divBdr>
    </w:div>
    <w:div w:id="2146316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zenodo.org/records/10314871" TargetMode="External"/><Relationship Id="rId18" Type="http://schemas.openxmlformats.org/officeDocument/2006/relationships/hyperlink" Target="https://books.google.co.in/books?hl=en&amp;lr=&amp;id=wLipF4vctU4C&amp;oi=fnd&amp;pg=PR11&amp;dq=gay+r+charlesworth&amp;ots=Y804Gl8qEF&amp;sig=MQ_SRRuLRBFHrukRpCb2pB4fs-A&amp;redir_esc=y" TargetMode="External"/><Relationship Id="rId26" Type="http://schemas.openxmlformats.org/officeDocument/2006/relationships/hyperlink" Target="https://academic.oup.com/jcr/article-abstract/18/2/145/1786796"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108/IJRDM-08-2015-0126" TargetMode="External"/><Relationship Id="rId34" Type="http://schemas.openxmlformats.org/officeDocument/2006/relationships/hyperlink" Target="https://nyaspubs.onlinelibrary.wiley.com/doi/abs/10.1111/j.1749-6632.2009.05163.x"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journals.sagepub.com/doi/abs/10.1177/109467050032005" TargetMode="External"/><Relationship Id="rId17" Type="http://schemas.openxmlformats.org/officeDocument/2006/relationships/hyperlink" Target="https://doi.org/10.1207/S15327663JCP1303_15" TargetMode="External"/><Relationship Id="rId25" Type="http://schemas.openxmlformats.org/officeDocument/2006/relationships/hyperlink" Target="https://doi.org/10.3200/ENVT.48.5.22-36" TargetMode="External"/><Relationship Id="rId33" Type="http://schemas.openxmlformats.org/officeDocument/2006/relationships/hyperlink" Target="http://sinsofgreenwashing.org/findings/the-seven-sins/"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emerald.com/insight/content/doi/10.1108/JCM-05-2018-2694/full/html" TargetMode="External"/><Relationship Id="rId20" Type="http://schemas.openxmlformats.org/officeDocument/2006/relationships/hyperlink" Target="https://www.tandfonline.com/doi/abs/10.1080/01973530701665058" TargetMode="External"/><Relationship Id="rId29" Type="http://schemas.openxmlformats.org/officeDocument/2006/relationships/hyperlink" Target="https://doi.org/10.1002/bse.1912"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ademic.oup.com/jcr/article-abstract/20/4/644/1798609" TargetMode="External"/><Relationship Id="rId24" Type="http://schemas.openxmlformats.org/officeDocument/2006/relationships/hyperlink" Target="https://doi.org/10.1080/00913367.2005.10639199" TargetMode="External"/><Relationship Id="rId32" Type="http://schemas.openxmlformats.org/officeDocument/2006/relationships/hyperlink" Target="https://doi.org/10.1016/j.jclepro.2018.02.097"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02/mar.1013" TargetMode="External"/><Relationship Id="rId23" Type="http://schemas.openxmlformats.org/officeDocument/2006/relationships/hyperlink" Target="https://www.researchgate.net/profile/Ravi-Bhakat/publication/280298147_A_Review_of_Impulse_Buying_Behavior/links/55ef157108aedecb68fd96b9/A-Review-of-Impulse-Buying-Behavior.pdf" TargetMode="External"/><Relationship Id="rId28" Type="http://schemas.openxmlformats.org/officeDocument/2006/relationships/hyperlink" Target="https://doi.org/10.1080/13549839.2017.1345877" TargetMode="External"/><Relationship Id="rId36" Type="http://schemas.openxmlformats.org/officeDocument/2006/relationships/header" Target="header1.xml"/><Relationship Id="rId10" Type="http://schemas.openxmlformats.org/officeDocument/2006/relationships/hyperlink" Target="https://doi.org/10.4135/9781446249215.n22" TargetMode="External"/><Relationship Id="rId19" Type="http://schemas.openxmlformats.org/officeDocument/2006/relationships/hyperlink" Target="https://doi.org/10.1016/j.jclepro.2016.04.122" TargetMode="External"/><Relationship Id="rId31" Type="http://schemas.openxmlformats.org/officeDocument/2006/relationships/hyperlink" Target="https://www.jstor.org/stable/24707060" TargetMode="External"/><Relationship Id="rId4" Type="http://schemas.openxmlformats.org/officeDocument/2006/relationships/webSettings" Target="webSettings.xml"/><Relationship Id="rId9" Type="http://schemas.openxmlformats.org/officeDocument/2006/relationships/hyperlink" Target="https://journals.sagepub.com/doi/abs/10.1177/002224299005400102" TargetMode="External"/><Relationship Id="rId14" Type="http://schemas.openxmlformats.org/officeDocument/2006/relationships/hyperlink" Target="https://academic.oup.com/jcr/article-abstract/14/3/350/1820141" TargetMode="External"/><Relationship Id="rId22" Type="http://schemas.openxmlformats.org/officeDocument/2006/relationships/hyperlink" Target="https://www.researchgate.net/publication/343904334_CRITERIA_FOR_EVALUATION_OF_ALTERNATIVES_IN_ONLINE_CONSUMER_DECISION-MAKING_PROCESS" TargetMode="External"/><Relationship Id="rId27" Type="http://schemas.openxmlformats.org/officeDocument/2006/relationships/hyperlink" Target="https://academic.oup.com/jcr/article-abstract/15/2/253/1841505" TargetMode="External"/><Relationship Id="rId30" Type="http://schemas.openxmlformats.org/officeDocument/2006/relationships/hyperlink" Target="https://doi.org/10.1016/j.jbusres.2016.11.002" TargetMode="External"/><Relationship Id="rId35" Type="http://schemas.openxmlformats.org/officeDocument/2006/relationships/hyperlink" Target="https://doi.org/10.1080/00913367.1995.10673471"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28</Pages>
  <Words>9576</Words>
  <Characters>58031</Characters>
  <Application>Microsoft Office Word</Application>
  <DocSecurity>0</DocSecurity>
  <Lines>1813</Lines>
  <Paragraphs>913</Paragraphs>
  <ScaleCrop>false</ScaleCrop>
  <Company/>
  <LinksUpToDate>false</LinksUpToDate>
  <CharactersWithSpaces>66694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Editor-26</cp:lastModifiedBy>
  <cp:revision>68</cp:revision>
  <dcterms:created xsi:type="dcterms:W3CDTF">2025-06-23T08:57:00Z</dcterms:created>
  <dcterms:modified xsi:type="dcterms:W3CDTF">2025-07-03T07:16:00Z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90b14cee-5e41-421d-9b0f-33a37fb67673</vt:lpwstr>
  </property>
</Properties>
</file>