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33E" w:rsidRDefault="00A7533E" w:rsidP="00A7533E">
      <w:pPr>
        <w:jc w:val="center"/>
        <w:rPr>
          <w:rFonts w:ascii="Times New Roman" w:hAnsi="Times New Roman" w:cs="Times New Roman"/>
          <w:b/>
          <w:bCs/>
          <w:sz w:val="24"/>
          <w:szCs w:val="32"/>
        </w:rPr>
      </w:pPr>
      <w:r w:rsidRPr="00A7533E">
        <w:rPr>
          <w:rFonts w:ascii="Times New Roman" w:hAnsi="Times New Roman" w:cs="Times New Roman"/>
          <w:b/>
          <w:bCs/>
          <w:sz w:val="24"/>
          <w:szCs w:val="32"/>
        </w:rPr>
        <w:t>Studies on soil physicochemical properties of different crop ecosystems for future cropping and soil management strategies</w:t>
      </w:r>
      <w:r w:rsidR="00023CE8">
        <w:rPr>
          <w:rFonts w:ascii="Times New Roman" w:hAnsi="Times New Roman" w:cs="Times New Roman"/>
          <w:b/>
          <w:bCs/>
          <w:sz w:val="24"/>
          <w:szCs w:val="32"/>
        </w:rPr>
        <w:t xml:space="preserve"> in </w:t>
      </w:r>
      <w:r w:rsidR="00023CE8" w:rsidRPr="00023CE8">
        <w:rPr>
          <w:rFonts w:ascii="Times New Roman" w:hAnsi="Times New Roman" w:cs="Times New Roman"/>
          <w:b/>
          <w:bCs/>
          <w:sz w:val="24"/>
          <w:szCs w:val="32"/>
        </w:rPr>
        <w:t>Jorhat district</w:t>
      </w:r>
      <w:r w:rsidR="00023CE8">
        <w:rPr>
          <w:rFonts w:ascii="Times New Roman" w:hAnsi="Times New Roman" w:cs="Times New Roman"/>
          <w:b/>
          <w:bCs/>
          <w:sz w:val="24"/>
          <w:szCs w:val="32"/>
        </w:rPr>
        <w:t>, India</w:t>
      </w:r>
    </w:p>
    <w:p w:rsidR="002E4028" w:rsidRDefault="002E4028" w:rsidP="00EA3249">
      <w:pPr>
        <w:pStyle w:val="NormalWeb"/>
        <w:spacing w:line="360" w:lineRule="auto"/>
        <w:jc w:val="left"/>
        <w:rPr>
          <w:rStyle w:val="Strong"/>
          <w:rFonts w:ascii="Arial" w:hAnsi="Arial" w:cs="Arial"/>
        </w:rPr>
      </w:pPr>
    </w:p>
    <w:p w:rsidR="00EA3249" w:rsidRDefault="00EA3249" w:rsidP="00EA3249">
      <w:pPr>
        <w:pStyle w:val="NormalWeb"/>
        <w:spacing w:line="360" w:lineRule="auto"/>
        <w:jc w:val="left"/>
        <w:rPr>
          <w:rFonts w:ascii="Arial" w:hAnsi="Arial" w:cs="Arial"/>
        </w:rPr>
      </w:pPr>
      <w:r w:rsidRPr="00EA3249">
        <w:rPr>
          <w:rStyle w:val="Strong"/>
          <w:rFonts w:ascii="Arial" w:hAnsi="Arial" w:cs="Arial"/>
        </w:rPr>
        <w:t>ABSTRACT:</w:t>
      </w:r>
    </w:p>
    <w:p w:rsidR="00F46EBF" w:rsidRPr="00D84B1E" w:rsidRDefault="00F46EBF" w:rsidP="00BF6CF0">
      <w:pPr>
        <w:pStyle w:val="NormalWeb"/>
        <w:spacing w:line="360" w:lineRule="auto"/>
        <w:rPr>
          <w:rFonts w:ascii="Arial" w:hAnsi="Arial" w:cs="Arial"/>
          <w:sz w:val="20"/>
        </w:rPr>
      </w:pPr>
      <w:r w:rsidRPr="00D84B1E">
        <w:rPr>
          <w:rFonts w:ascii="Arial" w:hAnsi="Arial" w:cs="Arial"/>
          <w:sz w:val="20"/>
        </w:rPr>
        <w:t xml:space="preserve">Soil physicochemical properties are key indicators of soil </w:t>
      </w:r>
      <w:r w:rsidR="008D16D2" w:rsidRPr="00D84B1E">
        <w:rPr>
          <w:rFonts w:ascii="Arial" w:hAnsi="Arial" w:cs="Arial"/>
          <w:sz w:val="20"/>
        </w:rPr>
        <w:t>fertility</w:t>
      </w:r>
      <w:r w:rsidRPr="00D84B1E">
        <w:rPr>
          <w:rFonts w:ascii="Arial" w:hAnsi="Arial" w:cs="Arial"/>
          <w:sz w:val="20"/>
        </w:rPr>
        <w:t xml:space="preserve"> and agricultural sustainability, yet they are profoundly influenced by land use practices. This investigation was undertaken to evaluate the influence of different land use systems on </w:t>
      </w:r>
      <w:r w:rsidR="00A7533E" w:rsidRPr="00D84B1E">
        <w:rPr>
          <w:rFonts w:ascii="Arial" w:hAnsi="Arial" w:cs="Arial"/>
          <w:sz w:val="20"/>
        </w:rPr>
        <w:t xml:space="preserve">soil physicochemical properties </w:t>
      </w:r>
      <w:r w:rsidRPr="00D84B1E">
        <w:rPr>
          <w:rFonts w:ascii="Arial" w:hAnsi="Arial" w:cs="Arial"/>
          <w:sz w:val="20"/>
        </w:rPr>
        <w:t>in Jorhat district, Assam. The study encompassed five representative land use types: barren land, paddy, flower crops, fruit-based homestead, and rice-vegetable systems. Surface soil samples (0–15 cm depth) were collected under each system with three replications. Laboratory analyses were conducted to determine bulk density, particle density, porosity, pH, electrical conductivity (EC), available nitrogen (N), available phosphorus (P</w:t>
      </w:r>
      <w:r w:rsidRPr="00D84B1E">
        <w:rPr>
          <w:rFonts w:cs="Arial"/>
          <w:sz w:val="20"/>
        </w:rPr>
        <w:t>₂</w:t>
      </w:r>
      <w:r w:rsidRPr="00D84B1E">
        <w:rPr>
          <w:rFonts w:ascii="Arial" w:hAnsi="Arial" w:cs="Arial"/>
          <w:sz w:val="20"/>
        </w:rPr>
        <w:t>O</w:t>
      </w:r>
      <w:r w:rsidRPr="00D84B1E">
        <w:rPr>
          <w:rFonts w:cs="Arial"/>
          <w:sz w:val="20"/>
        </w:rPr>
        <w:t>₅</w:t>
      </w:r>
      <w:r w:rsidRPr="00D84B1E">
        <w:rPr>
          <w:rFonts w:ascii="Arial" w:hAnsi="Arial" w:cs="Arial"/>
          <w:sz w:val="20"/>
        </w:rPr>
        <w:t>), available potassium (K</w:t>
      </w:r>
      <w:r w:rsidRPr="00D84B1E">
        <w:rPr>
          <w:rFonts w:cs="Arial"/>
          <w:sz w:val="20"/>
        </w:rPr>
        <w:t>₂</w:t>
      </w:r>
      <w:r w:rsidRPr="00D84B1E">
        <w:rPr>
          <w:rFonts w:ascii="Arial" w:hAnsi="Arial" w:cs="Arial"/>
          <w:sz w:val="20"/>
        </w:rPr>
        <w:t xml:space="preserve">O), and organic carbon (OC). Results from one-way analysis of variance (ANOVA) indicated statistically significant differences (p &lt; 0.05) among land use systems for most parameters, with the exception of porosity and EC. Tukey’s Honest Significant Difference (HSD) test further elucidated pairwise variations among the land uses. The findings revealed that fruit-based homestead and rice-vegetable systems significantly enhanced soil quality indicators such as organic carbon and nutrient availability, whereas barren land and </w:t>
      </w:r>
      <w:proofErr w:type="spellStart"/>
      <w:r w:rsidRPr="00D84B1E">
        <w:rPr>
          <w:rFonts w:ascii="Arial" w:hAnsi="Arial" w:cs="Arial"/>
          <w:sz w:val="20"/>
        </w:rPr>
        <w:t>monocropped</w:t>
      </w:r>
      <w:proofErr w:type="spellEnd"/>
      <w:r w:rsidRPr="00D84B1E">
        <w:rPr>
          <w:rFonts w:ascii="Arial" w:hAnsi="Arial" w:cs="Arial"/>
          <w:sz w:val="20"/>
        </w:rPr>
        <w:t xml:space="preserve"> paddy fields exhibited relatively poor fertility status. These results underscore the importance of diversified and organic-input-rich cropping systems in promoting soil health and long-term agricultural sustainability in the Upper Brahmaputra Valley Zone of Assam.</w:t>
      </w:r>
    </w:p>
    <w:p w:rsidR="006E1FC7" w:rsidRPr="00EA3249" w:rsidRDefault="006E1FC7" w:rsidP="00BF6CF0">
      <w:pPr>
        <w:pStyle w:val="NormalWeb"/>
        <w:spacing w:line="360" w:lineRule="auto"/>
        <w:rPr>
          <w:rFonts w:ascii="Arial" w:hAnsi="Arial" w:cs="Arial"/>
          <w:i/>
          <w:sz w:val="20"/>
        </w:rPr>
      </w:pPr>
      <w:r w:rsidRPr="00EA3249">
        <w:rPr>
          <w:rStyle w:val="Strong"/>
          <w:rFonts w:ascii="Arial" w:hAnsi="Arial" w:cs="Arial"/>
          <w:i/>
          <w:sz w:val="20"/>
        </w:rPr>
        <w:t>Keywords:</w:t>
      </w:r>
      <w:r w:rsidR="00023CE8">
        <w:rPr>
          <w:rStyle w:val="Strong"/>
          <w:rFonts w:ascii="Arial" w:hAnsi="Arial" w:cs="Arial"/>
          <w:i/>
          <w:sz w:val="20"/>
        </w:rPr>
        <w:t xml:space="preserve"> </w:t>
      </w:r>
      <w:r w:rsidR="00EA3249" w:rsidRPr="00EA3249">
        <w:rPr>
          <w:rFonts w:ascii="Arial" w:hAnsi="Arial" w:cs="Arial"/>
          <w:i/>
          <w:sz w:val="20"/>
        </w:rPr>
        <w:t>Land use systems, soil physiochemical properties</w:t>
      </w:r>
      <w:r w:rsidRPr="00EA3249">
        <w:rPr>
          <w:rFonts w:ascii="Arial" w:hAnsi="Arial" w:cs="Arial"/>
          <w:i/>
          <w:sz w:val="20"/>
        </w:rPr>
        <w:t>, ANOVA, Tukey HSD, organic carbon, n</w:t>
      </w:r>
      <w:r w:rsidR="00EA3249" w:rsidRPr="00EA3249">
        <w:rPr>
          <w:rFonts w:ascii="Arial" w:hAnsi="Arial" w:cs="Arial"/>
          <w:i/>
          <w:sz w:val="20"/>
        </w:rPr>
        <w:t>itrogen, phosphorus, potassium</w:t>
      </w:r>
    </w:p>
    <w:p w:rsidR="00F46EBF" w:rsidRPr="00EA3249" w:rsidRDefault="00EA3249" w:rsidP="00F46EBF">
      <w:pPr>
        <w:pStyle w:val="NormalWeb"/>
        <w:numPr>
          <w:ilvl w:val="0"/>
          <w:numId w:val="5"/>
        </w:numPr>
        <w:spacing w:line="360" w:lineRule="auto"/>
        <w:rPr>
          <w:rFonts w:ascii="Arial" w:hAnsi="Arial" w:cs="Arial"/>
        </w:rPr>
      </w:pPr>
      <w:r w:rsidRPr="00EA3249">
        <w:rPr>
          <w:rStyle w:val="Strong"/>
          <w:rFonts w:ascii="Arial" w:hAnsi="Arial" w:cs="Arial"/>
          <w:sz w:val="22"/>
        </w:rPr>
        <w:t>INTRODUCTION</w:t>
      </w:r>
    </w:p>
    <w:p w:rsidR="00BE07AB" w:rsidRPr="00EA3249" w:rsidRDefault="00BE07AB" w:rsidP="00EA3249">
      <w:pPr>
        <w:pStyle w:val="NormalWeb"/>
        <w:spacing w:line="360" w:lineRule="auto"/>
        <w:ind w:firstLine="900"/>
        <w:rPr>
          <w:rFonts w:ascii="Arial" w:hAnsi="Arial" w:cs="Arial"/>
          <w:sz w:val="20"/>
        </w:rPr>
      </w:pPr>
      <w:r w:rsidRPr="00EA3249">
        <w:rPr>
          <w:rFonts w:ascii="Arial" w:hAnsi="Arial" w:cs="Arial"/>
          <w:sz w:val="20"/>
        </w:rPr>
        <w:t xml:space="preserve">Soil is a vital natural resource that forms the foundation of terrestrial ecosystems and serves as a key determinant of agricultural productivity and environmental quality. It is a dynamic and complex system composed of mineral particles, organic matter, water, air, and a diverse population of microorganisms derived from the decomposition of plant and animal residues </w:t>
      </w:r>
      <w:r w:rsidRPr="001B7B1B">
        <w:rPr>
          <w:rFonts w:ascii="Arial" w:hAnsi="Arial" w:cs="Arial"/>
          <w:sz w:val="20"/>
          <w:highlight w:val="yellow"/>
        </w:rPr>
        <w:t>(</w:t>
      </w:r>
      <w:proofErr w:type="spellStart"/>
      <w:r w:rsidR="001B7B1B" w:rsidRPr="001B7B1B">
        <w:rPr>
          <w:rFonts w:ascii="Arial" w:hAnsi="Arial" w:cs="Arial"/>
          <w:sz w:val="20"/>
          <w:highlight w:val="yellow"/>
        </w:rPr>
        <w:t>Bhuyan</w:t>
      </w:r>
      <w:proofErr w:type="spellEnd"/>
      <w:r w:rsidR="001B7B1B" w:rsidRPr="001B7B1B">
        <w:rPr>
          <w:rFonts w:ascii="Arial" w:hAnsi="Arial" w:cs="Arial"/>
          <w:sz w:val="20"/>
          <w:highlight w:val="yellow"/>
        </w:rPr>
        <w:t xml:space="preserve"> et al., 2023</w:t>
      </w:r>
      <w:r w:rsidRPr="001B7B1B">
        <w:rPr>
          <w:rFonts w:ascii="Arial" w:hAnsi="Arial" w:cs="Arial"/>
          <w:sz w:val="20"/>
          <w:highlight w:val="yellow"/>
        </w:rPr>
        <w:t>).</w:t>
      </w:r>
      <w:r w:rsidRPr="00EA3249">
        <w:rPr>
          <w:rFonts w:ascii="Arial" w:hAnsi="Arial" w:cs="Arial"/>
          <w:sz w:val="20"/>
        </w:rPr>
        <w:t xml:space="preserve"> Referred to as the “skin of the Earth,” soil plays a critical role in regulating essential ecosystem functions, including nutrient cycling, water retention, carbon storage, and biological activity </w:t>
      </w:r>
      <w:r w:rsidRPr="001B7B1B">
        <w:rPr>
          <w:rFonts w:ascii="Arial" w:hAnsi="Arial" w:cs="Arial"/>
          <w:sz w:val="20"/>
          <w:highlight w:val="yellow"/>
        </w:rPr>
        <w:t>(</w:t>
      </w:r>
      <w:r w:rsidR="001B7B1B" w:rsidRPr="001B7B1B">
        <w:rPr>
          <w:rFonts w:ascii="Arial" w:hAnsi="Arial" w:cs="Arial"/>
          <w:sz w:val="20"/>
          <w:highlight w:val="yellow"/>
        </w:rPr>
        <w:t>Cornish et al., 2020</w:t>
      </w:r>
      <w:r w:rsidRPr="001B7B1B">
        <w:rPr>
          <w:rFonts w:ascii="Arial" w:hAnsi="Arial" w:cs="Arial"/>
          <w:sz w:val="20"/>
          <w:highlight w:val="yellow"/>
        </w:rPr>
        <w:t>).</w:t>
      </w:r>
    </w:p>
    <w:p w:rsidR="00BE07AB" w:rsidRPr="00EA3249" w:rsidRDefault="00BE07AB" w:rsidP="00EA3249">
      <w:pPr>
        <w:pStyle w:val="NormalWeb"/>
        <w:spacing w:line="360" w:lineRule="auto"/>
        <w:ind w:firstLine="900"/>
        <w:rPr>
          <w:rFonts w:ascii="Arial" w:hAnsi="Arial" w:cs="Arial"/>
          <w:sz w:val="20"/>
        </w:rPr>
      </w:pPr>
      <w:r w:rsidRPr="00EA3249">
        <w:rPr>
          <w:rFonts w:ascii="Arial" w:hAnsi="Arial" w:cs="Arial"/>
          <w:sz w:val="20"/>
        </w:rPr>
        <w:lastRenderedPageBreak/>
        <w:t>Among the various properties that influence soil functionality, fertility status remains central to sustaining crop productivity and ecological balance. Plants derive nutrients from two primary sources in the soil—organic matter and minerals. Organic matter, through decomposition, not only contributes to nutrient supply but also improves soil structure and enhances its capacity to retain moisture and support microbial life (</w:t>
      </w:r>
      <w:proofErr w:type="spellStart"/>
      <w:r w:rsidR="001B7B1B" w:rsidRPr="001B7B1B">
        <w:rPr>
          <w:highlight w:val="yellow"/>
        </w:rPr>
        <w:t>Parida</w:t>
      </w:r>
      <w:proofErr w:type="spellEnd"/>
      <w:r w:rsidR="001B7B1B" w:rsidRPr="001B7B1B">
        <w:rPr>
          <w:highlight w:val="yellow"/>
        </w:rPr>
        <w:t>, 2022</w:t>
      </w:r>
      <w:r w:rsidRPr="00EA3249">
        <w:rPr>
          <w:rFonts w:ascii="Arial" w:hAnsi="Arial" w:cs="Arial"/>
          <w:sz w:val="20"/>
        </w:rPr>
        <w:t xml:space="preserve">). Key indicators commonly used to assess soil fertility and health include pH, electrical conductivity (EC), cation exchange capacity (CEC), and concentrations of essential nutrients such as nitrogen (N), phosphorus (P), potassium (K), and organic </w:t>
      </w:r>
      <w:proofErr w:type="gramStart"/>
      <w:r w:rsidRPr="00EA3249">
        <w:rPr>
          <w:rFonts w:ascii="Arial" w:hAnsi="Arial" w:cs="Arial"/>
          <w:sz w:val="20"/>
        </w:rPr>
        <w:t xml:space="preserve">carbon </w:t>
      </w:r>
      <w:r w:rsidR="007C145A">
        <w:rPr>
          <w:rFonts w:ascii="Arial" w:hAnsi="Arial" w:cs="Arial"/>
          <w:sz w:val="20"/>
        </w:rPr>
        <w:t xml:space="preserve"> </w:t>
      </w:r>
      <w:r w:rsidR="007C145A" w:rsidRPr="007C145A">
        <w:rPr>
          <w:rFonts w:ascii="Arial" w:hAnsi="Arial" w:cs="Arial"/>
          <w:sz w:val="20"/>
          <w:highlight w:val="yellow"/>
        </w:rPr>
        <w:t>(</w:t>
      </w:r>
      <w:proofErr w:type="gramEnd"/>
      <w:r w:rsidR="007C145A" w:rsidRPr="007C145A">
        <w:rPr>
          <w:rFonts w:ascii="Arial" w:hAnsi="Arial" w:cs="Arial"/>
          <w:sz w:val="20"/>
          <w:highlight w:val="yellow"/>
        </w:rPr>
        <w:t>OC)</w:t>
      </w:r>
      <w:r w:rsidR="007C145A">
        <w:rPr>
          <w:rFonts w:ascii="Arial" w:hAnsi="Arial" w:cs="Arial"/>
          <w:sz w:val="20"/>
        </w:rPr>
        <w:t xml:space="preserve"> </w:t>
      </w:r>
      <w:r w:rsidRPr="001B7B1B">
        <w:rPr>
          <w:rFonts w:ascii="Arial" w:hAnsi="Arial" w:cs="Arial"/>
          <w:sz w:val="20"/>
          <w:highlight w:val="yellow"/>
        </w:rPr>
        <w:t>(</w:t>
      </w:r>
      <w:r w:rsidR="001B7B1B" w:rsidRPr="001B7B1B">
        <w:rPr>
          <w:rFonts w:ascii="Arial" w:hAnsi="Arial" w:cs="Arial"/>
          <w:sz w:val="20"/>
          <w:highlight w:val="yellow"/>
        </w:rPr>
        <w:t xml:space="preserve">Borah et al., 2024; </w:t>
      </w:r>
      <w:proofErr w:type="spellStart"/>
      <w:r w:rsidR="001B7B1B" w:rsidRPr="001B7B1B">
        <w:rPr>
          <w:rFonts w:ascii="Arial" w:hAnsi="Arial" w:cs="Arial"/>
          <w:sz w:val="20"/>
          <w:highlight w:val="yellow"/>
        </w:rPr>
        <w:t>Bhuyan</w:t>
      </w:r>
      <w:proofErr w:type="spellEnd"/>
      <w:r w:rsidR="001B7B1B" w:rsidRPr="001B7B1B">
        <w:rPr>
          <w:rFonts w:ascii="Arial" w:hAnsi="Arial" w:cs="Arial"/>
          <w:sz w:val="20"/>
          <w:highlight w:val="yellow"/>
        </w:rPr>
        <w:t xml:space="preserve"> et al., 2023</w:t>
      </w:r>
      <w:r w:rsidRPr="001B7B1B">
        <w:rPr>
          <w:rFonts w:ascii="Arial" w:hAnsi="Arial" w:cs="Arial"/>
          <w:sz w:val="20"/>
          <w:highlight w:val="yellow"/>
        </w:rPr>
        <w:t>)</w:t>
      </w:r>
      <w:r w:rsidRPr="00EA3249">
        <w:rPr>
          <w:rFonts w:ascii="Arial" w:hAnsi="Arial" w:cs="Arial"/>
          <w:sz w:val="20"/>
        </w:rPr>
        <w:t xml:space="preserve">. Soil pH, in particular, regulates the solubility and availability of nutrients, with most nutrients being optimally accessible at neutral pH values. EC reflects salinity levels, which influence crop tolerance and yield, while CEC represents the soil’s ability to retain and exchange nutrient cations essential for plant growth </w:t>
      </w:r>
      <w:r w:rsidRPr="001B7B1B">
        <w:rPr>
          <w:rFonts w:ascii="Arial" w:hAnsi="Arial" w:cs="Arial"/>
          <w:sz w:val="20"/>
          <w:highlight w:val="yellow"/>
        </w:rPr>
        <w:t>(</w:t>
      </w:r>
      <w:r w:rsidR="001B7B1B" w:rsidRPr="001B7B1B">
        <w:rPr>
          <w:rFonts w:ascii="Arial" w:hAnsi="Arial" w:cs="Arial"/>
          <w:sz w:val="20"/>
          <w:highlight w:val="yellow"/>
        </w:rPr>
        <w:t>Das et al., 2020; Chakravarty et al., 2023</w:t>
      </w:r>
      <w:r w:rsidRPr="001B7B1B">
        <w:rPr>
          <w:rFonts w:ascii="Arial" w:hAnsi="Arial" w:cs="Arial"/>
          <w:sz w:val="20"/>
          <w:highlight w:val="yellow"/>
        </w:rPr>
        <w:t>).</w:t>
      </w:r>
    </w:p>
    <w:p w:rsidR="00EA3249" w:rsidRPr="001B7B1B" w:rsidRDefault="00BE07AB" w:rsidP="00EA3249">
      <w:pPr>
        <w:pStyle w:val="NormalWeb"/>
        <w:spacing w:line="360" w:lineRule="auto"/>
        <w:ind w:firstLine="900"/>
        <w:rPr>
          <w:rFonts w:ascii="Arial" w:hAnsi="Arial" w:cs="Arial"/>
          <w:sz w:val="20"/>
          <w:highlight w:val="yellow"/>
        </w:rPr>
      </w:pPr>
      <w:r w:rsidRPr="00EA3249">
        <w:rPr>
          <w:rFonts w:ascii="Arial" w:hAnsi="Arial" w:cs="Arial"/>
          <w:sz w:val="20"/>
        </w:rPr>
        <w:t xml:space="preserve">Land use practices are known to exert significant influence on the physicochemical and biological properties of soils. Changes in land use—such as the conversion of forests to croplands, adoption of intensive agriculture, or development of settlements—can lead to shifts in soil structure, nutrient availability, microbial dynamics, and overall soil fertility </w:t>
      </w:r>
      <w:r w:rsidRPr="001B7B1B">
        <w:rPr>
          <w:rFonts w:ascii="Arial" w:hAnsi="Arial" w:cs="Arial"/>
          <w:sz w:val="20"/>
          <w:highlight w:val="yellow"/>
        </w:rPr>
        <w:t>(</w:t>
      </w:r>
      <w:r w:rsidR="001B7B1B" w:rsidRPr="001B7B1B">
        <w:rPr>
          <w:rFonts w:ascii="Arial" w:hAnsi="Arial" w:cs="Arial"/>
          <w:sz w:val="20"/>
          <w:highlight w:val="yellow"/>
        </w:rPr>
        <w:t>Mahmud et al., 2022; Dutta et al., 2021</w:t>
      </w:r>
      <w:r w:rsidRPr="001B7B1B">
        <w:rPr>
          <w:rFonts w:ascii="Arial" w:hAnsi="Arial" w:cs="Arial"/>
          <w:sz w:val="20"/>
          <w:highlight w:val="yellow"/>
        </w:rPr>
        <w:t>)</w:t>
      </w:r>
      <w:r w:rsidRPr="00EA3249">
        <w:rPr>
          <w:rFonts w:ascii="Arial" w:hAnsi="Arial" w:cs="Arial"/>
          <w:sz w:val="20"/>
        </w:rPr>
        <w:t>. Repeated tillage, deforestation, and unsustainable land management practices have been linked to soil degradation, nutrient depletion, and a decline in organic matter content, thereby compromising soil productivity and long-term agricul</w:t>
      </w:r>
      <w:r w:rsidR="00025444">
        <w:rPr>
          <w:rFonts w:ascii="Arial" w:hAnsi="Arial" w:cs="Arial"/>
          <w:sz w:val="20"/>
        </w:rPr>
        <w:t>tural sustainability (Lal, 2006</w:t>
      </w:r>
      <w:r w:rsidRPr="00EA3249">
        <w:rPr>
          <w:rFonts w:ascii="Arial" w:hAnsi="Arial" w:cs="Arial"/>
          <w:sz w:val="20"/>
        </w:rPr>
        <w:t xml:space="preserve">). As such, understanding the relationship between land use systems and soil fertility is essential for promoting sustainable land management and ensuring the resilience of agricultural ecosystems </w:t>
      </w:r>
      <w:r w:rsidR="001B7B1B" w:rsidRPr="001B7B1B">
        <w:rPr>
          <w:rFonts w:ascii="Arial" w:hAnsi="Arial" w:cs="Arial"/>
          <w:sz w:val="20"/>
          <w:highlight w:val="yellow"/>
        </w:rPr>
        <w:t xml:space="preserve">(Chakravarty et al., 2023; </w:t>
      </w:r>
      <w:proofErr w:type="spellStart"/>
      <w:r w:rsidR="001B7B1B" w:rsidRPr="001B7B1B">
        <w:rPr>
          <w:rFonts w:ascii="Arial" w:hAnsi="Arial" w:cs="Arial"/>
          <w:sz w:val="20"/>
          <w:highlight w:val="yellow"/>
        </w:rPr>
        <w:t>Bhuyan</w:t>
      </w:r>
      <w:proofErr w:type="spellEnd"/>
      <w:r w:rsidR="001B7B1B" w:rsidRPr="001B7B1B">
        <w:rPr>
          <w:rFonts w:ascii="Arial" w:hAnsi="Arial" w:cs="Arial"/>
          <w:sz w:val="20"/>
          <w:highlight w:val="yellow"/>
        </w:rPr>
        <w:t xml:space="preserve"> et al., 2023)</w:t>
      </w:r>
      <w:r w:rsidRPr="001B7B1B">
        <w:rPr>
          <w:rFonts w:ascii="Arial" w:hAnsi="Arial" w:cs="Arial"/>
          <w:sz w:val="20"/>
          <w:highlight w:val="yellow"/>
        </w:rPr>
        <w:t>.</w:t>
      </w:r>
    </w:p>
    <w:p w:rsidR="00BE07AB" w:rsidRPr="00EA3249" w:rsidRDefault="00BE07AB" w:rsidP="00EA3249">
      <w:pPr>
        <w:pStyle w:val="NormalWeb"/>
        <w:spacing w:line="360" w:lineRule="auto"/>
        <w:ind w:firstLine="630"/>
        <w:rPr>
          <w:rFonts w:ascii="Arial" w:hAnsi="Arial" w:cs="Arial"/>
          <w:sz w:val="20"/>
        </w:rPr>
      </w:pPr>
      <w:r w:rsidRPr="00EA3249">
        <w:rPr>
          <w:rFonts w:ascii="Arial" w:hAnsi="Arial" w:cs="Arial"/>
          <w:sz w:val="20"/>
        </w:rPr>
        <w:t xml:space="preserve">While numerous studies have investigated the impact of land use on soil fertility in various </w:t>
      </w:r>
      <w:proofErr w:type="spellStart"/>
      <w:r w:rsidRPr="00EA3249">
        <w:rPr>
          <w:rFonts w:ascii="Arial" w:hAnsi="Arial" w:cs="Arial"/>
          <w:sz w:val="20"/>
        </w:rPr>
        <w:t>agro</w:t>
      </w:r>
      <w:proofErr w:type="spellEnd"/>
      <w:r w:rsidRPr="00EA3249">
        <w:rPr>
          <w:rFonts w:ascii="Arial" w:hAnsi="Arial" w:cs="Arial"/>
          <w:sz w:val="20"/>
        </w:rPr>
        <w:t>-ecological regions globally and across India, there is a notable lack of region-specific data for northeastern India, particularly in the soils of Assam. The Jorhat district, located in the Upper Brahmaputra Valley Zone, represents an agriculturally significant region where diverse land use systems coexist. However, limited research has been conducted to evaluate how these varying land uses affect soil fertility status in this specific context. In view of this gap, the present study was undertaken to assess the effect of different land use systems on the fertility status of soils in Jorhat district. The objective is to generate empirical data that can inform sustainable land use planning, soil health management, and long-term agricultural development in the region.</w:t>
      </w:r>
    </w:p>
    <w:p w:rsidR="00A07EF6" w:rsidRPr="00EE60CE" w:rsidRDefault="00EE60CE" w:rsidP="00BF6CF0">
      <w:pPr>
        <w:pStyle w:val="NormalWeb"/>
        <w:spacing w:line="360" w:lineRule="auto"/>
        <w:rPr>
          <w:rFonts w:ascii="Arial" w:hAnsi="Arial" w:cs="Arial"/>
          <w:sz w:val="22"/>
          <w:szCs w:val="20"/>
        </w:rPr>
      </w:pPr>
      <w:r w:rsidRPr="00EE60CE">
        <w:rPr>
          <w:rStyle w:val="Strong"/>
          <w:rFonts w:ascii="Arial" w:hAnsi="Arial" w:cs="Arial"/>
          <w:sz w:val="22"/>
          <w:szCs w:val="20"/>
        </w:rPr>
        <w:t>2. MATERIALS AND METHODS</w:t>
      </w:r>
    </w:p>
    <w:p w:rsidR="006E1FC7" w:rsidRPr="00EA3249" w:rsidRDefault="006E1FC7" w:rsidP="00BF6CF0">
      <w:pPr>
        <w:pStyle w:val="NormalWeb"/>
        <w:spacing w:line="360" w:lineRule="auto"/>
        <w:rPr>
          <w:rFonts w:ascii="Arial" w:hAnsi="Arial" w:cs="Arial"/>
          <w:sz w:val="20"/>
          <w:szCs w:val="20"/>
        </w:rPr>
      </w:pPr>
      <w:r w:rsidRPr="00EE60CE">
        <w:rPr>
          <w:rStyle w:val="Strong"/>
          <w:rFonts w:ascii="Arial" w:hAnsi="Arial" w:cs="Arial"/>
          <w:sz w:val="22"/>
          <w:szCs w:val="20"/>
        </w:rPr>
        <w:t>2.1 Study Area</w:t>
      </w:r>
      <w:r w:rsidR="00023CE8">
        <w:rPr>
          <w:rStyle w:val="Strong"/>
          <w:rFonts w:ascii="Arial" w:hAnsi="Arial" w:cs="Arial"/>
          <w:sz w:val="22"/>
          <w:szCs w:val="20"/>
        </w:rPr>
        <w:t xml:space="preserve">: </w:t>
      </w:r>
      <w:r w:rsidRPr="00EA3249">
        <w:rPr>
          <w:rFonts w:ascii="Arial" w:hAnsi="Arial" w:cs="Arial"/>
          <w:sz w:val="20"/>
          <w:szCs w:val="20"/>
        </w:rPr>
        <w:t xml:space="preserve">The study was carried out in the Jorhat district of Assam, located in the Upper Brahmaputra Valley Zone (UBVZ), which lies between 26°45′N to 27°15′N latitude and 93°15′E to 94°15′E longitude. The area experiences a humid subtropical climate, receiving average annual rainfall between </w:t>
      </w:r>
      <w:r w:rsidRPr="00EA3249">
        <w:rPr>
          <w:rFonts w:ascii="Arial" w:hAnsi="Arial" w:cs="Arial"/>
          <w:sz w:val="20"/>
          <w:szCs w:val="20"/>
        </w:rPr>
        <w:lastRenderedPageBreak/>
        <w:t>2000–2500 mm and temperatures ranging from 7°C in winter to 36°C in summer. The predominant soil types are alluvial</w:t>
      </w:r>
      <w:r w:rsidR="001B7B1B">
        <w:rPr>
          <w:rFonts w:ascii="Arial" w:hAnsi="Arial" w:cs="Arial"/>
          <w:sz w:val="20"/>
          <w:szCs w:val="20"/>
        </w:rPr>
        <w:t xml:space="preserve"> with loamy to clayey textures </w:t>
      </w:r>
      <w:r w:rsidR="001B7B1B" w:rsidRPr="00113C0F">
        <w:rPr>
          <w:rFonts w:ascii="Arial" w:hAnsi="Arial" w:cs="Arial"/>
          <w:sz w:val="20"/>
          <w:szCs w:val="20"/>
          <w:highlight w:val="yellow"/>
        </w:rPr>
        <w:t>(Dutta et al., 2021; Borah et al., 2024).</w:t>
      </w:r>
    </w:p>
    <w:p w:rsidR="006E1FC7" w:rsidRPr="00113C0F" w:rsidRDefault="006E1FC7" w:rsidP="00BF6CF0">
      <w:pPr>
        <w:pStyle w:val="NormalWeb"/>
        <w:spacing w:line="360" w:lineRule="auto"/>
        <w:rPr>
          <w:rFonts w:ascii="Arial" w:hAnsi="Arial" w:cs="Arial"/>
          <w:sz w:val="20"/>
          <w:szCs w:val="20"/>
          <w:highlight w:val="yellow"/>
        </w:rPr>
      </w:pPr>
      <w:r w:rsidRPr="00EE60CE">
        <w:rPr>
          <w:rStyle w:val="Strong"/>
          <w:rFonts w:ascii="Arial" w:hAnsi="Arial" w:cs="Arial"/>
          <w:sz w:val="22"/>
          <w:szCs w:val="22"/>
        </w:rPr>
        <w:t>2.2</w:t>
      </w:r>
      <w:r w:rsidRPr="00EE60CE">
        <w:rPr>
          <w:rStyle w:val="Strong"/>
          <w:rFonts w:ascii="Arial" w:hAnsi="Arial" w:cs="Arial"/>
          <w:sz w:val="22"/>
          <w:szCs w:val="20"/>
        </w:rPr>
        <w:t xml:space="preserve"> Experimental Design and Sampling</w:t>
      </w:r>
      <w:r w:rsidR="00023CE8">
        <w:rPr>
          <w:rStyle w:val="Strong"/>
          <w:rFonts w:ascii="Arial" w:hAnsi="Arial" w:cs="Arial"/>
          <w:sz w:val="22"/>
          <w:szCs w:val="20"/>
        </w:rPr>
        <w:t xml:space="preserve">: </w:t>
      </w:r>
      <w:r w:rsidRPr="00EA3249">
        <w:rPr>
          <w:rFonts w:ascii="Arial" w:hAnsi="Arial" w:cs="Arial"/>
          <w:sz w:val="20"/>
          <w:szCs w:val="20"/>
        </w:rPr>
        <w:t xml:space="preserve">Five different land use systems were selected based on field survey and land use classification: barren land, paddy fields, flower crops, fruit-based homesteads, and rice-vegetable cropping systems. Soil samples were collected from the surface layer (0–15 cm) using a random sampling method, with </w:t>
      </w:r>
      <w:r w:rsidR="00725E81" w:rsidRPr="00EA3249">
        <w:rPr>
          <w:rFonts w:ascii="Arial" w:hAnsi="Arial" w:cs="Arial"/>
          <w:sz w:val="20"/>
          <w:szCs w:val="20"/>
        </w:rPr>
        <w:t>six</w:t>
      </w:r>
      <w:r w:rsidRPr="00EA3249">
        <w:rPr>
          <w:rFonts w:ascii="Arial" w:hAnsi="Arial" w:cs="Arial"/>
          <w:sz w:val="20"/>
          <w:szCs w:val="20"/>
        </w:rPr>
        <w:t xml:space="preserve"> replications per land use type. Each composite sample was formed by mixing five subsamples taken within a 10 m × 10 m plot. Samples were air-dried, ground, and sieved using a 2 mm mesh sieve before laboratory analysis </w:t>
      </w:r>
      <w:r w:rsidR="00113C0F" w:rsidRPr="00113C0F">
        <w:rPr>
          <w:rFonts w:ascii="Arial" w:hAnsi="Arial" w:cs="Arial"/>
          <w:sz w:val="20"/>
          <w:szCs w:val="20"/>
          <w:highlight w:val="yellow"/>
        </w:rPr>
        <w:t xml:space="preserve">(Chakravarty et al., 2023; </w:t>
      </w:r>
      <w:proofErr w:type="spellStart"/>
      <w:r w:rsidR="00113C0F" w:rsidRPr="00113C0F">
        <w:rPr>
          <w:rFonts w:ascii="Arial" w:hAnsi="Arial" w:cs="Arial"/>
          <w:sz w:val="20"/>
          <w:szCs w:val="20"/>
          <w:highlight w:val="yellow"/>
        </w:rPr>
        <w:t>Parida</w:t>
      </w:r>
      <w:proofErr w:type="spellEnd"/>
      <w:r w:rsidR="00113C0F" w:rsidRPr="00113C0F">
        <w:rPr>
          <w:rFonts w:ascii="Arial" w:hAnsi="Arial" w:cs="Arial"/>
          <w:sz w:val="20"/>
          <w:szCs w:val="20"/>
          <w:highlight w:val="yellow"/>
        </w:rPr>
        <w:t>, 2022)</w:t>
      </w:r>
    </w:p>
    <w:p w:rsidR="006E1FC7" w:rsidRPr="00EA3249" w:rsidRDefault="006E1FC7" w:rsidP="00BF6CF0">
      <w:pPr>
        <w:pStyle w:val="NormalWeb"/>
        <w:spacing w:line="360" w:lineRule="auto"/>
        <w:rPr>
          <w:rFonts w:ascii="Arial" w:hAnsi="Arial" w:cs="Arial"/>
          <w:sz w:val="20"/>
          <w:szCs w:val="20"/>
        </w:rPr>
      </w:pPr>
      <w:r w:rsidRPr="00EE60CE">
        <w:rPr>
          <w:rStyle w:val="Strong"/>
          <w:rFonts w:ascii="Arial" w:hAnsi="Arial" w:cs="Arial"/>
          <w:sz w:val="22"/>
          <w:szCs w:val="20"/>
        </w:rPr>
        <w:t>2.3 Soil Physicochemical Analysis</w:t>
      </w:r>
      <w:r w:rsidR="00023CE8">
        <w:rPr>
          <w:rStyle w:val="Strong"/>
          <w:rFonts w:ascii="Arial" w:hAnsi="Arial" w:cs="Arial"/>
          <w:sz w:val="22"/>
          <w:szCs w:val="20"/>
        </w:rPr>
        <w:t xml:space="preserve">: </w:t>
      </w:r>
      <w:r w:rsidRPr="00EA3249">
        <w:rPr>
          <w:rFonts w:ascii="Arial" w:hAnsi="Arial" w:cs="Arial"/>
          <w:sz w:val="20"/>
          <w:szCs w:val="20"/>
        </w:rPr>
        <w:t>Bulk density was determined using the core method and particle density by pycnometer (Blake &amp;</w:t>
      </w:r>
      <w:proofErr w:type="spellStart"/>
      <w:r w:rsidRPr="00EA3249">
        <w:rPr>
          <w:rFonts w:ascii="Arial" w:hAnsi="Arial" w:cs="Arial"/>
          <w:sz w:val="20"/>
          <w:szCs w:val="20"/>
        </w:rPr>
        <w:t>Hartge</w:t>
      </w:r>
      <w:proofErr w:type="spellEnd"/>
      <w:r w:rsidRPr="00EA3249">
        <w:rPr>
          <w:rFonts w:ascii="Arial" w:hAnsi="Arial" w:cs="Arial"/>
          <w:sz w:val="20"/>
          <w:szCs w:val="20"/>
        </w:rPr>
        <w:t xml:space="preserve">, 1986). Porosity was calculated using the formula: Porosity (%) = [1 - (BD/PD)] × 100. Soil pH and EC were measured in a 1:2.5 soil-water suspension using a digital pH meter and EC meter (Jackson, 1973). Available nitrogen was determined by the alkaline </w:t>
      </w:r>
      <w:proofErr w:type="spellStart"/>
      <w:r w:rsidRPr="00EA3249">
        <w:rPr>
          <w:rFonts w:ascii="Arial" w:hAnsi="Arial" w:cs="Arial"/>
          <w:sz w:val="20"/>
          <w:szCs w:val="20"/>
        </w:rPr>
        <w:t>KMnO</w:t>
      </w:r>
      <w:proofErr w:type="spellEnd"/>
      <w:r w:rsidRPr="00EA3249">
        <w:rPr>
          <w:rFonts w:cs="Arial"/>
          <w:sz w:val="20"/>
          <w:szCs w:val="20"/>
        </w:rPr>
        <w:t>₄</w:t>
      </w:r>
      <w:r w:rsidRPr="00EA3249">
        <w:rPr>
          <w:rFonts w:ascii="Arial" w:hAnsi="Arial" w:cs="Arial"/>
          <w:sz w:val="20"/>
          <w:szCs w:val="20"/>
        </w:rPr>
        <w:t xml:space="preserve"> method (Subbiah &amp;</w:t>
      </w:r>
      <w:proofErr w:type="spellStart"/>
      <w:r w:rsidRPr="00EA3249">
        <w:rPr>
          <w:rFonts w:ascii="Arial" w:hAnsi="Arial" w:cs="Arial"/>
          <w:sz w:val="20"/>
          <w:szCs w:val="20"/>
        </w:rPr>
        <w:t>Asija</w:t>
      </w:r>
      <w:proofErr w:type="spellEnd"/>
      <w:r w:rsidRPr="00EA3249">
        <w:rPr>
          <w:rFonts w:ascii="Arial" w:hAnsi="Arial" w:cs="Arial"/>
          <w:sz w:val="20"/>
          <w:szCs w:val="20"/>
        </w:rPr>
        <w:t xml:space="preserve">, 1956), phosphorus by Olsen’s method (Olsen et al., 1954), potassium via flame photometry using 1N </w:t>
      </w:r>
      <w:proofErr w:type="spellStart"/>
      <w:r w:rsidRPr="00EA3249">
        <w:rPr>
          <w:rFonts w:ascii="Arial" w:hAnsi="Arial" w:cs="Arial"/>
          <w:sz w:val="20"/>
          <w:szCs w:val="20"/>
        </w:rPr>
        <w:t>NH</w:t>
      </w:r>
      <w:r w:rsidRPr="00EA3249">
        <w:rPr>
          <w:rFonts w:cs="Arial"/>
          <w:sz w:val="20"/>
          <w:szCs w:val="20"/>
        </w:rPr>
        <w:t>₄</w:t>
      </w:r>
      <w:r w:rsidRPr="00EA3249">
        <w:rPr>
          <w:rFonts w:ascii="Arial" w:hAnsi="Arial" w:cs="Arial"/>
          <w:sz w:val="20"/>
          <w:szCs w:val="20"/>
        </w:rPr>
        <w:t>OAc</w:t>
      </w:r>
      <w:proofErr w:type="spellEnd"/>
      <w:r w:rsidRPr="00EA3249">
        <w:rPr>
          <w:rFonts w:ascii="Arial" w:hAnsi="Arial" w:cs="Arial"/>
          <w:sz w:val="20"/>
          <w:szCs w:val="20"/>
        </w:rPr>
        <w:t xml:space="preserve"> extraction (Pratt, 1965), and organic carbon using Walkley and Black’s method (Walkley &amp; Black, 1934).</w:t>
      </w:r>
    </w:p>
    <w:p w:rsidR="006E1FC7" w:rsidRPr="00EA3249" w:rsidRDefault="006E1FC7" w:rsidP="00BF6CF0">
      <w:pPr>
        <w:pStyle w:val="NormalWeb"/>
        <w:spacing w:line="360" w:lineRule="auto"/>
        <w:rPr>
          <w:rFonts w:ascii="Arial" w:hAnsi="Arial" w:cs="Arial"/>
          <w:sz w:val="20"/>
          <w:szCs w:val="20"/>
        </w:rPr>
      </w:pPr>
      <w:r w:rsidRPr="00EE60CE">
        <w:rPr>
          <w:rStyle w:val="Strong"/>
          <w:rFonts w:ascii="Arial" w:hAnsi="Arial" w:cs="Arial"/>
          <w:sz w:val="22"/>
          <w:szCs w:val="20"/>
        </w:rPr>
        <w:t>2.4 Statistical Analysis</w:t>
      </w:r>
      <w:r w:rsidR="00023CE8">
        <w:rPr>
          <w:rStyle w:val="Strong"/>
          <w:rFonts w:ascii="Arial" w:hAnsi="Arial" w:cs="Arial"/>
          <w:sz w:val="22"/>
          <w:szCs w:val="20"/>
        </w:rPr>
        <w:t xml:space="preserve">: </w:t>
      </w:r>
      <w:r w:rsidRPr="00EA3249">
        <w:rPr>
          <w:rFonts w:ascii="Arial" w:hAnsi="Arial" w:cs="Arial"/>
          <w:sz w:val="20"/>
          <w:szCs w:val="20"/>
        </w:rPr>
        <w:t>Data were subjected to one-way ANOVA to test the significance of variations among land use types. Tukey’s HSD post hoc test was applied to determine the group-wise differences. Analysis was conducted using SPSS version 26.0 with a confidence level of 95% (p &lt; 0.05).</w:t>
      </w:r>
    </w:p>
    <w:p w:rsidR="00BF0FD2" w:rsidRPr="00EE60CE" w:rsidRDefault="00EE60CE" w:rsidP="00BF6CF0">
      <w:pPr>
        <w:pStyle w:val="NormalWeb"/>
        <w:spacing w:line="360" w:lineRule="auto"/>
        <w:rPr>
          <w:rFonts w:ascii="Arial" w:hAnsi="Arial" w:cs="Arial"/>
          <w:sz w:val="22"/>
          <w:szCs w:val="20"/>
        </w:rPr>
      </w:pPr>
      <w:r w:rsidRPr="00EE60CE">
        <w:rPr>
          <w:rStyle w:val="Strong"/>
          <w:rFonts w:ascii="Arial" w:hAnsi="Arial" w:cs="Arial"/>
          <w:sz w:val="22"/>
          <w:szCs w:val="20"/>
        </w:rPr>
        <w:t>3. RESULTS AND DISCUSSION</w:t>
      </w:r>
    </w:p>
    <w:p w:rsidR="007C145A" w:rsidRDefault="00BF0FD2" w:rsidP="00BF6CF0">
      <w:pPr>
        <w:pStyle w:val="NormalWeb"/>
        <w:spacing w:line="360" w:lineRule="auto"/>
      </w:pPr>
      <w:r w:rsidRPr="00EA3249">
        <w:rPr>
          <w:rFonts w:ascii="Arial" w:hAnsi="Arial" w:cs="Arial"/>
          <w:sz w:val="20"/>
          <w:szCs w:val="20"/>
        </w:rPr>
        <w:t xml:space="preserve">Soil physicochemical properties play a pivotal role in determining soil health, productivity, and sustainability. The assessment of parameters such as bulk density, particle density, porosity, pH, electrical conductivity, organic carbon, and available nutrients provides essential insights into the effects of land use practices on soil quality (Lal, 2006; </w:t>
      </w:r>
      <w:proofErr w:type="spellStart"/>
      <w:r w:rsidRPr="00EA3249">
        <w:rPr>
          <w:rFonts w:ascii="Arial" w:hAnsi="Arial" w:cs="Arial"/>
          <w:sz w:val="20"/>
          <w:szCs w:val="20"/>
        </w:rPr>
        <w:t>Bünemann</w:t>
      </w:r>
      <w:proofErr w:type="spellEnd"/>
      <w:r w:rsidRPr="00EA3249">
        <w:rPr>
          <w:rFonts w:ascii="Arial" w:hAnsi="Arial" w:cs="Arial"/>
          <w:sz w:val="20"/>
          <w:szCs w:val="20"/>
        </w:rPr>
        <w:t xml:space="preserve"> et al., 2018).</w:t>
      </w:r>
      <w:r w:rsidR="007C145A">
        <w:rPr>
          <w:rFonts w:ascii="Arial" w:hAnsi="Arial" w:cs="Arial"/>
          <w:sz w:val="20"/>
          <w:szCs w:val="20"/>
        </w:rPr>
        <w:t xml:space="preserve"> </w:t>
      </w:r>
      <w:r w:rsidR="007C145A" w:rsidRPr="00C81B89">
        <w:rPr>
          <w:rFonts w:ascii="Arial" w:hAnsi="Arial" w:cs="Arial"/>
          <w:sz w:val="20"/>
          <w:szCs w:val="20"/>
          <w:highlight w:val="yellow"/>
        </w:rPr>
        <w:t>The differences in soil physicochemical properties among the various land use systems are summarized in Table 1 and visually represented in Figure 1.</w:t>
      </w:r>
    </w:p>
    <w:p w:rsidR="00AD2F68" w:rsidRPr="00EA3249" w:rsidRDefault="00AD2F68" w:rsidP="00BF6CF0">
      <w:pPr>
        <w:pStyle w:val="NormalWeb"/>
        <w:spacing w:line="360" w:lineRule="auto"/>
        <w:rPr>
          <w:rFonts w:ascii="Arial" w:hAnsi="Arial" w:cs="Arial"/>
          <w:sz w:val="20"/>
          <w:szCs w:val="20"/>
        </w:rPr>
      </w:pPr>
      <w:r w:rsidRPr="00EA3249">
        <w:rPr>
          <w:rFonts w:ascii="Arial" w:hAnsi="Arial" w:cs="Arial"/>
          <w:sz w:val="20"/>
          <w:szCs w:val="20"/>
        </w:rPr>
        <w:t xml:space="preserve">Table 1: Soil </w:t>
      </w:r>
      <w:proofErr w:type="spellStart"/>
      <w:r w:rsidRPr="00EA3249">
        <w:rPr>
          <w:rFonts w:ascii="Arial" w:hAnsi="Arial" w:cs="Arial"/>
          <w:sz w:val="20"/>
          <w:szCs w:val="20"/>
        </w:rPr>
        <w:t>physico</w:t>
      </w:r>
      <w:proofErr w:type="spellEnd"/>
      <w:r w:rsidRPr="00EA3249">
        <w:rPr>
          <w:rFonts w:ascii="Arial" w:hAnsi="Arial" w:cs="Arial"/>
          <w:sz w:val="20"/>
          <w:szCs w:val="20"/>
        </w:rPr>
        <w:t xml:space="preserve">-chemical properties under different land use systems </w:t>
      </w:r>
    </w:p>
    <w:tbl>
      <w:tblPr>
        <w:tblStyle w:val="TableGrid"/>
        <w:tblW w:w="10008" w:type="dxa"/>
        <w:tblLayout w:type="fixed"/>
        <w:tblLook w:val="04A0" w:firstRow="1" w:lastRow="0" w:firstColumn="1" w:lastColumn="0" w:noHBand="0" w:noVBand="1"/>
      </w:tblPr>
      <w:tblGrid>
        <w:gridCol w:w="1098"/>
        <w:gridCol w:w="990"/>
        <w:gridCol w:w="1260"/>
        <w:gridCol w:w="1147"/>
        <w:gridCol w:w="1049"/>
        <w:gridCol w:w="1105"/>
        <w:gridCol w:w="1064"/>
        <w:gridCol w:w="1305"/>
        <w:gridCol w:w="990"/>
      </w:tblGrid>
      <w:tr w:rsidR="003E6911" w:rsidRPr="00EA3249" w:rsidTr="00536214">
        <w:tc>
          <w:tcPr>
            <w:tcW w:w="1098" w:type="dxa"/>
            <w:hideMark/>
          </w:tcPr>
          <w:p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Land Use System</w:t>
            </w:r>
          </w:p>
        </w:tc>
        <w:tc>
          <w:tcPr>
            <w:tcW w:w="990" w:type="dxa"/>
            <w:hideMark/>
          </w:tcPr>
          <w:p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BD (g/cm³)</w:t>
            </w:r>
          </w:p>
        </w:tc>
        <w:tc>
          <w:tcPr>
            <w:tcW w:w="1260" w:type="dxa"/>
            <w:hideMark/>
          </w:tcPr>
          <w:p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Porosity (%)</w:t>
            </w:r>
          </w:p>
        </w:tc>
        <w:tc>
          <w:tcPr>
            <w:tcW w:w="1147" w:type="dxa"/>
            <w:hideMark/>
          </w:tcPr>
          <w:p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pH</w:t>
            </w:r>
          </w:p>
        </w:tc>
        <w:tc>
          <w:tcPr>
            <w:tcW w:w="1049" w:type="dxa"/>
            <w:hideMark/>
          </w:tcPr>
          <w:p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EC (</w:t>
            </w:r>
            <w:proofErr w:type="spellStart"/>
            <w:r w:rsidRPr="00EA3249">
              <w:rPr>
                <w:rFonts w:ascii="Arial" w:eastAsia="Times New Roman" w:hAnsi="Arial" w:cs="Arial"/>
                <w:b/>
                <w:bCs/>
                <w:sz w:val="20"/>
                <w:szCs w:val="20"/>
              </w:rPr>
              <w:t>dS</w:t>
            </w:r>
            <w:proofErr w:type="spellEnd"/>
            <w:r w:rsidRPr="00EA3249">
              <w:rPr>
                <w:rFonts w:ascii="Arial" w:eastAsia="Times New Roman" w:hAnsi="Arial" w:cs="Arial"/>
                <w:b/>
                <w:bCs/>
                <w:sz w:val="20"/>
                <w:szCs w:val="20"/>
              </w:rPr>
              <w:t>/m)</w:t>
            </w:r>
          </w:p>
        </w:tc>
        <w:tc>
          <w:tcPr>
            <w:tcW w:w="1105" w:type="dxa"/>
            <w:hideMark/>
          </w:tcPr>
          <w:p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N (kg/ha)</w:t>
            </w:r>
          </w:p>
        </w:tc>
        <w:tc>
          <w:tcPr>
            <w:tcW w:w="1064" w:type="dxa"/>
            <w:hideMark/>
          </w:tcPr>
          <w:p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P</w:t>
            </w:r>
            <w:r w:rsidRPr="00EA3249">
              <w:rPr>
                <w:rFonts w:ascii="Times New Roman" w:eastAsia="Times New Roman" w:hAnsi="Times New Roman" w:cs="Arial"/>
                <w:b/>
                <w:bCs/>
                <w:sz w:val="20"/>
                <w:szCs w:val="20"/>
              </w:rPr>
              <w:t>₂</w:t>
            </w:r>
            <w:r w:rsidRPr="00EA3249">
              <w:rPr>
                <w:rFonts w:ascii="Arial" w:eastAsia="Times New Roman" w:hAnsi="Arial" w:cs="Arial"/>
                <w:b/>
                <w:bCs/>
                <w:sz w:val="20"/>
                <w:szCs w:val="20"/>
              </w:rPr>
              <w:t>O</w:t>
            </w:r>
            <w:r w:rsidRPr="00EA3249">
              <w:rPr>
                <w:rFonts w:ascii="Times New Roman" w:eastAsia="Times New Roman" w:hAnsi="Times New Roman" w:cs="Arial"/>
                <w:b/>
                <w:bCs/>
                <w:sz w:val="20"/>
                <w:szCs w:val="20"/>
              </w:rPr>
              <w:t>₅</w:t>
            </w:r>
            <w:r w:rsidRPr="00EA3249">
              <w:rPr>
                <w:rFonts w:ascii="Arial" w:eastAsia="Times New Roman" w:hAnsi="Arial" w:cs="Arial"/>
                <w:b/>
                <w:bCs/>
                <w:sz w:val="20"/>
                <w:szCs w:val="20"/>
              </w:rPr>
              <w:t xml:space="preserve"> (kg/ha)</w:t>
            </w:r>
          </w:p>
        </w:tc>
        <w:tc>
          <w:tcPr>
            <w:tcW w:w="1305" w:type="dxa"/>
            <w:hideMark/>
          </w:tcPr>
          <w:p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K</w:t>
            </w:r>
            <w:r w:rsidRPr="00EA3249">
              <w:rPr>
                <w:rFonts w:ascii="Times New Roman" w:eastAsia="Times New Roman" w:hAnsi="Times New Roman" w:cs="Arial"/>
                <w:b/>
                <w:bCs/>
                <w:sz w:val="20"/>
                <w:szCs w:val="20"/>
              </w:rPr>
              <w:t>₂</w:t>
            </w:r>
            <w:r w:rsidRPr="00EA3249">
              <w:rPr>
                <w:rFonts w:ascii="Arial" w:eastAsia="Times New Roman" w:hAnsi="Arial" w:cs="Arial"/>
                <w:b/>
                <w:bCs/>
                <w:sz w:val="20"/>
                <w:szCs w:val="20"/>
              </w:rPr>
              <w:t>O (kg/ha)</w:t>
            </w:r>
          </w:p>
        </w:tc>
        <w:tc>
          <w:tcPr>
            <w:tcW w:w="990" w:type="dxa"/>
            <w:hideMark/>
          </w:tcPr>
          <w:p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OC (%)</w:t>
            </w:r>
          </w:p>
        </w:tc>
      </w:tr>
      <w:tr w:rsidR="003E6911" w:rsidRPr="00EA3249" w:rsidTr="00536214">
        <w:tc>
          <w:tcPr>
            <w:tcW w:w="1098"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Barren </w:t>
            </w:r>
            <w:r w:rsidRPr="00EA3249">
              <w:rPr>
                <w:rFonts w:ascii="Arial" w:eastAsia="Times New Roman" w:hAnsi="Arial" w:cs="Arial"/>
                <w:sz w:val="20"/>
                <w:szCs w:val="20"/>
              </w:rPr>
              <w:lastRenderedPageBreak/>
              <w:t>Land</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 xml:space="preserve">1.58 ± </w:t>
            </w:r>
            <w:r w:rsidRPr="00EA3249">
              <w:rPr>
                <w:rFonts w:ascii="Arial" w:eastAsia="Times New Roman" w:hAnsi="Arial" w:cs="Arial"/>
                <w:sz w:val="20"/>
                <w:szCs w:val="20"/>
              </w:rPr>
              <w:lastRenderedPageBreak/>
              <w:t xml:space="preserve">0.02 </w:t>
            </w:r>
            <w:r w:rsidRPr="00EA3249">
              <w:rPr>
                <w:rFonts w:ascii="Arial" w:eastAsia="Times New Roman" w:hAnsi="Arial" w:cs="Arial"/>
                <w:b/>
                <w:bCs/>
                <w:sz w:val="20"/>
                <w:szCs w:val="20"/>
              </w:rPr>
              <w:t>a</w:t>
            </w:r>
          </w:p>
        </w:tc>
        <w:tc>
          <w:tcPr>
            <w:tcW w:w="126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 xml:space="preserve">37.5 ± 1.14 </w:t>
            </w:r>
            <w:r w:rsidRPr="00EA3249">
              <w:rPr>
                <w:rFonts w:ascii="Arial" w:eastAsia="Times New Roman" w:hAnsi="Arial" w:cs="Arial"/>
                <w:b/>
                <w:bCs/>
                <w:sz w:val="20"/>
                <w:szCs w:val="20"/>
              </w:rPr>
              <w:lastRenderedPageBreak/>
              <w:t>b</w:t>
            </w:r>
          </w:p>
        </w:tc>
        <w:tc>
          <w:tcPr>
            <w:tcW w:w="1147"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 xml:space="preserve">5.39 ± </w:t>
            </w:r>
            <w:r w:rsidRPr="00EA3249">
              <w:rPr>
                <w:rFonts w:ascii="Arial" w:eastAsia="Times New Roman" w:hAnsi="Arial" w:cs="Arial"/>
                <w:sz w:val="20"/>
                <w:szCs w:val="20"/>
              </w:rPr>
              <w:lastRenderedPageBreak/>
              <w:t xml:space="preserve">0.18 </w:t>
            </w:r>
            <w:r w:rsidRPr="00EA3249">
              <w:rPr>
                <w:rFonts w:ascii="Arial" w:eastAsia="Times New Roman" w:hAnsi="Arial" w:cs="Arial"/>
                <w:b/>
                <w:bCs/>
                <w:sz w:val="20"/>
                <w:szCs w:val="20"/>
              </w:rPr>
              <w:t>ab</w:t>
            </w:r>
          </w:p>
        </w:tc>
        <w:tc>
          <w:tcPr>
            <w:tcW w:w="1049"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 xml:space="preserve">0.036 ± </w:t>
            </w:r>
            <w:r w:rsidRPr="00EA3249">
              <w:rPr>
                <w:rFonts w:ascii="Arial" w:eastAsia="Times New Roman" w:hAnsi="Arial" w:cs="Arial"/>
                <w:sz w:val="20"/>
                <w:szCs w:val="20"/>
              </w:rPr>
              <w:lastRenderedPageBreak/>
              <w:t xml:space="preserve">0.009 </w:t>
            </w:r>
            <w:r w:rsidRPr="00EA3249">
              <w:rPr>
                <w:rFonts w:ascii="Arial" w:eastAsia="Times New Roman" w:hAnsi="Arial" w:cs="Arial"/>
                <w:b/>
                <w:bCs/>
                <w:sz w:val="20"/>
                <w:szCs w:val="20"/>
              </w:rPr>
              <w:t>a</w:t>
            </w:r>
          </w:p>
        </w:tc>
        <w:tc>
          <w:tcPr>
            <w:tcW w:w="11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 xml:space="preserve">101.64 ± </w:t>
            </w:r>
            <w:r w:rsidRPr="00EA3249">
              <w:rPr>
                <w:rFonts w:ascii="Arial" w:eastAsia="Times New Roman" w:hAnsi="Arial" w:cs="Arial"/>
                <w:sz w:val="20"/>
                <w:szCs w:val="20"/>
              </w:rPr>
              <w:lastRenderedPageBreak/>
              <w:t xml:space="preserve">6.89 </w:t>
            </w:r>
            <w:r w:rsidRPr="00EA3249">
              <w:rPr>
                <w:rFonts w:ascii="Arial" w:eastAsia="Times New Roman" w:hAnsi="Arial" w:cs="Arial"/>
                <w:b/>
                <w:bCs/>
                <w:sz w:val="20"/>
                <w:szCs w:val="20"/>
              </w:rPr>
              <w:t>d</w:t>
            </w:r>
          </w:p>
        </w:tc>
        <w:tc>
          <w:tcPr>
            <w:tcW w:w="1064"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 xml:space="preserve">16.07 ± </w:t>
            </w:r>
            <w:r w:rsidRPr="00EA3249">
              <w:rPr>
                <w:rFonts w:ascii="Arial" w:eastAsia="Times New Roman" w:hAnsi="Arial" w:cs="Arial"/>
                <w:sz w:val="20"/>
                <w:szCs w:val="20"/>
              </w:rPr>
              <w:lastRenderedPageBreak/>
              <w:t xml:space="preserve">1.29 </w:t>
            </w:r>
            <w:r w:rsidRPr="00EA3249">
              <w:rPr>
                <w:rFonts w:ascii="Arial" w:eastAsia="Times New Roman" w:hAnsi="Arial" w:cs="Arial"/>
                <w:b/>
                <w:bCs/>
                <w:sz w:val="20"/>
                <w:szCs w:val="20"/>
              </w:rPr>
              <w:t>d</w:t>
            </w:r>
          </w:p>
        </w:tc>
        <w:tc>
          <w:tcPr>
            <w:tcW w:w="13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 xml:space="preserve">113.5 ± </w:t>
            </w:r>
            <w:r w:rsidRPr="00EA3249">
              <w:rPr>
                <w:rFonts w:ascii="Arial" w:eastAsia="Times New Roman" w:hAnsi="Arial" w:cs="Arial"/>
                <w:sz w:val="20"/>
                <w:szCs w:val="20"/>
              </w:rPr>
              <w:lastRenderedPageBreak/>
              <w:t xml:space="preserve">4.17 </w:t>
            </w:r>
            <w:r w:rsidRPr="00EA3249">
              <w:rPr>
                <w:rFonts w:ascii="Arial" w:eastAsia="Times New Roman" w:hAnsi="Arial" w:cs="Arial"/>
                <w:b/>
                <w:bCs/>
                <w:sz w:val="20"/>
                <w:szCs w:val="20"/>
              </w:rPr>
              <w:t>c</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 xml:space="preserve">0.62 ± </w:t>
            </w:r>
            <w:r w:rsidRPr="00EA3249">
              <w:rPr>
                <w:rFonts w:ascii="Arial" w:eastAsia="Times New Roman" w:hAnsi="Arial" w:cs="Arial"/>
                <w:sz w:val="20"/>
                <w:szCs w:val="20"/>
              </w:rPr>
              <w:lastRenderedPageBreak/>
              <w:t xml:space="preserve">0.04 </w:t>
            </w:r>
            <w:r w:rsidRPr="00EA3249">
              <w:rPr>
                <w:rFonts w:ascii="Arial" w:eastAsia="Times New Roman" w:hAnsi="Arial" w:cs="Arial"/>
                <w:b/>
                <w:bCs/>
                <w:sz w:val="20"/>
                <w:szCs w:val="20"/>
              </w:rPr>
              <w:t>d</w:t>
            </w:r>
          </w:p>
        </w:tc>
      </w:tr>
      <w:tr w:rsidR="003E6911" w:rsidRPr="00EA3249" w:rsidTr="00536214">
        <w:tc>
          <w:tcPr>
            <w:tcW w:w="1098"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Paddy</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1.25 ± 0.09 </w:t>
            </w:r>
            <w:r w:rsidRPr="00EA3249">
              <w:rPr>
                <w:rFonts w:ascii="Arial" w:eastAsia="Times New Roman" w:hAnsi="Arial" w:cs="Arial"/>
                <w:b/>
                <w:bCs/>
                <w:sz w:val="20"/>
                <w:szCs w:val="20"/>
              </w:rPr>
              <w:t>c</w:t>
            </w:r>
          </w:p>
        </w:tc>
        <w:tc>
          <w:tcPr>
            <w:tcW w:w="126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46.5 ± 2.01 </w:t>
            </w:r>
            <w:r w:rsidRPr="00EA3249">
              <w:rPr>
                <w:rFonts w:ascii="Arial" w:eastAsia="Times New Roman" w:hAnsi="Arial" w:cs="Arial"/>
                <w:b/>
                <w:bCs/>
                <w:sz w:val="20"/>
                <w:szCs w:val="20"/>
              </w:rPr>
              <w:t>a</w:t>
            </w:r>
          </w:p>
        </w:tc>
        <w:tc>
          <w:tcPr>
            <w:tcW w:w="1147"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5.07 ± 0.12 </w:t>
            </w:r>
            <w:r w:rsidRPr="00EA3249">
              <w:rPr>
                <w:rFonts w:ascii="Arial" w:eastAsia="Times New Roman" w:hAnsi="Arial" w:cs="Arial"/>
                <w:b/>
                <w:bCs/>
                <w:sz w:val="20"/>
                <w:szCs w:val="20"/>
              </w:rPr>
              <w:t>b</w:t>
            </w:r>
          </w:p>
        </w:tc>
        <w:tc>
          <w:tcPr>
            <w:tcW w:w="1049"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0.036 ± 0.009 </w:t>
            </w:r>
            <w:r w:rsidRPr="00EA3249">
              <w:rPr>
                <w:rFonts w:ascii="Arial" w:eastAsia="Times New Roman" w:hAnsi="Arial" w:cs="Arial"/>
                <w:b/>
                <w:bCs/>
                <w:sz w:val="20"/>
                <w:szCs w:val="20"/>
              </w:rPr>
              <w:t>a</w:t>
            </w:r>
          </w:p>
        </w:tc>
        <w:tc>
          <w:tcPr>
            <w:tcW w:w="11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330.37 ± 30.61 </w:t>
            </w:r>
            <w:r w:rsidRPr="00EA3249">
              <w:rPr>
                <w:rFonts w:ascii="Arial" w:eastAsia="Times New Roman" w:hAnsi="Arial" w:cs="Arial"/>
                <w:b/>
                <w:bCs/>
                <w:sz w:val="20"/>
                <w:szCs w:val="20"/>
              </w:rPr>
              <w:t>a</w:t>
            </w:r>
          </w:p>
        </w:tc>
        <w:tc>
          <w:tcPr>
            <w:tcW w:w="1064"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25.38 ± 1.89 </w:t>
            </w:r>
            <w:r w:rsidRPr="00EA3249">
              <w:rPr>
                <w:rFonts w:ascii="Arial" w:eastAsia="Times New Roman" w:hAnsi="Arial" w:cs="Arial"/>
                <w:b/>
                <w:bCs/>
                <w:sz w:val="20"/>
                <w:szCs w:val="20"/>
              </w:rPr>
              <w:t>c</w:t>
            </w:r>
          </w:p>
        </w:tc>
        <w:tc>
          <w:tcPr>
            <w:tcW w:w="13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104.9 ± 17.78 </w:t>
            </w:r>
            <w:r w:rsidRPr="00EA3249">
              <w:rPr>
                <w:rFonts w:ascii="Arial" w:eastAsia="Times New Roman" w:hAnsi="Arial" w:cs="Arial"/>
                <w:b/>
                <w:bCs/>
                <w:sz w:val="20"/>
                <w:szCs w:val="20"/>
              </w:rPr>
              <w:t>c</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1.32 ± 0.06 </w:t>
            </w:r>
            <w:r w:rsidRPr="00EA3249">
              <w:rPr>
                <w:rFonts w:ascii="Arial" w:eastAsia="Times New Roman" w:hAnsi="Arial" w:cs="Arial"/>
                <w:b/>
                <w:bCs/>
                <w:sz w:val="20"/>
                <w:szCs w:val="20"/>
              </w:rPr>
              <w:t>c</w:t>
            </w:r>
          </w:p>
        </w:tc>
      </w:tr>
      <w:tr w:rsidR="003E6911" w:rsidRPr="00EA3249" w:rsidTr="00536214">
        <w:tc>
          <w:tcPr>
            <w:tcW w:w="1098"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Flower Crops</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1.57 ± 0.06 </w:t>
            </w:r>
            <w:r w:rsidRPr="00EA3249">
              <w:rPr>
                <w:rFonts w:ascii="Arial" w:eastAsia="Times New Roman" w:hAnsi="Arial" w:cs="Arial"/>
                <w:b/>
                <w:bCs/>
                <w:sz w:val="20"/>
                <w:szCs w:val="20"/>
              </w:rPr>
              <w:t>a</w:t>
            </w:r>
          </w:p>
        </w:tc>
        <w:tc>
          <w:tcPr>
            <w:tcW w:w="126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38.9 ± 4.00 </w:t>
            </w:r>
            <w:r w:rsidRPr="00EA3249">
              <w:rPr>
                <w:rFonts w:ascii="Arial" w:eastAsia="Times New Roman" w:hAnsi="Arial" w:cs="Arial"/>
                <w:b/>
                <w:bCs/>
                <w:sz w:val="20"/>
                <w:szCs w:val="20"/>
              </w:rPr>
              <w:t>b</w:t>
            </w:r>
          </w:p>
        </w:tc>
        <w:tc>
          <w:tcPr>
            <w:tcW w:w="1147"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5.97 ± 0.28 </w:t>
            </w:r>
            <w:r w:rsidRPr="00EA3249">
              <w:rPr>
                <w:rFonts w:ascii="Arial" w:eastAsia="Times New Roman" w:hAnsi="Arial" w:cs="Arial"/>
                <w:b/>
                <w:bCs/>
                <w:sz w:val="20"/>
                <w:szCs w:val="20"/>
              </w:rPr>
              <w:t>a</w:t>
            </w:r>
          </w:p>
        </w:tc>
        <w:tc>
          <w:tcPr>
            <w:tcW w:w="1049"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0.033 ± 0.007 </w:t>
            </w:r>
            <w:r w:rsidRPr="00EA3249">
              <w:rPr>
                <w:rFonts w:ascii="Arial" w:eastAsia="Times New Roman" w:hAnsi="Arial" w:cs="Arial"/>
                <w:b/>
                <w:bCs/>
                <w:sz w:val="20"/>
                <w:szCs w:val="20"/>
              </w:rPr>
              <w:t>a</w:t>
            </w:r>
          </w:p>
        </w:tc>
        <w:tc>
          <w:tcPr>
            <w:tcW w:w="11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115.56 ± 27.79 </w:t>
            </w:r>
            <w:r w:rsidRPr="00EA3249">
              <w:rPr>
                <w:rFonts w:ascii="Arial" w:eastAsia="Times New Roman" w:hAnsi="Arial" w:cs="Arial"/>
                <w:b/>
                <w:bCs/>
                <w:sz w:val="20"/>
                <w:szCs w:val="20"/>
              </w:rPr>
              <w:t>d</w:t>
            </w:r>
          </w:p>
        </w:tc>
        <w:tc>
          <w:tcPr>
            <w:tcW w:w="1064"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42.11 ± 2.56 </w:t>
            </w:r>
            <w:r w:rsidRPr="00EA3249">
              <w:rPr>
                <w:rFonts w:ascii="Arial" w:eastAsia="Times New Roman" w:hAnsi="Arial" w:cs="Arial"/>
                <w:b/>
                <w:bCs/>
                <w:sz w:val="20"/>
                <w:szCs w:val="20"/>
              </w:rPr>
              <w:t>a</w:t>
            </w:r>
          </w:p>
        </w:tc>
        <w:tc>
          <w:tcPr>
            <w:tcW w:w="13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218.6 ± 3.08 </w:t>
            </w:r>
            <w:r w:rsidRPr="00EA3249">
              <w:rPr>
                <w:rFonts w:ascii="Arial" w:eastAsia="Times New Roman" w:hAnsi="Arial" w:cs="Arial"/>
                <w:b/>
                <w:bCs/>
                <w:sz w:val="20"/>
                <w:szCs w:val="20"/>
              </w:rPr>
              <w:t>a</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1.57 ± 0.09 </w:t>
            </w:r>
            <w:r w:rsidRPr="00EA3249">
              <w:rPr>
                <w:rFonts w:ascii="Arial" w:eastAsia="Times New Roman" w:hAnsi="Arial" w:cs="Arial"/>
                <w:b/>
                <w:bCs/>
                <w:sz w:val="20"/>
                <w:szCs w:val="20"/>
              </w:rPr>
              <w:t>b</w:t>
            </w:r>
          </w:p>
        </w:tc>
      </w:tr>
      <w:tr w:rsidR="003E6911" w:rsidRPr="00EA3249" w:rsidTr="00536214">
        <w:tc>
          <w:tcPr>
            <w:tcW w:w="1098"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Fruit-based Homestead</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1.40 ± 0.06 </w:t>
            </w:r>
            <w:r w:rsidRPr="00EA3249">
              <w:rPr>
                <w:rFonts w:ascii="Arial" w:eastAsia="Times New Roman" w:hAnsi="Arial" w:cs="Arial"/>
                <w:b/>
                <w:bCs/>
                <w:sz w:val="20"/>
                <w:szCs w:val="20"/>
              </w:rPr>
              <w:t>b</w:t>
            </w:r>
          </w:p>
        </w:tc>
        <w:tc>
          <w:tcPr>
            <w:tcW w:w="126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39.6 ± 2.79 </w:t>
            </w:r>
            <w:r w:rsidRPr="00EA3249">
              <w:rPr>
                <w:rFonts w:ascii="Arial" w:eastAsia="Times New Roman" w:hAnsi="Arial" w:cs="Arial"/>
                <w:b/>
                <w:bCs/>
                <w:sz w:val="20"/>
                <w:szCs w:val="20"/>
              </w:rPr>
              <w:t>b</w:t>
            </w:r>
          </w:p>
        </w:tc>
        <w:tc>
          <w:tcPr>
            <w:tcW w:w="1147"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5.63 ± 0.32 </w:t>
            </w:r>
            <w:r w:rsidRPr="00EA3249">
              <w:rPr>
                <w:rFonts w:ascii="Arial" w:eastAsia="Times New Roman" w:hAnsi="Arial" w:cs="Arial"/>
                <w:b/>
                <w:bCs/>
                <w:sz w:val="20"/>
                <w:szCs w:val="20"/>
              </w:rPr>
              <w:t>ab</w:t>
            </w:r>
          </w:p>
        </w:tc>
        <w:tc>
          <w:tcPr>
            <w:tcW w:w="1049"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0.086 ± 0.008 </w:t>
            </w:r>
            <w:r w:rsidRPr="00EA3249">
              <w:rPr>
                <w:rFonts w:ascii="Arial" w:eastAsia="Times New Roman" w:hAnsi="Arial" w:cs="Arial"/>
                <w:b/>
                <w:bCs/>
                <w:sz w:val="20"/>
                <w:szCs w:val="20"/>
              </w:rPr>
              <w:t>a</w:t>
            </w:r>
          </w:p>
        </w:tc>
        <w:tc>
          <w:tcPr>
            <w:tcW w:w="11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326.71 ± 15.43 </w:t>
            </w:r>
            <w:r w:rsidRPr="00EA3249">
              <w:rPr>
                <w:rFonts w:ascii="Arial" w:eastAsia="Times New Roman" w:hAnsi="Arial" w:cs="Arial"/>
                <w:b/>
                <w:bCs/>
                <w:sz w:val="20"/>
                <w:szCs w:val="20"/>
              </w:rPr>
              <w:t>a</w:t>
            </w:r>
          </w:p>
        </w:tc>
        <w:tc>
          <w:tcPr>
            <w:tcW w:w="1064"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31.43 ± 1.14 </w:t>
            </w:r>
            <w:r w:rsidRPr="00EA3249">
              <w:rPr>
                <w:rFonts w:ascii="Arial" w:eastAsia="Times New Roman" w:hAnsi="Arial" w:cs="Arial"/>
                <w:b/>
                <w:bCs/>
                <w:sz w:val="20"/>
                <w:szCs w:val="20"/>
              </w:rPr>
              <w:t>b</w:t>
            </w:r>
          </w:p>
        </w:tc>
        <w:tc>
          <w:tcPr>
            <w:tcW w:w="13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149.6 ± 6.94 </w:t>
            </w:r>
            <w:r w:rsidRPr="00EA3249">
              <w:rPr>
                <w:rFonts w:ascii="Arial" w:eastAsia="Times New Roman" w:hAnsi="Arial" w:cs="Arial"/>
                <w:b/>
                <w:bCs/>
                <w:sz w:val="20"/>
                <w:szCs w:val="20"/>
              </w:rPr>
              <w:t>b</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2.02 ± 0.06 </w:t>
            </w:r>
            <w:r w:rsidRPr="00EA3249">
              <w:rPr>
                <w:rFonts w:ascii="Arial" w:eastAsia="Times New Roman" w:hAnsi="Arial" w:cs="Arial"/>
                <w:b/>
                <w:bCs/>
                <w:sz w:val="20"/>
                <w:szCs w:val="20"/>
              </w:rPr>
              <w:t>a</w:t>
            </w:r>
          </w:p>
        </w:tc>
      </w:tr>
      <w:tr w:rsidR="003E6911" w:rsidRPr="00EA3249" w:rsidTr="00536214">
        <w:tc>
          <w:tcPr>
            <w:tcW w:w="1098"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Rice-Vegetable</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1.32 ± 0.12 </w:t>
            </w:r>
            <w:proofErr w:type="spellStart"/>
            <w:r w:rsidRPr="00EA3249">
              <w:rPr>
                <w:rFonts w:ascii="Arial" w:eastAsia="Times New Roman" w:hAnsi="Arial" w:cs="Arial"/>
                <w:b/>
                <w:bCs/>
                <w:sz w:val="20"/>
                <w:szCs w:val="20"/>
              </w:rPr>
              <w:t>bc</w:t>
            </w:r>
            <w:proofErr w:type="spellEnd"/>
          </w:p>
        </w:tc>
        <w:tc>
          <w:tcPr>
            <w:tcW w:w="126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40.3 ± 3.99 </w:t>
            </w:r>
            <w:r w:rsidRPr="00EA3249">
              <w:rPr>
                <w:rFonts w:ascii="Arial" w:eastAsia="Times New Roman" w:hAnsi="Arial" w:cs="Arial"/>
                <w:b/>
                <w:bCs/>
                <w:sz w:val="20"/>
                <w:szCs w:val="20"/>
              </w:rPr>
              <w:t>b</w:t>
            </w:r>
          </w:p>
        </w:tc>
        <w:tc>
          <w:tcPr>
            <w:tcW w:w="1147"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5.41 ± 0.27 </w:t>
            </w:r>
            <w:r w:rsidRPr="00EA3249">
              <w:rPr>
                <w:rFonts w:ascii="Arial" w:eastAsia="Times New Roman" w:hAnsi="Arial" w:cs="Arial"/>
                <w:b/>
                <w:bCs/>
                <w:sz w:val="20"/>
                <w:szCs w:val="20"/>
              </w:rPr>
              <w:t>ab</w:t>
            </w:r>
          </w:p>
        </w:tc>
        <w:tc>
          <w:tcPr>
            <w:tcW w:w="1049"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0.191 ± 0.12 </w:t>
            </w:r>
            <w:r w:rsidRPr="00EA3249">
              <w:rPr>
                <w:rFonts w:ascii="Arial" w:eastAsia="Times New Roman" w:hAnsi="Arial" w:cs="Arial"/>
                <w:b/>
                <w:bCs/>
                <w:sz w:val="20"/>
                <w:szCs w:val="20"/>
              </w:rPr>
              <w:t>a</w:t>
            </w:r>
          </w:p>
        </w:tc>
        <w:tc>
          <w:tcPr>
            <w:tcW w:w="11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348.04 ± 18.16 </w:t>
            </w:r>
            <w:r w:rsidRPr="00EA3249">
              <w:rPr>
                <w:rFonts w:ascii="Arial" w:eastAsia="Times New Roman" w:hAnsi="Arial" w:cs="Arial"/>
                <w:b/>
                <w:bCs/>
                <w:sz w:val="20"/>
                <w:szCs w:val="20"/>
              </w:rPr>
              <w:t>a</w:t>
            </w:r>
          </w:p>
        </w:tc>
        <w:tc>
          <w:tcPr>
            <w:tcW w:w="1064"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32.05 ± 2.56 </w:t>
            </w:r>
            <w:r w:rsidRPr="00EA3249">
              <w:rPr>
                <w:rFonts w:ascii="Arial" w:eastAsia="Times New Roman" w:hAnsi="Arial" w:cs="Arial"/>
                <w:b/>
                <w:bCs/>
                <w:sz w:val="20"/>
                <w:szCs w:val="20"/>
              </w:rPr>
              <w:t>b</w:t>
            </w:r>
          </w:p>
        </w:tc>
        <w:tc>
          <w:tcPr>
            <w:tcW w:w="1305"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148.3 ± 4.93 </w:t>
            </w:r>
            <w:r w:rsidRPr="00EA3249">
              <w:rPr>
                <w:rFonts w:ascii="Arial" w:eastAsia="Times New Roman" w:hAnsi="Arial" w:cs="Arial"/>
                <w:b/>
                <w:bCs/>
                <w:sz w:val="20"/>
                <w:szCs w:val="20"/>
              </w:rPr>
              <w:t>b</w:t>
            </w:r>
          </w:p>
        </w:tc>
        <w:tc>
          <w:tcPr>
            <w:tcW w:w="990" w:type="dxa"/>
            <w:hideMark/>
          </w:tcPr>
          <w:p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1.66 ± 0.03 </w:t>
            </w:r>
            <w:r w:rsidRPr="00EA3249">
              <w:rPr>
                <w:rFonts w:ascii="Arial" w:eastAsia="Times New Roman" w:hAnsi="Arial" w:cs="Arial"/>
                <w:b/>
                <w:bCs/>
                <w:sz w:val="20"/>
                <w:szCs w:val="20"/>
              </w:rPr>
              <w:t>b</w:t>
            </w:r>
          </w:p>
        </w:tc>
      </w:tr>
    </w:tbl>
    <w:p w:rsidR="00C863FA" w:rsidRPr="00EA3249" w:rsidRDefault="006C2A98" w:rsidP="00BF6CF0">
      <w:pPr>
        <w:pStyle w:val="NormalWeb"/>
        <w:spacing w:line="360" w:lineRule="auto"/>
        <w:rPr>
          <w:rFonts w:ascii="Arial" w:hAnsi="Arial" w:cs="Arial"/>
          <w:sz w:val="20"/>
          <w:szCs w:val="20"/>
        </w:rPr>
      </w:pPr>
      <w:r w:rsidRPr="00EA3249">
        <w:rPr>
          <w:rFonts w:ascii="Arial" w:hAnsi="Arial" w:cs="Arial"/>
          <w:sz w:val="20"/>
          <w:szCs w:val="20"/>
        </w:rPr>
        <w:t xml:space="preserve">* Values are </w:t>
      </w:r>
      <w:r w:rsidRPr="00EA3249">
        <w:rPr>
          <w:rStyle w:val="Strong"/>
          <w:rFonts w:ascii="Arial" w:hAnsi="Arial" w:cs="Arial"/>
          <w:sz w:val="20"/>
          <w:szCs w:val="20"/>
        </w:rPr>
        <w:t>mean ± SE</w:t>
      </w:r>
      <w:r w:rsidRPr="00EA3249">
        <w:rPr>
          <w:rFonts w:ascii="Arial" w:hAnsi="Arial" w:cs="Arial"/>
          <w:sz w:val="20"/>
          <w:szCs w:val="20"/>
        </w:rPr>
        <w:t xml:space="preserve">. Means sharing the </w:t>
      </w:r>
      <w:r w:rsidRPr="00EA3249">
        <w:rPr>
          <w:rStyle w:val="Strong"/>
          <w:rFonts w:ascii="Arial" w:hAnsi="Arial" w:cs="Arial"/>
          <w:sz w:val="20"/>
          <w:szCs w:val="20"/>
        </w:rPr>
        <w:t>same letter</w:t>
      </w:r>
      <w:r w:rsidRPr="00EA3249">
        <w:rPr>
          <w:rFonts w:ascii="Arial" w:hAnsi="Arial" w:cs="Arial"/>
          <w:sz w:val="20"/>
          <w:szCs w:val="20"/>
        </w:rPr>
        <w:t xml:space="preserve"> in a column are </w:t>
      </w:r>
      <w:r w:rsidRPr="00EA3249">
        <w:rPr>
          <w:rStyle w:val="Strong"/>
          <w:rFonts w:ascii="Arial" w:hAnsi="Arial" w:cs="Arial"/>
          <w:sz w:val="20"/>
          <w:szCs w:val="20"/>
        </w:rPr>
        <w:t>not significantly different</w:t>
      </w:r>
      <w:r w:rsidRPr="00EA3249">
        <w:rPr>
          <w:rFonts w:ascii="Arial" w:hAnsi="Arial" w:cs="Arial"/>
          <w:sz w:val="20"/>
          <w:szCs w:val="20"/>
        </w:rPr>
        <w:t xml:space="preserve"> at </w:t>
      </w:r>
      <w:r w:rsidRPr="00EA3249">
        <w:rPr>
          <w:rStyle w:val="Emphasis"/>
          <w:rFonts w:ascii="Arial" w:hAnsi="Arial" w:cs="Arial"/>
          <w:sz w:val="20"/>
          <w:szCs w:val="20"/>
        </w:rPr>
        <w:t>p ≤ 0.05</w:t>
      </w:r>
    </w:p>
    <w:p w:rsidR="00805CA0" w:rsidRPr="00EA3249" w:rsidRDefault="004C3816" w:rsidP="00BF6CF0">
      <w:pPr>
        <w:pStyle w:val="NormalWeb"/>
        <w:keepNext/>
        <w:spacing w:line="360" w:lineRule="auto"/>
        <w:rPr>
          <w:rFonts w:ascii="Arial" w:hAnsi="Arial" w:cs="Arial"/>
          <w:sz w:val="20"/>
          <w:szCs w:val="20"/>
        </w:rPr>
      </w:pPr>
      <w:r w:rsidRPr="00EA3249">
        <w:rPr>
          <w:rFonts w:ascii="Arial" w:hAnsi="Arial" w:cs="Arial"/>
          <w:noProof/>
          <w:sz w:val="20"/>
          <w:szCs w:val="20"/>
        </w:rPr>
        <w:lastRenderedPageBreak/>
        <w:drawing>
          <wp:anchor distT="0" distB="0" distL="114300" distR="114300" simplePos="0" relativeHeight="251658240" behindDoc="0" locked="0" layoutInCell="1" allowOverlap="1">
            <wp:simplePos x="0" y="0"/>
            <wp:positionH relativeFrom="column">
              <wp:posOffset>-293370</wp:posOffset>
            </wp:positionH>
            <wp:positionV relativeFrom="paragraph">
              <wp:posOffset>0</wp:posOffset>
            </wp:positionV>
            <wp:extent cx="5186680" cy="6458585"/>
            <wp:effectExtent l="19050" t="0" r="0" b="0"/>
            <wp:wrapThrough wrapText="bothSides">
              <wp:wrapPolygon edited="0">
                <wp:start x="-79" y="0"/>
                <wp:lineTo x="-79" y="21534"/>
                <wp:lineTo x="21579" y="21534"/>
                <wp:lineTo x="21579" y="0"/>
                <wp:lineTo x="-79" y="0"/>
              </wp:wrapPolygon>
            </wp:wrapThrough>
            <wp:docPr id="1" name="Picture 1" descr="C:\Users\ASUS\Downloads\ae5f9650-0caf-4de4-ad91-4d20fb6d2d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ae5f9650-0caf-4de4-ad91-4d20fb6d2d6b.png"/>
                    <pic:cNvPicPr>
                      <a:picLocks noChangeAspect="1" noChangeArrowheads="1"/>
                    </pic:cNvPicPr>
                  </pic:nvPicPr>
                  <pic:blipFill>
                    <a:blip r:embed="rId8" cstate="print"/>
                    <a:srcRect t="2171"/>
                    <a:stretch>
                      <a:fillRect/>
                    </a:stretch>
                  </pic:blipFill>
                  <pic:spPr bwMode="auto">
                    <a:xfrm>
                      <a:off x="0" y="0"/>
                      <a:ext cx="5186680" cy="6458585"/>
                    </a:xfrm>
                    <a:prstGeom prst="rect">
                      <a:avLst/>
                    </a:prstGeom>
                    <a:noFill/>
                    <a:ln w="9525">
                      <a:noFill/>
                      <a:miter lim="800000"/>
                      <a:headEnd/>
                      <a:tailEnd/>
                    </a:ln>
                  </pic:spPr>
                </pic:pic>
              </a:graphicData>
            </a:graphic>
          </wp:anchor>
        </w:drawing>
      </w: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3949A1" w:rsidRPr="00EA3249" w:rsidRDefault="003949A1" w:rsidP="00BF6CF0">
      <w:pPr>
        <w:pStyle w:val="Caption"/>
        <w:spacing w:line="360" w:lineRule="auto"/>
        <w:rPr>
          <w:rFonts w:ascii="Arial" w:hAnsi="Arial" w:cs="Arial"/>
          <w:color w:val="auto"/>
          <w:sz w:val="20"/>
          <w:szCs w:val="20"/>
        </w:rPr>
      </w:pPr>
    </w:p>
    <w:p w:rsidR="0046145D" w:rsidRDefault="0046145D" w:rsidP="00BF6CF0">
      <w:pPr>
        <w:pStyle w:val="Caption"/>
        <w:spacing w:line="360" w:lineRule="auto"/>
        <w:rPr>
          <w:rFonts w:ascii="Arial" w:hAnsi="Arial" w:cs="Arial"/>
          <w:color w:val="auto"/>
          <w:sz w:val="20"/>
          <w:szCs w:val="20"/>
        </w:rPr>
      </w:pPr>
    </w:p>
    <w:p w:rsidR="0046145D" w:rsidRDefault="0046145D" w:rsidP="00BF6CF0">
      <w:pPr>
        <w:pStyle w:val="Caption"/>
        <w:spacing w:line="360" w:lineRule="auto"/>
        <w:rPr>
          <w:rFonts w:ascii="Arial" w:hAnsi="Arial" w:cs="Arial"/>
          <w:color w:val="auto"/>
          <w:sz w:val="20"/>
          <w:szCs w:val="20"/>
        </w:rPr>
      </w:pPr>
    </w:p>
    <w:p w:rsidR="004C3816" w:rsidRPr="00EA3249" w:rsidRDefault="00805CA0" w:rsidP="00BF6CF0">
      <w:pPr>
        <w:pStyle w:val="Caption"/>
        <w:spacing w:line="360" w:lineRule="auto"/>
        <w:rPr>
          <w:rFonts w:ascii="Arial" w:hAnsi="Arial" w:cs="Arial"/>
          <w:color w:val="auto"/>
          <w:sz w:val="20"/>
          <w:szCs w:val="20"/>
        </w:rPr>
      </w:pPr>
      <w:r w:rsidRPr="00EA3249">
        <w:rPr>
          <w:rFonts w:ascii="Arial" w:hAnsi="Arial" w:cs="Arial"/>
          <w:color w:val="auto"/>
          <w:sz w:val="20"/>
          <w:szCs w:val="20"/>
        </w:rPr>
        <w:t xml:space="preserve">Figure </w:t>
      </w:r>
      <w:r w:rsidR="00921791" w:rsidRPr="00EA3249">
        <w:rPr>
          <w:rFonts w:ascii="Arial" w:hAnsi="Arial" w:cs="Arial"/>
          <w:color w:val="auto"/>
          <w:sz w:val="20"/>
          <w:szCs w:val="20"/>
        </w:rPr>
        <w:fldChar w:fldCharType="begin"/>
      </w:r>
      <w:r w:rsidR="004D0783" w:rsidRPr="00EA3249">
        <w:rPr>
          <w:rFonts w:ascii="Arial" w:hAnsi="Arial" w:cs="Arial"/>
          <w:color w:val="auto"/>
          <w:sz w:val="20"/>
          <w:szCs w:val="20"/>
        </w:rPr>
        <w:instrText xml:space="preserve"> SEQ Figure \* ARABIC </w:instrText>
      </w:r>
      <w:r w:rsidR="00921791" w:rsidRPr="00EA3249">
        <w:rPr>
          <w:rFonts w:ascii="Arial" w:hAnsi="Arial" w:cs="Arial"/>
          <w:color w:val="auto"/>
          <w:sz w:val="20"/>
          <w:szCs w:val="20"/>
        </w:rPr>
        <w:fldChar w:fldCharType="separate"/>
      </w:r>
      <w:r w:rsidRPr="00EA3249">
        <w:rPr>
          <w:rFonts w:ascii="Arial" w:hAnsi="Arial" w:cs="Arial"/>
          <w:noProof/>
          <w:color w:val="auto"/>
          <w:sz w:val="20"/>
          <w:szCs w:val="20"/>
        </w:rPr>
        <w:t>1</w:t>
      </w:r>
      <w:r w:rsidR="00921791" w:rsidRPr="00EA3249">
        <w:rPr>
          <w:rFonts w:ascii="Arial" w:hAnsi="Arial" w:cs="Arial"/>
          <w:color w:val="auto"/>
          <w:sz w:val="20"/>
          <w:szCs w:val="20"/>
        </w:rPr>
        <w:fldChar w:fldCharType="end"/>
      </w:r>
      <w:r w:rsidRPr="00EA3249">
        <w:rPr>
          <w:rFonts w:ascii="Arial" w:hAnsi="Arial" w:cs="Arial"/>
          <w:color w:val="auto"/>
          <w:sz w:val="20"/>
          <w:szCs w:val="20"/>
        </w:rPr>
        <w:t xml:space="preserve"> Boxplot</w:t>
      </w:r>
      <w:r w:rsidR="00C863FA" w:rsidRPr="00EA3249">
        <w:rPr>
          <w:rFonts w:ascii="Arial" w:hAnsi="Arial" w:cs="Arial"/>
          <w:color w:val="auto"/>
          <w:sz w:val="20"/>
          <w:szCs w:val="20"/>
        </w:rPr>
        <w:t>s</w:t>
      </w:r>
      <w:r w:rsidRPr="00EA3249">
        <w:rPr>
          <w:rFonts w:ascii="Arial" w:hAnsi="Arial" w:cs="Arial"/>
          <w:color w:val="auto"/>
          <w:sz w:val="20"/>
          <w:szCs w:val="20"/>
        </w:rPr>
        <w:t xml:space="preserve"> showing soil </w:t>
      </w:r>
      <w:proofErr w:type="spellStart"/>
      <w:r w:rsidRPr="00EA3249">
        <w:rPr>
          <w:rFonts w:ascii="Arial" w:hAnsi="Arial" w:cs="Arial"/>
          <w:color w:val="auto"/>
          <w:sz w:val="20"/>
          <w:szCs w:val="20"/>
        </w:rPr>
        <w:t>physico</w:t>
      </w:r>
      <w:proofErr w:type="spellEnd"/>
      <w:r w:rsidRPr="00EA3249">
        <w:rPr>
          <w:rFonts w:ascii="Arial" w:hAnsi="Arial" w:cs="Arial"/>
          <w:color w:val="auto"/>
          <w:sz w:val="20"/>
          <w:szCs w:val="20"/>
        </w:rPr>
        <w:t>-chemical properties across different land use systems (BD-</w:t>
      </w:r>
      <w:proofErr w:type="spellStart"/>
      <w:r w:rsidRPr="00EA3249">
        <w:rPr>
          <w:rFonts w:ascii="Arial" w:hAnsi="Arial" w:cs="Arial"/>
          <w:color w:val="auto"/>
          <w:sz w:val="20"/>
          <w:szCs w:val="20"/>
        </w:rPr>
        <w:t>Bulkdensity</w:t>
      </w:r>
      <w:proofErr w:type="spellEnd"/>
      <w:r w:rsidRPr="00EA3249">
        <w:rPr>
          <w:rFonts w:ascii="Arial" w:hAnsi="Arial" w:cs="Arial"/>
          <w:color w:val="auto"/>
          <w:sz w:val="20"/>
          <w:szCs w:val="20"/>
        </w:rPr>
        <w:t xml:space="preserve"> (g cm</w:t>
      </w:r>
      <w:r w:rsidRPr="00EA3249">
        <w:rPr>
          <w:rFonts w:ascii="Arial" w:hAnsi="Arial" w:cs="Arial"/>
          <w:color w:val="auto"/>
          <w:sz w:val="20"/>
          <w:szCs w:val="20"/>
          <w:vertAlign w:val="superscript"/>
        </w:rPr>
        <w:t>-3</w:t>
      </w:r>
      <w:r w:rsidRPr="00EA3249">
        <w:rPr>
          <w:rFonts w:ascii="Arial" w:hAnsi="Arial" w:cs="Arial"/>
          <w:color w:val="auto"/>
          <w:sz w:val="20"/>
          <w:szCs w:val="20"/>
        </w:rPr>
        <w:t>), PD Particle density (g cm</w:t>
      </w:r>
      <w:r w:rsidRPr="00EA3249">
        <w:rPr>
          <w:rFonts w:ascii="Arial" w:hAnsi="Arial" w:cs="Arial"/>
          <w:color w:val="auto"/>
          <w:sz w:val="20"/>
          <w:szCs w:val="20"/>
          <w:vertAlign w:val="superscript"/>
        </w:rPr>
        <w:t>-3</w:t>
      </w:r>
      <w:r w:rsidRPr="00EA3249">
        <w:rPr>
          <w:rFonts w:ascii="Arial" w:hAnsi="Arial" w:cs="Arial"/>
          <w:color w:val="auto"/>
          <w:sz w:val="20"/>
          <w:szCs w:val="20"/>
        </w:rPr>
        <w:t xml:space="preserve">), </w:t>
      </w:r>
      <w:r w:rsidR="00C863FA" w:rsidRPr="00EA3249">
        <w:rPr>
          <w:rFonts w:ascii="Arial" w:hAnsi="Arial" w:cs="Arial"/>
          <w:color w:val="auto"/>
          <w:sz w:val="20"/>
          <w:szCs w:val="20"/>
        </w:rPr>
        <w:t>N-Available Nitrogen (kg ha</w:t>
      </w:r>
      <w:r w:rsidR="00C863FA" w:rsidRPr="00EA3249">
        <w:rPr>
          <w:rFonts w:ascii="Arial" w:hAnsi="Arial" w:cs="Arial"/>
          <w:color w:val="auto"/>
          <w:sz w:val="20"/>
          <w:szCs w:val="20"/>
          <w:vertAlign w:val="superscript"/>
        </w:rPr>
        <w:t>-1</w:t>
      </w:r>
      <w:r w:rsidR="00C863FA" w:rsidRPr="00EA3249">
        <w:rPr>
          <w:rFonts w:ascii="Arial" w:hAnsi="Arial" w:cs="Arial"/>
          <w:color w:val="auto"/>
          <w:sz w:val="20"/>
          <w:szCs w:val="20"/>
        </w:rPr>
        <w:t>), P</w:t>
      </w:r>
      <w:r w:rsidR="00C863FA" w:rsidRPr="00EA3249">
        <w:rPr>
          <w:rFonts w:ascii="Arial" w:hAnsi="Arial" w:cs="Arial"/>
          <w:color w:val="auto"/>
          <w:sz w:val="20"/>
          <w:szCs w:val="20"/>
          <w:vertAlign w:val="subscript"/>
        </w:rPr>
        <w:t>2</w:t>
      </w:r>
      <w:r w:rsidR="00C863FA" w:rsidRPr="00EA3249">
        <w:rPr>
          <w:rFonts w:ascii="Arial" w:hAnsi="Arial" w:cs="Arial"/>
          <w:color w:val="auto"/>
          <w:sz w:val="20"/>
          <w:szCs w:val="20"/>
        </w:rPr>
        <w:t>O</w:t>
      </w:r>
      <w:r w:rsidR="00C863FA" w:rsidRPr="00EA3249">
        <w:rPr>
          <w:rFonts w:ascii="Arial" w:hAnsi="Arial" w:cs="Arial"/>
          <w:color w:val="auto"/>
          <w:sz w:val="20"/>
          <w:szCs w:val="20"/>
          <w:vertAlign w:val="subscript"/>
        </w:rPr>
        <w:t>5</w:t>
      </w:r>
      <w:r w:rsidR="00C863FA" w:rsidRPr="00EA3249">
        <w:rPr>
          <w:rFonts w:ascii="Arial" w:hAnsi="Arial" w:cs="Arial"/>
          <w:color w:val="auto"/>
          <w:sz w:val="20"/>
          <w:szCs w:val="20"/>
        </w:rPr>
        <w:t xml:space="preserve"> Available phosphorus (kg ha</w:t>
      </w:r>
      <w:r w:rsidR="00C863FA" w:rsidRPr="00EA3249">
        <w:rPr>
          <w:rFonts w:ascii="Arial" w:hAnsi="Arial" w:cs="Arial"/>
          <w:color w:val="auto"/>
          <w:sz w:val="20"/>
          <w:szCs w:val="20"/>
          <w:vertAlign w:val="superscript"/>
        </w:rPr>
        <w:t>-1</w:t>
      </w:r>
      <w:r w:rsidR="00C863FA" w:rsidRPr="00EA3249">
        <w:rPr>
          <w:rFonts w:ascii="Arial" w:hAnsi="Arial" w:cs="Arial"/>
          <w:color w:val="auto"/>
          <w:sz w:val="20"/>
          <w:szCs w:val="20"/>
        </w:rPr>
        <w:t>), K</w:t>
      </w:r>
      <w:r w:rsidR="00C863FA" w:rsidRPr="00EA3249">
        <w:rPr>
          <w:rFonts w:ascii="Arial" w:hAnsi="Arial" w:cs="Arial"/>
          <w:color w:val="auto"/>
          <w:sz w:val="20"/>
          <w:szCs w:val="20"/>
          <w:vertAlign w:val="subscript"/>
        </w:rPr>
        <w:t>2</w:t>
      </w:r>
      <w:r w:rsidR="00C863FA" w:rsidRPr="00EA3249">
        <w:rPr>
          <w:rFonts w:ascii="Arial" w:hAnsi="Arial" w:cs="Arial"/>
          <w:color w:val="auto"/>
          <w:sz w:val="20"/>
          <w:szCs w:val="20"/>
        </w:rPr>
        <w:t>O-Available Potassium (kg ha</w:t>
      </w:r>
      <w:r w:rsidR="00C863FA" w:rsidRPr="00EA3249">
        <w:rPr>
          <w:rFonts w:ascii="Arial" w:hAnsi="Arial" w:cs="Arial"/>
          <w:color w:val="auto"/>
          <w:sz w:val="20"/>
          <w:szCs w:val="20"/>
          <w:vertAlign w:val="superscript"/>
        </w:rPr>
        <w:t>-1</w:t>
      </w:r>
      <w:r w:rsidR="00C863FA" w:rsidRPr="00EA3249">
        <w:rPr>
          <w:rFonts w:ascii="Arial" w:hAnsi="Arial" w:cs="Arial"/>
          <w:color w:val="auto"/>
          <w:sz w:val="20"/>
          <w:szCs w:val="20"/>
        </w:rPr>
        <w:t>), OC-Soil organic carbon (%).</w:t>
      </w:r>
    </w:p>
    <w:p w:rsidR="00BF0FD2" w:rsidRPr="008A12AA" w:rsidRDefault="00BF0FD2" w:rsidP="00BF6CF0">
      <w:pPr>
        <w:pStyle w:val="NormalWeb"/>
        <w:spacing w:line="360" w:lineRule="auto"/>
        <w:rPr>
          <w:rFonts w:ascii="Arial" w:hAnsi="Arial" w:cs="Arial"/>
          <w:sz w:val="20"/>
          <w:szCs w:val="20"/>
          <w:highlight w:val="yellow"/>
        </w:rPr>
      </w:pPr>
      <w:r w:rsidRPr="007B6180">
        <w:rPr>
          <w:rStyle w:val="Strong"/>
          <w:rFonts w:ascii="Arial" w:hAnsi="Arial" w:cs="Arial"/>
          <w:sz w:val="22"/>
          <w:szCs w:val="20"/>
        </w:rPr>
        <w:t xml:space="preserve">3.1 Bulk and Particle </w:t>
      </w:r>
      <w:proofErr w:type="spellStart"/>
      <w:r w:rsidRPr="007B6180">
        <w:rPr>
          <w:rStyle w:val="Strong"/>
          <w:rFonts w:ascii="Arial" w:hAnsi="Arial" w:cs="Arial"/>
          <w:sz w:val="22"/>
          <w:szCs w:val="20"/>
        </w:rPr>
        <w:t>Density</w:t>
      </w:r>
      <w:r w:rsidRPr="00EA3249">
        <w:rPr>
          <w:rFonts w:ascii="Arial" w:hAnsi="Arial" w:cs="Arial"/>
          <w:sz w:val="20"/>
          <w:szCs w:val="20"/>
        </w:rPr>
        <w:t>Bulk</w:t>
      </w:r>
      <w:proofErr w:type="spellEnd"/>
      <w:r w:rsidRPr="00EA3249">
        <w:rPr>
          <w:rFonts w:ascii="Arial" w:hAnsi="Arial" w:cs="Arial"/>
          <w:sz w:val="20"/>
          <w:szCs w:val="20"/>
        </w:rPr>
        <w:t xml:space="preserve"> density (BD) and particle density (PD) are physical properties that influence porosity, root penetration, and water retention. High BD indicates compacted soil with lower </w:t>
      </w:r>
      <w:r w:rsidRPr="00EA3249">
        <w:rPr>
          <w:rFonts w:ascii="Arial" w:hAnsi="Arial" w:cs="Arial"/>
          <w:sz w:val="20"/>
          <w:szCs w:val="20"/>
        </w:rPr>
        <w:lastRenderedPageBreak/>
        <w:t>pore space, while PD reflects the mineralogical composition of soil particles (Brady &amp; Weil, 2017). In the present study, significant variations were observed across land use types (p = 0.0207 for BD and p = 0.0028 for PD)</w:t>
      </w:r>
      <w:r w:rsidR="00E365C0" w:rsidRPr="00EA3249">
        <w:rPr>
          <w:rFonts w:ascii="Arial" w:hAnsi="Arial" w:cs="Arial"/>
          <w:sz w:val="20"/>
          <w:szCs w:val="20"/>
        </w:rPr>
        <w:t xml:space="preserve"> (Table 1)</w:t>
      </w:r>
      <w:r w:rsidRPr="00EA3249">
        <w:rPr>
          <w:rFonts w:ascii="Arial" w:hAnsi="Arial" w:cs="Arial"/>
          <w:sz w:val="20"/>
          <w:szCs w:val="20"/>
        </w:rPr>
        <w:t xml:space="preserve">. Paddy systems exhibited the lowest bulk density (1.25 g/cm³), likely due to puddling and high organic matter inputs that reduce soil </w:t>
      </w:r>
      <w:r w:rsidRPr="008A12AA">
        <w:rPr>
          <w:rFonts w:ascii="Arial" w:hAnsi="Arial" w:cs="Arial"/>
          <w:sz w:val="20"/>
          <w:szCs w:val="20"/>
        </w:rPr>
        <w:t xml:space="preserve">compaction </w:t>
      </w:r>
      <w:r w:rsidRPr="00BD538A">
        <w:rPr>
          <w:rFonts w:ascii="Arial" w:hAnsi="Arial" w:cs="Arial"/>
          <w:sz w:val="20"/>
          <w:szCs w:val="20"/>
          <w:highlight w:val="yellow"/>
        </w:rPr>
        <w:t>(</w:t>
      </w:r>
      <w:proofErr w:type="spellStart"/>
      <w:r w:rsidR="00BD538A" w:rsidRPr="00BD538A">
        <w:rPr>
          <w:rFonts w:ascii="Arial" w:hAnsi="Arial" w:cs="Arial"/>
          <w:sz w:val="20"/>
          <w:szCs w:val="20"/>
          <w:highlight w:val="yellow"/>
        </w:rPr>
        <w:t>Panagos</w:t>
      </w:r>
      <w:proofErr w:type="spellEnd"/>
      <w:r w:rsidR="00BD538A" w:rsidRPr="00BD538A">
        <w:rPr>
          <w:rFonts w:ascii="Arial" w:hAnsi="Arial" w:cs="Arial"/>
          <w:sz w:val="20"/>
          <w:szCs w:val="20"/>
          <w:highlight w:val="yellow"/>
        </w:rPr>
        <w:t xml:space="preserve"> et al 2024</w:t>
      </w:r>
      <w:r w:rsidRPr="00BD538A">
        <w:rPr>
          <w:rFonts w:ascii="Arial" w:hAnsi="Arial" w:cs="Arial"/>
          <w:sz w:val="20"/>
          <w:szCs w:val="20"/>
          <w:highlight w:val="yellow"/>
        </w:rPr>
        <w:t>).</w:t>
      </w:r>
      <w:r w:rsidRPr="00EA3249">
        <w:rPr>
          <w:rFonts w:ascii="Arial" w:hAnsi="Arial" w:cs="Arial"/>
          <w:sz w:val="20"/>
          <w:szCs w:val="20"/>
        </w:rPr>
        <w:t xml:space="preserve"> Waterlogging in paddy fields causes breakdown of soil aggregates and displaces air, lowering soil mass per unit volume </w:t>
      </w:r>
      <w:r w:rsidRPr="008A12AA">
        <w:rPr>
          <w:rFonts w:ascii="Arial" w:hAnsi="Arial" w:cs="Arial"/>
          <w:sz w:val="20"/>
          <w:szCs w:val="20"/>
        </w:rPr>
        <w:t>(</w:t>
      </w:r>
      <w:r w:rsidR="00BD538A" w:rsidRPr="008A12AA">
        <w:rPr>
          <w:rFonts w:ascii="Arial" w:hAnsi="Arial" w:cs="Arial"/>
          <w:sz w:val="20"/>
          <w:szCs w:val="20"/>
          <w:highlight w:val="yellow"/>
        </w:rPr>
        <w:t>Kaur</w:t>
      </w:r>
      <w:r w:rsidRPr="008A12AA">
        <w:rPr>
          <w:rFonts w:ascii="Arial" w:hAnsi="Arial" w:cs="Arial"/>
          <w:sz w:val="20"/>
          <w:szCs w:val="20"/>
          <w:highlight w:val="yellow"/>
        </w:rPr>
        <w:t xml:space="preserve"> et al., 20</w:t>
      </w:r>
      <w:r w:rsidR="00BD538A" w:rsidRPr="008A12AA">
        <w:rPr>
          <w:rFonts w:ascii="Arial" w:hAnsi="Arial" w:cs="Arial"/>
          <w:sz w:val="20"/>
          <w:szCs w:val="20"/>
          <w:highlight w:val="yellow"/>
        </w:rPr>
        <w:t>19</w:t>
      </w:r>
      <w:r w:rsidRPr="008A12AA">
        <w:rPr>
          <w:rFonts w:ascii="Arial" w:hAnsi="Arial" w:cs="Arial"/>
          <w:sz w:val="20"/>
          <w:szCs w:val="20"/>
          <w:highlight w:val="yellow"/>
        </w:rPr>
        <w:t>).</w:t>
      </w:r>
      <w:r w:rsidRPr="00EA3249">
        <w:rPr>
          <w:rFonts w:ascii="Arial" w:hAnsi="Arial" w:cs="Arial"/>
          <w:sz w:val="20"/>
          <w:szCs w:val="20"/>
        </w:rPr>
        <w:t xml:space="preserve"> Conversely, flower crop systems recorded the highest particle density, possibly </w:t>
      </w:r>
      <w:r w:rsidR="000341B3" w:rsidRPr="00EA3249">
        <w:rPr>
          <w:rFonts w:ascii="Arial" w:hAnsi="Arial" w:cs="Arial"/>
          <w:sz w:val="20"/>
          <w:szCs w:val="20"/>
        </w:rPr>
        <w:t xml:space="preserve">due to greater mineral content </w:t>
      </w:r>
      <w:r w:rsidRPr="00EA3249">
        <w:rPr>
          <w:rFonts w:ascii="Arial" w:hAnsi="Arial" w:cs="Arial"/>
          <w:sz w:val="20"/>
          <w:szCs w:val="20"/>
        </w:rPr>
        <w:t xml:space="preserve">and frequent tillage operations that disturb soil structure </w:t>
      </w:r>
      <w:r w:rsidR="00BD538A" w:rsidRPr="008A12AA">
        <w:rPr>
          <w:rFonts w:ascii="Arial" w:hAnsi="Arial" w:cs="Arial"/>
          <w:sz w:val="20"/>
          <w:szCs w:val="20"/>
          <w:highlight w:val="yellow"/>
        </w:rPr>
        <w:t>(Li et al., 2025</w:t>
      </w:r>
      <w:r w:rsidRPr="008A12AA">
        <w:rPr>
          <w:rFonts w:ascii="Arial" w:hAnsi="Arial" w:cs="Arial"/>
          <w:sz w:val="20"/>
          <w:szCs w:val="20"/>
          <w:highlight w:val="yellow"/>
        </w:rPr>
        <w:t>).</w:t>
      </w:r>
    </w:p>
    <w:p w:rsidR="00923FBF" w:rsidRPr="00923FBF" w:rsidRDefault="00BF0FD2" w:rsidP="00BF6CF0">
      <w:pPr>
        <w:pStyle w:val="NormalWeb"/>
        <w:spacing w:line="360" w:lineRule="auto"/>
        <w:rPr>
          <w:rFonts w:ascii="Arial" w:hAnsi="Arial" w:cs="Arial"/>
          <w:sz w:val="20"/>
          <w:szCs w:val="20"/>
          <w:highlight w:val="yellow"/>
        </w:rPr>
      </w:pPr>
      <w:r w:rsidRPr="007B6180">
        <w:rPr>
          <w:rStyle w:val="Strong"/>
          <w:rFonts w:ascii="Arial" w:hAnsi="Arial" w:cs="Arial"/>
          <w:sz w:val="22"/>
          <w:szCs w:val="20"/>
        </w:rPr>
        <w:t>3.2 Soil pH and Electrical Conductivity (EC)</w:t>
      </w:r>
      <w:r w:rsidR="00204909">
        <w:rPr>
          <w:rStyle w:val="Strong"/>
          <w:rFonts w:ascii="Arial" w:hAnsi="Arial" w:cs="Arial"/>
          <w:sz w:val="22"/>
          <w:szCs w:val="20"/>
        </w:rPr>
        <w:t xml:space="preserve"> </w:t>
      </w:r>
      <w:r w:rsidRPr="00EA3249">
        <w:rPr>
          <w:rFonts w:ascii="Arial" w:hAnsi="Arial" w:cs="Arial"/>
          <w:sz w:val="20"/>
          <w:szCs w:val="20"/>
        </w:rPr>
        <w:t xml:space="preserve">Soil pH is a master variable influencing nutrient availability, microbial activity, and chemical reactions in the soil (Paul, 2015). It is sensitive to fertilization practices, crop residues, and liming. In this study, pH differed significantly among systems (p = </w:t>
      </w:r>
      <w:proofErr w:type="gramStart"/>
      <w:r w:rsidRPr="00EA3249">
        <w:rPr>
          <w:rFonts w:ascii="Arial" w:hAnsi="Arial" w:cs="Arial"/>
          <w:sz w:val="20"/>
          <w:szCs w:val="20"/>
        </w:rPr>
        <w:t>0.0285)</w:t>
      </w:r>
      <w:r w:rsidR="000341B3" w:rsidRPr="00EA3249">
        <w:rPr>
          <w:rFonts w:ascii="Arial" w:hAnsi="Arial" w:cs="Arial"/>
          <w:sz w:val="20"/>
          <w:szCs w:val="20"/>
        </w:rPr>
        <w:t>(</w:t>
      </w:r>
      <w:proofErr w:type="gramEnd"/>
      <w:r w:rsidR="000341B3" w:rsidRPr="00EA3249">
        <w:rPr>
          <w:rFonts w:ascii="Arial" w:hAnsi="Arial" w:cs="Arial"/>
          <w:sz w:val="20"/>
          <w:szCs w:val="20"/>
        </w:rPr>
        <w:t xml:space="preserve"> Table 1)</w:t>
      </w:r>
      <w:r w:rsidRPr="00EA3249">
        <w:rPr>
          <w:rFonts w:ascii="Arial" w:hAnsi="Arial" w:cs="Arial"/>
          <w:sz w:val="20"/>
          <w:szCs w:val="20"/>
        </w:rPr>
        <w:t>, ranging from acidic in paddy fields (5.07) to near-neutral in flower crop systems (5.97). The relatively higher pH in flower beds may reflect lime applications or organic residues with alkaline characteristics</w:t>
      </w:r>
      <w:r w:rsidR="000341B3" w:rsidRPr="00EA3249">
        <w:rPr>
          <w:rFonts w:ascii="Arial" w:hAnsi="Arial" w:cs="Arial"/>
          <w:sz w:val="20"/>
          <w:szCs w:val="20"/>
        </w:rPr>
        <w:t xml:space="preserve"> like vermicompost with banana pseudo stem as raw material</w:t>
      </w:r>
      <w:r w:rsidRPr="00EA3249">
        <w:rPr>
          <w:rFonts w:ascii="Arial" w:hAnsi="Arial" w:cs="Arial"/>
          <w:sz w:val="20"/>
          <w:szCs w:val="20"/>
        </w:rPr>
        <w:t xml:space="preserve">. Acidification in paddy soils is likely due to anaerobic conditions and continuous use of ammonium-based fertilizers </w:t>
      </w:r>
      <w:r w:rsidRPr="008A12AA">
        <w:rPr>
          <w:rFonts w:ascii="Arial" w:hAnsi="Arial" w:cs="Arial"/>
          <w:sz w:val="20"/>
          <w:szCs w:val="20"/>
          <w:highlight w:val="yellow"/>
        </w:rPr>
        <w:t>(</w:t>
      </w:r>
      <w:r w:rsidR="008A12AA" w:rsidRPr="008A12AA">
        <w:rPr>
          <w:rFonts w:ascii="Arial" w:hAnsi="Arial" w:cs="Arial"/>
          <w:sz w:val="20"/>
          <w:szCs w:val="20"/>
          <w:highlight w:val="yellow"/>
        </w:rPr>
        <w:t>Guo et al., 2010; Goulding, 2016</w:t>
      </w:r>
      <w:r w:rsidRPr="008A12AA">
        <w:rPr>
          <w:rFonts w:ascii="Arial" w:hAnsi="Arial" w:cs="Arial"/>
          <w:sz w:val="20"/>
          <w:szCs w:val="20"/>
          <w:highlight w:val="yellow"/>
        </w:rPr>
        <w:t>)</w:t>
      </w:r>
      <w:r w:rsidRPr="00EA3249">
        <w:rPr>
          <w:rFonts w:ascii="Arial" w:hAnsi="Arial" w:cs="Arial"/>
          <w:sz w:val="20"/>
          <w:szCs w:val="20"/>
        </w:rPr>
        <w:t>. EC, which indicates soluble salt content, showed no significant difference (p = 0.3782)</w:t>
      </w:r>
      <w:r w:rsidR="008A281D" w:rsidRPr="00EA3249">
        <w:rPr>
          <w:rFonts w:ascii="Arial" w:hAnsi="Arial" w:cs="Arial"/>
          <w:sz w:val="20"/>
          <w:szCs w:val="20"/>
        </w:rPr>
        <w:t xml:space="preserve"> (Table 1)</w:t>
      </w:r>
      <w:r w:rsidRPr="00EA3249">
        <w:rPr>
          <w:rFonts w:ascii="Arial" w:hAnsi="Arial" w:cs="Arial"/>
          <w:sz w:val="20"/>
          <w:szCs w:val="20"/>
        </w:rPr>
        <w:t>, with all values within acceptable agricultural thresholds</w:t>
      </w:r>
      <w:r w:rsidR="008A281D" w:rsidRPr="00EA3249">
        <w:rPr>
          <w:rFonts w:ascii="Arial" w:hAnsi="Arial" w:cs="Arial"/>
          <w:sz w:val="20"/>
          <w:szCs w:val="20"/>
        </w:rPr>
        <w:t xml:space="preserve"> (Figure 1)</w:t>
      </w:r>
      <w:r w:rsidRPr="00EA3249">
        <w:rPr>
          <w:rFonts w:ascii="Arial" w:hAnsi="Arial" w:cs="Arial"/>
          <w:sz w:val="20"/>
          <w:szCs w:val="20"/>
        </w:rPr>
        <w:t xml:space="preserve">. </w:t>
      </w:r>
      <w:r w:rsidR="00923FBF" w:rsidRPr="00923FBF">
        <w:rPr>
          <w:rFonts w:ascii="Arial" w:hAnsi="Arial" w:cs="Arial"/>
          <w:sz w:val="20"/>
          <w:szCs w:val="20"/>
          <w:highlight w:val="yellow"/>
        </w:rPr>
        <w:t>This aligns with previous reports documenting stable EC values across different cropping systems (Brady &amp; Weil, 2017), suggesting negligible salinity stress.</w:t>
      </w:r>
    </w:p>
    <w:p w:rsidR="00923FBF" w:rsidRPr="00923FBF" w:rsidRDefault="00BF0FD2" w:rsidP="00BF6CF0">
      <w:pPr>
        <w:pStyle w:val="NormalWeb"/>
        <w:spacing w:line="360" w:lineRule="auto"/>
        <w:rPr>
          <w:rFonts w:ascii="Arial" w:hAnsi="Arial" w:cs="Arial"/>
          <w:sz w:val="20"/>
          <w:szCs w:val="20"/>
          <w:highlight w:val="yellow"/>
        </w:rPr>
      </w:pPr>
      <w:r w:rsidRPr="007B6180">
        <w:rPr>
          <w:rStyle w:val="Strong"/>
          <w:rFonts w:ascii="Arial" w:hAnsi="Arial" w:cs="Arial"/>
          <w:sz w:val="22"/>
          <w:szCs w:val="20"/>
        </w:rPr>
        <w:t>3.3 Available Nutrients (N, P, K)</w:t>
      </w:r>
      <w:r w:rsidR="00204909">
        <w:rPr>
          <w:rStyle w:val="Strong"/>
          <w:rFonts w:ascii="Arial" w:hAnsi="Arial" w:cs="Arial"/>
          <w:sz w:val="22"/>
          <w:szCs w:val="20"/>
        </w:rPr>
        <w:t xml:space="preserve"> </w:t>
      </w:r>
      <w:r w:rsidRPr="00EA3249">
        <w:rPr>
          <w:rFonts w:ascii="Arial" w:hAnsi="Arial" w:cs="Arial"/>
          <w:sz w:val="20"/>
          <w:szCs w:val="20"/>
        </w:rPr>
        <w:t xml:space="preserve">Nutrient availability is a key determinant of soil fertility. Nitrogen is essential for vegetative growth, phosphorus for root development and energy transfer, and potassium for water regulation and disease resistance </w:t>
      </w:r>
      <w:r w:rsidR="00923FBF" w:rsidRPr="00923FBF">
        <w:rPr>
          <w:rFonts w:ascii="Arial" w:hAnsi="Arial" w:cs="Arial"/>
          <w:sz w:val="20"/>
          <w:szCs w:val="20"/>
          <w:highlight w:val="yellow"/>
        </w:rPr>
        <w:t>(</w:t>
      </w:r>
      <w:proofErr w:type="spellStart"/>
      <w:r w:rsidR="00923FBF" w:rsidRPr="00923FBF">
        <w:rPr>
          <w:rFonts w:ascii="Arial" w:hAnsi="Arial" w:cs="Arial"/>
          <w:sz w:val="20"/>
          <w:szCs w:val="20"/>
          <w:highlight w:val="yellow"/>
        </w:rPr>
        <w:t>Havlin</w:t>
      </w:r>
      <w:proofErr w:type="spellEnd"/>
      <w:r w:rsidR="00923FBF" w:rsidRPr="00923FBF">
        <w:rPr>
          <w:rFonts w:ascii="Arial" w:hAnsi="Arial" w:cs="Arial"/>
          <w:sz w:val="20"/>
          <w:szCs w:val="20"/>
          <w:highlight w:val="yellow"/>
        </w:rPr>
        <w:t xml:space="preserve"> et al., 2014; </w:t>
      </w:r>
      <w:proofErr w:type="spellStart"/>
      <w:r w:rsidR="00923FBF" w:rsidRPr="00923FBF">
        <w:rPr>
          <w:rFonts w:ascii="Arial" w:hAnsi="Arial" w:cs="Arial"/>
          <w:sz w:val="20"/>
          <w:szCs w:val="20"/>
          <w:highlight w:val="yellow"/>
        </w:rPr>
        <w:t>Marschner</w:t>
      </w:r>
      <w:proofErr w:type="spellEnd"/>
      <w:r w:rsidR="00923FBF" w:rsidRPr="00923FBF">
        <w:rPr>
          <w:rFonts w:ascii="Arial" w:hAnsi="Arial" w:cs="Arial"/>
          <w:sz w:val="20"/>
          <w:szCs w:val="20"/>
          <w:highlight w:val="yellow"/>
        </w:rPr>
        <w:t>, 2012</w:t>
      </w:r>
      <w:r w:rsidR="008B6C1A">
        <w:rPr>
          <w:rFonts w:ascii="Arial" w:hAnsi="Arial" w:cs="Arial"/>
          <w:sz w:val="20"/>
          <w:szCs w:val="20"/>
          <w:highlight w:val="yellow"/>
        </w:rPr>
        <w:t>; Awe et. al., 2018</w:t>
      </w:r>
      <w:r w:rsidR="00923FBF" w:rsidRPr="00923FBF">
        <w:rPr>
          <w:rFonts w:ascii="Arial" w:hAnsi="Arial" w:cs="Arial"/>
          <w:sz w:val="20"/>
          <w:szCs w:val="20"/>
          <w:highlight w:val="yellow"/>
        </w:rPr>
        <w:t>)</w:t>
      </w:r>
      <w:r w:rsidRPr="00923FBF">
        <w:rPr>
          <w:rFonts w:ascii="Arial" w:hAnsi="Arial" w:cs="Arial"/>
          <w:sz w:val="20"/>
          <w:szCs w:val="20"/>
          <w:highlight w:val="yellow"/>
        </w:rPr>
        <w:t>.</w:t>
      </w:r>
      <w:r w:rsidRPr="00EA3249">
        <w:rPr>
          <w:rFonts w:ascii="Arial" w:hAnsi="Arial" w:cs="Arial"/>
          <w:sz w:val="20"/>
          <w:szCs w:val="20"/>
        </w:rPr>
        <w:t xml:space="preserve"> Highly significant differences were found in available nitrogen (p &lt; 0.00001), phosphorus (p &lt; 0.00001), and potassium (p = 0.00006)</w:t>
      </w:r>
      <w:r w:rsidR="008A281D" w:rsidRPr="00EA3249">
        <w:rPr>
          <w:rFonts w:ascii="Arial" w:hAnsi="Arial" w:cs="Arial"/>
          <w:sz w:val="20"/>
          <w:szCs w:val="20"/>
        </w:rPr>
        <w:t xml:space="preserve"> (Table 1)</w:t>
      </w:r>
      <w:r w:rsidRPr="00EA3249">
        <w:rPr>
          <w:rFonts w:ascii="Arial" w:hAnsi="Arial" w:cs="Arial"/>
          <w:sz w:val="20"/>
          <w:szCs w:val="20"/>
        </w:rPr>
        <w:t xml:space="preserve">. Fruit-based homestead and rice-vegetable systems had the highest values for all three nutrients. This can be attributed to regular addition of organic inputs such as compost and tree litter, which enhance mineralization and nutrient cycling </w:t>
      </w:r>
      <w:r w:rsidRPr="00923FBF">
        <w:rPr>
          <w:rFonts w:ascii="Arial" w:hAnsi="Arial" w:cs="Arial"/>
          <w:sz w:val="20"/>
          <w:szCs w:val="20"/>
          <w:highlight w:val="yellow"/>
        </w:rPr>
        <w:t>(</w:t>
      </w:r>
      <w:r w:rsidR="00923FBF" w:rsidRPr="00923FBF">
        <w:rPr>
          <w:rFonts w:ascii="Arial" w:hAnsi="Arial" w:cs="Arial"/>
          <w:sz w:val="20"/>
          <w:szCs w:val="20"/>
          <w:highlight w:val="yellow"/>
        </w:rPr>
        <w:t>Drinkwater &amp; Snapp, 2007; Blanco</w:t>
      </w:r>
      <w:r w:rsidR="008B6C1A">
        <w:rPr>
          <w:rFonts w:ascii="Arial" w:hAnsi="Arial" w:cs="Arial"/>
          <w:sz w:val="20"/>
          <w:szCs w:val="20"/>
          <w:highlight w:val="yellow"/>
        </w:rPr>
        <w:t xml:space="preserve"> </w:t>
      </w:r>
      <w:r w:rsidR="00923FBF" w:rsidRPr="00923FBF">
        <w:rPr>
          <w:rFonts w:ascii="Arial" w:hAnsi="Arial" w:cs="Arial"/>
          <w:sz w:val="20"/>
          <w:szCs w:val="20"/>
          <w:highlight w:val="yellow"/>
        </w:rPr>
        <w:t>-</w:t>
      </w:r>
      <w:r w:rsidR="008B6C1A">
        <w:rPr>
          <w:rFonts w:ascii="Arial" w:hAnsi="Arial" w:cs="Arial"/>
          <w:sz w:val="20"/>
          <w:szCs w:val="20"/>
          <w:highlight w:val="yellow"/>
        </w:rPr>
        <w:t xml:space="preserve"> </w:t>
      </w:r>
      <w:proofErr w:type="spellStart"/>
      <w:r w:rsidR="00923FBF" w:rsidRPr="00923FBF">
        <w:rPr>
          <w:rFonts w:ascii="Arial" w:hAnsi="Arial" w:cs="Arial"/>
          <w:sz w:val="20"/>
          <w:szCs w:val="20"/>
          <w:highlight w:val="yellow"/>
        </w:rPr>
        <w:t>Canqui</w:t>
      </w:r>
      <w:proofErr w:type="spellEnd"/>
      <w:r w:rsidR="00923FBF" w:rsidRPr="00923FBF">
        <w:rPr>
          <w:rFonts w:ascii="Arial" w:hAnsi="Arial" w:cs="Arial"/>
          <w:sz w:val="20"/>
          <w:szCs w:val="20"/>
          <w:highlight w:val="yellow"/>
        </w:rPr>
        <w:t xml:space="preserve"> &amp; Lal, 2009</w:t>
      </w:r>
      <w:r w:rsidRPr="00923FBF">
        <w:rPr>
          <w:rFonts w:ascii="Arial" w:hAnsi="Arial" w:cs="Arial"/>
          <w:sz w:val="20"/>
          <w:szCs w:val="20"/>
          <w:highlight w:val="yellow"/>
        </w:rPr>
        <w:t>)</w:t>
      </w:r>
      <w:r w:rsidRPr="00EA3249">
        <w:rPr>
          <w:rFonts w:ascii="Arial" w:hAnsi="Arial" w:cs="Arial"/>
          <w:sz w:val="20"/>
          <w:szCs w:val="20"/>
        </w:rPr>
        <w:t xml:space="preserve">. In contrast, nutrient depletion in barren lands and </w:t>
      </w:r>
      <w:proofErr w:type="spellStart"/>
      <w:r w:rsidRPr="00EA3249">
        <w:rPr>
          <w:rFonts w:ascii="Arial" w:hAnsi="Arial" w:cs="Arial"/>
          <w:sz w:val="20"/>
          <w:szCs w:val="20"/>
        </w:rPr>
        <w:t>monocropped</w:t>
      </w:r>
      <w:proofErr w:type="spellEnd"/>
      <w:r w:rsidRPr="00EA3249">
        <w:rPr>
          <w:rFonts w:ascii="Arial" w:hAnsi="Arial" w:cs="Arial"/>
          <w:sz w:val="20"/>
          <w:szCs w:val="20"/>
        </w:rPr>
        <w:t xml:space="preserve"> paddy fields could be due to erosion, nutrient leaching, and lack of organic amendments (Lal, 2006; Tilman et al., 2002). Monoculture reduces </w:t>
      </w:r>
      <w:r w:rsidRPr="00C81B89">
        <w:rPr>
          <w:rFonts w:ascii="Arial" w:hAnsi="Arial" w:cs="Arial"/>
          <w:sz w:val="20"/>
          <w:szCs w:val="20"/>
          <w:highlight w:val="yellow"/>
        </w:rPr>
        <w:t>below</w:t>
      </w:r>
      <w:r w:rsidR="00C81B89" w:rsidRPr="00C81B89">
        <w:rPr>
          <w:rFonts w:ascii="Arial" w:hAnsi="Arial" w:cs="Arial"/>
          <w:sz w:val="20"/>
          <w:szCs w:val="20"/>
          <w:highlight w:val="yellow"/>
        </w:rPr>
        <w:t xml:space="preserve"> </w:t>
      </w:r>
      <w:r w:rsidRPr="00C81B89">
        <w:rPr>
          <w:rFonts w:ascii="Arial" w:hAnsi="Arial" w:cs="Arial"/>
          <w:sz w:val="20"/>
          <w:szCs w:val="20"/>
          <w:highlight w:val="yellow"/>
        </w:rPr>
        <w:t>ground</w:t>
      </w:r>
      <w:r w:rsidRPr="00EA3249">
        <w:rPr>
          <w:rFonts w:ascii="Arial" w:hAnsi="Arial" w:cs="Arial"/>
          <w:sz w:val="20"/>
          <w:szCs w:val="20"/>
        </w:rPr>
        <w:t xml:space="preserve"> biomass and limits nutrient replenishment through residues </w:t>
      </w:r>
      <w:r w:rsidR="00923FBF" w:rsidRPr="00923FBF">
        <w:rPr>
          <w:rFonts w:ascii="Arial" w:hAnsi="Arial" w:cs="Arial"/>
          <w:sz w:val="20"/>
          <w:szCs w:val="20"/>
          <w:highlight w:val="yellow"/>
        </w:rPr>
        <w:t>(McDaniel et al., 2014).</w:t>
      </w:r>
    </w:p>
    <w:p w:rsidR="00BF0FD2" w:rsidRPr="00EA3249" w:rsidRDefault="00BF0FD2" w:rsidP="00BF6CF0">
      <w:pPr>
        <w:pStyle w:val="NormalWeb"/>
        <w:spacing w:line="360" w:lineRule="auto"/>
        <w:rPr>
          <w:rFonts w:ascii="Arial" w:hAnsi="Arial" w:cs="Arial"/>
          <w:sz w:val="20"/>
          <w:szCs w:val="20"/>
        </w:rPr>
      </w:pPr>
      <w:r w:rsidRPr="007B6180">
        <w:rPr>
          <w:rStyle w:val="Strong"/>
          <w:rFonts w:ascii="Arial" w:hAnsi="Arial" w:cs="Arial"/>
          <w:sz w:val="22"/>
          <w:szCs w:val="20"/>
        </w:rPr>
        <w:t>3.4 Organic Carbon (OC)</w:t>
      </w:r>
      <w:r w:rsidR="00ED732A">
        <w:rPr>
          <w:rStyle w:val="Strong"/>
          <w:rFonts w:ascii="Arial" w:hAnsi="Arial" w:cs="Arial"/>
          <w:sz w:val="22"/>
          <w:szCs w:val="20"/>
        </w:rPr>
        <w:t xml:space="preserve"> </w:t>
      </w:r>
      <w:r w:rsidRPr="00EA3249">
        <w:rPr>
          <w:rFonts w:ascii="Arial" w:hAnsi="Arial" w:cs="Arial"/>
          <w:sz w:val="20"/>
          <w:szCs w:val="20"/>
        </w:rPr>
        <w:t xml:space="preserve">Soil organic carbon is a vital component of soil organic matter and contributes to nutrient cycling, aggregation, and biological activity </w:t>
      </w:r>
      <w:r w:rsidRPr="00923FBF">
        <w:rPr>
          <w:rFonts w:ascii="Arial" w:hAnsi="Arial" w:cs="Arial"/>
          <w:sz w:val="20"/>
          <w:szCs w:val="20"/>
          <w:highlight w:val="yellow"/>
        </w:rPr>
        <w:t>(</w:t>
      </w:r>
      <w:r w:rsidR="00923FBF" w:rsidRPr="00923FBF">
        <w:rPr>
          <w:rFonts w:ascii="Arial" w:hAnsi="Arial" w:cs="Arial"/>
          <w:sz w:val="20"/>
          <w:szCs w:val="20"/>
        </w:rPr>
        <w:t>Devi, 2021).</w:t>
      </w:r>
      <w:r w:rsidRPr="00EA3249">
        <w:rPr>
          <w:rFonts w:ascii="Arial" w:hAnsi="Arial" w:cs="Arial"/>
          <w:sz w:val="20"/>
          <w:szCs w:val="20"/>
        </w:rPr>
        <w:t xml:space="preserve"> OC varied significantly across systems (p &lt; 0.00001), ranging from 0.62% in barren land to 2.02% in fruit-based systems. The high carbon stock in fruit-based systems is likely due to sustained input from root biomass, leaf litter, and </w:t>
      </w:r>
      <w:r w:rsidRPr="00EA3249">
        <w:rPr>
          <w:rFonts w:ascii="Arial" w:hAnsi="Arial" w:cs="Arial"/>
          <w:sz w:val="20"/>
          <w:szCs w:val="20"/>
        </w:rPr>
        <w:lastRenderedPageBreak/>
        <w:t xml:space="preserve">minimal soil disturbance that protects organic matter from decomposition </w:t>
      </w:r>
      <w:r w:rsidRPr="00762032">
        <w:rPr>
          <w:rFonts w:ascii="Arial" w:hAnsi="Arial" w:cs="Arial"/>
          <w:sz w:val="20"/>
          <w:szCs w:val="20"/>
          <w:highlight w:val="yellow"/>
        </w:rPr>
        <w:t>(</w:t>
      </w:r>
      <w:r w:rsidR="00762032" w:rsidRPr="00762032">
        <w:rPr>
          <w:rFonts w:ascii="Arial" w:hAnsi="Arial" w:cs="Arial"/>
          <w:sz w:val="20"/>
          <w:szCs w:val="20"/>
          <w:highlight w:val="yellow"/>
        </w:rPr>
        <w:t>Mendoza et al 2025</w:t>
      </w:r>
      <w:r w:rsidRPr="00762032">
        <w:rPr>
          <w:rFonts w:ascii="Arial" w:hAnsi="Arial" w:cs="Arial"/>
          <w:sz w:val="20"/>
          <w:szCs w:val="20"/>
          <w:highlight w:val="yellow"/>
        </w:rPr>
        <w:t xml:space="preserve">; </w:t>
      </w:r>
      <w:proofErr w:type="spellStart"/>
      <w:r w:rsidRPr="00762032">
        <w:rPr>
          <w:rFonts w:ascii="Arial" w:hAnsi="Arial" w:cs="Arial"/>
          <w:sz w:val="20"/>
          <w:szCs w:val="20"/>
        </w:rPr>
        <w:t>Bünemann</w:t>
      </w:r>
      <w:proofErr w:type="spellEnd"/>
      <w:r w:rsidRPr="00762032">
        <w:rPr>
          <w:rFonts w:ascii="Arial" w:hAnsi="Arial" w:cs="Arial"/>
          <w:sz w:val="20"/>
          <w:szCs w:val="20"/>
        </w:rPr>
        <w:t xml:space="preserve"> et al., 2018).</w:t>
      </w:r>
      <w:r w:rsidRPr="00EA3249">
        <w:rPr>
          <w:rFonts w:ascii="Arial" w:hAnsi="Arial" w:cs="Arial"/>
          <w:sz w:val="20"/>
          <w:szCs w:val="20"/>
        </w:rPr>
        <w:t xml:space="preserve"> Crop diversification enhances microbial carbon use efficiency and promotes carbon sequestration in soil aggregates (</w:t>
      </w:r>
      <w:r w:rsidR="007A4352" w:rsidRPr="007A4352">
        <w:rPr>
          <w:rFonts w:ascii="Arial" w:hAnsi="Arial" w:cs="Arial"/>
          <w:sz w:val="20"/>
          <w:szCs w:val="20"/>
          <w:highlight w:val="yellow"/>
        </w:rPr>
        <w:t>J</w:t>
      </w:r>
      <w:r w:rsidR="00762032" w:rsidRPr="007A4352">
        <w:rPr>
          <w:rFonts w:ascii="Arial" w:hAnsi="Arial" w:cs="Arial"/>
          <w:sz w:val="20"/>
          <w:szCs w:val="20"/>
          <w:highlight w:val="yellow"/>
        </w:rPr>
        <w:t>i</w:t>
      </w:r>
      <w:r w:rsidR="007A4352" w:rsidRPr="007A4352">
        <w:rPr>
          <w:rFonts w:ascii="Arial" w:hAnsi="Arial" w:cs="Arial"/>
          <w:sz w:val="20"/>
          <w:szCs w:val="20"/>
          <w:highlight w:val="yellow"/>
        </w:rPr>
        <w:t>a</w:t>
      </w:r>
      <w:r w:rsidR="00762032" w:rsidRPr="007A4352">
        <w:rPr>
          <w:rFonts w:ascii="Arial" w:hAnsi="Arial" w:cs="Arial"/>
          <w:sz w:val="20"/>
          <w:szCs w:val="20"/>
          <w:highlight w:val="yellow"/>
        </w:rPr>
        <w:t>ng et. al., 2025</w:t>
      </w:r>
      <w:r w:rsidRPr="00EA3249">
        <w:rPr>
          <w:rFonts w:ascii="Arial" w:hAnsi="Arial" w:cs="Arial"/>
          <w:sz w:val="20"/>
          <w:szCs w:val="20"/>
        </w:rPr>
        <w:t>).</w:t>
      </w:r>
    </w:p>
    <w:p w:rsidR="00762032" w:rsidRDefault="00BF0FD2" w:rsidP="00BF6CF0">
      <w:pPr>
        <w:pStyle w:val="NormalWeb"/>
        <w:spacing w:line="360" w:lineRule="auto"/>
        <w:rPr>
          <w:b/>
          <w:bCs/>
          <w:sz w:val="20"/>
        </w:rPr>
      </w:pPr>
      <w:r w:rsidRPr="00762032">
        <w:rPr>
          <w:b/>
          <w:bCs/>
          <w:sz w:val="20"/>
        </w:rPr>
        <w:t>3.5 Tukey HSD</w:t>
      </w:r>
      <w:r w:rsidR="00762032">
        <w:rPr>
          <w:b/>
          <w:bCs/>
          <w:sz w:val="20"/>
        </w:rPr>
        <w:t xml:space="preserve"> analysis</w:t>
      </w:r>
    </w:p>
    <w:p w:rsidR="00762032" w:rsidRPr="00762032" w:rsidRDefault="00BF0FD2" w:rsidP="00BF6CF0">
      <w:pPr>
        <w:pStyle w:val="NormalWeb"/>
        <w:spacing w:line="360" w:lineRule="auto"/>
        <w:rPr>
          <w:rFonts w:ascii="Arial" w:hAnsi="Arial" w:cs="Arial"/>
          <w:sz w:val="20"/>
          <w:szCs w:val="20"/>
        </w:rPr>
      </w:pPr>
      <w:r w:rsidRPr="00762032">
        <w:rPr>
          <w:b/>
          <w:bCs/>
          <w:sz w:val="20"/>
        </w:rPr>
        <w:t xml:space="preserve"> </w:t>
      </w:r>
      <w:r w:rsidR="00762032" w:rsidRPr="00762032">
        <w:rPr>
          <w:rFonts w:ascii="Arial" w:hAnsi="Arial" w:cs="Arial"/>
          <w:sz w:val="20"/>
          <w:szCs w:val="20"/>
        </w:rPr>
        <w:t xml:space="preserve">Tukey’s HSD test revealed distinct groupings among land use types for all significant soil parameters (Table 1). Barren land consistently formed a separate group with notably lower nutrient and organic carbon levels, whereas fruit-based and rice-vegetable systems clustered together, exhibiting the highest concentrations. Similar trends have been documented by studies showing that greater plant diversity and perennial systems enhance soil health indicators, </w:t>
      </w:r>
      <w:r w:rsidR="00762032" w:rsidRPr="00762032">
        <w:rPr>
          <w:rFonts w:ascii="Arial" w:hAnsi="Arial" w:cs="Arial"/>
          <w:sz w:val="20"/>
          <w:szCs w:val="20"/>
          <w:highlight w:val="yellow"/>
        </w:rPr>
        <w:t>including nutrient cycling and organic carbon stocks, due to sustained organic inputs and reduced disturbance (Blanco-</w:t>
      </w:r>
      <w:proofErr w:type="spellStart"/>
      <w:r w:rsidR="00762032" w:rsidRPr="00762032">
        <w:rPr>
          <w:rFonts w:ascii="Arial" w:hAnsi="Arial" w:cs="Arial"/>
          <w:sz w:val="20"/>
          <w:szCs w:val="20"/>
          <w:highlight w:val="yellow"/>
        </w:rPr>
        <w:t>Canqui</w:t>
      </w:r>
      <w:proofErr w:type="spellEnd"/>
      <w:r w:rsidR="00762032" w:rsidRPr="00762032">
        <w:rPr>
          <w:rFonts w:ascii="Arial" w:hAnsi="Arial" w:cs="Arial"/>
          <w:sz w:val="20"/>
          <w:szCs w:val="20"/>
          <w:highlight w:val="yellow"/>
        </w:rPr>
        <w:t xml:space="preserve"> &amp; Lal 2008; Cong et al. 2015; </w:t>
      </w:r>
      <w:proofErr w:type="spellStart"/>
      <w:r w:rsidR="00762032" w:rsidRPr="00762032">
        <w:rPr>
          <w:rFonts w:ascii="Arial" w:hAnsi="Arial" w:cs="Arial"/>
          <w:sz w:val="20"/>
          <w:szCs w:val="20"/>
          <w:highlight w:val="yellow"/>
        </w:rPr>
        <w:t>Tiemann</w:t>
      </w:r>
      <w:proofErr w:type="spellEnd"/>
      <w:r w:rsidR="00762032" w:rsidRPr="00762032">
        <w:rPr>
          <w:rFonts w:ascii="Arial" w:hAnsi="Arial" w:cs="Arial"/>
          <w:sz w:val="20"/>
          <w:szCs w:val="20"/>
          <w:highlight w:val="yellow"/>
        </w:rPr>
        <w:t xml:space="preserve"> et al. 2015). Diversified and perennial cropping systems foster enhanced biological activity, maintain continuous ground cover, and improve microclimatic conditions, all of which contribute to increased nutrient retention and soil carbon sequestration (Lal 2004; McDaniel et al. 2014).</w:t>
      </w:r>
    </w:p>
    <w:p w:rsidR="00BF0FD2" w:rsidRPr="00EA3249" w:rsidRDefault="00BF0FD2" w:rsidP="00BF6CF0">
      <w:pPr>
        <w:pStyle w:val="NormalWeb"/>
        <w:spacing w:line="360" w:lineRule="auto"/>
        <w:rPr>
          <w:rFonts w:ascii="Arial" w:hAnsi="Arial" w:cs="Arial"/>
          <w:sz w:val="20"/>
          <w:szCs w:val="20"/>
        </w:rPr>
      </w:pPr>
      <w:r w:rsidRPr="00EA3249">
        <w:rPr>
          <w:rFonts w:ascii="Arial" w:hAnsi="Arial" w:cs="Arial"/>
          <w:sz w:val="20"/>
          <w:szCs w:val="20"/>
        </w:rPr>
        <w:t>Overall, the results highlight the importance of integrated and biologically enriched systems in maintaining soil fertility and ecological balance. These systems not only enhance nutrient availability and carbon content but also promote microbial health, structural stability, and resilience to environmental stress (</w:t>
      </w:r>
      <w:proofErr w:type="spellStart"/>
      <w:r w:rsidRPr="00EA3249">
        <w:rPr>
          <w:rFonts w:ascii="Arial" w:hAnsi="Arial" w:cs="Arial"/>
          <w:sz w:val="20"/>
          <w:szCs w:val="20"/>
        </w:rPr>
        <w:t>Bünemann</w:t>
      </w:r>
      <w:proofErr w:type="spellEnd"/>
      <w:r w:rsidRPr="00EA3249">
        <w:rPr>
          <w:rFonts w:ascii="Arial" w:hAnsi="Arial" w:cs="Arial"/>
          <w:sz w:val="20"/>
          <w:szCs w:val="20"/>
        </w:rPr>
        <w:t xml:space="preserve"> et al., 2018</w:t>
      </w:r>
      <w:r w:rsidR="008B6C1A">
        <w:rPr>
          <w:rFonts w:ascii="Arial" w:hAnsi="Arial" w:cs="Arial"/>
          <w:sz w:val="20"/>
          <w:szCs w:val="20"/>
        </w:rPr>
        <w:t xml:space="preserve">; </w:t>
      </w:r>
      <w:proofErr w:type="spellStart"/>
      <w:r w:rsidR="008B6C1A" w:rsidRPr="008B6C1A">
        <w:rPr>
          <w:rFonts w:ascii="Arial" w:hAnsi="Arial" w:cs="Arial"/>
          <w:sz w:val="20"/>
          <w:szCs w:val="20"/>
          <w:highlight w:val="yellow"/>
        </w:rPr>
        <w:t>Onemayin</w:t>
      </w:r>
      <w:proofErr w:type="spellEnd"/>
      <w:r w:rsidR="008B6C1A" w:rsidRPr="008B6C1A">
        <w:rPr>
          <w:rFonts w:ascii="Arial" w:hAnsi="Arial" w:cs="Arial"/>
          <w:sz w:val="20"/>
          <w:szCs w:val="20"/>
          <w:highlight w:val="yellow"/>
        </w:rPr>
        <w:t xml:space="preserve"> et al 2020</w:t>
      </w:r>
      <w:r w:rsidRPr="00EA3249">
        <w:rPr>
          <w:rFonts w:ascii="Arial" w:hAnsi="Arial" w:cs="Arial"/>
          <w:sz w:val="20"/>
          <w:szCs w:val="20"/>
        </w:rPr>
        <w:t>).</w:t>
      </w:r>
    </w:p>
    <w:p w:rsidR="008A281D" w:rsidRPr="007B6180" w:rsidRDefault="007B6180" w:rsidP="00BF6CF0">
      <w:pPr>
        <w:pStyle w:val="NormalWeb"/>
        <w:spacing w:line="360" w:lineRule="auto"/>
        <w:rPr>
          <w:rFonts w:ascii="Arial" w:hAnsi="Arial" w:cs="Arial"/>
          <w:sz w:val="22"/>
          <w:szCs w:val="20"/>
        </w:rPr>
      </w:pPr>
      <w:r w:rsidRPr="007B6180">
        <w:rPr>
          <w:rFonts w:ascii="Arial" w:hAnsi="Arial" w:cs="Arial"/>
          <w:b/>
          <w:sz w:val="22"/>
          <w:szCs w:val="20"/>
        </w:rPr>
        <w:t>4. CONCLUSION</w:t>
      </w:r>
    </w:p>
    <w:p w:rsidR="008A281D" w:rsidRDefault="008A281D" w:rsidP="00BF6CF0">
      <w:pPr>
        <w:pStyle w:val="NormalWeb"/>
        <w:spacing w:line="360" w:lineRule="auto"/>
        <w:rPr>
          <w:rFonts w:ascii="Arial" w:hAnsi="Arial" w:cs="Arial"/>
          <w:sz w:val="20"/>
          <w:szCs w:val="20"/>
        </w:rPr>
      </w:pPr>
      <w:r w:rsidRPr="00EA3249">
        <w:rPr>
          <w:rFonts w:ascii="Arial" w:hAnsi="Arial" w:cs="Arial"/>
          <w:sz w:val="20"/>
          <w:szCs w:val="20"/>
        </w:rPr>
        <w:t xml:space="preserve">The findings of this study clearly establish that land use practices exert a profound influence on soil physicochemical properties in the Jorhat district of Assam. Systems integrating perennial vegetation, organic recycling, and crop diversification—such as fruit-based homesteads and rice-vegetable rotations—significantly improve key soil quality indicators, including organic carbon, nutrient availability, and reduced bulk density. These systems create favorable conditions for microbial activity, enhance soil structure, and support long-term sustainability of agricultural productivity. On the contrary, barren and intensively </w:t>
      </w:r>
      <w:proofErr w:type="spellStart"/>
      <w:r w:rsidRPr="00EA3249">
        <w:rPr>
          <w:rFonts w:ascii="Arial" w:hAnsi="Arial" w:cs="Arial"/>
          <w:sz w:val="20"/>
          <w:szCs w:val="20"/>
        </w:rPr>
        <w:t>monocropped</w:t>
      </w:r>
      <w:proofErr w:type="spellEnd"/>
      <w:r w:rsidRPr="00EA3249">
        <w:rPr>
          <w:rFonts w:ascii="Arial" w:hAnsi="Arial" w:cs="Arial"/>
          <w:sz w:val="20"/>
          <w:szCs w:val="20"/>
        </w:rPr>
        <w:t xml:space="preserve"> lands like paddy fields exhibit depleted fertility and lower organic matter status, thereby compromising soil resilience. Given the challenges posed by climate variability and land degradation in the northeastern region, adopting integrated land use models becomes essential. Such systems not only improve soil health but also contribute to biodiversity conservation, carbon sequestration, and enhanced livelihood opportunities for smallholder farmers. Therefore, it is imperative for policymakers, researchers, and development agencies to prioritize the promotion of ecologically sound, socially acceptable, and economically viable land use strategies for sustainable agricultural intensification in the region.</w:t>
      </w:r>
    </w:p>
    <w:p w:rsidR="00BE5AB7" w:rsidRDefault="00BE5AB7" w:rsidP="00206311">
      <w:pPr>
        <w:pStyle w:val="NormalWeb"/>
        <w:rPr>
          <w:rFonts w:ascii="Arial" w:hAnsi="Arial" w:cs="Arial"/>
          <w:sz w:val="20"/>
          <w:szCs w:val="20"/>
        </w:rPr>
      </w:pPr>
    </w:p>
    <w:p w:rsidR="002E4028" w:rsidRDefault="002E4028" w:rsidP="00206311">
      <w:pPr>
        <w:pStyle w:val="NormalWeb"/>
        <w:rPr>
          <w:rFonts w:ascii="Arial" w:hAnsi="Arial" w:cs="Arial"/>
          <w:sz w:val="20"/>
          <w:szCs w:val="20"/>
        </w:rPr>
      </w:pPr>
    </w:p>
    <w:p w:rsidR="002E4028" w:rsidRDefault="002E4028" w:rsidP="00206311">
      <w:pPr>
        <w:pStyle w:val="NormalWeb"/>
        <w:rPr>
          <w:rFonts w:ascii="Arial" w:hAnsi="Arial" w:cs="Arial"/>
          <w:sz w:val="20"/>
          <w:szCs w:val="20"/>
        </w:rPr>
      </w:pPr>
    </w:p>
    <w:p w:rsidR="00F25B94" w:rsidRDefault="00F25B94" w:rsidP="00BE5AB7">
      <w:pPr>
        <w:pStyle w:val="NormalWeb"/>
        <w:rPr>
          <w:rFonts w:ascii="Arial" w:hAnsi="Arial" w:cs="Arial"/>
          <w:sz w:val="20"/>
          <w:szCs w:val="20"/>
        </w:rPr>
      </w:pPr>
    </w:p>
    <w:p w:rsidR="00F25B94" w:rsidRPr="00023CE8" w:rsidRDefault="00F25B94" w:rsidP="00F25B94">
      <w:pPr>
        <w:rPr>
          <w:rFonts w:ascii="Calibri" w:eastAsia="Calibri" w:hAnsi="Calibri" w:cs="Times New Roman"/>
          <w:b/>
          <w:kern w:val="2"/>
          <w:highlight w:val="yellow"/>
        </w:rPr>
      </w:pPr>
      <w:bookmarkStart w:id="0" w:name="_Hlk197682619"/>
      <w:bookmarkStart w:id="1" w:name="_Hlk180402183"/>
      <w:bookmarkStart w:id="2" w:name="_Hlk183680988"/>
      <w:r w:rsidRPr="00023CE8">
        <w:rPr>
          <w:rFonts w:ascii="Calibri" w:eastAsia="Calibri" w:hAnsi="Calibri" w:cs="Times New Roman"/>
          <w:b/>
          <w:kern w:val="2"/>
          <w:highlight w:val="yellow"/>
        </w:rPr>
        <w:t>Disclaimer (Artificial intelligence)</w:t>
      </w:r>
    </w:p>
    <w:p w:rsidR="00F25B94" w:rsidRPr="00762032" w:rsidRDefault="00F25B94" w:rsidP="00F25B9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w:t>
      </w:r>
      <w:r w:rsidRPr="00762032">
        <w:rPr>
          <w:rFonts w:ascii="Calibri" w:eastAsia="Calibri" w:hAnsi="Calibri" w:cs="Times New Roman"/>
          <w:kern w:val="2"/>
          <w:highlight w:val="yellow"/>
        </w:rPr>
        <w:t>generative AI technology</w:t>
      </w:r>
    </w:p>
    <w:p w:rsidR="00F25B94" w:rsidRPr="00762032" w:rsidRDefault="00F25B94" w:rsidP="00F25B94">
      <w:pPr>
        <w:rPr>
          <w:rFonts w:ascii="Calibri" w:eastAsia="Calibri" w:hAnsi="Calibri" w:cs="Times New Roman"/>
          <w:kern w:val="2"/>
          <w:highlight w:val="yellow"/>
        </w:rPr>
      </w:pPr>
      <w:r w:rsidRPr="00762032">
        <w:rPr>
          <w:rFonts w:ascii="Calibri" w:eastAsia="Calibri" w:hAnsi="Calibri" w:cs="Times New Roman"/>
          <w:kern w:val="2"/>
          <w:highlight w:val="yellow"/>
        </w:rPr>
        <w:t>Details of the AI usage are given below:</w:t>
      </w:r>
    </w:p>
    <w:p w:rsidR="00F25B94" w:rsidRPr="00762032" w:rsidRDefault="00F25B94" w:rsidP="00F25B94">
      <w:pPr>
        <w:rPr>
          <w:rFonts w:ascii="Calibri" w:eastAsia="Calibri" w:hAnsi="Calibri" w:cs="Times New Roman"/>
          <w:kern w:val="2"/>
          <w:highlight w:val="yellow"/>
        </w:rPr>
      </w:pPr>
      <w:r w:rsidRPr="00762032">
        <w:rPr>
          <w:rFonts w:ascii="Calibri" w:eastAsia="Calibri" w:hAnsi="Calibri" w:cs="Times New Roman"/>
          <w:kern w:val="2"/>
          <w:highlight w:val="yellow"/>
        </w:rPr>
        <w:t>1.</w:t>
      </w:r>
      <w:r w:rsidR="00762032" w:rsidRPr="00762032">
        <w:rPr>
          <w:rFonts w:ascii="Calibri" w:eastAsia="Calibri" w:hAnsi="Calibri" w:cs="Times New Roman"/>
          <w:kern w:val="2"/>
          <w:highlight w:val="yellow"/>
        </w:rPr>
        <w:t xml:space="preserve"> </w:t>
      </w:r>
      <w:r w:rsidR="00762032" w:rsidRPr="00762032">
        <w:rPr>
          <w:highlight w:val="yellow"/>
        </w:rPr>
        <w:t>GPT-3.</w:t>
      </w:r>
      <w:proofErr w:type="gramStart"/>
      <w:r w:rsidR="00762032" w:rsidRPr="00762032">
        <w:rPr>
          <w:highlight w:val="yellow"/>
        </w:rPr>
        <w:t>5 :</w:t>
      </w:r>
      <w:proofErr w:type="gramEnd"/>
      <w:r w:rsidR="00762032" w:rsidRPr="00762032">
        <w:rPr>
          <w:highlight w:val="yellow"/>
        </w:rPr>
        <w:t xml:space="preserve"> prompts : Find some literatures related to the topic</w:t>
      </w:r>
    </w:p>
    <w:bookmarkEnd w:id="0"/>
    <w:bookmarkEnd w:id="1"/>
    <w:bookmarkEnd w:id="2"/>
    <w:p w:rsidR="008A12AA" w:rsidRPr="00023CE8" w:rsidRDefault="005A35D0" w:rsidP="00E909B3">
      <w:pPr>
        <w:spacing w:line="240" w:lineRule="auto"/>
        <w:ind w:left="1170" w:hanging="1170"/>
        <w:rPr>
          <w:rFonts w:ascii="Arial" w:eastAsia="Calibri" w:hAnsi="Arial" w:cs="Arial"/>
          <w:b/>
          <w:kern w:val="2"/>
          <w:sz w:val="20"/>
          <w:szCs w:val="20"/>
        </w:rPr>
      </w:pPr>
      <w:r w:rsidRPr="00023CE8">
        <w:rPr>
          <w:rFonts w:ascii="Arial" w:eastAsia="Calibri" w:hAnsi="Arial" w:cs="Arial"/>
          <w:b/>
          <w:kern w:val="2"/>
          <w:sz w:val="20"/>
          <w:szCs w:val="20"/>
        </w:rPr>
        <w:t>References</w:t>
      </w:r>
    </w:p>
    <w:p w:rsidR="008B6C1A" w:rsidRPr="008B6C1A" w:rsidRDefault="008B6C1A" w:rsidP="008B6C1A">
      <w:pPr>
        <w:pStyle w:val="NormalWeb"/>
        <w:ind w:left="1170" w:hanging="1170"/>
        <w:rPr>
          <w:rFonts w:ascii="Arial" w:hAnsi="Arial" w:cs="Arial"/>
          <w:sz w:val="20"/>
          <w:szCs w:val="20"/>
        </w:rPr>
      </w:pPr>
      <w:r w:rsidRPr="00D54667">
        <w:rPr>
          <w:rFonts w:ascii="Arial" w:hAnsi="Arial" w:cs="Arial"/>
          <w:sz w:val="20"/>
          <w:szCs w:val="20"/>
          <w:highlight w:val="yellow"/>
        </w:rPr>
        <w:t xml:space="preserve">Awe O, G., O. </w:t>
      </w:r>
      <w:proofErr w:type="spellStart"/>
      <w:r w:rsidRPr="00D54667">
        <w:rPr>
          <w:rFonts w:ascii="Arial" w:hAnsi="Arial" w:cs="Arial"/>
          <w:sz w:val="20"/>
          <w:szCs w:val="20"/>
          <w:highlight w:val="yellow"/>
        </w:rPr>
        <w:t>Nurudeen</w:t>
      </w:r>
      <w:proofErr w:type="spellEnd"/>
      <w:r w:rsidRPr="00D54667">
        <w:rPr>
          <w:rFonts w:ascii="Arial" w:hAnsi="Arial" w:cs="Arial"/>
          <w:sz w:val="20"/>
          <w:szCs w:val="20"/>
          <w:highlight w:val="yellow"/>
        </w:rPr>
        <w:t xml:space="preserve">, O., O. </w:t>
      </w:r>
      <w:proofErr w:type="spellStart"/>
      <w:r w:rsidRPr="00D54667">
        <w:rPr>
          <w:rFonts w:ascii="Arial" w:hAnsi="Arial" w:cs="Arial"/>
          <w:sz w:val="20"/>
          <w:szCs w:val="20"/>
          <w:highlight w:val="yellow"/>
        </w:rPr>
        <w:t>Omotoso</w:t>
      </w:r>
      <w:proofErr w:type="spellEnd"/>
      <w:r w:rsidRPr="00D54667">
        <w:rPr>
          <w:rFonts w:ascii="Arial" w:hAnsi="Arial" w:cs="Arial"/>
          <w:sz w:val="20"/>
          <w:szCs w:val="20"/>
          <w:highlight w:val="yellow"/>
        </w:rPr>
        <w:t xml:space="preserve">, S., A. </w:t>
      </w:r>
      <w:proofErr w:type="spellStart"/>
      <w:r w:rsidRPr="00D54667">
        <w:rPr>
          <w:rFonts w:ascii="Arial" w:hAnsi="Arial" w:cs="Arial"/>
          <w:sz w:val="20"/>
          <w:szCs w:val="20"/>
          <w:highlight w:val="yellow"/>
        </w:rPr>
        <w:t>Amiola</w:t>
      </w:r>
      <w:proofErr w:type="spellEnd"/>
      <w:r w:rsidRPr="00D54667">
        <w:rPr>
          <w:rFonts w:ascii="Arial" w:hAnsi="Arial" w:cs="Arial"/>
          <w:sz w:val="20"/>
          <w:szCs w:val="20"/>
          <w:highlight w:val="yellow"/>
        </w:rPr>
        <w:t xml:space="preserve">, A., </w:t>
      </w:r>
      <w:proofErr w:type="spellStart"/>
      <w:r w:rsidRPr="00D54667">
        <w:rPr>
          <w:rFonts w:ascii="Arial" w:hAnsi="Arial" w:cs="Arial"/>
          <w:sz w:val="20"/>
          <w:szCs w:val="20"/>
          <w:highlight w:val="yellow"/>
        </w:rPr>
        <w:t>Ojeniyi</w:t>
      </w:r>
      <w:proofErr w:type="spellEnd"/>
      <w:r w:rsidRPr="00D54667">
        <w:rPr>
          <w:rFonts w:ascii="Arial" w:hAnsi="Arial" w:cs="Arial"/>
          <w:sz w:val="20"/>
          <w:szCs w:val="20"/>
          <w:highlight w:val="yellow"/>
        </w:rPr>
        <w:t xml:space="preserve">, D., &amp; Tutuola, T. (2018). Soil </w:t>
      </w:r>
      <w:proofErr w:type="spellStart"/>
      <w:r w:rsidRPr="00D54667">
        <w:rPr>
          <w:rFonts w:ascii="Arial" w:hAnsi="Arial" w:cs="Arial"/>
          <w:sz w:val="20"/>
          <w:szCs w:val="20"/>
          <w:highlight w:val="yellow"/>
        </w:rPr>
        <w:t>Physico</w:t>
      </w:r>
      <w:proofErr w:type="spellEnd"/>
      <w:r w:rsidRPr="00D54667">
        <w:rPr>
          <w:rFonts w:ascii="Arial" w:hAnsi="Arial" w:cs="Arial"/>
          <w:sz w:val="20"/>
          <w:szCs w:val="20"/>
          <w:highlight w:val="yellow"/>
        </w:rPr>
        <w:t xml:space="preserve">-chemical Properties Changes under Different Crops in Ado Ekiti, Nigeria. Asian Soil Research Journal, 1(2), 1–15. </w:t>
      </w:r>
      <w:hyperlink r:id="rId9" w:history="1">
        <w:r w:rsidRPr="00D54667">
          <w:rPr>
            <w:rFonts w:ascii="Arial" w:hAnsi="Arial" w:cs="Arial"/>
            <w:sz w:val="20"/>
            <w:szCs w:val="20"/>
            <w:highlight w:val="yellow"/>
          </w:rPr>
          <w:t>https://doi.org/10.9734/asrj/2018/v1i2653</w:t>
        </w:r>
      </w:hyperlink>
      <w:r w:rsidRPr="008B6C1A">
        <w:rPr>
          <w:rFonts w:ascii="Arial" w:hAnsi="Arial" w:cs="Arial"/>
          <w:sz w:val="20"/>
          <w:szCs w:val="20"/>
        </w:rPr>
        <w:t xml:space="preserve"> </w:t>
      </w:r>
    </w:p>
    <w:p w:rsidR="001B68C7" w:rsidRPr="001B68C7" w:rsidRDefault="001B68C7" w:rsidP="00E909B3">
      <w:pPr>
        <w:pStyle w:val="NormalWeb"/>
        <w:ind w:left="1170" w:hanging="1170"/>
        <w:rPr>
          <w:rFonts w:ascii="Arial" w:hAnsi="Arial" w:cs="Arial"/>
          <w:sz w:val="20"/>
          <w:szCs w:val="20"/>
        </w:rPr>
      </w:pPr>
      <w:proofErr w:type="spellStart"/>
      <w:r w:rsidRPr="001B68C7">
        <w:rPr>
          <w:rFonts w:ascii="Arial" w:hAnsi="Arial" w:cs="Arial"/>
          <w:sz w:val="20"/>
          <w:szCs w:val="20"/>
        </w:rPr>
        <w:t>Bhuyan</w:t>
      </w:r>
      <w:proofErr w:type="spellEnd"/>
      <w:r w:rsidRPr="001B68C7">
        <w:rPr>
          <w:rFonts w:ascii="Arial" w:hAnsi="Arial" w:cs="Arial"/>
          <w:sz w:val="20"/>
          <w:szCs w:val="20"/>
        </w:rPr>
        <w:t xml:space="preserve">, S., </w:t>
      </w:r>
      <w:proofErr w:type="spellStart"/>
      <w:r w:rsidRPr="001B68C7">
        <w:rPr>
          <w:rFonts w:ascii="Arial" w:hAnsi="Arial" w:cs="Arial"/>
          <w:sz w:val="20"/>
          <w:szCs w:val="20"/>
        </w:rPr>
        <w:t>Patgiri</w:t>
      </w:r>
      <w:proofErr w:type="spellEnd"/>
      <w:r w:rsidRPr="001B68C7">
        <w:rPr>
          <w:rFonts w:ascii="Arial" w:hAnsi="Arial" w:cs="Arial"/>
          <w:sz w:val="20"/>
          <w:szCs w:val="20"/>
        </w:rPr>
        <w:t xml:space="preserve">, D. K., </w:t>
      </w:r>
      <w:proofErr w:type="spellStart"/>
      <w:r w:rsidRPr="001B68C7">
        <w:rPr>
          <w:rFonts w:ascii="Arial" w:hAnsi="Arial" w:cs="Arial"/>
          <w:sz w:val="20"/>
          <w:szCs w:val="20"/>
        </w:rPr>
        <w:t>Medhi</w:t>
      </w:r>
      <w:proofErr w:type="spellEnd"/>
      <w:r w:rsidRPr="001B68C7">
        <w:rPr>
          <w:rFonts w:ascii="Arial" w:hAnsi="Arial" w:cs="Arial"/>
          <w:sz w:val="20"/>
          <w:szCs w:val="20"/>
        </w:rPr>
        <w:t xml:space="preserve">, S. J., </w:t>
      </w:r>
      <w:proofErr w:type="spellStart"/>
      <w:r w:rsidRPr="001B68C7">
        <w:rPr>
          <w:rFonts w:ascii="Arial" w:hAnsi="Arial" w:cs="Arial"/>
          <w:sz w:val="20"/>
          <w:szCs w:val="20"/>
        </w:rPr>
        <w:t>Chutia</w:t>
      </w:r>
      <w:proofErr w:type="spellEnd"/>
      <w:r w:rsidRPr="001B68C7">
        <w:rPr>
          <w:rFonts w:ascii="Arial" w:hAnsi="Arial" w:cs="Arial"/>
          <w:sz w:val="20"/>
          <w:szCs w:val="20"/>
        </w:rPr>
        <w:t xml:space="preserve">, D., Meena, R. S., &amp; </w:t>
      </w:r>
      <w:proofErr w:type="spellStart"/>
      <w:r w:rsidRPr="001B68C7">
        <w:rPr>
          <w:rFonts w:ascii="Arial" w:hAnsi="Arial" w:cs="Arial"/>
          <w:sz w:val="20"/>
          <w:szCs w:val="20"/>
        </w:rPr>
        <w:t>Sandillya</w:t>
      </w:r>
      <w:proofErr w:type="spellEnd"/>
      <w:r w:rsidRPr="001B68C7">
        <w:rPr>
          <w:rFonts w:ascii="Arial" w:hAnsi="Arial" w:cs="Arial"/>
          <w:sz w:val="20"/>
          <w:szCs w:val="20"/>
        </w:rPr>
        <w:t xml:space="preserve">, M. (2023). Spatial distribution of soil nutrient status of </w:t>
      </w:r>
      <w:proofErr w:type="spellStart"/>
      <w:r w:rsidRPr="001B68C7">
        <w:rPr>
          <w:rFonts w:ascii="Arial" w:hAnsi="Arial" w:cs="Arial"/>
          <w:sz w:val="20"/>
          <w:szCs w:val="20"/>
        </w:rPr>
        <w:t>Biswanath</w:t>
      </w:r>
      <w:proofErr w:type="spellEnd"/>
      <w:r w:rsidRPr="001B68C7">
        <w:rPr>
          <w:rFonts w:ascii="Arial" w:hAnsi="Arial" w:cs="Arial"/>
          <w:sz w:val="20"/>
          <w:szCs w:val="20"/>
        </w:rPr>
        <w:t xml:space="preserve"> district, Assam, North East India. </w:t>
      </w:r>
      <w:r w:rsidRPr="001B68C7">
        <w:rPr>
          <w:rStyle w:val="Emphasis"/>
          <w:rFonts w:ascii="Arial" w:hAnsi="Arial" w:cs="Arial"/>
          <w:sz w:val="20"/>
          <w:szCs w:val="20"/>
        </w:rPr>
        <w:t>International Journal of Plant &amp; Soil Science, 35</w:t>
      </w:r>
      <w:r w:rsidRPr="001B68C7">
        <w:rPr>
          <w:rFonts w:ascii="Arial" w:hAnsi="Arial" w:cs="Arial"/>
          <w:sz w:val="20"/>
          <w:szCs w:val="20"/>
        </w:rPr>
        <w:t xml:space="preserve">(8), 145–157. </w:t>
      </w:r>
      <w:hyperlink r:id="rId10" w:tgtFrame="_new" w:history="1">
        <w:r w:rsidRPr="001B68C7">
          <w:rPr>
            <w:rStyle w:val="Hyperlink"/>
            <w:rFonts w:ascii="Arial" w:hAnsi="Arial" w:cs="Arial"/>
            <w:sz w:val="20"/>
            <w:szCs w:val="20"/>
          </w:rPr>
          <w:t>https://doi.org/10.9734/IJPSS/2023/v35i82891</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Blake, G. R., &amp; </w:t>
      </w:r>
      <w:proofErr w:type="spellStart"/>
      <w:r w:rsidRPr="001B68C7">
        <w:rPr>
          <w:rFonts w:ascii="Arial" w:hAnsi="Arial" w:cs="Arial"/>
          <w:sz w:val="20"/>
          <w:szCs w:val="20"/>
        </w:rPr>
        <w:t>Hartge</w:t>
      </w:r>
      <w:proofErr w:type="spellEnd"/>
      <w:r w:rsidRPr="001B68C7">
        <w:rPr>
          <w:rFonts w:ascii="Arial" w:hAnsi="Arial" w:cs="Arial"/>
          <w:sz w:val="20"/>
          <w:szCs w:val="20"/>
        </w:rPr>
        <w:t xml:space="preserve">, K. H. (1986). Bulk density. In A. </w:t>
      </w:r>
      <w:proofErr w:type="spellStart"/>
      <w:r w:rsidRPr="001B68C7">
        <w:rPr>
          <w:rFonts w:ascii="Arial" w:hAnsi="Arial" w:cs="Arial"/>
          <w:sz w:val="20"/>
          <w:szCs w:val="20"/>
        </w:rPr>
        <w:t>Klute</w:t>
      </w:r>
      <w:proofErr w:type="spellEnd"/>
      <w:r w:rsidRPr="001B68C7">
        <w:rPr>
          <w:rFonts w:ascii="Arial" w:hAnsi="Arial" w:cs="Arial"/>
          <w:sz w:val="20"/>
          <w:szCs w:val="20"/>
        </w:rPr>
        <w:t xml:space="preserve"> (Ed.), Methods of Soil Analysis: Part 1. Physical and Mineralogical Methods (2nd ed., pp. 363–375). American Society of Agronomy.</w:t>
      </w:r>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Blanco-</w:t>
      </w:r>
      <w:proofErr w:type="spellStart"/>
      <w:r w:rsidRPr="001B68C7">
        <w:rPr>
          <w:rFonts w:ascii="Arial" w:hAnsi="Arial" w:cs="Arial"/>
          <w:sz w:val="20"/>
          <w:szCs w:val="20"/>
        </w:rPr>
        <w:t>Canqui</w:t>
      </w:r>
      <w:proofErr w:type="spellEnd"/>
      <w:r w:rsidRPr="001B68C7">
        <w:rPr>
          <w:rFonts w:ascii="Arial" w:hAnsi="Arial" w:cs="Arial"/>
          <w:sz w:val="20"/>
          <w:szCs w:val="20"/>
        </w:rPr>
        <w:t>, H., &amp; Lal, R. (2008). Crop residue removal impacts on soil productivity and environmental quality. Critical Reviews in Plant Sciences, 27(1), 1–16.</w:t>
      </w:r>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Blanco-</w:t>
      </w:r>
      <w:proofErr w:type="spellStart"/>
      <w:r w:rsidRPr="001B68C7">
        <w:rPr>
          <w:rFonts w:ascii="Arial" w:hAnsi="Arial" w:cs="Arial"/>
          <w:sz w:val="20"/>
          <w:szCs w:val="20"/>
        </w:rPr>
        <w:t>Canqui</w:t>
      </w:r>
      <w:proofErr w:type="spellEnd"/>
      <w:r w:rsidRPr="001B68C7">
        <w:rPr>
          <w:rFonts w:ascii="Arial" w:hAnsi="Arial" w:cs="Arial"/>
          <w:sz w:val="20"/>
          <w:szCs w:val="20"/>
        </w:rPr>
        <w:t>, H., &amp; Lal, R. (2009). Crop residue removal impacts on soil productivity and environmental quality. Critical Reviews in Plant Sciences, 28(3), 139–163.</w:t>
      </w:r>
    </w:p>
    <w:p w:rsidR="001B68C7" w:rsidRPr="001B68C7" w:rsidRDefault="001B68C7" w:rsidP="00E909B3">
      <w:pPr>
        <w:pStyle w:val="my-0"/>
        <w:ind w:left="1170" w:hanging="1170"/>
        <w:rPr>
          <w:rFonts w:ascii="Arial" w:hAnsi="Arial" w:cs="Arial"/>
          <w:sz w:val="20"/>
          <w:szCs w:val="20"/>
        </w:rPr>
      </w:pPr>
      <w:r w:rsidRPr="001B68C7">
        <w:rPr>
          <w:rFonts w:ascii="Arial" w:hAnsi="Arial" w:cs="Arial"/>
          <w:bCs/>
          <w:sz w:val="20"/>
          <w:szCs w:val="20"/>
        </w:rPr>
        <w:t xml:space="preserve">Borah, N., </w:t>
      </w:r>
      <w:proofErr w:type="spellStart"/>
      <w:r w:rsidRPr="001B68C7">
        <w:rPr>
          <w:rFonts w:ascii="Arial" w:hAnsi="Arial" w:cs="Arial"/>
          <w:bCs/>
          <w:sz w:val="20"/>
          <w:szCs w:val="20"/>
        </w:rPr>
        <w:t>Chetia</w:t>
      </w:r>
      <w:proofErr w:type="spellEnd"/>
      <w:r w:rsidRPr="001B68C7">
        <w:rPr>
          <w:rFonts w:ascii="Arial" w:hAnsi="Arial" w:cs="Arial"/>
          <w:bCs/>
          <w:sz w:val="20"/>
          <w:szCs w:val="20"/>
        </w:rPr>
        <w:t xml:space="preserve">, S. K., Pathak, P. K., </w:t>
      </w:r>
      <w:proofErr w:type="spellStart"/>
      <w:r w:rsidRPr="001B68C7">
        <w:rPr>
          <w:rFonts w:ascii="Arial" w:hAnsi="Arial" w:cs="Arial"/>
          <w:bCs/>
          <w:sz w:val="20"/>
          <w:szCs w:val="20"/>
        </w:rPr>
        <w:t>Sarma</w:t>
      </w:r>
      <w:proofErr w:type="spellEnd"/>
      <w:r w:rsidRPr="001B68C7">
        <w:rPr>
          <w:rFonts w:ascii="Arial" w:hAnsi="Arial" w:cs="Arial"/>
          <w:bCs/>
          <w:sz w:val="20"/>
          <w:szCs w:val="20"/>
        </w:rPr>
        <w:t xml:space="preserve">, A., </w:t>
      </w:r>
      <w:proofErr w:type="spellStart"/>
      <w:r w:rsidRPr="001B68C7">
        <w:rPr>
          <w:rFonts w:ascii="Arial" w:hAnsi="Arial" w:cs="Arial"/>
          <w:bCs/>
          <w:sz w:val="20"/>
          <w:szCs w:val="20"/>
        </w:rPr>
        <w:t>Saikia</w:t>
      </w:r>
      <w:proofErr w:type="spellEnd"/>
      <w:r w:rsidRPr="001B68C7">
        <w:rPr>
          <w:rFonts w:ascii="Arial" w:hAnsi="Arial" w:cs="Arial"/>
          <w:bCs/>
          <w:sz w:val="20"/>
          <w:szCs w:val="20"/>
        </w:rPr>
        <w:t>, M., &amp; Pathak, K. (2024).</w:t>
      </w:r>
      <w:r w:rsidRPr="001B68C7">
        <w:rPr>
          <w:rFonts w:ascii="Arial" w:hAnsi="Arial" w:cs="Arial"/>
          <w:sz w:val="20"/>
          <w:szCs w:val="20"/>
        </w:rPr>
        <w:br/>
        <w:t xml:space="preserve">Soil fertility, crop productivity, cropping intensity and livelihood enhancement in </w:t>
      </w:r>
      <w:proofErr w:type="spellStart"/>
      <w:r w:rsidRPr="001B68C7">
        <w:rPr>
          <w:rFonts w:ascii="Arial" w:hAnsi="Arial" w:cs="Arial"/>
          <w:sz w:val="20"/>
          <w:szCs w:val="20"/>
        </w:rPr>
        <w:t>Titabar</w:t>
      </w:r>
      <w:proofErr w:type="spellEnd"/>
      <w:r w:rsidRPr="001B68C7">
        <w:rPr>
          <w:rFonts w:ascii="Arial" w:hAnsi="Arial" w:cs="Arial"/>
          <w:sz w:val="20"/>
          <w:szCs w:val="20"/>
        </w:rPr>
        <w:t xml:space="preserve">, Assam, India: A participatory approach through Farmer FIRST </w:t>
      </w:r>
      <w:proofErr w:type="spellStart"/>
      <w:r w:rsidRPr="001B68C7">
        <w:rPr>
          <w:rFonts w:ascii="Arial" w:hAnsi="Arial" w:cs="Arial"/>
          <w:sz w:val="20"/>
          <w:szCs w:val="20"/>
        </w:rPr>
        <w:t>Programme</w:t>
      </w:r>
      <w:proofErr w:type="spellEnd"/>
      <w:r w:rsidRPr="001B68C7">
        <w:rPr>
          <w:rFonts w:ascii="Arial" w:hAnsi="Arial" w:cs="Arial"/>
          <w:sz w:val="20"/>
          <w:szCs w:val="20"/>
        </w:rPr>
        <w:t xml:space="preserve">. </w:t>
      </w:r>
      <w:r w:rsidRPr="001B68C7">
        <w:rPr>
          <w:rFonts w:ascii="Arial" w:hAnsi="Arial" w:cs="Arial"/>
          <w:i/>
          <w:iCs/>
          <w:sz w:val="20"/>
          <w:szCs w:val="20"/>
        </w:rPr>
        <w:t>Journal of Scientific Research &amp; Reports, 30</w:t>
      </w:r>
      <w:r w:rsidRPr="001B68C7">
        <w:rPr>
          <w:rFonts w:ascii="Arial" w:hAnsi="Arial" w:cs="Arial"/>
          <w:sz w:val="20"/>
          <w:szCs w:val="20"/>
        </w:rPr>
        <w:t>(12), 341–349.</w:t>
      </w:r>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Brady, N. C., &amp; Weil, R. R. (2017). The nature and properties of soils (15th ed.). Pearson.</w:t>
      </w:r>
    </w:p>
    <w:p w:rsidR="001B68C7" w:rsidRPr="001B68C7" w:rsidRDefault="001B68C7" w:rsidP="00E909B3">
      <w:pPr>
        <w:pStyle w:val="my-0"/>
        <w:ind w:left="1170" w:hanging="1170"/>
        <w:rPr>
          <w:rFonts w:ascii="Arial" w:hAnsi="Arial" w:cs="Arial"/>
          <w:sz w:val="20"/>
          <w:szCs w:val="20"/>
        </w:rPr>
      </w:pPr>
      <w:proofErr w:type="spellStart"/>
      <w:r w:rsidRPr="001B68C7">
        <w:rPr>
          <w:rFonts w:ascii="Arial" w:hAnsi="Arial" w:cs="Arial"/>
          <w:sz w:val="20"/>
          <w:szCs w:val="20"/>
        </w:rPr>
        <w:lastRenderedPageBreak/>
        <w:t>Bünemann</w:t>
      </w:r>
      <w:proofErr w:type="spellEnd"/>
      <w:r w:rsidRPr="001B68C7">
        <w:rPr>
          <w:rFonts w:ascii="Arial" w:hAnsi="Arial" w:cs="Arial"/>
          <w:sz w:val="20"/>
          <w:szCs w:val="20"/>
        </w:rPr>
        <w:t xml:space="preserve">, E. K., </w:t>
      </w:r>
      <w:proofErr w:type="spellStart"/>
      <w:r w:rsidRPr="001B68C7">
        <w:rPr>
          <w:rFonts w:ascii="Arial" w:hAnsi="Arial" w:cs="Arial"/>
          <w:sz w:val="20"/>
          <w:szCs w:val="20"/>
        </w:rPr>
        <w:t>Bongiorno</w:t>
      </w:r>
      <w:proofErr w:type="spellEnd"/>
      <w:r w:rsidRPr="001B68C7">
        <w:rPr>
          <w:rFonts w:ascii="Arial" w:hAnsi="Arial" w:cs="Arial"/>
          <w:sz w:val="20"/>
          <w:szCs w:val="20"/>
        </w:rPr>
        <w:t xml:space="preserve">, G., Bai, Z., Creamer, R. E., De </w:t>
      </w:r>
      <w:proofErr w:type="spellStart"/>
      <w:r w:rsidRPr="001B68C7">
        <w:rPr>
          <w:rFonts w:ascii="Arial" w:hAnsi="Arial" w:cs="Arial"/>
          <w:sz w:val="20"/>
          <w:szCs w:val="20"/>
        </w:rPr>
        <w:t>Deyn</w:t>
      </w:r>
      <w:proofErr w:type="spellEnd"/>
      <w:r w:rsidRPr="001B68C7">
        <w:rPr>
          <w:rFonts w:ascii="Arial" w:hAnsi="Arial" w:cs="Arial"/>
          <w:sz w:val="20"/>
          <w:szCs w:val="20"/>
        </w:rPr>
        <w:t xml:space="preserve">, G., de Goede, R., ... &amp; </w:t>
      </w:r>
      <w:proofErr w:type="spellStart"/>
      <w:r w:rsidRPr="001B68C7">
        <w:rPr>
          <w:rFonts w:ascii="Arial" w:hAnsi="Arial" w:cs="Arial"/>
          <w:sz w:val="20"/>
          <w:szCs w:val="20"/>
        </w:rPr>
        <w:t>Brussaard</w:t>
      </w:r>
      <w:proofErr w:type="spellEnd"/>
      <w:r w:rsidRPr="001B68C7">
        <w:rPr>
          <w:rFonts w:ascii="Arial" w:hAnsi="Arial" w:cs="Arial"/>
          <w:sz w:val="20"/>
          <w:szCs w:val="20"/>
        </w:rPr>
        <w:t xml:space="preserve">, L. (2018). Soil quality – A critical review. Soil Biology and Biochemistry, 120, 105–125. </w:t>
      </w:r>
      <w:hyperlink r:id="rId11" w:tgtFrame="_blank" w:history="1">
        <w:r w:rsidRPr="001B68C7">
          <w:rPr>
            <w:rStyle w:val="Hyperlink"/>
            <w:rFonts w:ascii="Arial" w:hAnsi="Arial" w:cs="Arial"/>
            <w:sz w:val="20"/>
            <w:szCs w:val="20"/>
          </w:rPr>
          <w:t>https://doi.org/10.1016/j.soilbio.2018.01.030</w:t>
        </w:r>
      </w:hyperlink>
    </w:p>
    <w:p w:rsidR="001B68C7" w:rsidRPr="001B68C7" w:rsidRDefault="001B68C7" w:rsidP="00E909B3">
      <w:pPr>
        <w:pStyle w:val="NormalWeb"/>
        <w:ind w:left="1170" w:hanging="1170"/>
        <w:rPr>
          <w:rFonts w:ascii="Arial" w:hAnsi="Arial" w:cs="Arial"/>
          <w:sz w:val="20"/>
          <w:szCs w:val="20"/>
        </w:rPr>
      </w:pPr>
      <w:r w:rsidRPr="001B68C7">
        <w:rPr>
          <w:rFonts w:ascii="Arial" w:hAnsi="Arial" w:cs="Arial"/>
          <w:sz w:val="20"/>
          <w:szCs w:val="20"/>
        </w:rPr>
        <w:t xml:space="preserve">Chakravarty, M., Nath, D. J., &amp; </w:t>
      </w:r>
      <w:proofErr w:type="spellStart"/>
      <w:r w:rsidRPr="001B68C7">
        <w:rPr>
          <w:rFonts w:ascii="Arial" w:hAnsi="Arial" w:cs="Arial"/>
          <w:sz w:val="20"/>
          <w:szCs w:val="20"/>
        </w:rPr>
        <w:t>Sarma</w:t>
      </w:r>
      <w:proofErr w:type="spellEnd"/>
      <w:r w:rsidRPr="001B68C7">
        <w:rPr>
          <w:rFonts w:ascii="Arial" w:hAnsi="Arial" w:cs="Arial"/>
          <w:sz w:val="20"/>
          <w:szCs w:val="20"/>
        </w:rPr>
        <w:t>, U. J. (2023). Physicochemical properties of long</w:t>
      </w:r>
      <w:r w:rsidRPr="001B68C7">
        <w:rPr>
          <w:rFonts w:ascii="Arial" w:hAnsi="Arial" w:cs="Arial"/>
          <w:sz w:val="20"/>
          <w:szCs w:val="20"/>
        </w:rPr>
        <w:noBreakHyphen/>
        <w:t>term rice</w:t>
      </w:r>
      <w:r w:rsidRPr="001B68C7">
        <w:rPr>
          <w:rFonts w:ascii="Arial" w:hAnsi="Arial" w:cs="Arial"/>
          <w:sz w:val="20"/>
          <w:szCs w:val="20"/>
        </w:rPr>
        <w:noBreakHyphen/>
        <w:t xml:space="preserve">fallow cultivation and uncultivated soils of </w:t>
      </w:r>
      <w:proofErr w:type="spellStart"/>
      <w:r w:rsidRPr="001B68C7">
        <w:rPr>
          <w:rFonts w:ascii="Arial" w:hAnsi="Arial" w:cs="Arial"/>
          <w:sz w:val="20"/>
          <w:szCs w:val="20"/>
        </w:rPr>
        <w:t>Nalbari</w:t>
      </w:r>
      <w:proofErr w:type="spellEnd"/>
      <w:r w:rsidRPr="001B68C7">
        <w:rPr>
          <w:rFonts w:ascii="Arial" w:hAnsi="Arial" w:cs="Arial"/>
          <w:sz w:val="20"/>
          <w:szCs w:val="20"/>
        </w:rPr>
        <w:t xml:space="preserve">, Assam, India. </w:t>
      </w:r>
      <w:r w:rsidRPr="001B68C7">
        <w:rPr>
          <w:rStyle w:val="Emphasis"/>
          <w:rFonts w:ascii="Arial" w:hAnsi="Arial" w:cs="Arial"/>
          <w:sz w:val="20"/>
          <w:szCs w:val="20"/>
        </w:rPr>
        <w:t>International Journal of Plant &amp; Soil Science, 35</w:t>
      </w:r>
      <w:r w:rsidRPr="001B68C7">
        <w:rPr>
          <w:rFonts w:ascii="Arial" w:hAnsi="Arial" w:cs="Arial"/>
          <w:sz w:val="20"/>
          <w:szCs w:val="20"/>
        </w:rPr>
        <w:t xml:space="preserve">(20), 1362–1369. </w:t>
      </w:r>
      <w:hyperlink r:id="rId12" w:tgtFrame="_new" w:history="1">
        <w:r w:rsidRPr="001B68C7">
          <w:rPr>
            <w:rStyle w:val="Hyperlink"/>
            <w:rFonts w:ascii="Arial" w:hAnsi="Arial" w:cs="Arial"/>
            <w:sz w:val="20"/>
            <w:szCs w:val="20"/>
          </w:rPr>
          <w:t>https://doi.org/10.9734/IJPSS/2023/v35i203936</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Cong, W. F., Raza, W., </w:t>
      </w:r>
      <w:proofErr w:type="spellStart"/>
      <w:r w:rsidRPr="001B68C7">
        <w:rPr>
          <w:rFonts w:ascii="Arial" w:hAnsi="Arial" w:cs="Arial"/>
          <w:sz w:val="20"/>
          <w:szCs w:val="20"/>
        </w:rPr>
        <w:t>Oenema</w:t>
      </w:r>
      <w:proofErr w:type="spellEnd"/>
      <w:r w:rsidRPr="001B68C7">
        <w:rPr>
          <w:rFonts w:ascii="Arial" w:hAnsi="Arial" w:cs="Arial"/>
          <w:sz w:val="20"/>
          <w:szCs w:val="20"/>
        </w:rPr>
        <w:t>, O., et al. (2015). Intercropping enhances soil carbon and nitrogen. Global Change Biology, 21(4), 1715–1726.</w:t>
      </w:r>
    </w:p>
    <w:p w:rsidR="001B68C7" w:rsidRPr="001B68C7" w:rsidRDefault="001B68C7" w:rsidP="00E909B3">
      <w:pPr>
        <w:pStyle w:val="NormalWeb"/>
        <w:ind w:left="1170" w:hanging="1170"/>
        <w:rPr>
          <w:rFonts w:ascii="Arial" w:hAnsi="Arial" w:cs="Arial"/>
          <w:sz w:val="20"/>
          <w:szCs w:val="20"/>
        </w:rPr>
      </w:pPr>
      <w:r w:rsidRPr="001B68C7">
        <w:rPr>
          <w:rFonts w:ascii="Arial" w:hAnsi="Arial" w:cs="Arial"/>
          <w:sz w:val="20"/>
          <w:szCs w:val="20"/>
        </w:rPr>
        <w:t xml:space="preserve">Cornish, P. S., Kumar, A., &amp; Das, S. (2020). Soil fertility along </w:t>
      </w:r>
      <w:proofErr w:type="spellStart"/>
      <w:r w:rsidRPr="001B68C7">
        <w:rPr>
          <w:rFonts w:ascii="Arial" w:hAnsi="Arial" w:cs="Arial"/>
          <w:sz w:val="20"/>
          <w:szCs w:val="20"/>
        </w:rPr>
        <w:t>toposequences</w:t>
      </w:r>
      <w:proofErr w:type="spellEnd"/>
      <w:r w:rsidRPr="001B68C7">
        <w:rPr>
          <w:rFonts w:ascii="Arial" w:hAnsi="Arial" w:cs="Arial"/>
          <w:sz w:val="20"/>
          <w:szCs w:val="20"/>
        </w:rPr>
        <w:t xml:space="preserve"> of the East India Plateau. </w:t>
      </w:r>
      <w:r w:rsidRPr="001B68C7">
        <w:rPr>
          <w:rStyle w:val="Emphasis"/>
          <w:rFonts w:ascii="Arial" w:hAnsi="Arial" w:cs="Arial"/>
          <w:sz w:val="20"/>
          <w:szCs w:val="20"/>
        </w:rPr>
        <w:t>SOIL, 6</w:t>
      </w:r>
      <w:r w:rsidRPr="001B68C7">
        <w:rPr>
          <w:rFonts w:ascii="Arial" w:hAnsi="Arial" w:cs="Arial"/>
          <w:sz w:val="20"/>
          <w:szCs w:val="20"/>
        </w:rPr>
        <w:t xml:space="preserve">, 325–336. </w:t>
      </w:r>
      <w:hyperlink r:id="rId13" w:tgtFrame="_new" w:history="1">
        <w:r w:rsidRPr="001B68C7">
          <w:rPr>
            <w:rStyle w:val="Hyperlink"/>
            <w:rFonts w:ascii="Arial" w:hAnsi="Arial" w:cs="Arial"/>
            <w:sz w:val="20"/>
            <w:szCs w:val="20"/>
          </w:rPr>
          <w:t>https://doi.org/10.5194/soil-6-325-2020</w:t>
        </w:r>
      </w:hyperlink>
    </w:p>
    <w:p w:rsidR="001B68C7" w:rsidRPr="001B68C7" w:rsidRDefault="001B68C7" w:rsidP="00E909B3">
      <w:pPr>
        <w:pStyle w:val="NormalWeb"/>
        <w:ind w:left="1170" w:hanging="1170"/>
        <w:rPr>
          <w:rFonts w:ascii="Arial" w:hAnsi="Arial" w:cs="Arial"/>
          <w:sz w:val="20"/>
          <w:szCs w:val="20"/>
        </w:rPr>
      </w:pPr>
      <w:r w:rsidRPr="001B68C7">
        <w:rPr>
          <w:rFonts w:ascii="Arial" w:hAnsi="Arial" w:cs="Arial"/>
          <w:sz w:val="20"/>
          <w:szCs w:val="20"/>
        </w:rPr>
        <w:t xml:space="preserve">Das, A., Biswas, D. R., Sharma, V. K., Das, R., Ray, P., Ghosh, A., &amp; Biswas, S. S. (2020). Soil potassium fractions under two contrasting land use systems of Assam. </w:t>
      </w:r>
      <w:r w:rsidRPr="001B68C7">
        <w:rPr>
          <w:rStyle w:val="Emphasis"/>
          <w:rFonts w:ascii="Arial" w:hAnsi="Arial" w:cs="Arial"/>
          <w:sz w:val="20"/>
          <w:szCs w:val="20"/>
        </w:rPr>
        <w:t>Indian Journal of Agricultural Sciences, 89</w:t>
      </w:r>
      <w:r w:rsidRPr="001B68C7">
        <w:rPr>
          <w:rFonts w:ascii="Arial" w:hAnsi="Arial" w:cs="Arial"/>
          <w:sz w:val="20"/>
          <w:szCs w:val="20"/>
        </w:rPr>
        <w:t>(8). [Available via e-publications of ICAR-IARI]</w:t>
      </w:r>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Devi, N. B. (2021). Soil microbial biomass as an index of soil quality and fertility in different land use systems of Northeast India. In S. Das &amp; P. Bhattacharya (Eds.), Microbiological activity for soil and plant health management (pp. 61–77). Springer. </w:t>
      </w:r>
      <w:hyperlink r:id="rId14" w:tgtFrame="_blank" w:history="1">
        <w:r w:rsidRPr="001B68C7">
          <w:rPr>
            <w:rStyle w:val="Hyperlink"/>
            <w:rFonts w:ascii="Arial" w:hAnsi="Arial" w:cs="Arial"/>
            <w:sz w:val="20"/>
            <w:szCs w:val="20"/>
          </w:rPr>
          <w:t>https://doi.org/10.1007/978-981-16-2922-8_4</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Drinkwater, L. E., &amp; Snapp, S. S. (2007). Nutrients in agroecosystems: Rethinking the management paradigm. Advances in Agronomy, 92, 163–186. </w:t>
      </w:r>
      <w:hyperlink r:id="rId15" w:tgtFrame="_blank" w:history="1">
        <w:r w:rsidRPr="001B68C7">
          <w:rPr>
            <w:rStyle w:val="Hyperlink"/>
            <w:rFonts w:ascii="Arial" w:hAnsi="Arial" w:cs="Arial"/>
            <w:sz w:val="20"/>
            <w:szCs w:val="20"/>
          </w:rPr>
          <w:t>https://doi.org/10.1016/S0065-2113(07)92004-2</w:t>
        </w:r>
      </w:hyperlink>
    </w:p>
    <w:p w:rsidR="001B68C7" w:rsidRPr="001B68C7" w:rsidRDefault="001B68C7" w:rsidP="00E909B3">
      <w:pPr>
        <w:pStyle w:val="NormalWeb"/>
        <w:ind w:left="1170" w:hanging="1170"/>
        <w:rPr>
          <w:rFonts w:ascii="Arial" w:hAnsi="Arial" w:cs="Arial"/>
          <w:sz w:val="20"/>
          <w:szCs w:val="20"/>
        </w:rPr>
      </w:pPr>
      <w:r w:rsidRPr="001B68C7">
        <w:rPr>
          <w:rFonts w:ascii="Arial" w:hAnsi="Arial" w:cs="Arial"/>
          <w:sz w:val="20"/>
          <w:szCs w:val="20"/>
        </w:rPr>
        <w:t xml:space="preserve">Dutta, A., Dutta, S., &amp; </w:t>
      </w:r>
      <w:proofErr w:type="spellStart"/>
      <w:r w:rsidRPr="001B68C7">
        <w:rPr>
          <w:rFonts w:ascii="Arial" w:hAnsi="Arial" w:cs="Arial"/>
          <w:sz w:val="20"/>
          <w:szCs w:val="20"/>
        </w:rPr>
        <w:t>Karmakar</w:t>
      </w:r>
      <w:proofErr w:type="spellEnd"/>
      <w:r w:rsidRPr="001B68C7">
        <w:rPr>
          <w:rFonts w:ascii="Arial" w:hAnsi="Arial" w:cs="Arial"/>
          <w:sz w:val="20"/>
          <w:szCs w:val="20"/>
        </w:rPr>
        <w:t>, R. M. (2021). Characterization and classification of some alluvium</w:t>
      </w:r>
      <w:r w:rsidRPr="001B68C7">
        <w:rPr>
          <w:rFonts w:ascii="Arial" w:hAnsi="Arial" w:cs="Arial"/>
          <w:sz w:val="20"/>
          <w:szCs w:val="20"/>
        </w:rPr>
        <w:noBreakHyphen/>
        <w:t xml:space="preserve">derived soils under different land uses in Jorhat district of Assam. </w:t>
      </w:r>
      <w:r w:rsidRPr="001B68C7">
        <w:rPr>
          <w:rStyle w:val="Emphasis"/>
          <w:rFonts w:ascii="Arial" w:hAnsi="Arial" w:cs="Arial"/>
          <w:sz w:val="20"/>
          <w:szCs w:val="20"/>
        </w:rPr>
        <w:t>Journal of the Indian Society of Soil Science.</w:t>
      </w:r>
      <w:r w:rsidRPr="001B68C7">
        <w:rPr>
          <w:rFonts w:ascii="Arial" w:hAnsi="Arial" w:cs="Arial"/>
          <w:sz w:val="20"/>
          <w:szCs w:val="20"/>
        </w:rPr>
        <w:t xml:space="preserve"> [Available via ICAR-IARI Publications]</w:t>
      </w:r>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Goulding, K. W. T. (2016). Soil acidification and the importance of liming agricultural soils with particular reference to the United Kingdom. Soil Use and Management, 32(3), 390–399. </w:t>
      </w:r>
      <w:hyperlink r:id="rId16" w:tgtFrame="_blank" w:history="1">
        <w:r w:rsidRPr="001B68C7">
          <w:rPr>
            <w:rStyle w:val="Hyperlink"/>
            <w:rFonts w:ascii="Arial" w:hAnsi="Arial" w:cs="Arial"/>
            <w:sz w:val="20"/>
            <w:szCs w:val="20"/>
          </w:rPr>
          <w:t>https://doi.org/10.1111/sum.12270</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Guo, J. H., Liu, X. J., Zhang, Y., Shen, J. L., Han, W. X., Zhang, W. F., ... &amp; Zhang, F. S. (2010). Significant acidification in major Chinese croplands. Science, 327(5968), 1008–1010. </w:t>
      </w:r>
      <w:hyperlink r:id="rId17" w:tgtFrame="_blank" w:history="1">
        <w:r w:rsidRPr="001B68C7">
          <w:rPr>
            <w:rStyle w:val="Hyperlink"/>
            <w:rFonts w:ascii="Arial" w:hAnsi="Arial" w:cs="Arial"/>
            <w:sz w:val="20"/>
            <w:szCs w:val="20"/>
          </w:rPr>
          <w:t>https://doi.org/10.1126/science.1182570</w:t>
        </w:r>
      </w:hyperlink>
    </w:p>
    <w:p w:rsidR="001B68C7" w:rsidRPr="001B68C7" w:rsidRDefault="001B68C7" w:rsidP="00E909B3">
      <w:pPr>
        <w:pStyle w:val="my-0"/>
        <w:ind w:left="1170" w:hanging="1170"/>
        <w:rPr>
          <w:rFonts w:ascii="Arial" w:hAnsi="Arial" w:cs="Arial"/>
          <w:sz w:val="20"/>
          <w:szCs w:val="20"/>
        </w:rPr>
      </w:pPr>
      <w:proofErr w:type="spellStart"/>
      <w:r w:rsidRPr="001B68C7">
        <w:rPr>
          <w:rFonts w:ascii="Arial" w:hAnsi="Arial" w:cs="Arial"/>
          <w:sz w:val="20"/>
          <w:szCs w:val="20"/>
        </w:rPr>
        <w:t>Havlin</w:t>
      </w:r>
      <w:proofErr w:type="spellEnd"/>
      <w:r w:rsidRPr="001B68C7">
        <w:rPr>
          <w:rFonts w:ascii="Arial" w:hAnsi="Arial" w:cs="Arial"/>
          <w:sz w:val="20"/>
          <w:szCs w:val="20"/>
        </w:rPr>
        <w:t>, J. L., Tisdale, S. L., Nelson, W. L., &amp; Beaton, J. D. (2014). Soil fertility and fertilizers: An introduction to nutrient management (8th ed.). Pearson.</w:t>
      </w:r>
    </w:p>
    <w:p w:rsidR="001B68C7" w:rsidRPr="001B68C7" w:rsidRDefault="001B68C7" w:rsidP="00E909B3">
      <w:pPr>
        <w:pStyle w:val="my-0"/>
        <w:ind w:left="1170" w:hanging="1170"/>
        <w:rPr>
          <w:rFonts w:ascii="Arial" w:hAnsi="Arial" w:cs="Arial"/>
          <w:sz w:val="20"/>
          <w:szCs w:val="20"/>
        </w:rPr>
      </w:pPr>
      <w:r w:rsidRPr="00D54667">
        <w:rPr>
          <w:rFonts w:ascii="Arial" w:hAnsi="Arial" w:cs="Arial"/>
          <w:sz w:val="20"/>
          <w:szCs w:val="20"/>
          <w:highlight w:val="yellow"/>
        </w:rPr>
        <w:t>Jackson, M. L. (1973). Soil chemical analysis. Prentice Hall of India.</w:t>
      </w:r>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Jiang, Y., Zhang, M., Ling, N., et al. (2025). Soil organic carbon thresholds control fertilizer effects on carbon accrual in croplands worldwide. Nature Communications, 16, 3009. </w:t>
      </w:r>
      <w:hyperlink r:id="rId18" w:tgtFrame="_blank" w:history="1">
        <w:r w:rsidRPr="001B68C7">
          <w:rPr>
            <w:rStyle w:val="Hyperlink"/>
            <w:rFonts w:ascii="Arial" w:hAnsi="Arial" w:cs="Arial"/>
            <w:sz w:val="20"/>
            <w:szCs w:val="20"/>
          </w:rPr>
          <w:t>https://doi.org/10.1038/s41467-025-57981-6</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Kaur, G., Singh, G., </w:t>
      </w:r>
      <w:proofErr w:type="spellStart"/>
      <w:r w:rsidRPr="001B68C7">
        <w:rPr>
          <w:rFonts w:ascii="Arial" w:hAnsi="Arial" w:cs="Arial"/>
          <w:sz w:val="20"/>
          <w:szCs w:val="20"/>
        </w:rPr>
        <w:t>Motavalli</w:t>
      </w:r>
      <w:proofErr w:type="spellEnd"/>
      <w:r w:rsidRPr="001B68C7">
        <w:rPr>
          <w:rFonts w:ascii="Arial" w:hAnsi="Arial" w:cs="Arial"/>
          <w:sz w:val="20"/>
          <w:szCs w:val="20"/>
        </w:rPr>
        <w:t xml:space="preserve">, P. P., Nelson, K. A., Orlowski, J. M., &amp; Golden, B. R. (2019). Impacts and management strategies for crop production in waterlogged or flooded soils: A review. Agronomy Journal, 112(2), 1471–1488. </w:t>
      </w:r>
      <w:hyperlink r:id="rId19" w:tgtFrame="_blank" w:history="1">
        <w:r w:rsidRPr="001B68C7">
          <w:rPr>
            <w:rStyle w:val="Hyperlink"/>
            <w:rFonts w:ascii="Arial" w:hAnsi="Arial" w:cs="Arial"/>
            <w:sz w:val="20"/>
            <w:szCs w:val="20"/>
          </w:rPr>
          <w:t>https://doi.org/10.1002/agj2.20093</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lastRenderedPageBreak/>
        <w:t xml:space="preserve">Lal, R. (2004). Soil carbon sequestration to mitigate climate change. </w:t>
      </w:r>
      <w:proofErr w:type="spellStart"/>
      <w:r w:rsidRPr="001B68C7">
        <w:rPr>
          <w:rFonts w:ascii="Arial" w:hAnsi="Arial" w:cs="Arial"/>
          <w:sz w:val="20"/>
          <w:szCs w:val="20"/>
        </w:rPr>
        <w:t>Geoderma</w:t>
      </w:r>
      <w:proofErr w:type="spellEnd"/>
      <w:r w:rsidRPr="001B68C7">
        <w:rPr>
          <w:rFonts w:ascii="Arial" w:hAnsi="Arial" w:cs="Arial"/>
          <w:sz w:val="20"/>
          <w:szCs w:val="20"/>
        </w:rPr>
        <w:t xml:space="preserve">, 123(1–2), 1–22. </w:t>
      </w:r>
      <w:hyperlink r:id="rId20" w:tgtFrame="_blank" w:history="1">
        <w:r w:rsidRPr="001B68C7">
          <w:rPr>
            <w:rStyle w:val="Hyperlink"/>
            <w:rFonts w:ascii="Arial" w:hAnsi="Arial" w:cs="Arial"/>
            <w:sz w:val="20"/>
            <w:szCs w:val="20"/>
          </w:rPr>
          <w:t>https://doi.org/10.1016/j.geoderma.2004.01.032</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Lal, R. (2006). Enhancing crop yields through restoration of soil organic carbon pool. Land Degradation &amp; Development, 17(2), 197–209. </w:t>
      </w:r>
      <w:hyperlink r:id="rId21" w:tgtFrame="_blank" w:history="1">
        <w:r w:rsidRPr="001B68C7">
          <w:rPr>
            <w:rStyle w:val="Hyperlink"/>
            <w:rFonts w:ascii="Arial" w:hAnsi="Arial" w:cs="Arial"/>
            <w:sz w:val="20"/>
            <w:szCs w:val="20"/>
          </w:rPr>
          <w:t>https://doi.org/10.1002/ldr.696</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Lehmann, J., &amp; Kleber, M. (2015). The contentious nature of soil organic matter. Nature, 528, 60–68. </w:t>
      </w:r>
      <w:hyperlink r:id="rId22" w:tgtFrame="_blank" w:history="1">
        <w:r w:rsidRPr="001B68C7">
          <w:rPr>
            <w:rStyle w:val="Hyperlink"/>
            <w:rFonts w:ascii="Arial" w:hAnsi="Arial" w:cs="Arial"/>
            <w:sz w:val="20"/>
            <w:szCs w:val="20"/>
          </w:rPr>
          <w:t>https://doi.org/10.1038/nature16069</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Li, A., Cheng, J., Chen, D., et al. (2025). Spatial interpolation of cropland soil bulk density by increasing soil samples with filled missing values. Scientific Reports, 15, 8008. </w:t>
      </w:r>
      <w:hyperlink r:id="rId23" w:tgtFrame="_blank" w:history="1">
        <w:r w:rsidRPr="001B68C7">
          <w:rPr>
            <w:rStyle w:val="Hyperlink"/>
            <w:rFonts w:ascii="Arial" w:hAnsi="Arial" w:cs="Arial"/>
            <w:sz w:val="20"/>
            <w:szCs w:val="20"/>
          </w:rPr>
          <w:t>https://doi.org/10.1038/s41598-025-91335-y</w:t>
        </w:r>
      </w:hyperlink>
    </w:p>
    <w:p w:rsidR="001B68C7" w:rsidRPr="001B68C7" w:rsidRDefault="001B68C7" w:rsidP="00E909B3">
      <w:pPr>
        <w:pStyle w:val="NormalWeb"/>
        <w:ind w:left="1170" w:hanging="1170"/>
        <w:rPr>
          <w:rFonts w:ascii="Arial" w:hAnsi="Arial" w:cs="Arial"/>
          <w:sz w:val="20"/>
          <w:szCs w:val="20"/>
        </w:rPr>
      </w:pPr>
      <w:r w:rsidRPr="001B68C7">
        <w:rPr>
          <w:rFonts w:ascii="Arial" w:hAnsi="Arial" w:cs="Arial"/>
          <w:sz w:val="20"/>
          <w:szCs w:val="20"/>
        </w:rPr>
        <w:t xml:space="preserve">Mahmud, M. A.-A., </w:t>
      </w:r>
      <w:proofErr w:type="spellStart"/>
      <w:r w:rsidRPr="001B68C7">
        <w:rPr>
          <w:rFonts w:ascii="Arial" w:hAnsi="Arial" w:cs="Arial"/>
          <w:sz w:val="20"/>
          <w:szCs w:val="20"/>
        </w:rPr>
        <w:t>Hota</w:t>
      </w:r>
      <w:proofErr w:type="spellEnd"/>
      <w:r w:rsidRPr="001B68C7">
        <w:rPr>
          <w:rFonts w:ascii="Arial" w:hAnsi="Arial" w:cs="Arial"/>
          <w:sz w:val="20"/>
          <w:szCs w:val="20"/>
        </w:rPr>
        <w:t xml:space="preserve">, S., Mishra, V., </w:t>
      </w:r>
      <w:proofErr w:type="spellStart"/>
      <w:r w:rsidRPr="001B68C7">
        <w:rPr>
          <w:rFonts w:ascii="Arial" w:hAnsi="Arial" w:cs="Arial"/>
          <w:sz w:val="20"/>
          <w:szCs w:val="20"/>
        </w:rPr>
        <w:t>Mourya</w:t>
      </w:r>
      <w:proofErr w:type="spellEnd"/>
      <w:r w:rsidRPr="001B68C7">
        <w:rPr>
          <w:rFonts w:ascii="Arial" w:hAnsi="Arial" w:cs="Arial"/>
          <w:sz w:val="20"/>
          <w:szCs w:val="20"/>
        </w:rPr>
        <w:t xml:space="preserve">, K. K., </w:t>
      </w:r>
      <w:proofErr w:type="spellStart"/>
      <w:r w:rsidRPr="001B68C7">
        <w:rPr>
          <w:rFonts w:ascii="Arial" w:hAnsi="Arial" w:cs="Arial"/>
          <w:sz w:val="20"/>
          <w:szCs w:val="20"/>
        </w:rPr>
        <w:t>Giri</w:t>
      </w:r>
      <w:proofErr w:type="spellEnd"/>
      <w:r w:rsidRPr="001B68C7">
        <w:rPr>
          <w:rFonts w:ascii="Arial" w:hAnsi="Arial" w:cs="Arial"/>
          <w:sz w:val="20"/>
          <w:szCs w:val="20"/>
        </w:rPr>
        <w:t xml:space="preserve">, K., Kumar, D., ... &amp; Ray, S. K. (2022). Land use, landform, and soil management as determinants of soil physicochemical properties and microbial abundance of Lower Brahmaputra Valley, India. </w:t>
      </w:r>
      <w:r w:rsidRPr="001B68C7">
        <w:rPr>
          <w:rStyle w:val="Emphasis"/>
          <w:rFonts w:ascii="Arial" w:hAnsi="Arial" w:cs="Arial"/>
          <w:sz w:val="20"/>
          <w:szCs w:val="20"/>
        </w:rPr>
        <w:t>Sustainability, 14</w:t>
      </w:r>
      <w:r w:rsidRPr="001B68C7">
        <w:rPr>
          <w:rFonts w:ascii="Arial" w:hAnsi="Arial" w:cs="Arial"/>
          <w:sz w:val="20"/>
          <w:szCs w:val="20"/>
        </w:rPr>
        <w:t xml:space="preserve">(4), 2241–2258. </w:t>
      </w:r>
      <w:hyperlink r:id="rId24" w:tgtFrame="_new" w:history="1">
        <w:r w:rsidRPr="001B68C7">
          <w:rPr>
            <w:rStyle w:val="Hyperlink"/>
            <w:rFonts w:ascii="Arial" w:hAnsi="Arial" w:cs="Arial"/>
            <w:sz w:val="20"/>
            <w:szCs w:val="20"/>
          </w:rPr>
          <w:t>https://doi.org/10.3390/su14042241</w:t>
        </w:r>
      </w:hyperlink>
    </w:p>
    <w:p w:rsidR="001B68C7" w:rsidRPr="001B68C7" w:rsidRDefault="001B68C7" w:rsidP="00E909B3">
      <w:pPr>
        <w:pStyle w:val="my-0"/>
        <w:ind w:left="1170" w:hanging="1170"/>
        <w:rPr>
          <w:rFonts w:ascii="Arial" w:hAnsi="Arial" w:cs="Arial"/>
          <w:sz w:val="20"/>
          <w:szCs w:val="20"/>
        </w:rPr>
      </w:pPr>
      <w:proofErr w:type="spellStart"/>
      <w:r w:rsidRPr="001B68C7">
        <w:rPr>
          <w:rFonts w:ascii="Arial" w:hAnsi="Arial" w:cs="Arial"/>
          <w:sz w:val="20"/>
          <w:szCs w:val="20"/>
        </w:rPr>
        <w:t>Marschner</w:t>
      </w:r>
      <w:proofErr w:type="spellEnd"/>
      <w:r w:rsidRPr="001B68C7">
        <w:rPr>
          <w:rFonts w:ascii="Arial" w:hAnsi="Arial" w:cs="Arial"/>
          <w:sz w:val="20"/>
          <w:szCs w:val="20"/>
        </w:rPr>
        <w:t xml:space="preserve">, P. (2012). </w:t>
      </w:r>
      <w:proofErr w:type="spellStart"/>
      <w:r w:rsidRPr="001B68C7">
        <w:rPr>
          <w:rFonts w:ascii="Arial" w:hAnsi="Arial" w:cs="Arial"/>
          <w:sz w:val="20"/>
          <w:szCs w:val="20"/>
        </w:rPr>
        <w:t>Marschner’s</w:t>
      </w:r>
      <w:proofErr w:type="spellEnd"/>
      <w:r w:rsidRPr="001B68C7">
        <w:rPr>
          <w:rFonts w:ascii="Arial" w:hAnsi="Arial" w:cs="Arial"/>
          <w:sz w:val="20"/>
          <w:szCs w:val="20"/>
        </w:rPr>
        <w:t xml:space="preserve"> mineral nutrition of higher plants (3rd ed.). Academic Press.</w:t>
      </w:r>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McDaniel, M. D., </w:t>
      </w:r>
      <w:proofErr w:type="spellStart"/>
      <w:r w:rsidRPr="001B68C7">
        <w:rPr>
          <w:rFonts w:ascii="Arial" w:hAnsi="Arial" w:cs="Arial"/>
          <w:sz w:val="20"/>
          <w:szCs w:val="20"/>
        </w:rPr>
        <w:t>Tiemann</w:t>
      </w:r>
      <w:proofErr w:type="spellEnd"/>
      <w:r w:rsidRPr="001B68C7">
        <w:rPr>
          <w:rFonts w:ascii="Arial" w:hAnsi="Arial" w:cs="Arial"/>
          <w:sz w:val="20"/>
          <w:szCs w:val="20"/>
        </w:rPr>
        <w:t xml:space="preserve">, L. K., &amp; Grandy, A. S. (2014). Does agricultural crop diversity enhance soil microbial biomass and organic matter dynamics? A meta-analysis. Ecological Applications, 24(3), 560–570. </w:t>
      </w:r>
      <w:hyperlink r:id="rId25" w:tgtFrame="_blank" w:history="1">
        <w:r w:rsidRPr="001B68C7">
          <w:rPr>
            <w:rStyle w:val="Hyperlink"/>
            <w:rFonts w:ascii="Arial" w:hAnsi="Arial" w:cs="Arial"/>
            <w:sz w:val="20"/>
            <w:szCs w:val="20"/>
          </w:rPr>
          <w:t>https://doi.org/10.1890/13-0616.1</w:t>
        </w:r>
      </w:hyperlink>
    </w:p>
    <w:p w:rsid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Mendoza, O., De Neve, S., </w:t>
      </w:r>
      <w:proofErr w:type="spellStart"/>
      <w:r w:rsidRPr="001B68C7">
        <w:rPr>
          <w:rFonts w:ascii="Arial" w:hAnsi="Arial" w:cs="Arial"/>
          <w:sz w:val="20"/>
          <w:szCs w:val="20"/>
        </w:rPr>
        <w:t>Deroo</w:t>
      </w:r>
      <w:proofErr w:type="spellEnd"/>
      <w:r w:rsidRPr="001B68C7">
        <w:rPr>
          <w:rFonts w:ascii="Arial" w:hAnsi="Arial" w:cs="Arial"/>
          <w:sz w:val="20"/>
          <w:szCs w:val="20"/>
        </w:rPr>
        <w:t xml:space="preserve">, H., Li, H., </w:t>
      </w:r>
      <w:proofErr w:type="spellStart"/>
      <w:r w:rsidRPr="001B68C7">
        <w:rPr>
          <w:rFonts w:ascii="Arial" w:hAnsi="Arial" w:cs="Arial"/>
          <w:sz w:val="20"/>
          <w:szCs w:val="20"/>
        </w:rPr>
        <w:t>Françoys</w:t>
      </w:r>
      <w:proofErr w:type="spellEnd"/>
      <w:r w:rsidRPr="001B68C7">
        <w:rPr>
          <w:rFonts w:ascii="Arial" w:hAnsi="Arial" w:cs="Arial"/>
          <w:sz w:val="20"/>
          <w:szCs w:val="20"/>
        </w:rPr>
        <w:t xml:space="preserve">, A., &amp; </w:t>
      </w:r>
      <w:proofErr w:type="spellStart"/>
      <w:r w:rsidRPr="001B68C7">
        <w:rPr>
          <w:rFonts w:ascii="Arial" w:hAnsi="Arial" w:cs="Arial"/>
          <w:sz w:val="20"/>
          <w:szCs w:val="20"/>
        </w:rPr>
        <w:t>Sleutel</w:t>
      </w:r>
      <w:proofErr w:type="spellEnd"/>
      <w:r w:rsidRPr="001B68C7">
        <w:rPr>
          <w:rFonts w:ascii="Arial" w:hAnsi="Arial" w:cs="Arial"/>
          <w:sz w:val="20"/>
          <w:szCs w:val="20"/>
        </w:rPr>
        <w:t xml:space="preserve">, S. (2025). Soil organic carbon mineralization is controlled by the application dose of exogenous organic matter. SOIL, 11, 105–119. </w:t>
      </w:r>
      <w:hyperlink r:id="rId26" w:tgtFrame="_blank" w:history="1">
        <w:r w:rsidRPr="001B68C7">
          <w:rPr>
            <w:rStyle w:val="Hyperlink"/>
            <w:rFonts w:ascii="Arial" w:hAnsi="Arial" w:cs="Arial"/>
            <w:sz w:val="20"/>
            <w:szCs w:val="20"/>
          </w:rPr>
          <w:t>https://doi.org/10.5194/soil-11-105-2025</w:t>
        </w:r>
      </w:hyperlink>
    </w:p>
    <w:p w:rsidR="00706811" w:rsidRDefault="00706811" w:rsidP="00E909B3">
      <w:pPr>
        <w:tabs>
          <w:tab w:val="left" w:pos="1080"/>
        </w:tabs>
        <w:ind w:left="1170" w:hanging="1170"/>
        <w:rPr>
          <w:rFonts w:ascii="Arial" w:hAnsi="Arial" w:cs="Arial"/>
          <w:sz w:val="20"/>
          <w:szCs w:val="20"/>
        </w:rPr>
      </w:pPr>
      <w:r w:rsidRPr="00EA3249">
        <w:rPr>
          <w:rFonts w:ascii="Arial" w:hAnsi="Arial" w:cs="Arial"/>
          <w:sz w:val="20"/>
          <w:szCs w:val="20"/>
        </w:rPr>
        <w:t xml:space="preserve">Olsen, S.R., Cole, C.V., Watanabe, F.S., &amp; Dean, L.A. (1954). </w:t>
      </w:r>
      <w:r w:rsidRPr="00EA3249">
        <w:rPr>
          <w:rFonts w:ascii="Arial" w:hAnsi="Arial" w:cs="Arial"/>
          <w:i/>
          <w:iCs/>
          <w:sz w:val="20"/>
          <w:szCs w:val="20"/>
        </w:rPr>
        <w:t>Estimation of available phosphorus in soils by extraction with sodium bicarbonate</w:t>
      </w:r>
      <w:r w:rsidRPr="00EA3249">
        <w:rPr>
          <w:rFonts w:ascii="Arial" w:hAnsi="Arial" w:cs="Arial"/>
          <w:sz w:val="20"/>
          <w:szCs w:val="20"/>
        </w:rPr>
        <w:t>. USDA Circular No. 939.</w:t>
      </w:r>
    </w:p>
    <w:p w:rsidR="008B6C1A" w:rsidRPr="008B6C1A" w:rsidRDefault="008B6C1A" w:rsidP="008B6C1A">
      <w:pPr>
        <w:tabs>
          <w:tab w:val="left" w:pos="1080"/>
        </w:tabs>
        <w:ind w:left="1170" w:hanging="1170"/>
        <w:rPr>
          <w:rFonts w:ascii="Arial" w:hAnsi="Arial" w:cs="Arial"/>
          <w:sz w:val="20"/>
          <w:szCs w:val="20"/>
        </w:rPr>
      </w:pPr>
      <w:proofErr w:type="spellStart"/>
      <w:r w:rsidRPr="00D54667">
        <w:rPr>
          <w:rFonts w:ascii="Arial" w:hAnsi="Arial" w:cs="Arial"/>
          <w:sz w:val="20"/>
          <w:szCs w:val="20"/>
        </w:rPr>
        <w:t>Onemayin</w:t>
      </w:r>
      <w:proofErr w:type="spellEnd"/>
      <w:r w:rsidRPr="00D54667">
        <w:rPr>
          <w:rFonts w:ascii="Arial" w:hAnsi="Arial" w:cs="Arial"/>
          <w:sz w:val="20"/>
          <w:szCs w:val="20"/>
        </w:rPr>
        <w:t xml:space="preserve">, J. J., </w:t>
      </w:r>
      <w:proofErr w:type="spellStart"/>
      <w:r w:rsidRPr="00D54667">
        <w:rPr>
          <w:rFonts w:ascii="Arial" w:hAnsi="Arial" w:cs="Arial"/>
          <w:sz w:val="20"/>
          <w:szCs w:val="20"/>
        </w:rPr>
        <w:t>Olayiwola</w:t>
      </w:r>
      <w:proofErr w:type="spellEnd"/>
      <w:r w:rsidRPr="00D54667">
        <w:rPr>
          <w:rFonts w:ascii="Arial" w:hAnsi="Arial" w:cs="Arial"/>
          <w:sz w:val="20"/>
          <w:szCs w:val="20"/>
        </w:rPr>
        <w:t xml:space="preserve">, V. A., Abiodun, F. O., Musa, F. B., &amp; Idris, R. S. (2020). Land Use Influence on Some Soil Physical and Chemical Properties of an </w:t>
      </w:r>
      <w:proofErr w:type="spellStart"/>
      <w:r w:rsidRPr="00D54667">
        <w:rPr>
          <w:rFonts w:ascii="Arial" w:hAnsi="Arial" w:cs="Arial"/>
          <w:sz w:val="20"/>
          <w:szCs w:val="20"/>
        </w:rPr>
        <w:t>Alfisol</w:t>
      </w:r>
      <w:proofErr w:type="spellEnd"/>
      <w:r w:rsidRPr="00D54667">
        <w:rPr>
          <w:rFonts w:ascii="Arial" w:hAnsi="Arial" w:cs="Arial"/>
          <w:sz w:val="20"/>
          <w:szCs w:val="20"/>
        </w:rPr>
        <w:t xml:space="preserve"> at Forestry Research Institute of Nigeria. International Journal of Plant &amp; Soil Science, 32(4), 1–8. https://doi.org/10.9734/ijpss/2020/v32i430263</w:t>
      </w:r>
    </w:p>
    <w:p w:rsidR="008B6C1A" w:rsidRPr="001B68C7" w:rsidRDefault="008B6C1A" w:rsidP="00E909B3">
      <w:pPr>
        <w:tabs>
          <w:tab w:val="left" w:pos="1080"/>
        </w:tabs>
        <w:ind w:left="1170" w:hanging="1170"/>
        <w:rPr>
          <w:rFonts w:ascii="Arial" w:hAnsi="Arial" w:cs="Arial"/>
          <w:sz w:val="20"/>
          <w:szCs w:val="20"/>
        </w:rPr>
      </w:pPr>
    </w:p>
    <w:p w:rsidR="001B68C7" w:rsidRPr="001B68C7" w:rsidRDefault="001B68C7" w:rsidP="00E909B3">
      <w:pPr>
        <w:pStyle w:val="my-0"/>
        <w:ind w:left="1170" w:hanging="1170"/>
        <w:rPr>
          <w:rFonts w:ascii="Arial" w:hAnsi="Arial" w:cs="Arial"/>
          <w:sz w:val="20"/>
          <w:szCs w:val="20"/>
        </w:rPr>
      </w:pPr>
      <w:proofErr w:type="spellStart"/>
      <w:r w:rsidRPr="001B68C7">
        <w:rPr>
          <w:rFonts w:ascii="Arial" w:hAnsi="Arial" w:cs="Arial"/>
          <w:sz w:val="20"/>
          <w:szCs w:val="20"/>
        </w:rPr>
        <w:t>Panagos</w:t>
      </w:r>
      <w:proofErr w:type="spellEnd"/>
      <w:r w:rsidRPr="001B68C7">
        <w:rPr>
          <w:rFonts w:ascii="Arial" w:hAnsi="Arial" w:cs="Arial"/>
          <w:sz w:val="20"/>
          <w:szCs w:val="20"/>
        </w:rPr>
        <w:t xml:space="preserve">, P., De Rosa, D., </w:t>
      </w:r>
      <w:proofErr w:type="spellStart"/>
      <w:r w:rsidRPr="001B68C7">
        <w:rPr>
          <w:rFonts w:ascii="Arial" w:hAnsi="Arial" w:cs="Arial"/>
          <w:sz w:val="20"/>
          <w:szCs w:val="20"/>
        </w:rPr>
        <w:t>Liakos</w:t>
      </w:r>
      <w:proofErr w:type="spellEnd"/>
      <w:r w:rsidRPr="001B68C7">
        <w:rPr>
          <w:rFonts w:ascii="Arial" w:hAnsi="Arial" w:cs="Arial"/>
          <w:sz w:val="20"/>
          <w:szCs w:val="20"/>
        </w:rPr>
        <w:t xml:space="preserve">, L., </w:t>
      </w:r>
      <w:proofErr w:type="spellStart"/>
      <w:r w:rsidRPr="001B68C7">
        <w:rPr>
          <w:rFonts w:ascii="Arial" w:hAnsi="Arial" w:cs="Arial"/>
          <w:sz w:val="20"/>
          <w:szCs w:val="20"/>
        </w:rPr>
        <w:t>Labouyrie</w:t>
      </w:r>
      <w:proofErr w:type="spellEnd"/>
      <w:r w:rsidRPr="001B68C7">
        <w:rPr>
          <w:rFonts w:ascii="Arial" w:hAnsi="Arial" w:cs="Arial"/>
          <w:sz w:val="20"/>
          <w:szCs w:val="20"/>
        </w:rPr>
        <w:t xml:space="preserve">, M., Borrelli, P., &amp; </w:t>
      </w:r>
      <w:proofErr w:type="spellStart"/>
      <w:r w:rsidRPr="001B68C7">
        <w:rPr>
          <w:rFonts w:ascii="Arial" w:hAnsi="Arial" w:cs="Arial"/>
          <w:sz w:val="20"/>
          <w:szCs w:val="20"/>
        </w:rPr>
        <w:t>Ballabio</w:t>
      </w:r>
      <w:proofErr w:type="spellEnd"/>
      <w:r w:rsidRPr="001B68C7">
        <w:rPr>
          <w:rFonts w:ascii="Arial" w:hAnsi="Arial" w:cs="Arial"/>
          <w:sz w:val="20"/>
          <w:szCs w:val="20"/>
        </w:rPr>
        <w:t xml:space="preserve">, C. (2024). Soil bulk density assessment in Europe. Agriculture, Ecosystems &amp; Environment, 364, Article 108366. </w:t>
      </w:r>
      <w:hyperlink r:id="rId27" w:tgtFrame="_blank" w:history="1">
        <w:r w:rsidRPr="001B68C7">
          <w:rPr>
            <w:rStyle w:val="Hyperlink"/>
            <w:rFonts w:ascii="Arial" w:hAnsi="Arial" w:cs="Arial"/>
            <w:sz w:val="20"/>
            <w:szCs w:val="20"/>
          </w:rPr>
          <w:t>https://doi.org/10.1016/j.agee.2024.108366</w:t>
        </w:r>
      </w:hyperlink>
    </w:p>
    <w:p w:rsidR="001B68C7" w:rsidRPr="001B68C7" w:rsidRDefault="001B68C7" w:rsidP="00E909B3">
      <w:pPr>
        <w:pStyle w:val="NormalWeb"/>
        <w:ind w:left="1170" w:hanging="1170"/>
        <w:rPr>
          <w:rFonts w:ascii="Arial" w:hAnsi="Arial" w:cs="Arial"/>
          <w:sz w:val="20"/>
          <w:szCs w:val="20"/>
        </w:rPr>
      </w:pPr>
      <w:proofErr w:type="spellStart"/>
      <w:r w:rsidRPr="001B68C7">
        <w:rPr>
          <w:rFonts w:ascii="Arial" w:hAnsi="Arial" w:cs="Arial"/>
          <w:sz w:val="20"/>
          <w:szCs w:val="20"/>
        </w:rPr>
        <w:t>Parida</w:t>
      </w:r>
      <w:proofErr w:type="spellEnd"/>
      <w:r w:rsidRPr="001B68C7">
        <w:rPr>
          <w:rFonts w:ascii="Arial" w:hAnsi="Arial" w:cs="Arial"/>
          <w:sz w:val="20"/>
          <w:szCs w:val="20"/>
        </w:rPr>
        <w:t xml:space="preserve">, G. (2022). </w:t>
      </w:r>
      <w:r w:rsidRPr="001B68C7">
        <w:rPr>
          <w:rStyle w:val="Emphasis"/>
          <w:rFonts w:ascii="Arial" w:hAnsi="Arial" w:cs="Arial"/>
          <w:sz w:val="20"/>
          <w:szCs w:val="20"/>
        </w:rPr>
        <w:t>Soil characterization and organic carbon dynamics under different land use systems of Assam</w:t>
      </w:r>
      <w:r w:rsidRPr="001B68C7">
        <w:rPr>
          <w:rFonts w:ascii="Arial" w:hAnsi="Arial" w:cs="Arial"/>
          <w:sz w:val="20"/>
          <w:szCs w:val="20"/>
        </w:rPr>
        <w:t xml:space="preserve"> [Unpublished doctoral dissertation, ICAR-Indian Agricultural Research Institute]. </w:t>
      </w:r>
      <w:proofErr w:type="spellStart"/>
      <w:r w:rsidRPr="001B68C7">
        <w:rPr>
          <w:rFonts w:ascii="Arial" w:hAnsi="Arial" w:cs="Arial"/>
          <w:sz w:val="20"/>
          <w:szCs w:val="20"/>
        </w:rPr>
        <w:t>KrishiKosh</w:t>
      </w:r>
      <w:proofErr w:type="spellEnd"/>
      <w:r w:rsidRPr="001B68C7">
        <w:rPr>
          <w:rFonts w:ascii="Arial" w:hAnsi="Arial" w:cs="Arial"/>
          <w:sz w:val="20"/>
          <w:szCs w:val="20"/>
        </w:rPr>
        <w:t xml:space="preserve"> Repository.</w:t>
      </w:r>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Paul, E. A. (2015). Soil microbiology, ecology and biochemistry (4th ed.). Academic Press.</w:t>
      </w:r>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lastRenderedPageBreak/>
        <w:t>Pratt, P. F. (1965). Potassium. In C. A. Black (Ed.), Methods of Soil Analysis: Part 2. Chemical and Microbiological Properties (pp. 1022–1030). American Society of Agronomy.</w:t>
      </w:r>
    </w:p>
    <w:p w:rsidR="001B68C7" w:rsidRPr="001B68C7" w:rsidRDefault="001B68C7" w:rsidP="00E909B3">
      <w:pPr>
        <w:pStyle w:val="my-0"/>
        <w:ind w:left="1170" w:hanging="1170"/>
        <w:rPr>
          <w:rFonts w:ascii="Arial" w:hAnsi="Arial" w:cs="Arial"/>
          <w:sz w:val="20"/>
          <w:szCs w:val="20"/>
        </w:rPr>
      </w:pPr>
      <w:bookmarkStart w:id="3" w:name="_GoBack"/>
      <w:bookmarkEnd w:id="3"/>
      <w:r w:rsidRPr="001B68C7">
        <w:rPr>
          <w:rFonts w:ascii="Arial" w:hAnsi="Arial" w:cs="Arial"/>
          <w:sz w:val="20"/>
          <w:szCs w:val="20"/>
        </w:rPr>
        <w:t xml:space="preserve">Six, J., Conant, R. T., Paul, E. A., &amp; </w:t>
      </w:r>
      <w:proofErr w:type="spellStart"/>
      <w:r w:rsidRPr="001B68C7">
        <w:rPr>
          <w:rFonts w:ascii="Arial" w:hAnsi="Arial" w:cs="Arial"/>
          <w:sz w:val="20"/>
          <w:szCs w:val="20"/>
        </w:rPr>
        <w:t>Paustian</w:t>
      </w:r>
      <w:proofErr w:type="spellEnd"/>
      <w:r w:rsidRPr="001B68C7">
        <w:rPr>
          <w:rFonts w:ascii="Arial" w:hAnsi="Arial" w:cs="Arial"/>
          <w:sz w:val="20"/>
          <w:szCs w:val="20"/>
        </w:rPr>
        <w:t xml:space="preserve">, K. (2002). Stabilization mechanisms of soil organic matter: Implications for C-saturation of soils. Plant and Soil, 241, 155–176. </w:t>
      </w:r>
      <w:hyperlink r:id="rId28" w:tgtFrame="_blank" w:history="1">
        <w:r w:rsidRPr="001B68C7">
          <w:rPr>
            <w:rStyle w:val="Hyperlink"/>
            <w:rFonts w:ascii="Arial" w:hAnsi="Arial" w:cs="Arial"/>
            <w:sz w:val="20"/>
            <w:szCs w:val="20"/>
          </w:rPr>
          <w:t>https://doi.org/10.1023/A:1016125726789</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Subbiah, B. V., &amp; </w:t>
      </w:r>
      <w:proofErr w:type="spellStart"/>
      <w:r w:rsidRPr="001B68C7">
        <w:rPr>
          <w:rFonts w:ascii="Arial" w:hAnsi="Arial" w:cs="Arial"/>
          <w:sz w:val="20"/>
          <w:szCs w:val="20"/>
        </w:rPr>
        <w:t>Asija</w:t>
      </w:r>
      <w:proofErr w:type="spellEnd"/>
      <w:r w:rsidRPr="001B68C7">
        <w:rPr>
          <w:rFonts w:ascii="Arial" w:hAnsi="Arial" w:cs="Arial"/>
          <w:sz w:val="20"/>
          <w:szCs w:val="20"/>
        </w:rPr>
        <w:t>, G. L. (1956). A rapid procedure for the estimation of available nitrogen in soils. Current Science, 25, 259–260.</w:t>
      </w:r>
    </w:p>
    <w:p w:rsidR="001B68C7" w:rsidRPr="001B68C7" w:rsidRDefault="001B68C7" w:rsidP="00E909B3">
      <w:pPr>
        <w:pStyle w:val="my-0"/>
        <w:ind w:left="1170" w:hanging="1170"/>
        <w:rPr>
          <w:rFonts w:ascii="Arial" w:hAnsi="Arial" w:cs="Arial"/>
          <w:sz w:val="20"/>
          <w:szCs w:val="20"/>
        </w:rPr>
      </w:pPr>
      <w:proofErr w:type="spellStart"/>
      <w:r w:rsidRPr="001B68C7">
        <w:rPr>
          <w:rFonts w:ascii="Arial" w:hAnsi="Arial" w:cs="Arial"/>
          <w:sz w:val="20"/>
          <w:szCs w:val="20"/>
        </w:rPr>
        <w:t>Tiemann</w:t>
      </w:r>
      <w:proofErr w:type="spellEnd"/>
      <w:r w:rsidRPr="001B68C7">
        <w:rPr>
          <w:rFonts w:ascii="Arial" w:hAnsi="Arial" w:cs="Arial"/>
          <w:sz w:val="20"/>
          <w:szCs w:val="20"/>
        </w:rPr>
        <w:t>, L. K., Grandy, A. S., Atkinson, E. E., Marin-</w:t>
      </w:r>
      <w:proofErr w:type="spellStart"/>
      <w:r w:rsidRPr="001B68C7">
        <w:rPr>
          <w:rFonts w:ascii="Arial" w:hAnsi="Arial" w:cs="Arial"/>
          <w:sz w:val="20"/>
          <w:szCs w:val="20"/>
        </w:rPr>
        <w:t>Spiotta</w:t>
      </w:r>
      <w:proofErr w:type="spellEnd"/>
      <w:r w:rsidRPr="001B68C7">
        <w:rPr>
          <w:rFonts w:ascii="Arial" w:hAnsi="Arial" w:cs="Arial"/>
          <w:sz w:val="20"/>
          <w:szCs w:val="20"/>
        </w:rPr>
        <w:t xml:space="preserve">, E., &amp; McDaniel, M. D. (2015). Crop rotational diversity enhances belowground communities and functions in agroecosystems. Ecology Letters, 18(8), 761–771. </w:t>
      </w:r>
      <w:hyperlink r:id="rId29" w:tgtFrame="_blank" w:history="1">
        <w:r w:rsidRPr="001B68C7">
          <w:rPr>
            <w:rStyle w:val="Hyperlink"/>
            <w:rFonts w:ascii="Arial" w:hAnsi="Arial" w:cs="Arial"/>
            <w:sz w:val="20"/>
            <w:szCs w:val="20"/>
          </w:rPr>
          <w:t>https://doi.org/10.1111/ele.12453</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Tilman, D., </w:t>
      </w:r>
      <w:proofErr w:type="spellStart"/>
      <w:r w:rsidRPr="001B68C7">
        <w:rPr>
          <w:rFonts w:ascii="Arial" w:hAnsi="Arial" w:cs="Arial"/>
          <w:sz w:val="20"/>
          <w:szCs w:val="20"/>
        </w:rPr>
        <w:t>Cassman</w:t>
      </w:r>
      <w:proofErr w:type="spellEnd"/>
      <w:r w:rsidRPr="001B68C7">
        <w:rPr>
          <w:rFonts w:ascii="Arial" w:hAnsi="Arial" w:cs="Arial"/>
          <w:sz w:val="20"/>
          <w:szCs w:val="20"/>
        </w:rPr>
        <w:t xml:space="preserve">, K. G., Matson, P. A., Naylor, R., &amp; </w:t>
      </w:r>
      <w:proofErr w:type="spellStart"/>
      <w:r w:rsidRPr="001B68C7">
        <w:rPr>
          <w:rFonts w:ascii="Arial" w:hAnsi="Arial" w:cs="Arial"/>
          <w:sz w:val="20"/>
          <w:szCs w:val="20"/>
        </w:rPr>
        <w:t>Polasky</w:t>
      </w:r>
      <w:proofErr w:type="spellEnd"/>
      <w:r w:rsidRPr="001B68C7">
        <w:rPr>
          <w:rFonts w:ascii="Arial" w:hAnsi="Arial" w:cs="Arial"/>
          <w:sz w:val="20"/>
          <w:szCs w:val="20"/>
        </w:rPr>
        <w:t xml:space="preserve">, S. (2002). Agricultural sustainability and intensive production practices. Nature, 418(6898), 671–677. </w:t>
      </w:r>
      <w:hyperlink r:id="rId30" w:tgtFrame="_blank" w:history="1">
        <w:r w:rsidRPr="001B68C7">
          <w:rPr>
            <w:rStyle w:val="Hyperlink"/>
            <w:rFonts w:ascii="Arial" w:hAnsi="Arial" w:cs="Arial"/>
            <w:sz w:val="20"/>
            <w:szCs w:val="20"/>
          </w:rPr>
          <w:t>https://doi.org/10.1038/nature01014</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USDA Natural Resources Conservation Service (NRCS). (2014). Soil electrical conductivity: Soil quality kit—Guidelines for educators. </w:t>
      </w:r>
      <w:hyperlink r:id="rId31" w:tgtFrame="_blank" w:history="1">
        <w:r w:rsidRPr="001B68C7">
          <w:rPr>
            <w:rStyle w:val="Hyperlink"/>
            <w:rFonts w:ascii="Arial" w:hAnsi="Arial" w:cs="Arial"/>
            <w:sz w:val="20"/>
            <w:szCs w:val="20"/>
          </w:rPr>
          <w:t>https://www.nrcs.usda.gov/wps/portal/nrcs/detail/soils/health/assess/?cid=nrcs142p2_053302</w:t>
        </w:r>
      </w:hyperlink>
    </w:p>
    <w:p w:rsidR="001B68C7" w:rsidRPr="001B68C7" w:rsidRDefault="001B68C7" w:rsidP="00E909B3">
      <w:pPr>
        <w:pStyle w:val="my-0"/>
        <w:ind w:left="1170" w:hanging="1170"/>
        <w:rPr>
          <w:rFonts w:ascii="Arial" w:hAnsi="Arial" w:cs="Arial"/>
          <w:sz w:val="20"/>
          <w:szCs w:val="20"/>
        </w:rPr>
      </w:pPr>
      <w:r w:rsidRPr="001B68C7">
        <w:rPr>
          <w:rFonts w:ascii="Arial" w:hAnsi="Arial" w:cs="Arial"/>
          <w:sz w:val="20"/>
          <w:szCs w:val="20"/>
        </w:rPr>
        <w:t xml:space="preserve">Walkley, A., &amp; Black, I. A. (1934). An examination of the </w:t>
      </w:r>
      <w:proofErr w:type="spellStart"/>
      <w:r w:rsidRPr="001B68C7">
        <w:rPr>
          <w:rFonts w:ascii="Arial" w:hAnsi="Arial" w:cs="Arial"/>
          <w:sz w:val="20"/>
          <w:szCs w:val="20"/>
        </w:rPr>
        <w:t>Degtjareff</w:t>
      </w:r>
      <w:proofErr w:type="spellEnd"/>
      <w:r w:rsidRPr="001B68C7">
        <w:rPr>
          <w:rFonts w:ascii="Arial" w:hAnsi="Arial" w:cs="Arial"/>
          <w:sz w:val="20"/>
          <w:szCs w:val="20"/>
        </w:rPr>
        <w:t xml:space="preserve"> method for determining soil organic matter and a proposed modification of the chromic acid titration method. Soil Science, 37, 29–38.</w:t>
      </w:r>
    </w:p>
    <w:p w:rsidR="00C61CD2" w:rsidRPr="001B68C7" w:rsidRDefault="00C61CD2" w:rsidP="00C61CD2">
      <w:pPr>
        <w:pStyle w:val="my-0"/>
        <w:rPr>
          <w:rFonts w:ascii="Arial" w:hAnsi="Arial" w:cs="Arial"/>
          <w:sz w:val="20"/>
          <w:szCs w:val="20"/>
        </w:rPr>
      </w:pPr>
    </w:p>
    <w:p w:rsidR="00C61CD2" w:rsidRPr="001B68C7" w:rsidRDefault="00C61CD2" w:rsidP="00C61CD2">
      <w:pPr>
        <w:pStyle w:val="my-0"/>
        <w:rPr>
          <w:rFonts w:ascii="Arial" w:hAnsi="Arial" w:cs="Arial"/>
          <w:sz w:val="20"/>
          <w:szCs w:val="20"/>
        </w:rPr>
      </w:pPr>
    </w:p>
    <w:p w:rsidR="00F25B94" w:rsidRPr="001B68C7" w:rsidRDefault="00F25B94" w:rsidP="00BE5AB7">
      <w:pPr>
        <w:pStyle w:val="NormalWeb"/>
        <w:rPr>
          <w:rFonts w:ascii="Arial" w:hAnsi="Arial" w:cs="Arial"/>
          <w:sz w:val="20"/>
          <w:szCs w:val="20"/>
        </w:rPr>
      </w:pPr>
    </w:p>
    <w:sectPr w:rsidR="00F25B94" w:rsidRPr="001B68C7" w:rsidSect="002E4028">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F74" w:rsidRDefault="00876F74" w:rsidP="00EA3249">
      <w:pPr>
        <w:spacing w:before="0" w:after="0" w:line="240" w:lineRule="auto"/>
      </w:pPr>
      <w:r>
        <w:separator/>
      </w:r>
    </w:p>
  </w:endnote>
  <w:endnote w:type="continuationSeparator" w:id="0">
    <w:p w:rsidR="00876F74" w:rsidRDefault="00876F74" w:rsidP="00EA32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28" w:rsidRDefault="002E4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28" w:rsidRDefault="002E4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28" w:rsidRDefault="002E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F74" w:rsidRDefault="00876F74" w:rsidP="00EA3249">
      <w:pPr>
        <w:spacing w:before="0" w:after="0" w:line="240" w:lineRule="auto"/>
      </w:pPr>
      <w:r>
        <w:separator/>
      </w:r>
    </w:p>
  </w:footnote>
  <w:footnote w:type="continuationSeparator" w:id="0">
    <w:p w:rsidR="00876F74" w:rsidRDefault="00876F74" w:rsidP="00EA32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28" w:rsidRDefault="00345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157"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249" w:rsidRDefault="00345E8E">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158"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323279064"/>
        <w:docPartObj>
          <w:docPartGallery w:val="Page Numbers (Top of Page)"/>
          <w:docPartUnique/>
        </w:docPartObj>
      </w:sdtPr>
      <w:sdtEndPr/>
      <w:sdtContent>
        <w:r w:rsidR="00921791">
          <w:fldChar w:fldCharType="begin"/>
        </w:r>
        <w:r w:rsidR="00687086">
          <w:instrText xml:space="preserve"> PAGE   \* MERGEFORMAT </w:instrText>
        </w:r>
        <w:r w:rsidR="00921791">
          <w:fldChar w:fldCharType="separate"/>
        </w:r>
        <w:r w:rsidR="00FE5D07">
          <w:rPr>
            <w:noProof/>
          </w:rPr>
          <w:t>8</w:t>
        </w:r>
        <w:r w:rsidR="00921791">
          <w:rPr>
            <w:noProof/>
          </w:rPr>
          <w:fldChar w:fldCharType="end"/>
        </w:r>
      </w:sdtContent>
    </w:sdt>
  </w:p>
  <w:p w:rsidR="00EA3249" w:rsidRDefault="00EA3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28" w:rsidRDefault="00345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156"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39A"/>
    <w:multiLevelType w:val="multilevel"/>
    <w:tmpl w:val="5886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E326B"/>
    <w:multiLevelType w:val="multilevel"/>
    <w:tmpl w:val="CA1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E072B"/>
    <w:multiLevelType w:val="multilevel"/>
    <w:tmpl w:val="0E0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9523C"/>
    <w:multiLevelType w:val="multilevel"/>
    <w:tmpl w:val="07E0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B43BB"/>
    <w:multiLevelType w:val="multilevel"/>
    <w:tmpl w:val="5BE4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03C9D"/>
    <w:multiLevelType w:val="multilevel"/>
    <w:tmpl w:val="27F8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E6C50"/>
    <w:multiLevelType w:val="hybridMultilevel"/>
    <w:tmpl w:val="1C5EC0A0"/>
    <w:lvl w:ilvl="0" w:tplc="C554B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D5A99"/>
    <w:multiLevelType w:val="multilevel"/>
    <w:tmpl w:val="CBD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36B84"/>
    <w:multiLevelType w:val="multilevel"/>
    <w:tmpl w:val="DA3C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7"/>
  </w:num>
  <w:num w:numId="5">
    <w:abstractNumId w:val="6"/>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0A2E"/>
    <w:rsid w:val="00023CE8"/>
    <w:rsid w:val="00025444"/>
    <w:rsid w:val="000341B3"/>
    <w:rsid w:val="00071800"/>
    <w:rsid w:val="00113C0F"/>
    <w:rsid w:val="00132BE2"/>
    <w:rsid w:val="00135C37"/>
    <w:rsid w:val="00174D9B"/>
    <w:rsid w:val="00190533"/>
    <w:rsid w:val="0019103F"/>
    <w:rsid w:val="001A4990"/>
    <w:rsid w:val="001B4A9D"/>
    <w:rsid w:val="001B68C7"/>
    <w:rsid w:val="001B7B1B"/>
    <w:rsid w:val="001F6D63"/>
    <w:rsid w:val="00204909"/>
    <w:rsid w:val="00206311"/>
    <w:rsid w:val="00234D11"/>
    <w:rsid w:val="002C195D"/>
    <w:rsid w:val="002E4028"/>
    <w:rsid w:val="00316DC1"/>
    <w:rsid w:val="00345E8E"/>
    <w:rsid w:val="00360A2E"/>
    <w:rsid w:val="003949A1"/>
    <w:rsid w:val="003E6911"/>
    <w:rsid w:val="004078C3"/>
    <w:rsid w:val="00423654"/>
    <w:rsid w:val="00445163"/>
    <w:rsid w:val="0046145D"/>
    <w:rsid w:val="00470D4E"/>
    <w:rsid w:val="0048310D"/>
    <w:rsid w:val="0049093A"/>
    <w:rsid w:val="004C3816"/>
    <w:rsid w:val="004C6813"/>
    <w:rsid w:val="004D0783"/>
    <w:rsid w:val="004E4F0A"/>
    <w:rsid w:val="00536214"/>
    <w:rsid w:val="00575199"/>
    <w:rsid w:val="005874E8"/>
    <w:rsid w:val="005A35D0"/>
    <w:rsid w:val="00687086"/>
    <w:rsid w:val="006C2A98"/>
    <w:rsid w:val="006E1FC7"/>
    <w:rsid w:val="006F1D05"/>
    <w:rsid w:val="007004EA"/>
    <w:rsid w:val="00706811"/>
    <w:rsid w:val="00722A8C"/>
    <w:rsid w:val="00725E81"/>
    <w:rsid w:val="007453CE"/>
    <w:rsid w:val="00752070"/>
    <w:rsid w:val="00762032"/>
    <w:rsid w:val="007A4352"/>
    <w:rsid w:val="007B455F"/>
    <w:rsid w:val="007B6180"/>
    <w:rsid w:val="007C145A"/>
    <w:rsid w:val="00805CA0"/>
    <w:rsid w:val="00876F74"/>
    <w:rsid w:val="0089640B"/>
    <w:rsid w:val="008A12AA"/>
    <w:rsid w:val="008A281D"/>
    <w:rsid w:val="008B6C1A"/>
    <w:rsid w:val="008D16D2"/>
    <w:rsid w:val="009015FC"/>
    <w:rsid w:val="00917A19"/>
    <w:rsid w:val="00921791"/>
    <w:rsid w:val="00923FBF"/>
    <w:rsid w:val="00954377"/>
    <w:rsid w:val="00966F38"/>
    <w:rsid w:val="00A07EF6"/>
    <w:rsid w:val="00A7533E"/>
    <w:rsid w:val="00AD1FC6"/>
    <w:rsid w:val="00AD2F68"/>
    <w:rsid w:val="00B21810"/>
    <w:rsid w:val="00B435E4"/>
    <w:rsid w:val="00BB2B4E"/>
    <w:rsid w:val="00BD538A"/>
    <w:rsid w:val="00BE07AB"/>
    <w:rsid w:val="00BE5AB7"/>
    <w:rsid w:val="00BF0FD2"/>
    <w:rsid w:val="00BF67D1"/>
    <w:rsid w:val="00BF6CF0"/>
    <w:rsid w:val="00C61CD2"/>
    <w:rsid w:val="00C81B89"/>
    <w:rsid w:val="00C863FA"/>
    <w:rsid w:val="00C90270"/>
    <w:rsid w:val="00CD6B25"/>
    <w:rsid w:val="00D54667"/>
    <w:rsid w:val="00D54CD4"/>
    <w:rsid w:val="00D745E7"/>
    <w:rsid w:val="00D775F9"/>
    <w:rsid w:val="00D84B1E"/>
    <w:rsid w:val="00E365C0"/>
    <w:rsid w:val="00E909B3"/>
    <w:rsid w:val="00EA1ED7"/>
    <w:rsid w:val="00EA3249"/>
    <w:rsid w:val="00EC776B"/>
    <w:rsid w:val="00ED499A"/>
    <w:rsid w:val="00ED732A"/>
    <w:rsid w:val="00EE4A6D"/>
    <w:rsid w:val="00EE60CE"/>
    <w:rsid w:val="00F061A3"/>
    <w:rsid w:val="00F25B94"/>
    <w:rsid w:val="00F370E0"/>
    <w:rsid w:val="00F46EBF"/>
    <w:rsid w:val="00F87C61"/>
    <w:rsid w:val="00FC08AA"/>
    <w:rsid w:val="00FC1134"/>
    <w:rsid w:val="00FE5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2DD52D"/>
  <w15:docId w15:val="{45C00961-7E0D-4EC2-9802-95EF5131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533"/>
  </w:style>
  <w:style w:type="paragraph" w:styleId="Heading3">
    <w:name w:val="heading 3"/>
    <w:basedOn w:val="Normal"/>
    <w:link w:val="Heading3Char"/>
    <w:uiPriority w:val="9"/>
    <w:qFormat/>
    <w:rsid w:val="00EE4A6D"/>
    <w:pPr>
      <w:spacing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4A6D"/>
    <w:pPr>
      <w:spacing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A2E"/>
    <w:pPr>
      <w:spacing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0A2E"/>
    <w:rPr>
      <w:i/>
      <w:iCs/>
    </w:rPr>
  </w:style>
  <w:style w:type="character" w:styleId="Strong">
    <w:name w:val="Strong"/>
    <w:basedOn w:val="DefaultParagraphFont"/>
    <w:uiPriority w:val="22"/>
    <w:qFormat/>
    <w:rsid w:val="001A4990"/>
    <w:rPr>
      <w:b/>
      <w:bCs/>
    </w:rPr>
  </w:style>
  <w:style w:type="character" w:customStyle="1" w:styleId="Heading3Char">
    <w:name w:val="Heading 3 Char"/>
    <w:basedOn w:val="DefaultParagraphFont"/>
    <w:link w:val="Heading3"/>
    <w:uiPriority w:val="9"/>
    <w:rsid w:val="00EE4A6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4A6D"/>
    <w:rPr>
      <w:rFonts w:ascii="Times New Roman" w:eastAsia="Times New Roman" w:hAnsi="Times New Roman" w:cs="Times New Roman"/>
      <w:b/>
      <w:bCs/>
      <w:sz w:val="24"/>
      <w:szCs w:val="24"/>
    </w:rPr>
  </w:style>
  <w:style w:type="table" w:styleId="TableGrid">
    <w:name w:val="Table Grid"/>
    <w:basedOn w:val="TableNormal"/>
    <w:uiPriority w:val="59"/>
    <w:rsid w:val="003E69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C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816"/>
    <w:rPr>
      <w:rFonts w:ascii="Tahoma" w:hAnsi="Tahoma" w:cs="Tahoma"/>
      <w:sz w:val="16"/>
      <w:szCs w:val="16"/>
    </w:rPr>
  </w:style>
  <w:style w:type="paragraph" w:styleId="Caption">
    <w:name w:val="caption"/>
    <w:basedOn w:val="Normal"/>
    <w:next w:val="Normal"/>
    <w:uiPriority w:val="35"/>
    <w:unhideWhenUsed/>
    <w:qFormat/>
    <w:rsid w:val="00805CA0"/>
    <w:pPr>
      <w:spacing w:line="240" w:lineRule="auto"/>
    </w:pPr>
    <w:rPr>
      <w:b/>
      <w:bCs/>
      <w:color w:val="4F81BD" w:themeColor="accent1"/>
      <w:sz w:val="18"/>
      <w:szCs w:val="18"/>
    </w:rPr>
  </w:style>
  <w:style w:type="paragraph" w:styleId="ListParagraph">
    <w:name w:val="List Paragraph"/>
    <w:basedOn w:val="Normal"/>
    <w:uiPriority w:val="34"/>
    <w:qFormat/>
    <w:rsid w:val="00BF67D1"/>
    <w:pPr>
      <w:spacing w:before="0" w:beforeAutospacing="0" w:after="160" w:afterAutospacing="0" w:line="259" w:lineRule="auto"/>
      <w:ind w:left="720"/>
      <w:contextualSpacing/>
      <w:jc w:val="left"/>
    </w:pPr>
    <w:rPr>
      <w:rFonts w:eastAsiaTheme="minorHAnsi"/>
      <w:kern w:val="2"/>
      <w:lang w:val="en-IN"/>
    </w:rPr>
  </w:style>
  <w:style w:type="paragraph" w:styleId="Header">
    <w:name w:val="header"/>
    <w:basedOn w:val="Normal"/>
    <w:link w:val="HeaderChar"/>
    <w:uiPriority w:val="99"/>
    <w:unhideWhenUsed/>
    <w:rsid w:val="00EA32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A3249"/>
  </w:style>
  <w:style w:type="paragraph" w:styleId="Footer">
    <w:name w:val="footer"/>
    <w:basedOn w:val="Normal"/>
    <w:link w:val="FooterChar"/>
    <w:uiPriority w:val="99"/>
    <w:unhideWhenUsed/>
    <w:rsid w:val="00EA324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A3249"/>
  </w:style>
  <w:style w:type="character" w:styleId="LineNumber">
    <w:name w:val="line number"/>
    <w:basedOn w:val="DefaultParagraphFont"/>
    <w:uiPriority w:val="99"/>
    <w:semiHidden/>
    <w:unhideWhenUsed/>
    <w:rsid w:val="00EA3249"/>
  </w:style>
  <w:style w:type="character" w:styleId="Hyperlink">
    <w:name w:val="Hyperlink"/>
    <w:basedOn w:val="DefaultParagraphFont"/>
    <w:uiPriority w:val="99"/>
    <w:unhideWhenUsed/>
    <w:rsid w:val="00135C37"/>
    <w:rPr>
      <w:color w:val="0000FF" w:themeColor="hyperlink"/>
      <w:u w:val="single"/>
    </w:rPr>
  </w:style>
  <w:style w:type="character" w:customStyle="1" w:styleId="UnresolvedMention1">
    <w:name w:val="Unresolved Mention1"/>
    <w:basedOn w:val="DefaultParagraphFont"/>
    <w:uiPriority w:val="99"/>
    <w:semiHidden/>
    <w:unhideWhenUsed/>
    <w:rsid w:val="00135C37"/>
    <w:rPr>
      <w:color w:val="605E5C"/>
      <w:shd w:val="clear" w:color="auto" w:fill="E1DFDD"/>
    </w:rPr>
  </w:style>
  <w:style w:type="paragraph" w:customStyle="1" w:styleId="my-0">
    <w:name w:val="my-0"/>
    <w:basedOn w:val="Normal"/>
    <w:rsid w:val="00ED732A"/>
    <w:pPr>
      <w:spacing w:line="240" w:lineRule="auto"/>
      <w:jc w:val="left"/>
    </w:pPr>
    <w:rPr>
      <w:rFonts w:ascii="Times New Roman" w:eastAsia="Times New Roman" w:hAnsi="Times New Roman" w:cs="Times New Roman"/>
      <w:sz w:val="24"/>
      <w:szCs w:val="24"/>
    </w:rPr>
  </w:style>
  <w:style w:type="character" w:customStyle="1" w:styleId="relative">
    <w:name w:val="relative"/>
    <w:basedOn w:val="DefaultParagraphFont"/>
    <w:rsid w:val="001B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6016">
      <w:bodyDiv w:val="1"/>
      <w:marLeft w:val="0"/>
      <w:marRight w:val="0"/>
      <w:marTop w:val="0"/>
      <w:marBottom w:val="0"/>
      <w:divBdr>
        <w:top w:val="none" w:sz="0" w:space="0" w:color="auto"/>
        <w:left w:val="none" w:sz="0" w:space="0" w:color="auto"/>
        <w:bottom w:val="none" w:sz="0" w:space="0" w:color="auto"/>
        <w:right w:val="none" w:sz="0" w:space="0" w:color="auto"/>
      </w:divBdr>
    </w:div>
    <w:div w:id="296183253">
      <w:bodyDiv w:val="1"/>
      <w:marLeft w:val="0"/>
      <w:marRight w:val="0"/>
      <w:marTop w:val="0"/>
      <w:marBottom w:val="0"/>
      <w:divBdr>
        <w:top w:val="none" w:sz="0" w:space="0" w:color="auto"/>
        <w:left w:val="none" w:sz="0" w:space="0" w:color="auto"/>
        <w:bottom w:val="none" w:sz="0" w:space="0" w:color="auto"/>
        <w:right w:val="none" w:sz="0" w:space="0" w:color="auto"/>
      </w:divBdr>
    </w:div>
    <w:div w:id="341208582">
      <w:bodyDiv w:val="1"/>
      <w:marLeft w:val="0"/>
      <w:marRight w:val="0"/>
      <w:marTop w:val="0"/>
      <w:marBottom w:val="0"/>
      <w:divBdr>
        <w:top w:val="none" w:sz="0" w:space="0" w:color="auto"/>
        <w:left w:val="none" w:sz="0" w:space="0" w:color="auto"/>
        <w:bottom w:val="none" w:sz="0" w:space="0" w:color="auto"/>
        <w:right w:val="none" w:sz="0" w:space="0" w:color="auto"/>
      </w:divBdr>
    </w:div>
    <w:div w:id="443963798">
      <w:bodyDiv w:val="1"/>
      <w:marLeft w:val="0"/>
      <w:marRight w:val="0"/>
      <w:marTop w:val="0"/>
      <w:marBottom w:val="0"/>
      <w:divBdr>
        <w:top w:val="none" w:sz="0" w:space="0" w:color="auto"/>
        <w:left w:val="none" w:sz="0" w:space="0" w:color="auto"/>
        <w:bottom w:val="none" w:sz="0" w:space="0" w:color="auto"/>
        <w:right w:val="none" w:sz="0" w:space="0" w:color="auto"/>
      </w:divBdr>
    </w:div>
    <w:div w:id="593710733">
      <w:bodyDiv w:val="1"/>
      <w:marLeft w:val="0"/>
      <w:marRight w:val="0"/>
      <w:marTop w:val="0"/>
      <w:marBottom w:val="0"/>
      <w:divBdr>
        <w:top w:val="none" w:sz="0" w:space="0" w:color="auto"/>
        <w:left w:val="none" w:sz="0" w:space="0" w:color="auto"/>
        <w:bottom w:val="none" w:sz="0" w:space="0" w:color="auto"/>
        <w:right w:val="none" w:sz="0" w:space="0" w:color="auto"/>
      </w:divBdr>
    </w:div>
    <w:div w:id="643199138">
      <w:bodyDiv w:val="1"/>
      <w:marLeft w:val="0"/>
      <w:marRight w:val="0"/>
      <w:marTop w:val="0"/>
      <w:marBottom w:val="0"/>
      <w:divBdr>
        <w:top w:val="none" w:sz="0" w:space="0" w:color="auto"/>
        <w:left w:val="none" w:sz="0" w:space="0" w:color="auto"/>
        <w:bottom w:val="none" w:sz="0" w:space="0" w:color="auto"/>
        <w:right w:val="none" w:sz="0" w:space="0" w:color="auto"/>
      </w:divBdr>
    </w:div>
    <w:div w:id="673532231">
      <w:bodyDiv w:val="1"/>
      <w:marLeft w:val="0"/>
      <w:marRight w:val="0"/>
      <w:marTop w:val="0"/>
      <w:marBottom w:val="0"/>
      <w:divBdr>
        <w:top w:val="none" w:sz="0" w:space="0" w:color="auto"/>
        <w:left w:val="none" w:sz="0" w:space="0" w:color="auto"/>
        <w:bottom w:val="none" w:sz="0" w:space="0" w:color="auto"/>
        <w:right w:val="none" w:sz="0" w:space="0" w:color="auto"/>
      </w:divBdr>
    </w:div>
    <w:div w:id="727920091">
      <w:bodyDiv w:val="1"/>
      <w:marLeft w:val="0"/>
      <w:marRight w:val="0"/>
      <w:marTop w:val="0"/>
      <w:marBottom w:val="0"/>
      <w:divBdr>
        <w:top w:val="none" w:sz="0" w:space="0" w:color="auto"/>
        <w:left w:val="none" w:sz="0" w:space="0" w:color="auto"/>
        <w:bottom w:val="none" w:sz="0" w:space="0" w:color="auto"/>
        <w:right w:val="none" w:sz="0" w:space="0" w:color="auto"/>
      </w:divBdr>
    </w:div>
    <w:div w:id="764763869">
      <w:bodyDiv w:val="1"/>
      <w:marLeft w:val="0"/>
      <w:marRight w:val="0"/>
      <w:marTop w:val="0"/>
      <w:marBottom w:val="0"/>
      <w:divBdr>
        <w:top w:val="none" w:sz="0" w:space="0" w:color="auto"/>
        <w:left w:val="none" w:sz="0" w:space="0" w:color="auto"/>
        <w:bottom w:val="none" w:sz="0" w:space="0" w:color="auto"/>
        <w:right w:val="none" w:sz="0" w:space="0" w:color="auto"/>
      </w:divBdr>
    </w:div>
    <w:div w:id="822622690">
      <w:bodyDiv w:val="1"/>
      <w:marLeft w:val="0"/>
      <w:marRight w:val="0"/>
      <w:marTop w:val="0"/>
      <w:marBottom w:val="0"/>
      <w:divBdr>
        <w:top w:val="none" w:sz="0" w:space="0" w:color="auto"/>
        <w:left w:val="none" w:sz="0" w:space="0" w:color="auto"/>
        <w:bottom w:val="none" w:sz="0" w:space="0" w:color="auto"/>
        <w:right w:val="none" w:sz="0" w:space="0" w:color="auto"/>
      </w:divBdr>
    </w:div>
    <w:div w:id="922225657">
      <w:bodyDiv w:val="1"/>
      <w:marLeft w:val="0"/>
      <w:marRight w:val="0"/>
      <w:marTop w:val="0"/>
      <w:marBottom w:val="0"/>
      <w:divBdr>
        <w:top w:val="none" w:sz="0" w:space="0" w:color="auto"/>
        <w:left w:val="none" w:sz="0" w:space="0" w:color="auto"/>
        <w:bottom w:val="none" w:sz="0" w:space="0" w:color="auto"/>
        <w:right w:val="none" w:sz="0" w:space="0" w:color="auto"/>
      </w:divBdr>
    </w:div>
    <w:div w:id="1027561800">
      <w:bodyDiv w:val="1"/>
      <w:marLeft w:val="0"/>
      <w:marRight w:val="0"/>
      <w:marTop w:val="0"/>
      <w:marBottom w:val="0"/>
      <w:divBdr>
        <w:top w:val="none" w:sz="0" w:space="0" w:color="auto"/>
        <w:left w:val="none" w:sz="0" w:space="0" w:color="auto"/>
        <w:bottom w:val="none" w:sz="0" w:space="0" w:color="auto"/>
        <w:right w:val="none" w:sz="0" w:space="0" w:color="auto"/>
      </w:divBdr>
    </w:div>
    <w:div w:id="1113742322">
      <w:bodyDiv w:val="1"/>
      <w:marLeft w:val="0"/>
      <w:marRight w:val="0"/>
      <w:marTop w:val="0"/>
      <w:marBottom w:val="0"/>
      <w:divBdr>
        <w:top w:val="none" w:sz="0" w:space="0" w:color="auto"/>
        <w:left w:val="none" w:sz="0" w:space="0" w:color="auto"/>
        <w:bottom w:val="none" w:sz="0" w:space="0" w:color="auto"/>
        <w:right w:val="none" w:sz="0" w:space="0" w:color="auto"/>
      </w:divBdr>
    </w:div>
    <w:div w:id="1151948041">
      <w:bodyDiv w:val="1"/>
      <w:marLeft w:val="0"/>
      <w:marRight w:val="0"/>
      <w:marTop w:val="0"/>
      <w:marBottom w:val="0"/>
      <w:divBdr>
        <w:top w:val="none" w:sz="0" w:space="0" w:color="auto"/>
        <w:left w:val="none" w:sz="0" w:space="0" w:color="auto"/>
        <w:bottom w:val="none" w:sz="0" w:space="0" w:color="auto"/>
        <w:right w:val="none" w:sz="0" w:space="0" w:color="auto"/>
      </w:divBdr>
    </w:div>
    <w:div w:id="1224289811">
      <w:bodyDiv w:val="1"/>
      <w:marLeft w:val="0"/>
      <w:marRight w:val="0"/>
      <w:marTop w:val="0"/>
      <w:marBottom w:val="0"/>
      <w:divBdr>
        <w:top w:val="none" w:sz="0" w:space="0" w:color="auto"/>
        <w:left w:val="none" w:sz="0" w:space="0" w:color="auto"/>
        <w:bottom w:val="none" w:sz="0" w:space="0" w:color="auto"/>
        <w:right w:val="none" w:sz="0" w:space="0" w:color="auto"/>
      </w:divBdr>
    </w:div>
    <w:div w:id="1263489020">
      <w:bodyDiv w:val="1"/>
      <w:marLeft w:val="0"/>
      <w:marRight w:val="0"/>
      <w:marTop w:val="0"/>
      <w:marBottom w:val="0"/>
      <w:divBdr>
        <w:top w:val="none" w:sz="0" w:space="0" w:color="auto"/>
        <w:left w:val="none" w:sz="0" w:space="0" w:color="auto"/>
        <w:bottom w:val="none" w:sz="0" w:space="0" w:color="auto"/>
        <w:right w:val="none" w:sz="0" w:space="0" w:color="auto"/>
      </w:divBdr>
    </w:div>
    <w:div w:id="1277788137">
      <w:bodyDiv w:val="1"/>
      <w:marLeft w:val="0"/>
      <w:marRight w:val="0"/>
      <w:marTop w:val="0"/>
      <w:marBottom w:val="0"/>
      <w:divBdr>
        <w:top w:val="none" w:sz="0" w:space="0" w:color="auto"/>
        <w:left w:val="none" w:sz="0" w:space="0" w:color="auto"/>
        <w:bottom w:val="none" w:sz="0" w:space="0" w:color="auto"/>
        <w:right w:val="none" w:sz="0" w:space="0" w:color="auto"/>
      </w:divBdr>
    </w:div>
    <w:div w:id="1279726530">
      <w:bodyDiv w:val="1"/>
      <w:marLeft w:val="0"/>
      <w:marRight w:val="0"/>
      <w:marTop w:val="0"/>
      <w:marBottom w:val="0"/>
      <w:divBdr>
        <w:top w:val="none" w:sz="0" w:space="0" w:color="auto"/>
        <w:left w:val="none" w:sz="0" w:space="0" w:color="auto"/>
        <w:bottom w:val="none" w:sz="0" w:space="0" w:color="auto"/>
        <w:right w:val="none" w:sz="0" w:space="0" w:color="auto"/>
      </w:divBdr>
    </w:div>
    <w:div w:id="1391001875">
      <w:bodyDiv w:val="1"/>
      <w:marLeft w:val="0"/>
      <w:marRight w:val="0"/>
      <w:marTop w:val="0"/>
      <w:marBottom w:val="0"/>
      <w:divBdr>
        <w:top w:val="none" w:sz="0" w:space="0" w:color="auto"/>
        <w:left w:val="none" w:sz="0" w:space="0" w:color="auto"/>
        <w:bottom w:val="none" w:sz="0" w:space="0" w:color="auto"/>
        <w:right w:val="none" w:sz="0" w:space="0" w:color="auto"/>
      </w:divBdr>
    </w:div>
    <w:div w:id="1435829366">
      <w:bodyDiv w:val="1"/>
      <w:marLeft w:val="0"/>
      <w:marRight w:val="0"/>
      <w:marTop w:val="0"/>
      <w:marBottom w:val="0"/>
      <w:divBdr>
        <w:top w:val="none" w:sz="0" w:space="0" w:color="auto"/>
        <w:left w:val="none" w:sz="0" w:space="0" w:color="auto"/>
        <w:bottom w:val="none" w:sz="0" w:space="0" w:color="auto"/>
        <w:right w:val="none" w:sz="0" w:space="0" w:color="auto"/>
      </w:divBdr>
    </w:div>
    <w:div w:id="1507600491">
      <w:bodyDiv w:val="1"/>
      <w:marLeft w:val="0"/>
      <w:marRight w:val="0"/>
      <w:marTop w:val="0"/>
      <w:marBottom w:val="0"/>
      <w:divBdr>
        <w:top w:val="none" w:sz="0" w:space="0" w:color="auto"/>
        <w:left w:val="none" w:sz="0" w:space="0" w:color="auto"/>
        <w:bottom w:val="none" w:sz="0" w:space="0" w:color="auto"/>
        <w:right w:val="none" w:sz="0" w:space="0" w:color="auto"/>
      </w:divBdr>
    </w:div>
    <w:div w:id="1598444514">
      <w:bodyDiv w:val="1"/>
      <w:marLeft w:val="0"/>
      <w:marRight w:val="0"/>
      <w:marTop w:val="0"/>
      <w:marBottom w:val="0"/>
      <w:divBdr>
        <w:top w:val="none" w:sz="0" w:space="0" w:color="auto"/>
        <w:left w:val="none" w:sz="0" w:space="0" w:color="auto"/>
        <w:bottom w:val="none" w:sz="0" w:space="0" w:color="auto"/>
        <w:right w:val="none" w:sz="0" w:space="0" w:color="auto"/>
      </w:divBdr>
    </w:div>
    <w:div w:id="1786650308">
      <w:bodyDiv w:val="1"/>
      <w:marLeft w:val="0"/>
      <w:marRight w:val="0"/>
      <w:marTop w:val="0"/>
      <w:marBottom w:val="0"/>
      <w:divBdr>
        <w:top w:val="none" w:sz="0" w:space="0" w:color="auto"/>
        <w:left w:val="none" w:sz="0" w:space="0" w:color="auto"/>
        <w:bottom w:val="none" w:sz="0" w:space="0" w:color="auto"/>
        <w:right w:val="none" w:sz="0" w:space="0" w:color="auto"/>
      </w:divBdr>
    </w:div>
    <w:div w:id="19347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5194/soil-6-325-2020" TargetMode="External"/><Relationship Id="rId18" Type="http://schemas.openxmlformats.org/officeDocument/2006/relationships/hyperlink" Target="https://doi.org/10.1038/s41467-025-57981-6" TargetMode="External"/><Relationship Id="rId26" Type="http://schemas.openxmlformats.org/officeDocument/2006/relationships/hyperlink" Target="https://doi.org/10.5194/soil-11-105-2025" TargetMode="External"/><Relationship Id="rId39" Type="http://schemas.openxmlformats.org/officeDocument/2006/relationships/theme" Target="theme/theme1.xml"/><Relationship Id="rId21" Type="http://schemas.openxmlformats.org/officeDocument/2006/relationships/hyperlink" Target="https://doi.org/10.1002/ldr.69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9734/IJPSS/2023/v35i203936" TargetMode="External"/><Relationship Id="rId17" Type="http://schemas.openxmlformats.org/officeDocument/2006/relationships/hyperlink" Target="https://doi.org/10.1126/science.1182570" TargetMode="External"/><Relationship Id="rId25" Type="http://schemas.openxmlformats.org/officeDocument/2006/relationships/hyperlink" Target="https://doi.org/10.1890/13-0616.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sum.12270" TargetMode="External"/><Relationship Id="rId20" Type="http://schemas.openxmlformats.org/officeDocument/2006/relationships/hyperlink" Target="https://doi.org/10.1016/j.geoderma.2004.01.032" TargetMode="External"/><Relationship Id="rId29" Type="http://schemas.openxmlformats.org/officeDocument/2006/relationships/hyperlink" Target="https://doi.org/10.1111/ele.124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oilbio.2018.01.030" TargetMode="External"/><Relationship Id="rId24" Type="http://schemas.openxmlformats.org/officeDocument/2006/relationships/hyperlink" Target="https://doi.org/10.3390/su1404224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S0065-2113(07)92004-2" TargetMode="External"/><Relationship Id="rId23" Type="http://schemas.openxmlformats.org/officeDocument/2006/relationships/hyperlink" Target="https://doi.org/10.1038/s41598-025-91335-y" TargetMode="External"/><Relationship Id="rId28" Type="http://schemas.openxmlformats.org/officeDocument/2006/relationships/hyperlink" Target="https://doi.org/10.1023/A:1016125726789" TargetMode="External"/><Relationship Id="rId36" Type="http://schemas.openxmlformats.org/officeDocument/2006/relationships/header" Target="header3.xml"/><Relationship Id="rId10" Type="http://schemas.openxmlformats.org/officeDocument/2006/relationships/hyperlink" Target="https://doi.org/10.9734/IJPSS/2023/v35i82891" TargetMode="External"/><Relationship Id="rId19" Type="http://schemas.openxmlformats.org/officeDocument/2006/relationships/hyperlink" Target="https://doi.org/10.1002/agj2.20093" TargetMode="External"/><Relationship Id="rId31" Type="http://schemas.openxmlformats.org/officeDocument/2006/relationships/hyperlink" Target="https://www.nrcs.usda.gov/wps/portal/nrcs/detail/soils/health/assess/?cid=nrcs142p2_053302" TargetMode="External"/><Relationship Id="rId4" Type="http://schemas.openxmlformats.org/officeDocument/2006/relationships/settings" Target="settings.xml"/><Relationship Id="rId9" Type="http://schemas.openxmlformats.org/officeDocument/2006/relationships/hyperlink" Target="https://doi.org/10.9734/asrj/2018/v1i2653" TargetMode="External"/><Relationship Id="rId14" Type="http://schemas.openxmlformats.org/officeDocument/2006/relationships/hyperlink" Target="https://doi.org/10.1007/978-981-16-2922-8_4" TargetMode="External"/><Relationship Id="rId22" Type="http://schemas.openxmlformats.org/officeDocument/2006/relationships/hyperlink" Target="https://doi.org/10.1038/nature16069" TargetMode="External"/><Relationship Id="rId27" Type="http://schemas.openxmlformats.org/officeDocument/2006/relationships/hyperlink" Target="https://doi.org/10.1016/j.agee.2024.108366" TargetMode="External"/><Relationship Id="rId30" Type="http://schemas.openxmlformats.org/officeDocument/2006/relationships/hyperlink" Target="https://doi.org/10.1038/nature01014"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3B2C-A64C-446B-8541-1075F7EB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11</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PC New 16</cp:lastModifiedBy>
  <cp:revision>82</cp:revision>
  <dcterms:created xsi:type="dcterms:W3CDTF">2025-06-26T06:00:00Z</dcterms:created>
  <dcterms:modified xsi:type="dcterms:W3CDTF">2025-07-21T07:30:00Z</dcterms:modified>
</cp:coreProperties>
</file>